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A7A4F">
      <w:pPr>
        <w:spacing w:before="120" w:after="120"/>
        <w:jc w:val="center"/>
        <w:rPr>
          <w:rFonts w:hint="eastAsia" w:ascii="宋体" w:hAnsi="宋体" w:cs="宋体"/>
          <w:b/>
          <w:bCs/>
          <w:spacing w:val="80"/>
          <w:sz w:val="72"/>
          <w:szCs w:val="72"/>
        </w:rPr>
      </w:pPr>
    </w:p>
    <w:p w14:paraId="6DE0F173">
      <w:pPr>
        <w:spacing w:before="120" w:after="120"/>
        <w:jc w:val="center"/>
        <w:rPr>
          <w:rFonts w:hint="eastAsia" w:ascii="宋体" w:hAnsi="宋体" w:cs="宋体"/>
          <w:sz w:val="72"/>
          <w:szCs w:val="72"/>
        </w:rPr>
      </w:pPr>
      <w:r>
        <w:rPr>
          <w:rFonts w:hint="eastAsia" w:ascii="宋体" w:hAnsi="宋体" w:cs="宋体"/>
          <w:b/>
          <w:bCs/>
          <w:spacing w:val="80"/>
          <w:sz w:val="72"/>
          <w:szCs w:val="72"/>
        </w:rPr>
        <w:t>连云港市政府采购</w:t>
      </w:r>
    </w:p>
    <w:p w14:paraId="699BA84F">
      <w:pPr>
        <w:spacing w:before="120" w:after="120"/>
        <w:jc w:val="center"/>
        <w:rPr>
          <w:rFonts w:hint="eastAsia" w:ascii="宋体" w:hAnsi="宋体" w:cs="宋体"/>
          <w:b/>
          <w:sz w:val="52"/>
          <w:szCs w:val="52"/>
        </w:rPr>
      </w:pPr>
    </w:p>
    <w:p w14:paraId="1394CF52">
      <w:pPr>
        <w:spacing w:before="120" w:after="120"/>
        <w:jc w:val="center"/>
        <w:rPr>
          <w:rFonts w:hint="eastAsia" w:ascii="宋体" w:hAnsi="宋体" w:cs="宋体"/>
          <w:b/>
          <w:bCs/>
          <w:sz w:val="72"/>
          <w:szCs w:val="72"/>
        </w:rPr>
      </w:pPr>
      <w:r>
        <w:rPr>
          <w:rFonts w:hint="eastAsia" w:ascii="宋体" w:hAnsi="宋体" w:cs="宋体"/>
          <w:b/>
          <w:bCs/>
          <w:sz w:val="72"/>
          <w:szCs w:val="72"/>
        </w:rPr>
        <w:t>竞争性磋商文件</w:t>
      </w:r>
    </w:p>
    <w:p w14:paraId="4EE2307D">
      <w:pPr>
        <w:spacing w:before="120" w:after="120"/>
        <w:jc w:val="left"/>
        <w:rPr>
          <w:rFonts w:hint="eastAsia" w:ascii="宋体" w:hAnsi="宋体" w:cs="宋体"/>
          <w:b/>
          <w:bCs/>
          <w:sz w:val="32"/>
          <w:szCs w:val="32"/>
        </w:rPr>
      </w:pPr>
    </w:p>
    <w:p w14:paraId="566B11FC">
      <w:pPr>
        <w:spacing w:before="120" w:after="120"/>
        <w:jc w:val="left"/>
        <w:rPr>
          <w:rFonts w:hint="eastAsia" w:ascii="宋体" w:hAnsi="宋体" w:cs="宋体"/>
          <w:b/>
          <w:bCs/>
          <w:sz w:val="32"/>
          <w:szCs w:val="32"/>
        </w:rPr>
      </w:pPr>
    </w:p>
    <w:p w14:paraId="649DE3EF">
      <w:pPr>
        <w:pStyle w:val="2"/>
      </w:pPr>
    </w:p>
    <w:p w14:paraId="183E3D8A">
      <w:pPr>
        <w:spacing w:line="480" w:lineRule="auto"/>
        <w:ind w:firstLine="964" w:firstLineChars="300"/>
        <w:jc w:val="left"/>
        <w:rPr>
          <w:rFonts w:hint="eastAsia" w:ascii="宋体" w:hAnsi="宋体" w:cs="宋体"/>
          <w:b/>
          <w:bCs/>
          <w:sz w:val="32"/>
          <w:szCs w:val="24"/>
        </w:rPr>
      </w:pPr>
      <w:r>
        <w:rPr>
          <w:rFonts w:hint="eastAsia" w:ascii="宋体" w:hAnsi="宋体" w:cs="宋体"/>
          <w:b/>
          <w:bCs/>
          <w:sz w:val="32"/>
          <w:szCs w:val="24"/>
        </w:rPr>
        <w:t>项目名称：灌南县城区部分公园保洁服务项目</w:t>
      </w:r>
    </w:p>
    <w:p w14:paraId="69C70E29">
      <w:pPr>
        <w:spacing w:line="480" w:lineRule="auto"/>
        <w:ind w:firstLine="964" w:firstLineChars="300"/>
        <w:jc w:val="left"/>
        <w:rPr>
          <w:rFonts w:hint="eastAsia" w:ascii="宋体" w:hAnsi="宋体" w:cs="宋体"/>
          <w:b/>
          <w:bCs/>
          <w:sz w:val="32"/>
          <w:szCs w:val="24"/>
        </w:rPr>
      </w:pPr>
      <w:r>
        <w:rPr>
          <w:rFonts w:hint="eastAsia" w:ascii="宋体" w:hAnsi="宋体" w:cs="宋体"/>
          <w:b/>
          <w:bCs/>
          <w:sz w:val="32"/>
          <w:szCs w:val="24"/>
        </w:rPr>
        <w:t>项目编号：</w:t>
      </w:r>
      <w:r>
        <w:rPr>
          <w:rFonts w:hint="eastAsia" w:ascii="宋体" w:hAnsi="宋体" w:eastAsia="宋体" w:cs="宋体"/>
          <w:b/>
          <w:bCs/>
          <w:i w:val="0"/>
          <w:iCs w:val="0"/>
          <w:caps w:val="0"/>
          <w:spacing w:val="0"/>
          <w:sz w:val="32"/>
          <w:szCs w:val="24"/>
          <w:shd w:val="clear" w:fill="auto"/>
        </w:rPr>
        <w:t>JSZC-320724-RBGS-C2026-0005</w:t>
      </w:r>
    </w:p>
    <w:p w14:paraId="26CB9853">
      <w:pPr>
        <w:spacing w:line="480" w:lineRule="auto"/>
        <w:jc w:val="left"/>
        <w:rPr>
          <w:rFonts w:hint="eastAsia" w:ascii="宋体" w:hAnsi="宋体" w:cs="宋体"/>
          <w:b/>
          <w:bCs/>
          <w:sz w:val="32"/>
          <w:szCs w:val="24"/>
        </w:rPr>
      </w:pPr>
    </w:p>
    <w:p w14:paraId="6B9F5CAD">
      <w:pPr>
        <w:spacing w:before="120" w:after="120"/>
        <w:jc w:val="center"/>
        <w:rPr>
          <w:rFonts w:hint="eastAsia" w:ascii="宋体" w:hAnsi="宋体" w:cs="宋体"/>
          <w:b/>
          <w:bCs/>
          <w:sz w:val="32"/>
          <w:szCs w:val="24"/>
        </w:rPr>
      </w:pPr>
    </w:p>
    <w:p w14:paraId="5BB33F59">
      <w:pPr>
        <w:spacing w:before="120" w:after="120"/>
        <w:rPr>
          <w:rFonts w:hint="eastAsia" w:ascii="宋体" w:hAnsi="宋体" w:cs="宋体"/>
          <w:b/>
          <w:bCs/>
          <w:sz w:val="32"/>
          <w:szCs w:val="24"/>
        </w:rPr>
      </w:pPr>
    </w:p>
    <w:p w14:paraId="069225C2">
      <w:pPr>
        <w:spacing w:before="120" w:after="120"/>
        <w:rPr>
          <w:rFonts w:hint="eastAsia" w:ascii="宋体" w:hAnsi="宋体" w:cs="宋体"/>
          <w:b/>
          <w:bCs/>
          <w:sz w:val="32"/>
          <w:szCs w:val="24"/>
        </w:rPr>
      </w:pPr>
    </w:p>
    <w:p w14:paraId="2FBF3096">
      <w:pPr>
        <w:spacing w:before="120" w:after="120"/>
        <w:rPr>
          <w:rFonts w:hint="eastAsia" w:ascii="宋体" w:hAnsi="宋体" w:cs="宋体"/>
          <w:b/>
          <w:bCs/>
          <w:sz w:val="32"/>
          <w:szCs w:val="24"/>
        </w:rPr>
      </w:pPr>
    </w:p>
    <w:p w14:paraId="54B7AB4E">
      <w:pPr>
        <w:spacing w:line="480" w:lineRule="auto"/>
        <w:ind w:firstLine="964" w:firstLineChars="300"/>
        <w:jc w:val="left"/>
        <w:rPr>
          <w:rFonts w:hint="eastAsia" w:ascii="宋体" w:hAnsi="宋体" w:cs="宋体"/>
          <w:b/>
          <w:bCs/>
          <w:sz w:val="32"/>
          <w:szCs w:val="24"/>
        </w:rPr>
      </w:pPr>
      <w:r>
        <w:rPr>
          <w:rFonts w:hint="eastAsia" w:ascii="宋体" w:hAnsi="宋体" w:cs="宋体"/>
          <w:b/>
          <w:bCs/>
          <w:sz w:val="32"/>
          <w:szCs w:val="24"/>
        </w:rPr>
        <w:t>采购人：灌南县综合行政执法局</w:t>
      </w:r>
    </w:p>
    <w:p w14:paraId="2533ADBF">
      <w:pPr>
        <w:spacing w:line="480" w:lineRule="auto"/>
        <w:ind w:firstLine="964" w:firstLineChars="300"/>
        <w:jc w:val="left"/>
        <w:rPr>
          <w:rFonts w:hint="eastAsia" w:ascii="宋体" w:hAnsi="宋体" w:cs="宋体"/>
          <w:b/>
          <w:bCs/>
          <w:sz w:val="32"/>
          <w:szCs w:val="24"/>
        </w:rPr>
      </w:pPr>
      <w:r>
        <w:rPr>
          <w:rFonts w:hint="eastAsia" w:ascii="宋体" w:hAnsi="宋体" w:cs="宋体"/>
          <w:b/>
          <w:bCs/>
          <w:sz w:val="32"/>
          <w:szCs w:val="24"/>
        </w:rPr>
        <w:t>采购代理机构：江苏润博建设项目管理有限公司</w:t>
      </w:r>
    </w:p>
    <w:p w14:paraId="7BBDFD87">
      <w:pPr>
        <w:spacing w:line="480" w:lineRule="auto"/>
        <w:jc w:val="center"/>
        <w:rPr>
          <w:rFonts w:hint="eastAsia" w:ascii="宋体" w:hAnsi="宋体" w:cs="宋体"/>
          <w:b/>
          <w:bCs/>
          <w:sz w:val="32"/>
          <w:szCs w:val="24"/>
        </w:rPr>
      </w:pPr>
      <w:r>
        <w:rPr>
          <w:rFonts w:hint="eastAsia" w:ascii="宋体" w:hAnsi="宋体" w:cs="宋体"/>
          <w:b/>
          <w:bCs/>
          <w:sz w:val="32"/>
          <w:szCs w:val="24"/>
        </w:rPr>
        <w:t>2026年10月</w:t>
      </w:r>
      <w:bookmarkStart w:id="0" w:name="_Toc465856610"/>
    </w:p>
    <w:p w14:paraId="79ACFA1D">
      <w:pPr>
        <w:spacing w:line="480" w:lineRule="auto"/>
        <w:jc w:val="center"/>
        <w:rPr>
          <w:rFonts w:hint="eastAsia" w:ascii="宋体" w:hAnsi="宋体" w:cs="宋体"/>
          <w:b/>
          <w:bCs/>
          <w:sz w:val="32"/>
          <w:szCs w:val="24"/>
        </w:rPr>
      </w:pPr>
    </w:p>
    <w:p w14:paraId="5D53D145">
      <w:pPr>
        <w:spacing w:line="480" w:lineRule="auto"/>
        <w:jc w:val="center"/>
        <w:rPr>
          <w:rFonts w:hint="eastAsia" w:ascii="宋体" w:hAnsi="宋体" w:cs="宋体"/>
          <w:b/>
          <w:bCs/>
          <w:sz w:val="32"/>
          <w:szCs w:val="24"/>
        </w:rPr>
      </w:pPr>
    </w:p>
    <w:p w14:paraId="5105D8F2">
      <w:pPr>
        <w:spacing w:after="240" w:afterLines="100"/>
        <w:jc w:val="center"/>
        <w:outlineLvl w:val="0"/>
        <w:rPr>
          <w:rFonts w:hint="eastAsia" w:ascii="宋体" w:hAnsi="宋体" w:cs="宋体"/>
          <w:b/>
          <w:bCs/>
          <w:sz w:val="44"/>
          <w:szCs w:val="44"/>
        </w:rPr>
      </w:pPr>
      <w:bookmarkStart w:id="1" w:name="_Toc19002"/>
      <w:bookmarkStart w:id="2" w:name="_Toc13002"/>
      <w:bookmarkStart w:id="3" w:name="_Toc13529"/>
      <w:r>
        <w:rPr>
          <w:rFonts w:hint="eastAsia" w:ascii="宋体" w:hAnsi="宋体" w:cs="宋体"/>
          <w:b/>
          <w:sz w:val="44"/>
          <w:szCs w:val="21"/>
        </w:rPr>
        <w:t>目   录</w:t>
      </w:r>
      <w:bookmarkEnd w:id="0"/>
      <w:bookmarkEnd w:id="1"/>
      <w:bookmarkEnd w:id="2"/>
      <w:bookmarkEnd w:id="3"/>
    </w:p>
    <w:p w14:paraId="5BFAAF9D">
      <w:pPr>
        <w:pStyle w:val="9"/>
        <w:tabs>
          <w:tab w:val="right" w:leader="dot" w:pos="9638"/>
        </w:tabs>
        <w:spacing w:line="480" w:lineRule="auto"/>
        <w:rPr>
          <w:sz w:val="28"/>
          <w:szCs w:val="28"/>
        </w:rPr>
      </w:pPr>
      <w:bookmarkStart w:id="4" w:name="_Toc465856611"/>
      <w:r>
        <w:rPr>
          <w:sz w:val="28"/>
          <w:szCs w:val="28"/>
        </w:rPr>
        <w:fldChar w:fldCharType="begin"/>
      </w:r>
      <w:r>
        <w:rPr>
          <w:sz w:val="28"/>
          <w:szCs w:val="28"/>
        </w:rPr>
        <w:instrText xml:space="preserve">TOC \o "1-3" \h \u </w:instrText>
      </w:r>
      <w:r>
        <w:rPr>
          <w:sz w:val="28"/>
          <w:szCs w:val="28"/>
        </w:rPr>
        <w:fldChar w:fldCharType="separate"/>
      </w:r>
      <w:r>
        <w:fldChar w:fldCharType="begin"/>
      </w:r>
      <w:r>
        <w:instrText xml:space="preserve"> HYPERLINK \l "_Toc13002" </w:instrText>
      </w:r>
      <w:r>
        <w:fldChar w:fldCharType="separate"/>
      </w:r>
      <w:r>
        <w:rPr>
          <w:rFonts w:hint="eastAsia" w:ascii="宋体" w:hAnsi="宋体" w:cs="宋体"/>
          <w:sz w:val="28"/>
          <w:szCs w:val="28"/>
        </w:rPr>
        <w:t>目   录</w:t>
      </w:r>
      <w:r>
        <w:rPr>
          <w:sz w:val="28"/>
          <w:szCs w:val="28"/>
        </w:rPr>
        <w:tab/>
      </w:r>
      <w:r>
        <w:rPr>
          <w:sz w:val="28"/>
          <w:szCs w:val="28"/>
        </w:rPr>
        <w:fldChar w:fldCharType="end"/>
      </w:r>
    </w:p>
    <w:p w14:paraId="51F87326">
      <w:pPr>
        <w:pStyle w:val="9"/>
        <w:tabs>
          <w:tab w:val="right" w:leader="dot" w:pos="9638"/>
        </w:tabs>
        <w:spacing w:line="480" w:lineRule="auto"/>
        <w:rPr>
          <w:sz w:val="28"/>
          <w:szCs w:val="28"/>
        </w:rPr>
      </w:pPr>
      <w:r>
        <w:fldChar w:fldCharType="begin"/>
      </w:r>
      <w:r>
        <w:instrText xml:space="preserve"> HYPERLINK \l "_Toc7916" </w:instrText>
      </w:r>
      <w:r>
        <w:fldChar w:fldCharType="separate"/>
      </w:r>
      <w:r>
        <w:rPr>
          <w:rFonts w:hint="eastAsia" w:ascii="宋体" w:hAnsi="宋体" w:cs="宋体"/>
          <w:sz w:val="28"/>
          <w:szCs w:val="28"/>
        </w:rPr>
        <w:t>第一章 竞争性磋商公告</w:t>
      </w:r>
      <w:r>
        <w:rPr>
          <w:sz w:val="28"/>
          <w:szCs w:val="28"/>
        </w:rPr>
        <w:tab/>
      </w:r>
      <w:r>
        <w:rPr>
          <w:sz w:val="28"/>
          <w:szCs w:val="28"/>
        </w:rPr>
        <w:fldChar w:fldCharType="end"/>
      </w:r>
    </w:p>
    <w:p w14:paraId="6A961DEE">
      <w:pPr>
        <w:pStyle w:val="10"/>
        <w:tabs>
          <w:tab w:val="right" w:leader="dot" w:pos="9638"/>
        </w:tabs>
        <w:spacing w:line="480" w:lineRule="auto"/>
        <w:ind w:left="0"/>
        <w:rPr>
          <w:sz w:val="28"/>
          <w:szCs w:val="28"/>
        </w:rPr>
      </w:pPr>
      <w:r>
        <w:fldChar w:fldCharType="begin"/>
      </w:r>
      <w:r>
        <w:instrText xml:space="preserve"> HYPERLINK \l "_Toc8014" </w:instrText>
      </w:r>
      <w:r>
        <w:fldChar w:fldCharType="separate"/>
      </w:r>
      <w:r>
        <w:rPr>
          <w:rFonts w:hint="eastAsia" w:ascii="宋体" w:hAnsi="宋体" w:cs="宋体"/>
          <w:sz w:val="28"/>
          <w:szCs w:val="28"/>
        </w:rPr>
        <w:t>第二章 磋商须知</w:t>
      </w:r>
      <w:r>
        <w:rPr>
          <w:sz w:val="28"/>
          <w:szCs w:val="28"/>
        </w:rPr>
        <w:tab/>
      </w:r>
      <w:r>
        <w:rPr>
          <w:sz w:val="28"/>
          <w:szCs w:val="28"/>
        </w:rPr>
        <w:fldChar w:fldCharType="end"/>
      </w:r>
    </w:p>
    <w:p w14:paraId="6958000E">
      <w:pPr>
        <w:pStyle w:val="9"/>
        <w:tabs>
          <w:tab w:val="right" w:leader="dot" w:pos="9638"/>
        </w:tabs>
        <w:spacing w:line="480" w:lineRule="auto"/>
        <w:rPr>
          <w:sz w:val="28"/>
          <w:szCs w:val="28"/>
        </w:rPr>
      </w:pPr>
      <w:r>
        <w:fldChar w:fldCharType="begin"/>
      </w:r>
      <w:r>
        <w:instrText xml:space="preserve"> HYPERLINK \l "_Toc5340" </w:instrText>
      </w:r>
      <w:r>
        <w:fldChar w:fldCharType="separate"/>
      </w:r>
      <w:r>
        <w:rPr>
          <w:rFonts w:hint="eastAsia" w:ascii="宋体" w:hAnsi="宋体" w:cs="宋体"/>
          <w:sz w:val="28"/>
          <w:szCs w:val="28"/>
        </w:rPr>
        <w:t>第三章 合同条款及格式</w:t>
      </w:r>
      <w:r>
        <w:rPr>
          <w:sz w:val="28"/>
          <w:szCs w:val="28"/>
        </w:rPr>
        <w:tab/>
      </w:r>
      <w:r>
        <w:rPr>
          <w:sz w:val="28"/>
          <w:szCs w:val="28"/>
        </w:rPr>
        <w:fldChar w:fldCharType="end"/>
      </w:r>
    </w:p>
    <w:p w14:paraId="0394CA20">
      <w:pPr>
        <w:pStyle w:val="9"/>
        <w:tabs>
          <w:tab w:val="right" w:leader="dot" w:pos="9638"/>
        </w:tabs>
        <w:spacing w:line="480" w:lineRule="auto"/>
        <w:rPr>
          <w:sz w:val="28"/>
          <w:szCs w:val="28"/>
        </w:rPr>
      </w:pPr>
      <w:r>
        <w:fldChar w:fldCharType="begin"/>
      </w:r>
      <w:r>
        <w:instrText xml:space="preserve"> HYPERLINK \l "_Toc15214" </w:instrText>
      </w:r>
      <w:r>
        <w:fldChar w:fldCharType="separate"/>
      </w:r>
      <w:r>
        <w:rPr>
          <w:rFonts w:hint="eastAsia" w:ascii="宋体" w:hAnsi="宋体" w:cs="宋体"/>
          <w:sz w:val="28"/>
          <w:szCs w:val="28"/>
        </w:rPr>
        <w:t>第四章 项目需求</w:t>
      </w:r>
      <w:r>
        <w:rPr>
          <w:sz w:val="28"/>
          <w:szCs w:val="28"/>
        </w:rPr>
        <w:tab/>
      </w:r>
      <w:r>
        <w:rPr>
          <w:sz w:val="28"/>
          <w:szCs w:val="28"/>
        </w:rPr>
        <w:fldChar w:fldCharType="end"/>
      </w:r>
    </w:p>
    <w:p w14:paraId="74F8B184">
      <w:pPr>
        <w:pStyle w:val="9"/>
        <w:tabs>
          <w:tab w:val="right" w:leader="dot" w:pos="9638"/>
        </w:tabs>
        <w:spacing w:line="480" w:lineRule="auto"/>
        <w:rPr>
          <w:sz w:val="28"/>
          <w:szCs w:val="28"/>
        </w:rPr>
      </w:pPr>
      <w:r>
        <w:fldChar w:fldCharType="begin"/>
      </w:r>
      <w:r>
        <w:instrText xml:space="preserve"> HYPERLINK \l "_Toc265" </w:instrText>
      </w:r>
      <w:r>
        <w:fldChar w:fldCharType="separate"/>
      </w:r>
      <w:r>
        <w:rPr>
          <w:rFonts w:hint="eastAsia" w:ascii="宋体" w:hAnsi="宋体" w:cs="宋体"/>
          <w:sz w:val="28"/>
          <w:szCs w:val="28"/>
        </w:rPr>
        <w:t>第五章 评审方法和评审标准</w:t>
      </w:r>
      <w:r>
        <w:rPr>
          <w:sz w:val="28"/>
          <w:szCs w:val="28"/>
        </w:rPr>
        <w:tab/>
      </w:r>
      <w:r>
        <w:rPr>
          <w:sz w:val="28"/>
          <w:szCs w:val="28"/>
        </w:rPr>
        <w:fldChar w:fldCharType="end"/>
      </w:r>
    </w:p>
    <w:p w14:paraId="200753FC">
      <w:pPr>
        <w:pStyle w:val="9"/>
        <w:tabs>
          <w:tab w:val="right" w:leader="dot" w:pos="9638"/>
        </w:tabs>
        <w:spacing w:line="480" w:lineRule="auto"/>
        <w:rPr>
          <w:sz w:val="28"/>
          <w:szCs w:val="28"/>
        </w:rPr>
      </w:pPr>
      <w:r>
        <w:fldChar w:fldCharType="begin"/>
      </w:r>
      <w:r>
        <w:instrText xml:space="preserve"> HYPERLINK \l "_Toc9518" </w:instrText>
      </w:r>
      <w:r>
        <w:fldChar w:fldCharType="separate"/>
      </w:r>
      <w:r>
        <w:rPr>
          <w:rFonts w:hint="eastAsia" w:ascii="宋体" w:hAnsi="宋体" w:cs="宋体"/>
          <w:sz w:val="28"/>
          <w:szCs w:val="28"/>
        </w:rPr>
        <w:t>第六章 竞争性磋商响应文件格式</w:t>
      </w:r>
      <w:r>
        <w:rPr>
          <w:sz w:val="28"/>
          <w:szCs w:val="28"/>
        </w:rPr>
        <w:tab/>
      </w:r>
      <w:r>
        <w:rPr>
          <w:sz w:val="28"/>
          <w:szCs w:val="28"/>
        </w:rPr>
        <w:fldChar w:fldCharType="end"/>
      </w:r>
    </w:p>
    <w:p w14:paraId="2BEE340D">
      <w:pPr>
        <w:spacing w:line="480" w:lineRule="auto"/>
      </w:pPr>
      <w:r>
        <w:rPr>
          <w:sz w:val="28"/>
          <w:szCs w:val="28"/>
        </w:rPr>
        <w:fldChar w:fldCharType="end"/>
      </w:r>
    </w:p>
    <w:p w14:paraId="6C4FA7F1">
      <w:pPr>
        <w:pStyle w:val="4"/>
        <w:numPr>
          <w:ilvl w:val="0"/>
          <w:numId w:val="0"/>
        </w:numPr>
        <w:rPr>
          <w:rFonts w:hint="eastAsia" w:ascii="宋体" w:hAnsi="宋体" w:cs="宋体"/>
          <w:bCs/>
          <w:sz w:val="44"/>
          <w:szCs w:val="44"/>
        </w:rPr>
      </w:pPr>
      <w:r>
        <w:rPr>
          <w:rFonts w:hint="eastAsia" w:ascii="宋体" w:hAnsi="宋体" w:cs="宋体"/>
          <w:sz w:val="28"/>
        </w:rPr>
        <w:br w:type="page" w:clear="all"/>
      </w:r>
      <w:bookmarkStart w:id="5" w:name="_Toc28359011"/>
      <w:bookmarkStart w:id="6" w:name="_Toc35393797"/>
      <w:bookmarkStart w:id="7" w:name="_Toc7916"/>
      <w:r>
        <w:rPr>
          <w:rFonts w:hint="eastAsia" w:ascii="宋体" w:hAnsi="宋体" w:cs="宋体"/>
          <w:sz w:val="44"/>
          <w:szCs w:val="44"/>
        </w:rPr>
        <w:t>第一章 竞争性磋商</w:t>
      </w:r>
      <w:bookmarkEnd w:id="5"/>
      <w:bookmarkEnd w:id="6"/>
      <w:r>
        <w:rPr>
          <w:rFonts w:hint="eastAsia" w:ascii="宋体" w:hAnsi="宋体" w:cs="宋体"/>
          <w:sz w:val="44"/>
          <w:szCs w:val="44"/>
        </w:rPr>
        <w:t>公告</w:t>
      </w:r>
      <w:bookmarkEnd w:id="7"/>
    </w:p>
    <w:p w14:paraId="62F23D69">
      <w:pPr>
        <w:spacing w:line="360" w:lineRule="auto"/>
        <w:ind w:firstLine="420" w:firstLineChars="200"/>
        <w:jc w:val="left"/>
        <w:rPr>
          <w:rFonts w:hint="eastAsia" w:ascii="宋体" w:hAnsi="宋体" w:cs="宋体"/>
          <w:szCs w:val="21"/>
        </w:rPr>
      </w:pPr>
      <w:bookmarkStart w:id="8" w:name="_Toc35393629"/>
      <w:bookmarkStart w:id="9" w:name="_Toc28359089"/>
      <w:bookmarkStart w:id="10" w:name="_Toc19449"/>
      <w:bookmarkStart w:id="11" w:name="_Toc35393798"/>
      <w:bookmarkStart w:id="12" w:name="_Toc21987"/>
      <w:bookmarkStart w:id="13" w:name="_Toc28359012"/>
      <w:r>
        <w:rPr>
          <w:rFonts w:hint="eastAsia" w:ascii="宋体" w:hAnsi="宋体" w:cs="宋体"/>
          <w:szCs w:val="21"/>
        </w:rPr>
        <w:t>受</w:t>
      </w:r>
      <w:r>
        <w:rPr>
          <w:rFonts w:hint="eastAsia" w:ascii="宋体" w:hAnsi="宋体" w:cs="宋体"/>
          <w:szCs w:val="21"/>
          <w:u w:val="single"/>
        </w:rPr>
        <w:t>灌南县综合行政执法局</w:t>
      </w:r>
      <w:r>
        <w:rPr>
          <w:rFonts w:hint="eastAsia" w:ascii="宋体" w:hAnsi="宋体" w:cs="宋体"/>
          <w:szCs w:val="21"/>
        </w:rPr>
        <w:t>的委托，</w:t>
      </w:r>
      <w:r>
        <w:rPr>
          <w:rFonts w:hint="eastAsia" w:ascii="宋体" w:hAnsi="宋体" w:cs="宋体"/>
          <w:szCs w:val="21"/>
          <w:u w:val="single"/>
        </w:rPr>
        <w:t>江苏润博建设项目管理有限公司</w:t>
      </w:r>
      <w:r>
        <w:rPr>
          <w:rFonts w:hint="eastAsia" w:ascii="宋体" w:hAnsi="宋体" w:cs="宋体"/>
          <w:szCs w:val="21"/>
        </w:rPr>
        <w:t>就</w:t>
      </w:r>
      <w:r>
        <w:rPr>
          <w:rFonts w:hint="eastAsia" w:ascii="宋体" w:hAnsi="宋体" w:cs="宋体"/>
          <w:szCs w:val="21"/>
          <w:u w:val="single"/>
        </w:rPr>
        <w:t>灌南县城区部分公园保洁服务项目</w:t>
      </w:r>
      <w:r>
        <w:rPr>
          <w:rFonts w:hint="eastAsia" w:ascii="宋体" w:hAnsi="宋体" w:cs="宋体"/>
          <w:szCs w:val="21"/>
        </w:rPr>
        <w:t>（项目编号：</w:t>
      </w:r>
      <w:r>
        <w:rPr>
          <w:rFonts w:hint="eastAsia" w:ascii="宋体" w:hAnsi="宋体" w:eastAsia="宋体" w:cs="宋体"/>
          <w:b w:val="0"/>
          <w:bCs w:val="0"/>
          <w:i w:val="0"/>
          <w:iCs w:val="0"/>
          <w:caps w:val="0"/>
          <w:spacing w:val="0"/>
          <w:sz w:val="21"/>
          <w:szCs w:val="21"/>
          <w:u w:val="single"/>
          <w:shd w:val="clear"/>
        </w:rPr>
        <w:t>JSZC-320724-RBGS-C2026-0005</w:t>
      </w:r>
      <w:r>
        <w:rPr>
          <w:rFonts w:hint="eastAsia" w:ascii="宋体" w:hAnsi="宋体" w:cs="宋体"/>
          <w:szCs w:val="21"/>
          <w:u w:val="single"/>
        </w:rPr>
        <w:t xml:space="preserve"> </w:t>
      </w:r>
      <w:r>
        <w:rPr>
          <w:rFonts w:hint="eastAsia" w:ascii="宋体" w:hAnsi="宋体" w:cs="宋体"/>
          <w:szCs w:val="21"/>
        </w:rPr>
        <w:t>）进行竞争性磋商采购，欢迎符合条件的供应商参加磋商。</w:t>
      </w:r>
    </w:p>
    <w:tbl>
      <w:tblPr>
        <w:tblStyle w:val="12"/>
        <w:tblW w:w="9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34"/>
      </w:tblGrid>
      <w:tr w14:paraId="428B6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9334" w:type="dxa"/>
          </w:tcPr>
          <w:p w14:paraId="4A71F485">
            <w:pPr>
              <w:spacing w:line="360" w:lineRule="auto"/>
              <w:ind w:firstLine="420" w:firstLineChars="200"/>
              <w:jc w:val="left"/>
              <w:rPr>
                <w:rFonts w:hint="eastAsia" w:ascii="宋体" w:hAnsi="宋体" w:cs="宋体"/>
                <w:szCs w:val="21"/>
              </w:rPr>
            </w:pPr>
            <w:r>
              <w:rPr>
                <w:rFonts w:hint="eastAsia" w:ascii="宋体" w:hAnsi="宋体" w:cs="宋体"/>
                <w:szCs w:val="21"/>
              </w:rPr>
              <w:t>项目概况</w:t>
            </w:r>
          </w:p>
          <w:p w14:paraId="09832ADD">
            <w:pPr>
              <w:spacing w:line="360" w:lineRule="auto"/>
              <w:ind w:firstLine="420" w:firstLineChars="200"/>
              <w:jc w:val="left"/>
              <w:rPr>
                <w:rFonts w:hint="eastAsia" w:ascii="宋体" w:hAnsi="宋体" w:cs="宋体"/>
                <w:szCs w:val="21"/>
              </w:rPr>
            </w:pPr>
            <w:r>
              <w:rPr>
                <w:rFonts w:hint="eastAsia" w:ascii="宋体" w:hAnsi="宋体" w:cs="宋体"/>
                <w:szCs w:val="21"/>
                <w:u w:val="single"/>
              </w:rPr>
              <w:t>灌南县城区部分公园保洁服务项目</w:t>
            </w:r>
            <w:r>
              <w:rPr>
                <w:rFonts w:hint="eastAsia" w:ascii="宋体" w:hAnsi="宋体" w:cs="宋体"/>
                <w:szCs w:val="21"/>
              </w:rPr>
              <w:t>的潜在供应商应在“江苏政府采购网”自行免费下载采购文件，并于2026年1</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6</w:t>
            </w:r>
            <w:r>
              <w:rPr>
                <w:rFonts w:hint="eastAsia" w:ascii="宋体" w:hAnsi="宋体" w:cs="宋体"/>
                <w:szCs w:val="21"/>
              </w:rPr>
              <w:t>日9:00:00（北京时间）前提交（上传）响应文件。</w:t>
            </w:r>
          </w:p>
        </w:tc>
      </w:tr>
    </w:tbl>
    <w:p w14:paraId="6B730EB7">
      <w:pPr>
        <w:spacing w:line="360" w:lineRule="auto"/>
        <w:ind w:firstLine="482"/>
        <w:rPr>
          <w:rFonts w:hint="eastAsia" w:ascii="宋体" w:hAnsi="宋体" w:cs="宋体"/>
          <w:b/>
          <w:bCs/>
          <w:szCs w:val="21"/>
        </w:rPr>
      </w:pPr>
      <w:r>
        <w:rPr>
          <w:rFonts w:hint="eastAsia" w:ascii="宋体" w:hAnsi="宋体" w:cs="宋体"/>
          <w:b/>
          <w:bCs/>
          <w:szCs w:val="21"/>
        </w:rPr>
        <w:t>一、项目基本情况</w:t>
      </w:r>
      <w:bookmarkEnd w:id="8"/>
      <w:bookmarkEnd w:id="9"/>
      <w:bookmarkEnd w:id="10"/>
      <w:bookmarkEnd w:id="11"/>
      <w:bookmarkEnd w:id="12"/>
      <w:bookmarkEnd w:id="13"/>
    </w:p>
    <w:p w14:paraId="38086C48">
      <w:pPr>
        <w:spacing w:line="360" w:lineRule="auto"/>
        <w:ind w:firstLine="420" w:firstLineChars="200"/>
        <w:jc w:val="left"/>
        <w:rPr>
          <w:rFonts w:hint="eastAsia" w:ascii="宋体" w:hAnsi="宋体" w:cs="宋体"/>
          <w:szCs w:val="21"/>
        </w:rPr>
      </w:pPr>
      <w:r>
        <w:rPr>
          <w:rFonts w:hint="eastAsia" w:ascii="宋体" w:hAnsi="宋体" w:cs="宋体"/>
          <w:szCs w:val="21"/>
        </w:rPr>
        <w:t>1.项目编号：</w:t>
      </w:r>
      <w:r>
        <w:rPr>
          <w:rFonts w:hint="eastAsia" w:ascii="宋体" w:hAnsi="宋体" w:eastAsia="宋体" w:cs="宋体"/>
          <w:b w:val="0"/>
          <w:bCs w:val="0"/>
          <w:i w:val="0"/>
          <w:iCs w:val="0"/>
          <w:caps w:val="0"/>
          <w:spacing w:val="0"/>
          <w:sz w:val="21"/>
          <w:szCs w:val="21"/>
          <w:shd w:val="clear"/>
        </w:rPr>
        <w:t>JSZC-320724-RBGS-C2026-0005</w:t>
      </w:r>
    </w:p>
    <w:p w14:paraId="362ED774">
      <w:pPr>
        <w:spacing w:line="360" w:lineRule="auto"/>
        <w:ind w:firstLine="420" w:firstLineChars="200"/>
        <w:jc w:val="left"/>
        <w:rPr>
          <w:rFonts w:hint="eastAsia" w:ascii="宋体" w:hAnsi="宋体" w:cs="宋体"/>
          <w:szCs w:val="21"/>
          <w:u w:val="single"/>
        </w:rPr>
      </w:pPr>
      <w:r>
        <w:rPr>
          <w:rFonts w:hint="eastAsia" w:ascii="宋体" w:hAnsi="宋体" w:cs="宋体"/>
          <w:szCs w:val="21"/>
        </w:rPr>
        <w:t>2.项目名称：灌南县城区部分公园保洁服务项目；</w:t>
      </w:r>
    </w:p>
    <w:p w14:paraId="3E0C5A0D">
      <w:pPr>
        <w:spacing w:line="360" w:lineRule="auto"/>
        <w:ind w:firstLine="420" w:firstLineChars="200"/>
        <w:jc w:val="left"/>
        <w:rPr>
          <w:rFonts w:hint="eastAsia" w:ascii="宋体" w:hAnsi="宋体" w:cs="宋体"/>
          <w:szCs w:val="21"/>
        </w:rPr>
      </w:pPr>
      <w:r>
        <w:rPr>
          <w:rFonts w:hint="eastAsia" w:ascii="宋体" w:hAnsi="宋体" w:cs="宋体"/>
          <w:szCs w:val="21"/>
        </w:rPr>
        <w:t>3.采购方式：竞争性磋商；</w:t>
      </w:r>
    </w:p>
    <w:p w14:paraId="7AE7878D">
      <w:pPr>
        <w:spacing w:line="360" w:lineRule="auto"/>
        <w:ind w:firstLine="420" w:firstLineChars="200"/>
        <w:jc w:val="left"/>
        <w:rPr>
          <w:rFonts w:hint="eastAsia" w:ascii="宋体" w:hAnsi="宋体" w:cs="宋体"/>
          <w:szCs w:val="21"/>
        </w:rPr>
      </w:pPr>
      <w:r>
        <w:rPr>
          <w:rFonts w:hint="eastAsia" w:ascii="宋体" w:hAnsi="宋体" w:cs="宋体"/>
          <w:szCs w:val="21"/>
        </w:rPr>
        <w:t>4.预算金额：130万元/年，报价超出预算金额的按无效响应处理；</w:t>
      </w:r>
    </w:p>
    <w:p w14:paraId="0310DE21">
      <w:pPr>
        <w:spacing w:line="360" w:lineRule="auto"/>
        <w:ind w:firstLine="420" w:firstLineChars="200"/>
        <w:jc w:val="left"/>
        <w:rPr>
          <w:rFonts w:hint="eastAsia" w:ascii="宋体" w:hAnsi="宋体" w:cs="宋体"/>
          <w:szCs w:val="21"/>
        </w:rPr>
      </w:pPr>
      <w:r>
        <w:rPr>
          <w:rFonts w:hint="eastAsia" w:ascii="宋体" w:hAnsi="宋体" w:cs="宋体"/>
          <w:szCs w:val="21"/>
        </w:rPr>
        <w:t>5.采购需求：灌南县城区口袋公园保洁服务项目包括但不限于保洁、接待以及法规和政策规定由物业管理公司负责的其它事项，报价包含但不限于管理人员和服务人员的工资、五险（工资及五险不能低于当地最低工资标准）、福利、耗材，以及企业应缴纳的税费、代理服务费，中标后费用不再另行增加，请投标人综合考虑，详见磋商文件项目需求；</w:t>
      </w:r>
    </w:p>
    <w:p w14:paraId="15A5066E">
      <w:pPr>
        <w:spacing w:line="360" w:lineRule="auto"/>
        <w:ind w:firstLine="420" w:firstLineChars="200"/>
        <w:jc w:val="left"/>
        <w:rPr>
          <w:rFonts w:hint="eastAsia" w:ascii="宋体" w:hAnsi="宋体" w:cs="宋体"/>
          <w:szCs w:val="21"/>
        </w:rPr>
      </w:pPr>
      <w:r>
        <w:rPr>
          <w:rFonts w:hint="eastAsia" w:ascii="宋体" w:hAnsi="宋体" w:cs="宋体"/>
          <w:szCs w:val="21"/>
        </w:rPr>
        <w:t>6.合同履行期限：</w:t>
      </w:r>
      <w:bookmarkStart w:id="14" w:name="_Toc28359013"/>
      <w:bookmarkStart w:id="15" w:name="_Toc35393799"/>
      <w:bookmarkStart w:id="16" w:name="_Toc28359090"/>
      <w:bookmarkStart w:id="17" w:name="_Toc32533"/>
      <w:bookmarkStart w:id="18" w:name="_Toc21402"/>
      <w:bookmarkStart w:id="19" w:name="_Toc35393630"/>
      <w:r>
        <w:rPr>
          <w:rFonts w:hint="eastAsia" w:ascii="宋体" w:hAnsi="宋体" w:cs="宋体"/>
          <w:szCs w:val="21"/>
        </w:rPr>
        <w:t>本次项目服务期限为一年，第一年服务期内月度考核平均得分达到85分及以上，且未发生过重大安全事故或被有效投诉拒不整改情形的，采购人</w:t>
      </w:r>
      <w:r>
        <w:rPr>
          <w:rFonts w:ascii="宋体" w:hAnsi="宋体" w:cs="宋体"/>
          <w:szCs w:val="21"/>
        </w:rPr>
        <w:t>有权决定</w:t>
      </w:r>
      <w:r>
        <w:rPr>
          <w:rFonts w:hint="eastAsia" w:ascii="宋体" w:hAnsi="宋体" w:cs="宋体"/>
          <w:szCs w:val="21"/>
        </w:rPr>
        <w:t>是否续签下一年度合同</w:t>
      </w:r>
      <w:r>
        <w:rPr>
          <w:rFonts w:ascii="宋体" w:hAnsi="宋体" w:cs="宋体"/>
          <w:szCs w:val="21"/>
        </w:rPr>
        <w:t>；未达到上述标准的，采购人有权不予续签且不承担任何补偿或赔偿责任。</w:t>
      </w:r>
      <w:r>
        <w:rPr>
          <w:rFonts w:hint="eastAsia" w:ascii="宋体" w:hAnsi="宋体" w:cs="宋体"/>
          <w:szCs w:val="21"/>
        </w:rPr>
        <w:t>合同一年一签，续签最多不超过两年（如因项目考核或预算调整、政府规划政策性需要取消外包等原因，甲方有权终止合同或重新采购）；</w:t>
      </w:r>
    </w:p>
    <w:p w14:paraId="3F085651">
      <w:pPr>
        <w:spacing w:line="360" w:lineRule="auto"/>
        <w:ind w:firstLine="420" w:firstLineChars="200"/>
        <w:jc w:val="left"/>
        <w:rPr>
          <w:rFonts w:hint="eastAsia" w:ascii="宋体" w:hAnsi="宋体" w:cs="宋体"/>
          <w:szCs w:val="21"/>
        </w:rPr>
      </w:pPr>
      <w:r>
        <w:rPr>
          <w:rFonts w:hint="eastAsia" w:ascii="宋体" w:hAnsi="宋体" w:cs="宋体"/>
          <w:szCs w:val="21"/>
        </w:rPr>
        <w:t>7.服务地点：灌南县；</w:t>
      </w:r>
    </w:p>
    <w:p w14:paraId="3DE4338C">
      <w:pPr>
        <w:spacing w:line="360" w:lineRule="auto"/>
        <w:ind w:firstLine="420" w:firstLineChars="200"/>
        <w:jc w:val="left"/>
        <w:rPr>
          <w:rFonts w:hint="eastAsia" w:ascii="宋体" w:hAnsi="宋体" w:cs="宋体"/>
          <w:szCs w:val="21"/>
        </w:rPr>
      </w:pPr>
      <w:r>
        <w:rPr>
          <w:rFonts w:hint="eastAsia" w:ascii="宋体" w:hAnsi="宋体" w:cs="宋体"/>
          <w:szCs w:val="21"/>
        </w:rPr>
        <w:t>8.对项目采购需求部分的询问、质疑请与采购人联系，由采购人负责答复；</w:t>
      </w:r>
    </w:p>
    <w:p w14:paraId="769A5EB1">
      <w:pPr>
        <w:spacing w:line="360" w:lineRule="auto"/>
        <w:ind w:firstLine="420" w:firstLineChars="200"/>
        <w:jc w:val="left"/>
        <w:rPr>
          <w:rFonts w:hint="eastAsia" w:ascii="宋体" w:hAnsi="宋体" w:cs="宋体"/>
          <w:szCs w:val="21"/>
        </w:rPr>
      </w:pPr>
      <w:r>
        <w:rPr>
          <w:rFonts w:hint="eastAsia" w:ascii="宋体" w:hAnsi="宋体" w:cs="宋体"/>
          <w:szCs w:val="21"/>
        </w:rPr>
        <w:t>9.本项目不接受联合体；</w:t>
      </w:r>
    </w:p>
    <w:p w14:paraId="2D305A53">
      <w:pPr>
        <w:spacing w:line="360" w:lineRule="auto"/>
        <w:ind w:firstLine="422" w:firstLineChars="200"/>
        <w:jc w:val="left"/>
        <w:outlineLvl w:val="1"/>
        <w:rPr>
          <w:rFonts w:hint="eastAsia" w:ascii="宋体" w:hAnsi="宋体" w:cs="宋体"/>
          <w:b/>
          <w:szCs w:val="21"/>
        </w:rPr>
      </w:pPr>
      <w:bookmarkStart w:id="20" w:name="_Toc9367"/>
      <w:r>
        <w:rPr>
          <w:rFonts w:hint="eastAsia" w:ascii="宋体" w:hAnsi="宋体" w:cs="宋体"/>
          <w:b/>
          <w:szCs w:val="21"/>
        </w:rPr>
        <w:t>二、申请人的资格要求</w:t>
      </w:r>
      <w:bookmarkEnd w:id="14"/>
      <w:bookmarkEnd w:id="15"/>
      <w:bookmarkEnd w:id="16"/>
      <w:bookmarkEnd w:id="17"/>
      <w:bookmarkEnd w:id="18"/>
      <w:bookmarkEnd w:id="19"/>
      <w:bookmarkEnd w:id="20"/>
    </w:p>
    <w:p w14:paraId="3305DD7F">
      <w:pPr>
        <w:spacing w:line="360" w:lineRule="auto"/>
        <w:ind w:firstLine="420" w:firstLineChars="200"/>
        <w:jc w:val="left"/>
        <w:rPr>
          <w:rFonts w:hint="eastAsia" w:ascii="宋体" w:hAnsi="宋体" w:cs="宋体"/>
          <w:szCs w:val="21"/>
        </w:rPr>
      </w:pPr>
      <w:r>
        <w:rPr>
          <w:rFonts w:hint="eastAsia" w:ascii="宋体" w:hAnsi="宋体" w:cs="宋体"/>
          <w:szCs w:val="21"/>
        </w:rPr>
        <w:t>1.满足《中华人民共和国政府采购法》第二十二条规定，并提供下列材料：</w:t>
      </w:r>
    </w:p>
    <w:p w14:paraId="030F2596">
      <w:pPr>
        <w:spacing w:line="360" w:lineRule="auto"/>
        <w:ind w:firstLine="420" w:firstLineChars="200"/>
        <w:jc w:val="left"/>
        <w:rPr>
          <w:rFonts w:hint="eastAsia" w:ascii="宋体" w:hAnsi="宋体" w:cs="宋体"/>
          <w:szCs w:val="21"/>
        </w:rPr>
      </w:pPr>
      <w:r>
        <w:rPr>
          <w:rFonts w:hint="eastAsia" w:ascii="宋体" w:hAnsi="宋体" w:cs="宋体"/>
          <w:szCs w:val="21"/>
        </w:rPr>
        <w:t>（1）法人或者其他组织的营业执照等证明文件，自然人的身份证明；</w:t>
      </w:r>
    </w:p>
    <w:p w14:paraId="4832B7AA">
      <w:pPr>
        <w:spacing w:line="360" w:lineRule="auto"/>
        <w:ind w:firstLine="420" w:firstLineChars="200"/>
        <w:jc w:val="left"/>
        <w:rPr>
          <w:rFonts w:hint="eastAsia" w:ascii="宋体" w:hAnsi="宋体" w:cs="宋体"/>
          <w:szCs w:val="21"/>
        </w:rPr>
      </w:pPr>
      <w:r>
        <w:rPr>
          <w:rFonts w:hint="eastAsia" w:ascii="宋体" w:hAnsi="宋体" w:cs="宋体"/>
          <w:szCs w:val="21"/>
        </w:rPr>
        <w:t>（2）上一年度的财务状况报告（成立不满一个年度的不需提供）；</w:t>
      </w:r>
    </w:p>
    <w:p w14:paraId="766AC0ED">
      <w:pPr>
        <w:spacing w:line="360" w:lineRule="auto"/>
        <w:ind w:firstLine="420" w:firstLineChars="200"/>
        <w:jc w:val="left"/>
        <w:rPr>
          <w:rFonts w:hint="eastAsia" w:ascii="宋体" w:hAnsi="宋体" w:cs="宋体"/>
          <w:szCs w:val="21"/>
        </w:rPr>
      </w:pPr>
      <w:r>
        <w:rPr>
          <w:rFonts w:hint="eastAsia" w:ascii="宋体" w:hAnsi="宋体" w:cs="宋体"/>
          <w:szCs w:val="21"/>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5A3EAE2">
      <w:pPr>
        <w:spacing w:line="360" w:lineRule="auto"/>
        <w:ind w:firstLine="420" w:firstLineChars="200"/>
        <w:jc w:val="left"/>
        <w:rPr>
          <w:rFonts w:hint="eastAsia" w:ascii="宋体" w:hAnsi="宋体" w:cs="宋体"/>
          <w:szCs w:val="21"/>
        </w:rPr>
      </w:pPr>
      <w:r>
        <w:rPr>
          <w:rFonts w:hint="eastAsia" w:ascii="宋体" w:hAnsi="宋体" w:cs="宋体"/>
          <w:szCs w:val="21"/>
        </w:rPr>
        <w:t>（4）具备履行合同所必需的设备和专业技术能力的声明及证明材料；</w:t>
      </w:r>
    </w:p>
    <w:p w14:paraId="2C76E088">
      <w:pPr>
        <w:spacing w:line="360" w:lineRule="auto"/>
        <w:ind w:firstLine="420" w:firstLineChars="200"/>
        <w:jc w:val="left"/>
        <w:rPr>
          <w:rFonts w:hint="eastAsia" w:ascii="宋体" w:hAnsi="宋体" w:cs="宋体"/>
          <w:szCs w:val="21"/>
        </w:rPr>
      </w:pPr>
      <w:r>
        <w:rPr>
          <w:rFonts w:hint="eastAsia" w:ascii="宋体" w:hAnsi="宋体" w:cs="宋体"/>
          <w:szCs w:val="21"/>
        </w:rPr>
        <w:t>（5）参加政府采购活动前三年内在经营活动中没有重大违法记录的书面声明；</w:t>
      </w:r>
    </w:p>
    <w:p w14:paraId="679081C4">
      <w:pPr>
        <w:spacing w:line="360" w:lineRule="auto"/>
        <w:ind w:firstLine="422" w:firstLineChars="200"/>
        <w:jc w:val="left"/>
        <w:rPr>
          <w:rFonts w:hint="eastAsia" w:ascii="宋体" w:hAnsi="宋体" w:cs="宋体"/>
          <w:b/>
          <w:bCs/>
          <w:szCs w:val="21"/>
        </w:rPr>
      </w:pPr>
      <w:r>
        <w:rPr>
          <w:rFonts w:hint="eastAsia" w:ascii="宋体" w:hAnsi="宋体" w:cs="宋体"/>
          <w:b/>
          <w:bCs/>
          <w:szCs w:val="21"/>
        </w:rPr>
        <w:t>根据连财购〔2023〕4号、连财购〔2023〕9号文件精神，第（2）、（3）项可以提供《财务状况报告及税收、社会保障资金缴纳情况承诺函》，不再要求供应商提供相关财务状况、缴纳税收和社会保障资金等证明材料，详见磋商文件第六章 竞争性磋商响应文件格式。</w:t>
      </w:r>
    </w:p>
    <w:p w14:paraId="2DCF3D88">
      <w:pPr>
        <w:spacing w:line="360" w:lineRule="auto"/>
        <w:ind w:firstLine="420" w:firstLineChars="200"/>
        <w:jc w:val="left"/>
        <w:rPr>
          <w:rFonts w:hint="eastAsia" w:ascii="宋体" w:hAnsi="宋体" w:cs="宋体"/>
          <w:szCs w:val="21"/>
          <w:u w:val="single"/>
        </w:rPr>
      </w:pPr>
      <w:bookmarkStart w:id="21" w:name="_Toc28359014"/>
      <w:bookmarkStart w:id="22" w:name="_Toc28359091"/>
      <w:r>
        <w:rPr>
          <w:rFonts w:hint="eastAsia" w:ascii="宋体" w:hAnsi="宋体" w:cs="宋体"/>
          <w:szCs w:val="21"/>
        </w:rPr>
        <w:t>2.落实政府采购政策需满足的资格要求：</w:t>
      </w:r>
      <w:r>
        <w:rPr>
          <w:rFonts w:hint="eastAsia" w:ascii="宋体" w:hAnsi="宋体" w:cs="宋体"/>
          <w:b/>
          <w:bCs/>
          <w:szCs w:val="21"/>
        </w:rPr>
        <w:t>本项目面向中小企业，</w:t>
      </w:r>
      <w:r>
        <w:rPr>
          <w:rFonts w:hint="eastAsia" w:ascii="宋体" w:hAnsi="宋体" w:cs="宋体"/>
          <w:szCs w:val="21"/>
        </w:rPr>
        <w:t>供应商为中型企业、小型企业、微型企业的，提供《中小企业声明函》（第六章“竞争性磋商响应文件格式”）。供应商为残疾人福利性单位的，符合财库〔2017〕141号文件规定条件的残疾人福利性单位视同小型企业、微型企业，提供《残疾人福利性单位声明函》（第六章“竞争性磋商响应文件格式”）。供应商为监狱企业的，提供省级以上监狱管理局、戒毒管理局（含新疆生产建设兵团）出具的属于监狱企业的证明文件。</w:t>
      </w:r>
    </w:p>
    <w:p w14:paraId="02785184">
      <w:pPr>
        <w:spacing w:line="360" w:lineRule="auto"/>
        <w:ind w:firstLine="420" w:firstLineChars="200"/>
        <w:jc w:val="left"/>
        <w:rPr>
          <w:rFonts w:hint="eastAsia" w:ascii="宋体" w:hAnsi="宋体" w:cs="宋体"/>
          <w:szCs w:val="21"/>
        </w:rPr>
      </w:pPr>
      <w:r>
        <w:rPr>
          <w:rFonts w:hint="eastAsia" w:ascii="宋体" w:hAnsi="宋体" w:cs="宋体"/>
          <w:szCs w:val="21"/>
        </w:rPr>
        <w:t>3.本项目的特定资格要求：无</w:t>
      </w:r>
    </w:p>
    <w:p w14:paraId="3CD78D06">
      <w:pPr>
        <w:spacing w:line="360" w:lineRule="auto"/>
        <w:ind w:firstLine="420" w:firstLineChars="200"/>
        <w:jc w:val="left"/>
        <w:rPr>
          <w:rFonts w:hint="eastAsia" w:ascii="宋体" w:hAnsi="宋体" w:cs="宋体"/>
          <w:szCs w:val="21"/>
        </w:rPr>
      </w:pPr>
      <w:r>
        <w:rPr>
          <w:rFonts w:hint="eastAsia" w:ascii="宋体" w:hAnsi="宋体" w:cs="宋体"/>
          <w:szCs w:val="21"/>
        </w:rPr>
        <w:t>4.本项目的其他资格要求：</w:t>
      </w:r>
    </w:p>
    <w:p w14:paraId="15BBD1D4">
      <w:pPr>
        <w:spacing w:line="360" w:lineRule="auto"/>
        <w:ind w:firstLine="420" w:firstLineChars="200"/>
        <w:jc w:val="left"/>
        <w:rPr>
          <w:rFonts w:hint="eastAsia" w:ascii="宋体" w:hAnsi="宋体" w:cs="宋体"/>
          <w:szCs w:val="21"/>
        </w:rPr>
      </w:pPr>
      <w:r>
        <w:rPr>
          <w:rFonts w:hint="eastAsia" w:ascii="宋体" w:hAnsi="宋体" w:cs="宋体"/>
          <w:szCs w:val="21"/>
        </w:rPr>
        <w:t>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4104B2E9">
      <w:pPr>
        <w:spacing w:line="360" w:lineRule="auto"/>
        <w:ind w:firstLine="420" w:firstLineChars="200"/>
        <w:jc w:val="left"/>
        <w:rPr>
          <w:rFonts w:hint="eastAsia" w:ascii="宋体" w:hAnsi="宋体" w:cs="宋体"/>
          <w:szCs w:val="21"/>
        </w:rPr>
      </w:pPr>
      <w:r>
        <w:rPr>
          <w:rFonts w:hint="eastAsia" w:ascii="宋体" w:hAnsi="宋体" w:cs="宋体"/>
          <w:szCs w:val="21"/>
        </w:rPr>
        <w:t>5.成交后不允许分包或转包。</w:t>
      </w:r>
    </w:p>
    <w:p w14:paraId="6C5069B0">
      <w:pPr>
        <w:spacing w:line="360" w:lineRule="auto"/>
        <w:ind w:firstLine="420" w:firstLineChars="200"/>
        <w:jc w:val="left"/>
        <w:rPr>
          <w:rFonts w:hint="eastAsia" w:ascii="宋体" w:hAnsi="宋体" w:cs="宋体"/>
          <w:szCs w:val="21"/>
        </w:rPr>
      </w:pPr>
      <w:r>
        <w:rPr>
          <w:rFonts w:hint="eastAsia" w:ascii="宋体" w:hAnsi="宋体" w:cs="宋体"/>
          <w:szCs w:val="21"/>
        </w:rPr>
        <w:t>6.法律、法规规定的其他条件（如有，请按要求提供）。</w:t>
      </w:r>
    </w:p>
    <w:p w14:paraId="63F364FE">
      <w:pPr>
        <w:spacing w:line="360" w:lineRule="auto"/>
        <w:ind w:firstLine="422" w:firstLineChars="200"/>
        <w:jc w:val="left"/>
        <w:outlineLvl w:val="1"/>
        <w:rPr>
          <w:rFonts w:hint="eastAsia" w:ascii="宋体" w:hAnsi="宋体" w:cs="宋体"/>
          <w:b/>
          <w:szCs w:val="21"/>
        </w:rPr>
      </w:pPr>
      <w:bookmarkStart w:id="23" w:name="_Toc702"/>
      <w:bookmarkStart w:id="24" w:name="_Toc28004"/>
      <w:bookmarkStart w:id="25" w:name="_Toc35393800"/>
      <w:bookmarkStart w:id="26" w:name="_Toc35393631"/>
      <w:bookmarkStart w:id="27" w:name="_Toc16075"/>
      <w:r>
        <w:rPr>
          <w:rFonts w:hint="eastAsia" w:ascii="宋体" w:hAnsi="宋体" w:cs="宋体"/>
          <w:b/>
          <w:szCs w:val="21"/>
        </w:rPr>
        <w:t>三、获取采购文件</w:t>
      </w:r>
      <w:bookmarkEnd w:id="21"/>
      <w:bookmarkEnd w:id="22"/>
      <w:bookmarkEnd w:id="23"/>
      <w:bookmarkEnd w:id="24"/>
      <w:bookmarkEnd w:id="25"/>
      <w:bookmarkEnd w:id="26"/>
      <w:bookmarkEnd w:id="27"/>
    </w:p>
    <w:p w14:paraId="0B765F62">
      <w:pPr>
        <w:spacing w:line="360" w:lineRule="auto"/>
        <w:ind w:firstLine="420" w:firstLineChars="200"/>
        <w:jc w:val="left"/>
        <w:rPr>
          <w:rFonts w:hint="eastAsia" w:ascii="宋体" w:hAnsi="宋体" w:cs="宋体"/>
          <w:szCs w:val="21"/>
        </w:rPr>
      </w:pPr>
      <w:bookmarkStart w:id="28" w:name="_Toc28359015"/>
      <w:bookmarkStart w:id="29" w:name="_Toc28359092"/>
      <w:bookmarkStart w:id="30" w:name="_Toc35393801"/>
      <w:bookmarkStart w:id="31" w:name="_Toc35393632"/>
      <w:r>
        <w:rPr>
          <w:rFonts w:hint="eastAsia" w:ascii="宋体" w:hAnsi="宋体" w:cs="宋体"/>
          <w:szCs w:val="21"/>
        </w:rPr>
        <w:t>1.时间：自磋商文件公告发布之日起5个工作日。</w:t>
      </w:r>
    </w:p>
    <w:p w14:paraId="2CD5E5F3">
      <w:pPr>
        <w:spacing w:line="360" w:lineRule="auto"/>
        <w:ind w:firstLine="420" w:firstLineChars="200"/>
        <w:jc w:val="left"/>
        <w:rPr>
          <w:rFonts w:hint="eastAsia" w:ascii="宋体" w:hAnsi="宋体" w:cs="宋体"/>
          <w:szCs w:val="21"/>
        </w:rPr>
      </w:pPr>
      <w:r>
        <w:rPr>
          <w:rFonts w:hint="eastAsia" w:ascii="宋体" w:hAnsi="宋体" w:cs="宋体"/>
          <w:szCs w:val="21"/>
        </w:rPr>
        <w:t>2.地点：“江苏政府采购网”自行下载采购文件，售价：0.00元。</w:t>
      </w:r>
    </w:p>
    <w:p w14:paraId="0CC37081">
      <w:pPr>
        <w:spacing w:line="360" w:lineRule="auto"/>
        <w:ind w:firstLine="420" w:firstLineChars="200"/>
        <w:jc w:val="left"/>
        <w:rPr>
          <w:rFonts w:hint="eastAsia" w:ascii="宋体" w:hAnsi="宋体"/>
          <w:sz w:val="24"/>
          <w:szCs w:val="24"/>
        </w:rPr>
      </w:pPr>
      <w:bookmarkStart w:id="32" w:name="_Toc4672"/>
      <w:bookmarkStart w:id="33" w:name="_Toc28072"/>
      <w:bookmarkStart w:id="34" w:name="_Toc9016"/>
      <w:r>
        <w:rPr>
          <w:rFonts w:hint="eastAsia" w:ascii="宋体" w:hAnsi="宋体" w:cs="宋体"/>
          <w:szCs w:val="21"/>
        </w:rPr>
        <w:t>3.方式：</w:t>
      </w:r>
      <w:r>
        <w:rPr>
          <w:rFonts w:hint="eastAsia" w:ascii="宋体" w:hAnsi="宋体"/>
          <w:sz w:val="24"/>
          <w:szCs w:val="24"/>
        </w:rPr>
        <w:t>供应商办理江苏省政府采购交易系统CA数字证书，登录“苏采云”政府采购交易系统，自行下载。</w:t>
      </w:r>
    </w:p>
    <w:bookmarkEnd w:id="32"/>
    <w:bookmarkEnd w:id="33"/>
    <w:bookmarkEnd w:id="34"/>
    <w:p w14:paraId="5F5F04C7">
      <w:pPr>
        <w:spacing w:line="360" w:lineRule="auto"/>
        <w:ind w:firstLine="422" w:firstLineChars="200"/>
        <w:jc w:val="left"/>
        <w:outlineLvl w:val="1"/>
        <w:rPr>
          <w:rFonts w:hint="eastAsia" w:ascii="宋体" w:hAnsi="宋体" w:cs="宋体"/>
          <w:b/>
          <w:szCs w:val="21"/>
        </w:rPr>
      </w:pPr>
      <w:bookmarkStart w:id="35" w:name="_Toc30744"/>
      <w:bookmarkStart w:id="36" w:name="_Toc1697"/>
      <w:bookmarkStart w:id="37" w:name="_Toc12449"/>
      <w:r>
        <w:rPr>
          <w:rFonts w:hint="eastAsia" w:ascii="宋体" w:hAnsi="宋体" w:cs="宋体"/>
          <w:b/>
          <w:szCs w:val="21"/>
        </w:rPr>
        <w:t>四、</w:t>
      </w:r>
      <w:bookmarkEnd w:id="28"/>
      <w:bookmarkEnd w:id="29"/>
      <w:bookmarkEnd w:id="30"/>
      <w:bookmarkEnd w:id="31"/>
      <w:r>
        <w:rPr>
          <w:rFonts w:hint="eastAsia" w:ascii="宋体" w:hAnsi="宋体" w:cs="宋体"/>
          <w:b/>
          <w:szCs w:val="21"/>
        </w:rPr>
        <w:t>提交响应文件截止时间、开标时间和地点</w:t>
      </w:r>
      <w:bookmarkEnd w:id="35"/>
      <w:bookmarkEnd w:id="36"/>
      <w:bookmarkEnd w:id="37"/>
    </w:p>
    <w:p w14:paraId="5B4728E6">
      <w:pPr>
        <w:spacing w:line="360" w:lineRule="auto"/>
        <w:ind w:firstLine="420" w:firstLineChars="200"/>
        <w:jc w:val="left"/>
        <w:rPr>
          <w:rFonts w:hint="eastAsia" w:ascii="宋体" w:hAnsi="宋体" w:cs="宋体"/>
          <w:szCs w:val="21"/>
        </w:rPr>
      </w:pPr>
      <w:r>
        <w:rPr>
          <w:rFonts w:hint="eastAsia" w:ascii="宋体" w:hAnsi="宋体" w:cs="宋体"/>
          <w:szCs w:val="21"/>
        </w:rPr>
        <w:t>1.提交响应文件（上传）截止时间：2026年1</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6</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:00:00（北京时间）</w:t>
      </w:r>
    </w:p>
    <w:p w14:paraId="53F8DAE4">
      <w:pPr>
        <w:spacing w:line="360" w:lineRule="auto"/>
        <w:ind w:firstLine="420" w:firstLineChars="200"/>
        <w:jc w:val="left"/>
        <w:rPr>
          <w:rFonts w:hint="eastAsia" w:ascii="宋体" w:hAnsi="宋体" w:cs="宋体"/>
          <w:szCs w:val="21"/>
        </w:rPr>
      </w:pPr>
      <w:r>
        <w:rPr>
          <w:rFonts w:hint="eastAsia" w:ascii="宋体" w:hAnsi="宋体" w:cs="宋体"/>
          <w:szCs w:val="21"/>
        </w:rPr>
        <w:t>2.开标时间：2026年1</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6</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:00:00（北京时间）</w:t>
      </w:r>
    </w:p>
    <w:p w14:paraId="0CF246C8">
      <w:pPr>
        <w:spacing w:line="360" w:lineRule="auto"/>
        <w:ind w:firstLine="420" w:firstLineChars="200"/>
        <w:jc w:val="left"/>
        <w:rPr>
          <w:rFonts w:hint="eastAsia" w:ascii="宋体" w:hAnsi="宋体" w:cs="宋体"/>
          <w:szCs w:val="21"/>
        </w:rPr>
      </w:pPr>
      <w:r>
        <w:rPr>
          <w:rFonts w:hint="eastAsia" w:ascii="宋体" w:hAnsi="宋体" w:cs="宋体"/>
          <w:szCs w:val="21"/>
        </w:rPr>
        <w:t>3.开标地点：“苏采云”政府采购交易系统网上开标大厅</w:t>
      </w:r>
    </w:p>
    <w:p w14:paraId="459213FD">
      <w:pPr>
        <w:spacing w:line="360" w:lineRule="auto"/>
        <w:ind w:firstLine="422" w:firstLineChars="200"/>
        <w:jc w:val="left"/>
        <w:outlineLvl w:val="1"/>
        <w:rPr>
          <w:rFonts w:hint="eastAsia" w:ascii="宋体" w:hAnsi="宋体" w:cs="宋体"/>
          <w:b/>
          <w:szCs w:val="21"/>
        </w:rPr>
      </w:pPr>
      <w:bookmarkStart w:id="38" w:name="_Toc35393803"/>
      <w:bookmarkStart w:id="39" w:name="_Toc28359017"/>
      <w:bookmarkStart w:id="40" w:name="_Toc28359094"/>
      <w:bookmarkStart w:id="41" w:name="_Toc22102"/>
      <w:bookmarkStart w:id="42" w:name="_Toc7795"/>
      <w:bookmarkStart w:id="43" w:name="_Toc27776"/>
      <w:bookmarkStart w:id="44" w:name="_Toc35393634"/>
      <w:r>
        <w:rPr>
          <w:rFonts w:hint="eastAsia" w:ascii="宋体" w:hAnsi="宋体" w:cs="宋体"/>
          <w:b/>
          <w:szCs w:val="21"/>
        </w:rPr>
        <w:t>五、公告期限</w:t>
      </w:r>
      <w:bookmarkEnd w:id="38"/>
      <w:bookmarkEnd w:id="39"/>
      <w:bookmarkEnd w:id="40"/>
      <w:bookmarkEnd w:id="41"/>
      <w:bookmarkEnd w:id="42"/>
      <w:bookmarkEnd w:id="43"/>
      <w:bookmarkEnd w:id="44"/>
    </w:p>
    <w:p w14:paraId="1015A6A2">
      <w:pPr>
        <w:spacing w:line="360" w:lineRule="auto"/>
        <w:ind w:firstLine="420" w:firstLineChars="200"/>
        <w:jc w:val="left"/>
        <w:rPr>
          <w:rFonts w:hint="eastAsia" w:ascii="宋体" w:hAnsi="宋体" w:cs="宋体"/>
          <w:szCs w:val="21"/>
        </w:rPr>
      </w:pPr>
      <w:r>
        <w:rPr>
          <w:rFonts w:hint="eastAsia" w:ascii="宋体" w:hAnsi="宋体" w:cs="宋体"/>
          <w:szCs w:val="21"/>
        </w:rPr>
        <w:t>自本公告发布之日起3个工作日。</w:t>
      </w:r>
      <w:bookmarkStart w:id="45" w:name="_Toc35393635"/>
      <w:bookmarkStart w:id="46" w:name="_Toc35393804"/>
    </w:p>
    <w:p w14:paraId="29A64089">
      <w:pPr>
        <w:spacing w:line="360" w:lineRule="auto"/>
        <w:ind w:firstLine="422" w:firstLineChars="200"/>
        <w:jc w:val="left"/>
        <w:outlineLvl w:val="1"/>
        <w:rPr>
          <w:rFonts w:hint="eastAsia" w:ascii="宋体" w:hAnsi="宋体" w:cs="宋体"/>
          <w:b/>
          <w:szCs w:val="21"/>
        </w:rPr>
      </w:pPr>
      <w:bookmarkStart w:id="47" w:name="_Toc29838"/>
      <w:r>
        <w:rPr>
          <w:rFonts w:hint="eastAsia" w:ascii="宋体" w:hAnsi="宋体" w:cs="宋体"/>
          <w:b/>
          <w:szCs w:val="21"/>
        </w:rPr>
        <w:t>六、其他补充事宜</w:t>
      </w:r>
      <w:bookmarkEnd w:id="45"/>
      <w:bookmarkEnd w:id="46"/>
      <w:bookmarkEnd w:id="47"/>
      <w:bookmarkStart w:id="48" w:name="_Toc28359095"/>
      <w:bookmarkStart w:id="49" w:name="_Toc28359018"/>
      <w:bookmarkStart w:id="50" w:name="_Toc35393805"/>
      <w:bookmarkStart w:id="51" w:name="_Toc35393636"/>
    </w:p>
    <w:p w14:paraId="6A069DA3">
      <w:pPr>
        <w:spacing w:line="360" w:lineRule="auto"/>
        <w:ind w:firstLine="420" w:firstLineChars="200"/>
        <w:jc w:val="left"/>
        <w:rPr>
          <w:rFonts w:hint="eastAsia" w:ascii="宋体" w:hAnsi="宋体" w:cs="宋体"/>
          <w:szCs w:val="21"/>
        </w:rPr>
      </w:pPr>
      <w:r>
        <w:rPr>
          <w:rFonts w:hint="eastAsia" w:ascii="宋体" w:hAnsi="宋体" w:cs="宋体"/>
          <w:szCs w:val="21"/>
        </w:rPr>
        <w:t>1.本次竞争性磋商不收取磋商保证金。</w:t>
      </w:r>
    </w:p>
    <w:p w14:paraId="1ADA5633">
      <w:pPr>
        <w:spacing w:line="360" w:lineRule="auto"/>
        <w:ind w:firstLine="420" w:firstLineChars="200"/>
        <w:jc w:val="left"/>
        <w:rPr>
          <w:rFonts w:hint="eastAsia" w:ascii="宋体" w:hAnsi="宋体" w:cs="宋体"/>
          <w:szCs w:val="21"/>
        </w:rPr>
      </w:pPr>
      <w:r>
        <w:rPr>
          <w:rFonts w:hint="eastAsia" w:ascii="宋体" w:hAnsi="宋体" w:cs="宋体"/>
          <w:szCs w:val="21"/>
        </w:rPr>
        <w:t>2.本磋商文件中标注★的款项为实质性要求和条件，供应商必须逐条做出满足要求和条件的响应，否则将按无效响应处理。</w:t>
      </w:r>
    </w:p>
    <w:p w14:paraId="4529B027">
      <w:pPr>
        <w:spacing w:line="360" w:lineRule="auto"/>
        <w:ind w:firstLine="420" w:firstLineChars="200"/>
        <w:jc w:val="left"/>
        <w:rPr>
          <w:rFonts w:hint="eastAsia" w:ascii="宋体" w:hAnsi="宋体" w:cs="宋体"/>
          <w:szCs w:val="21"/>
        </w:rPr>
      </w:pPr>
      <w:bookmarkStart w:id="52" w:name="_Toc13404"/>
      <w:bookmarkStart w:id="53" w:name="_Toc11147"/>
      <w:r>
        <w:rPr>
          <w:rFonts w:hint="eastAsia" w:ascii="宋体" w:hAnsi="宋体" w:cs="宋体"/>
          <w:szCs w:val="21"/>
        </w:rPr>
        <w:t>3.无论出于何种原因，采购人在采购活动开始前可对采购文件进行修改、补充或变更，其内容作为采购文件的重要组成部分，请各供应商关注江苏政府采购网平台网站。若因供应商自身原因未及时关注本项目有关修改、补充或变更信息，导致投标文件编制或提交失误，由此造成的一切损失由供应商自行承担。</w:t>
      </w:r>
      <w:bookmarkEnd w:id="52"/>
      <w:bookmarkEnd w:id="53"/>
      <w:r>
        <w:rPr>
          <w:rFonts w:hint="eastAsia" w:ascii="宋体" w:hAnsi="宋体" w:cs="宋体"/>
          <w:szCs w:val="21"/>
        </w:rPr>
        <w:t xml:space="preserve"> </w:t>
      </w:r>
    </w:p>
    <w:p w14:paraId="0D0CA419">
      <w:pPr>
        <w:spacing w:line="360" w:lineRule="auto"/>
        <w:ind w:firstLine="420" w:firstLineChars="200"/>
        <w:jc w:val="left"/>
        <w:rPr>
          <w:rFonts w:hint="eastAsia" w:ascii="宋体" w:hAnsi="宋体" w:cs="宋体"/>
          <w:szCs w:val="21"/>
        </w:rPr>
      </w:pPr>
      <w:r>
        <w:rPr>
          <w:rFonts w:hint="eastAsia" w:ascii="宋体" w:hAnsi="宋体" w:cs="宋体"/>
          <w:szCs w:val="21"/>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FDA96D3">
      <w:pPr>
        <w:spacing w:line="360" w:lineRule="auto"/>
        <w:ind w:firstLine="420" w:firstLineChars="200"/>
        <w:jc w:val="left"/>
        <w:rPr>
          <w:rFonts w:hint="eastAsia" w:ascii="宋体" w:hAnsi="宋体" w:cs="宋体"/>
          <w:szCs w:val="21"/>
        </w:rPr>
      </w:pPr>
      <w:r>
        <w:rPr>
          <w:rFonts w:hint="eastAsia" w:ascii="宋体" w:hAnsi="宋体" w:cs="宋体"/>
          <w:szCs w:val="21"/>
        </w:rPr>
        <w:t>http://www.ccgp-jiangsu.gov.cn/jiangsu/zlxz/ee/ee3a4bc5a3454aa2b0d9312230633ce9.html</w:t>
      </w:r>
    </w:p>
    <w:p w14:paraId="0ED3BC17">
      <w:pPr>
        <w:spacing w:line="360" w:lineRule="auto"/>
        <w:ind w:firstLine="420" w:firstLineChars="200"/>
        <w:jc w:val="left"/>
        <w:rPr>
          <w:rFonts w:hint="eastAsia" w:ascii="宋体" w:hAnsi="宋体" w:cs="宋体"/>
          <w:szCs w:val="21"/>
        </w:rPr>
      </w:pPr>
      <w:r>
        <w:rPr>
          <w:rFonts w:hint="eastAsia" w:ascii="宋体" w:hAnsi="宋体" w:cs="宋体"/>
          <w:szCs w:val="21"/>
        </w:rPr>
        <w:t>请供应商按照《操作手册》要求获取采购文件，制作、提交（上传）电子响应文件，本项目评审过程中有二次（最后）报价环节，参加开启，澄清、说明或者补正，参加磋商和提交最后报价。评审过程中不再另行通知。如供应商因自身原因错过相应环节，未按要求操作原因导致电子响应文件被拒绝、造成无效响应的，自行承担一切损失。</w:t>
      </w:r>
    </w:p>
    <w:p w14:paraId="6B57A8E6">
      <w:pPr>
        <w:spacing w:line="360" w:lineRule="auto"/>
        <w:ind w:firstLine="422" w:firstLineChars="200"/>
        <w:jc w:val="left"/>
        <w:outlineLvl w:val="1"/>
        <w:rPr>
          <w:rFonts w:hint="eastAsia" w:ascii="宋体" w:hAnsi="宋体" w:cs="宋体"/>
          <w:b/>
          <w:szCs w:val="21"/>
        </w:rPr>
      </w:pPr>
      <w:bookmarkStart w:id="54" w:name="_Toc25185"/>
      <w:bookmarkStart w:id="55" w:name="_Toc13056"/>
      <w:bookmarkStart w:id="56" w:name="_Toc25652"/>
      <w:r>
        <w:rPr>
          <w:rFonts w:hint="eastAsia" w:ascii="宋体" w:hAnsi="宋体" w:cs="宋体"/>
          <w:b/>
          <w:szCs w:val="21"/>
        </w:rPr>
        <w:t>七、凡对本次采购提出询问，请按以下方式联系</w:t>
      </w:r>
      <w:bookmarkEnd w:id="48"/>
      <w:bookmarkEnd w:id="49"/>
      <w:bookmarkEnd w:id="50"/>
      <w:bookmarkEnd w:id="51"/>
      <w:bookmarkEnd w:id="54"/>
      <w:bookmarkEnd w:id="55"/>
      <w:bookmarkEnd w:id="56"/>
    </w:p>
    <w:p w14:paraId="1CF76C81">
      <w:pPr>
        <w:spacing w:line="360" w:lineRule="auto"/>
        <w:ind w:firstLine="420" w:firstLineChars="200"/>
        <w:jc w:val="left"/>
        <w:rPr>
          <w:rFonts w:hint="eastAsia" w:ascii="宋体" w:hAnsi="宋体" w:cs="宋体"/>
          <w:szCs w:val="21"/>
        </w:rPr>
      </w:pPr>
      <w:bookmarkStart w:id="57" w:name="_Toc35393806"/>
      <w:bookmarkStart w:id="58" w:name="_Toc28359096"/>
      <w:bookmarkStart w:id="59" w:name="_Toc28359019"/>
      <w:bookmarkStart w:id="60" w:name="_Toc35393637"/>
      <w:r>
        <w:rPr>
          <w:rFonts w:hint="eastAsia" w:ascii="宋体" w:hAnsi="宋体" w:cs="宋体"/>
          <w:szCs w:val="21"/>
        </w:rPr>
        <w:t>1.采购人信息</w:t>
      </w:r>
      <w:bookmarkEnd w:id="57"/>
      <w:bookmarkEnd w:id="58"/>
      <w:bookmarkEnd w:id="59"/>
      <w:bookmarkEnd w:id="60"/>
    </w:p>
    <w:p w14:paraId="6EB51BED">
      <w:pPr>
        <w:spacing w:line="360" w:lineRule="auto"/>
        <w:ind w:firstLine="420" w:firstLineChars="200"/>
        <w:jc w:val="left"/>
        <w:rPr>
          <w:rFonts w:hint="eastAsia" w:ascii="宋体" w:hAnsi="宋体" w:cs="宋体"/>
          <w:szCs w:val="21"/>
        </w:rPr>
      </w:pPr>
      <w:bookmarkStart w:id="61" w:name="_Toc35393638"/>
      <w:bookmarkStart w:id="62" w:name="_Toc28359097"/>
      <w:bookmarkStart w:id="63" w:name="_Toc28359020"/>
      <w:bookmarkStart w:id="64" w:name="_Toc35393807"/>
      <w:r>
        <w:rPr>
          <w:rFonts w:hint="eastAsia" w:ascii="宋体" w:hAnsi="宋体" w:cs="宋体"/>
          <w:szCs w:val="21"/>
        </w:rPr>
        <w:t>名称：灌南县综合行政执法局</w:t>
      </w:r>
    </w:p>
    <w:p w14:paraId="34FD4105">
      <w:pPr>
        <w:spacing w:line="360" w:lineRule="auto"/>
        <w:ind w:firstLine="420" w:firstLineChars="200"/>
        <w:jc w:val="left"/>
        <w:rPr>
          <w:rFonts w:hint="eastAsia" w:ascii="宋体" w:hAnsi="宋体" w:cs="宋体"/>
          <w:szCs w:val="21"/>
        </w:rPr>
      </w:pPr>
      <w:r>
        <w:rPr>
          <w:rFonts w:hint="eastAsia" w:ascii="宋体" w:hAnsi="宋体" w:cs="宋体"/>
          <w:szCs w:val="21"/>
        </w:rPr>
        <w:t>地址：灌南县人民东路165号</w:t>
      </w:r>
    </w:p>
    <w:p w14:paraId="72B42246">
      <w:pPr>
        <w:spacing w:line="360" w:lineRule="auto"/>
        <w:ind w:firstLine="420" w:firstLineChars="200"/>
        <w:jc w:val="left"/>
        <w:rPr>
          <w:rFonts w:hint="eastAsia" w:ascii="宋体" w:hAnsi="宋体" w:cs="宋体"/>
          <w:szCs w:val="21"/>
        </w:rPr>
      </w:pPr>
      <w:r>
        <w:rPr>
          <w:rFonts w:hint="eastAsia" w:ascii="宋体" w:hAnsi="宋体" w:cs="宋体"/>
          <w:szCs w:val="21"/>
        </w:rPr>
        <w:t>联系人：翟科长</w:t>
      </w:r>
    </w:p>
    <w:p w14:paraId="0393BFE2">
      <w:pPr>
        <w:spacing w:line="360" w:lineRule="auto"/>
        <w:ind w:firstLine="420" w:firstLineChars="200"/>
        <w:jc w:val="left"/>
        <w:rPr>
          <w:rFonts w:hint="eastAsia" w:ascii="宋体" w:hAnsi="宋体" w:cs="宋体"/>
          <w:szCs w:val="21"/>
        </w:rPr>
      </w:pPr>
      <w:r>
        <w:rPr>
          <w:rFonts w:hint="eastAsia" w:ascii="宋体" w:hAnsi="宋体" w:cs="宋体"/>
          <w:szCs w:val="21"/>
        </w:rPr>
        <w:t>联系方式：13675256439</w:t>
      </w:r>
    </w:p>
    <w:p w14:paraId="432B14A8">
      <w:pPr>
        <w:spacing w:line="360" w:lineRule="auto"/>
        <w:ind w:firstLine="420" w:firstLineChars="200"/>
        <w:jc w:val="left"/>
        <w:rPr>
          <w:rFonts w:hint="eastAsia" w:ascii="宋体" w:hAnsi="宋体" w:cs="宋体"/>
          <w:szCs w:val="21"/>
        </w:rPr>
      </w:pPr>
      <w:r>
        <w:rPr>
          <w:rFonts w:hint="eastAsia" w:ascii="宋体" w:hAnsi="宋体" w:cs="宋体"/>
          <w:szCs w:val="21"/>
        </w:rPr>
        <w:t>2.采购代理机构信息</w:t>
      </w:r>
      <w:bookmarkEnd w:id="61"/>
      <w:bookmarkEnd w:id="62"/>
      <w:bookmarkEnd w:id="63"/>
      <w:bookmarkEnd w:id="64"/>
    </w:p>
    <w:p w14:paraId="66C43763">
      <w:pPr>
        <w:spacing w:line="360" w:lineRule="auto"/>
        <w:ind w:firstLine="420" w:firstLineChars="200"/>
        <w:jc w:val="left"/>
        <w:rPr>
          <w:rFonts w:hint="eastAsia" w:ascii="宋体" w:hAnsi="宋体" w:cs="宋体"/>
          <w:szCs w:val="21"/>
        </w:rPr>
      </w:pPr>
      <w:r>
        <w:rPr>
          <w:rFonts w:hint="eastAsia" w:ascii="宋体" w:hAnsi="宋体" w:cs="宋体"/>
          <w:szCs w:val="21"/>
        </w:rPr>
        <w:t>名称：江苏润博建设项目管理有限公司</w:t>
      </w:r>
    </w:p>
    <w:p w14:paraId="298272A8">
      <w:pPr>
        <w:spacing w:line="360" w:lineRule="auto"/>
        <w:ind w:firstLine="420" w:firstLineChars="200"/>
        <w:jc w:val="left"/>
        <w:rPr>
          <w:rFonts w:hint="eastAsia" w:ascii="宋体" w:hAnsi="宋体" w:cs="宋体"/>
          <w:szCs w:val="21"/>
        </w:rPr>
      </w:pPr>
      <w:r>
        <w:rPr>
          <w:rFonts w:hint="eastAsia" w:ascii="宋体" w:hAnsi="宋体" w:cs="宋体"/>
          <w:szCs w:val="21"/>
        </w:rPr>
        <w:t>地址：连云港市海州区海连东路40#金茂花园一号楼八楼办公用房</w:t>
      </w:r>
    </w:p>
    <w:p w14:paraId="0C756D81">
      <w:pPr>
        <w:spacing w:line="360" w:lineRule="auto"/>
        <w:ind w:firstLine="420" w:firstLineChars="200"/>
        <w:jc w:val="left"/>
        <w:rPr>
          <w:rFonts w:hint="eastAsia" w:ascii="宋体" w:hAnsi="宋体" w:cs="宋体"/>
          <w:szCs w:val="21"/>
        </w:rPr>
      </w:pPr>
      <w:r>
        <w:rPr>
          <w:rFonts w:hint="eastAsia" w:ascii="宋体" w:hAnsi="宋体" w:cs="宋体"/>
          <w:szCs w:val="21"/>
        </w:rPr>
        <w:t>联系人：李工</w:t>
      </w:r>
    </w:p>
    <w:p w14:paraId="0FF69282">
      <w:pPr>
        <w:spacing w:line="360" w:lineRule="auto"/>
        <w:ind w:firstLine="420" w:firstLineChars="200"/>
        <w:jc w:val="left"/>
        <w:rPr>
          <w:rFonts w:hint="eastAsia" w:ascii="宋体" w:hAnsi="宋体" w:cs="宋体"/>
          <w:szCs w:val="21"/>
        </w:rPr>
      </w:pPr>
      <w:r>
        <w:rPr>
          <w:rFonts w:hint="eastAsia" w:ascii="宋体" w:hAnsi="宋体" w:cs="宋体"/>
          <w:szCs w:val="21"/>
        </w:rPr>
        <w:t>联系方式：13675243679</w:t>
      </w:r>
    </w:p>
    <w:p w14:paraId="5CFC655B">
      <w:pPr>
        <w:spacing w:before="120" w:after="120"/>
        <w:jc w:val="center"/>
        <w:outlineLvl w:val="1"/>
        <w:rPr>
          <w:rFonts w:hint="eastAsia" w:ascii="宋体" w:hAnsi="宋体" w:cs="宋体"/>
          <w:sz w:val="44"/>
          <w:szCs w:val="44"/>
        </w:rPr>
      </w:pPr>
      <w:r>
        <w:rPr>
          <w:rFonts w:hint="eastAsia" w:ascii="宋体" w:hAnsi="宋体" w:cs="宋体"/>
          <w:sz w:val="24"/>
          <w:szCs w:val="28"/>
        </w:rPr>
        <w:br w:type="page" w:clear="all"/>
      </w:r>
      <w:bookmarkEnd w:id="4"/>
      <w:bookmarkStart w:id="65" w:name="_Toc465856612"/>
      <w:bookmarkStart w:id="66" w:name="_Toc8014"/>
      <w:bookmarkStart w:id="67" w:name="_Toc513029209"/>
      <w:bookmarkStart w:id="68" w:name="_Toc61149549"/>
      <w:bookmarkStart w:id="69" w:name="_Toc14577347"/>
      <w:r>
        <w:rPr>
          <w:rFonts w:hint="eastAsia" w:ascii="宋体" w:hAnsi="宋体" w:cs="宋体"/>
          <w:b/>
          <w:sz w:val="44"/>
          <w:szCs w:val="44"/>
        </w:rPr>
        <w:t>第二章 磋商须知</w:t>
      </w:r>
      <w:bookmarkEnd w:id="65"/>
      <w:bookmarkEnd w:id="66"/>
    </w:p>
    <w:p w14:paraId="59C92B59">
      <w:pPr>
        <w:spacing w:after="143"/>
        <w:ind w:firstLine="2520" w:firstLineChars="1200"/>
        <w:rPr>
          <w:rFonts w:hint="eastAsia" w:ascii="宋体" w:hAnsi="宋体" w:cs="宋体"/>
          <w:b/>
          <w:bCs/>
          <w:szCs w:val="21"/>
        </w:rPr>
      </w:pPr>
      <w:r>
        <w:rPr>
          <w:rFonts w:hint="eastAsia" w:ascii="宋体" w:hAnsi="宋体" w:cs="宋体"/>
          <w:bCs/>
          <w:szCs w:val="21"/>
        </w:rPr>
        <w:t>（参加竞争性磋商的供应商以下简称“供应商”）</w:t>
      </w:r>
    </w:p>
    <w:bookmarkEnd w:id="67"/>
    <w:bookmarkEnd w:id="68"/>
    <w:bookmarkEnd w:id="69"/>
    <w:p w14:paraId="1590E6A0">
      <w:pPr>
        <w:spacing w:line="360" w:lineRule="auto"/>
        <w:ind w:firstLine="420" w:firstLineChars="200"/>
        <w:jc w:val="left"/>
        <w:outlineLvl w:val="1"/>
        <w:rPr>
          <w:rFonts w:hint="eastAsia" w:ascii="宋体" w:hAnsi="宋体" w:cs="宋体"/>
          <w:bCs/>
          <w:szCs w:val="21"/>
        </w:rPr>
      </w:pPr>
      <w:bookmarkStart w:id="70" w:name="_Toc19484"/>
      <w:bookmarkStart w:id="71" w:name="_Toc28690"/>
      <w:bookmarkStart w:id="72" w:name="_Toc9406"/>
      <w:r>
        <w:rPr>
          <w:rFonts w:hint="eastAsia" w:ascii="宋体" w:hAnsi="宋体" w:cs="宋体"/>
          <w:bCs/>
          <w:szCs w:val="21"/>
        </w:rPr>
        <w:t>一、总则</w:t>
      </w:r>
      <w:bookmarkEnd w:id="70"/>
      <w:bookmarkEnd w:id="71"/>
      <w:bookmarkEnd w:id="72"/>
    </w:p>
    <w:p w14:paraId="72EC542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1.适用范围</w:t>
      </w:r>
    </w:p>
    <w:p w14:paraId="6F662A3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1.1 本竞争性磋商文件（以下简称“磋商文件”）仅适用于此项目。</w:t>
      </w:r>
    </w:p>
    <w:p w14:paraId="3D6DB71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本项目采购采用电子化方式，磋商文件、响应文件、开启、评审和成交结果发布全程电子化。</w:t>
      </w:r>
    </w:p>
    <w:p w14:paraId="351537E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2.项目采购方式</w:t>
      </w:r>
    </w:p>
    <w:p w14:paraId="0A0F921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本次采购采取竞争性磋商的方式。</w:t>
      </w:r>
    </w:p>
    <w:p w14:paraId="1264FE3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3.合格的供应商</w:t>
      </w:r>
    </w:p>
    <w:p w14:paraId="47782BE3">
      <w:pPr>
        <w:spacing w:line="240" w:lineRule="atLeast"/>
        <w:ind w:firstLine="480"/>
        <w:rPr>
          <w:rFonts w:hint="eastAsia" w:ascii="宋体" w:hAnsi="宋体" w:cs="宋体"/>
          <w:szCs w:val="21"/>
        </w:rPr>
      </w:pPr>
      <w:r>
        <w:rPr>
          <w:rFonts w:hint="eastAsia" w:ascii="宋体" w:hAnsi="宋体" w:cs="宋体"/>
          <w:szCs w:val="21"/>
        </w:rPr>
        <w:t>3.1 满足本磋商文件“竞争性磋商采购邀请”中“申请人的资格要求”的规定，否则该供应商磋商无效。</w:t>
      </w:r>
    </w:p>
    <w:p w14:paraId="683882F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满足本磋商文件实质性要求和条件的规定。</w:t>
      </w:r>
    </w:p>
    <w:p w14:paraId="523593D3">
      <w:pPr>
        <w:spacing w:line="360" w:lineRule="auto"/>
        <w:ind w:firstLine="420" w:firstLineChars="200"/>
        <w:jc w:val="left"/>
        <w:rPr>
          <w:rFonts w:hint="eastAsia" w:ascii="宋体" w:hAnsi="宋体" w:cs="宋体"/>
          <w:szCs w:val="21"/>
        </w:rPr>
      </w:pPr>
      <w:r>
        <w:rPr>
          <w:rFonts w:hint="eastAsia" w:ascii="宋体" w:hAnsi="宋体" w:cs="宋体"/>
          <w:szCs w:val="21"/>
        </w:rPr>
        <w:t>3.3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B06612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4.参加磋商费用</w:t>
      </w:r>
    </w:p>
    <w:p w14:paraId="1ECAF4C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4.1 供应商应自行承担所有与参加磋商有关的费用。不论最终的成交结果如何，江苏润博建设项目管理有限公司（以下简称采购代理机构）在任何情况下均无义务和责任承担这些费用。</w:t>
      </w:r>
    </w:p>
    <w:p w14:paraId="6B1E6D88">
      <w:pPr>
        <w:spacing w:line="360" w:lineRule="auto"/>
        <w:ind w:firstLine="420" w:firstLineChars="200"/>
        <w:jc w:val="left"/>
        <w:rPr>
          <w:rFonts w:hint="eastAsia" w:ascii="宋体" w:hAnsi="宋体" w:cs="宋体"/>
          <w:szCs w:val="21"/>
        </w:rPr>
      </w:pPr>
      <w:r>
        <w:rPr>
          <w:rFonts w:hint="eastAsia" w:ascii="宋体" w:hAnsi="宋体" w:cs="宋体"/>
          <w:szCs w:val="21"/>
        </w:rPr>
        <w:t>4.2 本次磋商供应商报价时应考虑以下费用：</w:t>
      </w:r>
    </w:p>
    <w:p w14:paraId="4D0D1B2E">
      <w:pPr>
        <w:spacing w:line="360" w:lineRule="auto"/>
        <w:ind w:firstLine="420" w:firstLineChars="200"/>
        <w:rPr>
          <w:rFonts w:hint="eastAsia" w:ascii="宋体" w:hAnsi="宋体" w:cs="宋体"/>
          <w:szCs w:val="21"/>
        </w:rPr>
      </w:pPr>
      <w:r>
        <w:rPr>
          <w:rFonts w:hint="eastAsia" w:ascii="宋体" w:hAnsi="宋体" w:cs="宋体"/>
          <w:szCs w:val="21"/>
        </w:rPr>
        <w:t>（1）本项目预算包含代理费用，采购代理费按（苏招协〔2022〕2号文服务类收费标准</w:t>
      </w:r>
      <w:r>
        <w:rPr>
          <w:rFonts w:hint="eastAsia" w:ascii="宋体" w:hAnsi="宋体" w:cs="宋体"/>
          <w:szCs w:val="21"/>
          <w:lang w:val="en-US" w:eastAsia="zh-CN"/>
        </w:rPr>
        <w:t>下浮</w:t>
      </w:r>
      <w:r>
        <w:rPr>
          <w:rFonts w:hint="eastAsia" w:ascii="宋体" w:hAnsi="宋体" w:cs="宋体"/>
          <w:szCs w:val="21"/>
        </w:rPr>
        <w:t>计取）由成交供应商支付</w:t>
      </w:r>
      <w:r>
        <w:rPr>
          <w:rFonts w:hint="eastAsia" w:ascii="宋体" w:hAnsi="宋体" w:cs="宋体"/>
          <w:szCs w:val="21"/>
          <w:lang w:eastAsia="zh-CN"/>
        </w:rPr>
        <w:t>（</w:t>
      </w:r>
      <w:r>
        <w:rPr>
          <w:rFonts w:hint="eastAsia" w:ascii="宋体" w:hAnsi="宋体" w:cs="宋体"/>
          <w:szCs w:val="21"/>
          <w:lang w:val="en-US" w:eastAsia="zh-CN"/>
        </w:rPr>
        <w:t>本项目共计7000元</w:t>
      </w:r>
      <w:r>
        <w:rPr>
          <w:rFonts w:hint="eastAsia" w:ascii="宋体" w:hAnsi="宋体" w:cs="宋体"/>
          <w:szCs w:val="21"/>
          <w:lang w:eastAsia="zh-CN"/>
        </w:rPr>
        <w:t>）</w:t>
      </w:r>
      <w:r>
        <w:rPr>
          <w:rFonts w:hint="eastAsia" w:ascii="宋体" w:hAnsi="宋体" w:cs="宋体"/>
          <w:szCs w:val="21"/>
        </w:rPr>
        <w:t>。供应商综合考虑在投标报价中，不得单列。</w:t>
      </w:r>
    </w:p>
    <w:p w14:paraId="753FCD7F">
      <w:pPr>
        <w:spacing w:line="360" w:lineRule="auto"/>
        <w:ind w:firstLine="420" w:firstLineChars="200"/>
        <w:jc w:val="left"/>
        <w:rPr>
          <w:rFonts w:hint="eastAsia" w:ascii="宋体" w:hAnsi="宋体" w:cs="宋体"/>
          <w:szCs w:val="21"/>
        </w:rPr>
      </w:pPr>
      <w:r>
        <w:rPr>
          <w:rFonts w:hint="eastAsia" w:ascii="宋体" w:hAnsi="宋体" w:cs="宋体"/>
          <w:szCs w:val="21"/>
        </w:rPr>
        <w:t>（2）涉及本采购项目的其他费用，按相关规定执行。</w:t>
      </w:r>
    </w:p>
    <w:p w14:paraId="2BBB7E0B">
      <w:pPr>
        <w:tabs>
          <w:tab w:val="left" w:pos="900"/>
        </w:tabs>
        <w:spacing w:line="360" w:lineRule="auto"/>
        <w:ind w:firstLine="420" w:firstLineChars="200"/>
        <w:jc w:val="left"/>
        <w:rPr>
          <w:rFonts w:hint="eastAsia" w:ascii="宋体" w:hAnsi="宋体" w:cs="宋体"/>
          <w:b/>
          <w:bCs/>
          <w:szCs w:val="21"/>
        </w:rPr>
      </w:pPr>
      <w:r>
        <w:rPr>
          <w:rFonts w:hint="eastAsia" w:ascii="宋体" w:hAnsi="宋体" w:cs="宋体"/>
          <w:szCs w:val="21"/>
        </w:rPr>
        <w:t>以上费用最终由成交供应商在领取成交通知书时一次性支付，供应商须将此部分费用综合考虑在报价中，不得单列。</w:t>
      </w:r>
    </w:p>
    <w:p w14:paraId="52DF3E0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5.磋商文件的约束力</w:t>
      </w:r>
    </w:p>
    <w:p w14:paraId="595C01D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供应商一旦依法获取了本磋商文件并决定参加磋商采购，即被认为接受了本磋商文件的规定和约束，并且视为已经知道或应当知道自身权益是否受到了损害。</w:t>
      </w:r>
    </w:p>
    <w:p w14:paraId="39C05B4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w:t>
      </w:r>
      <w:bookmarkStart w:id="73" w:name="_Toc462564070"/>
      <w:bookmarkStart w:id="74" w:name="_Toc16938527"/>
      <w:bookmarkStart w:id="75" w:name="_Toc20823283"/>
      <w:bookmarkStart w:id="76" w:name="_Toc513029211"/>
      <w:r>
        <w:rPr>
          <w:rFonts w:hint="eastAsia" w:ascii="宋体" w:hAnsi="宋体" w:cs="宋体"/>
          <w:szCs w:val="21"/>
        </w:rPr>
        <w:t>.磋商文件的</w:t>
      </w:r>
      <w:bookmarkEnd w:id="73"/>
      <w:bookmarkEnd w:id="74"/>
      <w:bookmarkEnd w:id="75"/>
      <w:bookmarkEnd w:id="76"/>
      <w:r>
        <w:rPr>
          <w:rFonts w:hint="eastAsia" w:ascii="宋体" w:hAnsi="宋体" w:cs="宋体"/>
          <w:szCs w:val="21"/>
        </w:rPr>
        <w:t>修改</w:t>
      </w:r>
    </w:p>
    <w:p w14:paraId="237A33B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 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以发布公告形式通知所有获取磋商文件的供应商。不足五日的，采购代理机构应当顺延提交首次响应文件截止时间。</w:t>
      </w:r>
    </w:p>
    <w:p w14:paraId="221DEE0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6.2 本采购代理机构或采购人可以视采购项目的具体情况，组织供应商进行现场考察或召开磋商前答疑会，但不单独或分别组织只有一个供应商参加的现场考察或答疑会。</w:t>
      </w:r>
    </w:p>
    <w:p w14:paraId="714195D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7.磋商文件的解释</w:t>
      </w:r>
    </w:p>
    <w:p w14:paraId="7C1EAA14">
      <w:pPr>
        <w:spacing w:line="360" w:lineRule="auto"/>
        <w:ind w:firstLine="420" w:firstLineChars="200"/>
        <w:jc w:val="left"/>
        <w:rPr>
          <w:rFonts w:hint="eastAsia" w:ascii="宋体" w:hAnsi="宋体" w:cs="宋体"/>
          <w:bCs/>
          <w:szCs w:val="21"/>
        </w:rPr>
      </w:pPr>
      <w:r>
        <w:rPr>
          <w:rFonts w:hint="eastAsia" w:ascii="宋体" w:hAnsi="宋体" w:cs="宋体"/>
          <w:bCs/>
          <w:szCs w:val="21"/>
        </w:rPr>
        <w:t>7.1 本磋商文件由采购人负责解释。</w:t>
      </w:r>
    </w:p>
    <w:p w14:paraId="3F6FB208">
      <w:pPr>
        <w:spacing w:line="360" w:lineRule="auto"/>
        <w:ind w:firstLine="420" w:firstLineChars="200"/>
        <w:jc w:val="left"/>
        <w:outlineLvl w:val="1"/>
        <w:rPr>
          <w:rFonts w:hint="eastAsia" w:ascii="宋体" w:hAnsi="宋体" w:cs="宋体"/>
          <w:bCs/>
          <w:szCs w:val="21"/>
        </w:rPr>
      </w:pPr>
      <w:bookmarkStart w:id="77" w:name="_Hlt26668969"/>
      <w:bookmarkEnd w:id="77"/>
      <w:bookmarkStart w:id="78" w:name="_Hlt26670354"/>
      <w:bookmarkEnd w:id="78"/>
      <w:bookmarkStart w:id="79" w:name="_Hlt26954830"/>
      <w:bookmarkEnd w:id="79"/>
      <w:bookmarkStart w:id="80" w:name="_Hlt26954828"/>
      <w:bookmarkEnd w:id="80"/>
      <w:bookmarkStart w:id="81" w:name="_Hlt26670345"/>
      <w:bookmarkEnd w:id="81"/>
      <w:bookmarkStart w:id="82" w:name="_Hlt26670348"/>
      <w:bookmarkEnd w:id="82"/>
      <w:bookmarkStart w:id="83" w:name="_Hlt26954832"/>
      <w:bookmarkEnd w:id="83"/>
      <w:bookmarkStart w:id="84" w:name="_Toc513029213"/>
      <w:bookmarkStart w:id="85" w:name="_Toc462564072"/>
      <w:bookmarkStart w:id="86" w:name="_Toc341"/>
      <w:bookmarkStart w:id="87" w:name="_Toc30183"/>
      <w:bookmarkStart w:id="88" w:name="_Toc14577351"/>
      <w:bookmarkStart w:id="89" w:name="_Toc22274"/>
      <w:bookmarkStart w:id="90" w:name="_Toc61149553"/>
      <w:r>
        <w:rPr>
          <w:rFonts w:hint="eastAsia" w:ascii="宋体" w:hAnsi="宋体" w:cs="宋体"/>
          <w:bCs/>
          <w:szCs w:val="21"/>
        </w:rPr>
        <w:t>二、磋商响应文件的编制</w:t>
      </w:r>
      <w:bookmarkEnd w:id="84"/>
      <w:bookmarkEnd w:id="85"/>
      <w:bookmarkEnd w:id="86"/>
      <w:bookmarkEnd w:id="87"/>
      <w:bookmarkEnd w:id="88"/>
      <w:bookmarkEnd w:id="89"/>
      <w:bookmarkEnd w:id="90"/>
    </w:p>
    <w:p w14:paraId="3B0DC4FB">
      <w:pPr>
        <w:tabs>
          <w:tab w:val="left" w:pos="900"/>
        </w:tabs>
        <w:spacing w:line="360" w:lineRule="auto"/>
        <w:ind w:firstLine="420" w:firstLineChars="200"/>
        <w:jc w:val="left"/>
        <w:rPr>
          <w:rFonts w:hint="eastAsia" w:ascii="宋体" w:hAnsi="宋体" w:cs="宋体"/>
          <w:szCs w:val="21"/>
        </w:rPr>
      </w:pPr>
      <w:bookmarkStart w:id="91" w:name="_Hlt26954834"/>
      <w:bookmarkEnd w:id="91"/>
      <w:bookmarkStart w:id="92" w:name="_Toc462564074"/>
      <w:bookmarkStart w:id="93" w:name="_Toc513029215"/>
      <w:bookmarkStart w:id="94" w:name="_Toc14577353"/>
      <w:bookmarkStart w:id="95" w:name="_Toc61149555"/>
      <w:bookmarkStart w:id="96" w:name="_Toc14577352"/>
      <w:bookmarkStart w:id="97" w:name="_Toc61149554"/>
      <w:bookmarkStart w:id="98" w:name="_Toc462564073"/>
      <w:bookmarkStart w:id="99" w:name="_Toc513029214"/>
      <w:r>
        <w:rPr>
          <w:rFonts w:hint="eastAsia" w:ascii="宋体" w:hAnsi="宋体" w:cs="宋体"/>
          <w:szCs w:val="21"/>
        </w:rPr>
        <w:t>1.响应文件</w:t>
      </w:r>
      <w:bookmarkEnd w:id="92"/>
      <w:bookmarkEnd w:id="93"/>
      <w:bookmarkEnd w:id="94"/>
      <w:bookmarkEnd w:id="95"/>
      <w:r>
        <w:rPr>
          <w:rFonts w:hint="eastAsia" w:ascii="宋体" w:hAnsi="宋体" w:cs="宋体"/>
          <w:szCs w:val="21"/>
        </w:rPr>
        <w:t>编制要求</w:t>
      </w:r>
    </w:p>
    <w:bookmarkEnd w:id="96"/>
    <w:bookmarkEnd w:id="97"/>
    <w:bookmarkEnd w:id="98"/>
    <w:bookmarkEnd w:id="99"/>
    <w:p w14:paraId="1A4AB67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1.1 供应商提交的响应文件以及供应商与采购代理机构及采购人就有关磋商的所有来往函电均应使用简体中文。磋商文件中既有中文也有外文的，以中文意义为准。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F47A31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除技术性能另有规定外，响应文件所使用的度量衡单位，均须采用国家法定计量单位。</w:t>
      </w:r>
    </w:p>
    <w:p w14:paraId="3A478BDB">
      <w:pPr>
        <w:tabs>
          <w:tab w:val="left" w:pos="900"/>
        </w:tabs>
        <w:spacing w:line="360" w:lineRule="auto"/>
        <w:ind w:firstLine="420" w:firstLineChars="200"/>
        <w:jc w:val="left"/>
        <w:rPr>
          <w:rFonts w:hint="eastAsia" w:ascii="宋体" w:hAnsi="宋体" w:cs="宋体"/>
          <w:szCs w:val="21"/>
        </w:rPr>
      </w:pPr>
      <w:bookmarkStart w:id="100" w:name="_Hlt26954836"/>
      <w:bookmarkEnd w:id="100"/>
      <w:bookmarkStart w:id="101" w:name="_Hlt26670357"/>
      <w:bookmarkEnd w:id="101"/>
      <w:bookmarkStart w:id="102" w:name="_Toc513029219"/>
      <w:bookmarkStart w:id="103" w:name="_Toc61149558"/>
      <w:bookmarkStart w:id="104" w:name="_Toc14577357"/>
      <w:bookmarkStart w:id="105" w:name="_Toc513029217"/>
      <w:bookmarkStart w:id="106" w:name="_Toc14577355"/>
      <w:bookmarkStart w:id="107" w:name="_Toc61149557"/>
      <w:r>
        <w:rPr>
          <w:rFonts w:hint="eastAsia" w:ascii="宋体" w:hAnsi="宋体" w:cs="宋体"/>
          <w:szCs w:val="21"/>
        </w:rPr>
        <w:t>2.资格文件</w:t>
      </w:r>
      <w:bookmarkEnd w:id="102"/>
      <w:bookmarkEnd w:id="103"/>
      <w:bookmarkEnd w:id="104"/>
      <w:r>
        <w:rPr>
          <w:rFonts w:hint="eastAsia" w:ascii="宋体" w:hAnsi="宋体" w:cs="宋体"/>
          <w:szCs w:val="21"/>
        </w:rPr>
        <w:t>证明</w:t>
      </w:r>
    </w:p>
    <w:p w14:paraId="03964B3E">
      <w:pPr>
        <w:tabs>
          <w:tab w:val="left" w:pos="900"/>
        </w:tabs>
        <w:spacing w:line="360" w:lineRule="auto"/>
        <w:ind w:firstLine="420" w:firstLineChars="200"/>
        <w:jc w:val="left"/>
        <w:rPr>
          <w:rFonts w:hint="eastAsia" w:ascii="宋体" w:hAnsi="宋体" w:cs="宋体"/>
          <w:szCs w:val="21"/>
        </w:rPr>
      </w:pPr>
      <w:bookmarkStart w:id="108" w:name="_Hlt26668999"/>
      <w:bookmarkEnd w:id="108"/>
      <w:r>
        <w:rPr>
          <w:rFonts w:hint="eastAsia" w:ascii="宋体" w:hAnsi="宋体" w:cs="宋体"/>
          <w:szCs w:val="21"/>
        </w:rPr>
        <w:t>2.1 银行、保险、石油石化、电力、电信等特殊行业法人的分支机构（不具有独立的法人资格）参与本项目政府采购活动的，应当提供总公司出具的愿为其参与政府采购活动以及履约行为承担民事责任的承诺书（或授权书），可按本磋商文件约定使用总公司的资质、业绩，其余情形下关联主体资质、业绩混用的，磋商小组将不予认可，情节严重的将按提供虚假材料谋取成交依法依规处置。</w:t>
      </w:r>
    </w:p>
    <w:p w14:paraId="0BFA100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2.2 供应商除必须具有履行合同所需提供的设备以及服务的能力外，还必须具备相应的财务、技术方面的能力。</w:t>
      </w:r>
    </w:p>
    <w:p w14:paraId="1346AE3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2.3 供应商委托代理时应当提交授权委托书，请按磋商文件第六章给定格式及要求填写并附法定代表人（单位负责人）与委托代理人身份证明。</w:t>
      </w:r>
    </w:p>
    <w:p w14:paraId="1997737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3.首次磋商报价</w:t>
      </w:r>
      <w:bookmarkEnd w:id="105"/>
      <w:bookmarkEnd w:id="106"/>
      <w:bookmarkStart w:id="109" w:name="_Hlt26670373"/>
      <w:bookmarkEnd w:id="109"/>
      <w:r>
        <w:rPr>
          <w:rFonts w:hint="eastAsia" w:ascii="宋体" w:hAnsi="宋体" w:cs="宋体"/>
          <w:szCs w:val="21"/>
        </w:rPr>
        <w:t>表</w:t>
      </w:r>
      <w:bookmarkEnd w:id="107"/>
    </w:p>
    <w:p w14:paraId="6235682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3.1 供应商应按照磋商文件给定格式及要求填报“首次磋商报价表”（开标一览表）与“首次磋商报价明细表”（报价明细表）。每项产品或服务只允许有一个报价，任何有选择的报价将不予接受，磋商文件中另有规定的按规定执行。</w:t>
      </w:r>
    </w:p>
    <w:p w14:paraId="35E8BA4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标的物</w:t>
      </w:r>
    </w:p>
    <w:p w14:paraId="3C3E9B5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详见第四章 项目需求。</w:t>
      </w:r>
    </w:p>
    <w:p w14:paraId="48DA543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3.3 有关费用处理</w:t>
      </w:r>
    </w:p>
    <w:p w14:paraId="7ADE76C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本次磋商采购，供应商的总报价应包括为完成本项目发生的所有费用，本磋商文件中另有规定的除外。</w:t>
      </w:r>
    </w:p>
    <w:p w14:paraId="437EDF1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3.4 其他费用处理</w:t>
      </w:r>
    </w:p>
    <w:p w14:paraId="7540934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磋商文件未列明，而供应商认为必需的费用也须列入报价。</w:t>
      </w:r>
    </w:p>
    <w:p w14:paraId="495EC72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3.5 报价采用的货币</w:t>
      </w:r>
    </w:p>
    <w:p w14:paraId="540C3F7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响应文件中的单价和总价，无特殊规定的采用人民币报价，以元为单位标注。磋商文件中另有规定的按规定执行。</w:t>
      </w:r>
    </w:p>
    <w:p w14:paraId="74ECDAC7">
      <w:pPr>
        <w:tabs>
          <w:tab w:val="left" w:pos="900"/>
        </w:tabs>
        <w:spacing w:line="360" w:lineRule="auto"/>
        <w:ind w:firstLine="420" w:firstLineChars="200"/>
        <w:jc w:val="left"/>
        <w:rPr>
          <w:rFonts w:hint="eastAsia" w:ascii="宋体" w:hAnsi="宋体" w:cs="宋体"/>
          <w:szCs w:val="21"/>
        </w:rPr>
      </w:pPr>
      <w:bookmarkStart w:id="110" w:name="_Hlt26670482"/>
      <w:bookmarkEnd w:id="110"/>
      <w:bookmarkStart w:id="111" w:name="_Hlt26954848"/>
      <w:bookmarkEnd w:id="111"/>
      <w:bookmarkStart w:id="112" w:name="_Hlt26954731"/>
      <w:bookmarkEnd w:id="112"/>
      <w:bookmarkStart w:id="113" w:name="_Hlt26954842"/>
      <w:bookmarkEnd w:id="113"/>
      <w:bookmarkStart w:id="114" w:name="_Hlt26954846"/>
      <w:bookmarkEnd w:id="114"/>
      <w:bookmarkStart w:id="115" w:name="_Hlt26670486"/>
      <w:bookmarkEnd w:id="115"/>
      <w:bookmarkStart w:id="116" w:name="_Hlt26670403"/>
      <w:bookmarkEnd w:id="116"/>
      <w:bookmarkStart w:id="117" w:name="_Hlt26954844"/>
      <w:bookmarkEnd w:id="117"/>
      <w:bookmarkStart w:id="118" w:name="_Hlt26668983"/>
      <w:bookmarkEnd w:id="118"/>
      <w:bookmarkStart w:id="119" w:name="_Hlt26670425"/>
      <w:bookmarkEnd w:id="119"/>
      <w:bookmarkStart w:id="120" w:name="_Toc61149559"/>
      <w:bookmarkStart w:id="121" w:name="_Toc513029221"/>
      <w:bookmarkStart w:id="122" w:name="_Toc14577359"/>
      <w:r>
        <w:rPr>
          <w:rFonts w:hint="eastAsia" w:ascii="宋体" w:hAnsi="宋体" w:cs="宋体"/>
          <w:szCs w:val="21"/>
        </w:rPr>
        <w:t>4.项目需求响应方案</w:t>
      </w:r>
    </w:p>
    <w:p w14:paraId="3D91F6D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4.1 提供为完成本项目的总体实施方案。</w:t>
      </w:r>
    </w:p>
    <w:p w14:paraId="23B8256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4.2 对磋商文件中项目需求的技术与商务条款要求逐项作出应答，并提供依据或说明。</w:t>
      </w:r>
    </w:p>
    <w:p w14:paraId="6A806F5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4.3 供应商认为需要的其他技术文件或说明。</w:t>
      </w:r>
    </w:p>
    <w:p w14:paraId="5C3CEF1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5.磋商保证金</w:t>
      </w:r>
      <w:bookmarkEnd w:id="120"/>
      <w:bookmarkEnd w:id="121"/>
      <w:bookmarkEnd w:id="122"/>
    </w:p>
    <w:p w14:paraId="28AC466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5.1 本次磋商采购不收取磋商保证金。</w:t>
      </w:r>
    </w:p>
    <w:p w14:paraId="7416A8F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6.响应文件制作工具</w:t>
      </w:r>
    </w:p>
    <w:p w14:paraId="245D4F7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 供应商必须使用</w:t>
      </w:r>
      <w:r>
        <w:rPr>
          <w:rFonts w:hint="eastAsia" w:ascii="宋体" w:hAnsi="宋体" w:cs="宋体"/>
          <w:b/>
          <w:bCs/>
          <w:szCs w:val="21"/>
        </w:rPr>
        <w:t>江苏省政府采购网</w:t>
      </w:r>
      <w:r>
        <w:rPr>
          <w:rFonts w:hint="eastAsia" w:ascii="宋体" w:hAnsi="宋体" w:cs="宋体"/>
          <w:szCs w:val="21"/>
        </w:rPr>
        <w:t>平台上可接受的响应文件制作工具编制电子响应文件，系统操作流程详见江苏政府采购网－办事指南－资料下载－江苏省政府采购管理交易系统（苏采云）供应商操作指南，请及时关注版本更新。</w:t>
      </w:r>
    </w:p>
    <w:p w14:paraId="2ABD8CF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7.响应文件构成</w:t>
      </w:r>
    </w:p>
    <w:p w14:paraId="44D60E0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供应商编制的响应文件应包括商务文件、技术文件、评审因素所需材料和其他材料等内容，相关文件的提交如未特别注明可提供扫描件。</w:t>
      </w:r>
      <w:r>
        <w:rPr>
          <w:rFonts w:hint="eastAsia" w:ascii="宋体" w:hAnsi="宋体" w:cs="宋体"/>
          <w:b/>
          <w:szCs w:val="21"/>
        </w:rPr>
        <w:t>特别提醒供应商，混乱的编排导致响应文件被误读或磋商小组查找不到有效文件是供应商的风险。</w:t>
      </w:r>
    </w:p>
    <w:p w14:paraId="62E475F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7.1 响应文件格式：</w:t>
      </w:r>
    </w:p>
    <w:p w14:paraId="718E354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填写供应商名称、供应商地址、法定代表人、委托代理人、日期等内容。</w:t>
      </w:r>
    </w:p>
    <w:p w14:paraId="779EFFF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7.2 商务文件：（政府采购政策有关材料可选提交；委托代理时须提交《授权委托书》，否则按无效响应处理；其他文件必须提交，否则按无效响应处理）</w:t>
      </w:r>
    </w:p>
    <w:p w14:paraId="29CEADD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（1）响应函：请按给定格式及要求填写。</w:t>
      </w:r>
    </w:p>
    <w:p w14:paraId="78EF64A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（2）开标一览表（首次磋商报价表）：请按给定格式及要求填写。</w:t>
      </w:r>
    </w:p>
    <w:p w14:paraId="12F5FF5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（3）报价明细表（首次磋商报价明细表）：请按磋商文件第六章给定格式及要求填写。</w:t>
      </w:r>
    </w:p>
    <w:p w14:paraId="025172F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（4）政府采购政策：《中小企业声明函》《残疾人福利性单位声明函》及省级以上监狱管理局、戒毒管理局（含新疆生产建设兵团）出具的属于监狱企业的证明文件，填报要求详见七、政策功能。</w:t>
      </w:r>
    </w:p>
    <w:p w14:paraId="09B436B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（5）资格审查材料：（详见竞争性磋商公告第二、</w:t>
      </w:r>
      <w:r>
        <w:rPr>
          <w:rFonts w:hint="eastAsia" w:ascii="宋体" w:hAnsi="宋体" w:cs="宋体"/>
          <w:b/>
          <w:szCs w:val="21"/>
        </w:rPr>
        <w:t>申请人的资格要求</w:t>
      </w:r>
      <w:r>
        <w:rPr>
          <w:rFonts w:hint="eastAsia" w:ascii="宋体" w:hAnsi="宋体" w:cs="宋体"/>
          <w:szCs w:val="21"/>
        </w:rPr>
        <w:t>）</w:t>
      </w:r>
    </w:p>
    <w:p w14:paraId="61428E1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根据连财购〔2023〕4号、连财购〔2023〕9号文件精神，财务状况报告、税收证明、社保证明可以提供《财务状况报告及税收、社会保障资金缴纳情况承诺函》，请按磋商文件第六章给定格式及要求填写。响应文件提供《承诺函》的无需重复提供对应的证明材料。</w:t>
      </w:r>
    </w:p>
    <w:p w14:paraId="5152501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授权委托书与法定代表人（单位负责人）身份证明：若响应文件中全部签字之处均为法定代表人（单位负责人）本人签署，则可不提供《授权委托书》，但须提供《法定代表人（单位负责人）身份证明》，请按磋商文件第六章给定格式及要求填写。</w:t>
      </w:r>
    </w:p>
    <w:p w14:paraId="5DD84C1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（7）商务条款偏离表：请按磋商文件第六章给定格式及要求，并根据供应商响应承诺的商务条件与“合同条款”“项目需求”等的差异填写。</w:t>
      </w:r>
    </w:p>
    <w:p w14:paraId="4DECDDB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7.3 技术文件：（以下文件必须提交，否则按无效响应处理）</w:t>
      </w:r>
    </w:p>
    <w:p w14:paraId="1303500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（1）技术标：可以但不限于技术方案、磋商文件规定的其他文件等，格式自定。</w:t>
      </w:r>
    </w:p>
    <w:p w14:paraId="012241D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（2）项目需求响应：格式自定。</w:t>
      </w:r>
    </w:p>
    <w:p w14:paraId="1A447D0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7.4 评审因素所需材料：</w:t>
      </w:r>
    </w:p>
    <w:p w14:paraId="507DE1B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如有，请按磋商文件要求提供。</w:t>
      </w:r>
    </w:p>
    <w:p w14:paraId="084923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7.5 其他材料：</w:t>
      </w:r>
    </w:p>
    <w:p w14:paraId="78D84B7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如有，请按磋商文件要求提供。</w:t>
      </w:r>
    </w:p>
    <w:p w14:paraId="1CD422AC">
      <w:pPr>
        <w:spacing w:line="360" w:lineRule="auto"/>
        <w:ind w:firstLine="422" w:firstLineChars="200"/>
        <w:jc w:val="left"/>
        <w:rPr>
          <w:rFonts w:hint="eastAsia" w:ascii="宋体" w:hAnsi="宋体" w:cs="宋体"/>
          <w:szCs w:val="21"/>
        </w:rPr>
      </w:pPr>
      <w:r>
        <w:rPr>
          <w:rFonts w:hint="eastAsia" w:ascii="宋体" w:hAnsi="宋体" w:cs="宋体"/>
          <w:b/>
          <w:szCs w:val="21"/>
        </w:rPr>
        <w:t>特别说明：响应文件制作工具所附文本格式与磋商文件给定格式不一致的，以磋商文件提供的为准。</w:t>
      </w:r>
    </w:p>
    <w:p w14:paraId="1142DF8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8.生成响应文件</w:t>
      </w:r>
    </w:p>
    <w:p w14:paraId="4D85021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8.1 响应文件应当由供应商法定代表人（单位负责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02AF4A3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8.2 电子响应文件不得涂改、行间插字或删除，如出现上述情况应重新编制。</w:t>
      </w:r>
    </w:p>
    <w:p w14:paraId="19BDCEA2">
      <w:pPr>
        <w:spacing w:line="360" w:lineRule="auto"/>
        <w:ind w:firstLine="420" w:firstLineChars="200"/>
        <w:jc w:val="left"/>
        <w:outlineLvl w:val="1"/>
        <w:rPr>
          <w:rFonts w:hint="eastAsia" w:ascii="宋体" w:hAnsi="宋体" w:cs="宋体"/>
          <w:bCs/>
          <w:szCs w:val="21"/>
        </w:rPr>
      </w:pPr>
      <w:bookmarkStart w:id="123" w:name="_Hlt26954739"/>
      <w:bookmarkEnd w:id="123"/>
      <w:bookmarkStart w:id="124" w:name="_Hlt26954854"/>
      <w:bookmarkEnd w:id="124"/>
      <w:bookmarkStart w:id="125" w:name="_Hlt26670493"/>
      <w:bookmarkEnd w:id="125"/>
      <w:bookmarkStart w:id="126" w:name="_Hlt26954850"/>
      <w:bookmarkEnd w:id="126"/>
      <w:bookmarkStart w:id="127" w:name="_Hlt26954749"/>
      <w:bookmarkEnd w:id="127"/>
      <w:bookmarkStart w:id="128" w:name="_Hlt26954852"/>
      <w:bookmarkEnd w:id="128"/>
      <w:bookmarkStart w:id="129" w:name="_Hlt26670489"/>
      <w:bookmarkEnd w:id="129"/>
      <w:bookmarkStart w:id="130" w:name="_Hlt26954734"/>
      <w:bookmarkEnd w:id="130"/>
      <w:bookmarkStart w:id="131" w:name="_Toc513029224"/>
      <w:bookmarkStart w:id="132" w:name="_Toc9756"/>
      <w:bookmarkStart w:id="133" w:name="_Toc14577362"/>
      <w:bookmarkStart w:id="134" w:name="_Toc61149562"/>
      <w:bookmarkStart w:id="135" w:name="_Toc32475"/>
      <w:bookmarkStart w:id="136" w:name="_Toc14378"/>
      <w:r>
        <w:rPr>
          <w:rFonts w:hint="eastAsia" w:ascii="宋体" w:hAnsi="宋体" w:cs="宋体"/>
          <w:bCs/>
          <w:szCs w:val="21"/>
        </w:rPr>
        <w:t>三、响应文件及样品的递交</w:t>
      </w:r>
      <w:bookmarkEnd w:id="131"/>
      <w:bookmarkEnd w:id="132"/>
      <w:bookmarkEnd w:id="133"/>
      <w:bookmarkEnd w:id="134"/>
      <w:bookmarkEnd w:id="135"/>
      <w:bookmarkEnd w:id="136"/>
    </w:p>
    <w:p w14:paraId="21ACE35D">
      <w:pPr>
        <w:tabs>
          <w:tab w:val="left" w:pos="900"/>
        </w:tabs>
        <w:spacing w:line="360" w:lineRule="auto"/>
        <w:ind w:firstLine="420" w:firstLineChars="200"/>
        <w:jc w:val="left"/>
        <w:rPr>
          <w:rFonts w:hint="eastAsia" w:ascii="宋体" w:hAnsi="宋体" w:cs="宋体"/>
          <w:szCs w:val="21"/>
        </w:rPr>
      </w:pPr>
      <w:bookmarkStart w:id="137" w:name="_Hlt26954856"/>
      <w:bookmarkEnd w:id="137"/>
      <w:r>
        <w:rPr>
          <w:rFonts w:hint="eastAsia" w:ascii="宋体" w:hAnsi="宋体" w:cs="宋体"/>
          <w:szCs w:val="21"/>
        </w:rPr>
        <w:t>1.响应文件的上传、修改和撤回</w:t>
      </w:r>
    </w:p>
    <w:p w14:paraId="009B2E5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1.1 供应商应当使用响应文件制作工具，生成加密电子响应文件一份，在规定的截止时间前上传，迟于截止时间的不予接收。</w:t>
      </w:r>
    </w:p>
    <w:p w14:paraId="5C4DAB5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供应商在上传响应文件后可以对其修改或撤回，但这种修改或撤回，必须在规定的截止时间之前。</w:t>
      </w:r>
    </w:p>
    <w:p w14:paraId="2AB37D2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1.3 如需对电子响应文件进行修改，供应商可以在磋商文件规定的截止时间前登录电子交易平台撤回文件，并上传新的响应文件，响应文件以最终完成上传的为准。</w:t>
      </w:r>
    </w:p>
    <w:p w14:paraId="42D618B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1.4 供应商不得在截止时间后修改响应文件，也不得在截止时间起至磋商有效期满前撤回响应文件。</w:t>
      </w:r>
    </w:p>
    <w:p w14:paraId="2A7EF78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2.磋商响应有效期</w:t>
      </w:r>
    </w:p>
    <w:p w14:paraId="63E9CD3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 xml:space="preserve">2.1 </w:t>
      </w:r>
      <w:r>
        <w:rPr>
          <w:rFonts w:hint="eastAsia" w:ascii="宋体" w:hAnsi="宋体" w:cs="宋体"/>
          <w:b/>
          <w:bCs/>
          <w:szCs w:val="21"/>
        </w:rPr>
        <w:t>磋商响应有效期为采购代理机构规定的响应文件接收截止时间后六十（60）天。磋商响应有效期比规定短的将被视为非实质性响应而予以拒绝</w:t>
      </w:r>
      <w:r>
        <w:rPr>
          <w:rFonts w:hint="eastAsia" w:ascii="宋体" w:hAnsi="宋体" w:cs="宋体"/>
          <w:szCs w:val="21"/>
        </w:rPr>
        <w:t>。</w:t>
      </w:r>
    </w:p>
    <w:p w14:paraId="1B7321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2.2 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p>
    <w:p w14:paraId="2ACDC0C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3.提交样品截止时间和地点</w:t>
      </w:r>
    </w:p>
    <w:p w14:paraId="32685F1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3.1 采购项目需要供应商提交样品的，供应商应当于磋商文件规定的样品接收截止时间前将样品送达指定地点并登记完毕，否则不予接收。</w:t>
      </w:r>
    </w:p>
    <w:p w14:paraId="6913D66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成交供应商提供的样品由采购人封存、保管，作为履约验收的参考。未成交供应商提供的样品，应在成交结果公布后两个工作日内领回，否则按无主物品处理。</w:t>
      </w:r>
    </w:p>
    <w:p w14:paraId="39163033">
      <w:pPr>
        <w:spacing w:line="360" w:lineRule="auto"/>
        <w:ind w:firstLine="420" w:firstLineChars="200"/>
        <w:jc w:val="left"/>
        <w:outlineLvl w:val="1"/>
        <w:rPr>
          <w:rFonts w:hint="eastAsia" w:ascii="宋体" w:hAnsi="宋体" w:cs="宋体"/>
          <w:bCs/>
          <w:szCs w:val="21"/>
        </w:rPr>
      </w:pPr>
      <w:bookmarkStart w:id="138" w:name="_Hlt26954864"/>
      <w:bookmarkEnd w:id="138"/>
      <w:bookmarkStart w:id="139" w:name="_Hlt26670523"/>
      <w:bookmarkEnd w:id="139"/>
      <w:bookmarkStart w:id="140" w:name="_Toc6382"/>
      <w:bookmarkStart w:id="141" w:name="_Toc11702"/>
      <w:bookmarkStart w:id="142" w:name="_Toc27802"/>
      <w:r>
        <w:rPr>
          <w:rFonts w:hint="eastAsia" w:ascii="宋体" w:hAnsi="宋体" w:cs="宋体"/>
          <w:bCs/>
          <w:szCs w:val="21"/>
        </w:rPr>
        <w:t>四、磋商与评审</w:t>
      </w:r>
      <w:bookmarkEnd w:id="140"/>
      <w:bookmarkEnd w:id="141"/>
      <w:bookmarkEnd w:id="142"/>
    </w:p>
    <w:p w14:paraId="2343E022">
      <w:pPr>
        <w:tabs>
          <w:tab w:val="left" w:pos="900"/>
        </w:tabs>
        <w:spacing w:line="360" w:lineRule="auto"/>
        <w:ind w:firstLine="420" w:firstLineChars="200"/>
        <w:jc w:val="left"/>
        <w:rPr>
          <w:rFonts w:hint="eastAsia" w:ascii="宋体" w:hAnsi="宋体" w:cs="宋体"/>
          <w:szCs w:val="21"/>
        </w:rPr>
      </w:pPr>
      <w:bookmarkStart w:id="143" w:name="_Toc513029230"/>
      <w:bookmarkStart w:id="144" w:name="_Toc16938546"/>
      <w:bookmarkStart w:id="145" w:name="_Toc20823302"/>
      <w:r>
        <w:rPr>
          <w:rFonts w:hint="eastAsia" w:ascii="宋体" w:hAnsi="宋体" w:cs="宋体"/>
          <w:szCs w:val="21"/>
        </w:rPr>
        <w:t>1</w:t>
      </w:r>
      <w:bookmarkEnd w:id="143"/>
      <w:bookmarkEnd w:id="144"/>
      <w:bookmarkEnd w:id="145"/>
      <w:r>
        <w:rPr>
          <w:rFonts w:hint="eastAsia" w:ascii="宋体" w:hAnsi="宋体" w:cs="宋体"/>
          <w:szCs w:val="21"/>
        </w:rPr>
        <w:t>.磋商开始仪式</w:t>
      </w:r>
    </w:p>
    <w:p w14:paraId="7DFA3664">
      <w:pPr>
        <w:tabs>
          <w:tab w:val="left" w:pos="900"/>
        </w:tabs>
        <w:spacing w:line="360" w:lineRule="auto"/>
        <w:ind w:firstLine="420" w:firstLineChars="200"/>
        <w:jc w:val="left"/>
        <w:rPr>
          <w:rFonts w:hint="eastAsia" w:ascii="宋体" w:hAnsi="宋体" w:cs="宋体"/>
          <w:szCs w:val="21"/>
        </w:rPr>
      </w:pPr>
      <w:bookmarkStart w:id="146" w:name="_Toc20823303"/>
      <w:bookmarkStart w:id="147" w:name="_Toc513029231"/>
      <w:bookmarkStart w:id="148" w:name="_Toc16938547"/>
      <w:r>
        <w:rPr>
          <w:rFonts w:hint="eastAsia" w:ascii="宋体" w:hAnsi="宋体" w:cs="宋体"/>
          <w:szCs w:val="21"/>
        </w:rPr>
        <w:t>1.1 采购人将在磋商公告中规定的时间和地点组织公开开标。供应商应当按照《操作手册》规定，参加开标活动和在苏采云系统规定的时间内对响应文件进行解密。</w:t>
      </w:r>
    </w:p>
    <w:p w14:paraId="0305837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1.2开标仪式由采购代理机构组织。苏采云系统将自动对项目进行开标，并宣布各供应商名称和投标价格。</w:t>
      </w:r>
    </w:p>
    <w:p w14:paraId="0590CCF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1.3供应商在开标过程中涉及的响应文件解密、开标结果确认等工作，应按照《操作手册》规定执行。</w:t>
      </w:r>
    </w:p>
    <w:p w14:paraId="1F14C3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1.4供应商如果对开标过程和开标记录有疑义，应当根据《操作手册》规定提出，如苏采云系统中《开标记录表》宣布后5分钟内未提出的，视同认可开标结果。</w:t>
      </w:r>
    </w:p>
    <w:p w14:paraId="7A9182A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2.磋商小组</w:t>
      </w:r>
    </w:p>
    <w:p w14:paraId="3B4F7E9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2.1 磋商开始仪式结束后，采购代理机构将立即组织磋商小组进行评审、磋商。</w:t>
      </w:r>
    </w:p>
    <w:p w14:paraId="73B8C85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2.2 磋商小组由评审专家和采购人代表组成，且人员构成符合政府采购相关规定。</w:t>
      </w:r>
    </w:p>
    <w:p w14:paraId="12E9944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3.磋商评审过程的保密</w:t>
      </w:r>
      <w:bookmarkEnd w:id="146"/>
      <w:bookmarkEnd w:id="147"/>
      <w:bookmarkEnd w:id="148"/>
      <w:r>
        <w:rPr>
          <w:rFonts w:hint="eastAsia" w:ascii="宋体" w:hAnsi="宋体" w:cs="宋体"/>
          <w:szCs w:val="21"/>
        </w:rPr>
        <w:t>与公正</w:t>
      </w:r>
    </w:p>
    <w:p w14:paraId="25E970B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3.1 磋商小组应当遵守评审工作纪律，不得泄露评审情况和评审中获悉的商业秘密。</w:t>
      </w:r>
    </w:p>
    <w:p w14:paraId="07969E16">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供应商不得以任何行为影响磋商评审过程，否则其响应文件将被作为无效响应文件。</w:t>
      </w:r>
    </w:p>
    <w:p w14:paraId="383B77E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C739E73">
      <w:pPr>
        <w:tabs>
          <w:tab w:val="left" w:pos="900"/>
        </w:tabs>
        <w:spacing w:line="360" w:lineRule="auto"/>
        <w:ind w:firstLine="420" w:firstLineChars="200"/>
        <w:jc w:val="left"/>
        <w:rPr>
          <w:rFonts w:hint="eastAsia" w:ascii="宋体" w:hAnsi="宋体" w:cs="宋体"/>
          <w:szCs w:val="21"/>
        </w:rPr>
      </w:pPr>
      <w:bookmarkStart w:id="149" w:name="_Toc20823304"/>
      <w:bookmarkStart w:id="150" w:name="_Toc513029232"/>
      <w:bookmarkStart w:id="151" w:name="_Toc16938548"/>
      <w:r>
        <w:rPr>
          <w:rFonts w:hint="eastAsia" w:ascii="宋体" w:hAnsi="宋体" w:cs="宋体"/>
          <w:szCs w:val="21"/>
        </w:rPr>
        <w:t>4.评审过程的澄清</w:t>
      </w:r>
      <w:bookmarkEnd w:id="149"/>
      <w:bookmarkEnd w:id="150"/>
      <w:bookmarkEnd w:id="151"/>
      <w:r>
        <w:rPr>
          <w:rFonts w:hint="eastAsia" w:ascii="宋体" w:hAnsi="宋体" w:cs="宋体"/>
          <w:szCs w:val="21"/>
        </w:rPr>
        <w:t>、说明和更正</w:t>
      </w:r>
    </w:p>
    <w:p w14:paraId="5A92913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4.1 磋商小组在对响应文件的有效性、完整性和响应程度进行审查时，可以要求供应商对响应文件中含义不明确、同类问题表述不一致或者有明显文字和计算错误的内容等作出必要的澄清、说明或更正。</w:t>
      </w:r>
    </w:p>
    <w:p w14:paraId="43D908D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w:t>
      </w:r>
      <w:r>
        <w:rPr>
          <w:rFonts w:hint="eastAsia" w:ascii="宋体" w:hAnsi="宋体" w:cs="宋体"/>
          <w:b/>
          <w:szCs w:val="21"/>
        </w:rPr>
        <w:t>并不得超出响应文件的范围或者改变响应文件的实质性内容。</w:t>
      </w:r>
      <w:r>
        <w:rPr>
          <w:rFonts w:hint="eastAsia" w:ascii="宋体" w:hAnsi="宋体" w:cs="宋体"/>
          <w:szCs w:val="21"/>
        </w:rPr>
        <w:t>供应商的澄清、说明或更正文件是响应文件的组成部分，具体操作方式见《操作手册》。</w:t>
      </w:r>
    </w:p>
    <w:p w14:paraId="7834627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4.3 接到磋商小组澄清、说明或更正要求的供应商如未按规定作出，其风险由供应商自行承担。</w:t>
      </w:r>
    </w:p>
    <w:p w14:paraId="0CB15016">
      <w:pPr>
        <w:tabs>
          <w:tab w:val="left" w:pos="900"/>
        </w:tabs>
        <w:spacing w:line="360" w:lineRule="auto"/>
        <w:ind w:firstLine="420" w:firstLineChars="200"/>
        <w:jc w:val="left"/>
        <w:rPr>
          <w:rFonts w:hint="eastAsia" w:ascii="宋体" w:hAnsi="宋体" w:cs="宋体"/>
          <w:szCs w:val="21"/>
        </w:rPr>
      </w:pPr>
      <w:bookmarkStart w:id="152" w:name="_Toc513029233"/>
      <w:bookmarkStart w:id="153" w:name="_Toc16938549"/>
      <w:bookmarkStart w:id="154" w:name="_Toc20823305"/>
      <w:r>
        <w:rPr>
          <w:rFonts w:hint="eastAsia" w:ascii="宋体" w:hAnsi="宋体" w:cs="宋体"/>
          <w:szCs w:val="21"/>
        </w:rPr>
        <w:t>5.对响应文件的初审</w:t>
      </w:r>
      <w:bookmarkEnd w:id="152"/>
      <w:bookmarkEnd w:id="153"/>
      <w:bookmarkEnd w:id="154"/>
    </w:p>
    <w:p w14:paraId="095A16F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5.1 响应文件初审分为资格性审查和符合性审查。</w:t>
      </w:r>
    </w:p>
    <w:p w14:paraId="602FB355">
      <w:pPr>
        <w:tabs>
          <w:tab w:val="left" w:pos="900"/>
        </w:tabs>
        <w:spacing w:line="360" w:lineRule="auto"/>
        <w:ind w:firstLine="422" w:firstLineChars="200"/>
        <w:jc w:val="left"/>
        <w:rPr>
          <w:rFonts w:hint="eastAsia" w:ascii="宋体" w:hAnsi="宋体" w:cs="宋体"/>
          <w:szCs w:val="21"/>
        </w:rPr>
      </w:pPr>
      <w:r>
        <w:rPr>
          <w:rFonts w:hint="eastAsia" w:ascii="宋体" w:hAnsi="宋体" w:cs="宋体"/>
          <w:b/>
          <w:szCs w:val="21"/>
        </w:rPr>
        <w:t>资格性审查：</w:t>
      </w:r>
      <w:r>
        <w:rPr>
          <w:rFonts w:hint="eastAsia" w:ascii="宋体" w:hAnsi="宋体" w:cs="宋体"/>
          <w:szCs w:val="21"/>
        </w:rPr>
        <w:t>依据法律法规和磋商文件的规定，对响应文件中的资格证明文件、信用信息等进行审查，以确定供应商是否具备参加磋商的资格。</w:t>
      </w:r>
    </w:p>
    <w:p w14:paraId="20FFA729">
      <w:pPr>
        <w:tabs>
          <w:tab w:val="left" w:pos="900"/>
        </w:tabs>
        <w:spacing w:line="360" w:lineRule="auto"/>
        <w:ind w:firstLine="422" w:firstLineChars="200"/>
        <w:jc w:val="left"/>
        <w:rPr>
          <w:rFonts w:hint="eastAsia" w:ascii="宋体" w:hAnsi="宋体" w:cs="宋体"/>
          <w:szCs w:val="21"/>
        </w:rPr>
      </w:pPr>
      <w:r>
        <w:rPr>
          <w:rFonts w:hint="eastAsia" w:ascii="宋体" w:hAnsi="宋体" w:cs="宋体"/>
          <w:b/>
          <w:szCs w:val="21"/>
        </w:rPr>
        <w:t>符合性审查：</w:t>
      </w:r>
      <w:r>
        <w:rPr>
          <w:rFonts w:hint="eastAsia" w:ascii="宋体" w:hAnsi="宋体" w:cs="宋体"/>
          <w:szCs w:val="21"/>
        </w:rPr>
        <w:t>依据磋商文件的规定，从响应文件的有效性、完整性和对磋商文件的响应程度进行审查，以确定供应商是否对磋商文件的实质性要求作出响应。</w:t>
      </w:r>
    </w:p>
    <w:p w14:paraId="065C4BC0">
      <w:pPr>
        <w:tabs>
          <w:tab w:val="left" w:pos="900"/>
        </w:tabs>
        <w:spacing w:line="360" w:lineRule="auto"/>
        <w:ind w:firstLine="422" w:firstLineChars="200"/>
        <w:jc w:val="left"/>
        <w:rPr>
          <w:rFonts w:hint="eastAsia" w:ascii="宋体" w:hAnsi="宋体" w:cs="宋体"/>
          <w:b/>
          <w:bCs/>
          <w:szCs w:val="21"/>
        </w:rPr>
      </w:pPr>
      <w:r>
        <w:rPr>
          <w:rFonts w:hint="eastAsia" w:ascii="宋体" w:hAnsi="宋体" w:cs="宋体"/>
          <w:b/>
          <w:bCs/>
          <w:szCs w:val="21"/>
        </w:rPr>
        <w:t>政府采购异常低价审查：</w:t>
      </w:r>
    </w:p>
    <w:p w14:paraId="49BB82F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（一）评审过程中出现下列情形之一的，磋商小组应当启动异常低价响应审查程序：</w:t>
      </w:r>
    </w:p>
    <w:p w14:paraId="5775D9F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根据《关于推动解决政府采购异常低价问题的通知》（财库〔2026〕2号）规定，政府采购评审过程中出现下列情形之一的，评审委员会应当启动异常低价投标审查程序：</w:t>
      </w:r>
    </w:p>
    <w:p w14:paraId="07ACD6C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1.投标报价低于全部通过符合性审查供应商投标报价平均值65%的，即投标报价&lt;全部通过符合性审查供应商投标报价平均值×65%；</w:t>
      </w:r>
    </w:p>
    <w:p w14:paraId="27B34D0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2.投标报价低于通过符合性审查的次低报价供应商投标报价65%的，即投标报价&lt;通过符合性审查的次低报价供应商投标报价×65%；</w:t>
      </w:r>
    </w:p>
    <w:p w14:paraId="6DA7E91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3.投标报价低于采购项目最高限价55%的，即投标报价&lt;采购项目最高限价×65%；</w:t>
      </w:r>
    </w:p>
    <w:p w14:paraId="15D6BC8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p>
    <w:p w14:paraId="04C8B1E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二）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14:paraId="4223999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443250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4A31C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异常低价投标审查的启动原因、审查意见和审查结果应当在评审报告中记录，并随供应商提供的相关书面说明及证明材料，以及评审委员会有关互联网浏览、查询历史一并归档。</w:t>
      </w:r>
    </w:p>
    <w:p w14:paraId="0ABC9D3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5.2 信用信息查询</w:t>
      </w:r>
    </w:p>
    <w:p w14:paraId="00E8589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（1）信用信息查询渠道及截止时间：采购人或采购代理机构将通过信用中国网站（www.creditchina.gov.cn）、中国政府采购网（www.ccgp.gov.cn）渠道查询供应商响应文件递交截止时间当天的信用记录。</w:t>
      </w:r>
    </w:p>
    <w:p w14:paraId="6C9A89B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（2）信用信息查询记录和证据留存的具体方式：现场查询并打印供应商的信用记录，与其他采购文件一并存档。</w:t>
      </w:r>
    </w:p>
    <w:p w14:paraId="7FA31A6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信用信息的使用规则：列入失信被执行人、重大税收违法案件当事人名单、政府采购严重违法失信行为记录名单及其他不符合《中华人民共和国政府采购法》第二十二条规定条件的供应商，拒绝其参与政府采购活动。</w:t>
      </w:r>
    </w:p>
    <w:p w14:paraId="2F39122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联合体信用信息查询：两个以上的自然人、法人或者其他组织组成联合体，以一个供应商的身份共同参加政府采购活动的，对所有组成联合体的成员进行信用信息查询，联合体成员存在不良信用记录的，视同联合体存在不良信用记录。</w:t>
      </w:r>
    </w:p>
    <w:p w14:paraId="3B7B0EB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5.3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7AEFFEBB">
      <w:pPr>
        <w:tabs>
          <w:tab w:val="left" w:pos="900"/>
        </w:tabs>
        <w:spacing w:line="360" w:lineRule="auto"/>
        <w:ind w:firstLine="422" w:firstLineChars="200"/>
        <w:jc w:val="left"/>
        <w:rPr>
          <w:rFonts w:hint="eastAsia" w:ascii="宋体" w:hAnsi="宋体" w:cs="宋体"/>
          <w:szCs w:val="21"/>
        </w:rPr>
      </w:pPr>
      <w:r>
        <w:rPr>
          <w:rFonts w:hint="eastAsia" w:ascii="宋体" w:hAnsi="宋体" w:cs="宋体"/>
          <w:b/>
          <w:szCs w:val="21"/>
        </w:rPr>
        <w:t>所谓重大偏离或保留，</w:t>
      </w:r>
      <w:r>
        <w:rPr>
          <w:rFonts w:hint="eastAsia" w:ascii="宋体" w:hAnsi="宋体" w:cs="宋体"/>
          <w:szCs w:val="21"/>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640C48F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5.4 被认定为未实质性响应磋商文件的情形：</w:t>
      </w:r>
    </w:p>
    <w:p w14:paraId="4658F1E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（1）响应文件未按照磋商文件规定要求签署、盖章的；</w:t>
      </w:r>
    </w:p>
    <w:p w14:paraId="5D44ABD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（2）供应商在报价时采用选择性报价的；</w:t>
      </w:r>
    </w:p>
    <w:p w14:paraId="2E8051A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（3）供应商不具备磋商文件规定的资格要求的；</w:t>
      </w:r>
    </w:p>
    <w:p w14:paraId="0BC986F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（4）不符合法律、法规和磋商文件中规定的其他实质性要求和条件的（本磋商文件中标注★的款项为实质性要求和条件）；</w:t>
      </w:r>
    </w:p>
    <w:p w14:paraId="4D4C02B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（5）未按磋商文件要求提供电子响应文件或者电子响应文件未能解密（指供应商自身原因）且按照磋商文件明确的响应文件解密失败后补救方案（仅响应文件现场开启适用）补救不成功的；</w:t>
      </w:r>
    </w:p>
    <w:p w14:paraId="7810A41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（6）供应商提交的电子响应文件、响应文件备份U盘（仅响应文件现场开启适用）均因其自身原因出现问题导致无法电子评审的；</w:t>
      </w:r>
    </w:p>
    <w:p w14:paraId="31739AA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（7）其他法律、法规及本磋商文件规定的属于未实质性响应的情形。</w:t>
      </w:r>
    </w:p>
    <w:p w14:paraId="3B0127ED">
      <w:pPr>
        <w:spacing w:line="360" w:lineRule="auto"/>
        <w:ind w:firstLine="420" w:firstLineChars="200"/>
        <w:jc w:val="left"/>
        <w:rPr>
          <w:rFonts w:hint="eastAsia" w:ascii="宋体" w:hAnsi="宋体" w:cs="宋体"/>
          <w:szCs w:val="21"/>
        </w:rPr>
      </w:pPr>
      <w:r>
        <w:rPr>
          <w:rFonts w:hint="eastAsia" w:ascii="宋体" w:hAnsi="宋体" w:cs="宋体"/>
          <w:szCs w:val="21"/>
        </w:rPr>
        <w:t xml:space="preserve">5.5 </w:t>
      </w:r>
      <w:r>
        <w:rPr>
          <w:rFonts w:hint="eastAsia" w:ascii="宋体" w:hAnsi="宋体" w:cs="宋体"/>
          <w:b/>
          <w:szCs w:val="21"/>
        </w:rPr>
        <w:t>未实质性响应磋商文件的响应文件按无效响应处理</w:t>
      </w:r>
      <w:r>
        <w:rPr>
          <w:rFonts w:hint="eastAsia" w:ascii="宋体" w:hAnsi="宋体" w:cs="宋体"/>
          <w:szCs w:val="21"/>
        </w:rPr>
        <w:t>，磋商小组应当告知提交响应文件的供应商。供应商不得通过修改或撤销不符合要求的偏离或保留而使其响应文件成为实质性响应的文件。</w:t>
      </w:r>
    </w:p>
    <w:p w14:paraId="36658378">
      <w:pPr>
        <w:tabs>
          <w:tab w:val="left" w:pos="900"/>
        </w:tabs>
        <w:spacing w:line="360" w:lineRule="auto"/>
        <w:ind w:firstLine="420" w:firstLineChars="200"/>
        <w:jc w:val="left"/>
        <w:rPr>
          <w:rFonts w:hint="eastAsia" w:ascii="宋体" w:hAnsi="宋体" w:cs="宋体"/>
          <w:szCs w:val="21"/>
        </w:rPr>
      </w:pPr>
      <w:bookmarkStart w:id="155" w:name="_Toc20823306"/>
      <w:bookmarkStart w:id="156" w:name="_Toc16938550"/>
      <w:bookmarkStart w:id="157" w:name="_Toc513029234"/>
      <w:r>
        <w:rPr>
          <w:rFonts w:hint="eastAsia" w:ascii="宋体" w:hAnsi="宋体" w:cs="宋体"/>
          <w:szCs w:val="21"/>
        </w:rPr>
        <w:t>6</w:t>
      </w:r>
      <w:bookmarkEnd w:id="155"/>
      <w:bookmarkEnd w:id="156"/>
      <w:bookmarkEnd w:id="157"/>
      <w:r>
        <w:rPr>
          <w:rFonts w:hint="eastAsia" w:ascii="宋体" w:hAnsi="宋体" w:cs="宋体"/>
          <w:szCs w:val="21"/>
        </w:rPr>
        <w:t>.磋商程序及评审方法和标准</w:t>
      </w:r>
    </w:p>
    <w:p w14:paraId="6F715A4C">
      <w:pPr>
        <w:tabs>
          <w:tab w:val="left" w:pos="900"/>
        </w:tabs>
        <w:spacing w:line="360" w:lineRule="auto"/>
        <w:ind w:firstLine="420" w:firstLineChars="200"/>
        <w:jc w:val="left"/>
        <w:rPr>
          <w:rFonts w:hint="eastAsia" w:ascii="宋体" w:hAnsi="宋体" w:cs="宋体"/>
          <w:szCs w:val="21"/>
        </w:rPr>
      </w:pPr>
      <w:bookmarkStart w:id="158" w:name="_Toc20823307"/>
      <w:bookmarkStart w:id="159" w:name="_Toc513029235"/>
      <w:bookmarkStart w:id="160" w:name="_Toc16938551"/>
      <w:r>
        <w:rPr>
          <w:rFonts w:hint="eastAsia" w:ascii="宋体" w:hAnsi="宋体" w:cs="宋体"/>
          <w:szCs w:val="21"/>
        </w:rPr>
        <w:t>6.1 磋商程序</w:t>
      </w:r>
    </w:p>
    <w:p w14:paraId="6AA20F4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6.1.1 对于通过资格性和符合性审查的供应商，磋商小组所有成员将集中与单一供应商分别进行磋商。</w:t>
      </w:r>
    </w:p>
    <w:p w14:paraId="6631897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在磋商过程中，磋商小组可能根据磋商文件和磋商情况实质性变动采购需求中的技术、服务要求以及合同草案条款，但不得变动磋商文件中的其他内容。</w:t>
      </w:r>
    </w:p>
    <w:p w14:paraId="157440B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对磋商文件作出的实质性变动是磋商文件的有效组成部分，磋商小组应当以书面形式（通过评标系统发起）同时通知所有参加磋商的供应商。</w:t>
      </w:r>
      <w:r>
        <w:rPr>
          <w:rFonts w:hint="eastAsia" w:ascii="宋体" w:hAnsi="宋体" w:cs="宋体"/>
          <w:b/>
          <w:szCs w:val="21"/>
        </w:rPr>
        <w:t>供应商应当按照磋商文件的变动情况和磋商小组的要求，通过苏采云系统重新提交响应文件，并使用CA数字证书签章后提交。</w:t>
      </w:r>
    </w:p>
    <w:p w14:paraId="27E2E706">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6.1.2 磋商文件能够详细列明采购标的的技术、服务要求的，磋商结束后，磋商小组将要求所有实质性响应的供应商在规定时间内提交最后报价。</w:t>
      </w:r>
    </w:p>
    <w:p w14:paraId="46C59C68">
      <w:pPr>
        <w:tabs>
          <w:tab w:val="left" w:pos="900"/>
        </w:tabs>
        <w:spacing w:line="360" w:lineRule="auto"/>
        <w:ind w:firstLine="420" w:firstLineChars="200"/>
        <w:jc w:val="left"/>
        <w:rPr>
          <w:rFonts w:hint="eastAsia" w:ascii="宋体" w:hAnsi="宋体" w:cs="宋体"/>
          <w:b/>
          <w:szCs w:val="21"/>
        </w:rPr>
      </w:pPr>
      <w:r>
        <w:rPr>
          <w:rFonts w:hint="eastAsia" w:ascii="宋体" w:hAnsi="宋体" w:cs="宋体"/>
          <w:szCs w:val="21"/>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60E29B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0862DC2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6.1.3 供应商未在磋商小组规定的时间内完成最后报价的视为放弃磋商，其磋商响应按无效响应处理。</w:t>
      </w:r>
      <w:r>
        <w:rPr>
          <w:rFonts w:hint="eastAsia" w:ascii="宋体" w:hAnsi="宋体" w:cs="宋体"/>
          <w:b/>
          <w:szCs w:val="21"/>
        </w:rPr>
        <w:t>最后报价须通过</w:t>
      </w:r>
      <w:r>
        <w:rPr>
          <w:rFonts w:hint="eastAsia" w:ascii="宋体" w:hAnsi="宋体" w:cs="宋体"/>
          <w:b/>
          <w:bCs/>
          <w:szCs w:val="21"/>
        </w:rPr>
        <w:t>苏采云系统</w:t>
      </w:r>
      <w:r>
        <w:rPr>
          <w:rFonts w:hint="eastAsia" w:ascii="宋体" w:hAnsi="宋体" w:cs="宋体"/>
          <w:b/>
          <w:szCs w:val="21"/>
        </w:rPr>
        <w:t>作出，并使用CA数字证书签章后提交。</w:t>
      </w:r>
      <w:r>
        <w:rPr>
          <w:rFonts w:hint="eastAsia" w:ascii="宋体" w:hAnsi="宋体" w:cs="宋体"/>
          <w:szCs w:val="21"/>
        </w:rPr>
        <w:t>已提交响应文件的供应商，在提交最后报价之前，可以根据磋商情况退出磋商。</w:t>
      </w:r>
    </w:p>
    <w:p w14:paraId="53A3632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6.1.4 磋商小组认为供应商的最后磋商报价明显低于其他供应商的最后磋商报价，有可能影响产品质量或者不能诚信履约的，应当要求其在评审现场合理的时间内提供书面说明（通过评标系统发起），必要时提交相关证明材料；供应商不能证明其报价合理性的（通过苏采云系统作出），磋商小组应当将其作为无效响应处理。</w:t>
      </w:r>
    </w:p>
    <w:p w14:paraId="3E1FE3D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6.1.5 本项目各分项最终结算价按照首次磋商报价与最后报价同比例变动。</w:t>
      </w:r>
    </w:p>
    <w:p w14:paraId="6873FDE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6.2 评审方法和标准</w:t>
      </w:r>
    </w:p>
    <w:p w14:paraId="44DF6D9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6.2.1 评审方法。</w:t>
      </w:r>
      <w:r>
        <w:rPr>
          <w:rFonts w:hint="eastAsia" w:ascii="宋体" w:hAnsi="宋体" w:cs="宋体"/>
          <w:b/>
          <w:szCs w:val="21"/>
        </w:rPr>
        <w:t>经磋商确定最终采购需求和确定提交最后报价的供应商后，由磋商小组采用综合评分法对提交最后报价的供应商的响应文件和最后报价进行综合评分。</w:t>
      </w:r>
    </w:p>
    <w:p w14:paraId="4A7D07C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综合评分法，是指响应文件满足磋商文件全部实质性要求且按评审因素的量化指标评审得分最高的供应商为成交候选供应商的评审方法。</w:t>
      </w:r>
    </w:p>
    <w:p w14:paraId="39A17FF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评审时，磋商小组各成员独立对每个有效响应的文件进行评价、打分，然后汇总每个供应商每项评审因素的得分。</w:t>
      </w:r>
    </w:p>
    <w:p w14:paraId="03B80D6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6.2.2 评审标准</w:t>
      </w:r>
    </w:p>
    <w:p w14:paraId="46E762B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见本磋商文件第五章 评审方法和评审标准。</w:t>
      </w:r>
    </w:p>
    <w:p w14:paraId="35C1E9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6.2.3 评审报告</w:t>
      </w:r>
    </w:p>
    <w:p w14:paraId="6B1C65F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B810BD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6.3 采购活动终止的情况</w:t>
      </w:r>
    </w:p>
    <w:p w14:paraId="60B0708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出现下列情形之一的，本次磋商采购活动将被终止：</w:t>
      </w:r>
    </w:p>
    <w:p w14:paraId="6BDAC09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（1）因情况变化，不再符合规定的竞争性磋商采购方式适用情形的；</w:t>
      </w:r>
    </w:p>
    <w:p w14:paraId="421A515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（2）出现影响采购公正的违法、违规行为的；</w:t>
      </w:r>
    </w:p>
    <w:p w14:paraId="06B0632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（3）在采购过程中符合要求的供应商或者报价未超过采购预算（最高限价）的供应商只有1家的。</w:t>
      </w:r>
    </w:p>
    <w:bookmarkEnd w:id="158"/>
    <w:bookmarkEnd w:id="159"/>
    <w:bookmarkEnd w:id="160"/>
    <w:p w14:paraId="37D7DCFA">
      <w:pPr>
        <w:spacing w:line="360" w:lineRule="auto"/>
        <w:ind w:firstLine="420" w:firstLineChars="200"/>
        <w:jc w:val="left"/>
        <w:outlineLvl w:val="1"/>
        <w:rPr>
          <w:rFonts w:hint="eastAsia" w:ascii="宋体" w:hAnsi="宋体" w:cs="宋体"/>
          <w:bCs/>
          <w:szCs w:val="21"/>
        </w:rPr>
      </w:pPr>
      <w:bookmarkStart w:id="161" w:name="_Toc20440"/>
      <w:bookmarkStart w:id="162" w:name="_Toc12604"/>
      <w:bookmarkStart w:id="163" w:name="_Toc20886"/>
      <w:r>
        <w:rPr>
          <w:rFonts w:hint="eastAsia" w:ascii="宋体" w:hAnsi="宋体" w:cs="宋体"/>
          <w:bCs/>
          <w:szCs w:val="21"/>
        </w:rPr>
        <w:t>五、成交</w:t>
      </w:r>
      <w:bookmarkEnd w:id="161"/>
      <w:bookmarkEnd w:id="162"/>
      <w:bookmarkEnd w:id="163"/>
    </w:p>
    <w:p w14:paraId="6F45438D">
      <w:pPr>
        <w:tabs>
          <w:tab w:val="left" w:pos="900"/>
        </w:tabs>
        <w:spacing w:line="360" w:lineRule="auto"/>
        <w:ind w:firstLine="420" w:firstLineChars="200"/>
        <w:jc w:val="left"/>
        <w:rPr>
          <w:rFonts w:hint="eastAsia" w:ascii="宋体" w:hAnsi="宋体" w:cs="宋体"/>
          <w:szCs w:val="21"/>
        </w:rPr>
      </w:pPr>
      <w:bookmarkStart w:id="164" w:name="_Toc513029238"/>
      <w:bookmarkStart w:id="165" w:name="_Toc20823310"/>
      <w:bookmarkStart w:id="166" w:name="_Toc16938554"/>
      <w:r>
        <w:rPr>
          <w:rFonts w:hint="eastAsia" w:ascii="宋体" w:hAnsi="宋体" w:cs="宋体"/>
          <w:szCs w:val="21"/>
        </w:rPr>
        <w:t>1</w:t>
      </w:r>
      <w:bookmarkEnd w:id="164"/>
      <w:r>
        <w:rPr>
          <w:rFonts w:hint="eastAsia" w:ascii="宋体" w:hAnsi="宋体" w:cs="宋体"/>
          <w:szCs w:val="21"/>
        </w:rPr>
        <w:t>.确定</w:t>
      </w:r>
      <w:bookmarkEnd w:id="165"/>
      <w:bookmarkEnd w:id="166"/>
      <w:r>
        <w:rPr>
          <w:rFonts w:hint="eastAsia" w:ascii="宋体" w:hAnsi="宋体" w:cs="宋体"/>
          <w:szCs w:val="21"/>
        </w:rPr>
        <w:t>成交单位</w:t>
      </w:r>
    </w:p>
    <w:p w14:paraId="4F3D652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p>
    <w:p w14:paraId="015F00A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根据采购人的授权，磋商小组直接确定排名第一的成交候选供应商为成交供应商，采购代理机构将在江苏政府采购网公告成交结果，成交公告期限为1个工作日，同时向成交供应商发出成交通知书。</w:t>
      </w:r>
      <w:r>
        <w:rPr>
          <w:rFonts w:hint="eastAsia" w:ascii="宋体" w:hAnsi="宋体" w:cs="宋体"/>
          <w:b/>
          <w:szCs w:val="21"/>
        </w:rPr>
        <w:t>成交供应商在领取成交通知书时，需提供三份与电子响应文件一致的纸质打印胶装文件，须在封面、骑缝加盖公章。</w:t>
      </w:r>
    </w:p>
    <w:p w14:paraId="34A9054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2.成交供应商有下列情形之一的，将取消其成交资格：</w:t>
      </w:r>
    </w:p>
    <w:p w14:paraId="533D0D66">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（1）提供虚假材料谋取成交的；</w:t>
      </w:r>
    </w:p>
    <w:p w14:paraId="6837F0C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（2）与评审专家、采购人、其他供应商或者采购代理机构工作人员恶意串通的；</w:t>
      </w:r>
    </w:p>
    <w:p w14:paraId="451C3DCF">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（3）向评审专家、采购人或采购代理机构工作人员行贿或者提供其他不正当利益的；</w:t>
      </w:r>
    </w:p>
    <w:p w14:paraId="677C074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（4）不满足本磋商文件规定的实质性要求，但在评审过程中又未被磋商小组发现的；</w:t>
      </w:r>
    </w:p>
    <w:p w14:paraId="1C307A9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（5）成交后无正当理由拒不与采购人签订政府采购合同或者未按照磋商文件确定的事项签订政府采购合同的；</w:t>
      </w:r>
    </w:p>
    <w:p w14:paraId="0ADC1BD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（6）将政府采购合同转包的；</w:t>
      </w:r>
    </w:p>
    <w:p w14:paraId="392411C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（7）法律、法规、规章规定的其他属于成交无效的情形。</w:t>
      </w:r>
      <w:bookmarkStart w:id="167" w:name="_Toc20823309"/>
      <w:bookmarkStart w:id="168" w:name="_Toc513029237"/>
      <w:bookmarkStart w:id="169" w:name="_Toc16938553"/>
    </w:p>
    <w:p w14:paraId="37CA7B2C">
      <w:pPr>
        <w:spacing w:line="360" w:lineRule="auto"/>
        <w:ind w:firstLine="420" w:firstLineChars="200"/>
        <w:jc w:val="left"/>
        <w:outlineLvl w:val="1"/>
        <w:rPr>
          <w:rFonts w:hint="eastAsia" w:ascii="宋体" w:hAnsi="宋体" w:cs="宋体"/>
          <w:bCs/>
          <w:szCs w:val="21"/>
        </w:rPr>
      </w:pPr>
      <w:bookmarkStart w:id="170" w:name="_Toc16986"/>
      <w:bookmarkStart w:id="171" w:name="_Toc11420"/>
      <w:bookmarkStart w:id="172" w:name="_Toc25071"/>
      <w:r>
        <w:rPr>
          <w:rFonts w:hint="eastAsia" w:ascii="宋体" w:hAnsi="宋体" w:cs="宋体"/>
          <w:bCs/>
          <w:szCs w:val="21"/>
        </w:rPr>
        <w:t>六、合同签订相关事项</w:t>
      </w:r>
      <w:bookmarkEnd w:id="170"/>
      <w:bookmarkEnd w:id="171"/>
      <w:bookmarkEnd w:id="172"/>
    </w:p>
    <w:p w14:paraId="6DE4213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1.签订合同</w:t>
      </w:r>
    </w:p>
    <w:p w14:paraId="63DA6FA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1.l 成交供应商与采购人应当在成交通知书发出之日起30日内，按照磋商文件确定的合同文本以及采购标的、规格型号、采购金额、采购数量、技术和服务要求等事项签订政府采购合同。</w:t>
      </w:r>
    </w:p>
    <w:p w14:paraId="4DFB2B1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磋商文件、成交供应商的响应文件及磋商采购过程中有关澄清、承诺文件均作为合同附件。</w:t>
      </w:r>
    </w:p>
    <w:p w14:paraId="37B0289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 xml:space="preserve">1.3 </w:t>
      </w:r>
      <w:r>
        <w:rPr>
          <w:rFonts w:hint="eastAsia" w:ascii="宋体" w:hAnsi="宋体" w:cs="宋体"/>
          <w:b/>
          <w:szCs w:val="21"/>
        </w:rPr>
        <w:t>签订合同后，成交供应商不得将成交产品或服务进行转包。</w:t>
      </w:r>
      <w:r>
        <w:rPr>
          <w:rFonts w:hint="eastAsia" w:ascii="宋体" w:hAnsi="宋体" w:cs="宋体"/>
          <w:szCs w:val="21"/>
        </w:rPr>
        <w:t>未经采购人同意，成交供应商也不得采用分包的形式履行合同，否则采购人有权终止合同，成交供应商的履约保证金将不予退还。转包或分包造成采购人损失的，成交供应商应承担相应赔偿责任。</w:t>
      </w:r>
    </w:p>
    <w:p w14:paraId="7C129EB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2.履约保证金（</w:t>
      </w:r>
      <w:r>
        <w:rPr>
          <w:rFonts w:hint="eastAsia" w:ascii="宋体" w:hAnsi="宋体" w:cs="宋体"/>
          <w:b/>
          <w:bCs/>
          <w:szCs w:val="21"/>
        </w:rPr>
        <w:t>本项目不收取履约保证金</w:t>
      </w:r>
      <w:r>
        <w:rPr>
          <w:rFonts w:hint="eastAsia" w:ascii="宋体" w:hAnsi="宋体" w:cs="宋体"/>
          <w:szCs w:val="21"/>
        </w:rPr>
        <w:t>）</w:t>
      </w:r>
    </w:p>
    <w:p w14:paraId="715EEB1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2.1 履约保证金的数额不得超过政府采购合同金额的10%。成交供应商应当以支票、汇票、本票或者金融机构、担保机构出具的保函等非现金形式提交。</w:t>
      </w:r>
    </w:p>
    <w:p w14:paraId="616D44F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2.2 成交供应商违约的，采购人将按照合同约定扣除其全部或部分履约保证金。如成交供应商违约给采购人造成的损失超过履约保证金的，应当依法赔偿超过部分的损失。</w:t>
      </w:r>
    </w:p>
    <w:p w14:paraId="37FC9F5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2.3 履约保证金自合同生效之日起至合同约定的成交供应商主要义务履行完毕止，采购人应当按合同约定及时退还履约保证金。</w:t>
      </w:r>
    </w:p>
    <w:p w14:paraId="71788E2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2.4 逾期退还履约保证金的采购人承担违约责任，按照中国人民银行同期贷款基准利率向成交供应商支付超期资金占用费。</w:t>
      </w:r>
    </w:p>
    <w:p w14:paraId="38F1B8E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2.5 本项目履约保证金要求详见第四章 项目需求。</w:t>
      </w:r>
    </w:p>
    <w:p w14:paraId="2C4EFD7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3.履约验收</w:t>
      </w:r>
    </w:p>
    <w:p w14:paraId="6D5F652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p>
    <w:p w14:paraId="7FB83A3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99F5BD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p>
    <w:p w14:paraId="51929EDE">
      <w:pPr>
        <w:spacing w:line="360" w:lineRule="auto"/>
        <w:ind w:firstLine="420" w:firstLineChars="200"/>
        <w:jc w:val="left"/>
        <w:outlineLvl w:val="1"/>
        <w:rPr>
          <w:rFonts w:hint="eastAsia" w:ascii="宋体" w:hAnsi="宋体" w:cs="宋体"/>
          <w:bCs/>
          <w:szCs w:val="21"/>
        </w:rPr>
      </w:pPr>
      <w:bookmarkStart w:id="173" w:name="_Toc20821"/>
      <w:bookmarkStart w:id="174" w:name="_Toc28951"/>
      <w:bookmarkStart w:id="175" w:name="_Toc30946"/>
      <w:r>
        <w:rPr>
          <w:rFonts w:hint="eastAsia" w:ascii="宋体" w:hAnsi="宋体" w:cs="宋体"/>
          <w:bCs/>
          <w:szCs w:val="21"/>
        </w:rPr>
        <w:t>七、政策功能</w:t>
      </w:r>
      <w:bookmarkEnd w:id="173"/>
      <w:bookmarkEnd w:id="174"/>
      <w:bookmarkEnd w:id="175"/>
    </w:p>
    <w:bookmarkEnd w:id="167"/>
    <w:bookmarkEnd w:id="168"/>
    <w:bookmarkEnd w:id="169"/>
    <w:p w14:paraId="00E5961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1.支持中小企业发展</w:t>
      </w:r>
    </w:p>
    <w:p w14:paraId="02BC02B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1.1 本项目执行《关于印发〈政府采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成交价和合同签约价仍以其最后磋商报价为准。</w:t>
      </w:r>
    </w:p>
    <w:p w14:paraId="01C0105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1.2 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1ABF35A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1.3 参加政府采购活动的供应商享受价格评审优惠的应当提供的材料：</w:t>
      </w:r>
    </w:p>
    <w:p w14:paraId="347978B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（1）供应商为小型企业、微型企业的，提供《中小企业声明函》（第六章 竞争性磋商响应文件格式）。</w:t>
      </w:r>
    </w:p>
    <w:p w14:paraId="33180D4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（2）符合《关于促进残疾人就业政府采购政策的通知》（财库〔2017〕141号）规定的条件并提供《残疾人福利性单位声明函》（第六章 竞争性磋商响应文件格式）的残疾人福利性单位视同小型、微型企业。</w:t>
      </w:r>
    </w:p>
    <w:p w14:paraId="3CC1EA4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4B8C71F">
      <w:pPr>
        <w:tabs>
          <w:tab w:val="left" w:pos="900"/>
        </w:tabs>
        <w:spacing w:line="360" w:lineRule="auto"/>
        <w:ind w:firstLine="422" w:firstLineChars="200"/>
        <w:jc w:val="left"/>
        <w:rPr>
          <w:rFonts w:hint="eastAsia" w:ascii="宋体" w:hAnsi="宋体" w:cs="宋体"/>
          <w:b/>
          <w:bCs/>
          <w:szCs w:val="21"/>
        </w:rPr>
      </w:pPr>
      <w:r>
        <w:rPr>
          <w:rFonts w:hint="eastAsia" w:ascii="宋体" w:hAnsi="宋体" w:cs="宋体"/>
          <w:b/>
          <w:bCs/>
          <w:szCs w:val="21"/>
        </w:rPr>
        <w:t>因本项目专门面向中小企业采购，不再执行价格评审优惠的扶持政策。</w:t>
      </w:r>
    </w:p>
    <w:p w14:paraId="76459A4E">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2.支持绿色发展</w:t>
      </w:r>
    </w:p>
    <w:p w14:paraId="673D8D7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3F699E4C">
      <w:pPr>
        <w:spacing w:line="360" w:lineRule="auto"/>
        <w:ind w:firstLine="420" w:firstLineChars="200"/>
        <w:jc w:val="left"/>
        <w:outlineLvl w:val="1"/>
        <w:rPr>
          <w:rFonts w:hint="eastAsia" w:ascii="宋体" w:hAnsi="宋体" w:cs="宋体"/>
          <w:bCs/>
          <w:szCs w:val="21"/>
        </w:rPr>
      </w:pPr>
      <w:bookmarkStart w:id="176" w:name="_Toc25744"/>
      <w:bookmarkStart w:id="177" w:name="_Toc330"/>
      <w:bookmarkStart w:id="178" w:name="_Toc14147"/>
      <w:r>
        <w:rPr>
          <w:rFonts w:hint="eastAsia" w:ascii="宋体" w:hAnsi="宋体" w:cs="宋体"/>
          <w:bCs/>
          <w:szCs w:val="21"/>
        </w:rPr>
        <w:t>八、询问、质疑和投诉</w:t>
      </w:r>
      <w:bookmarkEnd w:id="176"/>
      <w:bookmarkEnd w:id="177"/>
      <w:bookmarkEnd w:id="178"/>
    </w:p>
    <w:p w14:paraId="51EA91B1">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1.询问</w:t>
      </w:r>
    </w:p>
    <w:p w14:paraId="2EE4031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C57C114">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2.质疑的提出</w:t>
      </w:r>
    </w:p>
    <w:p w14:paraId="4D9704C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2.1 提出质疑的供应商应当是参与所质疑项目采购活动的供应商。</w:t>
      </w:r>
    </w:p>
    <w:p w14:paraId="359FA2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宋体"/>
          <w:b/>
          <w:szCs w:val="21"/>
        </w:rPr>
        <w:t>未依照采购公告要求获取采购文件的供应商，视为未参与该项目的采购活动，不具备对该采购文件提出质疑的法定权利。</w:t>
      </w:r>
    </w:p>
    <w:p w14:paraId="481EA98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B59F3C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 xml:space="preserve">2.4 </w:t>
      </w:r>
      <w:r>
        <w:rPr>
          <w:rFonts w:hint="eastAsia" w:ascii="宋体" w:hAnsi="宋体" w:cs="宋体"/>
          <w:b/>
          <w:szCs w:val="21"/>
        </w:rPr>
        <w:t>质疑函的接收方式为供应商书面原件提交。</w:t>
      </w:r>
      <w:r>
        <w:rPr>
          <w:rFonts w:hint="eastAsia" w:ascii="宋体" w:hAnsi="宋体" w:cs="宋体"/>
          <w:szCs w:val="21"/>
        </w:rPr>
        <w:t>联系部门、联系电话和通讯地址详见本磋商文件“竞争性磋商采购邀请”。质疑实行实名制，不得进行虚假、恶意质疑。</w:t>
      </w:r>
    </w:p>
    <w:p w14:paraId="24E94C4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2.5 质疑函应当使用范本（详见连云港市政府采购交易平台－监管信息－意见反馈）。</w:t>
      </w:r>
    </w:p>
    <w:p w14:paraId="251FB109">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供应商提出质疑应当</w:t>
      </w:r>
      <w:r>
        <w:rPr>
          <w:rFonts w:hint="eastAsia" w:ascii="宋体" w:hAnsi="宋体" w:cs="宋体"/>
          <w:b/>
          <w:szCs w:val="21"/>
        </w:rPr>
        <w:t>提交质疑函和必要的证明材料</w:t>
      </w:r>
      <w:r>
        <w:rPr>
          <w:rFonts w:hint="eastAsia" w:ascii="宋体" w:hAnsi="宋体" w:cs="宋体"/>
          <w:szCs w:val="21"/>
        </w:rPr>
        <w:t>。应当包括下列内容：</w:t>
      </w:r>
    </w:p>
    <w:p w14:paraId="4BD76210">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（1）供应商的姓名或者名称、地址、邮编、联系人及联系电话；</w:t>
      </w:r>
    </w:p>
    <w:p w14:paraId="20D9D7B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（2）质疑项目的名称、编号；</w:t>
      </w:r>
    </w:p>
    <w:p w14:paraId="6034F0B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（3）具体、明确的质疑事项和与质疑事项相关的请求；</w:t>
      </w:r>
    </w:p>
    <w:p w14:paraId="6A02FAD6">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（4）事实依据；</w:t>
      </w:r>
    </w:p>
    <w:p w14:paraId="0F5DCE9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（5）必要的法律依据；</w:t>
      </w:r>
    </w:p>
    <w:p w14:paraId="1CCB5172">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（6）提出质疑的日期；</w:t>
      </w:r>
    </w:p>
    <w:p w14:paraId="3F004D0B">
      <w:pPr>
        <w:tabs>
          <w:tab w:val="left" w:pos="900"/>
        </w:tabs>
        <w:spacing w:line="360" w:lineRule="auto"/>
        <w:ind w:firstLine="420" w:firstLineChars="200"/>
        <w:jc w:val="left"/>
        <w:rPr>
          <w:rFonts w:hint="eastAsia" w:ascii="宋体" w:hAnsi="宋体" w:cs="宋体"/>
          <w:b/>
          <w:szCs w:val="21"/>
        </w:rPr>
      </w:pPr>
      <w:r>
        <w:rPr>
          <w:rFonts w:hint="eastAsia" w:ascii="宋体" w:hAnsi="宋体" w:cs="宋体"/>
          <w:szCs w:val="21"/>
        </w:rPr>
        <w:t>（7）</w:t>
      </w:r>
      <w:r>
        <w:rPr>
          <w:rFonts w:hint="eastAsia" w:ascii="宋体" w:hAnsi="宋体" w:cs="宋体"/>
          <w:b/>
          <w:szCs w:val="21"/>
        </w:rPr>
        <w:t>必要的证明材料；</w:t>
      </w:r>
    </w:p>
    <w:p w14:paraId="0998758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（8）采购文件（交易文件）下载回执函；</w:t>
      </w:r>
    </w:p>
    <w:p w14:paraId="38E2011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（9）营业执照复印件及授权委托书原件、法定代表人（单位负责人）身份证复印件、委托代理人身份证复印件。</w:t>
      </w:r>
    </w:p>
    <w:p w14:paraId="515137B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供应商为自然人的，应当由本人签字；供应商为法人或者其他组织的，应当由法定代表人、主要负责人，或者其委托代理人签字或者盖章，并加盖单位公章。</w:t>
      </w:r>
    </w:p>
    <w:p w14:paraId="33D2FED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3.质疑函的受理和答复</w:t>
      </w:r>
    </w:p>
    <w:p w14:paraId="40880B2C">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3.1 质疑供应商应当保证其提出的质疑事项及必要的证明材料的真实性及来源的合法性，并承担相应的法律责任。</w:t>
      </w:r>
      <w:r>
        <w:rPr>
          <w:rFonts w:hint="eastAsia" w:ascii="宋体" w:hAnsi="宋体" w:cs="宋体"/>
          <w:b/>
          <w:szCs w:val="21"/>
        </w:rPr>
        <w:t>对不能提供必要的证明材料的、涉及商业秘密的、非书面原件形式的、匿名的质疑函将不予受理</w:t>
      </w:r>
      <w:r>
        <w:rPr>
          <w:rFonts w:hint="eastAsia" w:ascii="宋体" w:hAnsi="宋体" w:cs="宋体"/>
          <w:szCs w:val="21"/>
        </w:rPr>
        <w:t>。必要的证明材料要具备客观性、关联性、合法性，无法查实的（如宣传册、媒体报道、猜测、推理等）不能作为证明材料。采购人、采购代理机构不负责搜集必要的证明材料等工作。</w:t>
      </w:r>
    </w:p>
    <w:p w14:paraId="3E217B3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581AE5A">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3.3 对不符合质疑要求的，采购人、采购代理机构有权要求其补充必要的证明材料，质疑供应商未在法定的时间内提供补充必要的证明材料的，视同放弃质疑。</w:t>
      </w:r>
    </w:p>
    <w:p w14:paraId="7B0A685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3.4 采购人、采购代理机构负责将质疑供应商提出的质疑函及相关材料提交评审委员会协助答复，并将答复意见回复质疑供应商。必要时，可向被质疑供应商转发《质疑函》及相关材料。被质疑供应商应当在要求的时间内，以书面形式作出说明并提交相关材料。</w:t>
      </w:r>
    </w:p>
    <w:p w14:paraId="5951D3E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4.质疑处理</w:t>
      </w:r>
    </w:p>
    <w:p w14:paraId="333B4053">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4.1 质疑供应商未按照法定程序进行质疑投诉的，视为一般失信行为。</w:t>
      </w:r>
    </w:p>
    <w:p w14:paraId="031F9037">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4.2 质疑供应商不配合或者采用不正当手段干扰政府采购质疑、投诉处理工作的，视为一般失信行为。</w:t>
      </w:r>
    </w:p>
    <w:p w14:paraId="6CEC3C35">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4.3 质疑供应商投诉受理期间，就同一事项多头举报，干扰财政部门投诉处理的，视为一般失信行为。</w:t>
      </w:r>
    </w:p>
    <w:p w14:paraId="3DCEC03B">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4.4 质疑供应商在全国范围12个月内三次以上质疑查无实据的，视为一般失信行为。</w:t>
      </w:r>
    </w:p>
    <w:p w14:paraId="3FB17578">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15F454DD">
      <w:pPr>
        <w:tabs>
          <w:tab w:val="left" w:pos="900"/>
        </w:tabs>
        <w:spacing w:line="360" w:lineRule="auto"/>
        <w:ind w:firstLine="420" w:firstLineChars="200"/>
        <w:jc w:val="left"/>
        <w:rPr>
          <w:rFonts w:hint="eastAsia" w:ascii="宋体" w:hAnsi="宋体" w:cs="宋体"/>
          <w:szCs w:val="21"/>
        </w:rPr>
      </w:pPr>
      <w:r>
        <w:rPr>
          <w:rFonts w:hint="eastAsia" w:ascii="宋体" w:hAnsi="宋体" w:cs="宋体"/>
          <w:szCs w:val="21"/>
        </w:rPr>
        <w:t>4.6未尽事宜，依照有关法律法规执行。</w:t>
      </w:r>
    </w:p>
    <w:p w14:paraId="596854B6">
      <w:pPr>
        <w:spacing w:line="360" w:lineRule="auto"/>
        <w:ind w:firstLine="420" w:firstLineChars="200"/>
        <w:jc w:val="left"/>
        <w:rPr>
          <w:rFonts w:hint="eastAsia" w:ascii="宋体" w:hAnsi="宋体" w:cs="宋体"/>
          <w:szCs w:val="21"/>
        </w:rPr>
      </w:pPr>
      <w:r>
        <w:rPr>
          <w:rFonts w:hint="eastAsia" w:ascii="宋体" w:hAnsi="宋体" w:cs="宋体"/>
          <w:szCs w:val="21"/>
        </w:rPr>
        <w:t>5.投诉</w:t>
      </w:r>
    </w:p>
    <w:p w14:paraId="1286AD53">
      <w:pPr>
        <w:spacing w:line="360" w:lineRule="auto"/>
        <w:ind w:firstLine="420" w:firstLineChars="200"/>
        <w:jc w:val="left"/>
        <w:rPr>
          <w:rFonts w:hint="eastAsia" w:ascii="宋体" w:hAnsi="宋体" w:cs="宋体"/>
          <w:szCs w:val="21"/>
        </w:rPr>
      </w:pPr>
      <w:r>
        <w:rPr>
          <w:rFonts w:hint="eastAsia" w:ascii="宋体" w:hAnsi="宋体" w:cs="宋体"/>
          <w:szCs w:val="21"/>
        </w:rPr>
        <w:t>投诉事项依照有关法律法规执行。</w:t>
      </w:r>
      <w:bookmarkStart w:id="179" w:name="_Toc465856613"/>
    </w:p>
    <w:p w14:paraId="53D8152E">
      <w:pPr>
        <w:spacing w:line="360" w:lineRule="auto"/>
        <w:ind w:firstLine="2640" w:firstLineChars="600"/>
        <w:jc w:val="left"/>
        <w:outlineLvl w:val="0"/>
        <w:rPr>
          <w:b/>
          <w:sz w:val="32"/>
          <w:szCs w:val="32"/>
        </w:rPr>
      </w:pPr>
      <w:r>
        <w:rPr>
          <w:rFonts w:hint="eastAsia" w:ascii="宋体" w:hAnsi="宋体" w:cs="宋体"/>
          <w:sz w:val="44"/>
          <w:szCs w:val="44"/>
        </w:rPr>
        <w:br w:type="page" w:clear="all"/>
      </w:r>
      <w:bookmarkStart w:id="180" w:name="_Toc5340"/>
      <w:r>
        <w:rPr>
          <w:rFonts w:hint="eastAsia" w:ascii="宋体" w:hAnsi="宋体" w:cs="宋体"/>
          <w:b/>
          <w:sz w:val="44"/>
          <w:szCs w:val="44"/>
        </w:rPr>
        <w:t>第三章 合同条款及格式</w:t>
      </w:r>
      <w:bookmarkEnd w:id="179"/>
      <w:bookmarkEnd w:id="180"/>
      <w:bookmarkStart w:id="181" w:name="_Toc465856614"/>
    </w:p>
    <w:p w14:paraId="23B167CB">
      <w:pPr>
        <w:spacing w:line="360" w:lineRule="auto"/>
        <w:jc w:val="center"/>
        <w:rPr>
          <w:b/>
          <w:sz w:val="28"/>
          <w:szCs w:val="28"/>
        </w:rPr>
      </w:pPr>
      <w:r>
        <w:rPr>
          <w:rFonts w:hint="eastAsia"/>
          <w:b/>
          <w:sz w:val="28"/>
          <w:szCs w:val="28"/>
        </w:rPr>
        <w:t>政府采购合同（服务）</w:t>
      </w:r>
    </w:p>
    <w:p w14:paraId="57DE1EA2">
      <w:pPr>
        <w:spacing w:line="360" w:lineRule="auto"/>
        <w:jc w:val="center"/>
        <w:rPr>
          <w:b/>
          <w:sz w:val="28"/>
          <w:szCs w:val="28"/>
        </w:rPr>
      </w:pPr>
      <w:r>
        <w:rPr>
          <w:rFonts w:hint="eastAsia"/>
          <w:b/>
          <w:sz w:val="28"/>
          <w:szCs w:val="28"/>
        </w:rPr>
        <w:t>（合同编号：        ）</w:t>
      </w:r>
    </w:p>
    <w:p w14:paraId="62B90F5F">
      <w:pPr>
        <w:spacing w:line="500" w:lineRule="exact"/>
        <w:jc w:val="left"/>
        <w:rPr>
          <w:sz w:val="24"/>
          <w:szCs w:val="24"/>
        </w:rPr>
      </w:pPr>
      <w:r>
        <w:rPr>
          <w:rFonts w:hint="eastAsia"/>
          <w:sz w:val="24"/>
          <w:szCs w:val="24"/>
        </w:rPr>
        <w:t>甲方：（买方）_________</w:t>
      </w:r>
    </w:p>
    <w:p w14:paraId="7E794BD6">
      <w:pPr>
        <w:spacing w:line="500" w:lineRule="exact"/>
        <w:jc w:val="left"/>
        <w:rPr>
          <w:sz w:val="24"/>
          <w:szCs w:val="24"/>
        </w:rPr>
      </w:pPr>
      <w:r>
        <w:rPr>
          <w:rFonts w:hint="eastAsia"/>
          <w:sz w:val="24"/>
          <w:szCs w:val="24"/>
        </w:rPr>
        <w:t>乙方：（卖方）_________</w:t>
      </w:r>
    </w:p>
    <w:p w14:paraId="7BEA8C20">
      <w:pPr>
        <w:spacing w:line="500" w:lineRule="exact"/>
        <w:ind w:firstLine="480" w:firstLineChars="200"/>
        <w:jc w:val="left"/>
        <w:rPr>
          <w:sz w:val="24"/>
          <w:szCs w:val="24"/>
        </w:rPr>
      </w:pPr>
      <w:r>
        <w:rPr>
          <w:rFonts w:hint="eastAsia"/>
          <w:sz w:val="24"/>
          <w:szCs w:val="24"/>
        </w:rPr>
        <w:t xml:space="preserve">甲、乙双方根据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r>
        <w:rPr>
          <w:rFonts w:hint="eastAsia"/>
          <w:sz w:val="24"/>
          <w:szCs w:val="24"/>
          <w:u w:val="single"/>
        </w:rPr>
        <w:t xml:space="preserve">               </w:t>
      </w:r>
      <w:r>
        <w:rPr>
          <w:rFonts w:hint="eastAsia"/>
          <w:sz w:val="24"/>
          <w:szCs w:val="24"/>
        </w:rPr>
        <w:t xml:space="preserve"> 项目（项目编号：</w:t>
      </w:r>
      <w:r>
        <w:rPr>
          <w:rFonts w:hint="eastAsia"/>
          <w:sz w:val="24"/>
          <w:szCs w:val="24"/>
          <w:u w:val="single"/>
        </w:rPr>
        <w:t xml:space="preserve">             </w:t>
      </w:r>
      <w:r>
        <w:rPr>
          <w:rFonts w:hint="eastAsia"/>
          <w:sz w:val="24"/>
          <w:szCs w:val="24"/>
        </w:rPr>
        <w:t>）竞争性磋商采购的结果，依据本项目采购文件和你方响应文件签订本合同。</w:t>
      </w:r>
    </w:p>
    <w:p w14:paraId="7C8E276C">
      <w:pPr>
        <w:spacing w:line="500" w:lineRule="exact"/>
        <w:ind w:firstLine="480"/>
        <w:jc w:val="left"/>
        <w:rPr>
          <w:rFonts w:hint="eastAsia" w:ascii="黑体" w:hAnsi="黑体" w:eastAsia="黑体"/>
          <w:sz w:val="24"/>
          <w:szCs w:val="24"/>
        </w:rPr>
      </w:pPr>
      <w:r>
        <w:rPr>
          <w:rFonts w:hint="eastAsia" w:ascii="黑体" w:hAnsi="黑体" w:eastAsia="黑体"/>
          <w:sz w:val="24"/>
          <w:szCs w:val="24"/>
        </w:rPr>
        <w:t>一、合同内容</w:t>
      </w:r>
    </w:p>
    <w:p w14:paraId="209C5F20">
      <w:pPr>
        <w:spacing w:line="500" w:lineRule="exact"/>
        <w:ind w:firstLine="480"/>
        <w:jc w:val="left"/>
        <w:rPr>
          <w:sz w:val="24"/>
          <w:szCs w:val="24"/>
        </w:rPr>
      </w:pPr>
      <w:r>
        <w:rPr>
          <w:rFonts w:hint="eastAsia"/>
          <w:sz w:val="24"/>
          <w:szCs w:val="24"/>
        </w:rPr>
        <w:t>1.1 服务内容：</w:t>
      </w:r>
      <w:r>
        <w:rPr>
          <w:rFonts w:hint="eastAsia"/>
          <w:sz w:val="24"/>
          <w:szCs w:val="24"/>
          <w:u w:val="single"/>
        </w:rPr>
        <w:t xml:space="preserve">      </w:t>
      </w:r>
      <w:r>
        <w:rPr>
          <w:rFonts w:hint="eastAsia"/>
          <w:sz w:val="24"/>
          <w:szCs w:val="24"/>
        </w:rPr>
        <w:t>。</w:t>
      </w:r>
    </w:p>
    <w:p w14:paraId="3566C1B5">
      <w:pPr>
        <w:spacing w:line="500" w:lineRule="exact"/>
        <w:ind w:firstLine="480"/>
        <w:jc w:val="left"/>
        <w:rPr>
          <w:sz w:val="24"/>
          <w:szCs w:val="24"/>
        </w:rPr>
      </w:pPr>
      <w:r>
        <w:rPr>
          <w:rFonts w:hint="eastAsia"/>
          <w:sz w:val="24"/>
          <w:szCs w:val="24"/>
        </w:rPr>
        <w:t>1.2 服务要求：</w:t>
      </w:r>
      <w:r>
        <w:rPr>
          <w:rFonts w:hint="eastAsia"/>
          <w:sz w:val="24"/>
          <w:szCs w:val="24"/>
          <w:u w:val="single"/>
        </w:rPr>
        <w:t xml:space="preserve">      </w:t>
      </w:r>
      <w:r>
        <w:rPr>
          <w:rFonts w:hint="eastAsia"/>
          <w:sz w:val="24"/>
          <w:szCs w:val="24"/>
        </w:rPr>
        <w:t>。</w:t>
      </w:r>
    </w:p>
    <w:p w14:paraId="6E32E839">
      <w:pPr>
        <w:spacing w:line="500" w:lineRule="exact"/>
        <w:ind w:firstLine="480"/>
        <w:jc w:val="left"/>
        <w:rPr>
          <w:sz w:val="24"/>
          <w:szCs w:val="24"/>
        </w:rPr>
      </w:pPr>
      <w:r>
        <w:rPr>
          <w:rFonts w:hint="eastAsia"/>
          <w:sz w:val="24"/>
          <w:szCs w:val="24"/>
        </w:rPr>
        <w:t>1.3 服务标准：</w:t>
      </w:r>
      <w:r>
        <w:rPr>
          <w:rFonts w:hint="eastAsia"/>
          <w:sz w:val="24"/>
          <w:szCs w:val="24"/>
          <w:u w:val="single"/>
        </w:rPr>
        <w:t xml:space="preserve">      </w:t>
      </w:r>
      <w:r>
        <w:rPr>
          <w:rFonts w:hint="eastAsia"/>
          <w:sz w:val="24"/>
          <w:szCs w:val="24"/>
        </w:rPr>
        <w:t>。</w:t>
      </w:r>
    </w:p>
    <w:p w14:paraId="6BAF008F">
      <w:pPr>
        <w:spacing w:line="500" w:lineRule="exact"/>
        <w:ind w:firstLine="480"/>
        <w:jc w:val="left"/>
        <w:rPr>
          <w:sz w:val="24"/>
          <w:szCs w:val="24"/>
        </w:rPr>
      </w:pPr>
      <w:r>
        <w:rPr>
          <w:rFonts w:hint="eastAsia"/>
          <w:sz w:val="24"/>
          <w:szCs w:val="24"/>
        </w:rPr>
        <w:t>1.4 补充条款：</w:t>
      </w:r>
      <w:r>
        <w:rPr>
          <w:rFonts w:hint="eastAsia"/>
          <w:sz w:val="24"/>
          <w:szCs w:val="24"/>
          <w:u w:val="single"/>
        </w:rPr>
        <w:t xml:space="preserve">      </w:t>
      </w:r>
      <w:r>
        <w:rPr>
          <w:rFonts w:hint="eastAsia"/>
          <w:sz w:val="24"/>
          <w:szCs w:val="24"/>
        </w:rPr>
        <w:t>。</w:t>
      </w:r>
    </w:p>
    <w:p w14:paraId="2F6336FB">
      <w:pPr>
        <w:spacing w:line="500" w:lineRule="exact"/>
        <w:ind w:firstLine="480"/>
        <w:jc w:val="left"/>
        <w:rPr>
          <w:rFonts w:hint="eastAsia" w:ascii="黑体" w:hAnsi="黑体" w:eastAsia="黑体"/>
          <w:sz w:val="24"/>
          <w:szCs w:val="24"/>
        </w:rPr>
      </w:pPr>
      <w:r>
        <w:rPr>
          <w:rFonts w:hint="eastAsia" w:ascii="黑体" w:hAnsi="黑体" w:eastAsia="黑体"/>
          <w:sz w:val="24"/>
          <w:szCs w:val="24"/>
        </w:rPr>
        <w:t>二、合同金额</w:t>
      </w:r>
    </w:p>
    <w:p w14:paraId="179DEA29">
      <w:pPr>
        <w:spacing w:line="500" w:lineRule="exact"/>
        <w:ind w:firstLine="480"/>
        <w:jc w:val="left"/>
        <w:rPr>
          <w:sz w:val="24"/>
          <w:szCs w:val="24"/>
        </w:rPr>
      </w:pPr>
      <w:r>
        <w:rPr>
          <w:rFonts w:hint="eastAsia"/>
          <w:sz w:val="24"/>
          <w:szCs w:val="24"/>
        </w:rPr>
        <w:t>2.1本合同金额为人民币（大写）：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1B60EA15">
      <w:pPr>
        <w:spacing w:line="500" w:lineRule="exact"/>
        <w:ind w:firstLine="480"/>
        <w:jc w:val="left"/>
        <w:rPr>
          <w:sz w:val="24"/>
          <w:szCs w:val="24"/>
        </w:rPr>
      </w:pPr>
      <w:r>
        <w:rPr>
          <w:rFonts w:hint="eastAsia"/>
          <w:sz w:val="24"/>
          <w:szCs w:val="24"/>
        </w:rPr>
        <w:t>2.2本合同价款包含所有乙方提供合同约定产品和服务的报酬及乙方提供合同约定产品和服务所支出的必要费用，甲方在上述合同价款之外不再向乙方支付其他任何费用。</w:t>
      </w:r>
    </w:p>
    <w:p w14:paraId="37BE5AD4">
      <w:pPr>
        <w:spacing w:line="500" w:lineRule="exact"/>
        <w:ind w:firstLine="480"/>
        <w:jc w:val="left"/>
        <w:rPr>
          <w:rFonts w:hint="eastAsia" w:ascii="黑体" w:hAnsi="黑体" w:eastAsia="黑体"/>
          <w:sz w:val="24"/>
          <w:szCs w:val="24"/>
        </w:rPr>
      </w:pPr>
      <w:r>
        <w:rPr>
          <w:rFonts w:hint="eastAsia" w:ascii="黑体" w:hAnsi="黑体" w:eastAsia="黑体"/>
          <w:sz w:val="24"/>
          <w:szCs w:val="24"/>
        </w:rPr>
        <w:t>三、技术资料</w:t>
      </w:r>
    </w:p>
    <w:p w14:paraId="3CDF2FB6">
      <w:pPr>
        <w:spacing w:line="500" w:lineRule="exact"/>
        <w:ind w:firstLine="480"/>
        <w:jc w:val="left"/>
        <w:rPr>
          <w:sz w:val="24"/>
          <w:szCs w:val="24"/>
        </w:rPr>
      </w:pPr>
      <w:r>
        <w:rPr>
          <w:rFonts w:hint="eastAsia"/>
          <w:sz w:val="24"/>
          <w:szCs w:val="24"/>
        </w:rPr>
        <w:t>3.1乙方应按磋商文件规定的时间向甲方提供有关</w:t>
      </w:r>
      <w:r>
        <w:rPr>
          <w:rFonts w:ascii="宋体" w:hAnsi="宋体"/>
          <w:color w:val="000000"/>
          <w:sz w:val="24"/>
        </w:rPr>
        <w:t>技术资料</w:t>
      </w:r>
      <w:r>
        <w:rPr>
          <w:rFonts w:hint="eastAsia"/>
          <w:sz w:val="24"/>
          <w:szCs w:val="24"/>
        </w:rPr>
        <w:t>。</w:t>
      </w:r>
    </w:p>
    <w:p w14:paraId="40A088BA">
      <w:pPr>
        <w:spacing w:line="500" w:lineRule="exact"/>
        <w:ind w:firstLine="480"/>
        <w:jc w:val="left"/>
        <w:rPr>
          <w:sz w:val="24"/>
          <w:szCs w:val="24"/>
        </w:rPr>
      </w:pPr>
      <w:r>
        <w:rPr>
          <w:rFonts w:hint="eastAsia"/>
          <w:sz w:val="24"/>
          <w:szCs w:val="24"/>
        </w:rPr>
        <w:t>3.2没有甲方事先书面同意，乙方不得将由甲方提供的有关合同或任何合同条文、计划或资料提供给与履行本合同无关的任何其他人。即使向履行本合同有关的人员提供，也应注意保密并限于履行合同的必需范围。</w:t>
      </w:r>
    </w:p>
    <w:p w14:paraId="5E2DDDE5">
      <w:pPr>
        <w:spacing w:line="500" w:lineRule="exact"/>
        <w:ind w:firstLine="480"/>
        <w:jc w:val="left"/>
        <w:rPr>
          <w:rFonts w:hint="eastAsia" w:ascii="黑体" w:hAnsi="黑体" w:eastAsia="黑体"/>
          <w:sz w:val="24"/>
          <w:szCs w:val="24"/>
        </w:rPr>
      </w:pPr>
      <w:r>
        <w:rPr>
          <w:rFonts w:hint="eastAsia" w:ascii="黑体" w:hAnsi="黑体" w:eastAsia="黑体"/>
          <w:sz w:val="24"/>
          <w:szCs w:val="24"/>
        </w:rPr>
        <w:t>四、知识产权（如有）</w:t>
      </w:r>
    </w:p>
    <w:p w14:paraId="49248294">
      <w:pPr>
        <w:spacing w:line="500" w:lineRule="exact"/>
        <w:ind w:firstLine="480"/>
        <w:jc w:val="left"/>
        <w:rPr>
          <w:sz w:val="24"/>
          <w:szCs w:val="24"/>
        </w:rPr>
      </w:pPr>
      <w:r>
        <w:rPr>
          <w:rFonts w:hint="eastAsia"/>
          <w:sz w:val="24"/>
          <w:szCs w:val="24"/>
        </w:rPr>
        <w:t>4.1乙方应保证甲方在使用、接受本合同产品和服务或其任何一部分时不受第三方提出侵犯其专利权、版权、商标权和工业设计权等知识产权的起诉。一旦出现侵权，由乙方负全部责任。</w:t>
      </w:r>
    </w:p>
    <w:p w14:paraId="4C53D38F">
      <w:pPr>
        <w:spacing w:line="500" w:lineRule="exact"/>
        <w:ind w:firstLine="480"/>
        <w:jc w:val="left"/>
        <w:rPr>
          <w:rFonts w:hint="eastAsia" w:ascii="黑体" w:hAnsi="黑体" w:eastAsia="黑体"/>
          <w:sz w:val="24"/>
          <w:szCs w:val="24"/>
        </w:rPr>
      </w:pPr>
      <w:r>
        <w:rPr>
          <w:rFonts w:hint="eastAsia" w:ascii="黑体" w:hAnsi="黑体" w:eastAsia="黑体"/>
          <w:sz w:val="24"/>
          <w:szCs w:val="24"/>
        </w:rPr>
        <w:t>五、产权担保</w:t>
      </w:r>
    </w:p>
    <w:p w14:paraId="4EC31BBA">
      <w:pPr>
        <w:spacing w:line="500" w:lineRule="exact"/>
        <w:ind w:firstLine="480"/>
        <w:jc w:val="left"/>
        <w:rPr>
          <w:sz w:val="24"/>
          <w:szCs w:val="24"/>
        </w:rPr>
      </w:pPr>
      <w:r>
        <w:rPr>
          <w:rFonts w:hint="eastAsia"/>
          <w:sz w:val="24"/>
          <w:szCs w:val="24"/>
        </w:rPr>
        <w:t>5.1乙方保证所交付标的的所有权完全属于乙方且无任何抵押、查封等产权瑕疵。</w:t>
      </w:r>
    </w:p>
    <w:p w14:paraId="0C1AC0B2">
      <w:pPr>
        <w:spacing w:line="500" w:lineRule="exact"/>
        <w:ind w:firstLine="480"/>
        <w:jc w:val="left"/>
        <w:rPr>
          <w:rFonts w:hint="eastAsia" w:ascii="黑体" w:hAnsi="黑体" w:eastAsia="黑体"/>
          <w:sz w:val="24"/>
          <w:szCs w:val="24"/>
        </w:rPr>
      </w:pPr>
      <w:r>
        <w:rPr>
          <w:rFonts w:hint="eastAsia" w:ascii="黑体" w:hAnsi="黑体" w:eastAsia="黑体"/>
          <w:sz w:val="24"/>
          <w:szCs w:val="24"/>
        </w:rPr>
        <w:t>六、履约保证金</w:t>
      </w:r>
    </w:p>
    <w:p w14:paraId="088E55B1">
      <w:pPr>
        <w:spacing w:line="500" w:lineRule="exact"/>
        <w:ind w:firstLine="480"/>
        <w:jc w:val="left"/>
        <w:rPr>
          <w:sz w:val="24"/>
          <w:szCs w:val="24"/>
        </w:rPr>
      </w:pPr>
      <w:r>
        <w:rPr>
          <w:rFonts w:hint="eastAsia"/>
          <w:sz w:val="24"/>
          <w:szCs w:val="24"/>
        </w:rPr>
        <w:t>6.1本合同不收取履约保证金。</w:t>
      </w:r>
    </w:p>
    <w:p w14:paraId="576B03C6">
      <w:pPr>
        <w:spacing w:line="500" w:lineRule="exact"/>
        <w:ind w:firstLine="480"/>
        <w:jc w:val="left"/>
        <w:rPr>
          <w:rFonts w:hint="eastAsia" w:ascii="黑体" w:hAnsi="黑体" w:eastAsia="黑体"/>
          <w:sz w:val="24"/>
          <w:szCs w:val="24"/>
        </w:rPr>
      </w:pPr>
      <w:r>
        <w:rPr>
          <w:rFonts w:hint="eastAsia" w:ascii="黑体" w:hAnsi="黑体" w:eastAsia="黑体"/>
          <w:sz w:val="24"/>
          <w:szCs w:val="24"/>
        </w:rPr>
        <w:t>七、合同转包或分包</w:t>
      </w:r>
    </w:p>
    <w:p w14:paraId="0AE7EEB6">
      <w:pPr>
        <w:spacing w:line="500" w:lineRule="exact"/>
        <w:ind w:firstLine="480"/>
        <w:jc w:val="left"/>
        <w:rPr>
          <w:sz w:val="24"/>
          <w:szCs w:val="24"/>
        </w:rPr>
      </w:pPr>
      <w:r>
        <w:rPr>
          <w:rFonts w:hint="eastAsia"/>
          <w:sz w:val="24"/>
          <w:szCs w:val="24"/>
        </w:rPr>
        <w:t>7.1本合同范围内产品或服务，应由乙方直接供应，不得转让他人供应或部分分包给他人供应。</w:t>
      </w:r>
    </w:p>
    <w:p w14:paraId="54D46246">
      <w:pPr>
        <w:spacing w:line="500" w:lineRule="exact"/>
        <w:ind w:firstLine="480"/>
        <w:jc w:val="left"/>
        <w:rPr>
          <w:sz w:val="24"/>
          <w:szCs w:val="24"/>
        </w:rPr>
      </w:pPr>
      <w:r>
        <w:rPr>
          <w:rFonts w:hint="eastAsia"/>
          <w:sz w:val="24"/>
          <w:szCs w:val="24"/>
        </w:rPr>
        <w:t>7.2如有转让和未经甲方同意的分包行为，甲方有权</w:t>
      </w:r>
      <w:r>
        <w:rPr>
          <w:sz w:val="24"/>
          <w:szCs w:val="24"/>
        </w:rPr>
        <w:t>单方即时解除本合同，并要求乙方赔偿甲方因此遭受的全部损失（包括但不限于第三方代履行产生的差价费用、行政罚款、对第三方的赔偿等）。</w:t>
      </w:r>
      <w:r>
        <w:rPr>
          <w:rFonts w:hint="eastAsia"/>
          <w:sz w:val="24"/>
          <w:szCs w:val="24"/>
        </w:rPr>
        <w:t>。</w:t>
      </w:r>
    </w:p>
    <w:p w14:paraId="171F5CA1">
      <w:pPr>
        <w:spacing w:line="500" w:lineRule="exact"/>
        <w:ind w:firstLine="480"/>
        <w:jc w:val="left"/>
        <w:rPr>
          <w:rFonts w:hint="eastAsia" w:ascii="黑体" w:hAnsi="黑体" w:eastAsia="黑体"/>
          <w:sz w:val="24"/>
          <w:szCs w:val="24"/>
        </w:rPr>
      </w:pPr>
      <w:r>
        <w:rPr>
          <w:rFonts w:hint="eastAsia" w:ascii="黑体" w:hAnsi="黑体" w:eastAsia="黑体"/>
          <w:sz w:val="24"/>
          <w:szCs w:val="24"/>
        </w:rPr>
        <w:t>八、服务时间</w:t>
      </w:r>
    </w:p>
    <w:p w14:paraId="1F83189F">
      <w:pPr>
        <w:spacing w:line="500" w:lineRule="exact"/>
        <w:ind w:firstLine="480"/>
        <w:jc w:val="left"/>
        <w:rPr>
          <w:rFonts w:hint="eastAsia" w:ascii="黑体" w:hAnsi="黑体" w:eastAsia="黑体"/>
          <w:sz w:val="24"/>
          <w:szCs w:val="24"/>
        </w:rPr>
      </w:pPr>
      <w:r>
        <w:rPr>
          <w:rFonts w:hint="eastAsia"/>
          <w:sz w:val="24"/>
          <w:szCs w:val="24"/>
        </w:rPr>
        <w:t>8.1服务时间：</w:t>
      </w:r>
      <w:r>
        <w:rPr>
          <w:rFonts w:hint="eastAsia"/>
          <w:sz w:val="24"/>
          <w:szCs w:val="24"/>
          <w:u w:val="single"/>
        </w:rPr>
        <w:t xml:space="preserve">         </w:t>
      </w:r>
      <w:r>
        <w:rPr>
          <w:rFonts w:hint="eastAsia" w:ascii="黑体" w:hAnsi="黑体" w:eastAsia="黑体"/>
          <w:sz w:val="24"/>
          <w:szCs w:val="24"/>
        </w:rPr>
        <w:t>。</w:t>
      </w:r>
    </w:p>
    <w:p w14:paraId="668F7B9E">
      <w:pPr>
        <w:spacing w:line="500" w:lineRule="exact"/>
        <w:ind w:firstLine="480"/>
        <w:jc w:val="left"/>
        <w:rPr>
          <w:rFonts w:hint="eastAsia" w:ascii="黑体" w:hAnsi="黑体" w:eastAsia="黑体"/>
          <w:sz w:val="24"/>
          <w:szCs w:val="24"/>
        </w:rPr>
      </w:pPr>
      <w:r>
        <w:rPr>
          <w:rFonts w:hint="eastAsia" w:ascii="黑体" w:hAnsi="黑体" w:eastAsia="黑体"/>
          <w:sz w:val="24"/>
          <w:szCs w:val="24"/>
        </w:rPr>
        <w:t>九、</w:t>
      </w:r>
      <w:r>
        <w:rPr>
          <w:rFonts w:hint="eastAsia" w:hAnsi="宋体"/>
          <w:b/>
          <w:color w:val="000000"/>
          <w:sz w:val="24"/>
        </w:rPr>
        <w:t>服务</w:t>
      </w:r>
      <w:r>
        <w:rPr>
          <w:rFonts w:hAnsi="宋体"/>
          <w:b/>
          <w:color w:val="000000"/>
          <w:sz w:val="24"/>
        </w:rPr>
        <w:t>期、</w:t>
      </w:r>
      <w:r>
        <w:rPr>
          <w:rFonts w:hint="eastAsia" w:hAnsi="宋体"/>
          <w:b/>
          <w:color w:val="000000"/>
          <w:sz w:val="24"/>
        </w:rPr>
        <w:t>服务</w:t>
      </w:r>
      <w:r>
        <w:rPr>
          <w:rFonts w:hAnsi="宋体"/>
          <w:b/>
          <w:color w:val="000000"/>
          <w:sz w:val="24"/>
        </w:rPr>
        <w:t>方式及</w:t>
      </w:r>
      <w:r>
        <w:rPr>
          <w:rFonts w:hint="eastAsia" w:hAnsi="宋体"/>
          <w:b/>
          <w:color w:val="000000"/>
          <w:sz w:val="24"/>
        </w:rPr>
        <w:t>服务</w:t>
      </w:r>
      <w:r>
        <w:rPr>
          <w:rFonts w:hAnsi="宋体"/>
          <w:b/>
          <w:color w:val="000000"/>
          <w:sz w:val="24"/>
        </w:rPr>
        <w:t>地点</w:t>
      </w:r>
    </w:p>
    <w:p w14:paraId="105600F3">
      <w:pPr>
        <w:spacing w:line="500" w:lineRule="exact"/>
        <w:ind w:firstLine="480"/>
        <w:jc w:val="left"/>
        <w:rPr>
          <w:sz w:val="24"/>
          <w:szCs w:val="24"/>
        </w:rPr>
      </w:pPr>
      <w:r>
        <w:rPr>
          <w:rFonts w:hint="eastAsia"/>
          <w:sz w:val="24"/>
          <w:szCs w:val="24"/>
        </w:rPr>
        <w:t>9.1服务期：</w:t>
      </w:r>
      <w:r>
        <w:rPr>
          <w:rFonts w:hint="eastAsia"/>
          <w:sz w:val="24"/>
          <w:szCs w:val="24"/>
          <w:u w:val="single"/>
        </w:rPr>
        <w:t xml:space="preserve">         </w:t>
      </w:r>
      <w:r>
        <w:rPr>
          <w:rFonts w:hint="eastAsia"/>
          <w:sz w:val="24"/>
          <w:szCs w:val="24"/>
        </w:rPr>
        <w:t>。</w:t>
      </w:r>
    </w:p>
    <w:p w14:paraId="6DACA2B2">
      <w:pPr>
        <w:spacing w:line="500" w:lineRule="exact"/>
        <w:ind w:firstLine="480"/>
        <w:jc w:val="left"/>
        <w:rPr>
          <w:sz w:val="24"/>
          <w:szCs w:val="24"/>
        </w:rPr>
      </w:pPr>
      <w:r>
        <w:rPr>
          <w:rFonts w:hint="eastAsia"/>
          <w:sz w:val="24"/>
          <w:szCs w:val="24"/>
        </w:rPr>
        <w:t>9.2服务方式：_________。</w:t>
      </w:r>
    </w:p>
    <w:p w14:paraId="28CF34CC">
      <w:pPr>
        <w:spacing w:line="500" w:lineRule="exact"/>
        <w:ind w:firstLine="480"/>
        <w:jc w:val="left"/>
        <w:rPr>
          <w:sz w:val="24"/>
          <w:szCs w:val="24"/>
        </w:rPr>
      </w:pPr>
      <w:r>
        <w:rPr>
          <w:rFonts w:hint="eastAsia"/>
          <w:sz w:val="24"/>
          <w:szCs w:val="24"/>
        </w:rPr>
        <w:t>9.3服务地点：_________。</w:t>
      </w:r>
    </w:p>
    <w:p w14:paraId="3F0B2BC8">
      <w:pPr>
        <w:spacing w:line="500" w:lineRule="exact"/>
        <w:ind w:firstLine="480"/>
        <w:jc w:val="left"/>
        <w:rPr>
          <w:sz w:val="24"/>
          <w:szCs w:val="24"/>
        </w:rPr>
      </w:pPr>
      <w:r>
        <w:rPr>
          <w:rFonts w:hint="eastAsia"/>
          <w:sz w:val="24"/>
          <w:szCs w:val="24"/>
        </w:rPr>
        <w:t>9.4乙方明确本项目负责人为：</w:t>
      </w:r>
      <w:r>
        <w:rPr>
          <w:rFonts w:hint="eastAsia"/>
          <w:sz w:val="24"/>
          <w:szCs w:val="24"/>
          <w:u w:val="single"/>
        </w:rPr>
        <w:t xml:space="preserve">       </w:t>
      </w:r>
      <w:r>
        <w:rPr>
          <w:rFonts w:hint="eastAsia"/>
          <w:sz w:val="24"/>
          <w:szCs w:val="24"/>
        </w:rPr>
        <w:t>，合同期间若更换项目负责人，需经甲方同意。乙方未经甲方书面同意变更项目负责人，每次承担违约金10万元。</w:t>
      </w:r>
    </w:p>
    <w:p w14:paraId="5B11D256">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十、合同款支付</w:t>
      </w:r>
    </w:p>
    <w:p w14:paraId="2DDE039C">
      <w:pPr>
        <w:spacing w:before="79" w:line="480" w:lineRule="exact"/>
        <w:ind w:firstLine="480" w:firstLineChars="200"/>
        <w:rPr>
          <w:sz w:val="24"/>
          <w:szCs w:val="24"/>
        </w:rPr>
      </w:pPr>
      <w:r>
        <w:rPr>
          <w:rFonts w:hint="eastAsia"/>
          <w:sz w:val="24"/>
          <w:szCs w:val="24"/>
        </w:rPr>
        <w:t>10.1付款方式：甲方根据考核办法于次月上旬核定当月实付款并及时向乙方支付费用，每月实付费用=每月应付费用-</w:t>
      </w:r>
      <w:r>
        <w:rPr>
          <w:sz w:val="24"/>
          <w:szCs w:val="24"/>
        </w:rPr>
        <w:t>按考核得分计算的绩效扣款-按考核标准单项违规扣款金额累计的罚款总额</w:t>
      </w:r>
      <w:r>
        <w:rPr>
          <w:rFonts w:hint="eastAsia"/>
          <w:sz w:val="24"/>
          <w:szCs w:val="24"/>
        </w:rPr>
        <w:t>。</w:t>
      </w:r>
    </w:p>
    <w:p w14:paraId="62992C18">
      <w:pPr>
        <w:spacing w:before="79" w:line="480" w:lineRule="exact"/>
        <w:ind w:firstLine="480" w:firstLineChars="200"/>
        <w:rPr>
          <w:rFonts w:hint="eastAsia" w:ascii="宋体" w:hAnsi="宋体"/>
          <w:color w:val="000000"/>
          <w:sz w:val="24"/>
          <w:szCs w:val="24"/>
          <w:highlight w:val="yellow"/>
        </w:rPr>
      </w:pPr>
      <w:r>
        <w:rPr>
          <w:rFonts w:hint="eastAsia"/>
          <w:sz w:val="24"/>
          <w:szCs w:val="24"/>
        </w:rPr>
        <w:t>甲方在收到乙方出具相关票据后，经核准无误并于十个工作日内支付乙方。乙方未能提供约定的税票之前，甲方有权拒付款项，且不承担任何延期付款责任。</w:t>
      </w:r>
    </w:p>
    <w:p w14:paraId="6E021E95">
      <w:pPr>
        <w:spacing w:before="79" w:line="480" w:lineRule="exact"/>
        <w:ind w:firstLine="480" w:firstLineChars="200"/>
        <w:rPr>
          <w:sz w:val="24"/>
          <w:szCs w:val="24"/>
        </w:rPr>
      </w:pPr>
      <w:r>
        <w:rPr>
          <w:rFonts w:hint="eastAsia"/>
          <w:sz w:val="24"/>
          <w:szCs w:val="24"/>
        </w:rPr>
        <w:t>10.2合同期内因规划调整、建设需要或其他原因发生服务场地增减的，</w:t>
      </w:r>
      <w:r>
        <w:rPr>
          <w:sz w:val="24"/>
          <w:szCs w:val="24"/>
        </w:rPr>
        <w:t>须以甲方书面通知为准。未经甲方书面确认的面积增加，甲方不予支付额外费用。经甲方确认的场地增减，费用按中标总价除以磋商文件约定的总绿化面积折算出的每平方米单价进行据实调整。因场地增减导致的年度合同金额调整幅度不得超过原合同总价的10%，超出部分需另行签订补充协议或重新采购。</w:t>
      </w:r>
      <w:r>
        <w:rPr>
          <w:rFonts w:hint="eastAsia"/>
          <w:sz w:val="24"/>
          <w:szCs w:val="24"/>
        </w:rPr>
        <w:t>自办理移交并安排进场之日起计算费用。</w:t>
      </w:r>
    </w:p>
    <w:p w14:paraId="58405F22">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十一、税费</w:t>
      </w:r>
    </w:p>
    <w:p w14:paraId="3BB12E5A">
      <w:pPr>
        <w:spacing w:line="500" w:lineRule="exact"/>
        <w:ind w:firstLine="480"/>
        <w:jc w:val="left"/>
        <w:rPr>
          <w:sz w:val="24"/>
          <w:szCs w:val="24"/>
        </w:rPr>
      </w:pPr>
      <w:r>
        <w:rPr>
          <w:rFonts w:hint="eastAsia"/>
          <w:sz w:val="24"/>
          <w:szCs w:val="24"/>
        </w:rPr>
        <w:t>11.1本合同执行中相关的一切税费均由乙方负担。</w:t>
      </w:r>
    </w:p>
    <w:p w14:paraId="39518288">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十二、质量保证及售后服务</w:t>
      </w:r>
    </w:p>
    <w:p w14:paraId="4824CAC4">
      <w:pPr>
        <w:spacing w:line="500" w:lineRule="exact"/>
        <w:ind w:firstLine="480"/>
        <w:jc w:val="left"/>
        <w:rPr>
          <w:sz w:val="24"/>
          <w:szCs w:val="24"/>
        </w:rPr>
      </w:pPr>
      <w:r>
        <w:rPr>
          <w:rFonts w:hint="eastAsia"/>
          <w:sz w:val="24"/>
          <w:szCs w:val="24"/>
        </w:rPr>
        <w:t>12.1乙方应按磋商文件规定和响应文件承诺的性能、技术要求、质量标准向甲方提供产品或服务。</w:t>
      </w:r>
    </w:p>
    <w:p w14:paraId="0F6AF8CE">
      <w:pPr>
        <w:spacing w:line="500" w:lineRule="exact"/>
        <w:ind w:firstLine="480"/>
        <w:jc w:val="left"/>
        <w:rPr>
          <w:sz w:val="24"/>
          <w:szCs w:val="24"/>
        </w:rPr>
      </w:pPr>
      <w:r>
        <w:rPr>
          <w:rFonts w:hint="eastAsia"/>
          <w:sz w:val="24"/>
          <w:szCs w:val="24"/>
        </w:rPr>
        <w:t>12.2乙方提供的产品或服务在服务期内因其本身出现质量问题，根据实际情况，经双方协商，可按以下办法处理：</w:t>
      </w:r>
    </w:p>
    <w:p w14:paraId="1542056A">
      <w:pPr>
        <w:spacing w:line="500" w:lineRule="exact"/>
        <w:ind w:firstLine="480"/>
        <w:jc w:val="left"/>
        <w:rPr>
          <w:sz w:val="24"/>
          <w:szCs w:val="24"/>
        </w:rPr>
      </w:pPr>
      <w:r>
        <w:rPr>
          <w:rFonts w:hint="eastAsia"/>
          <w:sz w:val="24"/>
          <w:szCs w:val="24"/>
        </w:rPr>
        <w:t>（1）更换：由乙方承担所产生的全部费用。</w:t>
      </w:r>
    </w:p>
    <w:p w14:paraId="1E473A30">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7FA978AA">
      <w:pPr>
        <w:spacing w:line="500" w:lineRule="exact"/>
        <w:ind w:firstLine="480"/>
        <w:jc w:val="left"/>
        <w:rPr>
          <w:sz w:val="24"/>
          <w:szCs w:val="24"/>
        </w:rPr>
      </w:pPr>
      <w:r>
        <w:rPr>
          <w:rFonts w:hint="eastAsia"/>
          <w:sz w:val="24"/>
          <w:szCs w:val="24"/>
        </w:rPr>
        <w:t>12.3如在使用过程中发生质量问题，乙方在接到甲方通知后小时内到达甲方现场。</w:t>
      </w:r>
    </w:p>
    <w:p w14:paraId="41E3D308">
      <w:pPr>
        <w:spacing w:line="500" w:lineRule="exact"/>
        <w:ind w:firstLine="480"/>
        <w:jc w:val="left"/>
        <w:rPr>
          <w:sz w:val="24"/>
          <w:szCs w:val="24"/>
        </w:rPr>
      </w:pPr>
      <w:r>
        <w:rPr>
          <w:rFonts w:hint="eastAsia"/>
          <w:sz w:val="24"/>
          <w:szCs w:val="24"/>
        </w:rPr>
        <w:t>12.4项目在服务期内出现的质量及安全问题由乙方负责处理解决并承担一切费用。</w:t>
      </w:r>
    </w:p>
    <w:p w14:paraId="17F68974">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十三、项目验收</w:t>
      </w:r>
    </w:p>
    <w:p w14:paraId="280CE78A">
      <w:pPr>
        <w:spacing w:line="500" w:lineRule="exact"/>
        <w:ind w:firstLine="480"/>
        <w:jc w:val="left"/>
        <w:rPr>
          <w:sz w:val="24"/>
          <w:szCs w:val="24"/>
        </w:rPr>
      </w:pPr>
      <w:r>
        <w:rPr>
          <w:rFonts w:hint="eastAsia"/>
          <w:sz w:val="24"/>
          <w:szCs w:val="24"/>
        </w:rPr>
        <w:t>13.1甲方依法组织履约验收工作。</w:t>
      </w:r>
    </w:p>
    <w:p w14:paraId="7E6112AD">
      <w:pPr>
        <w:spacing w:line="500" w:lineRule="exact"/>
        <w:ind w:firstLine="480"/>
        <w:jc w:val="left"/>
        <w:rPr>
          <w:sz w:val="24"/>
          <w:szCs w:val="24"/>
        </w:rPr>
      </w:pPr>
      <w:r>
        <w:rPr>
          <w:rFonts w:hint="eastAsia"/>
          <w:sz w:val="24"/>
          <w:szCs w:val="24"/>
        </w:rPr>
        <w:t>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956E16">
      <w:pPr>
        <w:spacing w:line="500" w:lineRule="exact"/>
        <w:ind w:firstLine="480"/>
        <w:jc w:val="left"/>
        <w:rPr>
          <w:sz w:val="24"/>
          <w:szCs w:val="24"/>
        </w:rPr>
      </w:pPr>
      <w:r>
        <w:rPr>
          <w:rFonts w:hint="eastAsia"/>
          <w:sz w:val="24"/>
          <w:szCs w:val="24"/>
        </w:rPr>
        <w:t>13.3对于实际使用人和甲方分离的项目，甲方邀请实际使用人参与验收。</w:t>
      </w:r>
    </w:p>
    <w:p w14:paraId="1A9A86CA">
      <w:pPr>
        <w:spacing w:line="500" w:lineRule="exact"/>
        <w:ind w:firstLine="480"/>
        <w:jc w:val="left"/>
        <w:rPr>
          <w:sz w:val="24"/>
          <w:szCs w:val="24"/>
        </w:rPr>
      </w:pPr>
      <w:r>
        <w:rPr>
          <w:rFonts w:hint="eastAsia"/>
          <w:sz w:val="24"/>
          <w:szCs w:val="24"/>
        </w:rPr>
        <w:t>13.4如有必要，甲方邀请参加本项目的其他供应商或第三方专业机构及专家参与验收，相关意见将作为验收书的参考资料。</w:t>
      </w:r>
    </w:p>
    <w:p w14:paraId="00D6E1C7">
      <w:pPr>
        <w:spacing w:line="500" w:lineRule="exact"/>
        <w:ind w:firstLine="480"/>
        <w:jc w:val="left"/>
        <w:rPr>
          <w:sz w:val="24"/>
          <w:szCs w:val="24"/>
        </w:rPr>
      </w:pPr>
      <w:r>
        <w:rPr>
          <w:rFonts w:hint="eastAsia"/>
          <w:sz w:val="24"/>
          <w:szCs w:val="24"/>
        </w:rPr>
        <w:t>13.5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958C5EF">
      <w:pPr>
        <w:spacing w:line="500" w:lineRule="exact"/>
        <w:ind w:firstLine="480"/>
        <w:jc w:val="left"/>
        <w:rPr>
          <w:sz w:val="24"/>
          <w:szCs w:val="24"/>
        </w:rPr>
      </w:pPr>
      <w:r>
        <w:rPr>
          <w:rFonts w:hint="eastAsia"/>
          <w:sz w:val="24"/>
          <w:szCs w:val="24"/>
        </w:rPr>
        <w:t>13.6验收合格的项目，甲方根据采购合同的约定及时向乙方支付合同款项、退还履约保证金。验收不合格的项目，甲方依法及时处理。采购合同的履行、违约责任和解决争议的方式等适用《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0759AC5D">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十四、违约责任</w:t>
      </w:r>
    </w:p>
    <w:p w14:paraId="23649CDD">
      <w:pPr>
        <w:spacing w:line="500" w:lineRule="exact"/>
        <w:ind w:firstLine="480"/>
        <w:jc w:val="left"/>
        <w:rPr>
          <w:sz w:val="24"/>
          <w:szCs w:val="24"/>
        </w:rPr>
      </w:pPr>
      <w:r>
        <w:rPr>
          <w:rFonts w:hint="eastAsia"/>
          <w:sz w:val="24"/>
          <w:szCs w:val="24"/>
        </w:rPr>
        <w:t>14.1</w:t>
      </w:r>
      <w:r>
        <w:rPr>
          <w:sz w:val="24"/>
          <w:szCs w:val="24"/>
        </w:rPr>
        <w:t>乙方未按合同约定的服务标准和人员配置提供服务的，甲方有权要求限期整改并扣减相应服务费，情节严重的甲方有权解除合同。</w:t>
      </w:r>
      <w:r>
        <w:rPr>
          <w:rFonts w:hint="eastAsia"/>
          <w:sz w:val="24"/>
          <w:szCs w:val="24"/>
        </w:rPr>
        <w:t>。</w:t>
      </w:r>
    </w:p>
    <w:p w14:paraId="17ED607C">
      <w:pPr>
        <w:spacing w:line="500" w:lineRule="exact"/>
        <w:ind w:firstLine="480"/>
        <w:jc w:val="left"/>
        <w:rPr>
          <w:sz w:val="24"/>
          <w:szCs w:val="24"/>
        </w:rPr>
      </w:pPr>
      <w:r>
        <w:rPr>
          <w:rFonts w:hint="eastAsia"/>
          <w:sz w:val="24"/>
          <w:szCs w:val="24"/>
        </w:rPr>
        <w:t>14.3乙方</w:t>
      </w:r>
      <w:r>
        <w:rPr>
          <w:sz w:val="24"/>
          <w:szCs w:val="24"/>
        </w:rPr>
        <w:t>未按</w:t>
      </w:r>
      <w:r>
        <w:rPr>
          <w:rFonts w:hint="eastAsia"/>
          <w:sz w:val="24"/>
          <w:szCs w:val="24"/>
        </w:rPr>
        <w:t>期</w:t>
      </w:r>
      <w:r>
        <w:rPr>
          <w:sz w:val="24"/>
          <w:szCs w:val="24"/>
        </w:rPr>
        <w:t>进场提供服务或服务中断</w:t>
      </w:r>
      <w:r>
        <w:rPr>
          <w:rFonts w:hint="eastAsia"/>
          <w:sz w:val="24"/>
          <w:szCs w:val="24"/>
        </w:rPr>
        <w:t>的，乙方应按逾期</w:t>
      </w:r>
      <w:r>
        <w:rPr>
          <w:sz w:val="24"/>
          <w:szCs w:val="24"/>
        </w:rPr>
        <w:t>天数</w:t>
      </w:r>
      <w:r>
        <w:rPr>
          <w:rFonts w:hint="eastAsia"/>
          <w:sz w:val="24"/>
          <w:szCs w:val="24"/>
        </w:rPr>
        <w:t>每日向甲方支付</w:t>
      </w:r>
      <w:r>
        <w:rPr>
          <w:sz w:val="24"/>
          <w:szCs w:val="24"/>
        </w:rPr>
        <w:t>合同总额千分之五的</w:t>
      </w:r>
      <w:r>
        <w:rPr>
          <w:rFonts w:hint="eastAsia"/>
          <w:sz w:val="24"/>
          <w:szCs w:val="24"/>
        </w:rPr>
        <w:t>违约金，由甲方从待付合同款中扣除，</w:t>
      </w:r>
      <w:r>
        <w:rPr>
          <w:rFonts w:hint="eastAsia"/>
          <w:color w:val="000000"/>
          <w:sz w:val="24"/>
          <w:szCs w:val="24"/>
        </w:rPr>
        <w:t>最高限额为本合同总额的</w:t>
      </w:r>
      <w:r>
        <w:rPr>
          <w:color w:val="000000"/>
          <w:sz w:val="24"/>
          <w:szCs w:val="24"/>
        </w:rPr>
        <w:t>百分之十</w:t>
      </w:r>
      <w:r>
        <w:rPr>
          <w:rFonts w:hint="eastAsia"/>
          <w:sz w:val="24"/>
          <w:szCs w:val="24"/>
        </w:rPr>
        <w:t>。逾期超过</w:t>
      </w:r>
      <w:r>
        <w:rPr>
          <w:sz w:val="24"/>
          <w:szCs w:val="24"/>
        </w:rPr>
        <w:t>15</w:t>
      </w:r>
      <w:r>
        <w:rPr>
          <w:rFonts w:hint="eastAsia"/>
          <w:sz w:val="24"/>
          <w:szCs w:val="24"/>
        </w:rPr>
        <w:t>日的，甲方可解除本合同。乙方因逾期交付或因其他违约行为导致甲方解除合同的，乙方应向甲方支付合同总额</w:t>
      </w:r>
      <w:r>
        <w:rPr>
          <w:sz w:val="24"/>
          <w:szCs w:val="24"/>
        </w:rPr>
        <w:t>百分之二十</w:t>
      </w:r>
      <w:r>
        <w:rPr>
          <w:rFonts w:hint="eastAsia"/>
          <w:sz w:val="24"/>
          <w:szCs w:val="24"/>
        </w:rPr>
        <w:t>的违约金，如造成甲方损失超过违约金的，超出部分由乙方继续承担赔偿责任。</w:t>
      </w:r>
    </w:p>
    <w:p w14:paraId="2744CD0E">
      <w:pPr>
        <w:spacing w:line="500" w:lineRule="exact"/>
        <w:ind w:firstLine="480"/>
        <w:jc w:val="left"/>
        <w:rPr>
          <w:sz w:val="24"/>
          <w:szCs w:val="24"/>
        </w:rPr>
      </w:pPr>
      <w:r>
        <w:rPr>
          <w:rFonts w:hint="eastAsia"/>
          <w:sz w:val="24"/>
          <w:szCs w:val="24"/>
        </w:rPr>
        <w:t>14.4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566D601B">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十五、不可抗力事件处理</w:t>
      </w:r>
    </w:p>
    <w:p w14:paraId="253FB425">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.1在合同有效期内，任何一方因不可抗力事件导致不能履行合同的，则合同履行期可延长，其延长期与不可抗力影响期相同。</w:t>
      </w:r>
    </w:p>
    <w:p w14:paraId="77F0CF25">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.2不可抗力事件发生后，应立即通知对方，并寄送有关权威机构出具的证明。</w:t>
      </w:r>
    </w:p>
    <w:p w14:paraId="741A9A72">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.3不可抗力事件延续120天以上，双方应通过友好协商，确定是否继续履行合同。</w:t>
      </w:r>
    </w:p>
    <w:p w14:paraId="2F8CBCCC">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十六、解决争议的方法</w:t>
      </w:r>
    </w:p>
    <w:p w14:paraId="6A9CB62A">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7C76B9CC">
      <w:pPr>
        <w:spacing w:line="500" w:lineRule="exact"/>
        <w:ind w:firstLine="480"/>
        <w:jc w:val="left"/>
        <w:rPr>
          <w:sz w:val="24"/>
          <w:szCs w:val="24"/>
        </w:rPr>
      </w:pPr>
      <w:r>
        <w:rPr>
          <w:rFonts w:hint="eastAsia"/>
          <w:sz w:val="24"/>
          <w:szCs w:val="24"/>
        </w:rPr>
        <w:t>（1）向灌南县仲裁委员会申请仲裁。</w:t>
      </w:r>
    </w:p>
    <w:p w14:paraId="060B79BF">
      <w:pPr>
        <w:spacing w:line="500" w:lineRule="exact"/>
        <w:ind w:firstLine="480"/>
        <w:jc w:val="left"/>
        <w:rPr>
          <w:sz w:val="24"/>
          <w:szCs w:val="24"/>
        </w:rPr>
      </w:pPr>
      <w:r>
        <w:rPr>
          <w:rFonts w:hint="eastAsia"/>
          <w:sz w:val="24"/>
          <w:szCs w:val="24"/>
        </w:rPr>
        <w:t>（2）向合同签订地法院起诉，合同签订地在此约定为灌南县。</w:t>
      </w:r>
    </w:p>
    <w:p w14:paraId="27792E6D">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十七、合同生效及其他</w:t>
      </w:r>
    </w:p>
    <w:p w14:paraId="18AE0CFF">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.1合同经双方法定代表人或授权代表签字并加盖单位公章后生效。</w:t>
      </w:r>
    </w:p>
    <w:p w14:paraId="62FA464F">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.2本合同未尽事宜，遵照</w:t>
      </w:r>
      <w:r>
        <w:rPr>
          <w:rFonts w:hint="eastAsia"/>
          <w:color w:val="000000"/>
          <w:sz w:val="24"/>
        </w:rPr>
        <w:t>《中华人民共和国民法典》《中华人民共和国</w:t>
      </w:r>
      <w:r>
        <w:rPr>
          <w:rFonts w:hint="eastAsia"/>
          <w:sz w:val="24"/>
          <w:szCs w:val="24"/>
        </w:rPr>
        <w:t>政府采购法》等有关条文执行。</w:t>
      </w:r>
    </w:p>
    <w:p w14:paraId="50B05A00">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.3本合同正本一式四份，具有同等法律效力，甲方执两份、乙方执一份，甲方报一份至政府采购监督管理部门。</w:t>
      </w:r>
    </w:p>
    <w:p w14:paraId="3A87619D">
      <w:pPr>
        <w:spacing w:line="500" w:lineRule="exact"/>
        <w:ind w:firstLine="480"/>
        <w:jc w:val="left"/>
        <w:rPr>
          <w:sz w:val="24"/>
          <w:szCs w:val="24"/>
        </w:rPr>
      </w:pPr>
    </w:p>
    <w:p w14:paraId="3BCCB0B4">
      <w:pPr>
        <w:spacing w:line="500" w:lineRule="exact"/>
        <w:ind w:firstLine="480"/>
        <w:jc w:val="left"/>
        <w:rPr>
          <w:sz w:val="24"/>
          <w:szCs w:val="24"/>
        </w:rPr>
      </w:pPr>
    </w:p>
    <w:p w14:paraId="6AACA282">
      <w:pPr>
        <w:spacing w:line="500" w:lineRule="exact"/>
        <w:ind w:firstLine="480"/>
        <w:jc w:val="left"/>
        <w:rPr>
          <w:sz w:val="24"/>
          <w:szCs w:val="24"/>
        </w:rPr>
      </w:pPr>
      <w:r>
        <w:rPr>
          <w:rFonts w:hint="eastAsia"/>
          <w:sz w:val="24"/>
          <w:szCs w:val="24"/>
        </w:rPr>
        <w:t>甲方：                             乙方：</w:t>
      </w:r>
    </w:p>
    <w:p w14:paraId="68AEFFEB">
      <w:pPr>
        <w:spacing w:line="500" w:lineRule="exact"/>
        <w:ind w:firstLine="480"/>
        <w:jc w:val="left"/>
        <w:rPr>
          <w:sz w:val="24"/>
          <w:szCs w:val="24"/>
        </w:rPr>
      </w:pPr>
      <w:r>
        <w:rPr>
          <w:rFonts w:hint="eastAsia"/>
          <w:sz w:val="24"/>
          <w:szCs w:val="24"/>
        </w:rPr>
        <w:t>地址：                             地址：</w:t>
      </w:r>
    </w:p>
    <w:p w14:paraId="70A882B9">
      <w:pPr>
        <w:spacing w:line="500" w:lineRule="exact"/>
        <w:ind w:firstLine="480"/>
        <w:jc w:val="left"/>
        <w:rPr>
          <w:sz w:val="24"/>
          <w:szCs w:val="24"/>
        </w:rPr>
      </w:pPr>
      <w:r>
        <w:rPr>
          <w:rFonts w:hint="eastAsia"/>
          <w:sz w:val="24"/>
          <w:szCs w:val="24"/>
        </w:rPr>
        <w:t>法定代表人或授权代表：             法定代表人或授权代表：</w:t>
      </w:r>
    </w:p>
    <w:p w14:paraId="7136E39B">
      <w:pPr>
        <w:spacing w:line="500" w:lineRule="exact"/>
        <w:ind w:firstLine="480"/>
        <w:jc w:val="left"/>
        <w:rPr>
          <w:sz w:val="24"/>
          <w:szCs w:val="24"/>
        </w:rPr>
      </w:pPr>
      <w:r>
        <w:rPr>
          <w:rFonts w:hint="eastAsia"/>
          <w:sz w:val="24"/>
          <w:szCs w:val="24"/>
        </w:rPr>
        <w:t>联系电话：                         联系电话：</w:t>
      </w:r>
    </w:p>
    <w:p w14:paraId="0FD8174E">
      <w:pPr>
        <w:spacing w:line="500" w:lineRule="exact"/>
        <w:ind w:firstLine="480"/>
        <w:rPr>
          <w:sz w:val="24"/>
          <w:szCs w:val="24"/>
        </w:rPr>
      </w:pPr>
      <w:r>
        <w:rPr>
          <w:rFonts w:hint="eastAsia"/>
          <w:sz w:val="24"/>
          <w:szCs w:val="24"/>
        </w:rPr>
        <w:t>签订日期：年   月   日</w:t>
      </w:r>
    </w:p>
    <w:p w14:paraId="5DC063CD">
      <w:pPr>
        <w:widowControl/>
        <w:jc w:val="left"/>
        <w:rPr>
          <w:sz w:val="24"/>
          <w:szCs w:val="24"/>
        </w:rPr>
      </w:pPr>
      <w:r>
        <w:rPr>
          <w:sz w:val="24"/>
          <w:szCs w:val="24"/>
        </w:rPr>
        <w:br w:type="page" w:clear="all"/>
      </w:r>
    </w:p>
    <w:p w14:paraId="64197599">
      <w:pPr>
        <w:spacing w:line="360" w:lineRule="auto"/>
        <w:jc w:val="center"/>
        <w:outlineLvl w:val="0"/>
        <w:rPr>
          <w:rStyle w:val="14"/>
        </w:rPr>
      </w:pPr>
      <w:bookmarkStart w:id="182" w:name="_Toc15214"/>
      <w:r>
        <w:rPr>
          <w:rFonts w:hint="eastAsia" w:ascii="宋体" w:hAnsi="宋体" w:cs="宋体"/>
          <w:sz w:val="44"/>
          <w:szCs w:val="44"/>
        </w:rPr>
        <w:t>第四章 项目需求</w:t>
      </w:r>
      <w:bookmarkEnd w:id="181"/>
      <w:bookmarkEnd w:id="182"/>
    </w:p>
    <w:p w14:paraId="3FC15CCD">
      <w:pPr>
        <w:spacing w:line="440" w:lineRule="exact"/>
        <w:ind w:firstLine="482"/>
        <w:rPr>
          <w:rFonts w:hint="eastAsia" w:ascii="宋体" w:hAnsi="宋体" w:cs="宋体"/>
          <w:b/>
          <w:bCs/>
          <w:sz w:val="24"/>
          <w:szCs w:val="24"/>
        </w:rPr>
      </w:pPr>
      <w:r>
        <w:rPr>
          <w:rFonts w:hint="eastAsia" w:ascii="宋体" w:hAnsi="宋体" w:cs="宋体"/>
          <w:b/>
          <w:bCs/>
          <w:sz w:val="24"/>
          <w:szCs w:val="24"/>
        </w:rPr>
        <w:t>说明：项目采购方式为</w:t>
      </w:r>
      <w:r>
        <w:rPr>
          <w:rFonts w:hint="eastAsia" w:ascii="宋体" w:hAnsi="宋体" w:cs="宋体"/>
          <w:b/>
          <w:bCs/>
          <w:sz w:val="24"/>
          <w:szCs w:val="24"/>
          <w:u w:val="single"/>
        </w:rPr>
        <w:t>竞争性磋商</w:t>
      </w:r>
      <w:r>
        <w:rPr>
          <w:rFonts w:hint="eastAsia" w:ascii="宋体" w:hAnsi="宋体" w:cs="宋体"/>
          <w:b/>
          <w:bCs/>
          <w:sz w:val="24"/>
          <w:szCs w:val="24"/>
        </w:rPr>
        <w:t>，项目属性为</w:t>
      </w:r>
      <w:r>
        <w:rPr>
          <w:rFonts w:hint="eastAsia" w:ascii="宋体" w:hAnsi="宋体" w:cs="宋体"/>
          <w:b/>
          <w:bCs/>
          <w:sz w:val="24"/>
          <w:szCs w:val="24"/>
          <w:u w:val="single"/>
        </w:rPr>
        <w:t>服务</w:t>
      </w:r>
      <w:r>
        <w:rPr>
          <w:rFonts w:hint="eastAsia" w:ascii="宋体" w:hAnsi="宋体" w:cs="宋体"/>
          <w:b/>
          <w:bCs/>
          <w:sz w:val="24"/>
          <w:szCs w:val="24"/>
        </w:rPr>
        <w:t>，采购标的对应的中小企业划分标准所属行业为</w:t>
      </w:r>
      <w:r>
        <w:rPr>
          <w:rFonts w:hint="eastAsia" w:ascii="宋体" w:hAnsi="宋体" w:cs="宋体"/>
          <w:b/>
          <w:bCs/>
          <w:sz w:val="24"/>
          <w:szCs w:val="24"/>
          <w:u w:val="single"/>
        </w:rPr>
        <w:t>　其他未列明行业　</w:t>
      </w:r>
      <w:r>
        <w:rPr>
          <w:rFonts w:hint="eastAsia" w:ascii="宋体" w:hAnsi="宋体" w:cs="宋体"/>
          <w:b/>
          <w:bCs/>
          <w:sz w:val="24"/>
          <w:szCs w:val="24"/>
        </w:rPr>
        <w:t>。</w:t>
      </w:r>
    </w:p>
    <w:p w14:paraId="781205BA">
      <w:pPr>
        <w:spacing w:line="440" w:lineRule="exact"/>
        <w:ind w:firstLine="482"/>
        <w:jc w:val="left"/>
        <w:rPr>
          <w:rFonts w:hint="eastAsia" w:ascii="宋体" w:hAnsi="宋体" w:cs="宋体"/>
          <w:szCs w:val="24"/>
        </w:rPr>
      </w:pPr>
      <w:r>
        <w:rPr>
          <w:rFonts w:hint="eastAsia" w:ascii="宋体" w:hAnsi="宋体" w:cs="宋体"/>
          <w:b/>
          <w:bCs/>
          <w:sz w:val="24"/>
          <w:szCs w:val="24"/>
        </w:rPr>
        <w:t>本项目需求中标注★号的款项为实质性要求和条件，由采购人根据实际情况设置，磋商供应商必须逐条明确作出满足实质性要求和条件的响应，否则按照无效响应处理。</w:t>
      </w:r>
    </w:p>
    <w:p w14:paraId="39724E29">
      <w:pPr>
        <w:autoSpaceDE w:val="0"/>
        <w:autoSpaceDN w:val="0"/>
        <w:adjustRightInd w:val="0"/>
        <w:spacing w:line="380" w:lineRule="exact"/>
        <w:ind w:firstLine="562" w:firstLineChars="200"/>
        <w:rPr>
          <w:rFonts w:hint="eastAsia" w:ascii="宋体" w:hAnsi="宋体" w:cs="MS Mincho"/>
          <w:b/>
          <w:bCs/>
          <w:sz w:val="28"/>
          <w:szCs w:val="28"/>
        </w:rPr>
      </w:pPr>
      <w:bookmarkStart w:id="183" w:name="_Toc465856615"/>
      <w:bookmarkStart w:id="184" w:name="_Toc61149622"/>
      <w:bookmarkStart w:id="185" w:name="_Toc23828480"/>
      <w:bookmarkStart w:id="186" w:name="_Toc26554097"/>
      <w:r>
        <w:rPr>
          <w:rFonts w:hint="eastAsia" w:ascii="宋体" w:hAnsi="宋体" w:cs="MS Mincho"/>
          <w:b/>
          <w:bCs/>
          <w:sz w:val="28"/>
          <w:szCs w:val="28"/>
        </w:rPr>
        <w:t>一、项目概况</w:t>
      </w:r>
    </w:p>
    <w:p w14:paraId="712D5149">
      <w:pPr>
        <w:widowControl/>
        <w:spacing w:line="460" w:lineRule="exact"/>
        <w:ind w:firstLine="480" w:firstLineChars="200"/>
        <w:rPr>
          <w:rFonts w:hint="eastAsia" w:ascii="宋体" w:hAnsi="宋体"/>
          <w:sz w:val="24"/>
        </w:rPr>
      </w:pPr>
      <w:r>
        <w:rPr>
          <w:rFonts w:hint="eastAsia" w:ascii="宋体" w:hAnsi="宋体"/>
          <w:sz w:val="24"/>
        </w:rPr>
        <w:t>本项目共有27个公园保洁服务地点如下（最终面积以现场实际面积为准）：</w:t>
      </w:r>
    </w:p>
    <w:tbl>
      <w:tblPr>
        <w:tblStyle w:val="12"/>
        <w:tblW w:w="9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9"/>
        <w:gridCol w:w="2306"/>
        <w:gridCol w:w="6536"/>
      </w:tblGrid>
      <w:tr w14:paraId="280A4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blHeader/>
        </w:trPr>
        <w:tc>
          <w:tcPr>
            <w:tcW w:w="709" w:type="dxa"/>
            <w:vAlign w:val="center"/>
          </w:tcPr>
          <w:p w14:paraId="729447EA">
            <w:pPr>
              <w:jc w:val="center"/>
              <w:rPr>
                <w:rFonts w:hint="eastAsia" w:ascii="宋体" w:hAnsi="宋体" w:cs="宋体"/>
                <w:b/>
                <w:bCs/>
                <w:spacing w:val="-6"/>
                <w:szCs w:val="21"/>
              </w:rPr>
            </w:pPr>
            <w:r>
              <w:rPr>
                <w:rFonts w:ascii="宋体" w:hAnsi="宋体" w:cs="宋体"/>
                <w:b/>
                <w:bCs/>
                <w:spacing w:val="-6"/>
                <w:szCs w:val="21"/>
              </w:rPr>
              <w:t>序号</w:t>
            </w:r>
          </w:p>
        </w:tc>
        <w:tc>
          <w:tcPr>
            <w:tcW w:w="2306" w:type="dxa"/>
            <w:vAlign w:val="center"/>
          </w:tcPr>
          <w:p w14:paraId="3D97D983">
            <w:pPr>
              <w:jc w:val="center"/>
              <w:rPr>
                <w:rFonts w:hint="eastAsia" w:ascii="宋体" w:hAnsi="宋体" w:cs="宋体"/>
                <w:b/>
                <w:bCs/>
                <w:spacing w:val="-6"/>
                <w:szCs w:val="21"/>
              </w:rPr>
            </w:pPr>
            <w:r>
              <w:rPr>
                <w:rFonts w:hint="eastAsia" w:ascii="宋体" w:hAnsi="宋体" w:cs="宋体"/>
                <w:b/>
                <w:bCs/>
                <w:spacing w:val="-6"/>
                <w:szCs w:val="21"/>
              </w:rPr>
              <w:t>服务地点</w:t>
            </w:r>
          </w:p>
        </w:tc>
        <w:tc>
          <w:tcPr>
            <w:tcW w:w="6536" w:type="dxa"/>
            <w:vAlign w:val="center"/>
          </w:tcPr>
          <w:p w14:paraId="05805A06">
            <w:pPr>
              <w:jc w:val="center"/>
              <w:rPr>
                <w:rFonts w:hint="eastAsia" w:ascii="宋体" w:hAnsi="宋体" w:cs="宋体"/>
                <w:szCs w:val="21"/>
              </w:rPr>
            </w:pPr>
            <w:r>
              <w:rPr>
                <w:rFonts w:ascii="宋体" w:hAnsi="宋体" w:cs="宋体"/>
                <w:b/>
                <w:bCs/>
                <w:spacing w:val="-6"/>
                <w:szCs w:val="21"/>
              </w:rPr>
              <w:t>项目概况</w:t>
            </w:r>
          </w:p>
        </w:tc>
      </w:tr>
      <w:tr w14:paraId="7C1CA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09" w:type="dxa"/>
            <w:vAlign w:val="center"/>
          </w:tcPr>
          <w:p w14:paraId="2E3BDB3F">
            <w:pPr>
              <w:jc w:val="center"/>
              <w:rPr>
                <w:rFonts w:hint="eastAsia" w:ascii="宋体" w:hAnsi="宋体" w:cs="宋体"/>
                <w:szCs w:val="21"/>
              </w:rPr>
            </w:pPr>
            <w:r>
              <w:rPr>
                <w:rFonts w:ascii="宋体" w:hAnsi="宋体" w:cs="宋体"/>
                <w:szCs w:val="21"/>
              </w:rPr>
              <w:t>1</w:t>
            </w:r>
          </w:p>
        </w:tc>
        <w:tc>
          <w:tcPr>
            <w:tcW w:w="2306" w:type="dxa"/>
            <w:vAlign w:val="center"/>
          </w:tcPr>
          <w:p w14:paraId="4956D7B4">
            <w:pPr>
              <w:jc w:val="center"/>
              <w:rPr>
                <w:rFonts w:hint="eastAsia" w:ascii="宋体" w:hAnsi="宋体" w:cs="宋体"/>
                <w:szCs w:val="21"/>
              </w:rPr>
            </w:pPr>
            <w:r>
              <w:rPr>
                <w:rFonts w:ascii="宋体" w:hAnsi="宋体" w:cs="宋体"/>
                <w:spacing w:val="5"/>
                <w:szCs w:val="21"/>
              </w:rPr>
              <w:t>富阳路公园</w:t>
            </w:r>
          </w:p>
        </w:tc>
        <w:tc>
          <w:tcPr>
            <w:tcW w:w="6536" w:type="dxa"/>
            <w:vAlign w:val="center"/>
          </w:tcPr>
          <w:p w14:paraId="239DE9BC">
            <w:pPr>
              <w:jc w:val="left"/>
              <w:rPr>
                <w:rFonts w:hint="eastAsia" w:ascii="宋体" w:hAnsi="宋体" w:cs="宋体"/>
                <w:szCs w:val="21"/>
              </w:rPr>
            </w:pPr>
            <w:r>
              <w:rPr>
                <w:rFonts w:ascii="宋体" w:hAnsi="宋体" w:cs="宋体"/>
                <w:spacing w:val="14"/>
                <w:szCs w:val="21"/>
              </w:rPr>
              <w:t>富阳路与湘江路交叉口，绿化面积约2.6万平方米。</w:t>
            </w:r>
          </w:p>
        </w:tc>
      </w:tr>
      <w:tr w14:paraId="2EF07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709" w:type="dxa"/>
            <w:vAlign w:val="center"/>
          </w:tcPr>
          <w:p w14:paraId="723A56C1">
            <w:pPr>
              <w:jc w:val="center"/>
              <w:rPr>
                <w:rFonts w:hint="eastAsia" w:ascii="宋体" w:hAnsi="宋体" w:cs="宋体"/>
                <w:szCs w:val="21"/>
              </w:rPr>
            </w:pPr>
            <w:r>
              <w:rPr>
                <w:rFonts w:ascii="宋体" w:hAnsi="宋体" w:cs="宋体"/>
                <w:szCs w:val="21"/>
              </w:rPr>
              <w:t>2</w:t>
            </w:r>
          </w:p>
        </w:tc>
        <w:tc>
          <w:tcPr>
            <w:tcW w:w="2306" w:type="dxa"/>
            <w:vAlign w:val="center"/>
          </w:tcPr>
          <w:p w14:paraId="431F2EA9">
            <w:pPr>
              <w:jc w:val="center"/>
              <w:rPr>
                <w:rFonts w:hint="eastAsia" w:ascii="宋体" w:hAnsi="宋体" w:cs="宋体"/>
                <w:szCs w:val="21"/>
              </w:rPr>
            </w:pPr>
            <w:r>
              <w:rPr>
                <w:rFonts w:ascii="宋体" w:hAnsi="宋体" w:cs="宋体"/>
                <w:spacing w:val="4"/>
                <w:szCs w:val="21"/>
              </w:rPr>
              <w:t>周口河东侧运动休闲项目</w:t>
            </w:r>
          </w:p>
        </w:tc>
        <w:tc>
          <w:tcPr>
            <w:tcW w:w="6536" w:type="dxa"/>
            <w:vAlign w:val="center"/>
          </w:tcPr>
          <w:p w14:paraId="1E4DEFAD">
            <w:pPr>
              <w:jc w:val="left"/>
              <w:rPr>
                <w:rFonts w:hint="eastAsia" w:ascii="宋体" w:hAnsi="宋体" w:cs="宋体"/>
                <w:szCs w:val="21"/>
              </w:rPr>
            </w:pPr>
            <w:r>
              <w:rPr>
                <w:rFonts w:ascii="宋体" w:hAnsi="宋体" w:cs="宋体"/>
                <w:spacing w:val="4"/>
                <w:szCs w:val="21"/>
              </w:rPr>
              <w:t>周口河东侧风光带，新港大道至长江路。</w:t>
            </w:r>
            <w:r>
              <w:rPr>
                <w:rFonts w:hint="eastAsia" w:ascii="宋体" w:hAnsi="宋体" w:cs="宋体"/>
                <w:spacing w:val="4"/>
                <w:szCs w:val="21"/>
              </w:rPr>
              <w:t>（</w:t>
            </w:r>
            <w:r>
              <w:rPr>
                <w:rFonts w:ascii="宋体" w:hAnsi="宋体" w:cs="宋体"/>
                <w:spacing w:val="4"/>
                <w:szCs w:val="21"/>
              </w:rPr>
              <w:t>五片篮球</w:t>
            </w:r>
            <w:r>
              <w:rPr>
                <w:rFonts w:ascii="宋体" w:hAnsi="宋体" w:cs="宋体"/>
                <w:spacing w:val="7"/>
                <w:szCs w:val="21"/>
              </w:rPr>
              <w:t xml:space="preserve">  </w:t>
            </w:r>
            <w:r>
              <w:rPr>
                <w:rFonts w:ascii="宋体" w:hAnsi="宋体" w:cs="宋体"/>
                <w:spacing w:val="-13"/>
                <w:szCs w:val="21"/>
              </w:rPr>
              <w:t>场、一片羽毛球场、一片网球场、一处儿童游乐</w:t>
            </w:r>
            <w:r>
              <w:rPr>
                <w:rFonts w:ascii="宋体" w:hAnsi="宋体" w:cs="宋体"/>
                <w:spacing w:val="-14"/>
                <w:szCs w:val="21"/>
              </w:rPr>
              <w:t>场、</w:t>
            </w:r>
            <w:r>
              <w:rPr>
                <w:rFonts w:ascii="宋体" w:hAnsi="宋体" w:cs="宋体"/>
                <w:spacing w:val="20"/>
                <w:szCs w:val="21"/>
              </w:rPr>
              <w:t>一处健身场地</w:t>
            </w:r>
            <w:r>
              <w:rPr>
                <w:rFonts w:hint="eastAsia" w:ascii="宋体" w:hAnsi="宋体" w:cs="宋体"/>
                <w:spacing w:val="20"/>
                <w:szCs w:val="21"/>
              </w:rPr>
              <w:t>）</w:t>
            </w:r>
            <w:r>
              <w:rPr>
                <w:rFonts w:ascii="宋体" w:hAnsi="宋体" w:cs="宋体"/>
                <w:spacing w:val="20"/>
                <w:szCs w:val="21"/>
              </w:rPr>
              <w:t>。</w:t>
            </w:r>
          </w:p>
        </w:tc>
      </w:tr>
      <w:tr w14:paraId="3F6EC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709" w:type="dxa"/>
            <w:vAlign w:val="center"/>
          </w:tcPr>
          <w:p w14:paraId="592BECD5">
            <w:pPr>
              <w:jc w:val="center"/>
              <w:rPr>
                <w:rFonts w:hint="eastAsia" w:ascii="宋体" w:hAnsi="宋体" w:cs="宋体"/>
                <w:szCs w:val="21"/>
              </w:rPr>
            </w:pPr>
            <w:r>
              <w:rPr>
                <w:rFonts w:ascii="宋体" w:hAnsi="宋体" w:cs="宋体"/>
                <w:szCs w:val="21"/>
              </w:rPr>
              <w:t>3</w:t>
            </w:r>
          </w:p>
        </w:tc>
        <w:tc>
          <w:tcPr>
            <w:tcW w:w="2306" w:type="dxa"/>
            <w:vAlign w:val="center"/>
          </w:tcPr>
          <w:p w14:paraId="05298D6F">
            <w:pPr>
              <w:jc w:val="center"/>
              <w:rPr>
                <w:rFonts w:hint="eastAsia" w:ascii="宋体" w:hAnsi="宋体" w:cs="宋体"/>
                <w:szCs w:val="21"/>
              </w:rPr>
            </w:pPr>
            <w:r>
              <w:rPr>
                <w:rFonts w:ascii="宋体" w:hAnsi="宋体" w:cs="宋体"/>
                <w:spacing w:val="2"/>
                <w:szCs w:val="21"/>
              </w:rPr>
              <w:t>人民路小学西侧游园</w:t>
            </w:r>
          </w:p>
        </w:tc>
        <w:tc>
          <w:tcPr>
            <w:tcW w:w="6536" w:type="dxa"/>
            <w:vAlign w:val="center"/>
          </w:tcPr>
          <w:p w14:paraId="26239DF0">
            <w:pPr>
              <w:jc w:val="left"/>
              <w:rPr>
                <w:rFonts w:hint="eastAsia" w:ascii="宋体" w:hAnsi="宋体" w:cs="宋体"/>
                <w:szCs w:val="21"/>
              </w:rPr>
            </w:pPr>
            <w:r>
              <w:rPr>
                <w:rFonts w:ascii="宋体" w:hAnsi="宋体" w:cs="宋体"/>
                <w:spacing w:val="11"/>
                <w:szCs w:val="21"/>
              </w:rPr>
              <w:t>人民路北侧</w:t>
            </w:r>
            <w:r>
              <w:rPr>
                <w:rFonts w:hint="eastAsia" w:ascii="宋体" w:hAnsi="宋体" w:cs="宋体"/>
                <w:spacing w:val="11"/>
                <w:szCs w:val="21"/>
              </w:rPr>
              <w:t>（</w:t>
            </w:r>
            <w:r>
              <w:rPr>
                <w:rFonts w:ascii="宋体" w:hAnsi="宋体" w:cs="宋体"/>
                <w:spacing w:val="11"/>
                <w:szCs w:val="21"/>
              </w:rPr>
              <w:t>人民路至回龙路</w:t>
            </w:r>
            <w:r>
              <w:rPr>
                <w:rFonts w:hint="eastAsia" w:ascii="宋体" w:hAnsi="宋体" w:cs="宋体"/>
                <w:spacing w:val="11"/>
                <w:szCs w:val="21"/>
              </w:rPr>
              <w:t>）</w:t>
            </w:r>
            <w:r>
              <w:rPr>
                <w:rFonts w:ascii="宋体" w:hAnsi="宋体" w:cs="宋体"/>
                <w:spacing w:val="11"/>
                <w:szCs w:val="21"/>
              </w:rPr>
              <w:t>绿化面积约3500平</w:t>
            </w:r>
            <w:r>
              <w:rPr>
                <w:rFonts w:ascii="宋体" w:hAnsi="宋体" w:cs="宋体"/>
                <w:spacing w:val="-8"/>
                <w:szCs w:val="21"/>
              </w:rPr>
              <w:t>方米</w:t>
            </w:r>
            <w:r>
              <w:rPr>
                <w:rFonts w:ascii="宋体" w:hAnsi="宋体" w:cs="宋体"/>
                <w:spacing w:val="-44"/>
                <w:szCs w:val="21"/>
              </w:rPr>
              <w:t xml:space="preserve"> </w:t>
            </w:r>
            <w:r>
              <w:rPr>
                <w:rFonts w:ascii="宋体" w:hAnsi="宋体" w:cs="宋体"/>
                <w:spacing w:val="-8"/>
                <w:szCs w:val="21"/>
              </w:rPr>
              <w:t>。</w:t>
            </w:r>
          </w:p>
        </w:tc>
      </w:tr>
      <w:tr w14:paraId="062C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709" w:type="dxa"/>
            <w:vAlign w:val="center"/>
          </w:tcPr>
          <w:p w14:paraId="17AF92BF">
            <w:pPr>
              <w:jc w:val="center"/>
              <w:rPr>
                <w:rFonts w:hint="eastAsia" w:ascii="宋体" w:hAnsi="宋体" w:cs="宋体"/>
                <w:szCs w:val="21"/>
              </w:rPr>
            </w:pPr>
            <w:r>
              <w:rPr>
                <w:rFonts w:ascii="宋体" w:hAnsi="宋体" w:cs="宋体"/>
                <w:szCs w:val="21"/>
              </w:rPr>
              <w:t>4</w:t>
            </w:r>
          </w:p>
        </w:tc>
        <w:tc>
          <w:tcPr>
            <w:tcW w:w="2306" w:type="dxa"/>
            <w:vAlign w:val="center"/>
          </w:tcPr>
          <w:p w14:paraId="459D7690">
            <w:pPr>
              <w:jc w:val="center"/>
              <w:rPr>
                <w:rFonts w:hint="eastAsia" w:ascii="宋体" w:hAnsi="宋体" w:cs="宋体"/>
                <w:szCs w:val="21"/>
              </w:rPr>
            </w:pPr>
            <w:r>
              <w:rPr>
                <w:rFonts w:ascii="宋体" w:hAnsi="宋体" w:cs="宋体"/>
                <w:spacing w:val="3"/>
                <w:szCs w:val="21"/>
              </w:rPr>
              <w:t>健康路西侧游园</w:t>
            </w:r>
          </w:p>
        </w:tc>
        <w:tc>
          <w:tcPr>
            <w:tcW w:w="6536" w:type="dxa"/>
            <w:vAlign w:val="center"/>
          </w:tcPr>
          <w:p w14:paraId="44DA4F99">
            <w:pPr>
              <w:jc w:val="left"/>
              <w:rPr>
                <w:rFonts w:hint="eastAsia" w:ascii="宋体" w:hAnsi="宋体" w:cs="宋体"/>
                <w:szCs w:val="21"/>
              </w:rPr>
            </w:pPr>
            <w:r>
              <w:rPr>
                <w:rFonts w:ascii="宋体" w:hAnsi="宋体" w:cs="宋体"/>
                <w:spacing w:val="9"/>
                <w:szCs w:val="21"/>
              </w:rPr>
              <w:t>人民路南侧</w:t>
            </w:r>
            <w:r>
              <w:rPr>
                <w:rFonts w:hint="eastAsia" w:ascii="宋体" w:hAnsi="宋体" w:cs="宋体"/>
                <w:spacing w:val="9"/>
                <w:szCs w:val="21"/>
              </w:rPr>
              <w:t>（</w:t>
            </w:r>
            <w:r>
              <w:rPr>
                <w:rFonts w:ascii="宋体" w:hAnsi="宋体" w:cs="宋体"/>
                <w:spacing w:val="9"/>
                <w:szCs w:val="21"/>
              </w:rPr>
              <w:t>西湖路至人民路</w:t>
            </w:r>
            <w:r>
              <w:rPr>
                <w:rFonts w:hint="eastAsia" w:ascii="宋体" w:hAnsi="宋体" w:cs="宋体"/>
                <w:spacing w:val="9"/>
                <w:szCs w:val="21"/>
              </w:rPr>
              <w:t>）</w:t>
            </w:r>
            <w:r>
              <w:rPr>
                <w:rFonts w:ascii="宋体" w:hAnsi="宋体" w:cs="宋体"/>
                <w:spacing w:val="9"/>
                <w:szCs w:val="21"/>
              </w:rPr>
              <w:t>绿化面积约3700平</w:t>
            </w:r>
            <w:r>
              <w:rPr>
                <w:rFonts w:ascii="宋体" w:hAnsi="宋体" w:cs="宋体"/>
                <w:spacing w:val="-8"/>
                <w:szCs w:val="21"/>
              </w:rPr>
              <w:t>方米</w:t>
            </w:r>
            <w:r>
              <w:rPr>
                <w:rFonts w:ascii="宋体" w:hAnsi="宋体" w:cs="宋体"/>
                <w:spacing w:val="-44"/>
                <w:szCs w:val="21"/>
              </w:rPr>
              <w:t xml:space="preserve"> </w:t>
            </w:r>
            <w:r>
              <w:rPr>
                <w:rFonts w:ascii="宋体" w:hAnsi="宋体" w:cs="宋体"/>
                <w:spacing w:val="-8"/>
                <w:szCs w:val="21"/>
              </w:rPr>
              <w:t>。</w:t>
            </w:r>
          </w:p>
        </w:tc>
      </w:tr>
      <w:tr w14:paraId="1748D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09" w:type="dxa"/>
            <w:vAlign w:val="center"/>
          </w:tcPr>
          <w:p w14:paraId="74332976">
            <w:pPr>
              <w:jc w:val="center"/>
              <w:rPr>
                <w:rFonts w:hint="eastAsia" w:ascii="宋体" w:hAnsi="宋体" w:cs="宋体"/>
                <w:szCs w:val="21"/>
              </w:rPr>
            </w:pPr>
            <w:r>
              <w:rPr>
                <w:rFonts w:ascii="宋体" w:hAnsi="宋体" w:cs="宋体"/>
                <w:szCs w:val="21"/>
              </w:rPr>
              <w:t>5</w:t>
            </w:r>
          </w:p>
        </w:tc>
        <w:tc>
          <w:tcPr>
            <w:tcW w:w="2306" w:type="dxa"/>
            <w:vAlign w:val="center"/>
          </w:tcPr>
          <w:p w14:paraId="69CA99B0">
            <w:pPr>
              <w:jc w:val="center"/>
              <w:rPr>
                <w:rFonts w:hint="eastAsia" w:ascii="宋体" w:hAnsi="宋体" w:cs="宋体"/>
                <w:szCs w:val="21"/>
              </w:rPr>
            </w:pPr>
            <w:r>
              <w:rPr>
                <w:rFonts w:ascii="宋体" w:hAnsi="宋体" w:cs="宋体"/>
                <w:spacing w:val="2"/>
                <w:szCs w:val="21"/>
              </w:rPr>
              <w:t>紫薇花园南门游园</w:t>
            </w:r>
          </w:p>
        </w:tc>
        <w:tc>
          <w:tcPr>
            <w:tcW w:w="6536" w:type="dxa"/>
            <w:vAlign w:val="center"/>
          </w:tcPr>
          <w:p w14:paraId="1C76DEAA">
            <w:pPr>
              <w:jc w:val="left"/>
              <w:rPr>
                <w:rFonts w:hint="eastAsia" w:ascii="宋体" w:hAnsi="宋体" w:cs="宋体"/>
                <w:szCs w:val="21"/>
              </w:rPr>
            </w:pPr>
            <w:r>
              <w:rPr>
                <w:rFonts w:ascii="宋体" w:hAnsi="宋体" w:cs="宋体"/>
                <w:spacing w:val="6"/>
                <w:szCs w:val="21"/>
              </w:rPr>
              <w:t>紫薇花园小区南门，绿化面积约1.1万平方米。</w:t>
            </w:r>
          </w:p>
        </w:tc>
      </w:tr>
      <w:tr w14:paraId="7E24E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09" w:type="dxa"/>
            <w:vAlign w:val="center"/>
          </w:tcPr>
          <w:p w14:paraId="618E82F0">
            <w:pPr>
              <w:jc w:val="center"/>
              <w:rPr>
                <w:rFonts w:hint="eastAsia" w:ascii="宋体" w:hAnsi="宋体" w:cs="宋体"/>
                <w:szCs w:val="21"/>
              </w:rPr>
            </w:pPr>
            <w:r>
              <w:rPr>
                <w:rFonts w:ascii="宋体" w:hAnsi="宋体" w:cs="宋体"/>
                <w:szCs w:val="21"/>
              </w:rPr>
              <w:t>6</w:t>
            </w:r>
          </w:p>
        </w:tc>
        <w:tc>
          <w:tcPr>
            <w:tcW w:w="2306" w:type="dxa"/>
            <w:vAlign w:val="center"/>
          </w:tcPr>
          <w:p w14:paraId="33422879">
            <w:pPr>
              <w:jc w:val="center"/>
              <w:rPr>
                <w:rFonts w:hint="eastAsia" w:ascii="宋体" w:hAnsi="宋体" w:cs="宋体"/>
                <w:szCs w:val="21"/>
              </w:rPr>
            </w:pPr>
            <w:r>
              <w:rPr>
                <w:rFonts w:ascii="宋体" w:hAnsi="宋体" w:cs="宋体"/>
                <w:spacing w:val="2"/>
                <w:szCs w:val="21"/>
              </w:rPr>
              <w:t>世纪缘大酒店西侧游园</w:t>
            </w:r>
          </w:p>
        </w:tc>
        <w:tc>
          <w:tcPr>
            <w:tcW w:w="6536" w:type="dxa"/>
            <w:vAlign w:val="center"/>
          </w:tcPr>
          <w:p w14:paraId="0C178A65">
            <w:pPr>
              <w:jc w:val="left"/>
              <w:rPr>
                <w:rFonts w:hint="eastAsia" w:ascii="宋体" w:hAnsi="宋体" w:cs="宋体"/>
                <w:szCs w:val="21"/>
              </w:rPr>
            </w:pPr>
            <w:r>
              <w:rPr>
                <w:rFonts w:ascii="宋体" w:hAnsi="宋体" w:cs="宋体"/>
                <w:spacing w:val="6"/>
                <w:szCs w:val="21"/>
              </w:rPr>
              <w:t>世纪缘大酒店西侧，绿化面积约1600平方米。</w:t>
            </w:r>
          </w:p>
        </w:tc>
      </w:tr>
      <w:tr w14:paraId="06003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709" w:type="dxa"/>
            <w:vAlign w:val="center"/>
          </w:tcPr>
          <w:p w14:paraId="6A010A6C">
            <w:pPr>
              <w:jc w:val="center"/>
              <w:rPr>
                <w:rFonts w:hint="eastAsia" w:ascii="宋体" w:hAnsi="宋体" w:cs="宋体"/>
                <w:szCs w:val="21"/>
              </w:rPr>
            </w:pPr>
            <w:r>
              <w:rPr>
                <w:rFonts w:ascii="宋体" w:hAnsi="宋体" w:cs="宋体"/>
                <w:szCs w:val="21"/>
              </w:rPr>
              <w:t>7</w:t>
            </w:r>
          </w:p>
        </w:tc>
        <w:tc>
          <w:tcPr>
            <w:tcW w:w="2306" w:type="dxa"/>
            <w:vAlign w:val="center"/>
          </w:tcPr>
          <w:p w14:paraId="44F9C081">
            <w:pPr>
              <w:jc w:val="center"/>
              <w:rPr>
                <w:rFonts w:hint="eastAsia" w:ascii="宋体" w:hAnsi="宋体" w:cs="宋体"/>
                <w:szCs w:val="21"/>
              </w:rPr>
            </w:pPr>
            <w:r>
              <w:rPr>
                <w:rFonts w:ascii="宋体" w:hAnsi="宋体" w:cs="宋体"/>
                <w:spacing w:val="3"/>
                <w:szCs w:val="21"/>
              </w:rPr>
              <w:t>新城华府东门游园</w:t>
            </w:r>
          </w:p>
        </w:tc>
        <w:tc>
          <w:tcPr>
            <w:tcW w:w="6536" w:type="dxa"/>
            <w:vAlign w:val="center"/>
          </w:tcPr>
          <w:p w14:paraId="3C5AE496">
            <w:pPr>
              <w:jc w:val="left"/>
              <w:rPr>
                <w:rFonts w:hint="eastAsia" w:ascii="宋体" w:hAnsi="宋体" w:cs="宋体"/>
                <w:szCs w:val="21"/>
              </w:rPr>
            </w:pPr>
            <w:r>
              <w:rPr>
                <w:rFonts w:ascii="宋体" w:hAnsi="宋体" w:cs="宋体"/>
                <w:spacing w:val="6"/>
                <w:szCs w:val="21"/>
              </w:rPr>
              <w:t>新城华府小区东侧，绿化面积约1000平方米。</w:t>
            </w:r>
          </w:p>
        </w:tc>
      </w:tr>
      <w:tr w14:paraId="4941D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9" w:type="dxa"/>
            <w:vAlign w:val="center"/>
          </w:tcPr>
          <w:p w14:paraId="509F04F6">
            <w:pPr>
              <w:jc w:val="center"/>
              <w:rPr>
                <w:rFonts w:hint="eastAsia" w:ascii="宋体" w:hAnsi="宋体" w:cs="宋体"/>
                <w:szCs w:val="21"/>
              </w:rPr>
            </w:pPr>
            <w:r>
              <w:rPr>
                <w:rFonts w:ascii="宋体" w:hAnsi="宋体" w:cs="宋体"/>
                <w:szCs w:val="21"/>
              </w:rPr>
              <w:t>8</w:t>
            </w:r>
          </w:p>
        </w:tc>
        <w:tc>
          <w:tcPr>
            <w:tcW w:w="2306" w:type="dxa"/>
            <w:vAlign w:val="center"/>
          </w:tcPr>
          <w:p w14:paraId="7F8E39BD">
            <w:pPr>
              <w:jc w:val="center"/>
              <w:rPr>
                <w:rFonts w:hint="eastAsia" w:ascii="宋体" w:hAnsi="宋体" w:cs="宋体"/>
                <w:szCs w:val="21"/>
              </w:rPr>
            </w:pPr>
            <w:r>
              <w:rPr>
                <w:rFonts w:ascii="宋体" w:hAnsi="宋体" w:cs="宋体"/>
                <w:spacing w:val="3"/>
                <w:szCs w:val="21"/>
              </w:rPr>
              <w:t>新城华府南门游园</w:t>
            </w:r>
          </w:p>
        </w:tc>
        <w:tc>
          <w:tcPr>
            <w:tcW w:w="6536" w:type="dxa"/>
            <w:vAlign w:val="center"/>
          </w:tcPr>
          <w:p w14:paraId="0E4A08D7">
            <w:pPr>
              <w:jc w:val="left"/>
              <w:rPr>
                <w:rFonts w:hint="eastAsia" w:ascii="宋体" w:hAnsi="宋体" w:cs="宋体"/>
                <w:szCs w:val="21"/>
              </w:rPr>
            </w:pPr>
            <w:r>
              <w:rPr>
                <w:rFonts w:ascii="宋体" w:hAnsi="宋体" w:cs="宋体"/>
                <w:spacing w:val="8"/>
                <w:szCs w:val="21"/>
              </w:rPr>
              <w:t>新城华府小区南门，绿化面积约1400平方米。</w:t>
            </w:r>
          </w:p>
        </w:tc>
      </w:tr>
      <w:tr w14:paraId="1815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09" w:type="dxa"/>
            <w:vAlign w:val="center"/>
          </w:tcPr>
          <w:p w14:paraId="7E3942F8">
            <w:pPr>
              <w:jc w:val="center"/>
              <w:rPr>
                <w:rFonts w:hint="eastAsia" w:ascii="宋体" w:hAnsi="宋体" w:cs="宋体"/>
                <w:szCs w:val="21"/>
              </w:rPr>
            </w:pPr>
            <w:r>
              <w:rPr>
                <w:rFonts w:ascii="宋体" w:hAnsi="宋体" w:cs="宋体"/>
                <w:szCs w:val="21"/>
              </w:rPr>
              <w:t>9</w:t>
            </w:r>
          </w:p>
        </w:tc>
        <w:tc>
          <w:tcPr>
            <w:tcW w:w="2306" w:type="dxa"/>
            <w:vAlign w:val="center"/>
          </w:tcPr>
          <w:p w14:paraId="75CB1D8D">
            <w:pPr>
              <w:jc w:val="center"/>
              <w:rPr>
                <w:rFonts w:hint="eastAsia" w:ascii="宋体" w:hAnsi="宋体" w:cs="宋体"/>
                <w:szCs w:val="21"/>
              </w:rPr>
            </w:pPr>
            <w:r>
              <w:rPr>
                <w:rFonts w:ascii="宋体" w:hAnsi="宋体" w:cs="宋体"/>
                <w:spacing w:val="4"/>
                <w:szCs w:val="21"/>
              </w:rPr>
              <w:t>悦府西侧游园</w:t>
            </w:r>
          </w:p>
        </w:tc>
        <w:tc>
          <w:tcPr>
            <w:tcW w:w="6536" w:type="dxa"/>
            <w:vAlign w:val="center"/>
          </w:tcPr>
          <w:p w14:paraId="0C399500">
            <w:pPr>
              <w:jc w:val="left"/>
              <w:rPr>
                <w:rFonts w:hint="eastAsia" w:ascii="宋体" w:hAnsi="宋体" w:cs="宋体"/>
                <w:szCs w:val="21"/>
              </w:rPr>
            </w:pPr>
            <w:r>
              <w:rPr>
                <w:rFonts w:ascii="宋体" w:hAnsi="宋体" w:cs="宋体"/>
                <w:spacing w:val="-1"/>
                <w:szCs w:val="21"/>
              </w:rPr>
              <w:t>北至鹏程路，南至长江路，西至泰州南路。绿化面积</w:t>
            </w:r>
            <w:r>
              <w:rPr>
                <w:rFonts w:ascii="宋体" w:hAnsi="宋体" w:cs="宋体"/>
                <w:spacing w:val="6"/>
                <w:szCs w:val="21"/>
              </w:rPr>
              <w:t xml:space="preserve"> </w:t>
            </w:r>
            <w:r>
              <w:rPr>
                <w:rFonts w:ascii="宋体" w:hAnsi="宋体" w:cs="宋体"/>
                <w:spacing w:val="24"/>
                <w:szCs w:val="21"/>
              </w:rPr>
              <w:t>约7800平方米。</w:t>
            </w:r>
          </w:p>
        </w:tc>
      </w:tr>
      <w:tr w14:paraId="65CB9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709" w:type="dxa"/>
            <w:vAlign w:val="center"/>
          </w:tcPr>
          <w:p w14:paraId="1799689A">
            <w:pPr>
              <w:jc w:val="center"/>
              <w:rPr>
                <w:rFonts w:hint="eastAsia" w:ascii="宋体" w:hAnsi="宋体" w:cs="宋体"/>
                <w:szCs w:val="21"/>
              </w:rPr>
            </w:pPr>
            <w:r>
              <w:rPr>
                <w:rFonts w:ascii="宋体" w:hAnsi="宋体" w:cs="宋体"/>
                <w:spacing w:val="-8"/>
                <w:szCs w:val="21"/>
              </w:rPr>
              <w:t>10</w:t>
            </w:r>
          </w:p>
        </w:tc>
        <w:tc>
          <w:tcPr>
            <w:tcW w:w="2306" w:type="dxa"/>
            <w:vAlign w:val="center"/>
          </w:tcPr>
          <w:p w14:paraId="734E87A0">
            <w:pPr>
              <w:jc w:val="center"/>
              <w:rPr>
                <w:rFonts w:hint="eastAsia" w:ascii="宋体" w:hAnsi="宋体"/>
                <w:szCs w:val="21"/>
              </w:rPr>
            </w:pPr>
          </w:p>
          <w:p w14:paraId="26B6015C">
            <w:pPr>
              <w:jc w:val="center"/>
              <w:rPr>
                <w:rFonts w:hint="eastAsia" w:ascii="宋体" w:hAnsi="宋体" w:cs="宋体"/>
                <w:szCs w:val="21"/>
              </w:rPr>
            </w:pPr>
            <w:r>
              <w:rPr>
                <w:rFonts w:ascii="宋体" w:hAnsi="宋体" w:cs="宋体"/>
                <w:spacing w:val="3"/>
                <w:szCs w:val="21"/>
              </w:rPr>
              <w:t>供电公司西侧游园</w:t>
            </w:r>
          </w:p>
        </w:tc>
        <w:tc>
          <w:tcPr>
            <w:tcW w:w="6536" w:type="dxa"/>
            <w:vAlign w:val="center"/>
          </w:tcPr>
          <w:p w14:paraId="2F5EE031">
            <w:pPr>
              <w:jc w:val="left"/>
              <w:rPr>
                <w:rFonts w:hint="eastAsia" w:ascii="宋体" w:hAnsi="宋体" w:cs="宋体"/>
                <w:szCs w:val="21"/>
              </w:rPr>
            </w:pPr>
            <w:r>
              <w:rPr>
                <w:rFonts w:ascii="宋体" w:hAnsi="宋体" w:cs="宋体"/>
                <w:spacing w:val="9"/>
                <w:szCs w:val="21"/>
              </w:rPr>
              <w:t>人民中路南侧，供电公司西侧，徐州路东侧。绿化面</w:t>
            </w:r>
            <w:r>
              <w:rPr>
                <w:rFonts w:ascii="宋体" w:hAnsi="宋体" w:cs="宋体"/>
                <w:spacing w:val="7"/>
                <w:szCs w:val="21"/>
              </w:rPr>
              <w:t xml:space="preserve"> </w:t>
            </w:r>
            <w:r>
              <w:rPr>
                <w:rFonts w:ascii="宋体" w:hAnsi="宋体" w:cs="宋体"/>
                <w:spacing w:val="29"/>
                <w:szCs w:val="21"/>
              </w:rPr>
              <w:t>积约9400平方米。</w:t>
            </w:r>
          </w:p>
        </w:tc>
      </w:tr>
      <w:tr w14:paraId="22128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709" w:type="dxa"/>
            <w:vAlign w:val="center"/>
          </w:tcPr>
          <w:p w14:paraId="4DE12F46">
            <w:pPr>
              <w:jc w:val="center"/>
              <w:rPr>
                <w:rFonts w:hint="eastAsia" w:ascii="宋体" w:hAnsi="宋体" w:cs="宋体"/>
                <w:szCs w:val="21"/>
              </w:rPr>
            </w:pPr>
            <w:r>
              <w:rPr>
                <w:rFonts w:ascii="宋体" w:hAnsi="宋体" w:cs="宋体"/>
                <w:spacing w:val="-8"/>
                <w:szCs w:val="21"/>
              </w:rPr>
              <w:t>11</w:t>
            </w:r>
          </w:p>
        </w:tc>
        <w:tc>
          <w:tcPr>
            <w:tcW w:w="2306" w:type="dxa"/>
            <w:vAlign w:val="center"/>
          </w:tcPr>
          <w:p w14:paraId="52DF7E20">
            <w:pPr>
              <w:jc w:val="center"/>
              <w:rPr>
                <w:rFonts w:hint="eastAsia" w:ascii="宋体" w:hAnsi="宋体" w:cs="宋体"/>
                <w:szCs w:val="21"/>
              </w:rPr>
            </w:pPr>
            <w:r>
              <w:rPr>
                <w:rFonts w:ascii="宋体" w:hAnsi="宋体" w:cs="宋体"/>
                <w:spacing w:val="4"/>
                <w:szCs w:val="21"/>
              </w:rPr>
              <w:t>扬州南路游园</w:t>
            </w:r>
          </w:p>
        </w:tc>
        <w:tc>
          <w:tcPr>
            <w:tcW w:w="6536" w:type="dxa"/>
            <w:vAlign w:val="center"/>
          </w:tcPr>
          <w:p w14:paraId="62F66877">
            <w:pPr>
              <w:jc w:val="left"/>
              <w:rPr>
                <w:rFonts w:hint="eastAsia" w:ascii="宋体" w:hAnsi="宋体" w:cs="宋体"/>
                <w:szCs w:val="21"/>
              </w:rPr>
            </w:pPr>
            <w:r>
              <w:rPr>
                <w:rFonts w:ascii="宋体" w:hAnsi="宋体" w:cs="宋体"/>
                <w:spacing w:val="7"/>
                <w:szCs w:val="21"/>
              </w:rPr>
              <w:t>扬州南路东侧、观澜名苑西侧。绿化面积约9000平</w:t>
            </w:r>
            <w:r>
              <w:rPr>
                <w:rFonts w:ascii="宋体" w:hAnsi="宋体" w:cs="宋体"/>
                <w:spacing w:val="4"/>
                <w:szCs w:val="21"/>
              </w:rPr>
              <w:t xml:space="preserve"> </w:t>
            </w:r>
            <w:r>
              <w:rPr>
                <w:rFonts w:ascii="宋体" w:hAnsi="宋体" w:cs="宋体"/>
                <w:spacing w:val="-8"/>
                <w:szCs w:val="21"/>
              </w:rPr>
              <w:t>方米</w:t>
            </w:r>
            <w:r>
              <w:rPr>
                <w:rFonts w:ascii="宋体" w:hAnsi="宋体" w:cs="宋体"/>
                <w:spacing w:val="-44"/>
                <w:szCs w:val="21"/>
              </w:rPr>
              <w:t xml:space="preserve"> </w:t>
            </w:r>
            <w:r>
              <w:rPr>
                <w:rFonts w:ascii="宋体" w:hAnsi="宋体" w:cs="宋体"/>
                <w:spacing w:val="-8"/>
                <w:szCs w:val="21"/>
              </w:rPr>
              <w:t>。</w:t>
            </w:r>
          </w:p>
        </w:tc>
      </w:tr>
      <w:tr w14:paraId="64506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09" w:type="dxa"/>
            <w:vAlign w:val="center"/>
          </w:tcPr>
          <w:p w14:paraId="3C6E3CAE">
            <w:pPr>
              <w:jc w:val="center"/>
              <w:rPr>
                <w:rFonts w:hint="eastAsia" w:ascii="宋体" w:hAnsi="宋体" w:cs="宋体"/>
                <w:szCs w:val="21"/>
              </w:rPr>
            </w:pPr>
            <w:r>
              <w:rPr>
                <w:rFonts w:ascii="宋体" w:hAnsi="宋体" w:cs="宋体"/>
                <w:spacing w:val="-8"/>
                <w:szCs w:val="21"/>
              </w:rPr>
              <w:t>12</w:t>
            </w:r>
          </w:p>
        </w:tc>
        <w:tc>
          <w:tcPr>
            <w:tcW w:w="2306" w:type="dxa"/>
            <w:vAlign w:val="center"/>
          </w:tcPr>
          <w:p w14:paraId="6C1AC4D0">
            <w:pPr>
              <w:jc w:val="center"/>
              <w:rPr>
                <w:rFonts w:hint="eastAsia" w:ascii="宋体" w:hAnsi="宋体" w:cs="宋体"/>
                <w:szCs w:val="21"/>
              </w:rPr>
            </w:pPr>
            <w:r>
              <w:rPr>
                <w:rFonts w:ascii="宋体" w:hAnsi="宋体" w:cs="宋体"/>
                <w:spacing w:val="5"/>
                <w:szCs w:val="21"/>
              </w:rPr>
              <w:t>河滨路游园</w:t>
            </w:r>
          </w:p>
        </w:tc>
        <w:tc>
          <w:tcPr>
            <w:tcW w:w="6536" w:type="dxa"/>
            <w:vAlign w:val="center"/>
          </w:tcPr>
          <w:p w14:paraId="59FD4517">
            <w:pPr>
              <w:jc w:val="left"/>
              <w:rPr>
                <w:rFonts w:hint="eastAsia" w:ascii="宋体" w:hAnsi="宋体" w:cs="宋体"/>
                <w:szCs w:val="21"/>
              </w:rPr>
            </w:pPr>
            <w:r>
              <w:rPr>
                <w:rFonts w:ascii="宋体" w:hAnsi="宋体" w:cs="宋体"/>
                <w:spacing w:val="9"/>
                <w:szCs w:val="21"/>
              </w:rPr>
              <w:t>位于回龙路南侧，盐河东侧，人民桥北侧。绿化面积</w:t>
            </w:r>
            <w:r>
              <w:rPr>
                <w:rFonts w:ascii="宋体" w:hAnsi="宋体" w:cs="宋体"/>
                <w:spacing w:val="7"/>
                <w:szCs w:val="21"/>
              </w:rPr>
              <w:t xml:space="preserve"> </w:t>
            </w:r>
            <w:r>
              <w:rPr>
                <w:rFonts w:ascii="宋体" w:hAnsi="宋体" w:cs="宋体"/>
                <w:spacing w:val="33"/>
                <w:szCs w:val="21"/>
              </w:rPr>
              <w:t>约3000平方米。</w:t>
            </w:r>
          </w:p>
        </w:tc>
      </w:tr>
      <w:tr w14:paraId="72E83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09" w:type="dxa"/>
            <w:vAlign w:val="center"/>
          </w:tcPr>
          <w:p w14:paraId="7ACC108E">
            <w:pPr>
              <w:jc w:val="center"/>
              <w:rPr>
                <w:rFonts w:hint="eastAsia" w:ascii="宋体" w:hAnsi="宋体" w:cs="宋体"/>
                <w:szCs w:val="21"/>
              </w:rPr>
            </w:pPr>
            <w:r>
              <w:rPr>
                <w:rFonts w:ascii="宋体" w:hAnsi="宋体" w:cs="宋体"/>
                <w:spacing w:val="-8"/>
                <w:szCs w:val="21"/>
              </w:rPr>
              <w:t>13</w:t>
            </w:r>
          </w:p>
        </w:tc>
        <w:tc>
          <w:tcPr>
            <w:tcW w:w="2306" w:type="dxa"/>
            <w:vAlign w:val="center"/>
          </w:tcPr>
          <w:p w14:paraId="01A41C23">
            <w:pPr>
              <w:jc w:val="center"/>
              <w:rPr>
                <w:rFonts w:hint="eastAsia" w:ascii="宋体" w:hAnsi="宋体" w:cs="宋体"/>
                <w:szCs w:val="21"/>
              </w:rPr>
            </w:pPr>
            <w:r>
              <w:rPr>
                <w:rFonts w:ascii="宋体" w:hAnsi="宋体" w:cs="宋体"/>
                <w:spacing w:val="3"/>
                <w:szCs w:val="21"/>
              </w:rPr>
              <w:t>新城华府东侧游园</w:t>
            </w:r>
          </w:p>
        </w:tc>
        <w:tc>
          <w:tcPr>
            <w:tcW w:w="6536" w:type="dxa"/>
            <w:vAlign w:val="center"/>
          </w:tcPr>
          <w:p w14:paraId="0FD82AA2">
            <w:pPr>
              <w:jc w:val="left"/>
              <w:rPr>
                <w:rFonts w:hint="eastAsia" w:ascii="宋体" w:hAnsi="宋体" w:cs="宋体"/>
                <w:szCs w:val="21"/>
              </w:rPr>
            </w:pPr>
            <w:r>
              <w:rPr>
                <w:rFonts w:ascii="宋体" w:hAnsi="宋体" w:cs="宋体"/>
                <w:spacing w:val="13"/>
                <w:szCs w:val="21"/>
              </w:rPr>
              <w:t>新城华府小区东侧。绿化面积约1000平方米。</w:t>
            </w:r>
          </w:p>
        </w:tc>
      </w:tr>
      <w:tr w14:paraId="06E4F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709" w:type="dxa"/>
            <w:vAlign w:val="center"/>
          </w:tcPr>
          <w:p w14:paraId="520623B3">
            <w:pPr>
              <w:jc w:val="center"/>
              <w:rPr>
                <w:rFonts w:hint="eastAsia" w:ascii="宋体" w:hAnsi="宋体"/>
                <w:szCs w:val="21"/>
              </w:rPr>
            </w:pPr>
            <w:r>
              <w:rPr>
                <w:rFonts w:ascii="宋体" w:hAnsi="宋体"/>
                <w:szCs w:val="21"/>
              </w:rPr>
              <w:t>14</w:t>
            </w:r>
          </w:p>
        </w:tc>
        <w:tc>
          <w:tcPr>
            <w:tcW w:w="2306" w:type="dxa"/>
            <w:vAlign w:val="center"/>
          </w:tcPr>
          <w:p w14:paraId="5094587A">
            <w:pPr>
              <w:jc w:val="center"/>
              <w:rPr>
                <w:rFonts w:hint="eastAsia" w:ascii="宋体" w:hAnsi="宋体"/>
                <w:szCs w:val="21"/>
              </w:rPr>
            </w:pPr>
            <w:r>
              <w:rPr>
                <w:rFonts w:ascii="宋体" w:hAnsi="宋体"/>
                <w:szCs w:val="21"/>
              </w:rPr>
              <w:t>老年干部活动中心游园</w:t>
            </w:r>
          </w:p>
        </w:tc>
        <w:tc>
          <w:tcPr>
            <w:tcW w:w="6536" w:type="dxa"/>
            <w:vAlign w:val="center"/>
          </w:tcPr>
          <w:p w14:paraId="661320FA">
            <w:pPr>
              <w:jc w:val="left"/>
              <w:rPr>
                <w:rFonts w:hint="eastAsia" w:ascii="宋体" w:hAnsi="宋体"/>
                <w:szCs w:val="21"/>
              </w:rPr>
            </w:pPr>
            <w:r>
              <w:rPr>
                <w:rFonts w:ascii="宋体" w:hAnsi="宋体"/>
                <w:szCs w:val="21"/>
              </w:rPr>
              <w:t>人民路北侧，常州路西侧。绿化面积约3000平方米。</w:t>
            </w:r>
          </w:p>
        </w:tc>
      </w:tr>
      <w:tr w14:paraId="51791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9" w:type="dxa"/>
            <w:vAlign w:val="center"/>
          </w:tcPr>
          <w:p w14:paraId="19C3001E">
            <w:pPr>
              <w:jc w:val="center"/>
              <w:rPr>
                <w:rFonts w:hint="eastAsia" w:ascii="宋体" w:hAnsi="宋体"/>
                <w:szCs w:val="21"/>
              </w:rPr>
            </w:pPr>
            <w:r>
              <w:rPr>
                <w:rFonts w:ascii="宋体" w:hAnsi="宋体"/>
                <w:szCs w:val="21"/>
              </w:rPr>
              <w:t>15</w:t>
            </w:r>
          </w:p>
        </w:tc>
        <w:tc>
          <w:tcPr>
            <w:tcW w:w="2306" w:type="dxa"/>
            <w:vAlign w:val="center"/>
          </w:tcPr>
          <w:p w14:paraId="68E848DA">
            <w:pPr>
              <w:jc w:val="center"/>
              <w:rPr>
                <w:rFonts w:hint="eastAsia" w:ascii="宋体" w:hAnsi="宋体"/>
                <w:szCs w:val="21"/>
              </w:rPr>
            </w:pPr>
            <w:r>
              <w:rPr>
                <w:rFonts w:ascii="宋体" w:hAnsi="宋体"/>
                <w:szCs w:val="21"/>
              </w:rPr>
              <w:t>恒基广场东侧游园</w:t>
            </w:r>
          </w:p>
        </w:tc>
        <w:tc>
          <w:tcPr>
            <w:tcW w:w="6536" w:type="dxa"/>
            <w:vAlign w:val="center"/>
          </w:tcPr>
          <w:p w14:paraId="323FB7C0">
            <w:pPr>
              <w:jc w:val="left"/>
              <w:rPr>
                <w:rFonts w:hint="eastAsia" w:ascii="宋体" w:hAnsi="宋体"/>
                <w:szCs w:val="21"/>
              </w:rPr>
            </w:pPr>
            <w:r>
              <w:rPr>
                <w:rFonts w:ascii="宋体" w:hAnsi="宋体"/>
                <w:szCs w:val="21"/>
              </w:rPr>
              <w:t>恒基广场东侧。绿化面积约8000平方米。</w:t>
            </w:r>
          </w:p>
        </w:tc>
      </w:tr>
      <w:tr w14:paraId="7B9F2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09" w:type="dxa"/>
            <w:vAlign w:val="center"/>
          </w:tcPr>
          <w:p w14:paraId="2C9F344E">
            <w:pPr>
              <w:jc w:val="center"/>
              <w:rPr>
                <w:rFonts w:hint="eastAsia" w:ascii="宋体" w:hAnsi="宋体"/>
                <w:szCs w:val="21"/>
              </w:rPr>
            </w:pPr>
            <w:r>
              <w:rPr>
                <w:rFonts w:ascii="宋体" w:hAnsi="宋体"/>
                <w:szCs w:val="21"/>
              </w:rPr>
              <w:t>16</w:t>
            </w:r>
          </w:p>
        </w:tc>
        <w:tc>
          <w:tcPr>
            <w:tcW w:w="2306" w:type="dxa"/>
            <w:vAlign w:val="center"/>
          </w:tcPr>
          <w:p w14:paraId="72A671C5">
            <w:pPr>
              <w:jc w:val="center"/>
              <w:rPr>
                <w:rFonts w:hint="eastAsia" w:ascii="宋体" w:hAnsi="宋体"/>
                <w:szCs w:val="21"/>
              </w:rPr>
            </w:pPr>
            <w:r>
              <w:rPr>
                <w:rFonts w:ascii="宋体" w:hAnsi="宋体"/>
                <w:szCs w:val="21"/>
              </w:rPr>
              <w:t>北环河滨水风光带</w:t>
            </w:r>
          </w:p>
        </w:tc>
        <w:tc>
          <w:tcPr>
            <w:tcW w:w="6536" w:type="dxa"/>
            <w:vAlign w:val="center"/>
          </w:tcPr>
          <w:p w14:paraId="76677FCF">
            <w:pPr>
              <w:jc w:val="left"/>
              <w:rPr>
                <w:rFonts w:hint="eastAsia" w:ascii="宋体" w:hAnsi="宋体"/>
                <w:szCs w:val="21"/>
              </w:rPr>
            </w:pPr>
            <w:r>
              <w:rPr>
                <w:rFonts w:ascii="宋体" w:hAnsi="宋体"/>
                <w:szCs w:val="21"/>
              </w:rPr>
              <w:t>苏州路至徐州路，河两侧。绿化面积约2</w:t>
            </w:r>
            <w:r>
              <w:rPr>
                <w:rFonts w:hint="eastAsia" w:ascii="宋体" w:hAnsi="宋体"/>
                <w:szCs w:val="21"/>
              </w:rPr>
              <w:t>.</w:t>
            </w:r>
            <w:r>
              <w:rPr>
                <w:rFonts w:ascii="宋体" w:hAnsi="宋体"/>
                <w:szCs w:val="21"/>
              </w:rPr>
              <w:t>8万平方米。</w:t>
            </w:r>
          </w:p>
        </w:tc>
      </w:tr>
      <w:tr w14:paraId="43B1C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709" w:type="dxa"/>
            <w:vAlign w:val="center"/>
          </w:tcPr>
          <w:p w14:paraId="22EC5408">
            <w:pPr>
              <w:jc w:val="center"/>
              <w:rPr>
                <w:rFonts w:hint="eastAsia" w:ascii="宋体" w:hAnsi="宋体"/>
                <w:szCs w:val="21"/>
              </w:rPr>
            </w:pPr>
            <w:r>
              <w:rPr>
                <w:rFonts w:ascii="宋体" w:hAnsi="宋体"/>
                <w:szCs w:val="21"/>
              </w:rPr>
              <w:t>17</w:t>
            </w:r>
          </w:p>
        </w:tc>
        <w:tc>
          <w:tcPr>
            <w:tcW w:w="2306" w:type="dxa"/>
            <w:vAlign w:val="center"/>
          </w:tcPr>
          <w:p w14:paraId="5F6071E0">
            <w:pPr>
              <w:jc w:val="center"/>
              <w:rPr>
                <w:rFonts w:hint="eastAsia" w:ascii="宋体" w:hAnsi="宋体"/>
                <w:szCs w:val="21"/>
              </w:rPr>
            </w:pPr>
            <w:r>
              <w:rPr>
                <w:rFonts w:ascii="宋体" w:hAnsi="宋体"/>
                <w:szCs w:val="21"/>
              </w:rPr>
              <w:t>南门大街游园</w:t>
            </w:r>
          </w:p>
        </w:tc>
        <w:tc>
          <w:tcPr>
            <w:tcW w:w="6536" w:type="dxa"/>
            <w:vAlign w:val="center"/>
          </w:tcPr>
          <w:p w14:paraId="11FD7658">
            <w:pPr>
              <w:jc w:val="left"/>
              <w:rPr>
                <w:rFonts w:hint="eastAsia" w:ascii="宋体" w:hAnsi="宋体"/>
                <w:szCs w:val="21"/>
              </w:rPr>
            </w:pPr>
            <w:r>
              <w:rPr>
                <w:rFonts w:ascii="宋体" w:hAnsi="宋体"/>
                <w:szCs w:val="21"/>
              </w:rPr>
              <w:t>鹏程路北侧。绿化面积约3000平方米。</w:t>
            </w:r>
          </w:p>
        </w:tc>
      </w:tr>
      <w:tr w14:paraId="43B21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709" w:type="dxa"/>
            <w:vAlign w:val="center"/>
          </w:tcPr>
          <w:p w14:paraId="16C133CB">
            <w:pPr>
              <w:jc w:val="center"/>
              <w:rPr>
                <w:rFonts w:hint="eastAsia" w:ascii="宋体" w:hAnsi="宋体"/>
                <w:szCs w:val="21"/>
              </w:rPr>
            </w:pPr>
            <w:r>
              <w:rPr>
                <w:rFonts w:ascii="宋体" w:hAnsi="宋体"/>
                <w:szCs w:val="21"/>
              </w:rPr>
              <w:t>18</w:t>
            </w:r>
          </w:p>
        </w:tc>
        <w:tc>
          <w:tcPr>
            <w:tcW w:w="2306" w:type="dxa"/>
            <w:vAlign w:val="center"/>
          </w:tcPr>
          <w:p w14:paraId="0CECB79C">
            <w:pPr>
              <w:jc w:val="center"/>
              <w:rPr>
                <w:rFonts w:hint="eastAsia" w:ascii="宋体" w:hAnsi="宋体"/>
                <w:szCs w:val="21"/>
              </w:rPr>
            </w:pPr>
            <w:r>
              <w:rPr>
                <w:rFonts w:ascii="宋体" w:hAnsi="宋体"/>
                <w:szCs w:val="21"/>
              </w:rPr>
              <w:t>萧大桥游园</w:t>
            </w:r>
          </w:p>
        </w:tc>
        <w:tc>
          <w:tcPr>
            <w:tcW w:w="6536" w:type="dxa"/>
            <w:vAlign w:val="center"/>
          </w:tcPr>
          <w:p w14:paraId="704C8C5F">
            <w:pPr>
              <w:jc w:val="left"/>
              <w:rPr>
                <w:rFonts w:hint="eastAsia" w:ascii="宋体" w:hAnsi="宋体"/>
                <w:szCs w:val="21"/>
              </w:rPr>
            </w:pPr>
            <w:r>
              <w:rPr>
                <w:rFonts w:ascii="宋体" w:hAnsi="宋体"/>
                <w:szCs w:val="21"/>
              </w:rPr>
              <w:t>萧大桥西侧，南六塘河西侧。绿化面积约3.7万平方米。</w:t>
            </w:r>
          </w:p>
        </w:tc>
      </w:tr>
      <w:tr w14:paraId="0BB50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709" w:type="dxa"/>
            <w:vAlign w:val="center"/>
          </w:tcPr>
          <w:p w14:paraId="22CCB1D5">
            <w:pPr>
              <w:jc w:val="center"/>
              <w:rPr>
                <w:rFonts w:hint="eastAsia" w:ascii="宋体" w:hAnsi="宋体"/>
                <w:szCs w:val="21"/>
              </w:rPr>
            </w:pPr>
            <w:r>
              <w:rPr>
                <w:rFonts w:ascii="宋体" w:hAnsi="宋体"/>
                <w:szCs w:val="21"/>
              </w:rPr>
              <w:t>19</w:t>
            </w:r>
          </w:p>
        </w:tc>
        <w:tc>
          <w:tcPr>
            <w:tcW w:w="2306" w:type="dxa"/>
            <w:vAlign w:val="center"/>
          </w:tcPr>
          <w:p w14:paraId="21CEFFB6">
            <w:pPr>
              <w:jc w:val="center"/>
              <w:rPr>
                <w:rFonts w:hint="eastAsia" w:ascii="宋体" w:hAnsi="宋体"/>
                <w:szCs w:val="21"/>
              </w:rPr>
            </w:pPr>
            <w:r>
              <w:rPr>
                <w:rFonts w:ascii="宋体" w:hAnsi="宋体"/>
                <w:szCs w:val="21"/>
              </w:rPr>
              <w:t>云景雅居北侧游园</w:t>
            </w:r>
          </w:p>
        </w:tc>
        <w:tc>
          <w:tcPr>
            <w:tcW w:w="6536" w:type="dxa"/>
            <w:vAlign w:val="center"/>
          </w:tcPr>
          <w:p w14:paraId="1D34BFF6">
            <w:pPr>
              <w:jc w:val="left"/>
              <w:rPr>
                <w:rFonts w:hint="eastAsia" w:ascii="宋体" w:hAnsi="宋体"/>
                <w:szCs w:val="21"/>
              </w:rPr>
            </w:pPr>
            <w:r>
              <w:rPr>
                <w:rFonts w:ascii="宋体" w:hAnsi="宋体"/>
                <w:szCs w:val="21"/>
              </w:rPr>
              <w:t>调度河南侧，云景雅居北侧，新东路至新安路。绿化面 积约1万平方米。</w:t>
            </w:r>
          </w:p>
        </w:tc>
      </w:tr>
      <w:tr w14:paraId="0DEBE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709" w:type="dxa"/>
            <w:vAlign w:val="center"/>
          </w:tcPr>
          <w:p w14:paraId="3AFAF49C">
            <w:pPr>
              <w:jc w:val="center"/>
              <w:rPr>
                <w:rFonts w:hint="eastAsia" w:ascii="宋体" w:hAnsi="宋体"/>
                <w:szCs w:val="21"/>
              </w:rPr>
            </w:pPr>
            <w:r>
              <w:rPr>
                <w:rFonts w:ascii="宋体" w:hAnsi="宋体"/>
                <w:szCs w:val="21"/>
              </w:rPr>
              <w:t>20</w:t>
            </w:r>
          </w:p>
        </w:tc>
        <w:tc>
          <w:tcPr>
            <w:tcW w:w="2306" w:type="dxa"/>
            <w:vAlign w:val="center"/>
          </w:tcPr>
          <w:p w14:paraId="4886EA46">
            <w:pPr>
              <w:jc w:val="center"/>
              <w:rPr>
                <w:rFonts w:hint="eastAsia" w:ascii="宋体" w:hAnsi="宋体"/>
                <w:szCs w:val="21"/>
              </w:rPr>
            </w:pPr>
            <w:r>
              <w:rPr>
                <w:rFonts w:ascii="宋体" w:hAnsi="宋体"/>
                <w:szCs w:val="21"/>
              </w:rPr>
              <w:t>惠泽园</w:t>
            </w:r>
          </w:p>
        </w:tc>
        <w:tc>
          <w:tcPr>
            <w:tcW w:w="6536" w:type="dxa"/>
            <w:vAlign w:val="center"/>
          </w:tcPr>
          <w:p w14:paraId="7AD664F4">
            <w:pPr>
              <w:jc w:val="left"/>
              <w:rPr>
                <w:rFonts w:hint="eastAsia" w:ascii="宋体" w:hAnsi="宋体"/>
                <w:szCs w:val="21"/>
              </w:rPr>
            </w:pPr>
            <w:r>
              <w:rPr>
                <w:rFonts w:ascii="宋体" w:hAnsi="宋体"/>
                <w:szCs w:val="21"/>
              </w:rPr>
              <w:t>尚书苑北侧。绿化面积约5000平方米。</w:t>
            </w:r>
          </w:p>
        </w:tc>
      </w:tr>
      <w:tr w14:paraId="562AA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709" w:type="dxa"/>
            <w:vAlign w:val="center"/>
          </w:tcPr>
          <w:p w14:paraId="2E6C1C25">
            <w:pPr>
              <w:jc w:val="center"/>
              <w:rPr>
                <w:rFonts w:hint="eastAsia" w:ascii="宋体" w:hAnsi="宋体"/>
                <w:szCs w:val="21"/>
              </w:rPr>
            </w:pPr>
            <w:r>
              <w:rPr>
                <w:rFonts w:ascii="宋体" w:hAnsi="宋体"/>
                <w:szCs w:val="21"/>
              </w:rPr>
              <w:t>21</w:t>
            </w:r>
          </w:p>
        </w:tc>
        <w:tc>
          <w:tcPr>
            <w:tcW w:w="2306" w:type="dxa"/>
            <w:vAlign w:val="center"/>
          </w:tcPr>
          <w:p w14:paraId="04808153">
            <w:pPr>
              <w:jc w:val="center"/>
              <w:rPr>
                <w:rFonts w:hint="eastAsia" w:ascii="宋体" w:hAnsi="宋体"/>
                <w:szCs w:val="21"/>
              </w:rPr>
            </w:pPr>
            <w:r>
              <w:rPr>
                <w:rFonts w:ascii="宋体" w:hAnsi="宋体"/>
                <w:szCs w:val="21"/>
              </w:rPr>
              <w:t>福清路游园</w:t>
            </w:r>
          </w:p>
        </w:tc>
        <w:tc>
          <w:tcPr>
            <w:tcW w:w="6536" w:type="dxa"/>
            <w:vAlign w:val="center"/>
          </w:tcPr>
          <w:p w14:paraId="50EE0460">
            <w:pPr>
              <w:jc w:val="left"/>
              <w:rPr>
                <w:rFonts w:hint="eastAsia" w:ascii="宋体" w:hAnsi="宋体"/>
                <w:szCs w:val="21"/>
              </w:rPr>
            </w:pPr>
            <w:r>
              <w:rPr>
                <w:rFonts w:ascii="宋体" w:hAnsi="宋体"/>
                <w:szCs w:val="21"/>
              </w:rPr>
              <w:t>福清路西侧敬老院边上。绿化面积约800平方米。</w:t>
            </w:r>
          </w:p>
        </w:tc>
      </w:tr>
      <w:tr w14:paraId="048FD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09" w:type="dxa"/>
            <w:vAlign w:val="center"/>
          </w:tcPr>
          <w:p w14:paraId="3E0996D1">
            <w:pPr>
              <w:jc w:val="center"/>
              <w:rPr>
                <w:rFonts w:hint="eastAsia" w:ascii="宋体" w:hAnsi="宋体"/>
                <w:szCs w:val="21"/>
              </w:rPr>
            </w:pPr>
            <w:r>
              <w:rPr>
                <w:rFonts w:ascii="宋体" w:hAnsi="宋体"/>
                <w:szCs w:val="21"/>
              </w:rPr>
              <w:t>22</w:t>
            </w:r>
          </w:p>
        </w:tc>
        <w:tc>
          <w:tcPr>
            <w:tcW w:w="2306" w:type="dxa"/>
            <w:vAlign w:val="center"/>
          </w:tcPr>
          <w:p w14:paraId="10EBB0E3">
            <w:pPr>
              <w:jc w:val="center"/>
              <w:rPr>
                <w:rFonts w:hint="eastAsia" w:ascii="宋体" w:hAnsi="宋体"/>
                <w:szCs w:val="21"/>
              </w:rPr>
            </w:pPr>
            <w:r>
              <w:rPr>
                <w:rFonts w:ascii="宋体" w:hAnsi="宋体"/>
                <w:szCs w:val="21"/>
              </w:rPr>
              <w:t>郑于河西侧风光带</w:t>
            </w:r>
          </w:p>
        </w:tc>
        <w:tc>
          <w:tcPr>
            <w:tcW w:w="6536" w:type="dxa"/>
            <w:vAlign w:val="center"/>
          </w:tcPr>
          <w:p w14:paraId="3CEDA997">
            <w:pPr>
              <w:jc w:val="left"/>
              <w:rPr>
                <w:rFonts w:hint="eastAsia" w:ascii="宋体" w:hAnsi="宋体"/>
                <w:szCs w:val="21"/>
              </w:rPr>
            </w:pPr>
            <w:r>
              <w:rPr>
                <w:rFonts w:ascii="宋体" w:hAnsi="宋体"/>
                <w:szCs w:val="21"/>
              </w:rPr>
              <w:t>人民路至军民路，惠泽路至调度河，鹏程路至新民路， 绿化面积约2.5万平方米。</w:t>
            </w:r>
          </w:p>
        </w:tc>
      </w:tr>
      <w:tr w14:paraId="5C4D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09" w:type="dxa"/>
            <w:vAlign w:val="center"/>
          </w:tcPr>
          <w:p w14:paraId="1D466FB2">
            <w:pPr>
              <w:jc w:val="center"/>
              <w:rPr>
                <w:rFonts w:hint="eastAsia" w:ascii="宋体" w:hAnsi="宋体"/>
                <w:szCs w:val="21"/>
              </w:rPr>
            </w:pPr>
            <w:r>
              <w:rPr>
                <w:rFonts w:ascii="宋体" w:hAnsi="宋体"/>
                <w:szCs w:val="21"/>
              </w:rPr>
              <w:t>23</w:t>
            </w:r>
          </w:p>
        </w:tc>
        <w:tc>
          <w:tcPr>
            <w:tcW w:w="2306" w:type="dxa"/>
            <w:vAlign w:val="center"/>
          </w:tcPr>
          <w:p w14:paraId="3237AFC5">
            <w:pPr>
              <w:jc w:val="center"/>
              <w:rPr>
                <w:rFonts w:hint="eastAsia" w:ascii="宋体" w:hAnsi="宋体"/>
                <w:szCs w:val="21"/>
              </w:rPr>
            </w:pPr>
            <w:r>
              <w:rPr>
                <w:rFonts w:ascii="宋体" w:hAnsi="宋体"/>
                <w:szCs w:val="21"/>
              </w:rPr>
              <w:t>周口河风光带</w:t>
            </w:r>
          </w:p>
        </w:tc>
        <w:tc>
          <w:tcPr>
            <w:tcW w:w="6536" w:type="dxa"/>
            <w:vAlign w:val="center"/>
          </w:tcPr>
          <w:p w14:paraId="1D5EE392">
            <w:pPr>
              <w:jc w:val="left"/>
              <w:rPr>
                <w:rFonts w:hint="eastAsia" w:ascii="宋体" w:hAnsi="宋体"/>
                <w:szCs w:val="21"/>
              </w:rPr>
            </w:pPr>
            <w:r>
              <w:rPr>
                <w:rFonts w:ascii="宋体" w:hAnsi="宋体"/>
                <w:szCs w:val="21"/>
              </w:rPr>
              <w:t>周口河东侧，新港大道至南安大道。周口河西侧，湘 江路至鹏程路。绿化面积约22万平方米。</w:t>
            </w:r>
          </w:p>
        </w:tc>
      </w:tr>
      <w:tr w14:paraId="73DEF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9" w:type="dxa"/>
            <w:vAlign w:val="center"/>
          </w:tcPr>
          <w:p w14:paraId="1779C22E">
            <w:pPr>
              <w:jc w:val="center"/>
              <w:rPr>
                <w:rFonts w:hint="eastAsia" w:ascii="宋体" w:hAnsi="宋体"/>
                <w:szCs w:val="21"/>
              </w:rPr>
            </w:pPr>
            <w:r>
              <w:rPr>
                <w:rFonts w:ascii="宋体" w:hAnsi="宋体"/>
                <w:szCs w:val="21"/>
              </w:rPr>
              <w:t>24</w:t>
            </w:r>
          </w:p>
        </w:tc>
        <w:tc>
          <w:tcPr>
            <w:tcW w:w="2306" w:type="dxa"/>
            <w:vAlign w:val="center"/>
          </w:tcPr>
          <w:p w14:paraId="351B2F7C">
            <w:pPr>
              <w:jc w:val="center"/>
              <w:rPr>
                <w:rFonts w:hint="eastAsia" w:ascii="宋体" w:hAnsi="宋体"/>
                <w:szCs w:val="21"/>
              </w:rPr>
            </w:pPr>
            <w:r>
              <w:rPr>
                <w:rFonts w:ascii="宋体" w:hAnsi="宋体"/>
                <w:szCs w:val="21"/>
              </w:rPr>
              <w:t>南六塘河健康主题公园</w:t>
            </w:r>
          </w:p>
        </w:tc>
        <w:tc>
          <w:tcPr>
            <w:tcW w:w="6536" w:type="dxa"/>
            <w:vAlign w:val="center"/>
          </w:tcPr>
          <w:p w14:paraId="6EF97A8A">
            <w:pPr>
              <w:jc w:val="left"/>
              <w:rPr>
                <w:rFonts w:hint="eastAsia" w:ascii="宋体" w:hAnsi="宋体"/>
                <w:szCs w:val="21"/>
              </w:rPr>
            </w:pPr>
            <w:r>
              <w:rPr>
                <w:rFonts w:ascii="宋体" w:hAnsi="宋体"/>
                <w:szCs w:val="21"/>
              </w:rPr>
              <w:t>南六塘河东侧，人民西路南侧。绿化面积约8.5万平方 米 。</w:t>
            </w:r>
          </w:p>
        </w:tc>
      </w:tr>
      <w:tr w14:paraId="7826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9" w:type="dxa"/>
            <w:vAlign w:val="center"/>
          </w:tcPr>
          <w:p w14:paraId="4D0895D2">
            <w:pPr>
              <w:jc w:val="center"/>
              <w:rPr>
                <w:rFonts w:hint="eastAsia" w:ascii="宋体" w:hAnsi="宋体"/>
                <w:szCs w:val="21"/>
              </w:rPr>
            </w:pPr>
            <w:r>
              <w:rPr>
                <w:rFonts w:ascii="宋体" w:hAnsi="宋体"/>
                <w:szCs w:val="21"/>
              </w:rPr>
              <w:t>25</w:t>
            </w:r>
          </w:p>
        </w:tc>
        <w:tc>
          <w:tcPr>
            <w:tcW w:w="2306" w:type="dxa"/>
            <w:vAlign w:val="center"/>
          </w:tcPr>
          <w:p w14:paraId="5D68693C">
            <w:pPr>
              <w:jc w:val="center"/>
              <w:rPr>
                <w:rFonts w:hint="eastAsia" w:ascii="宋体" w:hAnsi="宋体"/>
                <w:szCs w:val="21"/>
              </w:rPr>
            </w:pPr>
            <w:r>
              <w:rPr>
                <w:rFonts w:ascii="宋体" w:hAnsi="宋体"/>
                <w:szCs w:val="21"/>
              </w:rPr>
              <w:t>灌中西侧游园</w:t>
            </w:r>
          </w:p>
        </w:tc>
        <w:tc>
          <w:tcPr>
            <w:tcW w:w="6536" w:type="dxa"/>
            <w:vAlign w:val="center"/>
          </w:tcPr>
          <w:p w14:paraId="099A1BBC">
            <w:pPr>
              <w:jc w:val="left"/>
              <w:rPr>
                <w:rFonts w:hint="eastAsia" w:ascii="宋体" w:hAnsi="宋体"/>
                <w:szCs w:val="21"/>
              </w:rPr>
            </w:pPr>
            <w:r>
              <w:rPr>
                <w:rFonts w:ascii="宋体" w:hAnsi="宋体"/>
                <w:szCs w:val="21"/>
              </w:rPr>
              <w:t>灌中西侧，人民路南侧。绿化面积约1.7万平方米。</w:t>
            </w:r>
          </w:p>
        </w:tc>
      </w:tr>
      <w:tr w14:paraId="4E030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09" w:type="dxa"/>
            <w:vAlign w:val="center"/>
          </w:tcPr>
          <w:p w14:paraId="0002E87C">
            <w:pPr>
              <w:jc w:val="center"/>
              <w:rPr>
                <w:rFonts w:hint="eastAsia" w:ascii="宋体" w:hAnsi="宋体"/>
                <w:szCs w:val="21"/>
              </w:rPr>
            </w:pPr>
            <w:r>
              <w:rPr>
                <w:rFonts w:ascii="宋体" w:hAnsi="宋体"/>
                <w:szCs w:val="21"/>
              </w:rPr>
              <w:t>26</w:t>
            </w:r>
          </w:p>
        </w:tc>
        <w:tc>
          <w:tcPr>
            <w:tcW w:w="2306" w:type="dxa"/>
            <w:vAlign w:val="center"/>
          </w:tcPr>
          <w:p w14:paraId="0A9D86EF">
            <w:pPr>
              <w:jc w:val="center"/>
              <w:rPr>
                <w:rFonts w:hint="eastAsia" w:ascii="宋体" w:hAnsi="宋体"/>
                <w:szCs w:val="21"/>
              </w:rPr>
            </w:pPr>
            <w:r>
              <w:rPr>
                <w:rFonts w:ascii="宋体" w:hAnsi="宋体"/>
                <w:szCs w:val="21"/>
              </w:rPr>
              <w:t>农业园区游园</w:t>
            </w:r>
          </w:p>
        </w:tc>
        <w:tc>
          <w:tcPr>
            <w:tcW w:w="6536" w:type="dxa"/>
            <w:vAlign w:val="center"/>
          </w:tcPr>
          <w:p w14:paraId="584E46E8">
            <w:pPr>
              <w:jc w:val="left"/>
              <w:rPr>
                <w:rFonts w:hint="eastAsia" w:ascii="宋体" w:hAnsi="宋体"/>
                <w:szCs w:val="21"/>
              </w:rPr>
            </w:pPr>
            <w:r>
              <w:rPr>
                <w:rFonts w:ascii="宋体" w:hAnsi="宋体"/>
                <w:szCs w:val="21"/>
              </w:rPr>
              <w:t>农业园区门前。绿化面积约8000平方米。</w:t>
            </w:r>
          </w:p>
        </w:tc>
      </w:tr>
      <w:tr w14:paraId="6536B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09" w:type="dxa"/>
            <w:vAlign w:val="center"/>
          </w:tcPr>
          <w:p w14:paraId="66865860">
            <w:pPr>
              <w:jc w:val="center"/>
              <w:rPr>
                <w:rFonts w:hint="eastAsia" w:ascii="宋体" w:hAnsi="宋体"/>
                <w:szCs w:val="21"/>
              </w:rPr>
            </w:pPr>
            <w:r>
              <w:rPr>
                <w:rFonts w:ascii="宋体" w:hAnsi="宋体"/>
                <w:szCs w:val="21"/>
              </w:rPr>
              <w:t>27</w:t>
            </w:r>
          </w:p>
        </w:tc>
        <w:tc>
          <w:tcPr>
            <w:tcW w:w="2306" w:type="dxa"/>
            <w:vAlign w:val="center"/>
          </w:tcPr>
          <w:p w14:paraId="4AF948F2">
            <w:pPr>
              <w:jc w:val="center"/>
              <w:rPr>
                <w:rFonts w:hint="eastAsia" w:ascii="宋体" w:hAnsi="宋体"/>
                <w:szCs w:val="21"/>
              </w:rPr>
            </w:pPr>
            <w:r>
              <w:rPr>
                <w:rFonts w:ascii="宋体" w:hAnsi="宋体"/>
                <w:szCs w:val="21"/>
              </w:rPr>
              <w:t>三新精品城游园</w:t>
            </w:r>
          </w:p>
        </w:tc>
        <w:tc>
          <w:tcPr>
            <w:tcW w:w="6536" w:type="dxa"/>
            <w:vAlign w:val="center"/>
          </w:tcPr>
          <w:p w14:paraId="58703F3C">
            <w:pPr>
              <w:jc w:val="left"/>
              <w:rPr>
                <w:rFonts w:hint="eastAsia" w:ascii="宋体" w:hAnsi="宋体"/>
                <w:szCs w:val="21"/>
              </w:rPr>
            </w:pPr>
            <w:r>
              <w:rPr>
                <w:rFonts w:ascii="宋体" w:hAnsi="宋体"/>
                <w:szCs w:val="21"/>
              </w:rPr>
              <w:t>人民路至灌河路。绿化面积约1.6万平方米。</w:t>
            </w:r>
          </w:p>
        </w:tc>
      </w:tr>
    </w:tbl>
    <w:p w14:paraId="32011EBB">
      <w:pPr>
        <w:autoSpaceDE w:val="0"/>
        <w:autoSpaceDN w:val="0"/>
        <w:adjustRightInd w:val="0"/>
        <w:spacing w:before="120" w:beforeLines="50" w:after="120" w:afterLines="50" w:line="480" w:lineRule="exact"/>
        <w:ind w:firstLine="422" w:firstLineChars="200"/>
        <w:rPr>
          <w:rFonts w:hint="eastAsia" w:ascii="宋体" w:hAnsi="宋体" w:cs="MS Mincho"/>
          <w:b/>
          <w:bCs/>
          <w:szCs w:val="21"/>
        </w:rPr>
      </w:pPr>
      <w:r>
        <w:rPr>
          <w:rFonts w:hint="eastAsia" w:ascii="宋体" w:hAnsi="宋体" w:cs="MS Mincho"/>
          <w:b/>
          <w:bCs/>
          <w:szCs w:val="21"/>
        </w:rPr>
        <w:t>二、人员配备要求</w:t>
      </w:r>
    </w:p>
    <w:p w14:paraId="7004B73C">
      <w:pPr>
        <w:widowControl/>
        <w:spacing w:line="480" w:lineRule="exact"/>
        <w:ind w:firstLine="420" w:firstLineChars="200"/>
        <w:rPr>
          <w:rFonts w:hint="eastAsia" w:ascii="宋体" w:hAnsi="宋体"/>
          <w:szCs w:val="21"/>
        </w:rPr>
      </w:pPr>
      <w:r>
        <w:rPr>
          <w:rFonts w:hint="eastAsia" w:ascii="宋体" w:hAnsi="宋体"/>
          <w:szCs w:val="21"/>
        </w:rPr>
        <w:t>★（一）人员配置：项目经理1人，保洁</w:t>
      </w:r>
      <w:r>
        <w:rPr>
          <w:rFonts w:ascii="宋体" w:hAnsi="宋体"/>
          <w:szCs w:val="21"/>
        </w:rPr>
        <w:t>29</w:t>
      </w:r>
      <w:r>
        <w:rPr>
          <w:rFonts w:hint="eastAsia" w:ascii="宋体" w:hAnsi="宋体"/>
          <w:szCs w:val="21"/>
        </w:rPr>
        <w:t>人。岗位设置服务人数为最低要求，投标单位必须保证不低于</w:t>
      </w:r>
      <w:r>
        <w:rPr>
          <w:rFonts w:ascii="宋体" w:hAnsi="宋体"/>
          <w:szCs w:val="21"/>
        </w:rPr>
        <w:t>30</w:t>
      </w:r>
      <w:r>
        <w:rPr>
          <w:rFonts w:hint="eastAsia" w:ascii="宋体" w:hAnsi="宋体"/>
          <w:szCs w:val="21"/>
        </w:rPr>
        <w:t>人。</w:t>
      </w:r>
    </w:p>
    <w:p w14:paraId="7FF667B0">
      <w:pPr>
        <w:widowControl/>
        <w:spacing w:line="480" w:lineRule="exact"/>
        <w:ind w:firstLine="420" w:firstLineChars="200"/>
        <w:rPr>
          <w:rFonts w:hint="eastAsia" w:ascii="宋体" w:hAnsi="宋体"/>
          <w:szCs w:val="21"/>
        </w:rPr>
      </w:pPr>
      <w:r>
        <w:rPr>
          <w:rFonts w:hint="eastAsia" w:ascii="宋体" w:hAnsi="宋体"/>
          <w:szCs w:val="21"/>
        </w:rPr>
        <w:t>★（二）人员要求</w:t>
      </w:r>
    </w:p>
    <w:p w14:paraId="2AF4C48C">
      <w:pPr>
        <w:widowControl/>
        <w:spacing w:line="480" w:lineRule="exact"/>
        <w:ind w:firstLine="420" w:firstLineChars="200"/>
        <w:rPr>
          <w:rFonts w:hint="eastAsia" w:ascii="宋体" w:hAnsi="宋体"/>
          <w:szCs w:val="21"/>
        </w:rPr>
      </w:pPr>
      <w:r>
        <w:rPr>
          <w:rFonts w:hint="eastAsia" w:ascii="宋体" w:hAnsi="宋体"/>
          <w:szCs w:val="21"/>
        </w:rPr>
        <w:t>1.项目经理：具有3年以上现场管理工作经验，具有良好的沟通、协调、管理能力。投标单位一经中标，项目经理不得更换，如有特殊原因需更换，须经甲方考核认可后，方可更换。</w:t>
      </w:r>
    </w:p>
    <w:p w14:paraId="0B250136">
      <w:pPr>
        <w:widowControl/>
        <w:spacing w:line="480" w:lineRule="exact"/>
        <w:ind w:firstLine="420" w:firstLineChars="200"/>
        <w:rPr>
          <w:rFonts w:ascii="宋体" w:hAnsi="宋体"/>
          <w:szCs w:val="21"/>
        </w:rPr>
      </w:pPr>
      <w:r>
        <w:rPr>
          <w:rFonts w:hint="eastAsia" w:ascii="宋体" w:hAnsi="宋体"/>
          <w:szCs w:val="21"/>
        </w:rPr>
        <w:t>2.保洁员：年龄在65周岁以内，身体健康，体貌端正，吃苦耐劳，仔细认真，责任心强，具备一定的保洁经验。</w:t>
      </w:r>
    </w:p>
    <w:p w14:paraId="6D8E4713">
      <w:pPr>
        <w:shd w:val="clear" w:color="auto" w:fill="FFFFFF"/>
        <w:spacing w:line="480" w:lineRule="exact"/>
        <w:ind w:firstLine="420" w:firstLineChars="200"/>
        <w:jc w:val="left"/>
        <w:rPr>
          <w:rFonts w:hint="default" w:ascii="宋体" w:hAnsi="宋体" w:cs="微软雅黑 Light"/>
          <w:kern w:val="44"/>
          <w:szCs w:val="21"/>
        </w:rPr>
      </w:pPr>
      <w:r>
        <w:rPr>
          <w:rFonts w:ascii="宋体" w:hAnsi="宋体" w:cs="微软雅黑 Light"/>
          <w:kern w:val="44"/>
          <w:sz w:val="21"/>
          <w:szCs w:val="21"/>
          <w:shd w:val="clear"/>
        </w:rPr>
        <w:t>（三）人员替补及流动控制</w:t>
      </w:r>
      <w:r>
        <w:rPr>
          <w:rFonts w:ascii="宋体" w:hAnsi="宋体" w:cs="微软雅黑 Light"/>
          <w:kern w:val="44"/>
          <w:sz w:val="21"/>
          <w:szCs w:val="21"/>
        </w:rPr>
        <w:br w:type="textWrapping"/>
      </w:r>
      <w:r>
        <w:rPr>
          <w:rFonts w:hint="eastAsia" w:ascii="宋体" w:hAnsi="宋体"/>
          <w:szCs w:val="21"/>
        </w:rPr>
        <w:t>1.</w:t>
      </w:r>
      <w:r>
        <w:rPr>
          <w:rFonts w:hint="eastAsia" w:ascii="宋体" w:hAnsi="宋体" w:cs="Times New Roman"/>
          <w:kern w:val="0"/>
          <w:sz w:val="21"/>
          <w:szCs w:val="21"/>
          <w:shd w:val="clear"/>
        </w:rPr>
        <w:t>乙方应建立人员替补响应机制。若乙方人员因离职、病假、事假等原因缺岗，乙方应在24小时内安排符合本合同约定资质要求的替补人员到岗，确保服务不间断。</w:t>
      </w:r>
      <w:r>
        <w:rPr>
          <w:rFonts w:hint="eastAsia" w:ascii="宋体" w:hAnsi="宋体" w:cs="Times New Roman"/>
          <w:kern w:val="0"/>
          <w:sz w:val="21"/>
          <w:szCs w:val="21"/>
        </w:rPr>
        <w:br w:type="textWrapping"/>
      </w:r>
      <w:r>
        <w:rPr>
          <w:rFonts w:hint="eastAsia" w:ascii="宋体" w:hAnsi="宋体" w:cs="Times New Roman"/>
          <w:kern w:val="0"/>
          <w:sz w:val="21"/>
          <w:szCs w:val="21"/>
          <w:shd w:val="clear"/>
        </w:rPr>
        <w:t>2. 乙方项目团队月度人员流动率不得超过10%。若超过该比例，甲方有权要求乙方限期整改并提交书面说明及整改措施。</w:t>
      </w:r>
      <w:r>
        <w:rPr>
          <w:rFonts w:hint="eastAsia" w:ascii="宋体" w:hAnsi="宋体" w:cs="Times New Roman"/>
          <w:kern w:val="0"/>
          <w:sz w:val="21"/>
          <w:szCs w:val="21"/>
        </w:rPr>
        <w:br w:type="textWrapping"/>
      </w:r>
      <w:r>
        <w:rPr>
          <w:rFonts w:hint="eastAsia" w:ascii="宋体" w:hAnsi="宋体" w:cs="Times New Roman"/>
          <w:kern w:val="0"/>
          <w:sz w:val="21"/>
          <w:szCs w:val="21"/>
          <w:shd w:val="clear"/>
        </w:rPr>
        <w:t>3. 若乙方未按本条第1款约定在24小时内补齐缺岗人员，每缺岗一人每日扣减服务费人民币500元，甲方有权直接从当月应付费用中扣除。</w:t>
      </w:r>
    </w:p>
    <w:p w14:paraId="25AC19A2">
      <w:pPr>
        <w:shd w:val="clear" w:color="auto" w:fill="FFFFFF"/>
        <w:spacing w:line="480" w:lineRule="exact"/>
        <w:ind w:firstLine="422" w:firstLineChars="200"/>
        <w:rPr>
          <w:rFonts w:hint="eastAsia" w:ascii="宋体" w:hAnsi="宋体" w:cs="MS Mincho"/>
          <w:b/>
          <w:bCs/>
          <w:szCs w:val="21"/>
        </w:rPr>
      </w:pPr>
      <w:r>
        <w:rPr>
          <w:rFonts w:hint="eastAsia" w:ascii="宋体" w:hAnsi="宋体" w:cs="MS Mincho"/>
          <w:b/>
          <w:bCs/>
          <w:szCs w:val="21"/>
        </w:rPr>
        <w:t>三、服务要求</w:t>
      </w:r>
    </w:p>
    <w:p w14:paraId="56602B59">
      <w:pPr>
        <w:shd w:val="clear" w:color="auto" w:fill="FFFFFF"/>
        <w:spacing w:line="480" w:lineRule="exact"/>
        <w:ind w:firstLine="420" w:firstLineChars="200"/>
        <w:rPr>
          <w:rFonts w:hint="eastAsia" w:ascii="宋体" w:hAnsi="宋体" w:cs="微软雅黑 Light"/>
          <w:kern w:val="44"/>
          <w:szCs w:val="21"/>
        </w:rPr>
      </w:pPr>
      <w:r>
        <w:rPr>
          <w:rFonts w:ascii="宋体" w:hAnsi="宋体" w:cs="微软雅黑 Light"/>
          <w:kern w:val="44"/>
          <w:szCs w:val="21"/>
        </w:rPr>
        <w:t>1.</w:t>
      </w:r>
      <w:r>
        <w:rPr>
          <w:rFonts w:hint="eastAsia" w:ascii="宋体" w:hAnsi="宋体" w:cs="微软雅黑 Light"/>
          <w:kern w:val="44"/>
          <w:szCs w:val="21"/>
        </w:rPr>
        <w:t>保洁人员要求服装统一、佩戴工牌；</w:t>
      </w:r>
    </w:p>
    <w:p w14:paraId="426BEAD2">
      <w:pPr>
        <w:shd w:val="clear" w:color="auto" w:fill="FFFFFF"/>
        <w:spacing w:line="480" w:lineRule="exact"/>
        <w:ind w:firstLine="420" w:firstLineChars="200"/>
        <w:rPr>
          <w:rFonts w:hint="eastAsia" w:ascii="宋体" w:hAnsi="宋体" w:cs="微软雅黑 Light"/>
          <w:kern w:val="44"/>
          <w:szCs w:val="21"/>
        </w:rPr>
      </w:pPr>
      <w:r>
        <w:rPr>
          <w:rFonts w:ascii="宋体" w:hAnsi="宋体" w:cs="微软雅黑 Light"/>
          <w:kern w:val="44"/>
          <w:szCs w:val="21"/>
        </w:rPr>
        <w:t>2.</w:t>
      </w:r>
      <w:r>
        <w:rPr>
          <w:rFonts w:hint="eastAsia" w:ascii="宋体" w:hAnsi="宋体" w:cs="微软雅黑 Light"/>
          <w:kern w:val="44"/>
          <w:szCs w:val="21"/>
        </w:rPr>
        <w:t>保洁时间：全天做好卫生整洁</w:t>
      </w:r>
    </w:p>
    <w:p w14:paraId="411C4CEF">
      <w:pPr>
        <w:shd w:val="clear" w:color="auto" w:fill="FFFFFF"/>
        <w:spacing w:line="480" w:lineRule="exact"/>
        <w:ind w:firstLine="420" w:firstLineChars="200"/>
        <w:rPr>
          <w:rFonts w:hint="eastAsia" w:ascii="宋体" w:hAnsi="宋体" w:cs="微软雅黑 Light"/>
          <w:kern w:val="44"/>
          <w:szCs w:val="21"/>
        </w:rPr>
      </w:pPr>
      <w:r>
        <w:rPr>
          <w:rFonts w:ascii="宋体" w:hAnsi="宋体" w:cs="微软雅黑 Light"/>
          <w:kern w:val="44"/>
          <w:szCs w:val="21"/>
        </w:rPr>
        <w:t>3.</w:t>
      </w:r>
      <w:r>
        <w:rPr>
          <w:rFonts w:hint="eastAsia" w:ascii="宋体" w:hAnsi="宋体" w:cs="微软雅黑 Light"/>
          <w:kern w:val="44"/>
          <w:szCs w:val="21"/>
        </w:rPr>
        <w:t>垃圾桶保洁及清运作业标准：须按规定逐个进行清理，不遗漏。垃圾桶不满溢、无臭味，内无隔夜积存垃圾，坚持一日二清制。清洗后须将垃圾桶放置整齐当场锁好，扫净四周水。垃圾箱、垃圾房每周不少于两次的清运，周围百米内无堆积垃圾、无污物现象，少量砖瓦等建筑垃圾随带，做到车离地净；</w:t>
      </w:r>
    </w:p>
    <w:p w14:paraId="75C05413">
      <w:pPr>
        <w:shd w:val="clear" w:color="auto" w:fill="FFFFFF"/>
        <w:spacing w:line="480" w:lineRule="exact"/>
        <w:ind w:firstLine="420" w:firstLineChars="200"/>
        <w:rPr>
          <w:rFonts w:hint="eastAsia" w:ascii="宋体" w:hAnsi="宋体" w:cs="微软雅黑 Light"/>
          <w:kern w:val="44"/>
          <w:szCs w:val="21"/>
        </w:rPr>
      </w:pPr>
      <w:r>
        <w:rPr>
          <w:rFonts w:ascii="宋体" w:hAnsi="宋体" w:cs="微软雅黑 Light"/>
          <w:kern w:val="44"/>
          <w:szCs w:val="21"/>
        </w:rPr>
        <w:t>4.</w:t>
      </w:r>
      <w:r>
        <w:rPr>
          <w:rFonts w:hint="eastAsia" w:ascii="宋体" w:hAnsi="宋体" w:cs="微软雅黑 Light"/>
          <w:kern w:val="44"/>
          <w:szCs w:val="21"/>
        </w:rPr>
        <w:t>道路、铺装保洁作业标准：做到每天两次按规定的路线、时间和要求进行普扫，必须做到“四无、五净”，无零星垃圾、杂物，无果皮纸屑烟蒂，无积泥灰积水污物，无堵塞窨井沟眼；“五净”：路面净，窨井沟眼净、树穴净、路边净、花台周围及隔离护栏下净。包括绿化内的垃圾清理也必须做到“四无、五净”。普扫后，应不间断地巡回保洁，不得坐岗、离岗或与人闲聊；</w:t>
      </w:r>
    </w:p>
    <w:p w14:paraId="6E664247">
      <w:pPr>
        <w:shd w:val="clear" w:color="auto" w:fill="FFFFFF"/>
        <w:spacing w:line="480" w:lineRule="exact"/>
        <w:ind w:firstLine="420" w:firstLineChars="200"/>
        <w:rPr>
          <w:rFonts w:hint="eastAsia" w:ascii="宋体" w:hAnsi="宋体" w:cs="微软雅黑 Light"/>
          <w:kern w:val="44"/>
          <w:szCs w:val="21"/>
        </w:rPr>
      </w:pPr>
      <w:r>
        <w:rPr>
          <w:rFonts w:ascii="宋体" w:hAnsi="宋体" w:cs="微软雅黑 Light"/>
          <w:kern w:val="44"/>
          <w:szCs w:val="21"/>
        </w:rPr>
        <w:t>5.</w:t>
      </w:r>
      <w:r>
        <w:rPr>
          <w:rFonts w:hint="eastAsia" w:ascii="宋体" w:hAnsi="宋体" w:cs="微软雅黑 Light"/>
          <w:kern w:val="44"/>
          <w:szCs w:val="21"/>
        </w:rPr>
        <w:t>园内小品的保洁作业标准：包括休闲座椅、宣传牌、木箱、亭、廊、垃圾桶、栏杆等。必须每天</w:t>
      </w:r>
      <w:r>
        <w:rPr>
          <w:rFonts w:ascii="宋体" w:hAnsi="宋体" w:cs="微软雅黑 Light"/>
          <w:kern w:val="44"/>
          <w:szCs w:val="21"/>
        </w:rPr>
        <w:t>2</w:t>
      </w:r>
      <w:r>
        <w:rPr>
          <w:rFonts w:hint="eastAsia" w:ascii="宋体" w:hAnsi="宋体" w:cs="微软雅黑 Light"/>
          <w:kern w:val="44"/>
          <w:szCs w:val="21"/>
        </w:rPr>
        <w:t>次的保洁，休闲座椅、亭廊面上无灰尘、积水，宣传牌、木箱、栏杆垃圾桶等保持清洁。随时做到地面净、边角净、栏杆净、凳净。</w:t>
      </w:r>
    </w:p>
    <w:p w14:paraId="640994DA">
      <w:pPr>
        <w:spacing w:line="480" w:lineRule="exact"/>
        <w:ind w:firstLine="422" w:firstLineChars="200"/>
        <w:rPr>
          <w:rFonts w:hint="eastAsia" w:ascii="宋体" w:hAnsi="宋体" w:cs="微软雅黑 Light"/>
          <w:b/>
          <w:szCs w:val="21"/>
        </w:rPr>
      </w:pPr>
      <w:r>
        <w:rPr>
          <w:rFonts w:hint="eastAsia" w:ascii="宋体" w:hAnsi="宋体" w:cs="微软雅黑 Light"/>
          <w:b/>
          <w:szCs w:val="21"/>
        </w:rPr>
        <w:t>四、公园室外环境清洁要求</w:t>
      </w:r>
    </w:p>
    <w:p w14:paraId="5EA06129">
      <w:pPr>
        <w:spacing w:line="480" w:lineRule="exact"/>
        <w:rPr>
          <w:rFonts w:hint="eastAsia" w:ascii="宋体" w:hAnsi="宋体" w:cs="微软雅黑 Light"/>
          <w:bCs/>
          <w:szCs w:val="21"/>
        </w:rPr>
      </w:pPr>
      <w:r>
        <w:rPr>
          <w:rFonts w:hint="eastAsia" w:ascii="宋体" w:hAnsi="宋体" w:cs="微软雅黑 Light"/>
          <w:bCs/>
          <w:szCs w:val="21"/>
        </w:rPr>
        <w:t>1.日常保洁工作流程</w:t>
      </w:r>
    </w:p>
    <w:p w14:paraId="49BC464C">
      <w:pPr>
        <w:spacing w:line="480" w:lineRule="exact"/>
        <w:rPr>
          <w:rFonts w:hint="eastAsia" w:ascii="宋体" w:hAnsi="宋体" w:cs="微软雅黑 Light"/>
          <w:bCs/>
          <w:szCs w:val="21"/>
        </w:rPr>
      </w:pPr>
      <w:r>
        <w:rPr>
          <w:rFonts w:hint="eastAsia" w:ascii="宋体" w:hAnsi="宋体" w:cs="微软雅黑 Light"/>
          <w:bCs/>
          <w:szCs w:val="21"/>
        </w:rPr>
        <w:t>（</w:t>
      </w:r>
      <w:r>
        <w:rPr>
          <w:rFonts w:ascii="宋体" w:hAnsi="宋体" w:cs="微软雅黑 Light"/>
          <w:bCs/>
          <w:szCs w:val="21"/>
        </w:rPr>
        <w:t>1</w:t>
      </w:r>
      <w:r>
        <w:rPr>
          <w:rFonts w:hint="eastAsia" w:ascii="宋体" w:hAnsi="宋体" w:cs="微软雅黑 Light"/>
          <w:bCs/>
          <w:szCs w:val="21"/>
        </w:rPr>
        <w:t>）用扫把、垃圾铲清扫、收集外围地面积尘、烟头、纸屑等杂物，并用垃圾袋密封好。</w:t>
      </w:r>
    </w:p>
    <w:p w14:paraId="56E1BABC">
      <w:pPr>
        <w:spacing w:line="480" w:lineRule="exact"/>
        <w:rPr>
          <w:rFonts w:hint="eastAsia" w:ascii="宋体" w:hAnsi="宋体" w:cs="微软雅黑 Light"/>
          <w:bCs/>
          <w:szCs w:val="21"/>
        </w:rPr>
      </w:pPr>
      <w:r>
        <w:rPr>
          <w:rFonts w:hint="eastAsia" w:ascii="宋体" w:hAnsi="宋体" w:cs="微软雅黑 Light"/>
          <w:bCs/>
          <w:szCs w:val="21"/>
        </w:rPr>
        <w:t>（</w:t>
      </w:r>
      <w:r>
        <w:rPr>
          <w:rFonts w:ascii="宋体" w:hAnsi="宋体" w:cs="微软雅黑 Light"/>
          <w:bCs/>
          <w:szCs w:val="21"/>
        </w:rPr>
        <w:t>2</w:t>
      </w:r>
      <w:r>
        <w:rPr>
          <w:rFonts w:hint="eastAsia" w:ascii="宋体" w:hAnsi="宋体" w:cs="微软雅黑 Light"/>
          <w:bCs/>
          <w:szCs w:val="21"/>
        </w:rPr>
        <w:t>）所有保洁工具应随人走，如因垃圾存放杂物过多或体积过大不方便随身携带时，</w:t>
      </w:r>
    </w:p>
    <w:p w14:paraId="2CC59211">
      <w:pPr>
        <w:spacing w:line="480" w:lineRule="exact"/>
        <w:rPr>
          <w:rFonts w:hint="eastAsia" w:ascii="宋体" w:hAnsi="宋体" w:cs="微软雅黑 Light"/>
          <w:bCs/>
          <w:szCs w:val="21"/>
        </w:rPr>
      </w:pPr>
      <w:r>
        <w:rPr>
          <w:rFonts w:hint="eastAsia" w:ascii="宋体" w:hAnsi="宋体" w:cs="微软雅黑 Light"/>
          <w:bCs/>
          <w:szCs w:val="21"/>
        </w:rPr>
        <w:t>应隐蔽放置，但放置时间不宜过长。</w:t>
      </w:r>
    </w:p>
    <w:p w14:paraId="328172DD">
      <w:pPr>
        <w:numPr>
          <w:ilvl w:val="0"/>
          <w:numId w:val="3"/>
        </w:numPr>
        <w:spacing w:line="480" w:lineRule="exact"/>
        <w:rPr>
          <w:rFonts w:hint="eastAsia" w:ascii="宋体" w:hAnsi="宋体" w:cs="微软雅黑 Light"/>
          <w:bCs/>
          <w:szCs w:val="21"/>
        </w:rPr>
      </w:pPr>
      <w:r>
        <w:rPr>
          <w:rFonts w:hint="eastAsia" w:ascii="宋体" w:hAnsi="宋体" w:cs="微软雅黑 Light"/>
          <w:bCs/>
          <w:szCs w:val="21"/>
        </w:rPr>
        <w:t>用抹布对凉亭、灯饰、</w:t>
      </w:r>
      <w:r>
        <w:rPr>
          <w:rFonts w:hint="eastAsia" w:ascii="宋体" w:hAnsi="宋体" w:cs="微软雅黑 Light"/>
          <w:kern w:val="44"/>
          <w:szCs w:val="21"/>
        </w:rPr>
        <w:t>休闲座椅、宣传牌、</w:t>
      </w:r>
      <w:r>
        <w:rPr>
          <w:rFonts w:hint="eastAsia" w:ascii="宋体" w:hAnsi="宋体" w:cs="微软雅黑 Light"/>
          <w:bCs/>
          <w:szCs w:val="21"/>
        </w:rPr>
        <w:t>果皮箱等进行擦拭。休闲座椅、凉亭有</w:t>
      </w:r>
    </w:p>
    <w:p w14:paraId="2B205636">
      <w:pPr>
        <w:spacing w:line="480" w:lineRule="exact"/>
        <w:rPr>
          <w:rFonts w:hint="eastAsia" w:ascii="宋体" w:hAnsi="宋体" w:cs="微软雅黑 Light"/>
          <w:bCs/>
          <w:szCs w:val="21"/>
        </w:rPr>
      </w:pPr>
      <w:r>
        <w:rPr>
          <w:rFonts w:hint="eastAsia" w:ascii="宋体" w:hAnsi="宋体" w:cs="微软雅黑 Light"/>
          <w:bCs/>
          <w:szCs w:val="21"/>
        </w:rPr>
        <w:t>积水，用毛巾擦干。</w:t>
      </w:r>
    </w:p>
    <w:p w14:paraId="12982BDD">
      <w:pPr>
        <w:spacing w:line="480" w:lineRule="exact"/>
        <w:rPr>
          <w:rFonts w:hint="eastAsia" w:ascii="宋体" w:hAnsi="宋体" w:cs="微软雅黑 Light"/>
          <w:bCs/>
          <w:szCs w:val="21"/>
        </w:rPr>
      </w:pPr>
      <w:r>
        <w:rPr>
          <w:rFonts w:hint="eastAsia" w:ascii="宋体" w:hAnsi="宋体" w:cs="微软雅黑 Light"/>
          <w:bCs/>
          <w:szCs w:val="21"/>
        </w:rPr>
        <w:t>（</w:t>
      </w:r>
      <w:r>
        <w:rPr>
          <w:rFonts w:ascii="宋体" w:hAnsi="宋体" w:cs="微软雅黑 Light"/>
          <w:bCs/>
          <w:szCs w:val="21"/>
        </w:rPr>
        <w:t>4</w:t>
      </w:r>
      <w:r>
        <w:rPr>
          <w:rFonts w:hint="eastAsia" w:ascii="宋体" w:hAnsi="宋体" w:cs="微软雅黑 Light"/>
          <w:bCs/>
          <w:szCs w:val="21"/>
        </w:rPr>
        <w:t>）拔除外围路面（草坪以外）杂草。</w:t>
      </w:r>
    </w:p>
    <w:p w14:paraId="72D77361">
      <w:pPr>
        <w:spacing w:line="480" w:lineRule="exact"/>
        <w:rPr>
          <w:rFonts w:hint="eastAsia" w:ascii="宋体" w:hAnsi="宋体" w:cs="微软雅黑 Light"/>
          <w:bCs/>
          <w:szCs w:val="21"/>
        </w:rPr>
      </w:pPr>
      <w:r>
        <w:rPr>
          <w:rFonts w:hint="eastAsia" w:ascii="宋体" w:hAnsi="宋体" w:cs="微软雅黑 Light"/>
          <w:bCs/>
          <w:szCs w:val="21"/>
        </w:rPr>
        <w:t>（</w:t>
      </w:r>
      <w:r>
        <w:rPr>
          <w:rFonts w:ascii="宋体" w:hAnsi="宋体" w:cs="微软雅黑 Light"/>
          <w:bCs/>
          <w:szCs w:val="21"/>
        </w:rPr>
        <w:t>5</w:t>
      </w:r>
      <w:r>
        <w:rPr>
          <w:rFonts w:hint="eastAsia" w:ascii="宋体" w:hAnsi="宋体" w:cs="微软雅黑 Light"/>
          <w:bCs/>
          <w:szCs w:val="21"/>
        </w:rPr>
        <w:t>）收集果皮箱内存放的垃圾。</w:t>
      </w:r>
    </w:p>
    <w:p w14:paraId="4E7255FC">
      <w:pPr>
        <w:spacing w:line="480" w:lineRule="exact"/>
        <w:rPr>
          <w:rFonts w:hint="eastAsia" w:ascii="宋体" w:hAnsi="宋体" w:cs="微软雅黑 Light"/>
          <w:bCs/>
          <w:szCs w:val="21"/>
        </w:rPr>
      </w:pPr>
      <w:r>
        <w:rPr>
          <w:rFonts w:hint="eastAsia" w:ascii="宋体" w:hAnsi="宋体" w:cs="微软雅黑 Light"/>
          <w:bCs/>
          <w:szCs w:val="21"/>
        </w:rPr>
        <w:t>（</w:t>
      </w:r>
      <w:r>
        <w:rPr>
          <w:rFonts w:ascii="宋体" w:hAnsi="宋体" w:cs="微软雅黑 Light"/>
          <w:bCs/>
          <w:szCs w:val="21"/>
        </w:rPr>
        <w:t>6</w:t>
      </w:r>
      <w:r>
        <w:rPr>
          <w:rFonts w:hint="eastAsia" w:ascii="宋体" w:hAnsi="宋体" w:cs="微软雅黑 Light"/>
          <w:bCs/>
          <w:szCs w:val="21"/>
        </w:rPr>
        <w:t>）清扫树荫底下落叶并及时用垃圾袋密封袋装。</w:t>
      </w:r>
    </w:p>
    <w:p w14:paraId="1359873B">
      <w:pPr>
        <w:spacing w:line="480" w:lineRule="exact"/>
        <w:rPr>
          <w:rFonts w:hint="eastAsia" w:ascii="宋体" w:hAnsi="宋体" w:cs="微软雅黑 Light"/>
          <w:bCs/>
          <w:szCs w:val="21"/>
        </w:rPr>
      </w:pPr>
      <w:r>
        <w:rPr>
          <w:rFonts w:hint="eastAsia" w:ascii="宋体" w:hAnsi="宋体" w:cs="微软雅黑 Light"/>
          <w:bCs/>
          <w:szCs w:val="21"/>
        </w:rPr>
        <w:t>本规程在实施过程中，出现异常情况，在职责范围内不能解决的立即报告上级安排处理，当天垃圾当天清不要堆积，垃圾每天清运至中转站，成交供应商自行承担车辆及清运人员费用。</w:t>
      </w:r>
    </w:p>
    <w:p w14:paraId="6CA59E60">
      <w:pPr>
        <w:widowControl/>
        <w:spacing w:line="480" w:lineRule="exact"/>
        <w:ind w:firstLine="422" w:firstLineChars="200"/>
        <w:rPr>
          <w:rFonts w:hint="eastAsia" w:ascii="宋体" w:hAnsi="宋体"/>
          <w:b/>
          <w:szCs w:val="21"/>
        </w:rPr>
      </w:pPr>
      <w:r>
        <w:rPr>
          <w:rFonts w:hint="eastAsia" w:ascii="宋体" w:hAnsi="宋体"/>
          <w:b/>
          <w:szCs w:val="21"/>
        </w:rPr>
        <w:t>附件：考核办法（甲方可根据项目具体情况调整）</w:t>
      </w:r>
    </w:p>
    <w:p w14:paraId="28B9AEB4">
      <w:pPr>
        <w:widowControl/>
        <w:spacing w:line="480" w:lineRule="exact"/>
        <w:ind w:firstLine="420" w:firstLineChars="200"/>
        <w:rPr>
          <w:rFonts w:hint="eastAsia" w:ascii="宋体" w:hAnsi="宋体"/>
          <w:szCs w:val="21"/>
        </w:rPr>
      </w:pPr>
      <w:r>
        <w:rPr>
          <w:rFonts w:hint="eastAsia" w:ascii="宋体" w:hAnsi="宋体"/>
          <w:szCs w:val="21"/>
        </w:rPr>
        <w:t>1.</w:t>
      </w:r>
      <w:r>
        <w:rPr>
          <w:rFonts w:ascii="宋体" w:hAnsi="宋体"/>
          <w:szCs w:val="21"/>
        </w:rPr>
        <w:t>检查与考核</w:t>
      </w:r>
    </w:p>
    <w:p w14:paraId="76700388">
      <w:pPr>
        <w:widowControl/>
        <w:spacing w:line="480" w:lineRule="exact"/>
        <w:ind w:firstLine="420" w:firstLineChars="200"/>
        <w:rPr>
          <w:rFonts w:hint="eastAsia" w:ascii="宋体" w:hAnsi="宋体"/>
          <w:szCs w:val="21"/>
        </w:rPr>
      </w:pPr>
      <w:r>
        <w:rPr>
          <w:rFonts w:ascii="宋体" w:hAnsi="宋体"/>
          <w:szCs w:val="21"/>
        </w:rPr>
        <w:t>（1）甲方</w:t>
      </w:r>
      <w:r>
        <w:rPr>
          <w:rFonts w:hint="eastAsia" w:ascii="宋体" w:hAnsi="宋体"/>
          <w:szCs w:val="21"/>
        </w:rPr>
        <w:t>不定期</w:t>
      </w:r>
      <w:r>
        <w:rPr>
          <w:rFonts w:ascii="宋体" w:hAnsi="宋体"/>
          <w:szCs w:val="21"/>
        </w:rPr>
        <w:t>对乙方的</w:t>
      </w:r>
      <w:r>
        <w:rPr>
          <w:rFonts w:hint="eastAsia" w:ascii="宋体" w:hAnsi="宋体"/>
          <w:szCs w:val="21"/>
        </w:rPr>
        <w:t>卫生保洁服务</w:t>
      </w:r>
      <w:r>
        <w:rPr>
          <w:rFonts w:ascii="宋体" w:hAnsi="宋体"/>
          <w:szCs w:val="21"/>
        </w:rPr>
        <w:t>工作进行</w:t>
      </w:r>
      <w:r>
        <w:rPr>
          <w:rFonts w:hint="eastAsia" w:ascii="宋体" w:hAnsi="宋体"/>
          <w:szCs w:val="21"/>
        </w:rPr>
        <w:t>检查，如发现</w:t>
      </w:r>
      <w:r>
        <w:rPr>
          <w:rFonts w:ascii="宋体" w:hAnsi="宋体"/>
          <w:szCs w:val="21"/>
        </w:rPr>
        <w:t>乙方工作</w:t>
      </w:r>
      <w:r>
        <w:rPr>
          <w:rFonts w:hint="eastAsia" w:ascii="宋体" w:hAnsi="宋体"/>
          <w:szCs w:val="21"/>
        </w:rPr>
        <w:t>不到位，甲方随时约谈相关责任人并进行相应罚款</w:t>
      </w:r>
      <w:r>
        <w:rPr>
          <w:rFonts w:ascii="宋体" w:hAnsi="宋体"/>
          <w:szCs w:val="21"/>
        </w:rPr>
        <w:t>。</w:t>
      </w:r>
    </w:p>
    <w:p w14:paraId="424477EF">
      <w:pPr>
        <w:widowControl/>
        <w:spacing w:line="480" w:lineRule="exact"/>
        <w:ind w:firstLine="420" w:firstLineChars="200"/>
        <w:rPr>
          <w:rFonts w:hint="eastAsia" w:ascii="宋体" w:hAnsi="宋体"/>
          <w:szCs w:val="21"/>
        </w:rPr>
      </w:pPr>
      <w:r>
        <w:rPr>
          <w:rFonts w:ascii="宋体" w:hAnsi="宋体"/>
          <w:szCs w:val="21"/>
        </w:rPr>
        <w:t>（2）甲方在检查中发现的问题及时通知乙方，乙方及时整改，同时乙方须主动联系甲方，在每月抽查检查考核得分表上签字确认。如乙方不及时签字确认，一律视为乙方默认甲方的考核得分。</w:t>
      </w:r>
    </w:p>
    <w:p w14:paraId="57B9EBA8">
      <w:pPr>
        <w:widowControl/>
        <w:spacing w:line="480" w:lineRule="exact"/>
        <w:ind w:firstLine="420" w:firstLineChars="200"/>
        <w:rPr>
          <w:rFonts w:hint="eastAsia" w:ascii="宋体" w:hAnsi="宋体"/>
          <w:szCs w:val="21"/>
        </w:rPr>
      </w:pPr>
      <w:r>
        <w:rPr>
          <w:rFonts w:ascii="宋体" w:hAnsi="宋体"/>
          <w:szCs w:val="21"/>
        </w:rPr>
        <w:t>（3）甲方每月不定期抽查，并汇总最终考核得分，每月最终考评得分为该月抽查考评得分</w:t>
      </w:r>
      <w:r>
        <w:rPr>
          <w:rFonts w:hint="eastAsia" w:ascii="宋体" w:hAnsi="宋体"/>
          <w:szCs w:val="21"/>
        </w:rPr>
        <w:t>。</w:t>
      </w:r>
    </w:p>
    <w:p w14:paraId="12927216">
      <w:pPr>
        <w:widowControl/>
        <w:spacing w:line="480" w:lineRule="exact"/>
        <w:ind w:firstLine="420" w:firstLineChars="200"/>
        <w:rPr>
          <w:rFonts w:hint="eastAsia" w:ascii="宋体" w:hAnsi="宋体"/>
          <w:szCs w:val="21"/>
        </w:rPr>
      </w:pPr>
      <w:r>
        <w:rPr>
          <w:rFonts w:hint="eastAsia" w:ascii="宋体" w:hAnsi="宋体"/>
          <w:szCs w:val="21"/>
        </w:rPr>
        <w:t>2.</w:t>
      </w:r>
      <w:r>
        <w:rPr>
          <w:rFonts w:ascii="宋体" w:hAnsi="宋体"/>
          <w:szCs w:val="21"/>
        </w:rPr>
        <w:t>付款</w:t>
      </w:r>
    </w:p>
    <w:p w14:paraId="172F789B">
      <w:pPr>
        <w:widowControl/>
        <w:spacing w:line="480" w:lineRule="exact"/>
        <w:ind w:firstLine="420" w:firstLineChars="200"/>
        <w:rPr>
          <w:rFonts w:hint="eastAsia" w:ascii="宋体" w:hAnsi="宋体"/>
          <w:szCs w:val="21"/>
        </w:rPr>
      </w:pPr>
      <w:r>
        <w:rPr>
          <w:rFonts w:ascii="宋体" w:hAnsi="宋体"/>
          <w:szCs w:val="21"/>
        </w:rPr>
        <w:t>甲方进行月度考核，考核结果与实际付款金额挂钩，考核总分 100 分。</w:t>
      </w:r>
    </w:p>
    <w:p w14:paraId="13329825">
      <w:pPr>
        <w:widowControl/>
        <w:spacing w:line="480" w:lineRule="exact"/>
        <w:ind w:firstLine="420" w:firstLineChars="200"/>
        <w:rPr>
          <w:rFonts w:hint="eastAsia" w:ascii="宋体" w:hAnsi="宋体"/>
          <w:szCs w:val="21"/>
        </w:rPr>
      </w:pPr>
      <w:r>
        <w:rPr>
          <w:rFonts w:ascii="宋体" w:hAnsi="宋体"/>
          <w:szCs w:val="21"/>
        </w:rPr>
        <w:t>甲方根据考核办法于次月上旬核定当月实付款并及时向乙方支付费用，每月实付费用=每月应付费用-月合计扣款金额。</w:t>
      </w:r>
    </w:p>
    <w:p w14:paraId="17038202">
      <w:pPr>
        <w:widowControl/>
        <w:spacing w:line="480" w:lineRule="exact"/>
        <w:ind w:firstLine="420" w:firstLineChars="200"/>
        <w:rPr>
          <w:rFonts w:hint="eastAsia" w:ascii="宋体" w:hAnsi="宋体"/>
          <w:szCs w:val="21"/>
        </w:rPr>
      </w:pPr>
      <w:r>
        <w:rPr>
          <w:rFonts w:ascii="宋体" w:hAnsi="宋体"/>
          <w:szCs w:val="21"/>
        </w:rPr>
        <w:t>（2）乙方须在</w:t>
      </w:r>
      <w:r>
        <w:rPr>
          <w:rFonts w:hint="eastAsia" w:ascii="宋体" w:hAnsi="宋体"/>
          <w:szCs w:val="21"/>
        </w:rPr>
        <w:t>灌南县</w:t>
      </w:r>
      <w:r>
        <w:rPr>
          <w:rFonts w:ascii="宋体" w:hAnsi="宋体"/>
          <w:szCs w:val="21"/>
        </w:rPr>
        <w:t>税务部门开具发票用于相关费用的结算。</w:t>
      </w:r>
    </w:p>
    <w:p w14:paraId="7C9F53E6">
      <w:pPr>
        <w:widowControl/>
        <w:spacing w:line="480" w:lineRule="exact"/>
        <w:ind w:firstLine="420" w:firstLineChars="200"/>
        <w:rPr>
          <w:rFonts w:hint="eastAsia" w:ascii="宋体" w:hAnsi="宋体"/>
          <w:szCs w:val="21"/>
        </w:rPr>
      </w:pPr>
      <w:r>
        <w:rPr>
          <w:rFonts w:hint="eastAsia" w:ascii="宋体" w:hAnsi="宋体"/>
          <w:szCs w:val="21"/>
        </w:rPr>
        <w:t>3.</w:t>
      </w:r>
      <w:r>
        <w:rPr>
          <w:rFonts w:ascii="宋体" w:hAnsi="宋体"/>
          <w:szCs w:val="21"/>
        </w:rPr>
        <w:t>考核标准</w:t>
      </w:r>
    </w:p>
    <w:p w14:paraId="0762A235">
      <w:pPr>
        <w:spacing w:before="92" w:line="222" w:lineRule="auto"/>
        <w:ind w:left="-840" w:leftChars="-400" w:firstLine="1932" w:firstLineChars="700"/>
        <w:jc w:val="center"/>
        <w:rPr>
          <w:rFonts w:hint="eastAsia" w:ascii="宋体" w:hAnsi="宋体" w:cs="宋体"/>
          <w:spacing w:val="7"/>
          <w:sz w:val="20"/>
          <w:szCs w:val="20"/>
        </w:rPr>
      </w:pPr>
      <w:r>
        <w:rPr>
          <w:rFonts w:hint="eastAsia" w:ascii="仿宋" w:hAnsi="仿宋" w:eastAsia="仿宋" w:cs="仿宋"/>
          <w:spacing w:val="-2"/>
          <w:sz w:val="28"/>
          <w:szCs w:val="28"/>
        </w:rPr>
        <w:t>灌南县</w:t>
      </w:r>
      <w:r>
        <w:rPr>
          <w:rFonts w:ascii="仿宋" w:hAnsi="仿宋" w:eastAsia="仿宋" w:cs="仿宋"/>
          <w:spacing w:val="-2"/>
          <w:sz w:val="28"/>
          <w:szCs w:val="28"/>
        </w:rPr>
        <w:t>垃圾清运及环卫保洁考核管理标准</w:t>
      </w:r>
    </w:p>
    <w:p w14:paraId="6DF58446">
      <w:pPr>
        <w:spacing w:line="400" w:lineRule="exact"/>
        <w:jc w:val="left"/>
        <w:rPr>
          <w:rFonts w:hint="eastAsia" w:ascii="宋体" w:hAnsi="宋体"/>
          <w:vanish/>
        </w:rPr>
      </w:pPr>
    </w:p>
    <w:p w14:paraId="7F04B89B"/>
    <w:tbl>
      <w:tblPr>
        <w:tblStyle w:val="12"/>
        <w:tblW w:w="940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
        <w:gridCol w:w="3632"/>
        <w:gridCol w:w="3236"/>
        <w:gridCol w:w="1071"/>
        <w:gridCol w:w="932"/>
      </w:tblGrid>
      <w:tr w14:paraId="4993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38" w:type="dxa"/>
            <w:vAlign w:val="center"/>
          </w:tcPr>
          <w:p w14:paraId="732AFC54">
            <w:pPr>
              <w:pStyle w:val="11"/>
              <w:ind w:firstLine="0" w:firstLineChars="0"/>
              <w:jc w:val="center"/>
            </w:pPr>
            <w:r>
              <w:rPr>
                <w:rFonts w:ascii="宋体" w:eastAsia="宋体"/>
                <w:spacing w:val="-4"/>
                <w:szCs w:val="21"/>
              </w:rPr>
              <w:t>序号</w:t>
            </w:r>
          </w:p>
        </w:tc>
        <w:tc>
          <w:tcPr>
            <w:tcW w:w="3632" w:type="dxa"/>
            <w:vAlign w:val="center"/>
          </w:tcPr>
          <w:p w14:paraId="531F239E">
            <w:pPr>
              <w:pStyle w:val="11"/>
              <w:ind w:firstLine="0" w:firstLineChars="0"/>
              <w:jc w:val="center"/>
            </w:pPr>
            <w:r>
              <w:rPr>
                <w:rFonts w:ascii="宋体" w:eastAsia="宋体"/>
                <w:spacing w:val="-2"/>
                <w:szCs w:val="21"/>
              </w:rPr>
              <w:t>作业要求</w:t>
            </w:r>
          </w:p>
        </w:tc>
        <w:tc>
          <w:tcPr>
            <w:tcW w:w="3236" w:type="dxa"/>
            <w:tcBorders>
              <w:right w:val="single" w:color="000000" w:sz="2" w:space="0"/>
            </w:tcBorders>
            <w:vAlign w:val="center"/>
          </w:tcPr>
          <w:p w14:paraId="6CA63D09">
            <w:pPr>
              <w:pStyle w:val="11"/>
              <w:ind w:firstLine="0" w:firstLineChars="0"/>
              <w:jc w:val="center"/>
            </w:pPr>
            <w:r>
              <w:rPr>
                <w:rFonts w:ascii="宋体" w:eastAsia="宋体"/>
                <w:spacing w:val="-2"/>
                <w:szCs w:val="21"/>
              </w:rPr>
              <w:t>检查内容</w:t>
            </w:r>
          </w:p>
        </w:tc>
        <w:tc>
          <w:tcPr>
            <w:tcW w:w="1071" w:type="dxa"/>
            <w:tcBorders>
              <w:left w:val="single" w:color="000000" w:sz="2" w:space="0"/>
            </w:tcBorders>
            <w:vAlign w:val="center"/>
          </w:tcPr>
          <w:p w14:paraId="40807DE7">
            <w:pPr>
              <w:pStyle w:val="11"/>
              <w:ind w:firstLine="0" w:firstLineChars="0"/>
            </w:pPr>
            <w:r>
              <w:rPr>
                <w:rFonts w:ascii="宋体" w:eastAsia="宋体"/>
                <w:spacing w:val="-4"/>
                <w:szCs w:val="21"/>
              </w:rPr>
              <w:t>扣款金</w:t>
            </w:r>
            <w:r>
              <w:rPr>
                <w:rFonts w:ascii="宋体" w:eastAsia="宋体"/>
                <w:szCs w:val="21"/>
              </w:rPr>
              <w:t xml:space="preserve">  </w:t>
            </w:r>
            <w:r>
              <w:rPr>
                <w:rFonts w:ascii="宋体" w:eastAsia="宋体"/>
                <w:spacing w:val="-6"/>
                <w:szCs w:val="21"/>
              </w:rPr>
              <w:t>额（元）</w:t>
            </w:r>
          </w:p>
        </w:tc>
        <w:tc>
          <w:tcPr>
            <w:tcW w:w="932" w:type="dxa"/>
            <w:tcBorders>
              <w:left w:val="single" w:color="000000" w:sz="2" w:space="0"/>
            </w:tcBorders>
            <w:vAlign w:val="center"/>
          </w:tcPr>
          <w:p w14:paraId="614A1536">
            <w:pPr>
              <w:pStyle w:val="11"/>
              <w:ind w:firstLine="0" w:firstLineChars="0"/>
              <w:jc w:val="center"/>
              <w:rPr>
                <w:rFonts w:ascii="宋体" w:eastAsia="宋体"/>
                <w:spacing w:val="-4"/>
                <w:szCs w:val="21"/>
              </w:rPr>
            </w:pPr>
            <w:r>
              <w:rPr>
                <w:rFonts w:hint="eastAsia" w:ascii="宋体" w:eastAsia="宋体"/>
                <w:spacing w:val="-4"/>
                <w:szCs w:val="21"/>
              </w:rPr>
              <w:t>扣分</w:t>
            </w:r>
          </w:p>
          <w:p w14:paraId="1C6AD5AC">
            <w:pPr>
              <w:pStyle w:val="11"/>
              <w:ind w:firstLine="0" w:firstLineChars="0"/>
              <w:jc w:val="center"/>
            </w:pPr>
            <w:r>
              <w:rPr>
                <w:rFonts w:hint="eastAsia" w:ascii="宋体" w:eastAsia="宋体"/>
                <w:spacing w:val="-4"/>
                <w:szCs w:val="21"/>
              </w:rPr>
              <w:t>分值</w:t>
            </w:r>
          </w:p>
        </w:tc>
      </w:tr>
      <w:tr w14:paraId="3800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38" w:type="dxa"/>
            <w:tcBorders>
              <w:bottom w:val="single" w:color="000000" w:sz="2" w:space="0"/>
            </w:tcBorders>
            <w:vAlign w:val="center"/>
          </w:tcPr>
          <w:p w14:paraId="47B70760">
            <w:pPr>
              <w:pStyle w:val="11"/>
              <w:spacing w:after="0" w:line="320" w:lineRule="exact"/>
              <w:ind w:firstLine="0" w:firstLineChars="0"/>
              <w:jc w:val="center"/>
            </w:pPr>
            <w:r>
              <w:rPr>
                <w:rFonts w:ascii="宋体" w:eastAsia="宋体"/>
                <w:szCs w:val="21"/>
              </w:rPr>
              <w:t>1</w:t>
            </w:r>
          </w:p>
        </w:tc>
        <w:tc>
          <w:tcPr>
            <w:tcW w:w="3632" w:type="dxa"/>
            <w:tcBorders>
              <w:bottom w:val="single" w:color="000000" w:sz="2" w:space="0"/>
            </w:tcBorders>
            <w:vAlign w:val="center"/>
          </w:tcPr>
          <w:p w14:paraId="53A2D161">
            <w:pPr>
              <w:pStyle w:val="11"/>
              <w:spacing w:after="0" w:line="320" w:lineRule="exact"/>
              <w:ind w:firstLine="0" w:firstLineChars="0"/>
              <w:jc w:val="left"/>
            </w:pPr>
            <w:r>
              <w:rPr>
                <w:rFonts w:ascii="宋体" w:eastAsia="宋体"/>
                <w:spacing w:val="-1"/>
                <w:szCs w:val="21"/>
              </w:rPr>
              <w:t>定人、定岗、定责、定时、垃圾及时清运干净。</w:t>
            </w:r>
          </w:p>
        </w:tc>
        <w:tc>
          <w:tcPr>
            <w:tcW w:w="3236" w:type="dxa"/>
            <w:tcBorders>
              <w:bottom w:val="single" w:color="000000" w:sz="2" w:space="0"/>
              <w:right w:val="single" w:color="000000" w:sz="2" w:space="0"/>
            </w:tcBorders>
            <w:vAlign w:val="center"/>
          </w:tcPr>
          <w:p w14:paraId="28475879">
            <w:pPr>
              <w:pStyle w:val="11"/>
              <w:spacing w:after="0" w:line="320" w:lineRule="exact"/>
              <w:ind w:firstLine="0" w:firstLineChars="0"/>
              <w:jc w:val="left"/>
            </w:pPr>
            <w:r>
              <w:rPr>
                <w:rFonts w:ascii="宋体" w:eastAsia="宋体"/>
                <w:spacing w:val="-1"/>
                <w:szCs w:val="21"/>
              </w:rPr>
              <w:t>无完善的岗位责任制和管理制度。</w:t>
            </w:r>
          </w:p>
        </w:tc>
        <w:tc>
          <w:tcPr>
            <w:tcW w:w="1071" w:type="dxa"/>
            <w:tcBorders>
              <w:left w:val="single" w:color="000000" w:sz="2" w:space="0"/>
              <w:bottom w:val="single" w:color="000000" w:sz="2" w:space="0"/>
            </w:tcBorders>
            <w:vAlign w:val="center"/>
          </w:tcPr>
          <w:p w14:paraId="5419D274">
            <w:pPr>
              <w:pStyle w:val="11"/>
              <w:spacing w:after="0" w:line="320" w:lineRule="exact"/>
              <w:ind w:firstLine="0" w:firstLineChars="0"/>
              <w:jc w:val="center"/>
            </w:pPr>
            <w:r>
              <w:rPr>
                <w:rFonts w:ascii="宋体" w:eastAsia="宋体"/>
                <w:spacing w:val="-3"/>
                <w:szCs w:val="21"/>
              </w:rPr>
              <w:t>200</w:t>
            </w:r>
          </w:p>
        </w:tc>
        <w:tc>
          <w:tcPr>
            <w:tcW w:w="932" w:type="dxa"/>
            <w:tcBorders>
              <w:left w:val="single" w:color="000000" w:sz="2" w:space="0"/>
              <w:bottom w:val="single" w:color="000000" w:sz="2" w:space="0"/>
            </w:tcBorders>
            <w:vAlign w:val="center"/>
          </w:tcPr>
          <w:p w14:paraId="7DAB8454">
            <w:pPr>
              <w:pStyle w:val="11"/>
              <w:spacing w:after="0" w:line="320" w:lineRule="exact"/>
              <w:ind w:firstLine="0" w:firstLineChars="0"/>
              <w:jc w:val="center"/>
            </w:pPr>
            <w:r>
              <w:rPr>
                <w:rFonts w:ascii="宋体" w:eastAsia="宋体"/>
                <w:spacing w:val="-3"/>
                <w:szCs w:val="21"/>
              </w:rPr>
              <w:t>9</w:t>
            </w:r>
          </w:p>
        </w:tc>
      </w:tr>
      <w:tr w14:paraId="5481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538" w:type="dxa"/>
            <w:tcBorders>
              <w:top w:val="single" w:color="000000" w:sz="2" w:space="0"/>
            </w:tcBorders>
            <w:vAlign w:val="center"/>
          </w:tcPr>
          <w:p w14:paraId="06A2F45B">
            <w:pPr>
              <w:pStyle w:val="11"/>
              <w:spacing w:after="0" w:line="320" w:lineRule="exact"/>
              <w:ind w:firstLine="0" w:firstLineChars="0"/>
              <w:jc w:val="center"/>
            </w:pPr>
            <w:r>
              <w:rPr>
                <w:rFonts w:ascii="宋体" w:eastAsia="宋体"/>
                <w:szCs w:val="21"/>
              </w:rPr>
              <w:t>2</w:t>
            </w:r>
          </w:p>
        </w:tc>
        <w:tc>
          <w:tcPr>
            <w:tcW w:w="3632" w:type="dxa"/>
            <w:tcBorders>
              <w:top w:val="single" w:color="000000" w:sz="2" w:space="0"/>
            </w:tcBorders>
            <w:vAlign w:val="center"/>
          </w:tcPr>
          <w:p w14:paraId="34850D0B">
            <w:pPr>
              <w:pStyle w:val="11"/>
              <w:spacing w:after="0" w:line="320" w:lineRule="exact"/>
              <w:ind w:firstLine="0" w:firstLineChars="0"/>
              <w:jc w:val="left"/>
            </w:pPr>
            <w:r>
              <w:rPr>
                <w:rFonts w:hint="eastAsia" w:ascii="宋体" w:eastAsia="宋体"/>
                <w:spacing w:val="-2"/>
                <w:szCs w:val="21"/>
              </w:rPr>
              <w:t>清理口袋公园</w:t>
            </w:r>
            <w:r>
              <w:rPr>
                <w:rFonts w:ascii="宋体" w:eastAsia="宋体"/>
                <w:spacing w:val="-2"/>
                <w:szCs w:val="21"/>
              </w:rPr>
              <w:t>杂物，</w:t>
            </w:r>
            <w:r>
              <w:rPr>
                <w:rFonts w:ascii="宋体" w:eastAsia="宋体"/>
                <w:szCs w:val="21"/>
              </w:rPr>
              <w:t xml:space="preserve"> </w:t>
            </w:r>
            <w:r>
              <w:rPr>
                <w:rFonts w:ascii="宋体" w:eastAsia="宋体"/>
                <w:spacing w:val="-1"/>
                <w:szCs w:val="21"/>
              </w:rPr>
              <w:t>在保洁时间内，发现无人清</w:t>
            </w:r>
            <w:r>
              <w:rPr>
                <w:rFonts w:hint="eastAsia" w:ascii="宋体" w:eastAsia="宋体"/>
                <w:spacing w:val="-1"/>
                <w:szCs w:val="21"/>
              </w:rPr>
              <w:t>捡</w:t>
            </w:r>
            <w:r>
              <w:rPr>
                <w:rFonts w:ascii="宋体" w:eastAsia="宋体"/>
                <w:spacing w:val="-1"/>
                <w:szCs w:val="21"/>
              </w:rPr>
              <w:t>塑料袋</w:t>
            </w:r>
            <w:r>
              <w:rPr>
                <w:rFonts w:hint="eastAsia" w:ascii="宋体" w:eastAsia="宋体"/>
                <w:spacing w:val="-1"/>
                <w:szCs w:val="21"/>
              </w:rPr>
              <w:t>等垃圾</w:t>
            </w:r>
            <w:r>
              <w:rPr>
                <w:rFonts w:ascii="宋体" w:eastAsia="宋体"/>
                <w:spacing w:val="-1"/>
                <w:szCs w:val="21"/>
              </w:rPr>
              <w:t>，均作扣款处</w:t>
            </w:r>
          </w:p>
        </w:tc>
        <w:tc>
          <w:tcPr>
            <w:tcW w:w="3236" w:type="dxa"/>
            <w:tcBorders>
              <w:top w:val="single" w:color="000000" w:sz="2" w:space="0"/>
              <w:right w:val="single" w:color="000000" w:sz="2" w:space="0"/>
            </w:tcBorders>
            <w:vAlign w:val="center"/>
          </w:tcPr>
          <w:p w14:paraId="6F522B7F">
            <w:pPr>
              <w:pStyle w:val="11"/>
              <w:spacing w:after="0" w:line="320" w:lineRule="exact"/>
              <w:ind w:firstLine="0" w:firstLineChars="0"/>
              <w:jc w:val="left"/>
            </w:pPr>
            <w:r>
              <w:rPr>
                <w:rFonts w:hint="eastAsia" w:ascii="宋体" w:eastAsia="宋体"/>
                <w:spacing w:val="-3"/>
                <w:szCs w:val="21"/>
              </w:rPr>
              <w:t>公园内</w:t>
            </w:r>
            <w:r>
              <w:rPr>
                <w:rFonts w:ascii="宋体" w:eastAsia="宋体"/>
                <w:spacing w:val="-3"/>
                <w:szCs w:val="21"/>
              </w:rPr>
              <w:t>整洁干净</w:t>
            </w:r>
            <w:r>
              <w:rPr>
                <w:rFonts w:hint="eastAsia" w:ascii="宋体" w:eastAsia="宋体"/>
                <w:spacing w:val="-3"/>
                <w:szCs w:val="21"/>
              </w:rPr>
              <w:t>卫生</w:t>
            </w:r>
            <w:r>
              <w:rPr>
                <w:rFonts w:ascii="宋体" w:eastAsia="宋体"/>
                <w:spacing w:val="-3"/>
                <w:szCs w:val="21"/>
              </w:rPr>
              <w:t>、</w:t>
            </w:r>
            <w:r>
              <w:rPr>
                <w:rFonts w:hint="eastAsia" w:ascii="宋体" w:eastAsia="宋体"/>
                <w:spacing w:val="-3"/>
                <w:szCs w:val="21"/>
              </w:rPr>
              <w:t>无乱堆杂物、无乱贴乱画等现象，每发现一处。</w:t>
            </w:r>
          </w:p>
        </w:tc>
        <w:tc>
          <w:tcPr>
            <w:tcW w:w="1071" w:type="dxa"/>
            <w:tcBorders>
              <w:top w:val="single" w:color="000000" w:sz="2" w:space="0"/>
              <w:left w:val="single" w:color="000000" w:sz="2" w:space="0"/>
            </w:tcBorders>
            <w:vAlign w:val="center"/>
          </w:tcPr>
          <w:p w14:paraId="3E5B926F">
            <w:pPr>
              <w:pStyle w:val="11"/>
              <w:spacing w:after="0" w:line="320" w:lineRule="exact"/>
              <w:ind w:firstLine="0" w:firstLineChars="0"/>
              <w:jc w:val="center"/>
            </w:pPr>
            <w:r>
              <w:rPr>
                <w:rFonts w:ascii="宋体" w:eastAsia="宋体"/>
                <w:spacing w:val="-5"/>
                <w:szCs w:val="21"/>
              </w:rPr>
              <w:t>50</w:t>
            </w:r>
          </w:p>
        </w:tc>
        <w:tc>
          <w:tcPr>
            <w:tcW w:w="932" w:type="dxa"/>
            <w:tcBorders>
              <w:top w:val="single" w:color="000000" w:sz="2" w:space="0"/>
              <w:left w:val="single" w:color="000000" w:sz="2" w:space="0"/>
            </w:tcBorders>
            <w:vAlign w:val="center"/>
          </w:tcPr>
          <w:p w14:paraId="5A0D8A5C">
            <w:pPr>
              <w:pStyle w:val="11"/>
              <w:spacing w:after="0" w:line="320" w:lineRule="exact"/>
              <w:ind w:firstLine="0" w:firstLineChars="0"/>
              <w:jc w:val="center"/>
            </w:pPr>
            <w:r>
              <w:rPr>
                <w:rFonts w:ascii="宋体" w:eastAsia="宋体"/>
                <w:spacing w:val="-5"/>
                <w:szCs w:val="21"/>
              </w:rPr>
              <w:t>8</w:t>
            </w:r>
          </w:p>
        </w:tc>
      </w:tr>
      <w:tr w14:paraId="4A65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38" w:type="dxa"/>
            <w:vAlign w:val="center"/>
          </w:tcPr>
          <w:p w14:paraId="113D0FBB">
            <w:pPr>
              <w:pStyle w:val="11"/>
              <w:spacing w:after="0" w:line="320" w:lineRule="exact"/>
              <w:ind w:firstLine="0" w:firstLineChars="0"/>
              <w:jc w:val="center"/>
            </w:pPr>
            <w:r>
              <w:rPr>
                <w:rFonts w:ascii="宋体" w:eastAsia="宋体"/>
                <w:szCs w:val="21"/>
              </w:rPr>
              <w:t>3</w:t>
            </w:r>
          </w:p>
        </w:tc>
        <w:tc>
          <w:tcPr>
            <w:tcW w:w="3632" w:type="dxa"/>
            <w:vAlign w:val="center"/>
          </w:tcPr>
          <w:p w14:paraId="6E9135C6">
            <w:pPr>
              <w:pStyle w:val="15"/>
              <w:spacing w:line="320" w:lineRule="exact"/>
              <w:jc w:val="left"/>
              <w:rPr>
                <w:rFonts w:hint="eastAsia"/>
                <w:sz w:val="21"/>
                <w:szCs w:val="21"/>
                <w:lang w:eastAsia="zh-CN"/>
              </w:rPr>
            </w:pPr>
            <w:r>
              <w:rPr>
                <w:rFonts w:hint="eastAsia"/>
                <w:spacing w:val="-5"/>
                <w:sz w:val="21"/>
                <w:szCs w:val="21"/>
                <w:lang w:eastAsia="zh-CN"/>
              </w:rPr>
              <w:t>①</w:t>
            </w:r>
            <w:r>
              <w:rPr>
                <w:spacing w:val="-5"/>
                <w:sz w:val="21"/>
                <w:szCs w:val="21"/>
                <w:lang w:eastAsia="zh-CN"/>
              </w:rPr>
              <w:t>每日上午</w:t>
            </w:r>
            <w:r>
              <w:rPr>
                <w:spacing w:val="-34"/>
                <w:sz w:val="21"/>
                <w:szCs w:val="21"/>
                <w:lang w:eastAsia="zh-CN"/>
              </w:rPr>
              <w:t xml:space="preserve"> </w:t>
            </w:r>
            <w:r>
              <w:rPr>
                <w:spacing w:val="-5"/>
                <w:sz w:val="21"/>
                <w:szCs w:val="21"/>
                <w:lang w:eastAsia="zh-CN"/>
              </w:rPr>
              <w:t>8</w:t>
            </w:r>
            <w:r>
              <w:rPr>
                <w:rFonts w:hint="eastAsia"/>
                <w:spacing w:val="-5"/>
                <w:sz w:val="21"/>
                <w:szCs w:val="21"/>
                <w:lang w:eastAsia="zh-CN"/>
              </w:rPr>
              <w:t>:</w:t>
            </w:r>
            <w:r>
              <w:rPr>
                <w:spacing w:val="-5"/>
                <w:sz w:val="21"/>
                <w:szCs w:val="21"/>
                <w:lang w:eastAsia="zh-CN"/>
              </w:rPr>
              <w:t>30</w:t>
            </w:r>
            <w:r>
              <w:rPr>
                <w:spacing w:val="-34"/>
                <w:sz w:val="21"/>
                <w:szCs w:val="21"/>
                <w:lang w:eastAsia="zh-CN"/>
              </w:rPr>
              <w:t xml:space="preserve"> </w:t>
            </w:r>
            <w:r>
              <w:rPr>
                <w:spacing w:val="-5"/>
                <w:sz w:val="21"/>
                <w:szCs w:val="21"/>
                <w:lang w:eastAsia="zh-CN"/>
              </w:rPr>
              <w:t>前，下午</w:t>
            </w:r>
            <w:r>
              <w:rPr>
                <w:spacing w:val="-24"/>
                <w:sz w:val="21"/>
                <w:szCs w:val="21"/>
                <w:lang w:eastAsia="zh-CN"/>
              </w:rPr>
              <w:t xml:space="preserve"> </w:t>
            </w:r>
            <w:r>
              <w:rPr>
                <w:spacing w:val="-5"/>
                <w:sz w:val="21"/>
                <w:szCs w:val="21"/>
                <w:lang w:eastAsia="zh-CN"/>
              </w:rPr>
              <w:t>16</w:t>
            </w:r>
            <w:r>
              <w:rPr>
                <w:spacing w:val="-32"/>
                <w:sz w:val="21"/>
                <w:szCs w:val="21"/>
                <w:lang w:eastAsia="zh-CN"/>
              </w:rPr>
              <w:t xml:space="preserve"> </w:t>
            </w:r>
            <w:r>
              <w:rPr>
                <w:spacing w:val="-5"/>
                <w:sz w:val="21"/>
                <w:szCs w:val="21"/>
                <w:lang w:eastAsia="zh-CN"/>
              </w:rPr>
              <w:t>点前完成垃圾收</w:t>
            </w:r>
            <w:r>
              <w:rPr>
                <w:spacing w:val="-6"/>
                <w:sz w:val="21"/>
                <w:szCs w:val="21"/>
                <w:lang w:eastAsia="zh-CN"/>
              </w:rPr>
              <w:t>集，将</w:t>
            </w:r>
            <w:r>
              <w:rPr>
                <w:rFonts w:hint="eastAsia"/>
                <w:spacing w:val="-6"/>
                <w:sz w:val="21"/>
                <w:szCs w:val="21"/>
                <w:lang w:eastAsia="zh-CN"/>
              </w:rPr>
              <w:t>各点位</w:t>
            </w:r>
            <w:r>
              <w:rPr>
                <w:spacing w:val="-1"/>
                <w:sz w:val="21"/>
                <w:szCs w:val="21"/>
                <w:lang w:eastAsia="zh-CN"/>
              </w:rPr>
              <w:t>垃圾桶垃圾运送到垃圾中转站；</w:t>
            </w:r>
          </w:p>
          <w:p w14:paraId="53C8D9A6">
            <w:pPr>
              <w:pStyle w:val="15"/>
              <w:spacing w:line="320" w:lineRule="exact"/>
              <w:jc w:val="left"/>
              <w:rPr>
                <w:rFonts w:hint="eastAsia"/>
                <w:sz w:val="21"/>
                <w:szCs w:val="21"/>
                <w:lang w:eastAsia="zh-CN"/>
              </w:rPr>
            </w:pPr>
            <w:r>
              <w:rPr>
                <w:rFonts w:hint="eastAsia"/>
                <w:spacing w:val="-1"/>
                <w:sz w:val="21"/>
                <w:szCs w:val="21"/>
                <w:lang w:eastAsia="zh-CN"/>
              </w:rPr>
              <w:t>②</w:t>
            </w:r>
            <w:r>
              <w:rPr>
                <w:sz w:val="21"/>
                <w:szCs w:val="21"/>
                <w:lang w:eastAsia="zh-CN"/>
              </w:rPr>
              <w:t>垃圾日产日清</w:t>
            </w:r>
            <w:r>
              <w:rPr>
                <w:rFonts w:hint="eastAsia"/>
                <w:sz w:val="21"/>
                <w:szCs w:val="21"/>
                <w:lang w:eastAsia="zh-CN"/>
              </w:rPr>
              <w:t>，</w:t>
            </w:r>
            <w:r>
              <w:rPr>
                <w:spacing w:val="-1"/>
                <w:sz w:val="21"/>
                <w:szCs w:val="21"/>
                <w:lang w:eastAsia="zh-CN"/>
              </w:rPr>
              <w:t>保证上下午及时清运垃圾；</w:t>
            </w:r>
          </w:p>
          <w:p w14:paraId="5B52A4B9">
            <w:pPr>
              <w:pStyle w:val="11"/>
              <w:spacing w:after="0" w:line="320" w:lineRule="exact"/>
              <w:ind w:firstLine="0" w:firstLineChars="0"/>
              <w:jc w:val="left"/>
            </w:pPr>
            <w:r>
              <w:rPr>
                <w:rFonts w:hint="eastAsia" w:ascii="宋体" w:eastAsia="宋体"/>
                <w:szCs w:val="21"/>
              </w:rPr>
              <w:t>③</w:t>
            </w:r>
            <w:r>
              <w:rPr>
                <w:rFonts w:ascii="宋体" w:eastAsia="宋体"/>
                <w:szCs w:val="21"/>
              </w:rPr>
              <w:t>作业完毕后，场地、坑槽等处及时打扫，无杂物和垃</w:t>
            </w:r>
            <w:r>
              <w:rPr>
                <w:rFonts w:ascii="宋体" w:eastAsia="宋体"/>
                <w:spacing w:val="-1"/>
                <w:szCs w:val="21"/>
              </w:rPr>
              <w:t>圾</w:t>
            </w:r>
            <w:r>
              <w:rPr>
                <w:rFonts w:hint="eastAsia" w:ascii="宋体" w:eastAsia="宋体"/>
                <w:spacing w:val="-1"/>
                <w:szCs w:val="21"/>
              </w:rPr>
              <w:t>。</w:t>
            </w:r>
          </w:p>
        </w:tc>
        <w:tc>
          <w:tcPr>
            <w:tcW w:w="3236" w:type="dxa"/>
            <w:tcBorders>
              <w:right w:val="single" w:color="000000" w:sz="2" w:space="0"/>
            </w:tcBorders>
            <w:vAlign w:val="center"/>
          </w:tcPr>
          <w:p w14:paraId="0C862ADF">
            <w:pPr>
              <w:pStyle w:val="11"/>
              <w:spacing w:after="0" w:line="320" w:lineRule="exact"/>
              <w:ind w:firstLine="0" w:firstLineChars="0"/>
              <w:jc w:val="left"/>
            </w:pPr>
            <w:r>
              <w:rPr>
                <w:rFonts w:ascii="宋体" w:eastAsia="宋体"/>
                <w:spacing w:val="-3"/>
                <w:szCs w:val="21"/>
              </w:rPr>
              <w:t>垃圾桶、垃圾箱的垃圾做到日产日清，运送到指定</w:t>
            </w:r>
            <w:r>
              <w:rPr>
                <w:rFonts w:hint="eastAsia" w:ascii="宋体" w:eastAsia="宋体"/>
                <w:spacing w:val="-3"/>
                <w:szCs w:val="21"/>
              </w:rPr>
              <w:t>收集点</w:t>
            </w:r>
            <w:r>
              <w:rPr>
                <w:rFonts w:ascii="宋体" w:eastAsia="宋体"/>
                <w:spacing w:val="-3"/>
                <w:szCs w:val="21"/>
              </w:rPr>
              <w:t>，没按规</w:t>
            </w:r>
            <w:r>
              <w:rPr>
                <w:rFonts w:ascii="宋体" w:eastAsia="宋体"/>
                <w:spacing w:val="-2"/>
                <w:szCs w:val="21"/>
              </w:rPr>
              <w:t>定每发现一处。</w:t>
            </w:r>
          </w:p>
        </w:tc>
        <w:tc>
          <w:tcPr>
            <w:tcW w:w="1071" w:type="dxa"/>
            <w:tcBorders>
              <w:left w:val="single" w:color="000000" w:sz="2" w:space="0"/>
            </w:tcBorders>
            <w:vAlign w:val="center"/>
          </w:tcPr>
          <w:p w14:paraId="12276270">
            <w:pPr>
              <w:pStyle w:val="11"/>
              <w:spacing w:after="0" w:line="320" w:lineRule="exact"/>
              <w:ind w:firstLine="0" w:firstLineChars="0"/>
              <w:jc w:val="center"/>
            </w:pPr>
            <w:r>
              <w:rPr>
                <w:rFonts w:ascii="宋体" w:eastAsia="宋体"/>
                <w:spacing w:val="-7"/>
                <w:szCs w:val="21"/>
              </w:rPr>
              <w:t>100</w:t>
            </w:r>
          </w:p>
        </w:tc>
        <w:tc>
          <w:tcPr>
            <w:tcW w:w="932" w:type="dxa"/>
            <w:tcBorders>
              <w:left w:val="single" w:color="000000" w:sz="2" w:space="0"/>
            </w:tcBorders>
            <w:vAlign w:val="center"/>
          </w:tcPr>
          <w:p w14:paraId="0BF829B9">
            <w:pPr>
              <w:pStyle w:val="11"/>
              <w:spacing w:after="0" w:line="320" w:lineRule="exact"/>
              <w:ind w:firstLine="0" w:firstLineChars="0"/>
              <w:jc w:val="center"/>
            </w:pPr>
            <w:r>
              <w:rPr>
                <w:rFonts w:ascii="宋体" w:eastAsia="宋体"/>
                <w:spacing w:val="-7"/>
                <w:szCs w:val="21"/>
              </w:rPr>
              <w:t>7</w:t>
            </w:r>
          </w:p>
        </w:tc>
      </w:tr>
      <w:tr w14:paraId="3A1C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38" w:type="dxa"/>
            <w:vAlign w:val="center"/>
          </w:tcPr>
          <w:p w14:paraId="2D1AEB51">
            <w:pPr>
              <w:pStyle w:val="11"/>
              <w:spacing w:after="0" w:line="320" w:lineRule="exact"/>
              <w:ind w:firstLine="0" w:firstLineChars="0"/>
              <w:jc w:val="center"/>
            </w:pPr>
            <w:r>
              <w:rPr>
                <w:rFonts w:hint="eastAsia" w:ascii="宋体" w:eastAsia="宋体"/>
                <w:szCs w:val="21"/>
              </w:rPr>
              <w:t>4</w:t>
            </w:r>
          </w:p>
        </w:tc>
        <w:tc>
          <w:tcPr>
            <w:tcW w:w="3632" w:type="dxa"/>
            <w:vAlign w:val="center"/>
          </w:tcPr>
          <w:p w14:paraId="7CC23F57">
            <w:pPr>
              <w:pStyle w:val="11"/>
              <w:spacing w:after="0" w:line="320" w:lineRule="exact"/>
              <w:ind w:firstLine="0" w:firstLineChars="0"/>
              <w:jc w:val="left"/>
            </w:pPr>
            <w:r>
              <w:rPr>
                <w:rFonts w:ascii="宋体" w:eastAsia="宋体"/>
                <w:spacing w:val="-1"/>
                <w:szCs w:val="21"/>
              </w:rPr>
              <w:t>及时对河坡、沟渠中的垃圾进行清运。</w:t>
            </w:r>
          </w:p>
        </w:tc>
        <w:tc>
          <w:tcPr>
            <w:tcW w:w="3236" w:type="dxa"/>
            <w:tcBorders>
              <w:right w:val="single" w:color="000000" w:sz="2" w:space="0"/>
            </w:tcBorders>
            <w:vAlign w:val="center"/>
          </w:tcPr>
          <w:p w14:paraId="4304E04B">
            <w:pPr>
              <w:pStyle w:val="11"/>
              <w:spacing w:after="0" w:line="320" w:lineRule="exact"/>
              <w:ind w:firstLine="0" w:firstLineChars="0"/>
              <w:jc w:val="left"/>
            </w:pPr>
            <w:r>
              <w:rPr>
                <w:rFonts w:ascii="宋体" w:eastAsia="宋体"/>
                <w:spacing w:val="-3"/>
                <w:szCs w:val="21"/>
              </w:rPr>
              <w:t>河坡、沟渠中积存垃圾没及时清运的，发</w:t>
            </w:r>
            <w:r>
              <w:rPr>
                <w:rFonts w:ascii="宋体" w:eastAsia="宋体"/>
                <w:spacing w:val="10"/>
                <w:szCs w:val="21"/>
              </w:rPr>
              <w:t xml:space="preserve"> </w:t>
            </w:r>
            <w:r>
              <w:rPr>
                <w:rFonts w:ascii="宋体" w:eastAsia="宋体"/>
                <w:spacing w:val="-3"/>
                <w:szCs w:val="21"/>
              </w:rPr>
              <w:t>现一处。</w:t>
            </w:r>
          </w:p>
        </w:tc>
        <w:tc>
          <w:tcPr>
            <w:tcW w:w="1071" w:type="dxa"/>
            <w:tcBorders>
              <w:left w:val="single" w:color="000000" w:sz="2" w:space="0"/>
            </w:tcBorders>
            <w:vAlign w:val="center"/>
          </w:tcPr>
          <w:p w14:paraId="2D1D8878">
            <w:pPr>
              <w:pStyle w:val="11"/>
              <w:spacing w:after="0" w:line="320" w:lineRule="exact"/>
              <w:ind w:firstLine="0" w:firstLineChars="0"/>
              <w:jc w:val="center"/>
            </w:pPr>
            <w:r>
              <w:rPr>
                <w:rFonts w:ascii="宋体" w:eastAsia="宋体"/>
                <w:spacing w:val="-5"/>
                <w:szCs w:val="21"/>
              </w:rPr>
              <w:t>50</w:t>
            </w:r>
          </w:p>
        </w:tc>
        <w:tc>
          <w:tcPr>
            <w:tcW w:w="932" w:type="dxa"/>
            <w:tcBorders>
              <w:left w:val="single" w:color="000000" w:sz="2" w:space="0"/>
            </w:tcBorders>
            <w:vAlign w:val="center"/>
          </w:tcPr>
          <w:p w14:paraId="61093AA9">
            <w:pPr>
              <w:pStyle w:val="11"/>
              <w:spacing w:after="0" w:line="320" w:lineRule="exact"/>
              <w:ind w:firstLine="0" w:firstLineChars="0"/>
              <w:jc w:val="center"/>
            </w:pPr>
            <w:r>
              <w:rPr>
                <w:rFonts w:hint="eastAsia"/>
              </w:rPr>
              <w:t>8</w:t>
            </w:r>
          </w:p>
        </w:tc>
      </w:tr>
      <w:tr w14:paraId="4EE3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Align w:val="center"/>
          </w:tcPr>
          <w:p w14:paraId="69146E12">
            <w:pPr>
              <w:pStyle w:val="11"/>
              <w:spacing w:after="0" w:line="320" w:lineRule="exact"/>
              <w:ind w:firstLine="0" w:firstLineChars="0"/>
              <w:jc w:val="center"/>
            </w:pPr>
            <w:r>
              <w:rPr>
                <w:rFonts w:hint="eastAsia" w:ascii="宋体" w:eastAsia="宋体"/>
                <w:szCs w:val="21"/>
              </w:rPr>
              <w:t>5</w:t>
            </w:r>
          </w:p>
        </w:tc>
        <w:tc>
          <w:tcPr>
            <w:tcW w:w="3632" w:type="dxa"/>
            <w:vAlign w:val="center"/>
          </w:tcPr>
          <w:p w14:paraId="4FCF8F44">
            <w:pPr>
              <w:pStyle w:val="11"/>
              <w:spacing w:after="0" w:line="320" w:lineRule="exact"/>
              <w:ind w:firstLine="0" w:firstLineChars="0"/>
              <w:jc w:val="left"/>
            </w:pPr>
            <w:r>
              <w:rPr>
                <w:rFonts w:ascii="宋体" w:eastAsia="宋体"/>
                <w:spacing w:val="-1"/>
                <w:szCs w:val="21"/>
              </w:rPr>
              <w:t>清运车辆罩好，确保沿途无抛洒滴漏。</w:t>
            </w:r>
          </w:p>
        </w:tc>
        <w:tc>
          <w:tcPr>
            <w:tcW w:w="3236" w:type="dxa"/>
            <w:tcBorders>
              <w:right w:val="single" w:color="000000" w:sz="2" w:space="0"/>
            </w:tcBorders>
            <w:vAlign w:val="center"/>
          </w:tcPr>
          <w:p w14:paraId="68B7FEAA">
            <w:pPr>
              <w:pStyle w:val="11"/>
              <w:spacing w:after="0" w:line="320" w:lineRule="exact"/>
              <w:ind w:firstLine="0" w:firstLineChars="0"/>
              <w:jc w:val="left"/>
            </w:pPr>
            <w:r>
              <w:rPr>
                <w:rFonts w:ascii="宋体" w:eastAsia="宋体"/>
                <w:spacing w:val="-1"/>
                <w:szCs w:val="21"/>
              </w:rPr>
              <w:t>确保密闭运输，沿途抛洒每发生一次。</w:t>
            </w:r>
          </w:p>
        </w:tc>
        <w:tc>
          <w:tcPr>
            <w:tcW w:w="1071" w:type="dxa"/>
            <w:tcBorders>
              <w:left w:val="single" w:color="000000" w:sz="2" w:space="0"/>
            </w:tcBorders>
            <w:vAlign w:val="center"/>
          </w:tcPr>
          <w:p w14:paraId="75B1AD3A">
            <w:pPr>
              <w:pStyle w:val="11"/>
              <w:spacing w:after="0" w:line="320" w:lineRule="exact"/>
              <w:ind w:firstLine="0" w:firstLineChars="0"/>
              <w:jc w:val="center"/>
            </w:pPr>
            <w:r>
              <w:rPr>
                <w:rFonts w:hint="eastAsia" w:ascii="宋体" w:eastAsia="宋体"/>
                <w:spacing w:val="-7"/>
                <w:szCs w:val="21"/>
              </w:rPr>
              <w:t>2</w:t>
            </w:r>
            <w:r>
              <w:rPr>
                <w:rFonts w:ascii="宋体" w:eastAsia="宋体"/>
                <w:spacing w:val="-7"/>
                <w:szCs w:val="21"/>
              </w:rPr>
              <w:t>00</w:t>
            </w:r>
          </w:p>
        </w:tc>
        <w:tc>
          <w:tcPr>
            <w:tcW w:w="932" w:type="dxa"/>
            <w:tcBorders>
              <w:left w:val="single" w:color="000000" w:sz="2" w:space="0"/>
            </w:tcBorders>
            <w:vAlign w:val="center"/>
          </w:tcPr>
          <w:p w14:paraId="3C4F725F">
            <w:pPr>
              <w:pStyle w:val="11"/>
              <w:spacing w:after="0" w:line="320" w:lineRule="exact"/>
              <w:ind w:firstLine="0" w:firstLineChars="0"/>
              <w:jc w:val="center"/>
            </w:pPr>
            <w:r>
              <w:rPr>
                <w:rFonts w:ascii="宋体" w:eastAsia="宋体"/>
                <w:spacing w:val="-7"/>
                <w:szCs w:val="21"/>
              </w:rPr>
              <w:t>9</w:t>
            </w:r>
          </w:p>
        </w:tc>
      </w:tr>
      <w:tr w14:paraId="294F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Merge w:val="restart"/>
            <w:vAlign w:val="center"/>
          </w:tcPr>
          <w:p w14:paraId="07D9D8B8">
            <w:pPr>
              <w:pStyle w:val="11"/>
              <w:spacing w:after="0" w:line="320" w:lineRule="exact"/>
              <w:ind w:firstLine="0" w:firstLineChars="0"/>
              <w:jc w:val="center"/>
              <w:rPr>
                <w:rFonts w:ascii="宋体" w:eastAsia="宋体"/>
                <w:szCs w:val="21"/>
              </w:rPr>
            </w:pPr>
            <w:r>
              <w:rPr>
                <w:rFonts w:hint="eastAsia" w:ascii="宋体" w:eastAsia="宋体"/>
                <w:szCs w:val="21"/>
              </w:rPr>
              <w:t>6</w:t>
            </w:r>
          </w:p>
        </w:tc>
        <w:tc>
          <w:tcPr>
            <w:tcW w:w="3632" w:type="dxa"/>
            <w:vMerge w:val="restart"/>
            <w:vAlign w:val="center"/>
          </w:tcPr>
          <w:p w14:paraId="4B5BAE49">
            <w:pPr>
              <w:pStyle w:val="15"/>
              <w:spacing w:line="400" w:lineRule="exact"/>
              <w:jc w:val="left"/>
              <w:rPr>
                <w:rFonts w:hint="eastAsia"/>
                <w:sz w:val="21"/>
                <w:szCs w:val="21"/>
                <w:lang w:eastAsia="zh-CN"/>
              </w:rPr>
            </w:pPr>
            <w:r>
              <w:rPr>
                <w:rFonts w:hint="eastAsia"/>
                <w:spacing w:val="-5"/>
                <w:sz w:val="21"/>
                <w:szCs w:val="21"/>
                <w:lang w:eastAsia="zh-CN"/>
              </w:rPr>
              <w:t>①</w:t>
            </w:r>
            <w:r>
              <w:rPr>
                <w:spacing w:val="-7"/>
                <w:sz w:val="21"/>
                <w:szCs w:val="21"/>
                <w:lang w:eastAsia="zh-CN"/>
              </w:rPr>
              <w:t>每月对垃圾桶、垃圾箱、垃圾池定期进行卫生消毒；</w:t>
            </w:r>
            <w:r>
              <w:rPr>
                <w:spacing w:val="15"/>
                <w:sz w:val="21"/>
                <w:szCs w:val="21"/>
                <w:lang w:eastAsia="zh-CN"/>
              </w:rPr>
              <w:t xml:space="preserve"> </w:t>
            </w:r>
            <w:r>
              <w:rPr>
                <w:rFonts w:hint="eastAsia"/>
                <w:spacing w:val="-1"/>
                <w:sz w:val="21"/>
                <w:szCs w:val="21"/>
                <w:lang w:eastAsia="zh-CN"/>
              </w:rPr>
              <w:t>②</w:t>
            </w:r>
            <w:r>
              <w:rPr>
                <w:spacing w:val="-1"/>
                <w:sz w:val="21"/>
                <w:szCs w:val="21"/>
                <w:lang w:eastAsia="zh-CN"/>
              </w:rPr>
              <w:t>中转车辆每月定期冲洗二次；</w:t>
            </w:r>
          </w:p>
          <w:p w14:paraId="1739FD24">
            <w:pPr>
              <w:pStyle w:val="11"/>
              <w:spacing w:after="0" w:line="320" w:lineRule="exact"/>
              <w:ind w:firstLine="0" w:firstLineChars="0"/>
              <w:jc w:val="left"/>
              <w:rPr>
                <w:rFonts w:ascii="宋体" w:eastAsia="宋体"/>
                <w:spacing w:val="-1"/>
                <w:szCs w:val="21"/>
              </w:rPr>
            </w:pPr>
            <w:r>
              <w:rPr>
                <w:rFonts w:hint="eastAsia" w:ascii="宋体" w:hAnsi="宋体" w:eastAsia="宋体"/>
                <w:spacing w:val="-1"/>
                <w:szCs w:val="21"/>
              </w:rPr>
              <w:t>③</w:t>
            </w:r>
            <w:r>
              <w:rPr>
                <w:rFonts w:ascii="宋体" w:eastAsia="宋体"/>
                <w:spacing w:val="-1"/>
                <w:szCs w:val="21"/>
              </w:rPr>
              <w:t>夏季每天对垃圾设施消杀一次。</w:t>
            </w:r>
          </w:p>
        </w:tc>
        <w:tc>
          <w:tcPr>
            <w:tcW w:w="3236" w:type="dxa"/>
            <w:tcBorders>
              <w:bottom w:val="single" w:color="000000" w:sz="2" w:space="0"/>
              <w:right w:val="single" w:color="000000" w:sz="2" w:space="0"/>
            </w:tcBorders>
            <w:vAlign w:val="center"/>
          </w:tcPr>
          <w:p w14:paraId="26B100A8">
            <w:pPr>
              <w:pStyle w:val="11"/>
              <w:numPr>
                <w:ilvl w:val="0"/>
                <w:numId w:val="4"/>
              </w:numPr>
              <w:spacing w:after="0" w:line="320" w:lineRule="exact"/>
              <w:ind w:firstLineChars="0"/>
              <w:jc w:val="left"/>
              <w:rPr>
                <w:rFonts w:ascii="宋体" w:eastAsia="宋体"/>
                <w:spacing w:val="-1"/>
                <w:szCs w:val="21"/>
              </w:rPr>
            </w:pPr>
            <w:r>
              <w:rPr>
                <w:rFonts w:ascii="宋体" w:eastAsia="宋体"/>
                <w:spacing w:val="-8"/>
                <w:szCs w:val="21"/>
              </w:rPr>
              <w:t>未定期清洗消毒，每发现一处。</w:t>
            </w:r>
          </w:p>
        </w:tc>
        <w:tc>
          <w:tcPr>
            <w:tcW w:w="1071" w:type="dxa"/>
            <w:tcBorders>
              <w:left w:val="single" w:color="000000" w:sz="2" w:space="0"/>
              <w:bottom w:val="single" w:color="000000" w:sz="2" w:space="0"/>
            </w:tcBorders>
            <w:vAlign w:val="center"/>
          </w:tcPr>
          <w:p w14:paraId="6F72F7CF">
            <w:pPr>
              <w:pStyle w:val="11"/>
              <w:spacing w:after="0" w:line="320" w:lineRule="exact"/>
              <w:ind w:firstLine="0" w:firstLineChars="0"/>
              <w:jc w:val="center"/>
              <w:rPr>
                <w:rFonts w:ascii="宋体" w:eastAsia="宋体"/>
                <w:spacing w:val="-7"/>
                <w:szCs w:val="21"/>
              </w:rPr>
            </w:pPr>
            <w:r>
              <w:rPr>
                <w:rFonts w:ascii="宋体" w:eastAsia="宋体"/>
                <w:spacing w:val="-3"/>
                <w:szCs w:val="21"/>
              </w:rPr>
              <w:t>40</w:t>
            </w:r>
          </w:p>
        </w:tc>
        <w:tc>
          <w:tcPr>
            <w:tcW w:w="932" w:type="dxa"/>
            <w:tcBorders>
              <w:left w:val="single" w:color="000000" w:sz="2" w:space="0"/>
              <w:bottom w:val="single" w:color="000000" w:sz="2" w:space="0"/>
            </w:tcBorders>
            <w:vAlign w:val="center"/>
          </w:tcPr>
          <w:p w14:paraId="2899A4AE">
            <w:pPr>
              <w:pStyle w:val="11"/>
              <w:spacing w:after="0" w:line="320" w:lineRule="exact"/>
              <w:ind w:firstLine="0" w:firstLineChars="0"/>
              <w:jc w:val="center"/>
              <w:rPr>
                <w:rFonts w:ascii="宋体" w:eastAsia="宋体"/>
                <w:spacing w:val="-7"/>
                <w:szCs w:val="21"/>
              </w:rPr>
            </w:pPr>
            <w:r>
              <w:rPr>
                <w:rFonts w:ascii="宋体" w:eastAsia="宋体"/>
                <w:spacing w:val="-7"/>
                <w:szCs w:val="21"/>
              </w:rPr>
              <w:t>6</w:t>
            </w:r>
          </w:p>
        </w:tc>
      </w:tr>
      <w:tr w14:paraId="51DC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Merge w:val="continue"/>
            <w:vAlign w:val="center"/>
          </w:tcPr>
          <w:p w14:paraId="67AF7D11">
            <w:pPr>
              <w:pStyle w:val="11"/>
              <w:spacing w:after="0" w:line="320" w:lineRule="exact"/>
              <w:ind w:firstLine="0" w:firstLineChars="0"/>
              <w:jc w:val="center"/>
              <w:rPr>
                <w:rFonts w:ascii="宋体" w:eastAsia="宋体"/>
                <w:szCs w:val="21"/>
              </w:rPr>
            </w:pPr>
          </w:p>
        </w:tc>
        <w:tc>
          <w:tcPr>
            <w:tcW w:w="3632" w:type="dxa"/>
            <w:vMerge w:val="continue"/>
            <w:vAlign w:val="center"/>
          </w:tcPr>
          <w:p w14:paraId="525DF47A">
            <w:pPr>
              <w:pStyle w:val="11"/>
              <w:spacing w:after="0" w:line="320" w:lineRule="exact"/>
              <w:ind w:firstLine="0" w:firstLineChars="0"/>
              <w:jc w:val="left"/>
              <w:rPr>
                <w:rFonts w:ascii="宋体" w:eastAsia="宋体"/>
                <w:spacing w:val="-1"/>
                <w:szCs w:val="21"/>
              </w:rPr>
            </w:pPr>
          </w:p>
        </w:tc>
        <w:tc>
          <w:tcPr>
            <w:tcW w:w="3236" w:type="dxa"/>
            <w:tcBorders>
              <w:top w:val="single" w:color="000000" w:sz="2" w:space="0"/>
              <w:right w:val="single" w:color="000000" w:sz="2" w:space="0"/>
            </w:tcBorders>
            <w:vAlign w:val="center"/>
          </w:tcPr>
          <w:p w14:paraId="7978DD75">
            <w:pPr>
              <w:pStyle w:val="11"/>
              <w:numPr>
                <w:ilvl w:val="0"/>
                <w:numId w:val="4"/>
              </w:numPr>
              <w:spacing w:after="0" w:line="320" w:lineRule="exact"/>
              <w:ind w:firstLineChars="0"/>
              <w:jc w:val="left"/>
              <w:rPr>
                <w:rFonts w:ascii="宋体" w:eastAsia="宋体"/>
                <w:spacing w:val="-1"/>
                <w:szCs w:val="21"/>
              </w:rPr>
            </w:pPr>
            <w:r>
              <w:rPr>
                <w:rFonts w:ascii="宋体" w:eastAsia="宋体"/>
                <w:spacing w:val="1"/>
                <w:szCs w:val="21"/>
              </w:rPr>
              <w:t>有蝇蛆，每发现一处</w:t>
            </w:r>
          </w:p>
        </w:tc>
        <w:tc>
          <w:tcPr>
            <w:tcW w:w="1071" w:type="dxa"/>
            <w:tcBorders>
              <w:top w:val="single" w:color="000000" w:sz="2" w:space="0"/>
              <w:left w:val="single" w:color="000000" w:sz="2" w:space="0"/>
            </w:tcBorders>
            <w:vAlign w:val="center"/>
          </w:tcPr>
          <w:p w14:paraId="2CD4DC59">
            <w:pPr>
              <w:pStyle w:val="11"/>
              <w:spacing w:after="0" w:line="320" w:lineRule="exact"/>
              <w:ind w:firstLine="0" w:firstLineChars="0"/>
              <w:jc w:val="center"/>
              <w:rPr>
                <w:rFonts w:ascii="宋体" w:eastAsia="宋体"/>
                <w:spacing w:val="-7"/>
                <w:szCs w:val="21"/>
              </w:rPr>
            </w:pPr>
            <w:r>
              <w:rPr>
                <w:rFonts w:ascii="宋体" w:eastAsia="宋体"/>
                <w:spacing w:val="-3"/>
                <w:szCs w:val="21"/>
              </w:rPr>
              <w:t>40</w:t>
            </w:r>
          </w:p>
        </w:tc>
        <w:tc>
          <w:tcPr>
            <w:tcW w:w="932" w:type="dxa"/>
            <w:tcBorders>
              <w:top w:val="single" w:color="000000" w:sz="2" w:space="0"/>
              <w:left w:val="single" w:color="000000" w:sz="2" w:space="0"/>
            </w:tcBorders>
            <w:vAlign w:val="center"/>
          </w:tcPr>
          <w:p w14:paraId="7D160C22">
            <w:pPr>
              <w:pStyle w:val="11"/>
              <w:spacing w:after="0" w:line="320" w:lineRule="exact"/>
              <w:ind w:firstLine="0" w:firstLineChars="0"/>
              <w:jc w:val="center"/>
              <w:rPr>
                <w:rFonts w:ascii="宋体" w:eastAsia="宋体"/>
                <w:spacing w:val="-7"/>
                <w:szCs w:val="21"/>
              </w:rPr>
            </w:pPr>
            <w:r>
              <w:rPr>
                <w:rFonts w:ascii="宋体" w:eastAsia="宋体"/>
                <w:spacing w:val="-7"/>
                <w:szCs w:val="21"/>
              </w:rPr>
              <w:t>7</w:t>
            </w:r>
          </w:p>
        </w:tc>
      </w:tr>
      <w:tr w14:paraId="5257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Align w:val="center"/>
          </w:tcPr>
          <w:p w14:paraId="10F4A2D2">
            <w:pPr>
              <w:pStyle w:val="11"/>
              <w:spacing w:after="0" w:line="320" w:lineRule="exact"/>
              <w:ind w:firstLine="0" w:firstLineChars="0"/>
              <w:jc w:val="center"/>
              <w:rPr>
                <w:rFonts w:ascii="宋体" w:eastAsia="宋体"/>
                <w:szCs w:val="21"/>
              </w:rPr>
            </w:pPr>
            <w:r>
              <w:rPr>
                <w:rFonts w:hint="eastAsia" w:ascii="宋体" w:eastAsia="宋体"/>
                <w:szCs w:val="21"/>
              </w:rPr>
              <w:t>7</w:t>
            </w:r>
          </w:p>
        </w:tc>
        <w:tc>
          <w:tcPr>
            <w:tcW w:w="3632" w:type="dxa"/>
            <w:vAlign w:val="center"/>
          </w:tcPr>
          <w:p w14:paraId="14171D12">
            <w:pPr>
              <w:pStyle w:val="11"/>
              <w:spacing w:after="0" w:line="320" w:lineRule="exact"/>
              <w:ind w:firstLine="0" w:firstLineChars="0"/>
              <w:jc w:val="left"/>
              <w:rPr>
                <w:rFonts w:ascii="宋体" w:eastAsia="宋体"/>
                <w:spacing w:val="-1"/>
                <w:szCs w:val="21"/>
              </w:rPr>
            </w:pPr>
            <w:r>
              <w:rPr>
                <w:rFonts w:ascii="宋体" w:eastAsia="宋体"/>
                <w:spacing w:val="-1"/>
                <w:szCs w:val="21"/>
              </w:rPr>
              <w:t>保持垃圾桶（箱）外表</w:t>
            </w:r>
            <w:r>
              <w:rPr>
                <w:rFonts w:hint="eastAsia" w:ascii="宋体" w:eastAsia="宋体"/>
                <w:spacing w:val="-1"/>
                <w:szCs w:val="21"/>
              </w:rPr>
              <w:t>干净</w:t>
            </w:r>
            <w:r>
              <w:rPr>
                <w:rFonts w:ascii="宋体" w:eastAsia="宋体"/>
                <w:spacing w:val="-1"/>
                <w:szCs w:val="21"/>
              </w:rPr>
              <w:t>整洁</w:t>
            </w:r>
            <w:r>
              <w:rPr>
                <w:rFonts w:hint="eastAsia" w:ascii="宋体" w:eastAsia="宋体"/>
                <w:spacing w:val="-1"/>
                <w:szCs w:val="21"/>
              </w:rPr>
              <w:t>，</w:t>
            </w:r>
            <w:r>
              <w:rPr>
                <w:rFonts w:ascii="宋体" w:eastAsia="宋体"/>
                <w:spacing w:val="-1"/>
                <w:szCs w:val="21"/>
              </w:rPr>
              <w:t>每天有专人保洁擦洗。</w:t>
            </w:r>
          </w:p>
        </w:tc>
        <w:tc>
          <w:tcPr>
            <w:tcW w:w="3236" w:type="dxa"/>
            <w:tcBorders>
              <w:right w:val="single" w:color="000000" w:sz="2" w:space="0"/>
            </w:tcBorders>
            <w:vAlign w:val="center"/>
          </w:tcPr>
          <w:p w14:paraId="55C2F9A7">
            <w:pPr>
              <w:pStyle w:val="11"/>
              <w:spacing w:after="0" w:line="320" w:lineRule="exact"/>
              <w:ind w:firstLine="0" w:firstLineChars="0"/>
              <w:jc w:val="left"/>
              <w:rPr>
                <w:rFonts w:ascii="宋体" w:eastAsia="宋体"/>
                <w:spacing w:val="-1"/>
                <w:szCs w:val="21"/>
              </w:rPr>
            </w:pPr>
            <w:r>
              <w:rPr>
                <w:rFonts w:ascii="宋体" w:eastAsia="宋体"/>
                <w:spacing w:val="-1"/>
                <w:szCs w:val="21"/>
              </w:rPr>
              <w:t>垃圾桶摆放不齐，外表不洁净发现一处。</w:t>
            </w:r>
          </w:p>
        </w:tc>
        <w:tc>
          <w:tcPr>
            <w:tcW w:w="1071" w:type="dxa"/>
            <w:tcBorders>
              <w:left w:val="single" w:color="000000" w:sz="2" w:space="0"/>
            </w:tcBorders>
            <w:vAlign w:val="center"/>
          </w:tcPr>
          <w:p w14:paraId="33F06BC3">
            <w:pPr>
              <w:pStyle w:val="11"/>
              <w:spacing w:after="0" w:line="320" w:lineRule="exact"/>
              <w:ind w:firstLine="0" w:firstLineChars="0"/>
              <w:jc w:val="center"/>
              <w:rPr>
                <w:rFonts w:ascii="宋体" w:eastAsia="宋体"/>
                <w:spacing w:val="-7"/>
                <w:szCs w:val="21"/>
              </w:rPr>
            </w:pPr>
            <w:r>
              <w:rPr>
                <w:rFonts w:hint="eastAsia" w:ascii="宋体" w:eastAsia="宋体"/>
                <w:spacing w:val="-5"/>
                <w:szCs w:val="21"/>
              </w:rPr>
              <w:t>50</w:t>
            </w:r>
          </w:p>
        </w:tc>
        <w:tc>
          <w:tcPr>
            <w:tcW w:w="932" w:type="dxa"/>
            <w:tcBorders>
              <w:left w:val="single" w:color="000000" w:sz="2" w:space="0"/>
            </w:tcBorders>
            <w:vAlign w:val="center"/>
          </w:tcPr>
          <w:p w14:paraId="2962E77E">
            <w:pPr>
              <w:pStyle w:val="11"/>
              <w:spacing w:after="0" w:line="320" w:lineRule="exact"/>
              <w:ind w:firstLine="0" w:firstLineChars="0"/>
              <w:jc w:val="center"/>
              <w:rPr>
                <w:rFonts w:ascii="宋体" w:eastAsia="宋体"/>
                <w:spacing w:val="-7"/>
                <w:szCs w:val="21"/>
              </w:rPr>
            </w:pPr>
            <w:r>
              <w:rPr>
                <w:rFonts w:ascii="宋体" w:eastAsia="宋体"/>
                <w:spacing w:val="-5"/>
                <w:szCs w:val="21"/>
              </w:rPr>
              <w:t>6</w:t>
            </w:r>
          </w:p>
        </w:tc>
      </w:tr>
      <w:tr w14:paraId="4CF7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Align w:val="center"/>
          </w:tcPr>
          <w:p w14:paraId="025B835D">
            <w:pPr>
              <w:pStyle w:val="11"/>
              <w:spacing w:after="0" w:line="320" w:lineRule="exact"/>
              <w:ind w:firstLine="0" w:firstLineChars="0"/>
              <w:jc w:val="center"/>
              <w:rPr>
                <w:rFonts w:ascii="宋体" w:eastAsia="宋体"/>
                <w:szCs w:val="21"/>
              </w:rPr>
            </w:pPr>
            <w:r>
              <w:rPr>
                <w:rFonts w:hint="eastAsia" w:ascii="宋体" w:eastAsia="宋体"/>
                <w:szCs w:val="21"/>
              </w:rPr>
              <w:t>8</w:t>
            </w:r>
          </w:p>
        </w:tc>
        <w:tc>
          <w:tcPr>
            <w:tcW w:w="3632" w:type="dxa"/>
            <w:vAlign w:val="center"/>
          </w:tcPr>
          <w:p w14:paraId="0BCB486D">
            <w:pPr>
              <w:pStyle w:val="11"/>
              <w:spacing w:after="0" w:line="320" w:lineRule="exact"/>
              <w:ind w:firstLine="0" w:firstLineChars="0"/>
              <w:jc w:val="left"/>
              <w:rPr>
                <w:rFonts w:ascii="宋体" w:eastAsia="宋体"/>
                <w:spacing w:val="-1"/>
                <w:szCs w:val="21"/>
              </w:rPr>
            </w:pPr>
            <w:r>
              <w:rPr>
                <w:rFonts w:ascii="宋体" w:eastAsia="宋体"/>
                <w:spacing w:val="-3"/>
                <w:szCs w:val="21"/>
              </w:rPr>
              <w:t>垃圾桶、垃圾箱有盖，实行密闭化管理，每天有专</w:t>
            </w:r>
            <w:r>
              <w:rPr>
                <w:rFonts w:ascii="宋体" w:eastAsia="宋体"/>
                <w:spacing w:val="-1"/>
                <w:szCs w:val="21"/>
              </w:rPr>
              <w:t>人巡查清理将暴露在外垃圾及时投放箱内。</w:t>
            </w:r>
          </w:p>
        </w:tc>
        <w:tc>
          <w:tcPr>
            <w:tcW w:w="3236" w:type="dxa"/>
            <w:tcBorders>
              <w:right w:val="single" w:color="000000" w:sz="2" w:space="0"/>
            </w:tcBorders>
            <w:vAlign w:val="center"/>
          </w:tcPr>
          <w:p w14:paraId="10A63593">
            <w:pPr>
              <w:pStyle w:val="11"/>
              <w:spacing w:after="0" w:line="320" w:lineRule="exact"/>
              <w:ind w:firstLine="0" w:firstLineChars="0"/>
              <w:jc w:val="left"/>
              <w:rPr>
                <w:rFonts w:ascii="宋体" w:eastAsia="宋体"/>
                <w:spacing w:val="-1"/>
                <w:szCs w:val="21"/>
              </w:rPr>
            </w:pPr>
            <w:r>
              <w:rPr>
                <w:rFonts w:ascii="宋体" w:eastAsia="宋体"/>
                <w:spacing w:val="-10"/>
                <w:szCs w:val="21"/>
              </w:rPr>
              <w:t>垃圾桶、垃圾箱周围有暴露垃圾，</w:t>
            </w:r>
            <w:r>
              <w:rPr>
                <w:rFonts w:hint="eastAsia" w:ascii="宋体" w:eastAsia="宋体"/>
                <w:spacing w:val="-10"/>
                <w:szCs w:val="21"/>
              </w:rPr>
              <w:t>每</w:t>
            </w:r>
            <w:r>
              <w:rPr>
                <w:rFonts w:ascii="宋体" w:eastAsia="宋体"/>
                <w:spacing w:val="-2"/>
                <w:szCs w:val="21"/>
              </w:rPr>
              <w:t>发现一处。</w:t>
            </w:r>
          </w:p>
        </w:tc>
        <w:tc>
          <w:tcPr>
            <w:tcW w:w="1071" w:type="dxa"/>
            <w:tcBorders>
              <w:left w:val="single" w:color="000000" w:sz="2" w:space="0"/>
            </w:tcBorders>
            <w:vAlign w:val="center"/>
          </w:tcPr>
          <w:p w14:paraId="536206CF">
            <w:pPr>
              <w:pStyle w:val="11"/>
              <w:spacing w:after="0" w:line="320" w:lineRule="exact"/>
              <w:ind w:firstLine="0" w:firstLineChars="0"/>
              <w:jc w:val="center"/>
              <w:rPr>
                <w:rFonts w:ascii="宋体" w:eastAsia="宋体"/>
                <w:spacing w:val="-7"/>
                <w:szCs w:val="21"/>
              </w:rPr>
            </w:pPr>
            <w:r>
              <w:rPr>
                <w:rFonts w:ascii="宋体" w:eastAsia="宋体"/>
                <w:spacing w:val="-7"/>
                <w:szCs w:val="21"/>
              </w:rPr>
              <w:t>100</w:t>
            </w:r>
          </w:p>
        </w:tc>
        <w:tc>
          <w:tcPr>
            <w:tcW w:w="932" w:type="dxa"/>
            <w:tcBorders>
              <w:left w:val="single" w:color="000000" w:sz="2" w:space="0"/>
            </w:tcBorders>
            <w:vAlign w:val="center"/>
          </w:tcPr>
          <w:p w14:paraId="72AC098D">
            <w:pPr>
              <w:pStyle w:val="11"/>
              <w:spacing w:after="0" w:line="320" w:lineRule="exact"/>
              <w:ind w:firstLine="0" w:firstLineChars="0"/>
              <w:jc w:val="center"/>
              <w:rPr>
                <w:rFonts w:ascii="宋体" w:eastAsia="宋体"/>
                <w:spacing w:val="-7"/>
                <w:szCs w:val="21"/>
              </w:rPr>
            </w:pPr>
            <w:r>
              <w:rPr>
                <w:rFonts w:ascii="宋体" w:eastAsia="宋体"/>
                <w:spacing w:val="-7"/>
                <w:szCs w:val="21"/>
              </w:rPr>
              <w:t>8</w:t>
            </w:r>
          </w:p>
        </w:tc>
      </w:tr>
      <w:tr w14:paraId="6511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tcBorders>
              <w:bottom w:val="single" w:color="000000" w:sz="2" w:space="0"/>
            </w:tcBorders>
            <w:vAlign w:val="center"/>
          </w:tcPr>
          <w:p w14:paraId="49385FE5">
            <w:pPr>
              <w:pStyle w:val="11"/>
              <w:spacing w:after="0" w:line="320" w:lineRule="exact"/>
              <w:ind w:firstLine="0" w:firstLineChars="0"/>
              <w:jc w:val="center"/>
              <w:rPr>
                <w:rFonts w:ascii="宋体" w:eastAsia="宋体"/>
                <w:szCs w:val="21"/>
              </w:rPr>
            </w:pPr>
            <w:r>
              <w:rPr>
                <w:rFonts w:hint="eastAsia" w:ascii="宋体" w:eastAsia="宋体"/>
                <w:spacing w:val="-10"/>
                <w:szCs w:val="21"/>
              </w:rPr>
              <w:t>9</w:t>
            </w:r>
          </w:p>
        </w:tc>
        <w:tc>
          <w:tcPr>
            <w:tcW w:w="3632" w:type="dxa"/>
            <w:tcBorders>
              <w:bottom w:val="single" w:color="000000" w:sz="2" w:space="0"/>
            </w:tcBorders>
            <w:vAlign w:val="center"/>
          </w:tcPr>
          <w:p w14:paraId="12C3B00E">
            <w:pPr>
              <w:pStyle w:val="11"/>
              <w:spacing w:after="0" w:line="320" w:lineRule="exact"/>
              <w:ind w:firstLine="0" w:firstLineChars="0"/>
              <w:jc w:val="left"/>
              <w:rPr>
                <w:rFonts w:ascii="宋体" w:eastAsia="宋体"/>
                <w:spacing w:val="-1"/>
                <w:szCs w:val="21"/>
              </w:rPr>
            </w:pPr>
            <w:r>
              <w:rPr>
                <w:rFonts w:ascii="宋体" w:eastAsia="宋体"/>
                <w:spacing w:val="-1"/>
                <w:szCs w:val="21"/>
              </w:rPr>
              <w:t>垃圾清运未按要求完成，每出现一项均</w:t>
            </w:r>
            <w:r>
              <w:rPr>
                <w:rFonts w:hint="eastAsia" w:ascii="宋体" w:eastAsia="宋体"/>
                <w:spacing w:val="-1"/>
                <w:szCs w:val="21"/>
              </w:rPr>
              <w:t>予以</w:t>
            </w:r>
            <w:r>
              <w:rPr>
                <w:rFonts w:ascii="宋体" w:eastAsia="宋体"/>
                <w:spacing w:val="-1"/>
                <w:szCs w:val="21"/>
              </w:rPr>
              <w:t>扣款。</w:t>
            </w:r>
          </w:p>
        </w:tc>
        <w:tc>
          <w:tcPr>
            <w:tcW w:w="3236" w:type="dxa"/>
            <w:tcBorders>
              <w:bottom w:val="single" w:color="000000" w:sz="2" w:space="0"/>
              <w:right w:val="single" w:color="000000" w:sz="2" w:space="0"/>
            </w:tcBorders>
            <w:vAlign w:val="center"/>
          </w:tcPr>
          <w:p w14:paraId="7845D715">
            <w:pPr>
              <w:pStyle w:val="11"/>
              <w:spacing w:after="0" w:line="320" w:lineRule="exact"/>
              <w:ind w:firstLine="0" w:firstLineChars="0"/>
              <w:jc w:val="left"/>
              <w:rPr>
                <w:rFonts w:ascii="宋体" w:eastAsia="宋体"/>
                <w:spacing w:val="-1"/>
                <w:szCs w:val="21"/>
              </w:rPr>
            </w:pPr>
            <w:r>
              <w:rPr>
                <w:rFonts w:ascii="宋体" w:eastAsia="宋体"/>
                <w:spacing w:val="-1"/>
                <w:szCs w:val="21"/>
              </w:rPr>
              <w:t>垃圾清运不及时，每发生一次。</w:t>
            </w:r>
          </w:p>
        </w:tc>
        <w:tc>
          <w:tcPr>
            <w:tcW w:w="1071" w:type="dxa"/>
            <w:tcBorders>
              <w:left w:val="single" w:color="000000" w:sz="2" w:space="0"/>
              <w:bottom w:val="single" w:color="000000" w:sz="2" w:space="0"/>
            </w:tcBorders>
            <w:vAlign w:val="center"/>
          </w:tcPr>
          <w:p w14:paraId="2A594434">
            <w:pPr>
              <w:pStyle w:val="11"/>
              <w:spacing w:after="0" w:line="320" w:lineRule="exact"/>
              <w:ind w:firstLine="0" w:firstLineChars="0"/>
              <w:jc w:val="center"/>
              <w:rPr>
                <w:rFonts w:ascii="宋体" w:eastAsia="宋体"/>
                <w:spacing w:val="-7"/>
                <w:szCs w:val="21"/>
              </w:rPr>
            </w:pPr>
            <w:r>
              <w:rPr>
                <w:rFonts w:ascii="宋体" w:eastAsia="宋体"/>
                <w:spacing w:val="-3"/>
                <w:szCs w:val="21"/>
              </w:rPr>
              <w:t>200</w:t>
            </w:r>
          </w:p>
        </w:tc>
        <w:tc>
          <w:tcPr>
            <w:tcW w:w="932" w:type="dxa"/>
            <w:tcBorders>
              <w:left w:val="single" w:color="000000" w:sz="2" w:space="0"/>
              <w:bottom w:val="single" w:color="000000" w:sz="2" w:space="0"/>
            </w:tcBorders>
            <w:vAlign w:val="center"/>
          </w:tcPr>
          <w:p w14:paraId="3D9A573B">
            <w:pPr>
              <w:pStyle w:val="11"/>
              <w:spacing w:after="0" w:line="320" w:lineRule="exact"/>
              <w:ind w:firstLine="0" w:firstLineChars="0"/>
              <w:jc w:val="center"/>
              <w:rPr>
                <w:rFonts w:ascii="宋体" w:eastAsia="宋体"/>
                <w:spacing w:val="-7"/>
                <w:szCs w:val="21"/>
              </w:rPr>
            </w:pPr>
            <w:r>
              <w:rPr>
                <w:rFonts w:ascii="宋体" w:eastAsia="宋体"/>
                <w:spacing w:val="-3"/>
                <w:szCs w:val="21"/>
              </w:rPr>
              <w:t>9</w:t>
            </w:r>
          </w:p>
        </w:tc>
      </w:tr>
      <w:tr w14:paraId="7C47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tcBorders>
              <w:top w:val="single" w:color="000000" w:sz="2" w:space="0"/>
            </w:tcBorders>
            <w:vAlign w:val="center"/>
          </w:tcPr>
          <w:p w14:paraId="648B00E2">
            <w:pPr>
              <w:pStyle w:val="11"/>
              <w:spacing w:after="0" w:line="320" w:lineRule="exact"/>
              <w:ind w:firstLine="0" w:firstLineChars="0"/>
              <w:jc w:val="center"/>
              <w:rPr>
                <w:rFonts w:ascii="宋体" w:eastAsia="宋体"/>
                <w:szCs w:val="21"/>
              </w:rPr>
            </w:pPr>
            <w:r>
              <w:rPr>
                <w:rFonts w:hint="eastAsia" w:ascii="宋体" w:eastAsia="宋体"/>
                <w:spacing w:val="-10"/>
                <w:szCs w:val="21"/>
              </w:rPr>
              <w:t>10</w:t>
            </w:r>
          </w:p>
        </w:tc>
        <w:tc>
          <w:tcPr>
            <w:tcW w:w="3632" w:type="dxa"/>
            <w:tcBorders>
              <w:top w:val="single" w:color="000000" w:sz="2" w:space="0"/>
            </w:tcBorders>
            <w:vAlign w:val="center"/>
          </w:tcPr>
          <w:p w14:paraId="43ADCB32">
            <w:pPr>
              <w:pStyle w:val="11"/>
              <w:spacing w:after="0" w:line="320" w:lineRule="exact"/>
              <w:ind w:firstLine="0" w:firstLineChars="0"/>
              <w:jc w:val="left"/>
              <w:rPr>
                <w:rFonts w:ascii="宋体" w:eastAsia="宋体"/>
                <w:spacing w:val="-1"/>
                <w:szCs w:val="21"/>
              </w:rPr>
            </w:pPr>
            <w:r>
              <w:rPr>
                <w:rFonts w:ascii="宋体" w:eastAsia="宋体"/>
                <w:spacing w:val="-1"/>
                <w:szCs w:val="21"/>
              </w:rPr>
              <w:t>小广告</w:t>
            </w:r>
            <w:r>
              <w:rPr>
                <w:rFonts w:hint="eastAsia" w:ascii="宋体" w:eastAsia="宋体"/>
                <w:spacing w:val="-1"/>
                <w:szCs w:val="21"/>
              </w:rPr>
              <w:t>清理</w:t>
            </w:r>
          </w:p>
        </w:tc>
        <w:tc>
          <w:tcPr>
            <w:tcW w:w="3236" w:type="dxa"/>
            <w:tcBorders>
              <w:top w:val="single" w:color="000000" w:sz="2" w:space="0"/>
              <w:right w:val="single" w:color="000000" w:sz="2" w:space="0"/>
            </w:tcBorders>
            <w:vAlign w:val="center"/>
          </w:tcPr>
          <w:p w14:paraId="7D5928FC">
            <w:pPr>
              <w:pStyle w:val="11"/>
              <w:spacing w:after="0" w:line="320" w:lineRule="exact"/>
              <w:ind w:firstLine="0" w:firstLineChars="0"/>
              <w:jc w:val="left"/>
              <w:rPr>
                <w:rFonts w:ascii="宋体" w:eastAsia="宋体"/>
                <w:spacing w:val="-1"/>
                <w:szCs w:val="21"/>
              </w:rPr>
            </w:pPr>
            <w:r>
              <w:rPr>
                <w:rFonts w:hint="eastAsia" w:ascii="宋体" w:eastAsia="宋体"/>
                <w:spacing w:val="-3"/>
                <w:szCs w:val="21"/>
              </w:rPr>
              <w:t>口袋公园</w:t>
            </w:r>
            <w:r>
              <w:rPr>
                <w:rFonts w:ascii="宋体" w:eastAsia="宋体"/>
                <w:spacing w:val="-3"/>
                <w:szCs w:val="21"/>
              </w:rPr>
              <w:t>内有小广告、张贴物、乱涂乱画未及</w:t>
            </w:r>
            <w:r>
              <w:rPr>
                <w:rFonts w:ascii="宋体" w:eastAsia="宋体"/>
                <w:spacing w:val="-2"/>
                <w:szCs w:val="21"/>
              </w:rPr>
              <w:t>时清除，每发现一处；</w:t>
            </w:r>
          </w:p>
        </w:tc>
        <w:tc>
          <w:tcPr>
            <w:tcW w:w="1071" w:type="dxa"/>
            <w:tcBorders>
              <w:top w:val="single" w:color="000000" w:sz="2" w:space="0"/>
              <w:left w:val="single" w:color="000000" w:sz="2" w:space="0"/>
            </w:tcBorders>
            <w:vAlign w:val="center"/>
          </w:tcPr>
          <w:p w14:paraId="608633FF">
            <w:pPr>
              <w:pStyle w:val="11"/>
              <w:spacing w:after="0" w:line="320" w:lineRule="exact"/>
              <w:ind w:firstLine="0" w:firstLineChars="0"/>
              <w:jc w:val="center"/>
              <w:rPr>
                <w:rFonts w:ascii="宋体" w:eastAsia="宋体"/>
                <w:spacing w:val="-7"/>
                <w:szCs w:val="21"/>
              </w:rPr>
            </w:pPr>
            <w:r>
              <w:rPr>
                <w:rFonts w:ascii="宋体" w:eastAsia="宋体"/>
                <w:spacing w:val="-10"/>
                <w:szCs w:val="21"/>
              </w:rPr>
              <w:t>10</w:t>
            </w:r>
          </w:p>
        </w:tc>
        <w:tc>
          <w:tcPr>
            <w:tcW w:w="932" w:type="dxa"/>
            <w:tcBorders>
              <w:top w:val="single" w:color="000000" w:sz="2" w:space="0"/>
              <w:left w:val="single" w:color="000000" w:sz="2" w:space="0"/>
            </w:tcBorders>
            <w:vAlign w:val="center"/>
          </w:tcPr>
          <w:p w14:paraId="17859F92">
            <w:pPr>
              <w:pStyle w:val="11"/>
              <w:spacing w:after="0" w:line="320" w:lineRule="exact"/>
              <w:ind w:firstLine="0" w:firstLineChars="0"/>
              <w:jc w:val="center"/>
              <w:rPr>
                <w:rFonts w:ascii="宋体" w:eastAsia="宋体"/>
                <w:spacing w:val="-7"/>
                <w:szCs w:val="21"/>
              </w:rPr>
            </w:pPr>
            <w:r>
              <w:rPr>
                <w:rFonts w:ascii="宋体" w:eastAsia="宋体"/>
                <w:spacing w:val="-10"/>
                <w:szCs w:val="21"/>
              </w:rPr>
              <w:t>6</w:t>
            </w:r>
          </w:p>
        </w:tc>
      </w:tr>
      <w:tr w14:paraId="79E4E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Align w:val="center"/>
          </w:tcPr>
          <w:p w14:paraId="5A4839DA">
            <w:pPr>
              <w:pStyle w:val="11"/>
              <w:spacing w:after="0" w:line="320" w:lineRule="exact"/>
              <w:ind w:firstLine="0" w:firstLineChars="0"/>
              <w:jc w:val="center"/>
              <w:rPr>
                <w:rFonts w:ascii="宋体" w:eastAsia="宋体"/>
                <w:szCs w:val="21"/>
              </w:rPr>
            </w:pPr>
            <w:r>
              <w:rPr>
                <w:rFonts w:hint="eastAsia" w:ascii="宋体" w:eastAsia="宋体"/>
                <w:spacing w:val="-10"/>
                <w:szCs w:val="21"/>
              </w:rPr>
              <w:t>11</w:t>
            </w:r>
          </w:p>
        </w:tc>
        <w:tc>
          <w:tcPr>
            <w:tcW w:w="3632" w:type="dxa"/>
            <w:vAlign w:val="center"/>
          </w:tcPr>
          <w:p w14:paraId="1FE056F5">
            <w:pPr>
              <w:pStyle w:val="11"/>
              <w:spacing w:after="0" w:line="320" w:lineRule="exact"/>
              <w:ind w:firstLine="0" w:firstLineChars="0"/>
              <w:jc w:val="left"/>
              <w:rPr>
                <w:rFonts w:ascii="宋体" w:eastAsia="宋体"/>
                <w:spacing w:val="-1"/>
                <w:szCs w:val="21"/>
              </w:rPr>
            </w:pPr>
            <w:r>
              <w:rPr>
                <w:rFonts w:ascii="宋体" w:eastAsia="宋体"/>
                <w:spacing w:val="-1"/>
                <w:szCs w:val="21"/>
              </w:rPr>
              <w:t>清运及清扫作业</w:t>
            </w:r>
            <w:r>
              <w:rPr>
                <w:rFonts w:hint="eastAsia" w:ascii="宋体" w:eastAsia="宋体"/>
                <w:spacing w:val="-1"/>
                <w:szCs w:val="21"/>
              </w:rPr>
              <w:t>台账齐全</w:t>
            </w:r>
            <w:r>
              <w:rPr>
                <w:rFonts w:ascii="宋体" w:eastAsia="宋体"/>
                <w:spacing w:val="-1"/>
                <w:szCs w:val="21"/>
              </w:rPr>
              <w:t>。</w:t>
            </w:r>
          </w:p>
        </w:tc>
        <w:tc>
          <w:tcPr>
            <w:tcW w:w="3236" w:type="dxa"/>
            <w:tcBorders>
              <w:right w:val="single" w:color="000000" w:sz="2" w:space="0"/>
            </w:tcBorders>
            <w:vAlign w:val="center"/>
          </w:tcPr>
          <w:p w14:paraId="7C74CB05">
            <w:pPr>
              <w:pStyle w:val="11"/>
              <w:spacing w:after="0" w:line="320" w:lineRule="exact"/>
              <w:ind w:firstLine="0" w:firstLineChars="0"/>
              <w:jc w:val="left"/>
              <w:rPr>
                <w:rFonts w:ascii="宋体" w:eastAsia="宋体"/>
                <w:spacing w:val="-1"/>
                <w:szCs w:val="21"/>
              </w:rPr>
            </w:pPr>
            <w:r>
              <w:rPr>
                <w:rFonts w:ascii="宋体" w:eastAsia="宋体"/>
                <w:spacing w:val="-1"/>
                <w:szCs w:val="21"/>
              </w:rPr>
              <w:t>清运保洁无记录的。</w:t>
            </w:r>
          </w:p>
        </w:tc>
        <w:tc>
          <w:tcPr>
            <w:tcW w:w="1071" w:type="dxa"/>
            <w:tcBorders>
              <w:left w:val="single" w:color="000000" w:sz="2" w:space="0"/>
            </w:tcBorders>
            <w:vAlign w:val="center"/>
          </w:tcPr>
          <w:p w14:paraId="279D6CBD">
            <w:pPr>
              <w:pStyle w:val="11"/>
              <w:spacing w:after="0" w:line="320" w:lineRule="exact"/>
              <w:ind w:firstLine="0" w:firstLineChars="0"/>
              <w:jc w:val="center"/>
              <w:rPr>
                <w:rFonts w:ascii="宋体" w:eastAsia="宋体"/>
                <w:spacing w:val="-7"/>
                <w:szCs w:val="21"/>
              </w:rPr>
            </w:pPr>
            <w:r>
              <w:rPr>
                <w:rFonts w:ascii="宋体" w:eastAsia="宋体"/>
                <w:spacing w:val="-3"/>
                <w:szCs w:val="21"/>
              </w:rPr>
              <w:t>200</w:t>
            </w:r>
          </w:p>
        </w:tc>
        <w:tc>
          <w:tcPr>
            <w:tcW w:w="932" w:type="dxa"/>
            <w:tcBorders>
              <w:left w:val="single" w:color="000000" w:sz="2" w:space="0"/>
            </w:tcBorders>
            <w:vAlign w:val="center"/>
          </w:tcPr>
          <w:p w14:paraId="5D61541E">
            <w:pPr>
              <w:pStyle w:val="11"/>
              <w:spacing w:after="0" w:line="320" w:lineRule="exact"/>
              <w:ind w:firstLine="0" w:firstLineChars="0"/>
              <w:jc w:val="center"/>
              <w:rPr>
                <w:rFonts w:ascii="宋体" w:eastAsia="宋体"/>
                <w:spacing w:val="-7"/>
                <w:szCs w:val="21"/>
              </w:rPr>
            </w:pPr>
            <w:r>
              <w:rPr>
                <w:rFonts w:ascii="宋体" w:eastAsia="宋体"/>
                <w:spacing w:val="-3"/>
                <w:szCs w:val="21"/>
              </w:rPr>
              <w:t>9</w:t>
            </w:r>
          </w:p>
        </w:tc>
      </w:tr>
      <w:tr w14:paraId="1826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38" w:type="dxa"/>
            <w:vAlign w:val="center"/>
          </w:tcPr>
          <w:p w14:paraId="5E25971D">
            <w:pPr>
              <w:pStyle w:val="11"/>
              <w:spacing w:after="0" w:line="320" w:lineRule="exact"/>
              <w:ind w:firstLine="0" w:firstLineChars="0"/>
              <w:jc w:val="center"/>
              <w:rPr>
                <w:rFonts w:ascii="宋体" w:eastAsia="宋体"/>
                <w:szCs w:val="21"/>
              </w:rPr>
            </w:pPr>
            <w:r>
              <w:rPr>
                <w:rFonts w:hint="eastAsia" w:ascii="宋体" w:eastAsia="宋体"/>
                <w:spacing w:val="-1"/>
                <w:szCs w:val="21"/>
              </w:rPr>
              <w:t>12</w:t>
            </w:r>
          </w:p>
        </w:tc>
        <w:tc>
          <w:tcPr>
            <w:tcW w:w="3632" w:type="dxa"/>
            <w:vAlign w:val="center"/>
          </w:tcPr>
          <w:p w14:paraId="63230F05">
            <w:pPr>
              <w:pStyle w:val="11"/>
              <w:spacing w:after="0" w:line="320" w:lineRule="exact"/>
              <w:ind w:firstLine="0" w:firstLineChars="0"/>
              <w:jc w:val="left"/>
              <w:rPr>
                <w:rFonts w:ascii="宋体" w:eastAsia="宋体"/>
                <w:spacing w:val="-1"/>
                <w:szCs w:val="21"/>
              </w:rPr>
            </w:pPr>
            <w:r>
              <w:rPr>
                <w:rFonts w:hint="eastAsia" w:ascii="宋体" w:eastAsia="宋体"/>
                <w:spacing w:val="-1"/>
                <w:szCs w:val="21"/>
              </w:rPr>
              <w:t>及时整改</w:t>
            </w:r>
            <w:r>
              <w:rPr>
                <w:rFonts w:ascii="宋体" w:eastAsia="宋体"/>
                <w:spacing w:val="-1"/>
                <w:szCs w:val="21"/>
              </w:rPr>
              <w:t>媒体曝光、群众举报</w:t>
            </w:r>
            <w:r>
              <w:rPr>
                <w:rFonts w:hint="eastAsia" w:ascii="宋体" w:eastAsia="宋体"/>
                <w:spacing w:val="-1"/>
                <w:szCs w:val="21"/>
              </w:rPr>
              <w:t>、12345交办等问题</w:t>
            </w:r>
          </w:p>
        </w:tc>
        <w:tc>
          <w:tcPr>
            <w:tcW w:w="3236" w:type="dxa"/>
            <w:tcBorders>
              <w:right w:val="single" w:color="000000" w:sz="2" w:space="0"/>
            </w:tcBorders>
            <w:vAlign w:val="center"/>
          </w:tcPr>
          <w:p w14:paraId="53042AB3">
            <w:pPr>
              <w:pStyle w:val="11"/>
              <w:spacing w:after="0" w:line="320" w:lineRule="exact"/>
              <w:ind w:firstLine="0" w:firstLineChars="0"/>
              <w:jc w:val="left"/>
              <w:rPr>
                <w:rFonts w:ascii="宋体" w:eastAsia="宋体"/>
                <w:spacing w:val="-1"/>
                <w:szCs w:val="21"/>
              </w:rPr>
            </w:pPr>
            <w:r>
              <w:rPr>
                <w:rFonts w:hint="eastAsia" w:ascii="宋体" w:eastAsia="宋体"/>
                <w:spacing w:val="-1"/>
                <w:szCs w:val="21"/>
              </w:rPr>
              <w:t>如超期未及时整改到位</w:t>
            </w:r>
          </w:p>
        </w:tc>
        <w:tc>
          <w:tcPr>
            <w:tcW w:w="1071" w:type="dxa"/>
            <w:tcBorders>
              <w:left w:val="single" w:color="000000" w:sz="2" w:space="0"/>
            </w:tcBorders>
            <w:vAlign w:val="center"/>
          </w:tcPr>
          <w:p w14:paraId="61E706D7">
            <w:pPr>
              <w:pStyle w:val="11"/>
              <w:spacing w:after="0" w:line="320" w:lineRule="exact"/>
              <w:ind w:firstLine="0" w:firstLineChars="0"/>
              <w:jc w:val="center"/>
              <w:rPr>
                <w:rFonts w:ascii="宋体" w:eastAsia="宋体"/>
                <w:spacing w:val="-7"/>
                <w:szCs w:val="21"/>
              </w:rPr>
            </w:pPr>
            <w:r>
              <w:rPr>
                <w:rFonts w:hint="eastAsia" w:ascii="宋体" w:eastAsia="宋体"/>
                <w:spacing w:val="-1"/>
                <w:szCs w:val="21"/>
              </w:rPr>
              <w:t>100</w:t>
            </w:r>
          </w:p>
        </w:tc>
        <w:tc>
          <w:tcPr>
            <w:tcW w:w="932" w:type="dxa"/>
            <w:tcBorders>
              <w:left w:val="single" w:color="000000" w:sz="2" w:space="0"/>
            </w:tcBorders>
            <w:vAlign w:val="center"/>
          </w:tcPr>
          <w:p w14:paraId="76FE62EF">
            <w:pPr>
              <w:pStyle w:val="11"/>
              <w:spacing w:after="0" w:line="320" w:lineRule="exact"/>
              <w:ind w:firstLine="0" w:firstLineChars="0"/>
              <w:jc w:val="center"/>
              <w:rPr>
                <w:rFonts w:ascii="宋体" w:eastAsia="宋体"/>
                <w:spacing w:val="-7"/>
                <w:szCs w:val="21"/>
              </w:rPr>
            </w:pPr>
            <w:r>
              <w:rPr>
                <w:rFonts w:ascii="宋体" w:eastAsia="宋体"/>
                <w:spacing w:val="-1"/>
                <w:szCs w:val="21"/>
              </w:rPr>
              <w:t>8</w:t>
            </w:r>
          </w:p>
        </w:tc>
      </w:tr>
      <w:tr w14:paraId="3C07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406" w:type="dxa"/>
            <w:gridSpan w:val="3"/>
            <w:tcBorders>
              <w:right w:val="single" w:color="000000" w:sz="2" w:space="0"/>
            </w:tcBorders>
            <w:vAlign w:val="center"/>
          </w:tcPr>
          <w:p w14:paraId="12AB96E6">
            <w:pPr>
              <w:pStyle w:val="11"/>
              <w:spacing w:after="0" w:line="320" w:lineRule="exact"/>
              <w:ind w:firstLine="3120" w:firstLineChars="1500"/>
              <w:jc w:val="left"/>
              <w:rPr>
                <w:rFonts w:ascii="宋体" w:eastAsia="宋体"/>
                <w:spacing w:val="-1"/>
                <w:szCs w:val="21"/>
              </w:rPr>
            </w:pPr>
            <w:r>
              <w:rPr>
                <w:rFonts w:hint="eastAsia" w:ascii="宋体" w:eastAsia="宋体"/>
                <w:spacing w:val="-1"/>
                <w:szCs w:val="21"/>
              </w:rPr>
              <w:t>合计</w:t>
            </w:r>
          </w:p>
        </w:tc>
        <w:tc>
          <w:tcPr>
            <w:tcW w:w="1071" w:type="dxa"/>
            <w:tcBorders>
              <w:left w:val="single" w:color="000000" w:sz="2" w:space="0"/>
            </w:tcBorders>
            <w:vAlign w:val="center"/>
          </w:tcPr>
          <w:p w14:paraId="5BC8B9E3">
            <w:pPr>
              <w:pStyle w:val="11"/>
              <w:spacing w:after="0" w:line="320" w:lineRule="exact"/>
              <w:ind w:firstLine="0" w:firstLineChars="0"/>
              <w:jc w:val="left"/>
              <w:rPr>
                <w:rFonts w:ascii="宋体" w:eastAsia="宋体"/>
                <w:spacing w:val="-1"/>
                <w:szCs w:val="21"/>
              </w:rPr>
            </w:pPr>
          </w:p>
        </w:tc>
        <w:tc>
          <w:tcPr>
            <w:tcW w:w="932" w:type="dxa"/>
            <w:tcBorders>
              <w:left w:val="single" w:color="000000" w:sz="2" w:space="0"/>
            </w:tcBorders>
            <w:vAlign w:val="center"/>
          </w:tcPr>
          <w:p w14:paraId="3E902C7B">
            <w:pPr>
              <w:pStyle w:val="11"/>
              <w:spacing w:after="0" w:line="320" w:lineRule="exact"/>
              <w:ind w:firstLine="0" w:firstLineChars="0"/>
              <w:jc w:val="left"/>
              <w:rPr>
                <w:rFonts w:ascii="宋体" w:eastAsia="宋体"/>
                <w:spacing w:val="-1"/>
                <w:szCs w:val="21"/>
              </w:rPr>
            </w:pPr>
            <w:r>
              <w:rPr>
                <w:rFonts w:hint="eastAsia" w:ascii="宋体" w:eastAsia="宋体"/>
                <w:spacing w:val="-1"/>
                <w:szCs w:val="21"/>
              </w:rPr>
              <w:t>1</w:t>
            </w:r>
            <w:r>
              <w:rPr>
                <w:rFonts w:ascii="宋体" w:eastAsia="宋体"/>
                <w:spacing w:val="-1"/>
                <w:szCs w:val="21"/>
              </w:rPr>
              <w:t>00</w:t>
            </w:r>
            <w:r>
              <w:rPr>
                <w:rFonts w:hint="eastAsia" w:ascii="宋体" w:eastAsia="宋体"/>
                <w:spacing w:val="-1"/>
                <w:szCs w:val="21"/>
              </w:rPr>
              <w:t>分</w:t>
            </w:r>
          </w:p>
        </w:tc>
      </w:tr>
    </w:tbl>
    <w:p w14:paraId="3B519C2B">
      <w:pPr>
        <w:adjustRightInd w:val="0"/>
        <w:snapToGrid w:val="0"/>
        <w:spacing w:line="400" w:lineRule="exact"/>
        <w:ind w:firstLine="211" w:firstLineChars="100"/>
        <w:jc w:val="left"/>
        <w:rPr>
          <w:rFonts w:ascii="宋体" w:hAnsi="宋体" w:cs="宋体"/>
          <w:b/>
          <w:szCs w:val="21"/>
        </w:rPr>
      </w:pPr>
      <w:r>
        <w:rPr>
          <w:rFonts w:ascii="宋体" w:hAnsi="宋体" w:cs="宋体"/>
          <w:b/>
          <w:szCs w:val="21"/>
        </w:rPr>
        <w:t>4. 解除权及代履行：</w:t>
      </w:r>
      <w:r>
        <w:rPr>
          <w:rFonts w:ascii="宋体" w:hAnsi="宋体" w:cs="宋体"/>
          <w:b/>
          <w:szCs w:val="21"/>
        </w:rPr>
        <w:br w:type="textWrapping"/>
      </w:r>
      <w:r>
        <w:rPr>
          <w:rFonts w:ascii="宋体" w:hAnsi="宋体" w:cs="宋体"/>
          <w:b/>
          <w:szCs w:val="21"/>
        </w:rPr>
        <w:t>（1）发生下列情形之一的，甲方有权单方立即解除合同，并不予退还任何未结款项（如有），乙方还应赔偿由此给甲方造成的全部损失：</w:t>
      </w:r>
      <w:r>
        <w:rPr>
          <w:rFonts w:ascii="宋体" w:hAnsi="宋体" w:cs="宋体"/>
          <w:b/>
          <w:szCs w:val="21"/>
        </w:rPr>
        <w:br w:type="textWrapping"/>
      </w:r>
      <w:r>
        <w:rPr>
          <w:rFonts w:ascii="宋体" w:hAnsi="宋体" w:cs="宋体"/>
          <w:b/>
          <w:szCs w:val="21"/>
        </w:rPr>
        <w:t>①乙方单月考核得分低于60分的；</w:t>
      </w:r>
      <w:r>
        <w:rPr>
          <w:rFonts w:ascii="宋体" w:hAnsi="宋体" w:cs="宋体"/>
          <w:b/>
          <w:szCs w:val="21"/>
        </w:rPr>
        <w:br w:type="textWrapping"/>
      </w:r>
      <w:r>
        <w:rPr>
          <w:rFonts w:ascii="宋体" w:hAnsi="宋体" w:cs="宋体"/>
          <w:b/>
          <w:szCs w:val="21"/>
        </w:rPr>
        <w:t>②乙方实际在岗人数连续5个工作日低于最低配置要求（30人）的；</w:t>
      </w:r>
      <w:r>
        <w:rPr>
          <w:rFonts w:ascii="宋体" w:hAnsi="宋体" w:cs="宋体"/>
          <w:b/>
          <w:szCs w:val="21"/>
        </w:rPr>
        <w:br w:type="textWrapping"/>
      </w:r>
      <w:r>
        <w:rPr>
          <w:rFonts w:ascii="宋体" w:hAnsi="宋体" w:cs="宋体"/>
          <w:b/>
          <w:szCs w:val="21"/>
        </w:rPr>
        <w:t>③乙方擅自转包、分包本项目的；</w:t>
      </w:r>
      <w:r>
        <w:rPr>
          <w:rFonts w:ascii="宋体" w:hAnsi="宋体" w:cs="宋体"/>
          <w:b/>
          <w:szCs w:val="21"/>
        </w:rPr>
        <w:br w:type="textWrapping"/>
      </w:r>
      <w:r>
        <w:rPr>
          <w:rFonts w:ascii="宋体" w:hAnsi="宋体" w:cs="宋体"/>
          <w:b/>
          <w:szCs w:val="21"/>
        </w:rPr>
        <w:t>④乙方在服务期间发生重大安全责任事故的。</w:t>
      </w:r>
      <w:r>
        <w:rPr>
          <w:rFonts w:ascii="宋体" w:hAnsi="宋体" w:cs="宋体"/>
          <w:b/>
          <w:szCs w:val="21"/>
        </w:rPr>
        <w:br w:type="textWrapping"/>
      </w:r>
      <w:r>
        <w:rPr>
          <w:rFonts w:ascii="宋体" w:hAnsi="宋体" w:cs="宋体"/>
          <w:b/>
          <w:szCs w:val="21"/>
        </w:rPr>
        <w:t>（2）若乙方服务质量严重不达标或出现上述解除情形时，为保障公园环境卫生及公共安全，甲方有权委托第三方代为履行保洁服务，由此产生的全部费用（包括但不限于第三方服务费、管理费、差价损失等）均由乙方承担，甲方有权直接从应付乙方的任何款项中扣除，不足部分甲方有权向乙方追偿。</w:t>
      </w:r>
    </w:p>
    <w:p w14:paraId="12567EC3">
      <w:pPr>
        <w:adjustRightInd w:val="0"/>
        <w:snapToGrid w:val="0"/>
        <w:spacing w:line="400" w:lineRule="exact"/>
        <w:ind w:firstLine="211" w:firstLineChars="100"/>
        <w:jc w:val="left"/>
        <w:rPr>
          <w:rFonts w:hint="eastAsia" w:ascii="宋体" w:hAnsi="宋体" w:cs="宋体"/>
          <w:b/>
          <w:szCs w:val="21"/>
        </w:rPr>
      </w:pPr>
      <w:r>
        <w:rPr>
          <w:rFonts w:hint="eastAsia" w:ascii="宋体" w:hAnsi="宋体" w:cs="宋体"/>
          <w:b/>
          <w:szCs w:val="21"/>
        </w:rPr>
        <w:t>考核办法及考核说明</w:t>
      </w:r>
    </w:p>
    <w:p w14:paraId="1B49CAF8">
      <w:pPr>
        <w:spacing w:line="400" w:lineRule="exact"/>
        <w:ind w:firstLine="420" w:firstLineChars="200"/>
        <w:rPr>
          <w:rFonts w:hint="eastAsia" w:ascii="宋体" w:hAnsi="宋体" w:cs="宋体"/>
          <w:szCs w:val="21"/>
        </w:rPr>
      </w:pPr>
      <w:r>
        <w:rPr>
          <w:rFonts w:hint="eastAsia" w:ascii="宋体" w:hAnsi="宋体" w:cs="宋体"/>
          <w:szCs w:val="21"/>
        </w:rPr>
        <w:t>成绩划分。考核成绩≥90分为优秀，85-90分为良好，80-85分为合格，低于80分为不合格。每周不定时抽查1次，每月由甲方汇总月度各次检查情况，得出考核综合得分。</w:t>
      </w:r>
    </w:p>
    <w:p w14:paraId="78FC548C">
      <w:pPr>
        <w:spacing w:line="400" w:lineRule="exact"/>
        <w:ind w:firstLine="420" w:firstLineChars="200"/>
        <w:rPr>
          <w:rFonts w:hint="eastAsia" w:ascii="宋体" w:hAnsi="宋体" w:cs="宋体"/>
          <w:szCs w:val="21"/>
        </w:rPr>
      </w:pPr>
      <w:r>
        <w:rPr>
          <w:rFonts w:hint="eastAsia" w:ascii="宋体" w:hAnsi="宋体" w:cs="宋体"/>
          <w:szCs w:val="21"/>
        </w:rPr>
        <w:t>考核与经费挂钩。凡当月综合得分≥80分，达到合格的，则全额支付上月物管费；</w:t>
      </w:r>
      <w:r>
        <w:rPr>
          <w:rFonts w:ascii="宋体" w:hAnsi="宋体" w:cs="宋体"/>
          <w:szCs w:val="21"/>
        </w:rPr>
        <w:t>当月综</w:t>
      </w:r>
      <w:r>
        <w:rPr>
          <w:rFonts w:hint="eastAsia" w:ascii="宋体" w:hAnsi="宋体" w:cs="宋体"/>
          <w:szCs w:val="21"/>
        </w:rPr>
        <w:t>合</w:t>
      </w:r>
      <w:r>
        <w:rPr>
          <w:rFonts w:ascii="宋体" w:hAnsi="宋体" w:cs="宋体"/>
          <w:szCs w:val="21"/>
        </w:rPr>
        <w:t>得分低于80分</w:t>
      </w:r>
      <w:r>
        <w:rPr>
          <w:rFonts w:hint="eastAsia" w:ascii="宋体" w:hAnsi="宋体" w:cs="宋体"/>
          <w:szCs w:val="21"/>
        </w:rPr>
        <w:t>的，成绩每降低1分，支付费用则降低1个百分点（以此类推），同时成交供应商必须进行整改；月度考核综合得分连续三个月低于70分，采购人有权解除合同。</w:t>
      </w:r>
      <w:r>
        <w:rPr>
          <w:rFonts w:ascii="宋体" w:hAnsi="宋体" w:cs="宋体"/>
          <w:szCs w:val="21"/>
        </w:rPr>
        <w:t>此外，甲方依据考核标准查实的单项违规扣款金额，将直接从当月应付费用中扣除，不与上述百分比绩效扣款重复计算或相互抵消，具体结算公式为：每月实付费用=每月应付费用×（1-绩效扣款比例）-单项违规扣款总额。</w:t>
      </w:r>
    </w:p>
    <w:p w14:paraId="03447181">
      <w:pPr>
        <w:autoSpaceDE w:val="0"/>
        <w:autoSpaceDN w:val="0"/>
        <w:adjustRightInd w:val="0"/>
        <w:spacing w:before="120" w:beforeLines="50" w:after="120" w:afterLines="50" w:line="400" w:lineRule="exact"/>
        <w:ind w:firstLine="422" w:firstLineChars="200"/>
        <w:rPr>
          <w:rFonts w:hint="eastAsia" w:ascii="宋体" w:hAnsi="宋体" w:cs="MS Mincho"/>
          <w:b/>
          <w:bCs/>
          <w:szCs w:val="21"/>
        </w:rPr>
      </w:pPr>
      <w:r>
        <w:rPr>
          <w:rFonts w:hint="eastAsia" w:ascii="宋体" w:hAnsi="宋体" w:cs="MS Mincho"/>
          <w:b/>
          <w:bCs/>
          <w:szCs w:val="21"/>
        </w:rPr>
        <w:t>五、报价要求</w:t>
      </w:r>
    </w:p>
    <w:p w14:paraId="73C3120A">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（一）投标报价内容</w:t>
      </w:r>
    </w:p>
    <w:p w14:paraId="1D9801F9">
      <w:pPr>
        <w:spacing w:line="360" w:lineRule="auto"/>
        <w:ind w:firstLine="420" w:firstLineChars="200"/>
        <w:rPr>
          <w:rFonts w:hint="eastAsia" w:ascii="宋体" w:hAnsi="宋体" w:cs="宋体"/>
          <w:szCs w:val="21"/>
        </w:rPr>
      </w:pPr>
      <w:r>
        <w:rPr>
          <w:rFonts w:hint="eastAsia" w:ascii="宋体" w:hAnsi="宋体" w:cs="宋体"/>
          <w:szCs w:val="21"/>
        </w:rPr>
        <w:t>★1.本项目投标报价包含管理人员和服务人员的工资、五险、公积金、福利、保洁工具（日常扫把簸箕、拖把、垃圾袋消耗、消毒等）、服装（保洁）、税费、合理利润等费用（工资不能低于当地最低工资标准，社会保险费按照规定执行）。</w:t>
      </w:r>
    </w:p>
    <w:p w14:paraId="6B906D12">
      <w:pPr>
        <w:spacing w:line="360" w:lineRule="auto"/>
        <w:ind w:firstLine="420" w:firstLineChars="200"/>
        <w:rPr>
          <w:rFonts w:hint="eastAsia" w:ascii="宋体" w:hAnsi="宋体" w:cs="宋体"/>
          <w:szCs w:val="21"/>
        </w:rPr>
      </w:pPr>
      <w:r>
        <w:rPr>
          <w:rFonts w:hint="eastAsia" w:ascii="宋体" w:hAnsi="宋体" w:cs="宋体"/>
          <w:szCs w:val="21"/>
        </w:rPr>
        <w:t>2.完成招标文件规定的服务工作所涉及的一切相关费用。</w:t>
      </w:r>
    </w:p>
    <w:p w14:paraId="1EB52D8C">
      <w:pPr>
        <w:widowControl/>
        <w:snapToGrid w:val="0"/>
        <w:spacing w:line="360" w:lineRule="auto"/>
        <w:ind w:firstLine="420" w:firstLineChars="200"/>
        <w:rPr>
          <w:rFonts w:hint="eastAsia" w:ascii="宋体" w:hAnsi="宋体"/>
          <w:szCs w:val="21"/>
        </w:rPr>
      </w:pPr>
      <w:r>
        <w:rPr>
          <w:rFonts w:hint="eastAsia" w:ascii="宋体" w:hAnsi="宋体" w:cs="宋体"/>
          <w:szCs w:val="21"/>
        </w:rPr>
        <w:t>★</w:t>
      </w:r>
      <w:r>
        <w:rPr>
          <w:rFonts w:hint="eastAsia" w:ascii="宋体" w:hAnsi="宋体"/>
          <w:szCs w:val="21"/>
        </w:rPr>
        <w:t>供应商应采用分项报价最终汇总的方式进行，标明拟提供服务的单价和总价，详细分析各项费用组成</w:t>
      </w:r>
      <w:r>
        <w:rPr>
          <w:rFonts w:hint="eastAsia" w:ascii="宋体" w:hAnsi="宋体"/>
          <w:b/>
          <w:bCs/>
          <w:szCs w:val="21"/>
        </w:rPr>
        <w:t>（表格自拟）</w:t>
      </w:r>
      <w:r>
        <w:rPr>
          <w:rFonts w:hint="eastAsia" w:ascii="宋体" w:hAnsi="宋体"/>
          <w:szCs w:val="21"/>
        </w:rPr>
        <w:t>；</w:t>
      </w:r>
    </w:p>
    <w:p w14:paraId="27A11DD1">
      <w:pPr>
        <w:spacing w:line="360" w:lineRule="auto"/>
        <w:ind w:firstLine="420" w:firstLineChars="200"/>
        <w:rPr>
          <w:rFonts w:hint="eastAsia" w:ascii="宋体" w:hAnsi="宋体" w:cs="宋体"/>
          <w:szCs w:val="21"/>
        </w:rPr>
      </w:pPr>
      <w:r>
        <w:rPr>
          <w:rFonts w:hint="eastAsia" w:ascii="宋体" w:hAnsi="宋体" w:cs="宋体"/>
          <w:szCs w:val="21"/>
        </w:rPr>
        <w:t>聘用人员所有人员均需按规定缴纳养老保险金、工伤保险、医疗保险金、失业保险金、生育保险等。</w:t>
      </w:r>
    </w:p>
    <w:p w14:paraId="6B01991D">
      <w:pPr>
        <w:spacing w:line="360" w:lineRule="auto"/>
        <w:ind w:firstLine="420" w:firstLineChars="200"/>
        <w:rPr>
          <w:rFonts w:hint="eastAsia" w:ascii="宋体" w:hAnsi="宋体" w:cs="宋体"/>
          <w:szCs w:val="21"/>
        </w:rPr>
      </w:pPr>
      <w:r>
        <w:rPr>
          <w:rFonts w:hint="eastAsia" w:ascii="宋体" w:hAnsi="宋体" w:cs="宋体"/>
          <w:szCs w:val="21"/>
        </w:rPr>
        <w:t>（二）成交供应商的用工要符合国家的相关规定，必须与招聘人员签订用工合同，并将合同复印件报给采购人，成交供应商派遣外包人员到招标方工作要出具介绍信或派工单，不得派遣内病退、退休人员，成交供应商要按照国家相关法律规定为招聘人员缴纳各项社会保险，每月缴纳的各项保险复印件要报给招标方；月工资收入不得低于当地政府最低工资标准。如未按照国家相关法律规定为招聘人员缴纳各项保险，发生任何经济、法律纠纷和人身损害赔偿等，由成交供应商自行解决。</w:t>
      </w:r>
    </w:p>
    <w:p w14:paraId="375BE499">
      <w:pPr>
        <w:spacing w:line="360" w:lineRule="auto"/>
        <w:ind w:firstLine="420" w:firstLineChars="200"/>
        <w:rPr>
          <w:rFonts w:hint="eastAsia" w:ascii="宋体" w:hAnsi="宋体"/>
          <w:szCs w:val="21"/>
        </w:rPr>
      </w:pPr>
      <w:r>
        <w:rPr>
          <w:rFonts w:hint="eastAsia" w:ascii="宋体" w:hAnsi="宋体" w:cs="宋体"/>
          <w:szCs w:val="21"/>
        </w:rPr>
        <w:t>因物业外包人员的责任造成业主财产损失的，由成交供应商负责赔偿。</w:t>
      </w:r>
    </w:p>
    <w:p w14:paraId="5B5D8D2F">
      <w:pPr>
        <w:widowControl/>
        <w:snapToGrid w:val="0"/>
        <w:spacing w:line="360" w:lineRule="auto"/>
        <w:ind w:firstLine="420" w:firstLineChars="200"/>
        <w:rPr>
          <w:rFonts w:ascii="Calibri" w:hAnsi="Calibri"/>
          <w:szCs w:val="21"/>
        </w:rPr>
      </w:pPr>
      <w:r>
        <w:rPr>
          <w:rFonts w:hint="eastAsia" w:ascii="宋体" w:hAnsi="宋体"/>
          <w:szCs w:val="21"/>
        </w:rPr>
        <w:t>（三）本次投标报价为总价包干制。</w:t>
      </w:r>
    </w:p>
    <w:p w14:paraId="1562D80F">
      <w:pPr>
        <w:widowControl/>
        <w:snapToGrid w:val="0"/>
        <w:spacing w:line="360" w:lineRule="auto"/>
        <w:ind w:firstLine="420" w:firstLineChars="200"/>
        <w:jc w:val="left"/>
        <w:rPr>
          <w:rFonts w:hint="eastAsia" w:ascii="宋体" w:hAnsi="宋体"/>
          <w:szCs w:val="21"/>
        </w:rPr>
      </w:pPr>
      <w:r>
        <w:rPr>
          <w:rFonts w:hint="eastAsia" w:ascii="宋体" w:hAnsi="宋体"/>
          <w:szCs w:val="21"/>
        </w:rPr>
        <w:t>★3.项目服务期间，供应商所有的工作人员的人身安全以及供应商在服务期间产生的各类安全责任事故均由承包方自行承担；供应商必须保证项目服务过程中人员及设备的安全。如因服务质量不合理、不规范，以及一切自然损坏而造成的人身伤害事故，均由供应商承担全部责任。</w:t>
      </w:r>
    </w:p>
    <w:p w14:paraId="63EB33C1">
      <w:pPr>
        <w:spacing w:line="360" w:lineRule="auto"/>
        <w:ind w:firstLine="420" w:firstLineChars="200"/>
        <w:jc w:val="left"/>
        <w:rPr>
          <w:rFonts w:hint="eastAsia" w:ascii="宋体" w:hAnsi="宋体" w:cs="宋体"/>
          <w:szCs w:val="21"/>
        </w:rPr>
      </w:pPr>
      <w:r>
        <w:rPr>
          <w:rFonts w:hint="eastAsia" w:ascii="宋体" w:hAnsi="宋体"/>
          <w:szCs w:val="21"/>
        </w:rPr>
        <w:t>★合同履行期限：</w:t>
      </w:r>
      <w:r>
        <w:rPr>
          <w:rFonts w:hint="eastAsia" w:ascii="宋体" w:hAnsi="宋体" w:cs="宋体"/>
          <w:szCs w:val="21"/>
        </w:rPr>
        <w:t>本次项目服务期限为一年，第一年服务期内月度考核平均得分达到85分及以上，且未发生过重大安全事故或被有效投诉拒不整改情形的，采购人</w:t>
      </w:r>
      <w:r>
        <w:rPr>
          <w:rFonts w:ascii="宋体" w:hAnsi="宋体" w:cs="宋体"/>
          <w:szCs w:val="21"/>
        </w:rPr>
        <w:t>有权决定</w:t>
      </w:r>
      <w:r>
        <w:rPr>
          <w:rFonts w:hint="eastAsia" w:ascii="宋体" w:hAnsi="宋体" w:cs="宋体"/>
          <w:szCs w:val="21"/>
        </w:rPr>
        <w:t>是否续签下一年度合同</w:t>
      </w:r>
      <w:r>
        <w:rPr>
          <w:rFonts w:ascii="宋体" w:hAnsi="宋体" w:cs="宋体"/>
          <w:szCs w:val="21"/>
        </w:rPr>
        <w:t>；未达到上述标准的，采购人有权不予续签且不承担任何补偿或赔偿责任。</w:t>
      </w:r>
      <w:r>
        <w:rPr>
          <w:rFonts w:hint="eastAsia" w:ascii="宋体" w:hAnsi="宋体" w:cs="宋体"/>
          <w:szCs w:val="21"/>
        </w:rPr>
        <w:t>合同一年一签，续签最多不超过两年（如因项目考核或预算调整、政府规划政策性需要取消外包等原因，甲方有权终止合同或重新采购）；</w:t>
      </w:r>
    </w:p>
    <w:p w14:paraId="21CBE580">
      <w:pPr>
        <w:widowControl/>
        <w:snapToGrid w:val="0"/>
        <w:spacing w:line="360" w:lineRule="auto"/>
        <w:ind w:firstLine="420" w:firstLineChars="200"/>
        <w:jc w:val="center"/>
        <w:rPr>
          <w:rFonts w:hint="eastAsia" w:ascii="宋体" w:hAnsi="宋体" w:cs="宋体"/>
          <w:b/>
          <w:sz w:val="36"/>
          <w:szCs w:val="36"/>
        </w:rPr>
      </w:pPr>
      <w:r>
        <w:rPr>
          <w:rFonts w:hint="eastAsia" w:ascii="宋体" w:hAnsi="宋体" w:cs="Times New Roman"/>
          <w:szCs w:val="21"/>
          <w:shd w:val="clear"/>
        </w:rPr>
        <w:t>★4.用工风险隔离及保险要求：</w:t>
      </w:r>
      <w:r>
        <w:rPr>
          <w:rFonts w:hint="eastAsia" w:ascii="宋体" w:hAnsi="宋体" w:cs="Times New Roman"/>
          <w:szCs w:val="21"/>
        </w:rPr>
        <w:br w:type="textWrapping"/>
      </w:r>
      <w:r>
        <w:rPr>
          <w:rFonts w:hint="eastAsia" w:ascii="宋体" w:hAnsi="宋体" w:cs="Times New Roman"/>
          <w:szCs w:val="21"/>
          <w:shd w:val="clear"/>
        </w:rPr>
        <w:t>（1）乙方与其聘用人员之间产生的任何劳动纠纷、工伤事故、人身损害赔偿及其他法律责任，均由乙方独立负责处理并承担全部法律和经济责任，与甲方无关。若因乙方原因导致甲方被行政处罚、卷入诉讼仲裁或需先行垫付相关费用的，甲方有权全额向乙方追偿，并可直接从应付乙方的任何款项中等额扣除，不足部分乙方应在收到甲方通知后3日内补足。</w:t>
      </w:r>
      <w:r>
        <w:rPr>
          <w:rFonts w:hint="eastAsia" w:ascii="宋体" w:hAnsi="宋体" w:cs="Times New Roman"/>
          <w:szCs w:val="21"/>
        </w:rPr>
        <w:br w:type="textWrapping"/>
      </w:r>
      <w:r>
        <w:rPr>
          <w:rFonts w:hint="eastAsia" w:ascii="宋体" w:hAnsi="宋体" w:cs="Times New Roman"/>
          <w:szCs w:val="21"/>
          <w:shd w:val="clear"/>
        </w:rPr>
        <w:t>（2）乙方必须为其所有服务人员购买雇主责任险或人身意外伤害保险，单人保额不低于人民币100万元。乙方须在进场服务前将保单复印件报甲方备案，未按要求投保的，甲方有权拒绝乙方人员进场并要求乙方限期整改，由此产生的损失由乙方承担。</w:t>
      </w:r>
      <w:r>
        <w:rPr>
          <w:rFonts w:hint="eastAsia" w:ascii="宋体" w:hAnsi="宋体" w:cs="宋体"/>
          <w:b/>
          <w:sz w:val="44"/>
          <w:szCs w:val="44"/>
        </w:rPr>
        <w:br w:type="page"/>
      </w:r>
      <w:bookmarkStart w:id="187" w:name="_Toc265"/>
      <w:r>
        <w:rPr>
          <w:rFonts w:hint="eastAsia" w:ascii="宋体" w:hAnsi="宋体" w:cs="宋体"/>
          <w:b/>
          <w:sz w:val="44"/>
          <w:szCs w:val="44"/>
        </w:rPr>
        <w:t>第五章 评审方法和评审标准</w:t>
      </w:r>
      <w:bookmarkEnd w:id="183"/>
      <w:bookmarkEnd w:id="187"/>
    </w:p>
    <w:p w14:paraId="2630270F">
      <w:pPr>
        <w:spacing w:line="360" w:lineRule="auto"/>
        <w:jc w:val="left"/>
        <w:rPr>
          <w:rFonts w:hint="eastAsia" w:ascii="宋体" w:hAnsi="宋体" w:cs="宋体"/>
          <w:b/>
          <w:bCs/>
          <w:szCs w:val="21"/>
        </w:rPr>
      </w:pPr>
      <w:r>
        <w:rPr>
          <w:rFonts w:hint="eastAsia" w:ascii="宋体" w:hAnsi="宋体" w:cs="宋体"/>
          <w:b/>
          <w:bCs/>
          <w:szCs w:val="21"/>
        </w:rPr>
        <w:t>一、</w:t>
      </w:r>
      <w:r>
        <w:rPr>
          <w:rFonts w:hint="eastAsia" w:ascii="宋体" w:hAnsi="宋体" w:cs="宋体"/>
          <w:b/>
          <w:szCs w:val="21"/>
        </w:rPr>
        <w:t>磋商小组：</w:t>
      </w:r>
    </w:p>
    <w:p w14:paraId="20572FD6">
      <w:pPr>
        <w:spacing w:line="360" w:lineRule="auto"/>
        <w:ind w:firstLine="480"/>
        <w:jc w:val="left"/>
        <w:rPr>
          <w:rFonts w:hint="eastAsia" w:ascii="宋体" w:hAnsi="宋体" w:cs="宋体"/>
          <w:bCs/>
          <w:szCs w:val="21"/>
        </w:rPr>
      </w:pPr>
      <w:r>
        <w:rPr>
          <w:rFonts w:hint="eastAsia" w:ascii="宋体" w:hAnsi="宋体" w:cs="宋体"/>
          <w:bCs/>
          <w:szCs w:val="21"/>
        </w:rPr>
        <w:t>本采购项目磋商小组由采购人代表和评审专家组成。</w:t>
      </w:r>
    </w:p>
    <w:p w14:paraId="4BD2DFDC">
      <w:pPr>
        <w:spacing w:line="360" w:lineRule="auto"/>
        <w:jc w:val="left"/>
        <w:rPr>
          <w:rFonts w:hint="eastAsia" w:ascii="宋体" w:hAnsi="宋体" w:cs="宋体"/>
          <w:b/>
          <w:bCs/>
          <w:szCs w:val="21"/>
        </w:rPr>
      </w:pPr>
      <w:r>
        <w:rPr>
          <w:rFonts w:hint="eastAsia" w:ascii="宋体" w:hAnsi="宋体" w:cs="宋体"/>
          <w:b/>
          <w:bCs/>
          <w:szCs w:val="21"/>
        </w:rPr>
        <w:t>二</w:t>
      </w:r>
      <w:r>
        <w:rPr>
          <w:rFonts w:hint="eastAsia" w:ascii="宋体" w:hAnsi="宋体" w:cs="宋体"/>
          <w:b/>
          <w:szCs w:val="21"/>
        </w:rPr>
        <w:t>、评审方法：</w:t>
      </w:r>
      <w:r>
        <w:rPr>
          <w:rFonts w:hint="eastAsia" w:ascii="宋体" w:hAnsi="宋体" w:cs="宋体"/>
          <w:b/>
          <w:bCs/>
          <w:szCs w:val="21"/>
        </w:rPr>
        <w:t xml:space="preserve"> </w:t>
      </w:r>
    </w:p>
    <w:p w14:paraId="73E2E0D2">
      <w:pPr>
        <w:spacing w:line="360" w:lineRule="auto"/>
        <w:ind w:firstLine="480"/>
        <w:jc w:val="left"/>
        <w:rPr>
          <w:rFonts w:hint="eastAsia" w:ascii="宋体" w:hAnsi="宋体" w:cs="宋体"/>
          <w:szCs w:val="21"/>
        </w:rPr>
      </w:pPr>
      <w:r>
        <w:rPr>
          <w:rFonts w:hint="eastAsia" w:ascii="宋体" w:hAnsi="宋体" w:cs="宋体"/>
          <w:szCs w:val="21"/>
        </w:rPr>
        <w:t>经磋商确定最终采购需求和确定提交最后报价的供应商后，由磋商小组采用综合评分法对提交最后报价的供应商的响应文件和最后报价进行综合评分。</w:t>
      </w:r>
    </w:p>
    <w:p w14:paraId="61D7D9B0">
      <w:pPr>
        <w:spacing w:line="360" w:lineRule="auto"/>
        <w:ind w:firstLine="480"/>
        <w:jc w:val="left"/>
        <w:rPr>
          <w:rFonts w:hint="eastAsia" w:ascii="宋体" w:hAnsi="宋体" w:cs="宋体"/>
          <w:szCs w:val="21"/>
        </w:rPr>
      </w:pPr>
      <w:r>
        <w:rPr>
          <w:rFonts w:hint="eastAsia" w:ascii="宋体" w:hAnsi="宋体" w:cs="宋体"/>
          <w:szCs w:val="21"/>
        </w:rPr>
        <w:t>综合评分法，是指响应文件满足磋商文件全部实质性要求且按评审因素的量化指标评审得分最高的供应商为成交候选供应商的评审方法。评审过程中，不得去掉报价中的最高报价和最低报价。</w:t>
      </w:r>
    </w:p>
    <w:p w14:paraId="30C72974">
      <w:pPr>
        <w:spacing w:line="360" w:lineRule="auto"/>
        <w:jc w:val="left"/>
        <w:rPr>
          <w:rFonts w:hint="eastAsia" w:ascii="宋体" w:hAnsi="宋体" w:cs="宋体"/>
          <w:b/>
          <w:bCs/>
          <w:szCs w:val="21"/>
        </w:rPr>
      </w:pPr>
      <w:r>
        <w:rPr>
          <w:rFonts w:hint="eastAsia" w:ascii="宋体" w:hAnsi="宋体" w:cs="宋体"/>
          <w:b/>
          <w:bCs/>
          <w:szCs w:val="21"/>
        </w:rPr>
        <w:t>三、</w:t>
      </w:r>
      <w:r>
        <w:rPr>
          <w:rFonts w:hint="eastAsia" w:ascii="宋体" w:hAnsi="宋体" w:cs="宋体"/>
          <w:b/>
          <w:szCs w:val="21"/>
        </w:rPr>
        <w:t>评审</w:t>
      </w:r>
      <w:r>
        <w:rPr>
          <w:rFonts w:hint="eastAsia" w:ascii="宋体" w:hAnsi="宋体" w:cs="宋体"/>
          <w:b/>
          <w:bCs/>
          <w:szCs w:val="21"/>
        </w:rPr>
        <w:t>原则：</w:t>
      </w:r>
    </w:p>
    <w:p w14:paraId="638E0BEC">
      <w:pPr>
        <w:spacing w:line="360" w:lineRule="auto"/>
        <w:ind w:firstLine="480"/>
        <w:jc w:val="left"/>
        <w:rPr>
          <w:rFonts w:hint="eastAsia" w:ascii="宋体" w:hAnsi="宋体" w:cs="宋体"/>
          <w:bCs/>
          <w:szCs w:val="21"/>
        </w:rPr>
      </w:pPr>
      <w:r>
        <w:rPr>
          <w:rFonts w:hint="eastAsia" w:ascii="宋体" w:hAnsi="宋体" w:cs="宋体"/>
          <w:szCs w:val="21"/>
        </w:rPr>
        <w:t>磋商小组</w:t>
      </w:r>
      <w:r>
        <w:rPr>
          <w:rFonts w:hint="eastAsia" w:ascii="宋体" w:hAnsi="宋体" w:cs="宋体"/>
          <w:bCs/>
          <w:szCs w:val="21"/>
        </w:rPr>
        <w:t>必须客观、公正、审慎，不带任何倾向性和启发性；不得向外界透露任何与评审有关的内容；任何单位和个人不得干扰、影响评审的正常进行；磋商小组及有关工作人员不得私下与供应商接触。</w:t>
      </w:r>
    </w:p>
    <w:p w14:paraId="5B6C5332">
      <w:pPr>
        <w:spacing w:line="360" w:lineRule="auto"/>
        <w:jc w:val="left"/>
        <w:rPr>
          <w:rFonts w:hint="eastAsia" w:ascii="宋体" w:hAnsi="宋体" w:cs="宋体"/>
          <w:b/>
          <w:bCs/>
          <w:szCs w:val="21"/>
        </w:rPr>
      </w:pPr>
      <w:r>
        <w:rPr>
          <w:rFonts w:hint="eastAsia" w:ascii="宋体" w:hAnsi="宋体" w:cs="宋体"/>
          <w:b/>
          <w:bCs/>
          <w:szCs w:val="21"/>
        </w:rPr>
        <w:t>四、评审标准：</w:t>
      </w:r>
    </w:p>
    <w:p w14:paraId="65C085AB">
      <w:pPr>
        <w:spacing w:line="360" w:lineRule="auto"/>
        <w:jc w:val="left"/>
        <w:rPr>
          <w:rFonts w:hint="eastAsia" w:ascii="宋体" w:hAnsi="宋体" w:cs="宋体"/>
          <w:bCs/>
          <w:szCs w:val="21"/>
        </w:rPr>
      </w:pPr>
      <w:r>
        <w:rPr>
          <w:rFonts w:hint="eastAsia" w:ascii="宋体" w:hAnsi="宋体" w:cs="宋体"/>
          <w:bCs/>
          <w:szCs w:val="21"/>
        </w:rPr>
        <w:t>（一）评审时，磋商小组以磋商文件为评审依据，磋商小组各成员独立对每个有效响应的文件进行评价、打分，然后汇总每个供应商每项评审因素的得分。</w:t>
      </w:r>
    </w:p>
    <w:p w14:paraId="25D4EF8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cs="宋体"/>
          <w:bCs/>
          <w:szCs w:val="21"/>
        </w:rPr>
      </w:pPr>
      <w:r>
        <w:rPr>
          <w:rFonts w:hint="eastAsia" w:ascii="宋体" w:hAnsi="宋体" w:cs="宋体"/>
          <w:bCs/>
          <w:szCs w:val="21"/>
        </w:rPr>
        <w:t>（二）本项目评分总分为100分，按四舍五入取至小数点后两位，总得分=价格分+商务技术分。</w:t>
      </w:r>
    </w:p>
    <w:p w14:paraId="79CA27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cs="宋体"/>
          <w:sz w:val="24"/>
          <w:szCs w:val="24"/>
        </w:rPr>
      </w:pPr>
      <w:r>
        <w:rPr>
          <w:rFonts w:hint="eastAsia" w:ascii="宋体" w:hAnsi="宋体" w:cs="宋体"/>
          <w:sz w:val="24"/>
          <w:szCs w:val="24"/>
        </w:rPr>
        <w:t>五、成交标准：</w:t>
      </w:r>
    </w:p>
    <w:p w14:paraId="59D6A859">
      <w:pPr>
        <w:spacing w:line="360" w:lineRule="auto"/>
        <w:jc w:val="left"/>
        <w:rPr>
          <w:rFonts w:hint="eastAsia" w:ascii="宋体" w:hAnsi="宋体" w:cs="宋体"/>
          <w:sz w:val="24"/>
          <w:szCs w:val="24"/>
        </w:rPr>
      </w:pPr>
      <w:r>
        <w:rPr>
          <w:rFonts w:hint="eastAsia" w:ascii="宋体" w:hAnsi="宋体" w:cs="宋体"/>
          <w:sz w:val="24"/>
          <w:szCs w:val="24"/>
        </w:rPr>
        <w:t>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p>
    <w:tbl>
      <w:tblPr>
        <w:tblStyle w:val="12"/>
        <w:tblW w:w="10017"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0"/>
        <w:gridCol w:w="1080"/>
        <w:gridCol w:w="8027"/>
      </w:tblGrid>
      <w:tr w14:paraId="590A5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6" w:hRule="atLeast"/>
          <w:tblHeader/>
        </w:trPr>
        <w:tc>
          <w:tcPr>
            <w:tcW w:w="1990" w:type="dxa"/>
            <w:gridSpan w:val="2"/>
          </w:tcPr>
          <w:p w14:paraId="20F522BF">
            <w:pPr>
              <w:autoSpaceDE w:val="0"/>
              <w:autoSpaceDN w:val="0"/>
              <w:adjustRightInd w:val="0"/>
              <w:spacing w:before="135" w:line="380" w:lineRule="exact"/>
              <w:jc w:val="center"/>
              <w:rPr>
                <w:rFonts w:hint="eastAsia" w:ascii="宋体" w:hAnsi="宋体" w:cs="宋体"/>
                <w:b/>
                <w:szCs w:val="21"/>
              </w:rPr>
            </w:pPr>
            <w:r>
              <w:rPr>
                <w:rFonts w:hint="eastAsia" w:ascii="宋体" w:hAnsi="宋体" w:cs="宋体"/>
                <w:b/>
                <w:szCs w:val="21"/>
              </w:rPr>
              <w:t>评审因素</w:t>
            </w:r>
          </w:p>
        </w:tc>
        <w:tc>
          <w:tcPr>
            <w:tcW w:w="8027" w:type="dxa"/>
          </w:tcPr>
          <w:p w14:paraId="7742CEF4">
            <w:pPr>
              <w:autoSpaceDE w:val="0"/>
              <w:autoSpaceDN w:val="0"/>
              <w:adjustRightInd w:val="0"/>
              <w:spacing w:before="135" w:line="380" w:lineRule="exact"/>
              <w:ind w:right="3423"/>
              <w:jc w:val="center"/>
              <w:rPr>
                <w:rFonts w:hint="eastAsia" w:ascii="宋体" w:hAnsi="宋体" w:cs="宋体"/>
                <w:b/>
                <w:szCs w:val="21"/>
              </w:rPr>
            </w:pPr>
            <w:r>
              <w:rPr>
                <w:rFonts w:hint="eastAsia" w:ascii="宋体" w:hAnsi="宋体" w:cs="宋体"/>
                <w:b/>
                <w:szCs w:val="21"/>
              </w:rPr>
              <w:t xml:space="preserve">                             评审标准</w:t>
            </w:r>
          </w:p>
        </w:tc>
      </w:tr>
      <w:tr w14:paraId="094B8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4" w:hRule="atLeast"/>
        </w:trPr>
        <w:tc>
          <w:tcPr>
            <w:tcW w:w="1990" w:type="dxa"/>
            <w:gridSpan w:val="2"/>
            <w:vAlign w:val="center"/>
          </w:tcPr>
          <w:p w14:paraId="7BD6A3B7">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价格部分（1</w:t>
            </w:r>
            <w:r>
              <w:rPr>
                <w:rFonts w:hint="eastAsia" w:ascii="宋体" w:hAnsi="宋体" w:cs="宋体"/>
                <w:szCs w:val="21"/>
                <w:lang w:val="en-US" w:eastAsia="zh-CN"/>
              </w:rPr>
              <w:t>5</w:t>
            </w:r>
            <w:r>
              <w:rPr>
                <w:rFonts w:hint="eastAsia" w:ascii="宋体" w:hAnsi="宋体" w:cs="宋体"/>
                <w:szCs w:val="21"/>
              </w:rPr>
              <w:t>分）</w:t>
            </w:r>
          </w:p>
        </w:tc>
        <w:tc>
          <w:tcPr>
            <w:tcW w:w="8027" w:type="dxa"/>
          </w:tcPr>
          <w:p w14:paraId="0FFEEC1D">
            <w:pPr>
              <w:autoSpaceDE w:val="0"/>
              <w:autoSpaceDN w:val="0"/>
              <w:adjustRightInd w:val="0"/>
              <w:spacing w:line="360" w:lineRule="exact"/>
              <w:ind w:firstLine="420" w:firstLineChars="200"/>
              <w:jc w:val="left"/>
              <w:rPr>
                <w:rFonts w:hint="eastAsia" w:ascii="宋体" w:hAnsi="宋体" w:cs="宋体"/>
                <w:szCs w:val="21"/>
              </w:rPr>
            </w:pPr>
            <w:r>
              <w:rPr>
                <w:rFonts w:hint="eastAsia" w:ascii="宋体" w:hAnsi="宋体" w:cs="宋体"/>
                <w:szCs w:val="21"/>
              </w:rPr>
              <w:t>采用低价优先法计算，即满足磋商文件要求且最后报价最低的供应商的价格为磋商基准价，其价格分为满分。其他供应商的价格分统一按照下列公式计算：</w:t>
            </w:r>
          </w:p>
          <w:p w14:paraId="6D6DFE75">
            <w:pPr>
              <w:autoSpaceDE w:val="0"/>
              <w:autoSpaceDN w:val="0"/>
              <w:adjustRightInd w:val="0"/>
              <w:spacing w:line="360" w:lineRule="exact"/>
              <w:ind w:firstLine="420" w:firstLineChars="200"/>
              <w:jc w:val="left"/>
              <w:rPr>
                <w:rFonts w:hint="eastAsia" w:ascii="宋体" w:hAnsi="宋体" w:cs="宋体"/>
                <w:szCs w:val="21"/>
              </w:rPr>
            </w:pPr>
            <w:r>
              <w:rPr>
                <w:rFonts w:hint="eastAsia" w:ascii="宋体" w:hAnsi="宋体" w:cs="宋体"/>
                <w:szCs w:val="21"/>
              </w:rPr>
              <w:t>磋商报价得分=（磋商基准价／最后磋商报价）×1</w:t>
            </w:r>
            <w:r>
              <w:rPr>
                <w:rFonts w:hint="eastAsia" w:ascii="宋体" w:hAnsi="宋体" w:cs="宋体"/>
                <w:szCs w:val="21"/>
                <w:lang w:val="en-US" w:eastAsia="zh-CN"/>
              </w:rPr>
              <w:t>5</w:t>
            </w:r>
            <w:r>
              <w:rPr>
                <w:rFonts w:hint="eastAsia" w:ascii="宋体" w:hAnsi="宋体" w:cs="宋体"/>
                <w:szCs w:val="21"/>
              </w:rPr>
              <w:t>分</w:t>
            </w:r>
          </w:p>
        </w:tc>
      </w:tr>
      <w:tr w14:paraId="1CAD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0" w:hRule="atLeast"/>
        </w:trPr>
        <w:tc>
          <w:tcPr>
            <w:tcW w:w="910" w:type="dxa"/>
            <w:vMerge w:val="restart"/>
            <w:tcBorders>
              <w:right w:val="single" w:color="auto" w:sz="4" w:space="0"/>
            </w:tcBorders>
            <w:vAlign w:val="center"/>
          </w:tcPr>
          <w:p w14:paraId="311FB759">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商务部分（3</w:t>
            </w:r>
            <w:r>
              <w:rPr>
                <w:rFonts w:hint="eastAsia" w:ascii="宋体" w:hAnsi="宋体" w:cs="宋体"/>
                <w:szCs w:val="21"/>
                <w:lang w:val="en-US" w:eastAsia="zh-CN"/>
              </w:rPr>
              <w:t>0</w:t>
            </w:r>
            <w:r>
              <w:rPr>
                <w:rFonts w:hint="eastAsia" w:ascii="宋体" w:hAnsi="宋体" w:cs="宋体"/>
                <w:szCs w:val="21"/>
              </w:rPr>
              <w:t>分）</w:t>
            </w:r>
          </w:p>
        </w:tc>
        <w:tc>
          <w:tcPr>
            <w:tcW w:w="1080" w:type="dxa"/>
            <w:tcBorders>
              <w:left w:val="single" w:color="auto" w:sz="4" w:space="0"/>
            </w:tcBorders>
            <w:vAlign w:val="center"/>
          </w:tcPr>
          <w:p w14:paraId="28C99358">
            <w:pPr>
              <w:spacing w:line="400" w:lineRule="exact"/>
              <w:jc w:val="center"/>
              <w:rPr>
                <w:rFonts w:ascii="宋体"/>
                <w:szCs w:val="21"/>
              </w:rPr>
            </w:pPr>
            <w:r>
              <w:rPr>
                <w:rFonts w:hint="eastAsia" w:ascii="宋体"/>
                <w:szCs w:val="21"/>
              </w:rPr>
              <w:t>认证体系</w:t>
            </w:r>
          </w:p>
          <w:p w14:paraId="582671C8">
            <w:pPr>
              <w:spacing w:line="400" w:lineRule="exact"/>
              <w:jc w:val="center"/>
              <w:rPr>
                <w:rFonts w:ascii="宋体"/>
                <w:szCs w:val="21"/>
              </w:rPr>
            </w:pPr>
            <w:r>
              <w:rPr>
                <w:rFonts w:hint="eastAsia" w:ascii="宋体"/>
                <w:szCs w:val="21"/>
              </w:rPr>
              <w:t>（</w:t>
            </w:r>
            <w:r>
              <w:rPr>
                <w:rFonts w:hint="eastAsia" w:ascii="宋体"/>
                <w:szCs w:val="21"/>
                <w:lang w:val="en-US" w:eastAsia="zh-CN"/>
              </w:rPr>
              <w:t>3</w:t>
            </w:r>
            <w:r>
              <w:rPr>
                <w:rFonts w:hint="eastAsia" w:ascii="宋体"/>
                <w:szCs w:val="21"/>
              </w:rPr>
              <w:t>分）</w:t>
            </w:r>
          </w:p>
        </w:tc>
        <w:tc>
          <w:tcPr>
            <w:tcW w:w="8027" w:type="dxa"/>
            <w:vAlign w:val="center"/>
          </w:tcPr>
          <w:p w14:paraId="55E7E530">
            <w:pPr>
              <w:spacing w:line="400" w:lineRule="exact"/>
              <w:rPr>
                <w:rFonts w:ascii="宋体"/>
                <w:bCs/>
                <w:szCs w:val="21"/>
              </w:rPr>
            </w:pPr>
            <w:r>
              <w:rPr>
                <w:rFonts w:hint="eastAsia" w:ascii="宋体"/>
                <w:szCs w:val="21"/>
              </w:rPr>
              <w:t>1</w:t>
            </w:r>
            <w:r>
              <w:rPr>
                <w:rFonts w:ascii="宋体"/>
                <w:szCs w:val="21"/>
              </w:rPr>
              <w:t>.</w:t>
            </w:r>
            <w:r>
              <w:rPr>
                <w:rFonts w:hint="eastAsia" w:ascii="宋体"/>
                <w:szCs w:val="21"/>
              </w:rPr>
              <w:t>供应商通过质量管理体系认证的</w:t>
            </w:r>
            <w:r>
              <w:rPr>
                <w:rFonts w:hint="eastAsia" w:ascii="宋体"/>
                <w:bCs/>
                <w:szCs w:val="21"/>
              </w:rPr>
              <w:t>得</w:t>
            </w:r>
            <w:r>
              <w:rPr>
                <w:rFonts w:hint="eastAsia" w:ascii="宋体"/>
                <w:bCs/>
                <w:szCs w:val="21"/>
                <w:lang w:val="en-US" w:eastAsia="zh-CN"/>
              </w:rPr>
              <w:t>1</w:t>
            </w:r>
            <w:r>
              <w:rPr>
                <w:rFonts w:hint="eastAsia" w:ascii="宋体"/>
                <w:bCs/>
                <w:szCs w:val="21"/>
              </w:rPr>
              <w:t>分。</w:t>
            </w:r>
          </w:p>
          <w:p w14:paraId="3C5052FB">
            <w:pPr>
              <w:spacing w:line="400" w:lineRule="exact"/>
              <w:rPr>
                <w:rFonts w:ascii="宋体"/>
                <w:bCs/>
                <w:szCs w:val="21"/>
              </w:rPr>
            </w:pPr>
            <w:r>
              <w:rPr>
                <w:rFonts w:hint="eastAsia" w:ascii="宋体"/>
                <w:bCs/>
                <w:szCs w:val="21"/>
              </w:rPr>
              <w:t>2</w:t>
            </w:r>
            <w:r>
              <w:rPr>
                <w:rFonts w:ascii="宋体"/>
                <w:bCs/>
                <w:szCs w:val="21"/>
              </w:rPr>
              <w:t>.</w:t>
            </w:r>
            <w:r>
              <w:rPr>
                <w:rFonts w:hint="eastAsia" w:ascii="宋体"/>
                <w:bCs/>
                <w:szCs w:val="21"/>
              </w:rPr>
              <w:t>供应商通过职业健康安全管理体系认证的得</w:t>
            </w:r>
            <w:r>
              <w:rPr>
                <w:rFonts w:hint="eastAsia" w:ascii="宋体"/>
                <w:bCs/>
                <w:szCs w:val="21"/>
                <w:lang w:val="en-US" w:eastAsia="zh-CN"/>
              </w:rPr>
              <w:t>1</w:t>
            </w:r>
            <w:r>
              <w:rPr>
                <w:rFonts w:hint="eastAsia" w:ascii="宋体"/>
                <w:bCs/>
                <w:szCs w:val="21"/>
              </w:rPr>
              <w:t>分。</w:t>
            </w:r>
          </w:p>
          <w:p w14:paraId="7AC53142">
            <w:pPr>
              <w:spacing w:line="400" w:lineRule="exact"/>
              <w:rPr>
                <w:rFonts w:ascii="宋体"/>
                <w:bCs/>
                <w:szCs w:val="21"/>
              </w:rPr>
            </w:pPr>
            <w:r>
              <w:rPr>
                <w:rFonts w:hint="eastAsia" w:ascii="宋体"/>
                <w:bCs/>
                <w:szCs w:val="21"/>
              </w:rPr>
              <w:t>3</w:t>
            </w:r>
            <w:r>
              <w:rPr>
                <w:rFonts w:ascii="宋体"/>
                <w:bCs/>
                <w:szCs w:val="21"/>
              </w:rPr>
              <w:t>.</w:t>
            </w:r>
            <w:r>
              <w:rPr>
                <w:rFonts w:hint="eastAsia" w:ascii="宋体"/>
                <w:bCs/>
                <w:szCs w:val="21"/>
              </w:rPr>
              <w:t>供应商通过</w:t>
            </w:r>
            <w:r>
              <w:rPr>
                <w:rFonts w:hint="eastAsia" w:ascii="宋体" w:hAnsi="宋体" w:cs="宋体"/>
                <w:bCs/>
                <w:szCs w:val="21"/>
              </w:rPr>
              <w:t>环境管理体系认证</w:t>
            </w:r>
            <w:r>
              <w:rPr>
                <w:rFonts w:hint="eastAsia" w:ascii="宋体"/>
                <w:bCs/>
                <w:szCs w:val="21"/>
              </w:rPr>
              <w:t>的得</w:t>
            </w:r>
            <w:r>
              <w:rPr>
                <w:rFonts w:hint="eastAsia" w:ascii="宋体"/>
                <w:bCs/>
                <w:szCs w:val="21"/>
                <w:lang w:val="en-US" w:eastAsia="zh-CN"/>
              </w:rPr>
              <w:t>1</w:t>
            </w:r>
            <w:r>
              <w:rPr>
                <w:rFonts w:hint="eastAsia" w:ascii="宋体"/>
                <w:bCs/>
                <w:szCs w:val="21"/>
              </w:rPr>
              <w:t>分。</w:t>
            </w:r>
          </w:p>
          <w:p w14:paraId="4EA4A07E">
            <w:pPr>
              <w:spacing w:line="400" w:lineRule="exact"/>
              <w:rPr>
                <w:rFonts w:ascii="宋体"/>
                <w:b/>
                <w:szCs w:val="21"/>
              </w:rPr>
            </w:pPr>
            <w:r>
              <w:rPr>
                <w:rFonts w:hint="eastAsia" w:ascii="宋体"/>
                <w:b/>
                <w:szCs w:val="21"/>
              </w:rPr>
              <w:t>注：以上每提供一个的</w:t>
            </w:r>
            <w:r>
              <w:rPr>
                <w:rFonts w:hint="eastAsia" w:ascii="宋体"/>
                <w:b/>
                <w:szCs w:val="21"/>
                <w:lang w:val="en-US" w:eastAsia="zh-CN"/>
              </w:rPr>
              <w:t>1</w:t>
            </w:r>
            <w:r>
              <w:rPr>
                <w:rFonts w:hint="eastAsia" w:ascii="宋体"/>
                <w:b/>
                <w:szCs w:val="21"/>
              </w:rPr>
              <w:t>分，满分</w:t>
            </w:r>
            <w:r>
              <w:rPr>
                <w:rFonts w:hint="eastAsia" w:ascii="宋体"/>
                <w:b/>
                <w:szCs w:val="21"/>
                <w:lang w:val="en-US" w:eastAsia="zh-CN"/>
              </w:rPr>
              <w:t>3</w:t>
            </w:r>
            <w:r>
              <w:rPr>
                <w:rFonts w:hint="eastAsia" w:ascii="宋体"/>
                <w:b/>
                <w:szCs w:val="21"/>
              </w:rPr>
              <w:t>分；提供有效期内证书原件的扫描件上传。</w:t>
            </w:r>
          </w:p>
        </w:tc>
      </w:tr>
      <w:tr w14:paraId="33B1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910" w:type="dxa"/>
            <w:vMerge w:val="continue"/>
            <w:tcBorders>
              <w:right w:val="single" w:color="auto" w:sz="4" w:space="0"/>
            </w:tcBorders>
            <w:vAlign w:val="center"/>
          </w:tcPr>
          <w:p w14:paraId="52D4FE78">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50331763">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荣誉</w:t>
            </w:r>
          </w:p>
          <w:p w14:paraId="531509FB">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（10分）</w:t>
            </w:r>
          </w:p>
        </w:tc>
        <w:tc>
          <w:tcPr>
            <w:tcW w:w="8027" w:type="dxa"/>
          </w:tcPr>
          <w:p w14:paraId="2B05F1F3">
            <w:pPr>
              <w:spacing w:line="400" w:lineRule="exact"/>
              <w:rPr>
                <w:rFonts w:ascii="宋体"/>
                <w:szCs w:val="21"/>
              </w:rPr>
            </w:pPr>
            <w:r>
              <w:rPr>
                <w:rFonts w:hint="eastAsia" w:ascii="宋体"/>
                <w:szCs w:val="21"/>
              </w:rPr>
              <w:t>1</w:t>
            </w:r>
            <w:r>
              <w:rPr>
                <w:rFonts w:ascii="宋体"/>
                <w:szCs w:val="21"/>
              </w:rPr>
              <w:t>.</w:t>
            </w:r>
            <w:r>
              <w:rPr>
                <w:rFonts w:hint="eastAsia" w:ascii="宋体"/>
                <w:szCs w:val="21"/>
              </w:rPr>
              <w:t>投标人自2023年以来提供具有公共物业（居住物业除外）管理服务业绩物业服务甲方评价优秀/满意（附评价表）的每提供一个得2分，满分10分。</w:t>
            </w:r>
          </w:p>
          <w:p w14:paraId="5189EF64">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注：投标文件中提供证明材料原件的扫描件上传在电子投标文件中，否则不得分。</w:t>
            </w:r>
          </w:p>
        </w:tc>
      </w:tr>
      <w:tr w14:paraId="6B1D6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10" w:type="dxa"/>
            <w:vMerge w:val="continue"/>
            <w:tcBorders>
              <w:right w:val="single" w:color="auto" w:sz="4" w:space="0"/>
            </w:tcBorders>
          </w:tcPr>
          <w:p w14:paraId="45683D9E">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4B109E8E">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企业业绩</w:t>
            </w:r>
          </w:p>
          <w:p w14:paraId="579F845A">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（1</w:t>
            </w:r>
            <w:r>
              <w:rPr>
                <w:rFonts w:ascii="宋体" w:hAnsi="宋体" w:cs="宋体"/>
                <w:szCs w:val="21"/>
              </w:rPr>
              <w:t>0</w:t>
            </w:r>
            <w:r>
              <w:rPr>
                <w:rFonts w:hint="eastAsia" w:ascii="宋体" w:hAnsi="宋体" w:cs="宋体"/>
                <w:szCs w:val="21"/>
              </w:rPr>
              <w:t>分）</w:t>
            </w:r>
          </w:p>
        </w:tc>
        <w:tc>
          <w:tcPr>
            <w:tcW w:w="8027" w:type="dxa"/>
          </w:tcPr>
          <w:p w14:paraId="515B4EB2">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202</w:t>
            </w:r>
            <w:r>
              <w:rPr>
                <w:rFonts w:hint="eastAsia" w:ascii="宋体" w:hAnsi="宋体" w:cs="宋体"/>
                <w:szCs w:val="21"/>
                <w:lang w:val="en-US" w:eastAsia="zh-CN"/>
              </w:rPr>
              <w:t>3</w:t>
            </w:r>
            <w:r>
              <w:rPr>
                <w:rFonts w:hint="eastAsia" w:ascii="宋体" w:hAnsi="宋体" w:cs="宋体"/>
                <w:szCs w:val="21"/>
              </w:rPr>
              <w:t>年至今投标人具有公共物业（居住物业除外）管理服务业绩，每提供一个得2分，满分10分。</w:t>
            </w:r>
          </w:p>
          <w:p w14:paraId="1DA55793">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注：投标文件中提供合同原件的扫描件上传在电子投标文件中，服务内容以合同签订时间为准，否则不得分。</w:t>
            </w:r>
          </w:p>
        </w:tc>
      </w:tr>
      <w:tr w14:paraId="4234A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910" w:type="dxa"/>
            <w:vMerge w:val="continue"/>
            <w:tcBorders>
              <w:right w:val="single" w:color="auto" w:sz="4" w:space="0"/>
            </w:tcBorders>
          </w:tcPr>
          <w:p w14:paraId="61B6306A">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256C3BA2">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项目经理</w:t>
            </w:r>
          </w:p>
          <w:p w14:paraId="4438899F">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分）</w:t>
            </w:r>
          </w:p>
        </w:tc>
        <w:tc>
          <w:tcPr>
            <w:tcW w:w="8027" w:type="dxa"/>
          </w:tcPr>
          <w:p w14:paraId="48047573">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拟派项目经理：</w:t>
            </w:r>
          </w:p>
          <w:p w14:paraId="0B47F1A3">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1.具有</w:t>
            </w:r>
            <w:r>
              <w:rPr>
                <w:rFonts w:hint="eastAsia" w:ascii="宋体" w:hAnsi="宋体" w:eastAsia="宋体" w:cs="宋体"/>
                <w:sz w:val="21"/>
                <w:szCs w:val="21"/>
              </w:rPr>
              <w:t>全国物业行业项目经理证书或全国物业管理企业经理证书或物业管理师三级（高级）及以上技能等级证书</w:t>
            </w:r>
            <w:r>
              <w:rPr>
                <w:rFonts w:hint="eastAsia" w:ascii="宋体" w:hAnsi="宋体" w:cs="宋体"/>
                <w:szCs w:val="21"/>
              </w:rPr>
              <w:t>的得</w:t>
            </w:r>
            <w:r>
              <w:rPr>
                <w:rFonts w:hint="eastAsia" w:ascii="宋体" w:hAnsi="宋体" w:cs="宋体"/>
                <w:szCs w:val="21"/>
                <w:lang w:val="en-US" w:eastAsia="zh-CN"/>
              </w:rPr>
              <w:t>4</w:t>
            </w:r>
            <w:r>
              <w:rPr>
                <w:rFonts w:hint="eastAsia" w:ascii="宋体" w:hAnsi="宋体" w:cs="宋体"/>
                <w:szCs w:val="21"/>
              </w:rPr>
              <w:t>分；</w:t>
            </w:r>
          </w:p>
          <w:p w14:paraId="620DB063">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注：提供相关证书原件的扫描件及近一个月供应商为其缴纳社保证明材料扫描件并加盖公章扫描上传在电子投标文件中，否则不得分。</w:t>
            </w:r>
          </w:p>
        </w:tc>
      </w:tr>
      <w:tr w14:paraId="7428D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910" w:type="dxa"/>
            <w:vMerge w:val="continue"/>
            <w:tcBorders>
              <w:right w:val="single" w:color="auto" w:sz="4" w:space="0"/>
            </w:tcBorders>
          </w:tcPr>
          <w:p w14:paraId="79C37DE8">
            <w:pPr>
              <w:autoSpaceDE w:val="0"/>
              <w:autoSpaceDN w:val="0"/>
              <w:adjustRightInd w:val="0"/>
              <w:spacing w:line="360" w:lineRule="exact"/>
              <w:rPr>
                <w:rFonts w:hint="eastAsia" w:ascii="宋体" w:hAnsi="宋体" w:cs="宋体"/>
                <w:szCs w:val="21"/>
              </w:rPr>
            </w:pPr>
          </w:p>
        </w:tc>
        <w:tc>
          <w:tcPr>
            <w:tcW w:w="1080" w:type="dxa"/>
            <w:tcBorders>
              <w:left w:val="single" w:color="auto" w:sz="4" w:space="0"/>
            </w:tcBorders>
            <w:vAlign w:val="center"/>
          </w:tcPr>
          <w:p w14:paraId="5BC22F5B">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项目组成员（3分）</w:t>
            </w:r>
          </w:p>
        </w:tc>
        <w:tc>
          <w:tcPr>
            <w:tcW w:w="8027" w:type="dxa"/>
          </w:tcPr>
          <w:p w14:paraId="675274B8">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拟派人员中提供消防设施操作员证书的得3分；</w:t>
            </w:r>
          </w:p>
          <w:p w14:paraId="5D432680">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注：提供相关证书原件的扫描件及近一个月供应商为其缴纳社保证明材料扫描件并加盖公章扫描上传在电子投标文件中，否则不得分。</w:t>
            </w:r>
          </w:p>
        </w:tc>
      </w:tr>
      <w:tr w14:paraId="47936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0" w:hRule="atLeast"/>
        </w:trPr>
        <w:tc>
          <w:tcPr>
            <w:tcW w:w="910" w:type="dxa"/>
            <w:vMerge w:val="restart"/>
            <w:tcBorders>
              <w:right w:val="single" w:color="auto" w:sz="4" w:space="0"/>
            </w:tcBorders>
            <w:vAlign w:val="center"/>
          </w:tcPr>
          <w:p w14:paraId="5D5D5D28">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技术部分（</w:t>
            </w:r>
            <w:r>
              <w:rPr>
                <w:rFonts w:ascii="宋体" w:hAnsi="宋体" w:cs="宋体"/>
                <w:szCs w:val="21"/>
              </w:rPr>
              <w:t>5</w:t>
            </w:r>
            <w:r>
              <w:rPr>
                <w:rFonts w:hint="eastAsia" w:ascii="宋体" w:hAnsi="宋体" w:cs="宋体"/>
                <w:szCs w:val="21"/>
                <w:lang w:val="en-US" w:eastAsia="zh-CN"/>
              </w:rPr>
              <w:t>5</w:t>
            </w:r>
            <w:r>
              <w:rPr>
                <w:rFonts w:hint="eastAsia" w:ascii="宋体" w:hAnsi="宋体" w:cs="宋体"/>
                <w:szCs w:val="21"/>
              </w:rPr>
              <w:t>分）</w:t>
            </w:r>
          </w:p>
        </w:tc>
        <w:tc>
          <w:tcPr>
            <w:tcW w:w="1080" w:type="dxa"/>
            <w:tcBorders>
              <w:left w:val="single" w:color="auto" w:sz="4" w:space="0"/>
            </w:tcBorders>
            <w:vAlign w:val="center"/>
          </w:tcPr>
          <w:p w14:paraId="61CBA976">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整体设想及策划方案</w:t>
            </w:r>
          </w:p>
          <w:p w14:paraId="5D30FD37">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9</w:t>
            </w:r>
            <w:r>
              <w:rPr>
                <w:rFonts w:hint="eastAsia" w:ascii="宋体" w:hAnsi="宋体" w:cs="宋体"/>
                <w:szCs w:val="21"/>
              </w:rPr>
              <w:t>分）</w:t>
            </w:r>
          </w:p>
        </w:tc>
        <w:tc>
          <w:tcPr>
            <w:tcW w:w="8027" w:type="dxa"/>
          </w:tcPr>
          <w:p w14:paraId="1E7D9FF7">
            <w:pPr>
              <w:autoSpaceDE w:val="0"/>
              <w:autoSpaceDN w:val="0"/>
              <w:adjustRightInd w:val="0"/>
              <w:spacing w:line="360" w:lineRule="exact"/>
              <w:jc w:val="left"/>
              <w:rPr>
                <w:rFonts w:hint="eastAsia" w:ascii="宋体" w:hAnsi="宋体" w:cs="宋体"/>
                <w:b w:val="0"/>
                <w:bCs w:val="0"/>
                <w:color w:val="auto"/>
                <w:szCs w:val="21"/>
              </w:rPr>
            </w:pPr>
            <w:r>
              <w:rPr>
                <w:rFonts w:hint="eastAsia" w:ascii="宋体" w:hAnsi="宋体" w:cs="宋体"/>
                <w:b w:val="0"/>
                <w:bCs w:val="0"/>
                <w:color w:val="auto"/>
                <w:szCs w:val="21"/>
                <w:lang w:eastAsia="zh-CN"/>
              </w:rPr>
              <w:t>供应商</w:t>
            </w:r>
            <w:r>
              <w:rPr>
                <w:rFonts w:hint="eastAsia" w:ascii="宋体" w:hAnsi="宋体" w:cs="宋体"/>
                <w:b w:val="0"/>
                <w:bCs w:val="0"/>
                <w:color w:val="auto"/>
                <w:szCs w:val="21"/>
              </w:rPr>
              <w:t>提供项目的整体设想及策划方案。内容包含但不限于对项目总体理解、定位、针对性，重难点分析及合理化建议等。</w:t>
            </w:r>
          </w:p>
          <w:p w14:paraId="68880E1B">
            <w:pPr>
              <w:autoSpaceDE w:val="0"/>
              <w:autoSpaceDN w:val="0"/>
              <w:adjustRightInd w:val="0"/>
              <w:spacing w:line="360" w:lineRule="exact"/>
              <w:jc w:val="lef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理解认识深刻、阐述详细合理、实施方案可行性强的得9分；</w:t>
            </w:r>
          </w:p>
          <w:p w14:paraId="4A2FEDFD">
            <w:pPr>
              <w:autoSpaceDE w:val="0"/>
              <w:autoSpaceDN w:val="0"/>
              <w:adjustRightInd w:val="0"/>
              <w:spacing w:line="360" w:lineRule="exact"/>
              <w:jc w:val="lef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理解认识较深刻、阐述较详细合理、实施方案可行性较强的得7分；</w:t>
            </w:r>
          </w:p>
          <w:p w14:paraId="566983F6">
            <w:pPr>
              <w:autoSpaceDE w:val="0"/>
              <w:autoSpaceDN w:val="0"/>
              <w:adjustRightInd w:val="0"/>
              <w:spacing w:line="360" w:lineRule="exact"/>
              <w:jc w:val="lef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理解认识不深刻、阐述合理性一般、实施方案可行性一般的得5分；</w:t>
            </w:r>
          </w:p>
          <w:p w14:paraId="22EF0B5B">
            <w:r>
              <w:rPr>
                <w:rFonts w:hint="eastAsia" w:ascii="宋体" w:hAnsi="宋体" w:cs="宋体"/>
                <w:b w:val="0"/>
                <w:bCs w:val="0"/>
                <w:color w:val="auto"/>
                <w:szCs w:val="21"/>
              </w:rPr>
              <w:t>未见阐述不得分。</w:t>
            </w:r>
          </w:p>
          <w:p w14:paraId="19F1F340">
            <w:pPr>
              <w:autoSpaceDE w:val="0"/>
              <w:autoSpaceDN w:val="0"/>
              <w:adjustRightInd w:val="0"/>
              <w:spacing w:line="360" w:lineRule="exact"/>
              <w:jc w:val="left"/>
              <w:rPr>
                <w:rFonts w:hint="eastAsia" w:ascii="宋体" w:hAnsi="宋体" w:cs="宋体"/>
                <w:szCs w:val="21"/>
              </w:rPr>
            </w:pPr>
          </w:p>
        </w:tc>
      </w:tr>
      <w:tr w14:paraId="7710D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9" w:hRule="atLeast"/>
        </w:trPr>
        <w:tc>
          <w:tcPr>
            <w:tcW w:w="910" w:type="dxa"/>
            <w:vMerge w:val="continue"/>
            <w:tcBorders>
              <w:right w:val="single" w:color="auto" w:sz="4" w:space="0"/>
            </w:tcBorders>
          </w:tcPr>
          <w:p w14:paraId="7E082F1D">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1B046BD1">
            <w:pPr>
              <w:widowControl/>
              <w:jc w:val="center"/>
              <w:rPr>
                <w:rFonts w:hint="eastAsia" w:ascii="宋体" w:hAnsi="宋体" w:cs="宋体"/>
                <w:spacing w:val="-5"/>
                <w:szCs w:val="21"/>
              </w:rPr>
            </w:pPr>
            <w:r>
              <w:rPr>
                <w:rFonts w:hint="eastAsia" w:ascii="宋体" w:hAnsi="宋体" w:cs="宋体"/>
                <w:color w:val="000000"/>
                <w:szCs w:val="21"/>
                <w:lang w:bidi="ar"/>
              </w:rPr>
              <w:t>日常管理及规章制度方案（</w:t>
            </w:r>
            <w:r>
              <w:rPr>
                <w:rFonts w:hint="eastAsia" w:ascii="宋体" w:hAnsi="宋体" w:cs="宋体"/>
                <w:color w:val="000000"/>
                <w:szCs w:val="21"/>
                <w:lang w:val="en-US" w:eastAsia="zh-CN" w:bidi="ar"/>
              </w:rPr>
              <w:t>9</w:t>
            </w:r>
            <w:r>
              <w:rPr>
                <w:rFonts w:hint="eastAsia" w:ascii="宋体" w:hAnsi="宋体" w:cs="宋体"/>
                <w:color w:val="000000"/>
                <w:szCs w:val="21"/>
                <w:lang w:bidi="ar"/>
              </w:rPr>
              <w:t>分）</w:t>
            </w:r>
          </w:p>
        </w:tc>
        <w:tc>
          <w:tcPr>
            <w:tcW w:w="8027" w:type="dxa"/>
          </w:tcPr>
          <w:p w14:paraId="6F087229">
            <w:pPr>
              <w:autoSpaceDE w:val="0"/>
              <w:autoSpaceDN w:val="0"/>
              <w:adjustRightInd w:val="0"/>
              <w:spacing w:line="360" w:lineRule="exact"/>
              <w:jc w:val="left"/>
              <w:rPr>
                <w:rFonts w:hint="eastAsia" w:ascii="宋体" w:hAnsi="宋体" w:cs="宋体"/>
                <w:szCs w:val="21"/>
              </w:rPr>
            </w:pPr>
            <w:r>
              <w:rPr>
                <w:rFonts w:hint="eastAsia" w:ascii="宋体" w:hAnsi="宋体" w:cs="宋体"/>
                <w:spacing w:val="-10"/>
                <w:szCs w:val="21"/>
              </w:rPr>
              <w:t>投标人制定管理规章制度及</w:t>
            </w:r>
            <w:r>
              <w:rPr>
                <w:rFonts w:hint="eastAsia" w:ascii="宋体" w:hAnsi="宋体" w:cs="宋体"/>
                <w:spacing w:val="-9"/>
                <w:szCs w:val="21"/>
              </w:rPr>
              <w:t>日常管理</w:t>
            </w:r>
            <w:r>
              <w:rPr>
                <w:rFonts w:hint="eastAsia" w:ascii="宋体" w:hAnsi="宋体" w:cs="宋体"/>
                <w:spacing w:val="-10"/>
                <w:szCs w:val="21"/>
              </w:rPr>
              <w:t>。内容包含但不限于对项目制定的组织架构及部门</w:t>
            </w:r>
            <w:r>
              <w:rPr>
                <w:rFonts w:hint="eastAsia" w:ascii="宋体" w:hAnsi="宋体" w:cs="宋体"/>
                <w:szCs w:val="21"/>
              </w:rPr>
              <w:t>岗位职责、工作流程、规章制度、</w:t>
            </w:r>
            <w:r>
              <w:rPr>
                <w:rFonts w:hint="eastAsia" w:ascii="宋体" w:hAnsi="宋体" w:cs="宋体"/>
                <w:spacing w:val="-9"/>
                <w:szCs w:val="21"/>
              </w:rPr>
              <w:t>保洁服务、安全防范维修管理</w:t>
            </w:r>
            <w:r>
              <w:rPr>
                <w:rFonts w:hint="eastAsia" w:ascii="宋体" w:hAnsi="宋体" w:cs="宋体"/>
                <w:szCs w:val="21"/>
              </w:rPr>
              <w:t>等。</w:t>
            </w:r>
          </w:p>
          <w:p w14:paraId="1F5562B8">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方案全面具体，科学合理、可行性、可操作性强</w:t>
            </w:r>
            <w:r>
              <w:rPr>
                <w:rFonts w:hint="eastAsia" w:ascii="宋体" w:hAnsi="宋体" w:cs="宋体"/>
                <w:spacing w:val="-1"/>
                <w:szCs w:val="21"/>
                <w:lang w:val="en-US" w:eastAsia="zh-CN"/>
              </w:rPr>
              <w:t>的</w:t>
            </w:r>
            <w:r>
              <w:rPr>
                <w:rFonts w:hint="eastAsia" w:ascii="宋体" w:hAnsi="宋体" w:cs="宋体"/>
                <w:b w:val="0"/>
                <w:bCs w:val="0"/>
                <w:color w:val="auto"/>
                <w:szCs w:val="21"/>
                <w:lang w:val="en-US" w:eastAsia="zh-CN"/>
              </w:rPr>
              <w:t>得</w:t>
            </w:r>
            <w:r>
              <w:rPr>
                <w:rFonts w:hint="eastAsia" w:ascii="宋体" w:hAnsi="宋体" w:cs="宋体"/>
                <w:spacing w:val="-1"/>
                <w:szCs w:val="21"/>
                <w:lang w:val="en-US" w:eastAsia="zh-CN"/>
              </w:rPr>
              <w:t>9</w:t>
            </w:r>
            <w:r>
              <w:rPr>
                <w:rFonts w:hint="eastAsia" w:ascii="宋体" w:hAnsi="宋体" w:cs="宋体"/>
                <w:spacing w:val="-1"/>
                <w:szCs w:val="21"/>
              </w:rPr>
              <w:t>分；</w:t>
            </w:r>
          </w:p>
          <w:p w14:paraId="362603BD">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方案计划具体，较科学合理、可行性、可操作性较强</w:t>
            </w:r>
            <w:r>
              <w:rPr>
                <w:rFonts w:hint="eastAsia" w:ascii="宋体" w:hAnsi="宋体" w:cs="宋体"/>
                <w:spacing w:val="-1"/>
                <w:szCs w:val="21"/>
                <w:lang w:val="en-US" w:eastAsia="zh-CN"/>
              </w:rPr>
              <w:t>的</w:t>
            </w:r>
            <w:r>
              <w:rPr>
                <w:rFonts w:hint="eastAsia" w:ascii="宋体" w:hAnsi="宋体" w:cs="宋体"/>
                <w:b w:val="0"/>
                <w:bCs w:val="0"/>
                <w:color w:val="auto"/>
                <w:szCs w:val="21"/>
                <w:lang w:val="en-US" w:eastAsia="zh-CN"/>
              </w:rPr>
              <w:t>得</w:t>
            </w:r>
            <w:r>
              <w:rPr>
                <w:rFonts w:hint="eastAsia" w:ascii="宋体" w:hAnsi="宋体" w:cs="宋体"/>
                <w:spacing w:val="-1"/>
                <w:szCs w:val="21"/>
                <w:lang w:val="en-US" w:eastAsia="zh-CN"/>
              </w:rPr>
              <w:t>7</w:t>
            </w:r>
            <w:r>
              <w:rPr>
                <w:rFonts w:hint="eastAsia" w:ascii="宋体" w:hAnsi="宋体" w:cs="宋体"/>
                <w:spacing w:val="-1"/>
                <w:szCs w:val="21"/>
              </w:rPr>
              <w:t>分；</w:t>
            </w:r>
          </w:p>
          <w:p w14:paraId="673E46DC">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方案计划内容合理，可行性，可操作性一般</w:t>
            </w:r>
            <w:r>
              <w:rPr>
                <w:rFonts w:hint="eastAsia" w:ascii="宋体" w:hAnsi="宋体" w:cs="宋体"/>
                <w:spacing w:val="-1"/>
                <w:szCs w:val="21"/>
                <w:lang w:val="en-US" w:eastAsia="zh-CN"/>
              </w:rPr>
              <w:t>的</w:t>
            </w:r>
            <w:r>
              <w:rPr>
                <w:rFonts w:hint="eastAsia" w:ascii="宋体" w:hAnsi="宋体" w:cs="宋体"/>
                <w:b w:val="0"/>
                <w:bCs w:val="0"/>
                <w:color w:val="auto"/>
                <w:szCs w:val="21"/>
                <w:lang w:val="en-US" w:eastAsia="zh-CN"/>
              </w:rPr>
              <w:t>得</w:t>
            </w:r>
            <w:r>
              <w:rPr>
                <w:rFonts w:hint="eastAsia" w:ascii="宋体" w:hAnsi="宋体" w:cs="宋体"/>
                <w:spacing w:val="-1"/>
                <w:szCs w:val="21"/>
                <w:lang w:val="en-US" w:eastAsia="zh-CN"/>
              </w:rPr>
              <w:t>5</w:t>
            </w:r>
            <w:r>
              <w:rPr>
                <w:rFonts w:hint="eastAsia" w:ascii="宋体" w:hAnsi="宋体" w:cs="宋体"/>
                <w:spacing w:val="-1"/>
                <w:szCs w:val="21"/>
              </w:rPr>
              <w:t>分；</w:t>
            </w:r>
          </w:p>
          <w:p w14:paraId="6CFD74E6">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未见阐述不得分。</w:t>
            </w:r>
          </w:p>
        </w:tc>
      </w:tr>
      <w:tr w14:paraId="08589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10" w:type="dxa"/>
            <w:vMerge w:val="continue"/>
            <w:tcBorders>
              <w:right w:val="single" w:color="auto" w:sz="4" w:space="0"/>
            </w:tcBorders>
          </w:tcPr>
          <w:p w14:paraId="5D1C03D5">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74741D75">
            <w:pPr>
              <w:widowControl/>
              <w:jc w:val="center"/>
              <w:rPr>
                <w:rFonts w:hint="eastAsia" w:ascii="宋体" w:hAnsi="宋体" w:cs="宋体"/>
                <w:color w:val="000000"/>
                <w:szCs w:val="21"/>
                <w:lang w:bidi="ar"/>
              </w:rPr>
            </w:pPr>
            <w:r>
              <w:rPr>
                <w:rFonts w:hint="eastAsia" w:ascii="宋体" w:hAnsi="宋体" w:cs="宋体"/>
                <w:color w:val="000000"/>
                <w:szCs w:val="21"/>
                <w:lang w:bidi="ar"/>
              </w:rPr>
              <w:t>重点、难点分析</w:t>
            </w:r>
          </w:p>
          <w:p w14:paraId="4F0F7DF3">
            <w:pPr>
              <w:widowControl/>
              <w:jc w:val="center"/>
              <w:rPr>
                <w:rFonts w:hint="eastAsia" w:ascii="宋体" w:hAnsi="宋体" w:cs="宋体"/>
                <w:color w:val="000000"/>
                <w:szCs w:val="21"/>
                <w:lang w:bidi="ar"/>
              </w:rPr>
            </w:pPr>
            <w:r>
              <w:rPr>
                <w:rFonts w:hint="eastAsia" w:ascii="宋体" w:hAnsi="宋体" w:cs="宋体"/>
                <w:color w:val="000000"/>
                <w:szCs w:val="21"/>
                <w:lang w:bidi="ar"/>
              </w:rPr>
              <w:t>（</w:t>
            </w:r>
            <w:r>
              <w:rPr>
                <w:rFonts w:hint="eastAsia" w:ascii="宋体" w:hAnsi="宋体" w:cs="宋体"/>
                <w:color w:val="000000"/>
                <w:szCs w:val="21"/>
                <w:lang w:val="en-US" w:eastAsia="zh-CN" w:bidi="ar"/>
              </w:rPr>
              <w:t>8</w:t>
            </w:r>
            <w:r>
              <w:rPr>
                <w:rFonts w:hint="eastAsia" w:ascii="宋体" w:hAnsi="宋体" w:cs="宋体"/>
                <w:color w:val="000000"/>
                <w:szCs w:val="21"/>
                <w:lang w:bidi="ar"/>
              </w:rPr>
              <w:t>分）</w:t>
            </w:r>
          </w:p>
          <w:p w14:paraId="1CB021E7">
            <w:pPr>
              <w:widowControl/>
              <w:jc w:val="center"/>
              <w:rPr>
                <w:rFonts w:hint="eastAsia" w:ascii="宋体" w:hAnsi="宋体" w:cs="宋体"/>
                <w:spacing w:val="-5"/>
                <w:szCs w:val="21"/>
              </w:rPr>
            </w:pPr>
          </w:p>
        </w:tc>
        <w:tc>
          <w:tcPr>
            <w:tcW w:w="8027" w:type="dxa"/>
          </w:tcPr>
          <w:p w14:paraId="4578CA0D">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供应商根据本项目提供重点、难点分析方案，内容包括但不限于组织实施方案、项目实施过程中的关键点、重点、难点以及相应的控制措施、解决思路、方法等：</w:t>
            </w:r>
          </w:p>
          <w:p w14:paraId="3079BC31">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完善的实施方案、重难点把握到位、分析透彻、对应措施和解决方案切实可行的得</w:t>
            </w:r>
            <w:r>
              <w:rPr>
                <w:rFonts w:hint="eastAsia" w:ascii="宋体" w:hAnsi="宋体" w:cs="宋体"/>
                <w:spacing w:val="-1"/>
                <w:szCs w:val="21"/>
                <w:lang w:val="en-US" w:eastAsia="zh-CN"/>
              </w:rPr>
              <w:t>8</w:t>
            </w:r>
            <w:r>
              <w:rPr>
                <w:rFonts w:hint="eastAsia" w:ascii="宋体" w:hAnsi="宋体" w:cs="宋体"/>
                <w:spacing w:val="-1"/>
                <w:szCs w:val="21"/>
              </w:rPr>
              <w:t>分；</w:t>
            </w:r>
          </w:p>
          <w:p w14:paraId="62AAB50B">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较完善的实施方案、重难点把握较到位、分析较透彻、对应措施解决方案较切实可行的得</w:t>
            </w:r>
            <w:r>
              <w:rPr>
                <w:rFonts w:hint="eastAsia" w:ascii="宋体" w:hAnsi="宋体" w:cs="宋体"/>
                <w:spacing w:val="-1"/>
                <w:szCs w:val="21"/>
                <w:lang w:val="en-US" w:eastAsia="zh-CN"/>
              </w:rPr>
              <w:t>6</w:t>
            </w:r>
            <w:r>
              <w:rPr>
                <w:rFonts w:hint="eastAsia" w:ascii="宋体" w:hAnsi="宋体" w:cs="宋体"/>
                <w:spacing w:val="-1"/>
                <w:szCs w:val="21"/>
              </w:rPr>
              <w:t>分；</w:t>
            </w:r>
          </w:p>
          <w:p w14:paraId="168ACEA3">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方案内容简单、重难点把握不到位、对应措施解决方案切实可行一般的得</w:t>
            </w:r>
            <w:r>
              <w:rPr>
                <w:rFonts w:hint="eastAsia" w:ascii="宋体" w:hAnsi="宋体" w:cs="宋体"/>
                <w:spacing w:val="-1"/>
                <w:szCs w:val="21"/>
                <w:lang w:val="en-US" w:eastAsia="zh-CN"/>
              </w:rPr>
              <w:t>4</w:t>
            </w:r>
            <w:r>
              <w:rPr>
                <w:rFonts w:hint="eastAsia" w:ascii="宋体" w:hAnsi="宋体" w:cs="宋体"/>
                <w:spacing w:val="-1"/>
                <w:szCs w:val="21"/>
              </w:rPr>
              <w:t>分；</w:t>
            </w:r>
          </w:p>
          <w:p w14:paraId="24CB59DF">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该项未见阐述不得分。</w:t>
            </w:r>
          </w:p>
        </w:tc>
      </w:tr>
      <w:tr w14:paraId="00A62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910" w:type="dxa"/>
            <w:vMerge w:val="continue"/>
            <w:tcBorders>
              <w:right w:val="single" w:color="auto" w:sz="4" w:space="0"/>
            </w:tcBorders>
          </w:tcPr>
          <w:p w14:paraId="4A1C1FD9">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33FEAA37">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培训计划、安全文明作业（</w:t>
            </w:r>
            <w:r>
              <w:rPr>
                <w:rFonts w:hint="eastAsia" w:ascii="宋体" w:hAnsi="宋体" w:cs="宋体"/>
                <w:szCs w:val="21"/>
                <w:lang w:val="en-US" w:eastAsia="zh-CN"/>
              </w:rPr>
              <w:t>6</w:t>
            </w:r>
            <w:r>
              <w:rPr>
                <w:rFonts w:hint="eastAsia" w:ascii="宋体" w:hAnsi="宋体" w:cs="宋体"/>
                <w:szCs w:val="21"/>
              </w:rPr>
              <w:t>分）</w:t>
            </w:r>
          </w:p>
        </w:tc>
        <w:tc>
          <w:tcPr>
            <w:tcW w:w="8027" w:type="dxa"/>
          </w:tcPr>
          <w:p w14:paraId="1F65391F">
            <w:pPr>
              <w:autoSpaceDE w:val="0"/>
              <w:autoSpaceDN w:val="0"/>
              <w:adjustRightInd w:val="0"/>
              <w:spacing w:line="360" w:lineRule="exact"/>
              <w:jc w:val="left"/>
              <w:rPr>
                <w:rFonts w:hint="eastAsia" w:ascii="宋体" w:hAnsi="宋体" w:cs="宋体"/>
                <w:szCs w:val="21"/>
              </w:rPr>
            </w:pPr>
            <w:r>
              <w:rPr>
                <w:rFonts w:hint="eastAsia" w:ascii="宋体" w:hAnsi="宋体" w:cs="宋体"/>
                <w:spacing w:val="-10"/>
                <w:szCs w:val="21"/>
              </w:rPr>
              <w:t>投标人提供培训计划、安全文明作业措施。内容包括但不限于各岗位人员的</w:t>
            </w:r>
            <w:r>
              <w:rPr>
                <w:rFonts w:hint="eastAsia" w:ascii="宋体" w:hAnsi="宋体" w:cs="宋体"/>
                <w:szCs w:val="21"/>
              </w:rPr>
              <w:t>培训计划、方式、目标及言行规范、仪容仪表、公众形象、技术能力等。</w:t>
            </w:r>
          </w:p>
          <w:p w14:paraId="706BCDA1">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color w:val="000000"/>
                <w:szCs w:val="21"/>
                <w:lang w:bidi="ar"/>
              </w:rPr>
              <w:t>内容详细、分析到位、</w:t>
            </w:r>
            <w:r>
              <w:rPr>
                <w:rFonts w:hint="eastAsia" w:ascii="宋体" w:hAnsi="宋体" w:cs="宋体"/>
                <w:spacing w:val="-1"/>
                <w:szCs w:val="21"/>
              </w:rPr>
              <w:t>科学合理、内容详细：</w:t>
            </w:r>
            <w:r>
              <w:rPr>
                <w:rFonts w:hint="eastAsia" w:ascii="宋体" w:hAnsi="宋体" w:cs="宋体"/>
                <w:spacing w:val="-1"/>
                <w:szCs w:val="21"/>
                <w:lang w:val="en-US" w:eastAsia="zh-CN"/>
              </w:rPr>
              <w:t>6</w:t>
            </w:r>
            <w:r>
              <w:rPr>
                <w:rFonts w:hint="eastAsia" w:ascii="宋体" w:hAnsi="宋体" w:cs="宋体"/>
                <w:spacing w:val="-1"/>
                <w:szCs w:val="21"/>
              </w:rPr>
              <w:t>分；</w:t>
            </w:r>
          </w:p>
          <w:p w14:paraId="56F18FBF">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内容较详细、较为合理、内容基本详细：</w:t>
            </w:r>
            <w:r>
              <w:rPr>
                <w:rFonts w:hint="eastAsia" w:ascii="宋体" w:hAnsi="宋体" w:cs="宋体"/>
                <w:spacing w:val="-1"/>
                <w:szCs w:val="21"/>
                <w:lang w:val="en-US" w:eastAsia="zh-CN"/>
              </w:rPr>
              <w:t>4</w:t>
            </w:r>
            <w:r>
              <w:rPr>
                <w:rFonts w:hint="eastAsia" w:ascii="宋体" w:hAnsi="宋体" w:cs="宋体"/>
                <w:spacing w:val="-1"/>
                <w:szCs w:val="21"/>
              </w:rPr>
              <w:t>分；</w:t>
            </w:r>
          </w:p>
          <w:p w14:paraId="7CC38E49">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内容简单、基本合理、内容空洞：</w:t>
            </w:r>
            <w:r>
              <w:rPr>
                <w:rFonts w:hint="eastAsia" w:ascii="宋体" w:hAnsi="宋体" w:cs="宋体"/>
                <w:spacing w:val="-1"/>
                <w:szCs w:val="21"/>
                <w:lang w:val="en-US" w:eastAsia="zh-CN"/>
              </w:rPr>
              <w:t>2</w:t>
            </w:r>
            <w:r>
              <w:rPr>
                <w:rFonts w:hint="eastAsia" w:ascii="宋体" w:hAnsi="宋体" w:cs="宋体"/>
                <w:spacing w:val="-1"/>
                <w:szCs w:val="21"/>
              </w:rPr>
              <w:t>分；</w:t>
            </w:r>
          </w:p>
          <w:p w14:paraId="37AC411B">
            <w:pPr>
              <w:autoSpaceDE w:val="0"/>
              <w:autoSpaceDN w:val="0"/>
              <w:adjustRightInd w:val="0"/>
              <w:spacing w:line="360" w:lineRule="exact"/>
              <w:jc w:val="left"/>
              <w:rPr>
                <w:rFonts w:hint="eastAsia" w:ascii="宋体" w:hAnsi="宋体" w:cs="宋体"/>
                <w:szCs w:val="21"/>
              </w:rPr>
            </w:pPr>
            <w:r>
              <w:rPr>
                <w:rFonts w:hint="eastAsia" w:ascii="宋体" w:hAnsi="宋体" w:cs="宋体"/>
                <w:szCs w:val="21"/>
              </w:rPr>
              <w:t>未见阐述不得分。</w:t>
            </w:r>
          </w:p>
        </w:tc>
      </w:tr>
      <w:tr w14:paraId="3BBD2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910" w:type="dxa"/>
            <w:vMerge w:val="continue"/>
            <w:tcBorders>
              <w:right w:val="single" w:color="auto" w:sz="4" w:space="0"/>
            </w:tcBorders>
          </w:tcPr>
          <w:p w14:paraId="2D85C609">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605E97D8">
            <w:pPr>
              <w:widowControl/>
              <w:autoSpaceDE/>
              <w:autoSpaceDN/>
              <w:adjustRightInd/>
              <w:spacing w:line="240" w:lineRule="auto"/>
              <w:jc w:val="center"/>
              <w:rPr>
                <w:rFonts w:hint="eastAsia" w:ascii="宋体" w:hAnsi="宋体" w:cs="宋体"/>
                <w:szCs w:val="21"/>
              </w:rPr>
            </w:pPr>
            <w:r>
              <w:rPr>
                <w:rFonts w:hint="eastAsia" w:ascii="宋体" w:hAnsi="宋体" w:eastAsia="宋体" w:cs="宋体"/>
                <w:b w:val="0"/>
                <w:bCs w:val="0"/>
                <w:color w:val="000000"/>
                <w:sz w:val="21"/>
                <w:szCs w:val="21"/>
                <w:lang w:bidi="ar"/>
              </w:rPr>
              <w:t>人员及劳资风险防控方案</w:t>
            </w:r>
            <w:r>
              <w:rPr>
                <w:rFonts w:hint="eastAsia" w:ascii="宋体" w:hAnsi="宋体" w:cs="宋体"/>
                <w:color w:val="000000"/>
                <w:szCs w:val="21"/>
                <w:lang w:bidi="ar"/>
              </w:rPr>
              <w:t>（6分）</w:t>
            </w:r>
          </w:p>
        </w:tc>
        <w:tc>
          <w:tcPr>
            <w:tcW w:w="8027" w:type="dxa"/>
          </w:tcPr>
          <w:p w14:paraId="6DAABDE9">
            <w:pPr>
              <w:autoSpaceDE w:val="0"/>
              <w:autoSpaceDN w:val="0"/>
              <w:adjustRightInd w:val="0"/>
              <w:spacing w:line="360" w:lineRule="exact"/>
              <w:jc w:val="left"/>
              <w:rPr>
                <w:rFonts w:hint="eastAsia" w:ascii="宋体" w:hAnsi="宋体" w:eastAsia="宋体" w:cs="宋体"/>
                <w:color w:val="auto"/>
                <w:spacing w:val="-1"/>
                <w:sz w:val="21"/>
                <w:szCs w:val="21"/>
                <w:lang w:bidi="ar"/>
              </w:rPr>
            </w:pPr>
            <w:r>
              <w:rPr>
                <w:rFonts w:hint="eastAsia" w:ascii="宋体" w:hAnsi="宋体" w:eastAsia="宋体" w:cs="宋体"/>
                <w:spacing w:val="-1"/>
                <w:sz w:val="21"/>
                <w:szCs w:val="21"/>
                <w:lang w:bidi="ar"/>
              </w:rPr>
              <w:t>针对本项目人员规模，编制人员配置管控、工资社保保障、欠薪风险防范、劳动纠纷处置、合同终止后人员分流安置、经济补偿风险防控等专项方案。</w:t>
            </w:r>
          </w:p>
          <w:p w14:paraId="482CBB2E">
            <w:pPr>
              <w:autoSpaceDE w:val="0"/>
              <w:autoSpaceDN w:val="0"/>
              <w:adjustRightInd w:val="0"/>
              <w:spacing w:line="360" w:lineRule="exact"/>
              <w:jc w:val="left"/>
              <w:rPr>
                <w:rFonts w:hint="eastAsia" w:ascii="宋体" w:hAnsi="宋体" w:eastAsia="宋体" w:cs="宋体"/>
                <w:spacing w:val="-1"/>
                <w:sz w:val="21"/>
                <w:szCs w:val="21"/>
                <w:lang w:bidi="ar"/>
              </w:rPr>
            </w:pPr>
            <w:r>
              <w:rPr>
                <w:rFonts w:hint="eastAsia" w:ascii="宋体" w:hAnsi="宋体" w:eastAsia="宋体" w:cs="宋体"/>
                <w:spacing w:val="-1"/>
                <w:sz w:val="21"/>
                <w:szCs w:val="21"/>
                <w:lang w:bidi="ar"/>
              </w:rPr>
              <w:t>风险防控措施周全，劳资、遣散补偿风险预案详实可落地，完全有效规避用工风险得6分；</w:t>
            </w:r>
          </w:p>
          <w:p w14:paraId="5BFA8911">
            <w:pPr>
              <w:autoSpaceDE w:val="0"/>
              <w:autoSpaceDN w:val="0"/>
              <w:adjustRightInd w:val="0"/>
              <w:spacing w:line="360" w:lineRule="exact"/>
              <w:jc w:val="left"/>
              <w:rPr>
                <w:rFonts w:hint="eastAsia" w:ascii="宋体" w:hAnsi="宋体" w:eastAsia="宋体" w:cs="宋体"/>
                <w:spacing w:val="-1"/>
                <w:sz w:val="21"/>
                <w:szCs w:val="21"/>
                <w:lang w:bidi="ar"/>
              </w:rPr>
            </w:pPr>
            <w:r>
              <w:rPr>
                <w:rFonts w:hint="eastAsia" w:ascii="宋体" w:hAnsi="宋体" w:eastAsia="宋体" w:cs="宋体"/>
                <w:spacing w:val="-1"/>
                <w:sz w:val="21"/>
                <w:szCs w:val="21"/>
                <w:lang w:bidi="ar"/>
              </w:rPr>
              <w:t>方案完整，风险点识别到位，处置措施合理可行得</w:t>
            </w:r>
            <w:r>
              <w:rPr>
                <w:rFonts w:hint="eastAsia" w:ascii="宋体" w:hAnsi="宋体" w:cs="宋体"/>
                <w:spacing w:val="-1"/>
                <w:sz w:val="21"/>
                <w:szCs w:val="21"/>
                <w:lang w:eastAsia="zh-CN" w:bidi="ar"/>
              </w:rPr>
              <w:t>4</w:t>
            </w:r>
            <w:r>
              <w:rPr>
                <w:rFonts w:hint="eastAsia" w:ascii="宋体" w:hAnsi="宋体" w:eastAsia="宋体" w:cs="宋体"/>
                <w:spacing w:val="-1"/>
                <w:sz w:val="21"/>
                <w:szCs w:val="21"/>
                <w:lang w:bidi="ar"/>
              </w:rPr>
              <w:t>分；</w:t>
            </w:r>
          </w:p>
          <w:p w14:paraId="12D5C1AF">
            <w:pPr>
              <w:autoSpaceDE w:val="0"/>
              <w:autoSpaceDN w:val="0"/>
              <w:adjustRightInd w:val="0"/>
              <w:spacing w:line="360" w:lineRule="exact"/>
              <w:jc w:val="left"/>
              <w:rPr>
                <w:rFonts w:hint="eastAsia" w:ascii="宋体" w:hAnsi="宋体" w:cs="宋体"/>
                <w:szCs w:val="21"/>
              </w:rPr>
            </w:pPr>
            <w:r>
              <w:rPr>
                <w:rFonts w:hint="eastAsia" w:ascii="宋体" w:hAnsi="宋体" w:eastAsia="宋体" w:cs="宋体"/>
                <w:spacing w:val="-1"/>
                <w:sz w:val="21"/>
                <w:szCs w:val="21"/>
                <w:lang w:bidi="ar"/>
              </w:rPr>
              <w:t>具备基础人员管理举措，无关键流程缺失得</w:t>
            </w:r>
            <w:r>
              <w:rPr>
                <w:rFonts w:hint="eastAsia" w:ascii="宋体" w:hAnsi="宋体" w:cs="宋体"/>
                <w:spacing w:val="-1"/>
                <w:sz w:val="21"/>
                <w:szCs w:val="21"/>
                <w:lang w:eastAsia="zh-CN" w:bidi="ar"/>
              </w:rPr>
              <w:t>2</w:t>
            </w:r>
            <w:r>
              <w:rPr>
                <w:rFonts w:hint="eastAsia" w:ascii="宋体" w:hAnsi="宋体" w:eastAsia="宋体" w:cs="宋体"/>
                <w:spacing w:val="-1"/>
                <w:sz w:val="21"/>
                <w:szCs w:val="21"/>
                <w:lang w:bidi="ar"/>
              </w:rPr>
              <w:t>分。</w:t>
            </w:r>
            <w:r>
              <w:rPr>
                <w:rFonts w:hint="eastAsia" w:ascii="宋体" w:hAnsi="宋体" w:cs="宋体"/>
                <w:spacing w:val="-1"/>
                <w:szCs w:val="21"/>
              </w:rPr>
              <w:t>该项未见阐述不得分。</w:t>
            </w:r>
          </w:p>
        </w:tc>
      </w:tr>
      <w:tr w14:paraId="1493E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910" w:type="dxa"/>
            <w:vMerge w:val="continue"/>
            <w:tcBorders>
              <w:right w:val="single" w:color="auto" w:sz="4" w:space="0"/>
            </w:tcBorders>
          </w:tcPr>
          <w:p w14:paraId="5E789B00">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7E114808">
            <w:pPr>
              <w:widowControl/>
              <w:jc w:val="center"/>
              <w:rPr>
                <w:rFonts w:hint="eastAsia" w:ascii="宋体" w:hAnsi="宋体" w:cs="宋体"/>
                <w:color w:val="000000"/>
                <w:szCs w:val="21"/>
                <w:lang w:bidi="ar"/>
              </w:rPr>
            </w:pPr>
            <w:r>
              <w:rPr>
                <w:rFonts w:hint="eastAsia" w:ascii="宋体" w:hAnsi="宋体" w:cs="宋体"/>
                <w:color w:val="000000"/>
                <w:szCs w:val="21"/>
                <w:lang w:bidi="ar"/>
              </w:rPr>
              <w:t xml:space="preserve">组织协调方案 </w:t>
            </w:r>
          </w:p>
          <w:p w14:paraId="316128B4">
            <w:pPr>
              <w:widowControl/>
              <w:jc w:val="center"/>
              <w:rPr>
                <w:rFonts w:hint="eastAsia" w:ascii="宋体" w:hAnsi="宋体" w:cs="宋体"/>
                <w:color w:val="000000"/>
                <w:szCs w:val="21"/>
                <w:lang w:bidi="ar"/>
              </w:rPr>
            </w:pPr>
            <w:r>
              <w:rPr>
                <w:rFonts w:hint="eastAsia" w:ascii="宋体" w:hAnsi="宋体" w:cs="宋体"/>
                <w:color w:val="000000"/>
                <w:szCs w:val="21"/>
                <w:lang w:bidi="ar"/>
              </w:rPr>
              <w:t>（6分）</w:t>
            </w:r>
          </w:p>
          <w:p w14:paraId="1C717268">
            <w:pPr>
              <w:widowControl/>
              <w:jc w:val="center"/>
              <w:rPr>
                <w:rFonts w:hint="eastAsia" w:ascii="宋体" w:hAnsi="宋体" w:cs="宋体"/>
                <w:spacing w:val="-5"/>
                <w:szCs w:val="21"/>
              </w:rPr>
            </w:pPr>
          </w:p>
        </w:tc>
        <w:tc>
          <w:tcPr>
            <w:tcW w:w="8027" w:type="dxa"/>
          </w:tcPr>
          <w:p w14:paraId="1AFA6982">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color w:val="000000"/>
                <w:szCs w:val="21"/>
                <w:lang w:bidi="ar"/>
              </w:rPr>
              <w:t>供应商根据本项目提供组织协调方案，</w:t>
            </w:r>
            <w:r>
              <w:rPr>
                <w:rFonts w:hint="eastAsia" w:ascii="宋体" w:hAnsi="宋体" w:cs="宋体"/>
                <w:spacing w:val="-8"/>
                <w:szCs w:val="21"/>
              </w:rPr>
              <w:t>提供稳定队伍人员配备措施。内容包含但不限于调动员</w:t>
            </w:r>
            <w:r>
              <w:rPr>
                <w:rFonts w:hint="eastAsia" w:ascii="宋体" w:hAnsi="宋体" w:cs="宋体"/>
                <w:spacing w:val="-1"/>
                <w:szCs w:val="21"/>
              </w:rPr>
              <w:t xml:space="preserve">工积极性的方法及措施等，内容包括但不限于协调难点分析、协调工作制度、机制等： </w:t>
            </w:r>
          </w:p>
          <w:p w14:paraId="38B1BE73">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 xml:space="preserve">内容详细、分析到位、完善可行的协调工作制度、机制的，得6分； </w:t>
            </w:r>
          </w:p>
          <w:p w14:paraId="70D8ADCF">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 xml:space="preserve">内容较详细、较完善可行的协调工作制度、机制的，得4分； </w:t>
            </w:r>
          </w:p>
          <w:p w14:paraId="7F96748C">
            <w:pPr>
              <w:autoSpaceDE w:val="0"/>
              <w:autoSpaceDN w:val="0"/>
              <w:adjustRightInd w:val="0"/>
              <w:spacing w:line="360" w:lineRule="exact"/>
              <w:jc w:val="left"/>
              <w:rPr>
                <w:rFonts w:hint="eastAsia" w:ascii="宋体" w:hAnsi="宋体" w:cs="宋体"/>
                <w:spacing w:val="-1"/>
                <w:szCs w:val="21"/>
              </w:rPr>
            </w:pPr>
            <w:r>
              <w:rPr>
                <w:rFonts w:hint="eastAsia" w:ascii="宋体" w:hAnsi="宋体" w:cs="宋体"/>
                <w:spacing w:val="-1"/>
                <w:szCs w:val="21"/>
              </w:rPr>
              <w:t xml:space="preserve">内容简单、协调工作制度、机制可行性一般的，得2分； </w:t>
            </w:r>
          </w:p>
          <w:p w14:paraId="42CF218B">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该项未见阐述不得分。</w:t>
            </w:r>
          </w:p>
        </w:tc>
      </w:tr>
      <w:tr w14:paraId="11719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910" w:type="dxa"/>
            <w:vMerge w:val="continue"/>
            <w:tcBorders>
              <w:right w:val="single" w:color="auto" w:sz="4" w:space="0"/>
            </w:tcBorders>
          </w:tcPr>
          <w:p w14:paraId="08E51BFC">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586F52D6">
            <w:pPr>
              <w:autoSpaceDE w:val="0"/>
              <w:autoSpaceDN w:val="0"/>
              <w:adjustRightInd w:val="0"/>
              <w:spacing w:line="360" w:lineRule="exact"/>
              <w:jc w:val="center"/>
              <w:rPr>
                <w:rFonts w:hint="eastAsia" w:ascii="宋体" w:hAnsi="宋体" w:cs="宋体"/>
                <w:spacing w:val="-21"/>
                <w:szCs w:val="21"/>
              </w:rPr>
            </w:pPr>
            <w:r>
              <w:rPr>
                <w:rFonts w:hint="eastAsia" w:ascii="宋体" w:hAnsi="宋体" w:cs="宋体"/>
                <w:spacing w:val="-21"/>
                <w:szCs w:val="21"/>
              </w:rPr>
              <w:t>交接方案</w:t>
            </w:r>
          </w:p>
          <w:p w14:paraId="41C9AFBD">
            <w:pPr>
              <w:autoSpaceDE w:val="0"/>
              <w:autoSpaceDN w:val="0"/>
              <w:adjustRightInd w:val="0"/>
              <w:spacing w:line="360" w:lineRule="exact"/>
              <w:jc w:val="center"/>
              <w:rPr>
                <w:rFonts w:hint="eastAsia" w:ascii="宋体" w:hAnsi="宋体" w:cs="宋体"/>
                <w:szCs w:val="21"/>
              </w:rPr>
            </w:pPr>
            <w:r>
              <w:rPr>
                <w:rFonts w:hint="eastAsia" w:ascii="宋体" w:hAnsi="宋体" w:cs="宋体"/>
                <w:szCs w:val="21"/>
              </w:rPr>
              <w:t>（6分）</w:t>
            </w:r>
          </w:p>
        </w:tc>
        <w:tc>
          <w:tcPr>
            <w:tcW w:w="8027" w:type="dxa"/>
          </w:tcPr>
          <w:p w14:paraId="7167B0E3">
            <w:pPr>
              <w:autoSpaceDE w:val="0"/>
              <w:autoSpaceDN w:val="0"/>
              <w:adjustRightInd w:val="0"/>
              <w:spacing w:line="360" w:lineRule="exact"/>
              <w:jc w:val="left"/>
              <w:rPr>
                <w:rFonts w:hint="eastAsia" w:ascii="宋体" w:hAnsi="宋体" w:cs="宋体"/>
                <w:szCs w:val="21"/>
              </w:rPr>
            </w:pPr>
            <w:r>
              <w:rPr>
                <w:rFonts w:hint="eastAsia" w:ascii="宋体" w:hAnsi="宋体" w:cs="宋体"/>
                <w:spacing w:val="-6"/>
                <w:szCs w:val="21"/>
              </w:rPr>
              <w:t>供应商编制物业服务开始和合同到期时的交接方案。内容包含但不限于供应</w:t>
            </w:r>
            <w:r>
              <w:rPr>
                <w:rFonts w:hint="eastAsia" w:ascii="宋体" w:hAnsi="宋体" w:cs="宋体"/>
                <w:szCs w:val="21"/>
              </w:rPr>
              <w:t>商针对本项目实际情况编制交接过渡方案进行评审。</w:t>
            </w:r>
          </w:p>
          <w:p w14:paraId="3EA4AF4F">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交接方案科学合理、</w:t>
            </w:r>
            <w:r>
              <w:rPr>
                <w:rFonts w:hint="eastAsia" w:ascii="宋体" w:hAnsi="宋体" w:cs="宋体"/>
                <w:spacing w:val="-6"/>
                <w:szCs w:val="21"/>
              </w:rPr>
              <w:t>内容全面，可操作性强，</w:t>
            </w:r>
            <w:r>
              <w:rPr>
                <w:rFonts w:hint="eastAsia" w:ascii="宋体" w:hAnsi="宋体" w:cs="宋体"/>
                <w:spacing w:val="-1"/>
                <w:szCs w:val="21"/>
              </w:rPr>
              <w:t>内容详细：</w:t>
            </w:r>
            <w:r>
              <w:rPr>
                <w:rFonts w:hint="eastAsia" w:ascii="宋体" w:hAnsi="宋体" w:cs="宋体"/>
                <w:szCs w:val="21"/>
              </w:rPr>
              <w:t>6分；</w:t>
            </w:r>
          </w:p>
          <w:p w14:paraId="7331C467">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交接方案</w:t>
            </w:r>
            <w:r>
              <w:rPr>
                <w:rFonts w:hint="eastAsia" w:ascii="宋体" w:hAnsi="宋体" w:cs="宋体"/>
                <w:szCs w:val="21"/>
              </w:rPr>
              <w:t>较为合理、</w:t>
            </w:r>
            <w:r>
              <w:rPr>
                <w:rFonts w:hint="eastAsia" w:ascii="宋体" w:hAnsi="宋体" w:cs="宋体"/>
                <w:spacing w:val="-6"/>
                <w:szCs w:val="21"/>
              </w:rPr>
              <w:t>内容较为全面，具有较强可操作性，</w:t>
            </w:r>
            <w:r>
              <w:rPr>
                <w:rFonts w:hint="eastAsia" w:ascii="宋体" w:hAnsi="宋体" w:cs="宋体"/>
                <w:szCs w:val="21"/>
              </w:rPr>
              <w:t>内容基本详细：4</w:t>
            </w:r>
            <w:r>
              <w:rPr>
                <w:rFonts w:hint="eastAsia" w:ascii="宋体" w:hAnsi="宋体" w:cs="宋体"/>
                <w:spacing w:val="-29"/>
                <w:szCs w:val="21"/>
              </w:rPr>
              <w:t>分</w:t>
            </w:r>
            <w:r>
              <w:rPr>
                <w:rFonts w:hint="eastAsia" w:ascii="宋体" w:hAnsi="宋体" w:cs="宋体"/>
                <w:spacing w:val="-11"/>
                <w:szCs w:val="21"/>
              </w:rPr>
              <w:t>；</w:t>
            </w:r>
          </w:p>
          <w:p w14:paraId="62F521D3">
            <w:pPr>
              <w:autoSpaceDE w:val="0"/>
              <w:autoSpaceDN w:val="0"/>
              <w:adjustRightInd w:val="0"/>
              <w:spacing w:line="360" w:lineRule="exact"/>
              <w:jc w:val="left"/>
              <w:rPr>
                <w:rFonts w:hint="eastAsia" w:ascii="宋体" w:hAnsi="宋体" w:cs="宋体"/>
                <w:szCs w:val="21"/>
              </w:rPr>
            </w:pPr>
            <w:r>
              <w:rPr>
                <w:rFonts w:hint="eastAsia" w:ascii="宋体" w:hAnsi="宋体" w:cs="宋体"/>
                <w:spacing w:val="-1"/>
                <w:szCs w:val="21"/>
              </w:rPr>
              <w:t>交接方案</w:t>
            </w:r>
            <w:r>
              <w:rPr>
                <w:rFonts w:hint="eastAsia" w:ascii="宋体" w:hAnsi="宋体" w:cs="宋体"/>
                <w:szCs w:val="21"/>
              </w:rPr>
              <w:t>基本合理、内容空洞：2分；</w:t>
            </w:r>
          </w:p>
          <w:p w14:paraId="05D68323">
            <w:pPr>
              <w:autoSpaceDE w:val="0"/>
              <w:autoSpaceDN w:val="0"/>
              <w:adjustRightInd w:val="0"/>
              <w:spacing w:line="360" w:lineRule="exact"/>
              <w:rPr>
                <w:rFonts w:hint="eastAsia" w:ascii="宋体" w:hAnsi="宋体" w:cs="宋体"/>
                <w:szCs w:val="21"/>
              </w:rPr>
            </w:pPr>
            <w:r>
              <w:rPr>
                <w:rFonts w:hint="eastAsia" w:ascii="宋体" w:hAnsi="宋体" w:cs="宋体"/>
                <w:szCs w:val="21"/>
              </w:rPr>
              <w:t>未见阐述不得分。</w:t>
            </w:r>
          </w:p>
        </w:tc>
      </w:tr>
      <w:tr w14:paraId="5A1C1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910" w:type="dxa"/>
            <w:vMerge w:val="continue"/>
            <w:tcBorders>
              <w:right w:val="single" w:color="auto" w:sz="4" w:space="0"/>
            </w:tcBorders>
          </w:tcPr>
          <w:p w14:paraId="4DE214DE">
            <w:pPr>
              <w:autoSpaceDE w:val="0"/>
              <w:autoSpaceDN w:val="0"/>
              <w:adjustRightInd w:val="0"/>
              <w:spacing w:line="360" w:lineRule="exact"/>
              <w:jc w:val="center"/>
              <w:rPr>
                <w:rFonts w:hint="eastAsia" w:ascii="宋体" w:hAnsi="宋体" w:cs="宋体"/>
                <w:szCs w:val="21"/>
              </w:rPr>
            </w:pPr>
          </w:p>
        </w:tc>
        <w:tc>
          <w:tcPr>
            <w:tcW w:w="1080" w:type="dxa"/>
            <w:tcBorders>
              <w:left w:val="single" w:color="auto" w:sz="4" w:space="0"/>
            </w:tcBorders>
            <w:vAlign w:val="center"/>
          </w:tcPr>
          <w:p w14:paraId="754757B2">
            <w:pPr>
              <w:autoSpaceDE w:val="0"/>
              <w:autoSpaceDN w:val="0"/>
              <w:adjustRightInd w:val="0"/>
              <w:spacing w:line="360" w:lineRule="exact"/>
              <w:jc w:val="center"/>
              <w:rPr>
                <w:rFonts w:hint="eastAsia" w:ascii="宋体" w:hAnsi="宋体" w:cs="宋体"/>
                <w:spacing w:val="-21"/>
                <w:szCs w:val="21"/>
              </w:rPr>
            </w:pPr>
            <w:r>
              <w:rPr>
                <w:rFonts w:hint="eastAsia" w:ascii="宋体" w:hAnsi="宋体" w:cs="宋体"/>
                <w:spacing w:val="-21"/>
                <w:szCs w:val="21"/>
              </w:rPr>
              <w:t>应急处理预 案</w:t>
            </w:r>
          </w:p>
          <w:p w14:paraId="4CFC39B4">
            <w:pPr>
              <w:autoSpaceDE w:val="0"/>
              <w:autoSpaceDN w:val="0"/>
              <w:adjustRightInd w:val="0"/>
              <w:spacing w:line="360" w:lineRule="exact"/>
              <w:jc w:val="center"/>
              <w:rPr>
                <w:rFonts w:hint="eastAsia" w:ascii="宋体" w:hAnsi="宋体" w:cs="宋体"/>
                <w:szCs w:val="21"/>
              </w:rPr>
            </w:pPr>
            <w:r>
              <w:rPr>
                <w:rFonts w:hint="eastAsia" w:ascii="宋体" w:hAnsi="宋体" w:cs="宋体"/>
                <w:spacing w:val="-21"/>
                <w:szCs w:val="21"/>
              </w:rPr>
              <w:t>（5分）</w:t>
            </w:r>
          </w:p>
        </w:tc>
        <w:tc>
          <w:tcPr>
            <w:tcW w:w="8027" w:type="dxa"/>
          </w:tcPr>
          <w:p w14:paraId="033E99EB">
            <w:pPr>
              <w:autoSpaceDE w:val="0"/>
              <w:autoSpaceDN w:val="0"/>
              <w:adjustRightInd w:val="0"/>
              <w:spacing w:line="360" w:lineRule="exact"/>
              <w:jc w:val="left"/>
              <w:rPr>
                <w:rFonts w:hint="eastAsia" w:ascii="宋体" w:hAnsi="宋体" w:cs="宋体"/>
                <w:spacing w:val="-6"/>
                <w:szCs w:val="21"/>
              </w:rPr>
            </w:pPr>
            <w:r>
              <w:rPr>
                <w:rFonts w:hint="eastAsia" w:ascii="宋体" w:hAnsi="宋体" w:cs="宋体"/>
                <w:spacing w:val="-6"/>
                <w:szCs w:val="21"/>
              </w:rPr>
              <w:t>供应商提供服务应急处置方案，内容包括但不仅限于停水停电、火灾盗窃、公共事件、自然灾害、疫情防控等。</w:t>
            </w:r>
          </w:p>
          <w:p w14:paraId="13A37296">
            <w:pPr>
              <w:autoSpaceDE w:val="0"/>
              <w:autoSpaceDN w:val="0"/>
              <w:adjustRightInd w:val="0"/>
              <w:spacing w:line="360" w:lineRule="exact"/>
              <w:jc w:val="left"/>
              <w:rPr>
                <w:rFonts w:hint="eastAsia" w:ascii="宋体" w:hAnsi="宋体" w:cs="宋体"/>
                <w:spacing w:val="-6"/>
                <w:szCs w:val="21"/>
              </w:rPr>
            </w:pPr>
            <w:r>
              <w:rPr>
                <w:rFonts w:hint="eastAsia" w:ascii="宋体" w:hAnsi="宋体" w:cs="宋体"/>
                <w:spacing w:val="-6"/>
                <w:szCs w:val="21"/>
              </w:rPr>
              <w:t>方案科学合理，内容全面，可操作性强：5分；</w:t>
            </w:r>
          </w:p>
          <w:p w14:paraId="006FB067">
            <w:pPr>
              <w:autoSpaceDE w:val="0"/>
              <w:autoSpaceDN w:val="0"/>
              <w:adjustRightInd w:val="0"/>
              <w:spacing w:line="360" w:lineRule="exact"/>
              <w:jc w:val="left"/>
              <w:rPr>
                <w:rFonts w:hint="eastAsia" w:ascii="宋体" w:hAnsi="宋体" w:cs="宋体"/>
                <w:spacing w:val="-6"/>
                <w:szCs w:val="21"/>
              </w:rPr>
            </w:pPr>
            <w:r>
              <w:rPr>
                <w:rFonts w:hint="eastAsia" w:ascii="宋体" w:hAnsi="宋体" w:cs="宋体"/>
                <w:spacing w:val="-6"/>
                <w:szCs w:val="21"/>
              </w:rPr>
              <w:t>方案较为科学合理，内容较为全面，具有较强可操作性：3分；</w:t>
            </w:r>
          </w:p>
          <w:p w14:paraId="57CF039B">
            <w:pPr>
              <w:autoSpaceDE w:val="0"/>
              <w:autoSpaceDN w:val="0"/>
              <w:adjustRightInd w:val="0"/>
              <w:spacing w:line="360" w:lineRule="exact"/>
              <w:jc w:val="left"/>
              <w:rPr>
                <w:rFonts w:hint="eastAsia" w:ascii="宋体" w:hAnsi="宋体" w:cs="宋体"/>
                <w:spacing w:val="-6"/>
                <w:szCs w:val="21"/>
              </w:rPr>
            </w:pPr>
            <w:r>
              <w:rPr>
                <w:rFonts w:hint="eastAsia" w:ascii="宋体" w:hAnsi="宋体" w:cs="宋体"/>
                <w:spacing w:val="-6"/>
                <w:szCs w:val="21"/>
              </w:rPr>
              <w:t>方案不合理，内容不全面，可行性差：1分。</w:t>
            </w:r>
          </w:p>
          <w:p w14:paraId="3BCA473F">
            <w:pPr>
              <w:autoSpaceDE w:val="0"/>
              <w:autoSpaceDN w:val="0"/>
              <w:adjustRightInd w:val="0"/>
              <w:spacing w:line="360" w:lineRule="exact"/>
              <w:rPr>
                <w:rFonts w:hint="eastAsia" w:ascii="宋体" w:hAnsi="宋体" w:cs="宋体"/>
                <w:szCs w:val="21"/>
              </w:rPr>
            </w:pPr>
            <w:r>
              <w:rPr>
                <w:rFonts w:hint="eastAsia" w:ascii="宋体" w:hAnsi="宋体" w:cs="宋体"/>
                <w:b w:val="0"/>
                <w:spacing w:val="-6"/>
                <w:szCs w:val="21"/>
              </w:rPr>
              <w:t>未见阐述不得分。</w:t>
            </w:r>
          </w:p>
        </w:tc>
      </w:tr>
    </w:tbl>
    <w:p w14:paraId="6E18B74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cs="宋体"/>
          <w:sz w:val="24"/>
          <w:szCs w:val="24"/>
        </w:rPr>
      </w:pPr>
    </w:p>
    <w:p w14:paraId="2ADD2616">
      <w:pPr>
        <w:spacing w:line="360" w:lineRule="auto"/>
        <w:jc w:val="left"/>
        <w:rPr>
          <w:rFonts w:hint="eastAsia" w:ascii="宋体" w:hAnsi="宋体" w:cs="宋体"/>
          <w:sz w:val="24"/>
          <w:szCs w:val="24"/>
        </w:rPr>
      </w:pPr>
      <w:bookmarkStart w:id="188" w:name="_Toc465856616"/>
      <w:r>
        <w:rPr>
          <w:rFonts w:hint="eastAsia" w:ascii="宋体" w:hAnsi="宋体" w:cs="宋体"/>
          <w:sz w:val="24"/>
          <w:szCs w:val="24"/>
        </w:rPr>
        <w:br w:type="page" w:clear="all"/>
      </w:r>
    </w:p>
    <w:p w14:paraId="010ADB2F">
      <w:pPr>
        <w:jc w:val="center"/>
        <w:outlineLvl w:val="0"/>
        <w:rPr>
          <w:rFonts w:hint="eastAsia" w:ascii="宋体" w:hAnsi="宋体" w:cs="宋体"/>
          <w:b/>
          <w:sz w:val="44"/>
          <w:szCs w:val="44"/>
        </w:rPr>
      </w:pPr>
      <w:bookmarkStart w:id="189" w:name="_Toc9518"/>
      <w:r>
        <w:rPr>
          <w:rFonts w:hint="eastAsia" w:ascii="宋体" w:hAnsi="宋体" w:cs="宋体"/>
          <w:b/>
          <w:sz w:val="44"/>
          <w:szCs w:val="44"/>
        </w:rPr>
        <w:t>第六章 竞争性磋商响应文件格式</w:t>
      </w:r>
      <w:bookmarkEnd w:id="188"/>
      <w:bookmarkEnd w:id="189"/>
    </w:p>
    <w:p w14:paraId="18874E9A">
      <w:pPr>
        <w:jc w:val="center"/>
        <w:rPr>
          <w:rFonts w:hint="eastAsia" w:ascii="宋体" w:hAnsi="宋体" w:cs="宋体"/>
          <w:b/>
          <w:sz w:val="52"/>
          <w:szCs w:val="52"/>
        </w:rPr>
      </w:pPr>
    </w:p>
    <w:p w14:paraId="19DF2A16">
      <w:pPr>
        <w:jc w:val="center"/>
        <w:rPr>
          <w:rFonts w:hint="eastAsia" w:ascii="宋体" w:hAnsi="宋体" w:cs="宋体"/>
          <w:b/>
          <w:sz w:val="52"/>
          <w:szCs w:val="52"/>
        </w:rPr>
      </w:pPr>
    </w:p>
    <w:p w14:paraId="215E5F8E">
      <w:pPr>
        <w:jc w:val="center"/>
        <w:rPr>
          <w:rFonts w:hint="eastAsia" w:ascii="宋体" w:hAnsi="宋体" w:cs="宋体"/>
          <w:b/>
          <w:sz w:val="52"/>
          <w:szCs w:val="52"/>
        </w:rPr>
      </w:pPr>
      <w:r>
        <w:rPr>
          <w:rFonts w:hint="eastAsia" w:ascii="宋体" w:hAnsi="宋体" w:cs="宋体"/>
          <w:b/>
          <w:sz w:val="52"/>
          <w:szCs w:val="52"/>
        </w:rPr>
        <w:t>连 云 港 市 政 府 采 购</w:t>
      </w:r>
    </w:p>
    <w:p w14:paraId="7483D0C0">
      <w:pPr>
        <w:jc w:val="center"/>
        <w:rPr>
          <w:rFonts w:hint="eastAsia" w:ascii="宋体" w:hAnsi="宋体" w:cs="宋体"/>
          <w:b/>
          <w:sz w:val="72"/>
          <w:szCs w:val="21"/>
        </w:rPr>
      </w:pPr>
    </w:p>
    <w:p w14:paraId="3C848657">
      <w:pPr>
        <w:jc w:val="center"/>
        <w:rPr>
          <w:rFonts w:hint="eastAsia" w:ascii="宋体" w:hAnsi="宋体" w:cs="宋体"/>
          <w:b/>
          <w:sz w:val="72"/>
          <w:szCs w:val="21"/>
        </w:rPr>
      </w:pPr>
      <w:r>
        <w:rPr>
          <w:rFonts w:hint="eastAsia" w:ascii="宋体" w:hAnsi="宋体" w:cs="宋体"/>
          <w:b/>
          <w:sz w:val="72"/>
          <w:szCs w:val="21"/>
        </w:rPr>
        <w:t>投标文件</w:t>
      </w:r>
    </w:p>
    <w:p w14:paraId="43229F32">
      <w:pPr>
        <w:ind w:firstLine="643"/>
        <w:jc w:val="center"/>
        <w:rPr>
          <w:rFonts w:hint="eastAsia" w:ascii="宋体" w:hAnsi="宋体" w:cs="宋体"/>
          <w:b/>
          <w:sz w:val="32"/>
          <w:szCs w:val="32"/>
        </w:rPr>
      </w:pPr>
    </w:p>
    <w:p w14:paraId="22420C65">
      <w:pPr>
        <w:ind w:firstLine="1084"/>
        <w:rPr>
          <w:rFonts w:hint="eastAsia" w:ascii="宋体" w:hAnsi="宋体" w:cs="宋体"/>
          <w:b/>
          <w:sz w:val="36"/>
          <w:szCs w:val="21"/>
        </w:rPr>
      </w:pPr>
    </w:p>
    <w:p w14:paraId="5AE24041">
      <w:pPr>
        <w:rPr>
          <w:rFonts w:hint="eastAsia" w:ascii="宋体" w:hAnsi="宋体" w:cs="宋体"/>
          <w:b/>
          <w:sz w:val="36"/>
          <w:szCs w:val="21"/>
        </w:rPr>
      </w:pPr>
    </w:p>
    <w:p w14:paraId="34C7D4FB">
      <w:pPr>
        <w:spacing w:line="360" w:lineRule="auto"/>
        <w:ind w:firstLine="1083"/>
        <w:rPr>
          <w:rFonts w:hint="eastAsia" w:ascii="宋体" w:hAnsi="宋体" w:cs="宋体"/>
          <w:b/>
          <w:sz w:val="36"/>
          <w:szCs w:val="24"/>
        </w:rPr>
      </w:pPr>
      <w:r>
        <w:rPr>
          <w:rFonts w:hint="eastAsia" w:ascii="宋体" w:hAnsi="宋体" w:cs="宋体"/>
          <w:b/>
          <w:sz w:val="36"/>
          <w:szCs w:val="24"/>
        </w:rPr>
        <w:t>项 目 名 称：【项目名称】</w:t>
      </w:r>
    </w:p>
    <w:p w14:paraId="71427314">
      <w:pPr>
        <w:spacing w:line="360" w:lineRule="auto"/>
        <w:ind w:firstLine="1083"/>
        <w:rPr>
          <w:rFonts w:hint="eastAsia" w:ascii="宋体" w:hAnsi="宋体" w:cs="宋体"/>
          <w:b/>
          <w:sz w:val="36"/>
          <w:szCs w:val="24"/>
        </w:rPr>
      </w:pPr>
      <w:r>
        <w:rPr>
          <w:rFonts w:hint="eastAsia" w:ascii="宋体" w:hAnsi="宋体" w:cs="宋体"/>
          <w:b/>
          <w:sz w:val="36"/>
          <w:szCs w:val="24"/>
        </w:rPr>
        <w:t>项 目 编 号：【项目编号】</w:t>
      </w:r>
    </w:p>
    <w:p w14:paraId="1D45B490">
      <w:pPr>
        <w:spacing w:line="360" w:lineRule="auto"/>
        <w:ind w:firstLine="1083"/>
        <w:rPr>
          <w:rFonts w:hint="eastAsia" w:ascii="宋体" w:hAnsi="宋体" w:cs="宋体"/>
          <w:b/>
          <w:sz w:val="36"/>
          <w:szCs w:val="24"/>
        </w:rPr>
      </w:pPr>
    </w:p>
    <w:p w14:paraId="162CBA2D">
      <w:pPr>
        <w:spacing w:line="360" w:lineRule="auto"/>
        <w:ind w:firstLine="1083"/>
        <w:rPr>
          <w:rFonts w:hint="eastAsia" w:ascii="宋体" w:hAnsi="宋体" w:cs="宋体"/>
          <w:b/>
          <w:sz w:val="36"/>
          <w:szCs w:val="24"/>
        </w:rPr>
      </w:pPr>
      <w:r>
        <w:rPr>
          <w:rFonts w:hint="eastAsia" w:ascii="宋体" w:hAnsi="宋体" w:cs="宋体"/>
          <w:b/>
          <w:sz w:val="36"/>
          <w:szCs w:val="24"/>
        </w:rPr>
        <w:t>供应商名称：</w:t>
      </w:r>
    </w:p>
    <w:p w14:paraId="4CEF1D39">
      <w:pPr>
        <w:spacing w:line="360" w:lineRule="auto"/>
        <w:ind w:firstLine="1083"/>
        <w:rPr>
          <w:rFonts w:hint="eastAsia" w:ascii="宋体" w:hAnsi="宋体" w:cs="宋体"/>
          <w:b/>
          <w:sz w:val="36"/>
          <w:szCs w:val="24"/>
        </w:rPr>
      </w:pPr>
      <w:r>
        <w:rPr>
          <w:rFonts w:hint="eastAsia" w:ascii="宋体" w:hAnsi="宋体" w:cs="宋体"/>
          <w:b/>
          <w:sz w:val="36"/>
          <w:szCs w:val="24"/>
        </w:rPr>
        <w:t xml:space="preserve">供应商地址： </w:t>
      </w:r>
    </w:p>
    <w:p w14:paraId="0C40FB7C">
      <w:pPr>
        <w:spacing w:line="360" w:lineRule="auto"/>
        <w:ind w:firstLine="1083"/>
        <w:rPr>
          <w:rFonts w:hint="eastAsia" w:ascii="宋体" w:hAnsi="宋体" w:cs="宋体"/>
          <w:b/>
          <w:sz w:val="36"/>
          <w:szCs w:val="24"/>
        </w:rPr>
      </w:pPr>
      <w:r>
        <w:rPr>
          <w:rFonts w:hint="eastAsia" w:ascii="宋体" w:hAnsi="宋体" w:cs="宋体"/>
          <w:b/>
          <w:sz w:val="36"/>
          <w:szCs w:val="24"/>
        </w:rPr>
        <w:t>法定代表人：</w:t>
      </w:r>
    </w:p>
    <w:p w14:paraId="33FC8D7A">
      <w:pPr>
        <w:spacing w:line="360" w:lineRule="auto"/>
        <w:ind w:firstLine="1083"/>
        <w:rPr>
          <w:rFonts w:hint="eastAsia" w:ascii="宋体" w:hAnsi="宋体" w:cs="宋体"/>
          <w:b/>
          <w:sz w:val="36"/>
          <w:szCs w:val="24"/>
        </w:rPr>
      </w:pPr>
      <w:r>
        <w:rPr>
          <w:rFonts w:hint="eastAsia" w:ascii="宋体" w:hAnsi="宋体" w:cs="宋体"/>
          <w:b/>
          <w:sz w:val="36"/>
          <w:szCs w:val="24"/>
        </w:rPr>
        <w:t>委托代理人（委托代理时填写）：</w:t>
      </w:r>
    </w:p>
    <w:p w14:paraId="7ACC5B75">
      <w:pPr>
        <w:spacing w:line="360" w:lineRule="auto"/>
        <w:ind w:firstLine="1083"/>
        <w:rPr>
          <w:rFonts w:hint="eastAsia" w:ascii="宋体" w:hAnsi="宋体" w:cs="宋体"/>
          <w:b/>
          <w:sz w:val="36"/>
          <w:szCs w:val="24"/>
        </w:rPr>
      </w:pPr>
      <w:r>
        <w:rPr>
          <w:rFonts w:hint="eastAsia" w:ascii="宋体" w:hAnsi="宋体" w:cs="宋体"/>
          <w:b/>
          <w:sz w:val="36"/>
          <w:szCs w:val="24"/>
        </w:rPr>
        <w:t>日      期：</w:t>
      </w:r>
    </w:p>
    <w:p w14:paraId="0CDD850D">
      <w:pPr>
        <w:spacing w:before="120" w:after="120"/>
        <w:jc w:val="left"/>
        <w:outlineLvl w:val="1"/>
        <w:rPr>
          <w:rFonts w:hint="eastAsia" w:ascii="宋体" w:hAnsi="宋体" w:cs="宋体"/>
          <w:b/>
          <w:sz w:val="30"/>
          <w:szCs w:val="30"/>
        </w:rPr>
      </w:pPr>
      <w:r>
        <w:rPr>
          <w:rFonts w:hint="eastAsia" w:ascii="宋体" w:hAnsi="宋体" w:cs="宋体"/>
          <w:b/>
          <w:sz w:val="32"/>
          <w:szCs w:val="32"/>
        </w:rPr>
        <w:br w:type="page" w:clear="all"/>
      </w:r>
      <w:bookmarkStart w:id="190" w:name="_Toc14094"/>
      <w:bookmarkStart w:id="191" w:name="_Toc13491"/>
      <w:bookmarkStart w:id="192" w:name="_Toc13177"/>
      <w:r>
        <w:rPr>
          <w:rFonts w:hint="eastAsia" w:ascii="宋体" w:hAnsi="宋体" w:cs="宋体"/>
          <w:bCs/>
          <w:sz w:val="24"/>
          <w:szCs w:val="28"/>
        </w:rPr>
        <w:t>格式1、响应函</w:t>
      </w:r>
      <w:bookmarkEnd w:id="190"/>
      <w:bookmarkEnd w:id="191"/>
      <w:bookmarkEnd w:id="192"/>
    </w:p>
    <w:p w14:paraId="29460CC8">
      <w:pPr>
        <w:jc w:val="center"/>
        <w:rPr>
          <w:rFonts w:hint="eastAsia" w:ascii="宋体" w:hAnsi="宋体" w:cs="宋体"/>
          <w:bCs/>
          <w:sz w:val="36"/>
          <w:szCs w:val="28"/>
        </w:rPr>
      </w:pPr>
      <w:r>
        <w:rPr>
          <w:rFonts w:hint="eastAsia" w:ascii="宋体" w:hAnsi="宋体" w:cs="宋体"/>
          <w:bCs/>
          <w:sz w:val="36"/>
          <w:szCs w:val="28"/>
        </w:rPr>
        <w:t>响 应 函</w:t>
      </w:r>
    </w:p>
    <w:p w14:paraId="7F650BF3">
      <w:pPr>
        <w:tabs>
          <w:tab w:val="left" w:pos="360"/>
        </w:tabs>
        <w:jc w:val="left"/>
        <w:rPr>
          <w:rFonts w:hint="eastAsia" w:ascii="宋体" w:hAnsi="宋体" w:cs="宋体"/>
          <w:bCs/>
          <w:sz w:val="24"/>
          <w:szCs w:val="21"/>
        </w:rPr>
      </w:pPr>
      <w:r>
        <w:rPr>
          <w:rFonts w:hint="eastAsia" w:ascii="宋体" w:hAnsi="宋体" w:cs="宋体"/>
          <w:bCs/>
          <w:sz w:val="24"/>
          <w:szCs w:val="21"/>
        </w:rPr>
        <w:t>致：【采购单位】</w:t>
      </w:r>
    </w:p>
    <w:p w14:paraId="62886B6D">
      <w:pPr>
        <w:tabs>
          <w:tab w:val="left" w:pos="360"/>
        </w:tabs>
        <w:ind w:firstLine="480"/>
        <w:jc w:val="left"/>
        <w:rPr>
          <w:rFonts w:hint="eastAsia" w:ascii="宋体" w:hAnsi="宋体" w:cs="宋体"/>
          <w:bCs/>
          <w:sz w:val="24"/>
          <w:szCs w:val="21"/>
        </w:rPr>
      </w:pPr>
      <w:r>
        <w:rPr>
          <w:rFonts w:hint="eastAsia" w:ascii="宋体" w:hAnsi="宋体" w:cs="宋体"/>
          <w:bCs/>
          <w:sz w:val="24"/>
          <w:szCs w:val="21"/>
        </w:rPr>
        <w:t>根据贵方</w:t>
      </w:r>
      <w:r>
        <w:rPr>
          <w:rFonts w:hint="eastAsia" w:ascii="宋体" w:hAnsi="宋体" w:cs="宋体"/>
          <w:bCs/>
          <w:sz w:val="24"/>
          <w:szCs w:val="21"/>
          <w:u w:val="single"/>
        </w:rPr>
        <w:t xml:space="preserve">     </w:t>
      </w:r>
      <w:r>
        <w:rPr>
          <w:rFonts w:hint="eastAsia" w:ascii="宋体" w:hAnsi="宋体" w:cs="宋体"/>
          <w:bCs/>
          <w:sz w:val="24"/>
          <w:szCs w:val="21"/>
        </w:rPr>
        <w:t>标段（项目编号：</w:t>
      </w:r>
      <w:r>
        <w:rPr>
          <w:rFonts w:hint="eastAsia" w:ascii="宋体" w:hAnsi="宋体" w:cs="宋体"/>
          <w:bCs/>
          <w:sz w:val="24"/>
          <w:szCs w:val="21"/>
          <w:u w:val="single"/>
        </w:rPr>
        <w:t xml:space="preserve">     </w:t>
      </w:r>
      <w:r>
        <w:rPr>
          <w:rFonts w:hint="eastAsia" w:ascii="宋体" w:hAnsi="宋体" w:cs="宋体"/>
          <w:bCs/>
          <w:sz w:val="24"/>
          <w:szCs w:val="21"/>
        </w:rPr>
        <w:t>）采购文件，正式授权下述签字人</w:t>
      </w:r>
      <w:r>
        <w:rPr>
          <w:rFonts w:hint="eastAsia" w:ascii="宋体" w:hAnsi="宋体" w:cs="宋体"/>
          <w:bCs/>
          <w:sz w:val="24"/>
          <w:szCs w:val="21"/>
          <w:u w:val="single"/>
        </w:rPr>
        <w:t xml:space="preserve">     </w:t>
      </w:r>
      <w:r>
        <w:rPr>
          <w:rFonts w:hint="eastAsia" w:ascii="宋体" w:hAnsi="宋体" w:cs="宋体"/>
          <w:bCs/>
          <w:sz w:val="24"/>
          <w:szCs w:val="21"/>
        </w:rPr>
        <w:t>全权代表</w:t>
      </w:r>
      <w:r>
        <w:rPr>
          <w:rFonts w:hint="eastAsia" w:ascii="宋体" w:hAnsi="宋体" w:cs="宋体"/>
          <w:bCs/>
          <w:sz w:val="24"/>
          <w:szCs w:val="21"/>
          <w:u w:val="single"/>
        </w:rPr>
        <w:t xml:space="preserve">     </w:t>
      </w:r>
      <w:r>
        <w:rPr>
          <w:rFonts w:hint="eastAsia" w:ascii="宋体" w:hAnsi="宋体" w:cs="宋体"/>
          <w:bCs/>
          <w:sz w:val="24"/>
          <w:szCs w:val="21"/>
        </w:rPr>
        <w:t>参加贵方组织的采购活动，按照采购文件要求提交响应文件。</w:t>
      </w:r>
    </w:p>
    <w:p w14:paraId="268E2212">
      <w:pPr>
        <w:tabs>
          <w:tab w:val="left" w:pos="360"/>
        </w:tabs>
        <w:ind w:firstLine="480"/>
        <w:jc w:val="left"/>
        <w:rPr>
          <w:rFonts w:hint="eastAsia" w:ascii="宋体" w:hAnsi="宋体" w:cs="宋体"/>
          <w:bCs/>
          <w:sz w:val="24"/>
          <w:szCs w:val="21"/>
        </w:rPr>
      </w:pPr>
      <w:r>
        <w:rPr>
          <w:rFonts w:hint="eastAsia" w:ascii="宋体" w:hAnsi="宋体" w:cs="宋体"/>
          <w:bCs/>
          <w:sz w:val="24"/>
          <w:szCs w:val="21"/>
        </w:rPr>
        <w:t>据此函，签字人兹宣布同意如下：</w:t>
      </w:r>
    </w:p>
    <w:p w14:paraId="35BDCE7A">
      <w:pPr>
        <w:tabs>
          <w:tab w:val="left" w:pos="360"/>
        </w:tabs>
        <w:ind w:firstLine="480"/>
        <w:jc w:val="left"/>
        <w:rPr>
          <w:rFonts w:hint="eastAsia" w:ascii="宋体" w:hAnsi="宋体" w:cs="宋体"/>
          <w:bCs/>
          <w:sz w:val="24"/>
          <w:szCs w:val="21"/>
        </w:rPr>
      </w:pPr>
      <w:r>
        <w:rPr>
          <w:rFonts w:hint="eastAsia" w:ascii="宋体" w:hAnsi="宋体" w:cs="宋体"/>
          <w:bCs/>
          <w:sz w:val="24"/>
          <w:szCs w:val="21"/>
        </w:rPr>
        <w:t>1.按采购文件项目需求提交响应报价，报价、合同履行期限等详见开标一览表。</w:t>
      </w:r>
    </w:p>
    <w:p w14:paraId="4DA6F22A">
      <w:pPr>
        <w:tabs>
          <w:tab w:val="left" w:pos="360"/>
        </w:tabs>
        <w:ind w:firstLine="480"/>
        <w:jc w:val="left"/>
        <w:rPr>
          <w:rFonts w:hint="eastAsia" w:ascii="宋体" w:hAnsi="宋体" w:cs="宋体"/>
          <w:bCs/>
          <w:sz w:val="24"/>
          <w:szCs w:val="21"/>
        </w:rPr>
      </w:pPr>
      <w:r>
        <w:rPr>
          <w:rFonts w:hint="eastAsia" w:ascii="宋体" w:hAnsi="宋体" w:cs="宋体"/>
          <w:bCs/>
          <w:sz w:val="24"/>
          <w:szCs w:val="21"/>
        </w:rPr>
        <w:t>2.我方同意在本标段采购文件中规定的响应文件递交截止之日起60天内遵守本响应文件中的承诺且在此期限期满之前均具有约束力。</w:t>
      </w:r>
    </w:p>
    <w:p w14:paraId="18A518EA">
      <w:pPr>
        <w:tabs>
          <w:tab w:val="left" w:pos="360"/>
        </w:tabs>
        <w:ind w:firstLine="480"/>
        <w:jc w:val="left"/>
        <w:rPr>
          <w:rFonts w:hint="eastAsia" w:ascii="宋体" w:hAnsi="宋体" w:cs="宋体"/>
          <w:bCs/>
          <w:sz w:val="24"/>
          <w:szCs w:val="21"/>
        </w:rPr>
      </w:pPr>
      <w:r>
        <w:rPr>
          <w:rFonts w:hint="eastAsia" w:ascii="宋体" w:hAnsi="宋体" w:cs="宋体"/>
          <w:bCs/>
          <w:sz w:val="24"/>
          <w:szCs w:val="21"/>
        </w:rPr>
        <w:t>3.我方承诺已经具备《中华人民共和国政府采购法》中规定的参加政府采购活动的供应商应当具备的条件：</w:t>
      </w:r>
    </w:p>
    <w:p w14:paraId="10B992D1">
      <w:pPr>
        <w:tabs>
          <w:tab w:val="left" w:pos="360"/>
        </w:tabs>
        <w:ind w:firstLine="480"/>
        <w:jc w:val="left"/>
        <w:rPr>
          <w:rFonts w:hint="eastAsia" w:ascii="宋体" w:hAnsi="宋体" w:cs="宋体"/>
          <w:bCs/>
          <w:sz w:val="24"/>
          <w:szCs w:val="21"/>
        </w:rPr>
      </w:pPr>
      <w:r>
        <w:rPr>
          <w:rFonts w:hint="eastAsia" w:ascii="宋体" w:hAnsi="宋体" w:cs="宋体"/>
          <w:bCs/>
          <w:sz w:val="24"/>
          <w:szCs w:val="21"/>
        </w:rPr>
        <w:t>（1）具有独立承担民事责任的能力；</w:t>
      </w:r>
    </w:p>
    <w:p w14:paraId="3A420C2E">
      <w:pPr>
        <w:tabs>
          <w:tab w:val="left" w:pos="360"/>
        </w:tabs>
        <w:ind w:firstLine="480"/>
        <w:jc w:val="left"/>
        <w:rPr>
          <w:rFonts w:hint="eastAsia" w:ascii="宋体" w:hAnsi="宋体" w:cs="宋体"/>
          <w:bCs/>
          <w:sz w:val="24"/>
          <w:szCs w:val="21"/>
        </w:rPr>
      </w:pPr>
      <w:r>
        <w:rPr>
          <w:rFonts w:hint="eastAsia" w:ascii="宋体" w:hAnsi="宋体" w:cs="宋体"/>
          <w:bCs/>
          <w:sz w:val="24"/>
          <w:szCs w:val="21"/>
        </w:rPr>
        <w:t>（2）具有良好的商业信誉和健全的财务会计制度；</w:t>
      </w:r>
    </w:p>
    <w:p w14:paraId="12DA19A7">
      <w:pPr>
        <w:tabs>
          <w:tab w:val="left" w:pos="360"/>
        </w:tabs>
        <w:ind w:firstLine="480"/>
        <w:jc w:val="left"/>
        <w:rPr>
          <w:rFonts w:hint="eastAsia" w:ascii="宋体" w:hAnsi="宋体" w:cs="宋体"/>
          <w:bCs/>
          <w:sz w:val="24"/>
          <w:szCs w:val="21"/>
        </w:rPr>
      </w:pPr>
      <w:r>
        <w:rPr>
          <w:rFonts w:hint="eastAsia" w:ascii="宋体" w:hAnsi="宋体" w:cs="宋体"/>
          <w:bCs/>
          <w:sz w:val="24"/>
          <w:szCs w:val="21"/>
        </w:rPr>
        <w:t>（3）具有履行合同所必需的设备和专业技术能力；</w:t>
      </w:r>
    </w:p>
    <w:p w14:paraId="5416E672">
      <w:pPr>
        <w:tabs>
          <w:tab w:val="left" w:pos="360"/>
        </w:tabs>
        <w:ind w:firstLine="480"/>
        <w:jc w:val="left"/>
        <w:rPr>
          <w:rFonts w:hint="eastAsia" w:ascii="宋体" w:hAnsi="宋体" w:cs="宋体"/>
          <w:bCs/>
          <w:sz w:val="24"/>
          <w:szCs w:val="21"/>
        </w:rPr>
      </w:pPr>
      <w:r>
        <w:rPr>
          <w:rFonts w:hint="eastAsia" w:ascii="宋体" w:hAnsi="宋体" w:cs="宋体"/>
          <w:bCs/>
          <w:sz w:val="24"/>
          <w:szCs w:val="21"/>
        </w:rPr>
        <w:t>（4）有依法缴纳税收和社会保障资金的良好记录；</w:t>
      </w:r>
    </w:p>
    <w:p w14:paraId="0D9387E5">
      <w:pPr>
        <w:tabs>
          <w:tab w:val="left" w:pos="360"/>
        </w:tabs>
        <w:ind w:firstLine="480"/>
        <w:jc w:val="left"/>
        <w:rPr>
          <w:rFonts w:hint="eastAsia" w:ascii="宋体" w:hAnsi="宋体" w:cs="宋体"/>
          <w:bCs/>
          <w:sz w:val="24"/>
          <w:szCs w:val="21"/>
        </w:rPr>
      </w:pPr>
      <w:r>
        <w:rPr>
          <w:rFonts w:hint="eastAsia" w:ascii="宋体" w:hAnsi="宋体" w:cs="宋体"/>
          <w:bCs/>
          <w:sz w:val="24"/>
          <w:szCs w:val="21"/>
        </w:rPr>
        <w:t>（5）参加此项采购活动前三年内，在经营活动中没有重大违法记录。</w:t>
      </w:r>
    </w:p>
    <w:p w14:paraId="6FD125EB">
      <w:pPr>
        <w:tabs>
          <w:tab w:val="left" w:pos="360"/>
        </w:tabs>
        <w:ind w:firstLine="480"/>
        <w:jc w:val="left"/>
        <w:rPr>
          <w:rFonts w:hint="eastAsia" w:ascii="宋体" w:hAnsi="宋体" w:cs="宋体"/>
          <w:bCs/>
          <w:sz w:val="24"/>
          <w:szCs w:val="21"/>
        </w:rPr>
      </w:pPr>
      <w:r>
        <w:rPr>
          <w:rFonts w:hint="eastAsia" w:ascii="宋体" w:hAnsi="宋体" w:cs="宋体"/>
          <w:bCs/>
          <w:sz w:val="24"/>
          <w:szCs w:val="21"/>
        </w:rPr>
        <w:t>4.我方根据采购文件的规定，承担完成合同的责任和义务。</w:t>
      </w:r>
    </w:p>
    <w:p w14:paraId="45A89E62">
      <w:pPr>
        <w:tabs>
          <w:tab w:val="left" w:pos="360"/>
        </w:tabs>
        <w:ind w:firstLine="480"/>
        <w:jc w:val="left"/>
        <w:rPr>
          <w:rFonts w:hint="eastAsia" w:ascii="宋体" w:hAnsi="宋体" w:cs="宋体"/>
          <w:bCs/>
          <w:sz w:val="24"/>
          <w:szCs w:val="21"/>
        </w:rPr>
      </w:pPr>
      <w:r>
        <w:rPr>
          <w:rFonts w:hint="eastAsia" w:ascii="宋体" w:hAnsi="宋体" w:cs="宋体"/>
          <w:bCs/>
          <w:sz w:val="24"/>
          <w:szCs w:val="21"/>
        </w:rPr>
        <w:t>5.我方已详细审核采购文件，我方知道必须放弃提出含糊不清或误解问题的权利。</w:t>
      </w:r>
    </w:p>
    <w:p w14:paraId="70D0F2BC">
      <w:pPr>
        <w:tabs>
          <w:tab w:val="left" w:pos="360"/>
        </w:tabs>
        <w:ind w:firstLine="480"/>
        <w:jc w:val="left"/>
        <w:rPr>
          <w:rFonts w:hint="eastAsia" w:ascii="宋体" w:hAnsi="宋体" w:cs="宋体"/>
          <w:bCs/>
          <w:sz w:val="24"/>
          <w:szCs w:val="21"/>
        </w:rPr>
      </w:pPr>
      <w:r>
        <w:rPr>
          <w:rFonts w:hint="eastAsia" w:ascii="宋体" w:hAnsi="宋体" w:cs="宋体"/>
          <w:bCs/>
          <w:sz w:val="24"/>
          <w:szCs w:val="21"/>
        </w:rPr>
        <w:t>6.如果在响应文件有效期内撤回或者有其他违约行为，我方的保证金可被贵方全部或部分没收。</w:t>
      </w:r>
    </w:p>
    <w:p w14:paraId="1AFD0E09">
      <w:pPr>
        <w:tabs>
          <w:tab w:val="left" w:pos="360"/>
        </w:tabs>
        <w:ind w:firstLine="480"/>
        <w:jc w:val="left"/>
        <w:rPr>
          <w:rFonts w:hint="eastAsia" w:ascii="宋体" w:hAnsi="宋体" w:cs="宋体"/>
          <w:bCs/>
          <w:sz w:val="24"/>
          <w:szCs w:val="21"/>
        </w:rPr>
      </w:pPr>
      <w:r>
        <w:rPr>
          <w:rFonts w:hint="eastAsia" w:ascii="宋体" w:hAnsi="宋体" w:cs="宋体"/>
          <w:bCs/>
          <w:sz w:val="24"/>
          <w:szCs w:val="21"/>
        </w:rPr>
        <w:t>7.同意应贵方要求提供与本次采购活动有关的任何数据或资料。</w:t>
      </w:r>
    </w:p>
    <w:p w14:paraId="79102CEF">
      <w:pPr>
        <w:tabs>
          <w:tab w:val="left" w:pos="360"/>
        </w:tabs>
        <w:ind w:firstLine="480"/>
        <w:jc w:val="left"/>
        <w:rPr>
          <w:rFonts w:hint="eastAsia" w:ascii="宋体" w:hAnsi="宋体" w:cs="宋体"/>
          <w:bCs/>
          <w:sz w:val="24"/>
          <w:szCs w:val="21"/>
        </w:rPr>
      </w:pPr>
      <w:r>
        <w:rPr>
          <w:rFonts w:hint="eastAsia" w:ascii="宋体" w:hAnsi="宋体" w:cs="宋体"/>
          <w:bCs/>
          <w:sz w:val="24"/>
          <w:szCs w:val="21"/>
        </w:rPr>
        <w:t>8.我方完全理解，最低报价不是中标（成交）的唯一条件。</w:t>
      </w:r>
    </w:p>
    <w:p w14:paraId="7C98B978">
      <w:pPr>
        <w:tabs>
          <w:tab w:val="left" w:pos="360"/>
        </w:tabs>
        <w:ind w:firstLine="480"/>
        <w:jc w:val="left"/>
        <w:rPr>
          <w:rFonts w:hint="eastAsia" w:ascii="宋体" w:hAnsi="宋体" w:cs="宋体"/>
          <w:bCs/>
          <w:sz w:val="24"/>
          <w:szCs w:val="21"/>
        </w:rPr>
      </w:pPr>
      <w:r>
        <w:rPr>
          <w:rFonts w:hint="eastAsia" w:ascii="宋体" w:hAnsi="宋体" w:cs="宋体"/>
          <w:bCs/>
          <w:sz w:val="24"/>
          <w:szCs w:val="21"/>
        </w:rPr>
        <w:t>9.若贵方需要，我方愿意提供我方作出的一切承诺的证明材料。</w:t>
      </w:r>
    </w:p>
    <w:p w14:paraId="0A10191F">
      <w:pPr>
        <w:tabs>
          <w:tab w:val="left" w:pos="360"/>
        </w:tabs>
        <w:ind w:firstLine="480"/>
        <w:jc w:val="left"/>
        <w:rPr>
          <w:rFonts w:hint="eastAsia" w:ascii="宋体" w:hAnsi="宋体" w:cs="宋体"/>
          <w:bCs/>
          <w:sz w:val="24"/>
          <w:szCs w:val="21"/>
        </w:rPr>
      </w:pPr>
      <w:r>
        <w:rPr>
          <w:rFonts w:hint="eastAsia" w:ascii="宋体" w:hAnsi="宋体" w:cs="宋体"/>
          <w:bCs/>
          <w:sz w:val="24"/>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A07CBA">
      <w:pPr>
        <w:tabs>
          <w:tab w:val="left" w:pos="360"/>
        </w:tabs>
        <w:ind w:firstLine="480"/>
        <w:jc w:val="left"/>
        <w:rPr>
          <w:rFonts w:hint="eastAsia" w:ascii="宋体" w:hAnsi="宋体" w:cs="宋体"/>
          <w:bCs/>
          <w:sz w:val="24"/>
          <w:szCs w:val="21"/>
        </w:rPr>
      </w:pPr>
      <w:r>
        <w:rPr>
          <w:rFonts w:hint="eastAsia" w:ascii="宋体" w:hAnsi="宋体" w:cs="宋体"/>
          <w:bCs/>
          <w:sz w:val="24"/>
          <w:szCs w:val="21"/>
        </w:rPr>
        <w:t>（1）提供虚假材料谋取中标、成交的；</w:t>
      </w:r>
    </w:p>
    <w:p w14:paraId="75DDA377">
      <w:pPr>
        <w:tabs>
          <w:tab w:val="left" w:pos="360"/>
        </w:tabs>
        <w:ind w:firstLine="480"/>
        <w:jc w:val="left"/>
        <w:rPr>
          <w:rFonts w:hint="eastAsia" w:ascii="宋体" w:hAnsi="宋体" w:cs="宋体"/>
          <w:bCs/>
          <w:sz w:val="24"/>
          <w:szCs w:val="21"/>
        </w:rPr>
      </w:pPr>
      <w:r>
        <w:rPr>
          <w:rFonts w:hint="eastAsia" w:ascii="宋体" w:hAnsi="宋体" w:cs="宋体"/>
          <w:bCs/>
          <w:sz w:val="24"/>
          <w:szCs w:val="21"/>
        </w:rPr>
        <w:t>（2）采取不正当手段诋毁、排挤其他供应商的；</w:t>
      </w:r>
    </w:p>
    <w:p w14:paraId="52D4F966">
      <w:pPr>
        <w:tabs>
          <w:tab w:val="left" w:pos="360"/>
        </w:tabs>
        <w:ind w:firstLine="480"/>
        <w:jc w:val="left"/>
        <w:rPr>
          <w:rFonts w:hint="eastAsia" w:ascii="宋体" w:hAnsi="宋体" w:cs="宋体"/>
          <w:bCs/>
          <w:sz w:val="24"/>
          <w:szCs w:val="21"/>
        </w:rPr>
      </w:pPr>
      <w:r>
        <w:rPr>
          <w:rFonts w:hint="eastAsia" w:ascii="宋体" w:hAnsi="宋体" w:cs="宋体"/>
          <w:bCs/>
          <w:sz w:val="24"/>
          <w:szCs w:val="21"/>
        </w:rPr>
        <w:t>（3）与采购人、其他供应商或者采购代理机构恶意串通的；</w:t>
      </w:r>
    </w:p>
    <w:p w14:paraId="4F70B0EB">
      <w:pPr>
        <w:tabs>
          <w:tab w:val="left" w:pos="360"/>
        </w:tabs>
        <w:ind w:firstLine="480"/>
        <w:jc w:val="left"/>
        <w:rPr>
          <w:rFonts w:hint="eastAsia" w:ascii="宋体" w:hAnsi="宋体" w:cs="宋体"/>
          <w:bCs/>
          <w:sz w:val="24"/>
          <w:szCs w:val="21"/>
        </w:rPr>
      </w:pPr>
      <w:r>
        <w:rPr>
          <w:rFonts w:hint="eastAsia" w:ascii="宋体" w:hAnsi="宋体" w:cs="宋体"/>
          <w:bCs/>
          <w:sz w:val="24"/>
          <w:szCs w:val="21"/>
        </w:rPr>
        <w:t>（4）向采购人、采购代理机构行贿或者提供其他不正当利益的；</w:t>
      </w:r>
    </w:p>
    <w:p w14:paraId="314012AB">
      <w:pPr>
        <w:tabs>
          <w:tab w:val="left" w:pos="360"/>
        </w:tabs>
        <w:ind w:firstLine="480"/>
        <w:jc w:val="left"/>
        <w:rPr>
          <w:rFonts w:hint="eastAsia" w:ascii="宋体" w:hAnsi="宋体" w:cs="宋体"/>
          <w:bCs/>
          <w:sz w:val="24"/>
          <w:szCs w:val="21"/>
        </w:rPr>
      </w:pPr>
      <w:r>
        <w:rPr>
          <w:rFonts w:hint="eastAsia" w:ascii="宋体" w:hAnsi="宋体" w:cs="宋体"/>
          <w:bCs/>
          <w:sz w:val="24"/>
          <w:szCs w:val="21"/>
        </w:rPr>
        <w:t>（5）在招标采购过程中与采购人进行协商谈判的；</w:t>
      </w:r>
    </w:p>
    <w:p w14:paraId="02190829">
      <w:pPr>
        <w:tabs>
          <w:tab w:val="left" w:pos="360"/>
        </w:tabs>
        <w:ind w:firstLine="480"/>
        <w:jc w:val="left"/>
        <w:rPr>
          <w:rFonts w:hint="eastAsia" w:ascii="宋体" w:hAnsi="宋体" w:cs="宋体"/>
          <w:bCs/>
          <w:sz w:val="24"/>
          <w:szCs w:val="21"/>
        </w:rPr>
      </w:pPr>
      <w:r>
        <w:rPr>
          <w:rFonts w:hint="eastAsia" w:ascii="宋体" w:hAnsi="宋体" w:cs="宋体"/>
          <w:bCs/>
          <w:sz w:val="24"/>
          <w:szCs w:val="21"/>
        </w:rPr>
        <w:t>（6）拒绝有关部门监督检查或提供虚假情况的。</w:t>
      </w:r>
    </w:p>
    <w:p w14:paraId="155ABECD">
      <w:pPr>
        <w:tabs>
          <w:tab w:val="left" w:pos="360"/>
        </w:tabs>
        <w:ind w:firstLine="480"/>
        <w:jc w:val="left"/>
        <w:rPr>
          <w:rFonts w:hint="eastAsia" w:ascii="宋体" w:hAnsi="宋体" w:cs="宋体"/>
          <w:bCs/>
          <w:sz w:val="24"/>
          <w:szCs w:val="21"/>
        </w:rPr>
      </w:pPr>
    </w:p>
    <w:p w14:paraId="555670E7">
      <w:pPr>
        <w:tabs>
          <w:tab w:val="left" w:pos="360"/>
        </w:tabs>
        <w:ind w:firstLine="480"/>
        <w:jc w:val="left"/>
        <w:rPr>
          <w:rFonts w:hint="eastAsia" w:ascii="宋体" w:hAnsi="宋体" w:cs="宋体"/>
          <w:bCs/>
          <w:sz w:val="24"/>
          <w:szCs w:val="21"/>
        </w:rPr>
      </w:pPr>
      <w:r>
        <w:rPr>
          <w:rFonts w:hint="eastAsia" w:ascii="宋体" w:hAnsi="宋体" w:cs="宋体"/>
          <w:bCs/>
          <w:sz w:val="24"/>
          <w:szCs w:val="21"/>
        </w:rPr>
        <w:t>法定代表人或其委托代理人签字（或盖章）：</w:t>
      </w:r>
    </w:p>
    <w:p w14:paraId="703621C3">
      <w:pPr>
        <w:tabs>
          <w:tab w:val="left" w:pos="360"/>
        </w:tabs>
        <w:ind w:firstLine="480"/>
        <w:jc w:val="left"/>
        <w:rPr>
          <w:rFonts w:hint="eastAsia" w:ascii="宋体" w:hAnsi="宋体" w:cs="宋体"/>
          <w:bCs/>
          <w:sz w:val="24"/>
          <w:szCs w:val="21"/>
        </w:rPr>
      </w:pPr>
      <w:r>
        <w:rPr>
          <w:rFonts w:hint="eastAsia" w:ascii="宋体" w:hAnsi="宋体" w:cs="宋体"/>
          <w:bCs/>
          <w:sz w:val="24"/>
          <w:szCs w:val="21"/>
        </w:rPr>
        <w:t xml:space="preserve">供应商公章： </w:t>
      </w:r>
    </w:p>
    <w:p w14:paraId="67BA197E">
      <w:pPr>
        <w:tabs>
          <w:tab w:val="left" w:pos="360"/>
        </w:tabs>
        <w:ind w:firstLine="480"/>
        <w:jc w:val="left"/>
        <w:rPr>
          <w:rFonts w:hint="eastAsia" w:ascii="宋体" w:hAnsi="宋体" w:cs="宋体"/>
          <w:bCs/>
          <w:sz w:val="24"/>
          <w:szCs w:val="21"/>
        </w:rPr>
      </w:pPr>
      <w:r>
        <w:rPr>
          <w:rFonts w:hint="eastAsia" w:ascii="宋体" w:hAnsi="宋体" w:cs="宋体"/>
          <w:bCs/>
          <w:sz w:val="24"/>
          <w:szCs w:val="21"/>
        </w:rPr>
        <w:t xml:space="preserve">日期： </w:t>
      </w:r>
    </w:p>
    <w:p w14:paraId="6970E717">
      <w:pPr>
        <w:spacing w:before="120" w:after="120"/>
        <w:jc w:val="left"/>
        <w:outlineLvl w:val="1"/>
        <w:rPr>
          <w:rFonts w:hint="eastAsia" w:ascii="宋体" w:hAnsi="宋体" w:cs="宋体"/>
          <w:b/>
          <w:szCs w:val="24"/>
        </w:rPr>
      </w:pPr>
      <w:r>
        <w:rPr>
          <w:rFonts w:hint="eastAsia" w:ascii="宋体" w:hAnsi="宋体" w:cs="宋体"/>
          <w:b/>
          <w:szCs w:val="24"/>
        </w:rPr>
        <w:br w:type="page" w:clear="all"/>
      </w:r>
      <w:bookmarkStart w:id="193" w:name="_Toc5993"/>
      <w:bookmarkStart w:id="194" w:name="_Toc12017"/>
      <w:bookmarkStart w:id="195" w:name="_Toc10218"/>
      <w:r>
        <w:rPr>
          <w:rFonts w:hint="eastAsia" w:ascii="宋体" w:hAnsi="宋体" w:cs="宋体"/>
          <w:bCs/>
          <w:sz w:val="24"/>
          <w:szCs w:val="28"/>
        </w:rPr>
        <w:t>格式2、首次磋商报价表（开标一览表）</w:t>
      </w:r>
      <w:bookmarkEnd w:id="193"/>
      <w:bookmarkEnd w:id="194"/>
      <w:bookmarkEnd w:id="195"/>
    </w:p>
    <w:p w14:paraId="2B5E41E9">
      <w:pPr>
        <w:spacing w:before="286" w:after="286"/>
        <w:jc w:val="center"/>
        <w:rPr>
          <w:rFonts w:hint="eastAsia" w:ascii="宋体" w:hAnsi="宋体" w:cs="宋体"/>
          <w:bCs/>
          <w:sz w:val="36"/>
          <w:szCs w:val="28"/>
        </w:rPr>
      </w:pPr>
      <w:r>
        <w:rPr>
          <w:rFonts w:hint="eastAsia" w:ascii="宋体" w:hAnsi="宋体" w:cs="宋体"/>
          <w:bCs/>
          <w:sz w:val="36"/>
          <w:szCs w:val="28"/>
        </w:rPr>
        <w:t>首次磋商报价表（开标一览表）</w:t>
      </w:r>
    </w:p>
    <w:p w14:paraId="5A135857">
      <w:pPr>
        <w:ind w:firstLine="720"/>
        <w:jc w:val="left"/>
        <w:rPr>
          <w:rFonts w:hint="eastAsia" w:ascii="宋体" w:hAnsi="宋体" w:cs="宋体"/>
          <w:sz w:val="24"/>
          <w:szCs w:val="24"/>
        </w:rPr>
      </w:pPr>
    </w:p>
    <w:p w14:paraId="3330F37F">
      <w:pPr>
        <w:ind w:firstLine="720"/>
        <w:jc w:val="left"/>
        <w:rPr>
          <w:rFonts w:hint="eastAsia" w:ascii="宋体" w:hAnsi="宋体" w:cs="宋体"/>
          <w:sz w:val="24"/>
          <w:szCs w:val="24"/>
        </w:rPr>
      </w:pPr>
      <w:r>
        <w:rPr>
          <w:rFonts w:hint="eastAsia" w:ascii="宋体" w:hAnsi="宋体" w:cs="宋体"/>
          <w:sz w:val="24"/>
          <w:szCs w:val="24"/>
        </w:rPr>
        <w:t>项目名称：</w:t>
      </w:r>
    </w:p>
    <w:p w14:paraId="77FA2C92">
      <w:pPr>
        <w:ind w:firstLine="720"/>
        <w:jc w:val="left"/>
        <w:rPr>
          <w:rFonts w:hint="eastAsia" w:ascii="宋体" w:hAnsi="宋体" w:cs="宋体"/>
          <w:sz w:val="24"/>
          <w:szCs w:val="24"/>
        </w:rPr>
      </w:pPr>
      <w:r>
        <w:rPr>
          <w:rFonts w:hint="eastAsia" w:ascii="宋体" w:hAnsi="宋体" w:cs="宋体"/>
          <w:sz w:val="24"/>
          <w:szCs w:val="24"/>
        </w:rPr>
        <w:t>项目编号：</w:t>
      </w:r>
    </w:p>
    <w:p w14:paraId="538CCA49">
      <w:pPr>
        <w:rPr>
          <w:rFonts w:hint="eastAsia" w:ascii="宋体" w:hAnsi="宋体" w:cs="宋体"/>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59"/>
        <w:gridCol w:w="3651"/>
      </w:tblGrid>
      <w:tr w14:paraId="61018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759" w:type="dxa"/>
            <w:vAlign w:val="center"/>
          </w:tcPr>
          <w:p w14:paraId="5B392610">
            <w:pPr>
              <w:jc w:val="center"/>
              <w:rPr>
                <w:rFonts w:hint="eastAsia" w:ascii="宋体" w:hAnsi="宋体" w:cs="宋体"/>
                <w:bCs/>
                <w:sz w:val="24"/>
                <w:szCs w:val="24"/>
              </w:rPr>
            </w:pPr>
            <w:r>
              <w:rPr>
                <w:rFonts w:hint="eastAsia" w:ascii="宋体" w:hAnsi="宋体" w:cs="宋体"/>
                <w:bCs/>
                <w:sz w:val="24"/>
                <w:szCs w:val="24"/>
              </w:rPr>
              <w:t>标题</w:t>
            </w:r>
          </w:p>
        </w:tc>
        <w:tc>
          <w:tcPr>
            <w:tcW w:w="3651" w:type="dxa"/>
            <w:vAlign w:val="center"/>
          </w:tcPr>
          <w:p w14:paraId="3A7621F5">
            <w:pPr>
              <w:jc w:val="center"/>
              <w:rPr>
                <w:rFonts w:hint="eastAsia" w:ascii="宋体" w:hAnsi="宋体" w:cs="宋体"/>
                <w:sz w:val="24"/>
                <w:szCs w:val="24"/>
              </w:rPr>
            </w:pPr>
            <w:r>
              <w:rPr>
                <w:rFonts w:hint="eastAsia" w:ascii="宋体" w:hAnsi="宋体" w:cs="宋体"/>
                <w:sz w:val="24"/>
                <w:szCs w:val="24"/>
              </w:rPr>
              <w:t>内容</w:t>
            </w:r>
          </w:p>
        </w:tc>
      </w:tr>
      <w:tr w14:paraId="0ED7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759" w:type="dxa"/>
            <w:vAlign w:val="center"/>
          </w:tcPr>
          <w:p w14:paraId="13BCA85E">
            <w:pPr>
              <w:jc w:val="center"/>
              <w:rPr>
                <w:rFonts w:hint="eastAsia" w:ascii="宋体" w:hAnsi="宋体" w:cs="宋体"/>
                <w:bCs/>
                <w:sz w:val="24"/>
                <w:szCs w:val="24"/>
              </w:rPr>
            </w:pPr>
            <w:r>
              <w:rPr>
                <w:rFonts w:hint="eastAsia" w:ascii="宋体" w:hAnsi="宋体" w:cs="宋体"/>
                <w:bCs/>
                <w:sz w:val="24"/>
                <w:szCs w:val="24"/>
              </w:rPr>
              <w:t>响应报价（元）</w:t>
            </w:r>
          </w:p>
        </w:tc>
        <w:tc>
          <w:tcPr>
            <w:tcW w:w="3651" w:type="dxa"/>
            <w:vAlign w:val="center"/>
          </w:tcPr>
          <w:p w14:paraId="4793DED0">
            <w:pPr>
              <w:jc w:val="center"/>
              <w:rPr>
                <w:rFonts w:hint="eastAsia" w:ascii="宋体" w:hAnsi="宋体" w:cs="宋体"/>
                <w:sz w:val="24"/>
                <w:szCs w:val="24"/>
              </w:rPr>
            </w:pPr>
          </w:p>
        </w:tc>
      </w:tr>
      <w:tr w14:paraId="1BEDE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759" w:type="dxa"/>
            <w:vAlign w:val="center"/>
          </w:tcPr>
          <w:p w14:paraId="01701042">
            <w:pPr>
              <w:jc w:val="center"/>
              <w:rPr>
                <w:rFonts w:hint="eastAsia" w:ascii="宋体" w:hAnsi="宋体" w:cs="宋体"/>
                <w:bCs/>
                <w:sz w:val="24"/>
                <w:szCs w:val="24"/>
              </w:rPr>
            </w:pPr>
            <w:r>
              <w:rPr>
                <w:rFonts w:hint="eastAsia" w:ascii="宋体" w:hAnsi="宋体" w:cs="宋体"/>
                <w:bCs/>
                <w:sz w:val="24"/>
                <w:szCs w:val="24"/>
              </w:rPr>
              <w:t>服务期限</w:t>
            </w:r>
          </w:p>
        </w:tc>
        <w:tc>
          <w:tcPr>
            <w:tcW w:w="3651" w:type="dxa"/>
            <w:vAlign w:val="center"/>
          </w:tcPr>
          <w:p w14:paraId="432C776A">
            <w:pPr>
              <w:jc w:val="center"/>
              <w:rPr>
                <w:rFonts w:hint="eastAsia" w:ascii="宋体" w:hAnsi="宋体" w:cs="宋体"/>
                <w:sz w:val="24"/>
                <w:szCs w:val="24"/>
              </w:rPr>
            </w:pPr>
            <w:r>
              <w:rPr>
                <w:rFonts w:hint="eastAsia" w:ascii="宋体" w:hAnsi="宋体"/>
                <w:sz w:val="24"/>
                <w:szCs w:val="24"/>
              </w:rPr>
              <w:t>一年</w:t>
            </w:r>
          </w:p>
        </w:tc>
      </w:tr>
    </w:tbl>
    <w:p w14:paraId="10349121">
      <w:pPr>
        <w:ind w:firstLine="480"/>
        <w:jc w:val="left"/>
        <w:rPr>
          <w:rFonts w:hint="eastAsia" w:ascii="宋体" w:hAnsi="宋体" w:cs="宋体"/>
          <w:bCs/>
          <w:sz w:val="24"/>
          <w:szCs w:val="24"/>
        </w:rPr>
      </w:pPr>
    </w:p>
    <w:p w14:paraId="4BB06845">
      <w:pPr>
        <w:jc w:val="left"/>
        <w:rPr>
          <w:rFonts w:hint="eastAsia" w:ascii="宋体" w:hAnsi="宋体" w:cs="宋体"/>
          <w:bCs/>
          <w:sz w:val="24"/>
          <w:szCs w:val="24"/>
        </w:rPr>
      </w:pPr>
    </w:p>
    <w:p w14:paraId="499CEB45">
      <w:pPr>
        <w:jc w:val="left"/>
        <w:rPr>
          <w:rFonts w:hint="eastAsia" w:ascii="宋体" w:hAnsi="宋体" w:cs="宋体"/>
          <w:bCs/>
          <w:sz w:val="24"/>
          <w:szCs w:val="24"/>
        </w:rPr>
      </w:pPr>
    </w:p>
    <w:p w14:paraId="23FA857E">
      <w:pPr>
        <w:jc w:val="left"/>
        <w:rPr>
          <w:rFonts w:hint="eastAsia" w:ascii="宋体" w:hAnsi="宋体" w:cs="宋体"/>
          <w:bCs/>
          <w:sz w:val="24"/>
          <w:szCs w:val="24"/>
        </w:rPr>
      </w:pPr>
    </w:p>
    <w:p w14:paraId="5CDFFAEE">
      <w:pPr>
        <w:jc w:val="left"/>
        <w:rPr>
          <w:rFonts w:hint="eastAsia" w:ascii="宋体" w:hAnsi="宋体" w:cs="宋体"/>
          <w:bCs/>
          <w:sz w:val="24"/>
          <w:szCs w:val="24"/>
        </w:rPr>
      </w:pPr>
      <w:r>
        <w:rPr>
          <w:rFonts w:hint="eastAsia" w:ascii="宋体" w:hAnsi="宋体" w:cs="宋体"/>
          <w:bCs/>
          <w:sz w:val="24"/>
          <w:szCs w:val="24"/>
        </w:rPr>
        <w:t>供应商（盖章）：</w:t>
      </w:r>
    </w:p>
    <w:p w14:paraId="17AA533B">
      <w:pPr>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7C47BEF2">
      <w:pPr>
        <w:jc w:val="left"/>
        <w:rPr>
          <w:rFonts w:hint="eastAsia" w:ascii="宋体" w:hAnsi="宋体" w:cs="宋体"/>
          <w:bCs/>
          <w:sz w:val="24"/>
          <w:szCs w:val="24"/>
        </w:rPr>
      </w:pPr>
      <w:r>
        <w:rPr>
          <w:rFonts w:hint="eastAsia" w:ascii="宋体" w:hAnsi="宋体" w:cs="宋体"/>
          <w:bCs/>
          <w:sz w:val="24"/>
          <w:szCs w:val="24"/>
        </w:rPr>
        <w:t>日期：    年     月     日</w:t>
      </w:r>
    </w:p>
    <w:p w14:paraId="677532D0">
      <w:pPr>
        <w:ind w:firstLine="420"/>
        <w:rPr>
          <w:rFonts w:hint="eastAsia" w:ascii="宋体" w:hAnsi="宋体" w:cs="宋体"/>
          <w:szCs w:val="24"/>
        </w:rPr>
      </w:pPr>
    </w:p>
    <w:p w14:paraId="162B3ACB">
      <w:pPr>
        <w:spacing w:before="120" w:after="120"/>
        <w:jc w:val="left"/>
        <w:outlineLvl w:val="1"/>
        <w:rPr>
          <w:rFonts w:hint="eastAsia" w:ascii="宋体" w:hAnsi="宋体" w:cs="宋体"/>
          <w:b/>
          <w:sz w:val="24"/>
          <w:szCs w:val="24"/>
        </w:rPr>
      </w:pPr>
      <w:r>
        <w:rPr>
          <w:rFonts w:hint="eastAsia" w:ascii="宋体" w:hAnsi="宋体" w:cs="宋体"/>
          <w:b/>
          <w:sz w:val="24"/>
          <w:szCs w:val="24"/>
        </w:rPr>
        <w:br w:type="page" w:clear="all"/>
      </w:r>
      <w:bookmarkStart w:id="196" w:name="_Toc24227"/>
      <w:bookmarkStart w:id="197" w:name="_Toc1395"/>
      <w:bookmarkStart w:id="198" w:name="_Toc14459"/>
      <w:r>
        <w:rPr>
          <w:rFonts w:hint="eastAsia" w:ascii="宋体" w:hAnsi="宋体" w:cs="宋体"/>
          <w:bCs/>
          <w:sz w:val="24"/>
          <w:szCs w:val="28"/>
        </w:rPr>
        <w:t>格式3、首次磋商报价明细表（报价明细表）</w:t>
      </w:r>
      <w:bookmarkEnd w:id="196"/>
      <w:bookmarkEnd w:id="197"/>
      <w:bookmarkEnd w:id="198"/>
    </w:p>
    <w:p w14:paraId="137B406F">
      <w:pPr>
        <w:jc w:val="center"/>
        <w:rPr>
          <w:rFonts w:hint="eastAsia" w:ascii="宋体" w:hAnsi="宋体" w:cs="宋体"/>
          <w:bCs/>
          <w:sz w:val="36"/>
          <w:szCs w:val="28"/>
        </w:rPr>
      </w:pPr>
      <w:r>
        <w:rPr>
          <w:rFonts w:hint="eastAsia" w:ascii="宋体" w:hAnsi="宋体" w:cs="宋体"/>
          <w:bCs/>
          <w:sz w:val="36"/>
          <w:szCs w:val="28"/>
        </w:rPr>
        <w:t>首次磋商报价明细表</w:t>
      </w:r>
    </w:p>
    <w:p w14:paraId="7A63AF1F">
      <w:pPr>
        <w:jc w:val="left"/>
        <w:rPr>
          <w:rFonts w:hint="eastAsia" w:ascii="宋体" w:hAnsi="宋体" w:cs="宋体"/>
          <w:sz w:val="24"/>
          <w:szCs w:val="24"/>
        </w:rPr>
      </w:pPr>
      <w:r>
        <w:rPr>
          <w:rFonts w:hint="eastAsia" w:ascii="宋体" w:hAnsi="宋体" w:cs="宋体"/>
          <w:sz w:val="24"/>
          <w:szCs w:val="24"/>
        </w:rPr>
        <w:t xml:space="preserve">项目名称：                  </w:t>
      </w:r>
    </w:p>
    <w:p w14:paraId="5D423F6E">
      <w:pPr>
        <w:jc w:val="left"/>
        <w:rPr>
          <w:rFonts w:hint="eastAsia" w:ascii="宋体" w:hAnsi="宋体" w:cs="宋体"/>
          <w:szCs w:val="24"/>
        </w:rPr>
      </w:pPr>
      <w:r>
        <w:rPr>
          <w:rFonts w:hint="eastAsia" w:ascii="宋体" w:hAnsi="宋体" w:cs="宋体"/>
          <w:sz w:val="24"/>
          <w:szCs w:val="24"/>
        </w:rPr>
        <w:t>项目编号：</w:t>
      </w:r>
    </w:p>
    <w:p w14:paraId="518852E0">
      <w:pPr>
        <w:ind w:right="960"/>
        <w:jc w:val="right"/>
        <w:rPr>
          <w:rFonts w:hint="eastAsia" w:ascii="宋体" w:hAnsi="宋体" w:cs="宋体"/>
          <w:sz w:val="24"/>
          <w:szCs w:val="24"/>
        </w:rPr>
      </w:pPr>
      <w:r>
        <w:rPr>
          <w:rFonts w:hint="eastAsia" w:ascii="宋体" w:hAnsi="宋体" w:cs="宋体"/>
          <w:sz w:val="24"/>
          <w:szCs w:val="24"/>
        </w:rPr>
        <w:t>单位：元</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1D971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75E03523">
            <w:pPr>
              <w:jc w:val="center"/>
              <w:rPr>
                <w:rFonts w:hint="eastAsia" w:ascii="宋体" w:hAnsi="宋体" w:cs="宋体"/>
                <w:sz w:val="24"/>
                <w:szCs w:val="24"/>
              </w:rPr>
            </w:pPr>
            <w:r>
              <w:rPr>
                <w:rFonts w:hint="eastAsia" w:ascii="宋体" w:hAnsi="宋体" w:cs="宋体"/>
                <w:sz w:val="24"/>
                <w:szCs w:val="24"/>
              </w:rPr>
              <w:t>序号</w:t>
            </w:r>
          </w:p>
        </w:tc>
        <w:tc>
          <w:tcPr>
            <w:tcW w:w="1417" w:type="dxa"/>
            <w:vAlign w:val="center"/>
          </w:tcPr>
          <w:p w14:paraId="356370C8">
            <w:pPr>
              <w:jc w:val="center"/>
              <w:rPr>
                <w:rFonts w:hint="eastAsia" w:ascii="宋体" w:hAnsi="宋体" w:cs="宋体"/>
                <w:sz w:val="24"/>
                <w:szCs w:val="24"/>
              </w:rPr>
            </w:pPr>
            <w:r>
              <w:rPr>
                <w:rFonts w:hint="eastAsia" w:ascii="宋体" w:hAnsi="宋体" w:cs="宋体"/>
                <w:sz w:val="24"/>
                <w:szCs w:val="24"/>
              </w:rPr>
              <w:t>产品、服务名称</w:t>
            </w:r>
          </w:p>
        </w:tc>
        <w:tc>
          <w:tcPr>
            <w:tcW w:w="1560" w:type="dxa"/>
            <w:vAlign w:val="center"/>
          </w:tcPr>
          <w:p w14:paraId="42EA863E">
            <w:pPr>
              <w:jc w:val="center"/>
              <w:rPr>
                <w:rFonts w:hint="eastAsia" w:ascii="宋体" w:hAnsi="宋体" w:cs="宋体"/>
                <w:sz w:val="24"/>
                <w:szCs w:val="24"/>
              </w:rPr>
            </w:pPr>
            <w:r>
              <w:rPr>
                <w:rFonts w:hint="eastAsia" w:ascii="宋体" w:hAnsi="宋体" w:cs="宋体"/>
                <w:sz w:val="24"/>
                <w:szCs w:val="24"/>
              </w:rPr>
              <w:t>分项单位</w:t>
            </w:r>
          </w:p>
        </w:tc>
        <w:tc>
          <w:tcPr>
            <w:tcW w:w="1275" w:type="dxa"/>
            <w:vAlign w:val="center"/>
          </w:tcPr>
          <w:p w14:paraId="3A2CCD58">
            <w:pPr>
              <w:jc w:val="center"/>
              <w:rPr>
                <w:rFonts w:hint="eastAsia" w:ascii="宋体" w:hAnsi="宋体" w:cs="宋体"/>
                <w:sz w:val="24"/>
                <w:szCs w:val="24"/>
              </w:rPr>
            </w:pPr>
            <w:r>
              <w:rPr>
                <w:rFonts w:hint="eastAsia" w:ascii="宋体" w:hAnsi="宋体" w:cs="宋体"/>
                <w:sz w:val="24"/>
                <w:szCs w:val="24"/>
              </w:rPr>
              <w:t>数量</w:t>
            </w:r>
          </w:p>
        </w:tc>
        <w:tc>
          <w:tcPr>
            <w:tcW w:w="1418" w:type="dxa"/>
            <w:vAlign w:val="center"/>
          </w:tcPr>
          <w:p w14:paraId="63CE741F">
            <w:pPr>
              <w:jc w:val="center"/>
              <w:rPr>
                <w:rFonts w:hint="eastAsia" w:ascii="宋体" w:hAnsi="宋体" w:cs="宋体"/>
                <w:sz w:val="24"/>
                <w:szCs w:val="24"/>
              </w:rPr>
            </w:pPr>
            <w:r>
              <w:rPr>
                <w:rFonts w:hint="eastAsia" w:ascii="宋体" w:hAnsi="宋体" w:cs="宋体"/>
                <w:sz w:val="24"/>
                <w:szCs w:val="24"/>
              </w:rPr>
              <w:t>单价</w:t>
            </w:r>
          </w:p>
        </w:tc>
        <w:tc>
          <w:tcPr>
            <w:tcW w:w="2551" w:type="dxa"/>
            <w:vAlign w:val="center"/>
          </w:tcPr>
          <w:p w14:paraId="0249AA39">
            <w:pPr>
              <w:jc w:val="center"/>
              <w:rPr>
                <w:rFonts w:hint="eastAsia" w:ascii="宋体" w:hAnsi="宋体" w:cs="宋体"/>
                <w:sz w:val="24"/>
                <w:szCs w:val="24"/>
              </w:rPr>
            </w:pPr>
            <w:r>
              <w:rPr>
                <w:rFonts w:hint="eastAsia" w:ascii="宋体" w:hAnsi="宋体" w:cs="宋体"/>
                <w:sz w:val="24"/>
                <w:szCs w:val="24"/>
              </w:rPr>
              <w:t>单项</w:t>
            </w:r>
          </w:p>
          <w:p w14:paraId="5F1401D4">
            <w:pPr>
              <w:jc w:val="center"/>
              <w:rPr>
                <w:rFonts w:hint="eastAsia" w:ascii="宋体" w:hAnsi="宋体" w:cs="宋体"/>
                <w:sz w:val="24"/>
                <w:szCs w:val="24"/>
              </w:rPr>
            </w:pPr>
            <w:r>
              <w:rPr>
                <w:rFonts w:hint="eastAsia" w:ascii="宋体" w:hAnsi="宋体" w:cs="宋体"/>
                <w:sz w:val="24"/>
                <w:szCs w:val="24"/>
              </w:rPr>
              <w:t>合计价</w:t>
            </w:r>
          </w:p>
        </w:tc>
      </w:tr>
      <w:tr w14:paraId="0CFBB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48C99560">
            <w:pPr>
              <w:jc w:val="center"/>
              <w:rPr>
                <w:rFonts w:hint="eastAsia" w:ascii="宋体" w:hAnsi="宋体" w:cs="宋体"/>
                <w:sz w:val="24"/>
                <w:szCs w:val="24"/>
              </w:rPr>
            </w:pPr>
          </w:p>
        </w:tc>
        <w:tc>
          <w:tcPr>
            <w:tcW w:w="1417" w:type="dxa"/>
            <w:vAlign w:val="center"/>
          </w:tcPr>
          <w:p w14:paraId="78745146">
            <w:pPr>
              <w:jc w:val="center"/>
              <w:rPr>
                <w:rFonts w:hint="eastAsia" w:ascii="宋体" w:hAnsi="宋体" w:cs="宋体"/>
                <w:sz w:val="24"/>
                <w:szCs w:val="24"/>
              </w:rPr>
            </w:pPr>
          </w:p>
        </w:tc>
        <w:tc>
          <w:tcPr>
            <w:tcW w:w="1560" w:type="dxa"/>
            <w:vAlign w:val="center"/>
          </w:tcPr>
          <w:p w14:paraId="215EDC9F">
            <w:pPr>
              <w:jc w:val="center"/>
              <w:rPr>
                <w:rFonts w:hint="eastAsia" w:ascii="宋体" w:hAnsi="宋体" w:cs="宋体"/>
                <w:sz w:val="24"/>
                <w:szCs w:val="24"/>
              </w:rPr>
            </w:pPr>
          </w:p>
        </w:tc>
        <w:tc>
          <w:tcPr>
            <w:tcW w:w="1275" w:type="dxa"/>
            <w:vAlign w:val="center"/>
          </w:tcPr>
          <w:p w14:paraId="4F4292B5">
            <w:pPr>
              <w:jc w:val="center"/>
              <w:rPr>
                <w:rFonts w:hint="eastAsia" w:ascii="宋体" w:hAnsi="宋体" w:cs="宋体"/>
                <w:sz w:val="24"/>
                <w:szCs w:val="24"/>
              </w:rPr>
            </w:pPr>
          </w:p>
        </w:tc>
        <w:tc>
          <w:tcPr>
            <w:tcW w:w="1418" w:type="dxa"/>
            <w:vAlign w:val="center"/>
          </w:tcPr>
          <w:p w14:paraId="48030684">
            <w:pPr>
              <w:jc w:val="center"/>
              <w:rPr>
                <w:rFonts w:hint="eastAsia" w:ascii="宋体" w:hAnsi="宋体" w:cs="宋体"/>
                <w:sz w:val="24"/>
                <w:szCs w:val="24"/>
              </w:rPr>
            </w:pPr>
          </w:p>
        </w:tc>
        <w:tc>
          <w:tcPr>
            <w:tcW w:w="2551" w:type="dxa"/>
            <w:vAlign w:val="center"/>
          </w:tcPr>
          <w:p w14:paraId="371DCAD9">
            <w:pPr>
              <w:jc w:val="center"/>
              <w:rPr>
                <w:rFonts w:hint="eastAsia" w:ascii="宋体" w:hAnsi="宋体" w:cs="宋体"/>
                <w:sz w:val="24"/>
                <w:szCs w:val="24"/>
              </w:rPr>
            </w:pPr>
          </w:p>
        </w:tc>
      </w:tr>
      <w:tr w14:paraId="49BD7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2FF3457A">
            <w:pPr>
              <w:jc w:val="center"/>
              <w:rPr>
                <w:rFonts w:hint="eastAsia" w:ascii="宋体" w:hAnsi="宋体" w:cs="宋体"/>
                <w:sz w:val="24"/>
                <w:szCs w:val="24"/>
              </w:rPr>
            </w:pPr>
          </w:p>
        </w:tc>
        <w:tc>
          <w:tcPr>
            <w:tcW w:w="1417" w:type="dxa"/>
            <w:vAlign w:val="center"/>
          </w:tcPr>
          <w:p w14:paraId="22BD352F">
            <w:pPr>
              <w:jc w:val="center"/>
              <w:rPr>
                <w:rFonts w:hint="eastAsia" w:ascii="宋体" w:hAnsi="宋体" w:cs="宋体"/>
                <w:sz w:val="24"/>
                <w:szCs w:val="24"/>
              </w:rPr>
            </w:pPr>
          </w:p>
        </w:tc>
        <w:tc>
          <w:tcPr>
            <w:tcW w:w="1560" w:type="dxa"/>
            <w:vAlign w:val="center"/>
          </w:tcPr>
          <w:p w14:paraId="4FAE1A13">
            <w:pPr>
              <w:jc w:val="center"/>
              <w:rPr>
                <w:rFonts w:hint="eastAsia" w:ascii="宋体" w:hAnsi="宋体" w:cs="宋体"/>
                <w:sz w:val="24"/>
                <w:szCs w:val="24"/>
              </w:rPr>
            </w:pPr>
          </w:p>
        </w:tc>
        <w:tc>
          <w:tcPr>
            <w:tcW w:w="1275" w:type="dxa"/>
            <w:vAlign w:val="center"/>
          </w:tcPr>
          <w:p w14:paraId="652B281C">
            <w:pPr>
              <w:jc w:val="center"/>
              <w:rPr>
                <w:rFonts w:hint="eastAsia" w:ascii="宋体" w:hAnsi="宋体" w:cs="宋体"/>
                <w:sz w:val="24"/>
                <w:szCs w:val="24"/>
              </w:rPr>
            </w:pPr>
          </w:p>
        </w:tc>
        <w:tc>
          <w:tcPr>
            <w:tcW w:w="1418" w:type="dxa"/>
            <w:vAlign w:val="center"/>
          </w:tcPr>
          <w:p w14:paraId="43AEB8E0">
            <w:pPr>
              <w:jc w:val="center"/>
              <w:rPr>
                <w:rFonts w:hint="eastAsia" w:ascii="宋体" w:hAnsi="宋体" w:cs="宋体"/>
                <w:sz w:val="24"/>
                <w:szCs w:val="24"/>
              </w:rPr>
            </w:pPr>
          </w:p>
        </w:tc>
        <w:tc>
          <w:tcPr>
            <w:tcW w:w="2551" w:type="dxa"/>
            <w:vAlign w:val="center"/>
          </w:tcPr>
          <w:p w14:paraId="20F74923">
            <w:pPr>
              <w:jc w:val="center"/>
              <w:rPr>
                <w:rFonts w:hint="eastAsia" w:ascii="宋体" w:hAnsi="宋体" w:cs="宋体"/>
                <w:sz w:val="24"/>
                <w:szCs w:val="24"/>
              </w:rPr>
            </w:pPr>
          </w:p>
        </w:tc>
      </w:tr>
      <w:tr w14:paraId="560C5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055B9B6C">
            <w:pPr>
              <w:jc w:val="center"/>
              <w:rPr>
                <w:rFonts w:hint="eastAsia" w:ascii="宋体" w:hAnsi="宋体" w:cs="宋体"/>
                <w:sz w:val="24"/>
                <w:szCs w:val="24"/>
              </w:rPr>
            </w:pPr>
          </w:p>
        </w:tc>
        <w:tc>
          <w:tcPr>
            <w:tcW w:w="1417" w:type="dxa"/>
            <w:vAlign w:val="center"/>
          </w:tcPr>
          <w:p w14:paraId="266643B2">
            <w:pPr>
              <w:jc w:val="center"/>
              <w:rPr>
                <w:rFonts w:hint="eastAsia" w:ascii="宋体" w:hAnsi="宋体" w:cs="宋体"/>
                <w:sz w:val="24"/>
                <w:szCs w:val="24"/>
              </w:rPr>
            </w:pPr>
          </w:p>
        </w:tc>
        <w:tc>
          <w:tcPr>
            <w:tcW w:w="1560" w:type="dxa"/>
            <w:vAlign w:val="center"/>
          </w:tcPr>
          <w:p w14:paraId="3C3FC5C0">
            <w:pPr>
              <w:jc w:val="center"/>
              <w:rPr>
                <w:rFonts w:hint="eastAsia" w:ascii="宋体" w:hAnsi="宋体" w:cs="宋体"/>
                <w:sz w:val="24"/>
                <w:szCs w:val="24"/>
              </w:rPr>
            </w:pPr>
          </w:p>
        </w:tc>
        <w:tc>
          <w:tcPr>
            <w:tcW w:w="1275" w:type="dxa"/>
            <w:vAlign w:val="center"/>
          </w:tcPr>
          <w:p w14:paraId="75923887">
            <w:pPr>
              <w:jc w:val="center"/>
              <w:rPr>
                <w:rFonts w:hint="eastAsia" w:ascii="宋体" w:hAnsi="宋体" w:cs="宋体"/>
                <w:sz w:val="24"/>
                <w:szCs w:val="24"/>
              </w:rPr>
            </w:pPr>
          </w:p>
        </w:tc>
        <w:tc>
          <w:tcPr>
            <w:tcW w:w="1418" w:type="dxa"/>
            <w:vAlign w:val="center"/>
          </w:tcPr>
          <w:p w14:paraId="058F94D3">
            <w:pPr>
              <w:jc w:val="center"/>
              <w:rPr>
                <w:rFonts w:hint="eastAsia" w:ascii="宋体" w:hAnsi="宋体" w:cs="宋体"/>
                <w:sz w:val="24"/>
                <w:szCs w:val="24"/>
              </w:rPr>
            </w:pPr>
          </w:p>
        </w:tc>
        <w:tc>
          <w:tcPr>
            <w:tcW w:w="2551" w:type="dxa"/>
            <w:vAlign w:val="center"/>
          </w:tcPr>
          <w:p w14:paraId="704D06D7">
            <w:pPr>
              <w:jc w:val="center"/>
              <w:rPr>
                <w:rFonts w:hint="eastAsia" w:ascii="宋体" w:hAnsi="宋体" w:cs="宋体"/>
                <w:sz w:val="24"/>
                <w:szCs w:val="24"/>
              </w:rPr>
            </w:pPr>
          </w:p>
        </w:tc>
      </w:tr>
      <w:tr w14:paraId="55CCE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3333E83D">
            <w:pPr>
              <w:jc w:val="center"/>
              <w:rPr>
                <w:rFonts w:hint="eastAsia" w:ascii="宋体" w:hAnsi="宋体" w:cs="宋体"/>
                <w:sz w:val="24"/>
                <w:szCs w:val="24"/>
              </w:rPr>
            </w:pPr>
          </w:p>
        </w:tc>
        <w:tc>
          <w:tcPr>
            <w:tcW w:w="1417" w:type="dxa"/>
            <w:vAlign w:val="center"/>
          </w:tcPr>
          <w:p w14:paraId="6961489F">
            <w:pPr>
              <w:jc w:val="center"/>
              <w:rPr>
                <w:rFonts w:hint="eastAsia" w:ascii="宋体" w:hAnsi="宋体" w:cs="宋体"/>
                <w:sz w:val="24"/>
                <w:szCs w:val="24"/>
              </w:rPr>
            </w:pPr>
          </w:p>
        </w:tc>
        <w:tc>
          <w:tcPr>
            <w:tcW w:w="1560" w:type="dxa"/>
            <w:vAlign w:val="center"/>
          </w:tcPr>
          <w:p w14:paraId="542BDB25">
            <w:pPr>
              <w:jc w:val="center"/>
              <w:rPr>
                <w:rFonts w:hint="eastAsia" w:ascii="宋体" w:hAnsi="宋体" w:cs="宋体"/>
                <w:sz w:val="24"/>
                <w:szCs w:val="24"/>
              </w:rPr>
            </w:pPr>
          </w:p>
        </w:tc>
        <w:tc>
          <w:tcPr>
            <w:tcW w:w="1275" w:type="dxa"/>
            <w:vAlign w:val="center"/>
          </w:tcPr>
          <w:p w14:paraId="3182FD0C">
            <w:pPr>
              <w:jc w:val="center"/>
              <w:rPr>
                <w:rFonts w:hint="eastAsia" w:ascii="宋体" w:hAnsi="宋体" w:cs="宋体"/>
                <w:sz w:val="24"/>
                <w:szCs w:val="24"/>
              </w:rPr>
            </w:pPr>
          </w:p>
        </w:tc>
        <w:tc>
          <w:tcPr>
            <w:tcW w:w="1418" w:type="dxa"/>
            <w:vAlign w:val="center"/>
          </w:tcPr>
          <w:p w14:paraId="093290B3">
            <w:pPr>
              <w:jc w:val="center"/>
              <w:rPr>
                <w:rFonts w:hint="eastAsia" w:ascii="宋体" w:hAnsi="宋体" w:cs="宋体"/>
                <w:sz w:val="24"/>
                <w:szCs w:val="24"/>
              </w:rPr>
            </w:pPr>
          </w:p>
        </w:tc>
        <w:tc>
          <w:tcPr>
            <w:tcW w:w="2551" w:type="dxa"/>
            <w:vAlign w:val="center"/>
          </w:tcPr>
          <w:p w14:paraId="73E5E69C">
            <w:pPr>
              <w:jc w:val="center"/>
              <w:rPr>
                <w:rFonts w:hint="eastAsia" w:ascii="宋体" w:hAnsi="宋体" w:cs="宋体"/>
                <w:sz w:val="24"/>
                <w:szCs w:val="24"/>
              </w:rPr>
            </w:pPr>
          </w:p>
        </w:tc>
      </w:tr>
      <w:tr w14:paraId="61864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vAlign w:val="center"/>
          </w:tcPr>
          <w:p w14:paraId="310923BA">
            <w:pPr>
              <w:jc w:val="center"/>
              <w:rPr>
                <w:rFonts w:hint="eastAsia" w:ascii="宋体" w:hAnsi="宋体" w:cs="宋体"/>
                <w:sz w:val="24"/>
                <w:szCs w:val="24"/>
              </w:rPr>
            </w:pPr>
          </w:p>
        </w:tc>
        <w:tc>
          <w:tcPr>
            <w:tcW w:w="1417" w:type="dxa"/>
            <w:vAlign w:val="center"/>
          </w:tcPr>
          <w:p w14:paraId="46AC6F96">
            <w:pPr>
              <w:jc w:val="center"/>
              <w:rPr>
                <w:rFonts w:hint="eastAsia" w:ascii="宋体" w:hAnsi="宋体" w:cs="宋体"/>
                <w:sz w:val="24"/>
                <w:szCs w:val="24"/>
              </w:rPr>
            </w:pPr>
          </w:p>
        </w:tc>
        <w:tc>
          <w:tcPr>
            <w:tcW w:w="1560" w:type="dxa"/>
            <w:vAlign w:val="center"/>
          </w:tcPr>
          <w:p w14:paraId="60419F3D">
            <w:pPr>
              <w:jc w:val="center"/>
              <w:rPr>
                <w:rFonts w:hint="eastAsia" w:ascii="宋体" w:hAnsi="宋体" w:cs="宋体"/>
                <w:sz w:val="24"/>
                <w:szCs w:val="24"/>
              </w:rPr>
            </w:pPr>
          </w:p>
        </w:tc>
        <w:tc>
          <w:tcPr>
            <w:tcW w:w="1275" w:type="dxa"/>
            <w:vAlign w:val="center"/>
          </w:tcPr>
          <w:p w14:paraId="5086C784">
            <w:pPr>
              <w:jc w:val="center"/>
              <w:rPr>
                <w:rFonts w:hint="eastAsia" w:ascii="宋体" w:hAnsi="宋体" w:cs="宋体"/>
                <w:sz w:val="24"/>
                <w:szCs w:val="24"/>
              </w:rPr>
            </w:pPr>
          </w:p>
        </w:tc>
        <w:tc>
          <w:tcPr>
            <w:tcW w:w="1418" w:type="dxa"/>
            <w:vAlign w:val="center"/>
          </w:tcPr>
          <w:p w14:paraId="5DA1036B">
            <w:pPr>
              <w:jc w:val="center"/>
              <w:rPr>
                <w:rFonts w:hint="eastAsia" w:ascii="宋体" w:hAnsi="宋体" w:cs="宋体"/>
                <w:sz w:val="24"/>
                <w:szCs w:val="24"/>
              </w:rPr>
            </w:pPr>
          </w:p>
        </w:tc>
        <w:tc>
          <w:tcPr>
            <w:tcW w:w="2551" w:type="dxa"/>
            <w:vAlign w:val="center"/>
          </w:tcPr>
          <w:p w14:paraId="050D125E">
            <w:pPr>
              <w:jc w:val="center"/>
              <w:rPr>
                <w:rFonts w:hint="eastAsia" w:ascii="宋体" w:hAnsi="宋体" w:cs="宋体"/>
                <w:sz w:val="24"/>
                <w:szCs w:val="24"/>
              </w:rPr>
            </w:pPr>
          </w:p>
        </w:tc>
      </w:tr>
      <w:tr w14:paraId="1ED9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vAlign w:val="center"/>
          </w:tcPr>
          <w:p w14:paraId="76A810CC">
            <w:pPr>
              <w:jc w:val="center"/>
              <w:rPr>
                <w:rFonts w:hint="eastAsia" w:ascii="宋体" w:hAnsi="宋体" w:cs="宋体"/>
                <w:sz w:val="24"/>
                <w:szCs w:val="24"/>
              </w:rPr>
            </w:pPr>
            <w:r>
              <w:rPr>
                <w:rFonts w:hint="eastAsia" w:ascii="宋体" w:hAnsi="宋体" w:cs="宋体"/>
                <w:sz w:val="24"/>
                <w:szCs w:val="24"/>
              </w:rPr>
              <w:t>总计（元）</w:t>
            </w:r>
          </w:p>
        </w:tc>
        <w:tc>
          <w:tcPr>
            <w:tcW w:w="2551" w:type="dxa"/>
            <w:vAlign w:val="center"/>
          </w:tcPr>
          <w:p w14:paraId="28995EDE">
            <w:pPr>
              <w:jc w:val="center"/>
              <w:rPr>
                <w:rFonts w:hint="eastAsia" w:ascii="宋体" w:hAnsi="宋体" w:cs="宋体"/>
                <w:sz w:val="24"/>
                <w:szCs w:val="24"/>
              </w:rPr>
            </w:pPr>
          </w:p>
        </w:tc>
      </w:tr>
    </w:tbl>
    <w:p w14:paraId="0CE3A697">
      <w:pPr>
        <w:jc w:val="left"/>
        <w:rPr>
          <w:rFonts w:hint="eastAsia" w:ascii="宋体" w:hAnsi="宋体" w:cs="宋体"/>
          <w:bCs/>
          <w:sz w:val="24"/>
          <w:szCs w:val="24"/>
        </w:rPr>
      </w:pPr>
    </w:p>
    <w:p w14:paraId="147AA7BB">
      <w:pPr>
        <w:jc w:val="left"/>
        <w:rPr>
          <w:rFonts w:hint="eastAsia" w:ascii="宋体" w:hAnsi="宋体" w:cs="宋体"/>
          <w:bCs/>
          <w:sz w:val="24"/>
          <w:szCs w:val="24"/>
        </w:rPr>
      </w:pPr>
    </w:p>
    <w:p w14:paraId="40815F3D">
      <w:pPr>
        <w:ind w:firstLine="480"/>
        <w:jc w:val="left"/>
        <w:rPr>
          <w:rFonts w:hint="eastAsia" w:ascii="宋体" w:hAnsi="宋体" w:cs="宋体"/>
          <w:bCs/>
          <w:sz w:val="24"/>
          <w:szCs w:val="24"/>
        </w:rPr>
      </w:pPr>
      <w:r>
        <w:rPr>
          <w:rFonts w:hint="eastAsia" w:ascii="宋体" w:hAnsi="宋体" w:cs="宋体"/>
          <w:bCs/>
          <w:sz w:val="24"/>
          <w:szCs w:val="24"/>
        </w:rPr>
        <w:t>供应商（盖章）：</w:t>
      </w:r>
    </w:p>
    <w:p w14:paraId="3E2F8ABE">
      <w:pPr>
        <w:ind w:firstLine="480"/>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40EA5DDC">
      <w:pPr>
        <w:ind w:firstLine="1680"/>
        <w:rPr>
          <w:rFonts w:hint="eastAsia" w:ascii="宋体" w:hAnsi="宋体" w:cs="宋体"/>
          <w:bCs/>
          <w:sz w:val="24"/>
          <w:szCs w:val="24"/>
        </w:rPr>
      </w:pPr>
      <w:r>
        <w:rPr>
          <w:rFonts w:hint="eastAsia" w:ascii="宋体" w:hAnsi="宋体" w:cs="宋体"/>
          <w:bCs/>
          <w:sz w:val="24"/>
          <w:szCs w:val="24"/>
        </w:rPr>
        <w:t>年     月     日</w:t>
      </w:r>
    </w:p>
    <w:p w14:paraId="7A1F9BA8">
      <w:pPr>
        <w:ind w:firstLine="482"/>
        <w:rPr>
          <w:rFonts w:hint="eastAsia" w:ascii="宋体" w:hAnsi="宋体" w:cs="宋体"/>
          <w:b/>
          <w:sz w:val="24"/>
          <w:szCs w:val="24"/>
        </w:rPr>
      </w:pPr>
    </w:p>
    <w:p w14:paraId="29A37AF6">
      <w:pPr>
        <w:rPr>
          <w:rFonts w:hint="eastAsia" w:ascii="宋体" w:hAnsi="宋体" w:cs="宋体"/>
          <w:sz w:val="24"/>
          <w:szCs w:val="24"/>
        </w:rPr>
      </w:pPr>
      <w:r>
        <w:rPr>
          <w:rFonts w:hint="eastAsia" w:ascii="宋体" w:hAnsi="宋体" w:cs="宋体"/>
          <w:sz w:val="24"/>
          <w:szCs w:val="24"/>
        </w:rPr>
        <w:t>填报说明：</w:t>
      </w:r>
    </w:p>
    <w:p w14:paraId="7FB0FDD0">
      <w:pPr>
        <w:ind w:firstLine="480"/>
        <w:rPr>
          <w:rFonts w:hint="eastAsia" w:ascii="宋体" w:hAnsi="宋体" w:cs="宋体"/>
          <w:sz w:val="24"/>
          <w:szCs w:val="24"/>
        </w:rPr>
      </w:pPr>
      <w:r>
        <w:rPr>
          <w:rFonts w:hint="eastAsia" w:ascii="宋体" w:hAnsi="宋体" w:cs="宋体"/>
          <w:sz w:val="24"/>
          <w:szCs w:val="24"/>
        </w:rPr>
        <w:t>1.此表可以根据需要自行增减行数，且该表报价非本次磋商中的最后报价。</w:t>
      </w:r>
    </w:p>
    <w:p w14:paraId="44061B95">
      <w:pPr>
        <w:ind w:firstLine="480"/>
        <w:rPr>
          <w:rFonts w:hint="eastAsia" w:ascii="宋体" w:hAnsi="宋体" w:cs="宋体"/>
          <w:sz w:val="24"/>
          <w:szCs w:val="24"/>
        </w:rPr>
      </w:pPr>
      <w:r>
        <w:rPr>
          <w:rFonts w:hint="eastAsia" w:ascii="宋体" w:hAnsi="宋体" w:cs="宋体"/>
          <w:sz w:val="24"/>
          <w:szCs w:val="24"/>
        </w:rPr>
        <w:t>2.各分项最终结算价按首次磋商报价与最后磋商报价同比例变动。</w:t>
      </w:r>
    </w:p>
    <w:p w14:paraId="395D0942">
      <w:pPr>
        <w:ind w:firstLine="480"/>
        <w:rPr>
          <w:rFonts w:hint="eastAsia" w:ascii="宋体" w:hAnsi="宋体" w:cs="宋体"/>
          <w:sz w:val="24"/>
          <w:szCs w:val="24"/>
        </w:rPr>
      </w:pPr>
      <w:r>
        <w:rPr>
          <w:rFonts w:hint="eastAsia" w:ascii="宋体" w:hAnsi="宋体" w:cs="宋体"/>
          <w:sz w:val="24"/>
          <w:szCs w:val="24"/>
        </w:rPr>
        <w:t>3.项目如有分包，请各磋商供应商按相应的分包分别列表。</w:t>
      </w:r>
    </w:p>
    <w:p w14:paraId="4138F28E">
      <w:pPr>
        <w:ind w:firstLine="480"/>
        <w:rPr>
          <w:rFonts w:hint="eastAsia" w:ascii="宋体" w:hAnsi="宋体" w:cs="宋体"/>
          <w:sz w:val="24"/>
          <w:szCs w:val="24"/>
        </w:rPr>
      </w:pPr>
      <w:r>
        <w:rPr>
          <w:rFonts w:hint="eastAsia" w:ascii="宋体" w:hAnsi="宋体" w:cs="宋体"/>
          <w:sz w:val="24"/>
          <w:szCs w:val="24"/>
        </w:rPr>
        <w:t>4.行数或事项不够，可自行增加</w:t>
      </w:r>
    </w:p>
    <w:p w14:paraId="40BE19A9">
      <w:pPr>
        <w:jc w:val="left"/>
        <w:rPr>
          <w:rFonts w:hint="eastAsia" w:ascii="宋体" w:hAnsi="宋体" w:cs="宋体"/>
          <w:bCs/>
          <w:sz w:val="24"/>
          <w:szCs w:val="28"/>
        </w:rPr>
      </w:pPr>
      <w:r>
        <w:rPr>
          <w:rFonts w:hint="eastAsia" w:ascii="宋体" w:hAnsi="宋体" w:cs="宋体"/>
          <w:b/>
          <w:sz w:val="24"/>
          <w:szCs w:val="20"/>
        </w:rPr>
        <w:br w:type="page" w:clear="all"/>
      </w:r>
      <w:r>
        <w:rPr>
          <w:rFonts w:hint="eastAsia" w:ascii="宋体" w:hAnsi="宋体" w:cs="宋体"/>
          <w:bCs/>
          <w:sz w:val="24"/>
          <w:szCs w:val="28"/>
        </w:rPr>
        <w:t>格式4、财务状况报告及税收、社会保障资金缴纳情况承诺函</w:t>
      </w:r>
    </w:p>
    <w:p w14:paraId="57EB4DB2">
      <w:pPr>
        <w:rPr>
          <w:rFonts w:hint="eastAsia" w:ascii="宋体" w:hAnsi="宋体" w:cs="宋体"/>
          <w:szCs w:val="24"/>
        </w:rPr>
      </w:pPr>
    </w:p>
    <w:p w14:paraId="791095AE">
      <w:pPr>
        <w:ind w:firstLine="720"/>
        <w:rPr>
          <w:rFonts w:hint="eastAsia" w:ascii="宋体" w:hAnsi="宋体" w:cs="宋体"/>
          <w:sz w:val="36"/>
          <w:szCs w:val="36"/>
        </w:rPr>
      </w:pPr>
      <w:r>
        <w:rPr>
          <w:rFonts w:hint="eastAsia" w:ascii="宋体" w:hAnsi="宋体" w:cs="宋体"/>
          <w:sz w:val="36"/>
          <w:szCs w:val="36"/>
        </w:rPr>
        <w:t>财务状况报告及税收、社会保障资金缴纳情况承诺函</w:t>
      </w:r>
    </w:p>
    <w:p w14:paraId="0C4B2342">
      <w:pPr>
        <w:ind w:firstLine="480"/>
        <w:rPr>
          <w:rFonts w:hint="eastAsia" w:ascii="宋体" w:hAnsi="宋体" w:cs="宋体"/>
          <w:sz w:val="24"/>
          <w:szCs w:val="24"/>
        </w:rPr>
      </w:pPr>
    </w:p>
    <w:p w14:paraId="399455F2">
      <w:pPr>
        <w:ind w:firstLine="480"/>
        <w:rPr>
          <w:rFonts w:hint="eastAsia" w:ascii="宋体" w:hAnsi="宋体" w:cs="宋体"/>
          <w:sz w:val="24"/>
          <w:szCs w:val="24"/>
        </w:rPr>
      </w:pPr>
      <w:r>
        <w:rPr>
          <w:rFonts w:hint="eastAsia" w:ascii="宋体" w:hAnsi="宋体" w:cs="宋体"/>
          <w:sz w:val="24"/>
          <w:szCs w:val="24"/>
        </w:rPr>
        <w:t>致：【采购单位】</w:t>
      </w:r>
    </w:p>
    <w:p w14:paraId="0AB1FCE2">
      <w:pPr>
        <w:ind w:firstLine="48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 </w:t>
      </w:r>
      <w:r>
        <w:rPr>
          <w:rFonts w:hint="eastAsia" w:ascii="宋体" w:hAnsi="宋体" w:cs="宋体"/>
          <w:sz w:val="24"/>
          <w:szCs w:val="24"/>
        </w:rPr>
        <w:t>参加</w:t>
      </w:r>
      <w:r>
        <w:rPr>
          <w:rFonts w:hint="eastAsia" w:ascii="宋体" w:hAnsi="宋体" w:cs="宋体"/>
          <w:sz w:val="24"/>
          <w:szCs w:val="24"/>
          <w:u w:val="single"/>
        </w:rPr>
        <w:t>【项目名称】</w:t>
      </w:r>
      <w:r>
        <w:rPr>
          <w:rFonts w:hint="eastAsia" w:ascii="宋体" w:hAnsi="宋体" w:cs="宋体"/>
          <w:sz w:val="24"/>
          <w:szCs w:val="24"/>
        </w:rPr>
        <w:t>（项目编号：</w:t>
      </w:r>
      <w:r>
        <w:rPr>
          <w:rFonts w:hint="eastAsia" w:ascii="宋体" w:hAnsi="宋体" w:cs="宋体"/>
          <w:sz w:val="24"/>
          <w:szCs w:val="24"/>
          <w:u w:val="single"/>
        </w:rPr>
        <w:t>【项目编号】</w:t>
      </w:r>
      <w:r>
        <w:rPr>
          <w:rFonts w:hint="eastAsia" w:ascii="宋体" w:hAnsi="宋体" w:cs="宋体"/>
          <w:sz w:val="24"/>
          <w:szCs w:val="24"/>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693F2704">
      <w:pPr>
        <w:ind w:firstLine="480"/>
        <w:rPr>
          <w:rFonts w:hint="eastAsia" w:ascii="宋体" w:hAnsi="宋体" w:cs="宋体"/>
          <w:sz w:val="24"/>
          <w:szCs w:val="24"/>
        </w:rPr>
      </w:pPr>
      <w:r>
        <w:rPr>
          <w:rFonts w:hint="eastAsia" w:ascii="宋体" w:hAnsi="宋体" w:cs="宋体"/>
          <w:sz w:val="24"/>
          <w:szCs w:val="24"/>
        </w:rPr>
        <w:t>（1）具有良好的商业信誉和健全的财务会计制度（财务状况报告）；</w:t>
      </w:r>
    </w:p>
    <w:p w14:paraId="36C8B825">
      <w:pPr>
        <w:ind w:firstLine="480"/>
        <w:rPr>
          <w:rFonts w:hint="eastAsia" w:ascii="宋体" w:hAnsi="宋体" w:cs="宋体"/>
          <w:sz w:val="24"/>
          <w:szCs w:val="24"/>
        </w:rPr>
      </w:pPr>
      <w:r>
        <w:rPr>
          <w:rFonts w:hint="eastAsia" w:ascii="宋体" w:hAnsi="宋体" w:cs="宋体"/>
          <w:sz w:val="24"/>
          <w:szCs w:val="24"/>
        </w:rPr>
        <w:t>（2）有依法缴纳税收和社会保障资金的良好记录。</w:t>
      </w:r>
    </w:p>
    <w:p w14:paraId="4D4D284D">
      <w:pPr>
        <w:ind w:firstLine="480"/>
        <w:rPr>
          <w:rFonts w:hint="eastAsia" w:ascii="宋体" w:hAnsi="宋体" w:cs="宋体"/>
          <w:sz w:val="24"/>
          <w:szCs w:val="24"/>
        </w:rPr>
      </w:pPr>
      <w:r>
        <w:rPr>
          <w:rFonts w:hint="eastAsia" w:ascii="宋体" w:hAnsi="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240FE90B">
      <w:pPr>
        <w:ind w:firstLine="480"/>
        <w:rPr>
          <w:rFonts w:hint="eastAsia" w:ascii="宋体" w:hAnsi="宋体" w:cs="宋体"/>
          <w:sz w:val="24"/>
          <w:szCs w:val="24"/>
        </w:rPr>
      </w:pPr>
      <w:r>
        <w:rPr>
          <w:rFonts w:hint="eastAsia" w:ascii="宋体" w:hAnsi="宋体" w:cs="宋体"/>
          <w:sz w:val="24"/>
          <w:szCs w:val="24"/>
        </w:rPr>
        <w:t>特此承诺</w:t>
      </w:r>
    </w:p>
    <w:p w14:paraId="116C0106">
      <w:pPr>
        <w:ind w:firstLine="480"/>
        <w:rPr>
          <w:rFonts w:hint="eastAsia" w:ascii="宋体" w:hAnsi="宋体" w:cs="宋体"/>
          <w:sz w:val="24"/>
          <w:szCs w:val="24"/>
        </w:rPr>
      </w:pPr>
    </w:p>
    <w:p w14:paraId="776FF53B">
      <w:pPr>
        <w:ind w:firstLine="480"/>
        <w:rPr>
          <w:rFonts w:hint="eastAsia" w:ascii="宋体" w:hAnsi="宋体" w:cs="宋体"/>
          <w:sz w:val="24"/>
          <w:szCs w:val="24"/>
        </w:rPr>
      </w:pPr>
      <w:r>
        <w:rPr>
          <w:rFonts w:hint="eastAsia" w:ascii="宋体" w:hAnsi="宋体" w:cs="宋体"/>
          <w:sz w:val="24"/>
          <w:szCs w:val="24"/>
        </w:rPr>
        <w:t>供应商（盖章）：</w:t>
      </w:r>
    </w:p>
    <w:p w14:paraId="1D1FBF2A">
      <w:pPr>
        <w:ind w:firstLine="480"/>
        <w:rPr>
          <w:rFonts w:hint="eastAsia" w:ascii="宋体" w:hAnsi="宋体" w:cs="宋体"/>
          <w:sz w:val="24"/>
          <w:szCs w:val="24"/>
        </w:rPr>
      </w:pPr>
      <w:r>
        <w:rPr>
          <w:rFonts w:hint="eastAsia" w:ascii="宋体" w:hAnsi="宋体" w:cs="宋体"/>
          <w:sz w:val="24"/>
          <w:szCs w:val="24"/>
        </w:rPr>
        <w:t>法定代表人或委托代理人（签字或盖章）：</w:t>
      </w:r>
    </w:p>
    <w:p w14:paraId="65F562EE">
      <w:pPr>
        <w:ind w:firstLine="480"/>
        <w:rPr>
          <w:rFonts w:hint="eastAsia" w:ascii="宋体" w:hAnsi="宋体" w:cs="宋体"/>
          <w:sz w:val="24"/>
          <w:szCs w:val="24"/>
        </w:rPr>
      </w:pPr>
      <w:r>
        <w:rPr>
          <w:rFonts w:hint="eastAsia" w:ascii="宋体" w:hAnsi="宋体" w:cs="宋体"/>
          <w:sz w:val="24"/>
          <w:szCs w:val="24"/>
        </w:rPr>
        <w:t>年     月     日</w:t>
      </w:r>
    </w:p>
    <w:p w14:paraId="11E138E7">
      <w:pPr>
        <w:ind w:firstLine="482"/>
        <w:rPr>
          <w:rFonts w:hint="eastAsia" w:ascii="宋体" w:hAnsi="宋体" w:cs="宋体"/>
          <w:b/>
          <w:sz w:val="24"/>
          <w:szCs w:val="20"/>
        </w:rPr>
      </w:pPr>
    </w:p>
    <w:p w14:paraId="0850B3BD">
      <w:pPr>
        <w:spacing w:before="120" w:after="120"/>
        <w:jc w:val="left"/>
        <w:outlineLvl w:val="1"/>
        <w:rPr>
          <w:rFonts w:hint="eastAsia" w:ascii="宋体" w:hAnsi="宋体" w:cs="宋体"/>
          <w:bCs/>
          <w:sz w:val="24"/>
          <w:szCs w:val="28"/>
        </w:rPr>
      </w:pPr>
      <w:r>
        <w:rPr>
          <w:rFonts w:hint="eastAsia" w:ascii="宋体" w:hAnsi="宋体" w:cs="宋体"/>
          <w:bCs/>
          <w:sz w:val="24"/>
          <w:szCs w:val="28"/>
        </w:rPr>
        <w:br w:type="page" w:clear="all"/>
      </w:r>
      <w:bookmarkStart w:id="199" w:name="_Toc13150"/>
      <w:bookmarkStart w:id="200" w:name="_Toc9561"/>
      <w:bookmarkStart w:id="201" w:name="_Toc27844"/>
      <w:r>
        <w:rPr>
          <w:rFonts w:hint="eastAsia" w:ascii="宋体" w:hAnsi="宋体" w:cs="宋体"/>
          <w:bCs/>
          <w:sz w:val="24"/>
          <w:szCs w:val="28"/>
        </w:rPr>
        <w:t>格式5、中小企业声明函</w:t>
      </w:r>
      <w:bookmarkEnd w:id="199"/>
      <w:bookmarkEnd w:id="200"/>
      <w:bookmarkEnd w:id="201"/>
    </w:p>
    <w:p w14:paraId="1B0C0785">
      <w:pPr>
        <w:jc w:val="center"/>
        <w:rPr>
          <w:rFonts w:hint="eastAsia" w:ascii="宋体" w:hAnsi="宋体" w:cs="宋体"/>
          <w:bCs/>
          <w:sz w:val="36"/>
          <w:szCs w:val="28"/>
        </w:rPr>
      </w:pPr>
      <w:r>
        <w:rPr>
          <w:rFonts w:hint="eastAsia" w:ascii="宋体" w:hAnsi="宋体" w:cs="宋体"/>
          <w:bCs/>
          <w:sz w:val="36"/>
          <w:szCs w:val="28"/>
        </w:rPr>
        <w:t>中小企业声明函</w:t>
      </w:r>
    </w:p>
    <w:p w14:paraId="37893316">
      <w:pPr>
        <w:ind w:firstLine="480"/>
        <w:rPr>
          <w:rFonts w:hint="eastAsia" w:ascii="宋体" w:hAnsi="宋体" w:cs="宋体"/>
          <w:sz w:val="24"/>
          <w:szCs w:val="24"/>
        </w:rPr>
      </w:pPr>
      <w:r>
        <w:rPr>
          <w:rFonts w:hint="eastAsia" w:ascii="宋体" w:hAnsi="宋体" w:cs="宋体"/>
          <w:sz w:val="24"/>
          <w:szCs w:val="24"/>
        </w:rPr>
        <w:t>本公司郑重声明，根据《政府采购促进中小企业发展管理办法》（财库﹝2020﹞46号）的规定，本公司参加（单位名称）的（项目名称）采购活动，服务全部由符合政策要求的中小企业承接。</w:t>
      </w:r>
    </w:p>
    <w:p w14:paraId="2579AE8E">
      <w:pPr>
        <w:ind w:firstLine="480"/>
        <w:rPr>
          <w:rFonts w:hint="eastAsia" w:ascii="宋体" w:hAnsi="宋体" w:cs="宋体"/>
          <w:sz w:val="24"/>
          <w:szCs w:val="24"/>
        </w:rPr>
      </w:pP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行业；承接企业为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 xml:space="preserve">。 </w:t>
      </w:r>
    </w:p>
    <w:p w14:paraId="482A5613">
      <w:pPr>
        <w:ind w:firstLine="48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1B35049A">
      <w:pPr>
        <w:ind w:firstLine="480"/>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 </w:t>
      </w:r>
    </w:p>
    <w:p w14:paraId="5BFE386C">
      <w:pPr>
        <w:ind w:firstLine="480"/>
        <w:rPr>
          <w:rFonts w:hint="eastAsia" w:ascii="宋体" w:hAnsi="宋体" w:cs="宋体"/>
          <w:sz w:val="24"/>
          <w:szCs w:val="24"/>
        </w:rPr>
      </w:pPr>
    </w:p>
    <w:p w14:paraId="42C77514">
      <w:pPr>
        <w:ind w:firstLine="480"/>
        <w:rPr>
          <w:rFonts w:hint="eastAsia" w:ascii="宋体" w:hAnsi="宋体" w:cs="宋体"/>
          <w:sz w:val="24"/>
          <w:szCs w:val="24"/>
        </w:rPr>
      </w:pPr>
    </w:p>
    <w:p w14:paraId="78E3650B">
      <w:pPr>
        <w:ind w:firstLine="480"/>
        <w:rPr>
          <w:rFonts w:hint="eastAsia" w:ascii="宋体" w:hAnsi="宋体" w:cs="宋体"/>
          <w:sz w:val="24"/>
          <w:szCs w:val="24"/>
        </w:rPr>
      </w:pPr>
      <w:r>
        <w:rPr>
          <w:rFonts w:hint="eastAsia" w:ascii="宋体" w:hAnsi="宋体" w:cs="宋体"/>
          <w:sz w:val="24"/>
          <w:szCs w:val="24"/>
        </w:rPr>
        <w:t xml:space="preserve">企业名称（盖章）： </w:t>
      </w:r>
    </w:p>
    <w:p w14:paraId="46A83C99">
      <w:pPr>
        <w:ind w:firstLine="480"/>
        <w:rPr>
          <w:rFonts w:hint="eastAsia" w:ascii="宋体" w:hAnsi="宋体" w:cs="宋体"/>
          <w:sz w:val="24"/>
          <w:szCs w:val="24"/>
        </w:rPr>
      </w:pPr>
      <w:r>
        <w:rPr>
          <w:rFonts w:hint="eastAsia" w:ascii="宋体" w:hAnsi="宋体" w:cs="宋体"/>
          <w:sz w:val="24"/>
          <w:szCs w:val="24"/>
        </w:rPr>
        <w:t>日 期：</w:t>
      </w:r>
    </w:p>
    <w:p w14:paraId="3F299F1C">
      <w:pPr>
        <w:ind w:firstLine="480"/>
        <w:rPr>
          <w:rFonts w:hint="eastAsia" w:ascii="宋体" w:hAnsi="宋体" w:cs="宋体"/>
          <w:sz w:val="24"/>
          <w:szCs w:val="24"/>
        </w:rPr>
      </w:pPr>
    </w:p>
    <w:p w14:paraId="3AC9D3BB">
      <w:pPr>
        <w:ind w:firstLine="480"/>
        <w:rPr>
          <w:rFonts w:hint="eastAsia" w:ascii="宋体" w:hAnsi="宋体" w:cs="宋体"/>
          <w:sz w:val="24"/>
          <w:szCs w:val="24"/>
        </w:rPr>
      </w:pPr>
    </w:p>
    <w:p w14:paraId="6BCC8F9D">
      <w:pPr>
        <w:ind w:firstLine="480"/>
        <w:rPr>
          <w:rFonts w:hint="eastAsia" w:ascii="宋体" w:hAnsi="宋体" w:cs="宋体"/>
          <w:sz w:val="24"/>
          <w:szCs w:val="24"/>
        </w:rPr>
      </w:pPr>
    </w:p>
    <w:p w14:paraId="4C4CCD71">
      <w:pPr>
        <w:spacing w:line="360" w:lineRule="auto"/>
        <w:ind w:right="480"/>
        <w:jc w:val="left"/>
        <w:rPr>
          <w:rFonts w:hint="eastAsia" w:ascii="宋体" w:hAnsi="宋体"/>
          <w:sz w:val="24"/>
        </w:rPr>
      </w:pPr>
      <w:r>
        <w:rPr>
          <w:rFonts w:hint="eastAsia" w:ascii="宋体" w:hAnsi="宋体"/>
          <w:sz w:val="24"/>
        </w:rPr>
        <w:t>填报说明：</w:t>
      </w:r>
    </w:p>
    <w:p w14:paraId="2A0E9322">
      <w:pPr>
        <w:spacing w:line="360" w:lineRule="auto"/>
        <w:ind w:firstLine="480"/>
        <w:jc w:val="left"/>
        <w:rPr>
          <w:rFonts w:hint="eastAsia" w:ascii="宋体" w:hAnsi="宋体"/>
          <w:sz w:val="24"/>
        </w:rPr>
      </w:pPr>
      <w:r>
        <w:rPr>
          <w:rFonts w:hint="eastAsia" w:ascii="宋体" w:hAnsi="宋体"/>
          <w:sz w:val="24"/>
        </w:rPr>
        <w:t>1.</w:t>
      </w:r>
      <w:r>
        <w:rPr>
          <w:rFonts w:ascii="宋体" w:hAnsi="宋体"/>
          <w:sz w:val="24"/>
        </w:rPr>
        <w:t>从业人员、营业收入、资产总额填报上一年度数据，无上一年度数据的新成立企业可不填报。</w:t>
      </w:r>
    </w:p>
    <w:p w14:paraId="0FA1CEE0">
      <w:pPr>
        <w:spacing w:line="360" w:lineRule="auto"/>
        <w:ind w:firstLine="480"/>
        <w:jc w:val="left"/>
        <w:rPr>
          <w:rFonts w:hint="eastAsia" w:ascii="宋体" w:hAnsi="宋体"/>
          <w:sz w:val="24"/>
        </w:rPr>
      </w:pPr>
      <w:r>
        <w:rPr>
          <w:rFonts w:hint="eastAsia" w:ascii="宋体" w:hAnsi="宋体"/>
          <w:sz w:val="24"/>
        </w:rPr>
        <w:t>2.请供应商如实填写，所填内容将作为评审的依据，如填写不完整或不一致或填写有误，将不享受扶持政策。</w:t>
      </w:r>
    </w:p>
    <w:p w14:paraId="39585A9C">
      <w:pPr>
        <w:spacing w:line="360" w:lineRule="auto"/>
        <w:ind w:firstLine="480"/>
        <w:jc w:val="left"/>
        <w:rPr>
          <w:rFonts w:hint="eastAsia" w:ascii="宋体" w:hAnsi="宋体"/>
          <w:sz w:val="24"/>
        </w:rPr>
      </w:pPr>
      <w:r>
        <w:rPr>
          <w:rFonts w:hint="eastAsia" w:ascii="宋体" w:hAnsi="宋体"/>
          <w:sz w:val="24"/>
        </w:rPr>
        <w:t>3.成交供应商的《中小企业声明函》随成交结果公开，接受社会监督。</w:t>
      </w:r>
    </w:p>
    <w:p w14:paraId="1C64F946">
      <w:pPr>
        <w:ind w:firstLine="480"/>
        <w:rPr>
          <w:rFonts w:hint="eastAsia" w:ascii="宋体" w:hAnsi="宋体" w:cs="宋体"/>
          <w:b/>
          <w:bCs/>
          <w:sz w:val="32"/>
          <w:szCs w:val="32"/>
        </w:rPr>
      </w:pPr>
      <w:r>
        <w:rPr>
          <w:rFonts w:hint="eastAsia" w:ascii="宋体" w:hAnsi="宋体" w:cs="宋体"/>
          <w:sz w:val="24"/>
          <w:szCs w:val="24"/>
        </w:rPr>
        <w:br w:type="page" w:clear="all"/>
      </w:r>
      <w:r>
        <w:rPr>
          <w:rFonts w:hint="eastAsia" w:ascii="宋体" w:hAnsi="宋体" w:cs="宋体"/>
          <w:bCs/>
          <w:sz w:val="24"/>
          <w:szCs w:val="28"/>
        </w:rPr>
        <w:t>格式6、残疾人福利性单位声明函</w:t>
      </w:r>
    </w:p>
    <w:p w14:paraId="68BBA3CE">
      <w:pPr>
        <w:ind w:firstLine="720"/>
        <w:jc w:val="center"/>
        <w:rPr>
          <w:rFonts w:hint="eastAsia" w:ascii="宋体" w:hAnsi="宋体" w:cs="宋体"/>
          <w:sz w:val="36"/>
          <w:szCs w:val="36"/>
        </w:rPr>
      </w:pPr>
      <w:r>
        <w:rPr>
          <w:rFonts w:hint="eastAsia" w:ascii="宋体" w:hAnsi="宋体" w:cs="宋体"/>
          <w:sz w:val="36"/>
          <w:szCs w:val="36"/>
        </w:rPr>
        <w:t>残疾人福利性单位声明函</w:t>
      </w:r>
    </w:p>
    <w:p w14:paraId="0129414B">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rPr>
        <w:t>项目编号：</w:t>
      </w:r>
      <w:r>
        <w:rPr>
          <w:rFonts w:hint="eastAsia" w:ascii="宋体" w:hAnsi="宋体"/>
          <w:color w:val="000000"/>
          <w:sz w:val="24"/>
          <w:u w:val="single"/>
        </w:rPr>
        <w:t xml:space="preserve">      </w:t>
      </w:r>
      <w:r>
        <w:rPr>
          <w:rFonts w:hint="eastAsia" w:ascii="宋体" w:hAnsi="宋体"/>
          <w:color w:val="000000"/>
          <w:sz w:val="24"/>
        </w:rPr>
        <w:t>，分包号：</w:t>
      </w:r>
      <w:r>
        <w:rPr>
          <w:rFonts w:hint="eastAsia" w:ascii="宋体" w:hAnsi="宋体"/>
          <w:color w:val="000000"/>
          <w:sz w:val="24"/>
          <w:u w:val="single"/>
        </w:rPr>
        <w:t xml:space="preserve">      </w:t>
      </w:r>
      <w:r>
        <w:rPr>
          <w:rFonts w:hint="eastAsia" w:ascii="宋体" w:hAnsi="宋体"/>
          <w:color w:val="000000"/>
          <w:sz w:val="24"/>
          <w:szCs w:val="21"/>
        </w:rPr>
        <w:t>）采购活动由本单位提供全部服务。</w:t>
      </w:r>
    </w:p>
    <w:p w14:paraId="014DDA6B">
      <w:pPr>
        <w:spacing w:line="500" w:lineRule="exact"/>
        <w:ind w:firstLine="480"/>
        <w:rPr>
          <w:rFonts w:hint="eastAsia"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DAF65D3">
      <w:pPr>
        <w:ind w:firstLine="480"/>
        <w:rPr>
          <w:rFonts w:hint="eastAsia" w:ascii="宋体" w:hAnsi="宋体" w:cs="宋体"/>
          <w:sz w:val="24"/>
          <w:szCs w:val="24"/>
        </w:rPr>
      </w:pPr>
    </w:p>
    <w:p w14:paraId="58AF963C">
      <w:pPr>
        <w:ind w:firstLine="480"/>
        <w:rPr>
          <w:rFonts w:hint="eastAsia" w:ascii="宋体" w:hAnsi="宋体" w:cs="宋体"/>
          <w:sz w:val="24"/>
          <w:szCs w:val="24"/>
        </w:rPr>
      </w:pPr>
    </w:p>
    <w:p w14:paraId="6323679E">
      <w:pPr>
        <w:ind w:firstLine="480"/>
        <w:rPr>
          <w:rFonts w:hint="eastAsia" w:ascii="宋体" w:hAnsi="宋体" w:cs="宋体"/>
          <w:sz w:val="24"/>
          <w:szCs w:val="24"/>
        </w:rPr>
      </w:pPr>
      <w:r>
        <w:rPr>
          <w:rFonts w:hint="eastAsia" w:ascii="宋体" w:hAnsi="宋体" w:cs="宋体"/>
          <w:sz w:val="24"/>
          <w:szCs w:val="24"/>
        </w:rPr>
        <w:t>供应商（盖章）：</w:t>
      </w:r>
    </w:p>
    <w:p w14:paraId="604B00D9">
      <w:pPr>
        <w:ind w:firstLine="480"/>
        <w:rPr>
          <w:rFonts w:hint="eastAsia" w:ascii="宋体" w:hAnsi="宋体" w:cs="宋体"/>
          <w:sz w:val="24"/>
          <w:szCs w:val="24"/>
        </w:rPr>
      </w:pPr>
      <w:r>
        <w:rPr>
          <w:rFonts w:hint="eastAsia" w:ascii="宋体" w:hAnsi="宋体" w:cs="宋体"/>
          <w:sz w:val="24"/>
          <w:szCs w:val="24"/>
        </w:rPr>
        <w:t>日期：   年   月   日</w:t>
      </w:r>
    </w:p>
    <w:p w14:paraId="386C669D">
      <w:pPr>
        <w:ind w:firstLine="480"/>
        <w:rPr>
          <w:rFonts w:hint="eastAsia" w:ascii="宋体" w:hAnsi="宋体" w:cs="宋体"/>
          <w:sz w:val="24"/>
          <w:szCs w:val="24"/>
        </w:rPr>
      </w:pPr>
    </w:p>
    <w:p w14:paraId="31A97073">
      <w:pPr>
        <w:ind w:firstLine="480"/>
        <w:rPr>
          <w:rFonts w:hint="eastAsia" w:ascii="宋体" w:hAnsi="宋体" w:cs="宋体"/>
          <w:sz w:val="24"/>
          <w:szCs w:val="24"/>
        </w:rPr>
      </w:pPr>
    </w:p>
    <w:p w14:paraId="4C4BB655">
      <w:pPr>
        <w:ind w:firstLine="480"/>
        <w:rPr>
          <w:rFonts w:hint="eastAsia" w:ascii="宋体" w:hAnsi="宋体" w:cs="宋体"/>
          <w:sz w:val="24"/>
          <w:szCs w:val="24"/>
        </w:rPr>
      </w:pPr>
    </w:p>
    <w:p w14:paraId="0F9EAA75">
      <w:pPr>
        <w:ind w:firstLine="480"/>
        <w:rPr>
          <w:rFonts w:hint="eastAsia" w:ascii="宋体" w:hAnsi="宋体" w:cs="宋体"/>
          <w:sz w:val="24"/>
          <w:szCs w:val="24"/>
        </w:rPr>
      </w:pPr>
    </w:p>
    <w:p w14:paraId="54FDFA3B">
      <w:pPr>
        <w:ind w:firstLine="480"/>
        <w:rPr>
          <w:rFonts w:hint="eastAsia" w:ascii="宋体" w:hAnsi="宋体" w:cs="宋体"/>
          <w:sz w:val="24"/>
          <w:szCs w:val="24"/>
        </w:rPr>
      </w:pPr>
    </w:p>
    <w:p w14:paraId="2E759E53">
      <w:pPr>
        <w:ind w:firstLine="480"/>
        <w:rPr>
          <w:rFonts w:hint="eastAsia" w:ascii="宋体" w:hAnsi="宋体" w:cs="宋体"/>
          <w:sz w:val="24"/>
          <w:szCs w:val="24"/>
        </w:rPr>
      </w:pPr>
    </w:p>
    <w:p w14:paraId="7147976A">
      <w:pPr>
        <w:ind w:firstLine="480"/>
        <w:rPr>
          <w:rFonts w:hint="eastAsia" w:ascii="宋体" w:hAnsi="宋体" w:cs="宋体"/>
          <w:sz w:val="24"/>
          <w:szCs w:val="24"/>
        </w:rPr>
      </w:pPr>
    </w:p>
    <w:p w14:paraId="0BDC063F">
      <w:pPr>
        <w:spacing w:line="360" w:lineRule="auto"/>
        <w:rPr>
          <w:rFonts w:hint="eastAsia" w:ascii="宋体" w:hAnsi="宋体"/>
          <w:bCs/>
          <w:sz w:val="24"/>
        </w:rPr>
      </w:pPr>
      <w:r>
        <w:rPr>
          <w:rFonts w:hint="eastAsia" w:ascii="宋体" w:hAnsi="宋体"/>
          <w:bCs/>
          <w:sz w:val="24"/>
        </w:rPr>
        <w:t>填报说明：</w:t>
      </w:r>
    </w:p>
    <w:p w14:paraId="0D3B7F96">
      <w:pPr>
        <w:spacing w:line="360" w:lineRule="auto"/>
        <w:ind w:firstLine="480"/>
        <w:jc w:val="left"/>
        <w:rPr>
          <w:rFonts w:hint="eastAsia" w:ascii="宋体" w:hAnsi="宋体"/>
          <w:bCs/>
          <w:sz w:val="24"/>
        </w:rPr>
      </w:pPr>
      <w:r>
        <w:rPr>
          <w:rFonts w:hint="eastAsia" w:ascii="宋体" w:hAnsi="宋体"/>
          <w:bCs/>
          <w:sz w:val="24"/>
        </w:rPr>
        <w:t>1.</w:t>
      </w:r>
      <w:r>
        <w:rPr>
          <w:rFonts w:hint="eastAsia" w:ascii="宋体" w:hAnsi="宋体"/>
          <w:sz w:val="24"/>
        </w:rPr>
        <w:t>请供应商如实填写，</w:t>
      </w:r>
      <w:r>
        <w:rPr>
          <w:rFonts w:hint="eastAsia" w:ascii="宋体" w:hAnsi="宋体"/>
          <w:bCs/>
          <w:sz w:val="24"/>
        </w:rPr>
        <w:t>所填内容将作为评审的依据</w:t>
      </w:r>
      <w:r>
        <w:rPr>
          <w:rFonts w:hint="eastAsia" w:ascii="宋体" w:hAnsi="宋体"/>
          <w:sz w:val="24"/>
        </w:rPr>
        <w:t>，如填写不完整或不一致或填写有误，将不享受扶持政策。</w:t>
      </w:r>
    </w:p>
    <w:p w14:paraId="20E311D1">
      <w:pPr>
        <w:spacing w:before="120" w:after="120"/>
        <w:jc w:val="left"/>
        <w:outlineLvl w:val="1"/>
        <w:rPr>
          <w:rFonts w:hint="eastAsia" w:ascii="宋体" w:hAnsi="宋体" w:cs="宋体"/>
          <w:bCs/>
          <w:szCs w:val="24"/>
        </w:rPr>
      </w:pPr>
      <w:r>
        <w:rPr>
          <w:rFonts w:hint="eastAsia" w:ascii="宋体" w:hAnsi="宋体"/>
          <w:bCs/>
          <w:sz w:val="24"/>
        </w:rPr>
        <w:t>2.成交供应商的《残疾人福利性单位声明函》随成交结果公开</w:t>
      </w:r>
      <w:r>
        <w:rPr>
          <w:rFonts w:hint="eastAsia" w:ascii="宋体" w:hAnsi="宋体"/>
          <w:sz w:val="24"/>
        </w:rPr>
        <w:t>，接受社会监督</w:t>
      </w:r>
      <w:r>
        <w:rPr>
          <w:rFonts w:hint="eastAsia" w:ascii="宋体" w:hAnsi="宋体"/>
          <w:bCs/>
          <w:sz w:val="24"/>
        </w:rPr>
        <w:t>。</w:t>
      </w:r>
      <w:r>
        <w:rPr>
          <w:rFonts w:hint="eastAsia" w:ascii="宋体" w:hAnsi="宋体" w:cs="宋体"/>
          <w:sz w:val="24"/>
          <w:szCs w:val="21"/>
        </w:rPr>
        <w:br w:type="page" w:clear="all"/>
      </w:r>
      <w:bookmarkStart w:id="202" w:name="_Toc11135"/>
      <w:bookmarkStart w:id="203" w:name="_Toc4474"/>
      <w:bookmarkStart w:id="204" w:name="_Toc8225"/>
      <w:r>
        <w:rPr>
          <w:rFonts w:hint="eastAsia" w:ascii="宋体" w:hAnsi="宋体" w:cs="宋体"/>
          <w:bCs/>
          <w:sz w:val="24"/>
          <w:szCs w:val="28"/>
        </w:rPr>
        <w:t>格式7、具备履行合同所必需的设备和专业技术能力的声明及证明材料</w:t>
      </w:r>
      <w:bookmarkEnd w:id="202"/>
      <w:bookmarkEnd w:id="203"/>
      <w:bookmarkEnd w:id="204"/>
    </w:p>
    <w:p w14:paraId="1A1A6885">
      <w:pPr>
        <w:jc w:val="center"/>
        <w:rPr>
          <w:rFonts w:hint="eastAsia" w:ascii="宋体" w:hAnsi="宋体" w:cs="宋体"/>
          <w:bCs/>
          <w:sz w:val="36"/>
          <w:szCs w:val="28"/>
        </w:rPr>
      </w:pPr>
    </w:p>
    <w:p w14:paraId="422F523F">
      <w:pPr>
        <w:jc w:val="center"/>
        <w:rPr>
          <w:rFonts w:hint="eastAsia" w:ascii="宋体" w:hAnsi="宋体" w:cs="宋体"/>
          <w:szCs w:val="24"/>
        </w:rPr>
      </w:pPr>
      <w:r>
        <w:rPr>
          <w:rFonts w:hint="eastAsia" w:ascii="宋体" w:hAnsi="宋体" w:cs="宋体"/>
          <w:bCs/>
          <w:sz w:val="36"/>
          <w:szCs w:val="28"/>
        </w:rPr>
        <w:t>具备履行合同所必需的设备和专业技术能力的声明</w:t>
      </w:r>
    </w:p>
    <w:p w14:paraId="49BCE8C2">
      <w:pPr>
        <w:ind w:firstLine="480"/>
        <w:rPr>
          <w:rFonts w:hint="eastAsia" w:ascii="宋体" w:hAnsi="宋体" w:cs="宋体"/>
          <w:sz w:val="24"/>
          <w:szCs w:val="24"/>
        </w:rPr>
      </w:pPr>
    </w:p>
    <w:p w14:paraId="4C64411D">
      <w:pPr>
        <w:ind w:firstLine="480"/>
        <w:rPr>
          <w:rFonts w:hint="eastAsia" w:ascii="宋体" w:hAnsi="宋体" w:cs="宋体"/>
          <w:sz w:val="24"/>
          <w:szCs w:val="24"/>
        </w:rPr>
      </w:pPr>
    </w:p>
    <w:p w14:paraId="2C731421">
      <w:pPr>
        <w:ind w:firstLine="480"/>
        <w:rPr>
          <w:rFonts w:hint="eastAsia" w:ascii="宋体" w:hAnsi="宋体" w:cs="宋体"/>
          <w:sz w:val="24"/>
          <w:szCs w:val="24"/>
        </w:rPr>
      </w:pPr>
      <w:r>
        <w:rPr>
          <w:rFonts w:hint="eastAsia" w:ascii="宋体" w:hAnsi="宋体" w:cs="宋体"/>
          <w:sz w:val="24"/>
          <w:szCs w:val="24"/>
        </w:rPr>
        <w:t>（供应商名称）郑重声明：我单位具备履行本项采购合同所必需的设备和专业技术能力，为履行本项采购合同我单位具备如下主要设备和主要专业技术能力：</w:t>
      </w:r>
    </w:p>
    <w:p w14:paraId="55D7F647">
      <w:pPr>
        <w:ind w:firstLine="480"/>
        <w:rPr>
          <w:rFonts w:hint="eastAsia" w:ascii="宋体" w:hAnsi="宋体" w:cs="宋体"/>
          <w:sz w:val="24"/>
          <w:szCs w:val="24"/>
        </w:rPr>
      </w:pPr>
      <w:r>
        <w:rPr>
          <w:rFonts w:hint="eastAsia" w:ascii="宋体" w:hAnsi="宋体" w:cs="宋体"/>
          <w:sz w:val="24"/>
          <w:szCs w:val="24"/>
        </w:rPr>
        <w:t>主要设备有：</w:t>
      </w:r>
      <w:r>
        <w:rPr>
          <w:rFonts w:hint="eastAsia" w:ascii="宋体" w:hAnsi="宋体" w:cs="宋体"/>
          <w:sz w:val="24"/>
          <w:szCs w:val="24"/>
          <w:u w:val="single"/>
        </w:rPr>
        <w:t xml:space="preserve">                                  </w:t>
      </w:r>
      <w:r>
        <w:rPr>
          <w:rFonts w:hint="eastAsia" w:ascii="宋体" w:hAnsi="宋体" w:cs="宋体"/>
          <w:sz w:val="24"/>
          <w:szCs w:val="24"/>
        </w:rPr>
        <w:t>。（须附证明材料）</w:t>
      </w:r>
    </w:p>
    <w:p w14:paraId="590FD5C9">
      <w:pPr>
        <w:ind w:firstLine="480"/>
        <w:rPr>
          <w:rFonts w:hint="eastAsia" w:ascii="宋体" w:hAnsi="宋体" w:cs="宋体"/>
          <w:sz w:val="24"/>
          <w:szCs w:val="24"/>
        </w:rPr>
      </w:pPr>
    </w:p>
    <w:p w14:paraId="4F89719C">
      <w:pPr>
        <w:ind w:firstLine="480"/>
        <w:rPr>
          <w:rFonts w:hint="eastAsia" w:ascii="宋体" w:hAnsi="宋体" w:cs="宋体"/>
          <w:sz w:val="24"/>
          <w:szCs w:val="24"/>
        </w:rPr>
      </w:pPr>
      <w:r>
        <w:rPr>
          <w:rFonts w:hint="eastAsia" w:ascii="宋体" w:hAnsi="宋体" w:cs="宋体"/>
          <w:sz w:val="24"/>
          <w:szCs w:val="24"/>
        </w:rPr>
        <w:t>主要专业技术能力有：</w:t>
      </w:r>
      <w:r>
        <w:rPr>
          <w:rFonts w:hint="eastAsia" w:ascii="宋体" w:hAnsi="宋体" w:cs="宋体"/>
          <w:sz w:val="24"/>
          <w:szCs w:val="24"/>
          <w:u w:val="single"/>
        </w:rPr>
        <w:t xml:space="preserve">                          </w:t>
      </w:r>
      <w:r>
        <w:rPr>
          <w:rFonts w:hint="eastAsia" w:ascii="宋体" w:hAnsi="宋体" w:cs="宋体"/>
          <w:sz w:val="24"/>
          <w:szCs w:val="24"/>
        </w:rPr>
        <w:t>。（须附证明材料）</w:t>
      </w:r>
    </w:p>
    <w:p w14:paraId="66D85598">
      <w:pPr>
        <w:ind w:firstLine="480"/>
        <w:rPr>
          <w:rFonts w:hint="eastAsia" w:ascii="宋体" w:hAnsi="宋体" w:cs="宋体"/>
          <w:sz w:val="24"/>
          <w:szCs w:val="24"/>
        </w:rPr>
      </w:pPr>
    </w:p>
    <w:p w14:paraId="1458A5F4">
      <w:pPr>
        <w:ind w:firstLine="480"/>
        <w:rPr>
          <w:rFonts w:hint="eastAsia" w:ascii="宋体" w:hAnsi="宋体" w:cs="宋体"/>
          <w:sz w:val="24"/>
          <w:szCs w:val="24"/>
        </w:rPr>
      </w:pPr>
    </w:p>
    <w:p w14:paraId="27E32D2D">
      <w:pPr>
        <w:ind w:firstLine="480"/>
        <w:rPr>
          <w:rFonts w:hint="eastAsia" w:ascii="宋体" w:hAnsi="宋体" w:cs="宋体"/>
          <w:sz w:val="24"/>
          <w:szCs w:val="24"/>
        </w:rPr>
      </w:pPr>
      <w:r>
        <w:rPr>
          <w:rFonts w:hint="eastAsia" w:ascii="宋体" w:hAnsi="宋体" w:cs="宋体"/>
          <w:sz w:val="24"/>
          <w:szCs w:val="24"/>
        </w:rPr>
        <w:t>声明人（盖章）：</w:t>
      </w:r>
    </w:p>
    <w:p w14:paraId="5148DF47">
      <w:pPr>
        <w:ind w:firstLine="480"/>
        <w:rPr>
          <w:rFonts w:hint="eastAsia" w:ascii="宋体" w:hAnsi="宋体" w:cs="宋体"/>
          <w:sz w:val="24"/>
          <w:szCs w:val="24"/>
        </w:rPr>
      </w:pPr>
      <w:r>
        <w:rPr>
          <w:rFonts w:hint="eastAsia" w:ascii="宋体" w:hAnsi="宋体" w:cs="宋体"/>
          <w:sz w:val="24"/>
          <w:szCs w:val="24"/>
        </w:rPr>
        <w:t>日期：  年   月  日</w:t>
      </w:r>
    </w:p>
    <w:p w14:paraId="73AA8F04">
      <w:pPr>
        <w:ind w:firstLine="480"/>
        <w:rPr>
          <w:rFonts w:hint="eastAsia" w:ascii="宋体" w:hAnsi="宋体" w:cs="宋体"/>
          <w:sz w:val="24"/>
          <w:szCs w:val="24"/>
        </w:rPr>
      </w:pPr>
    </w:p>
    <w:p w14:paraId="713D7FB1">
      <w:pPr>
        <w:ind w:firstLine="480"/>
        <w:rPr>
          <w:rFonts w:hint="eastAsia" w:ascii="宋体" w:hAnsi="宋体" w:cs="宋体"/>
          <w:sz w:val="24"/>
          <w:szCs w:val="24"/>
        </w:rPr>
      </w:pPr>
    </w:p>
    <w:p w14:paraId="5F58913A">
      <w:pPr>
        <w:ind w:firstLine="480"/>
        <w:rPr>
          <w:rFonts w:hint="eastAsia" w:ascii="宋体" w:hAnsi="宋体" w:cs="宋体"/>
          <w:sz w:val="24"/>
          <w:szCs w:val="24"/>
        </w:rPr>
      </w:pPr>
      <w:r>
        <w:rPr>
          <w:rFonts w:hint="eastAsia" w:ascii="宋体" w:hAnsi="宋体" w:cs="宋体"/>
          <w:sz w:val="24"/>
          <w:szCs w:val="24"/>
        </w:rPr>
        <w:t>附主要设备和主要专业技术能力的证明材料如下：</w:t>
      </w:r>
    </w:p>
    <w:p w14:paraId="63C83583">
      <w:pPr>
        <w:ind w:firstLine="480"/>
        <w:rPr>
          <w:rFonts w:hint="eastAsia" w:ascii="宋体" w:hAnsi="宋体" w:cs="宋体"/>
          <w:sz w:val="24"/>
          <w:szCs w:val="24"/>
        </w:rPr>
      </w:pPr>
    </w:p>
    <w:p w14:paraId="12B9BB75">
      <w:pPr>
        <w:ind w:firstLine="480"/>
        <w:rPr>
          <w:rFonts w:hint="eastAsia" w:ascii="宋体" w:hAnsi="宋体" w:cs="宋体"/>
          <w:sz w:val="24"/>
          <w:szCs w:val="24"/>
        </w:rPr>
      </w:pPr>
    </w:p>
    <w:p w14:paraId="7A593B50">
      <w:pPr>
        <w:ind w:firstLine="5400"/>
        <w:rPr>
          <w:rFonts w:hint="eastAsia" w:ascii="宋体" w:hAnsi="宋体" w:cs="宋体"/>
          <w:sz w:val="24"/>
          <w:szCs w:val="24"/>
        </w:rPr>
      </w:pPr>
    </w:p>
    <w:p w14:paraId="4C4554A9">
      <w:pPr>
        <w:spacing w:before="120" w:after="120"/>
        <w:jc w:val="left"/>
        <w:outlineLvl w:val="1"/>
        <w:rPr>
          <w:rFonts w:hint="eastAsia" w:ascii="宋体" w:hAnsi="宋体" w:cs="宋体"/>
          <w:szCs w:val="24"/>
        </w:rPr>
      </w:pPr>
      <w:r>
        <w:rPr>
          <w:rFonts w:hint="eastAsia" w:ascii="宋体" w:hAnsi="宋体" w:cs="宋体"/>
          <w:b/>
          <w:sz w:val="24"/>
          <w:szCs w:val="24"/>
        </w:rPr>
        <w:br w:type="page" w:clear="all"/>
      </w:r>
      <w:bookmarkStart w:id="205" w:name="_Toc31095"/>
      <w:bookmarkStart w:id="206" w:name="_Toc2817"/>
      <w:bookmarkStart w:id="207" w:name="_Toc4414"/>
      <w:r>
        <w:rPr>
          <w:rFonts w:hint="eastAsia" w:ascii="宋体" w:hAnsi="宋体" w:cs="宋体"/>
          <w:bCs/>
          <w:sz w:val="24"/>
          <w:szCs w:val="28"/>
        </w:rPr>
        <w:t>格式8、参加政府采购活动前 3 年内在经营活动中没有重大违法记录的书面声明</w:t>
      </w:r>
      <w:bookmarkEnd w:id="205"/>
      <w:bookmarkEnd w:id="206"/>
      <w:bookmarkEnd w:id="207"/>
    </w:p>
    <w:p w14:paraId="1ACDC71D">
      <w:pPr>
        <w:rPr>
          <w:rFonts w:hint="eastAsia" w:ascii="宋体" w:hAnsi="宋体" w:cs="宋体"/>
          <w:b/>
          <w:bCs/>
          <w:sz w:val="44"/>
          <w:szCs w:val="44"/>
        </w:rPr>
      </w:pPr>
      <w:r>
        <w:rPr>
          <w:rFonts w:hint="eastAsia" w:ascii="宋体" w:hAnsi="宋体" w:cs="宋体"/>
          <w:b/>
          <w:bCs/>
          <w:sz w:val="24"/>
          <w:szCs w:val="24"/>
        </w:rPr>
        <w:t xml:space="preserve">                       </w:t>
      </w:r>
      <w:r>
        <w:rPr>
          <w:rFonts w:hint="eastAsia" w:ascii="宋体" w:hAnsi="宋体" w:cs="宋体"/>
          <w:b/>
          <w:bCs/>
          <w:sz w:val="44"/>
          <w:szCs w:val="44"/>
        </w:rPr>
        <w:t xml:space="preserve">   </w:t>
      </w:r>
    </w:p>
    <w:p w14:paraId="635C76B4">
      <w:pPr>
        <w:jc w:val="center"/>
        <w:rPr>
          <w:rFonts w:hint="eastAsia" w:ascii="宋体" w:hAnsi="宋体" w:cs="宋体"/>
          <w:b/>
          <w:bCs/>
          <w:sz w:val="30"/>
          <w:szCs w:val="30"/>
        </w:rPr>
      </w:pPr>
      <w:r>
        <w:rPr>
          <w:rFonts w:hint="eastAsia" w:ascii="宋体" w:hAnsi="宋体" w:cs="宋体"/>
          <w:bCs/>
          <w:sz w:val="36"/>
          <w:szCs w:val="28"/>
        </w:rPr>
        <w:t>声  明</w:t>
      </w:r>
      <w:r>
        <w:rPr>
          <w:rFonts w:hint="eastAsia" w:ascii="宋体" w:hAnsi="宋体" w:cs="宋体"/>
          <w:b/>
          <w:bCs/>
          <w:sz w:val="30"/>
          <w:szCs w:val="30"/>
        </w:rPr>
        <w:t xml:space="preserve"> </w:t>
      </w:r>
    </w:p>
    <w:p w14:paraId="6D42C90E">
      <w:pPr>
        <w:ind w:firstLine="480"/>
        <w:rPr>
          <w:rFonts w:hint="eastAsia" w:ascii="宋体" w:hAnsi="宋体" w:cs="宋体"/>
          <w:bCs/>
          <w:sz w:val="24"/>
          <w:szCs w:val="24"/>
        </w:rPr>
      </w:pPr>
      <w:r>
        <w:rPr>
          <w:rFonts w:hint="eastAsia" w:ascii="宋体" w:hAnsi="宋体" w:cs="宋体"/>
          <w:bCs/>
          <w:sz w:val="24"/>
          <w:szCs w:val="24"/>
        </w:rPr>
        <w:t>我公司郑重声明：参加本次政府采购活动前 3 年内，我公司在经营活动中没有因违法经营受到刑事处罚或者责令停产停业、吊销许可证或者执照、较大数额罚款等行政处罚。</w:t>
      </w:r>
    </w:p>
    <w:p w14:paraId="36280CFB">
      <w:pPr>
        <w:ind w:firstLine="480"/>
        <w:rPr>
          <w:rFonts w:hint="eastAsia" w:ascii="宋体" w:hAnsi="宋体" w:cs="宋体"/>
          <w:bCs/>
          <w:sz w:val="24"/>
          <w:szCs w:val="24"/>
        </w:rPr>
      </w:pPr>
      <w:r>
        <w:rPr>
          <w:rFonts w:hint="eastAsia" w:ascii="宋体" w:hAnsi="宋体" w:cs="宋体"/>
          <w:bCs/>
          <w:sz w:val="24"/>
          <w:szCs w:val="24"/>
        </w:rPr>
        <w:t xml:space="preserve">                                      </w:t>
      </w:r>
    </w:p>
    <w:p w14:paraId="3986CC6E">
      <w:pPr>
        <w:jc w:val="left"/>
        <w:rPr>
          <w:rFonts w:hint="eastAsia" w:ascii="宋体" w:hAnsi="宋体" w:cs="宋体"/>
          <w:bCs/>
          <w:sz w:val="24"/>
          <w:szCs w:val="24"/>
        </w:rPr>
      </w:pPr>
    </w:p>
    <w:p w14:paraId="035D6A3C">
      <w:pPr>
        <w:ind w:firstLine="480"/>
        <w:jc w:val="left"/>
        <w:rPr>
          <w:rFonts w:hint="eastAsia" w:ascii="宋体" w:hAnsi="宋体" w:cs="宋体"/>
          <w:bCs/>
          <w:sz w:val="24"/>
          <w:szCs w:val="24"/>
        </w:rPr>
      </w:pPr>
      <w:r>
        <w:rPr>
          <w:rFonts w:hint="eastAsia" w:ascii="宋体" w:hAnsi="宋体" w:cs="宋体"/>
          <w:bCs/>
          <w:sz w:val="24"/>
          <w:szCs w:val="24"/>
        </w:rPr>
        <w:t>供应商（盖章）：</w:t>
      </w:r>
    </w:p>
    <w:p w14:paraId="31C14435">
      <w:pPr>
        <w:ind w:firstLine="480"/>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5E6278DF">
      <w:pPr>
        <w:ind w:firstLine="1440"/>
        <w:rPr>
          <w:rFonts w:hint="eastAsia" w:ascii="宋体" w:hAnsi="宋体" w:cs="宋体"/>
          <w:bCs/>
          <w:sz w:val="24"/>
          <w:szCs w:val="24"/>
        </w:rPr>
      </w:pPr>
      <w:r>
        <w:rPr>
          <w:rFonts w:hint="eastAsia" w:ascii="宋体" w:hAnsi="宋体" w:cs="宋体"/>
          <w:bCs/>
          <w:sz w:val="24"/>
          <w:szCs w:val="24"/>
        </w:rPr>
        <w:t>年     月     日</w:t>
      </w:r>
    </w:p>
    <w:p w14:paraId="02C3F821">
      <w:pPr>
        <w:rPr>
          <w:rFonts w:hint="eastAsia" w:ascii="宋体" w:hAnsi="宋体" w:cs="宋体"/>
          <w:bCs/>
          <w:sz w:val="24"/>
          <w:szCs w:val="24"/>
        </w:rPr>
      </w:pPr>
    </w:p>
    <w:p w14:paraId="3312B9CB">
      <w:pPr>
        <w:spacing w:before="120" w:after="120"/>
        <w:jc w:val="left"/>
        <w:outlineLvl w:val="1"/>
        <w:rPr>
          <w:rFonts w:hint="eastAsia" w:ascii="宋体" w:hAnsi="宋体" w:cs="宋体"/>
          <w:b/>
          <w:sz w:val="30"/>
          <w:szCs w:val="30"/>
        </w:rPr>
      </w:pPr>
      <w:r>
        <w:rPr>
          <w:rFonts w:hint="eastAsia" w:ascii="宋体" w:hAnsi="宋体" w:cs="宋体"/>
          <w:bCs/>
          <w:szCs w:val="24"/>
        </w:rPr>
        <w:br w:type="page" w:clear="all"/>
      </w:r>
      <w:bookmarkStart w:id="208" w:name="_Toc28410"/>
      <w:bookmarkStart w:id="209" w:name="_Toc16520"/>
      <w:bookmarkStart w:id="210" w:name="_Toc23106"/>
      <w:r>
        <w:rPr>
          <w:rFonts w:hint="eastAsia" w:ascii="宋体" w:hAnsi="宋体" w:cs="宋体"/>
          <w:bCs/>
          <w:sz w:val="24"/>
          <w:szCs w:val="28"/>
        </w:rPr>
        <w:t>格式9、授权委托书与法定代表人（单位负责人）身份证明</w:t>
      </w:r>
      <w:bookmarkEnd w:id="208"/>
      <w:bookmarkEnd w:id="209"/>
      <w:bookmarkEnd w:id="210"/>
    </w:p>
    <w:p w14:paraId="706E763D">
      <w:pPr>
        <w:jc w:val="center"/>
        <w:rPr>
          <w:rFonts w:hint="eastAsia" w:ascii="宋体" w:hAnsi="宋体" w:cs="宋体"/>
          <w:b/>
          <w:sz w:val="36"/>
          <w:szCs w:val="36"/>
        </w:rPr>
      </w:pPr>
      <w:r>
        <w:rPr>
          <w:rFonts w:hint="eastAsia" w:ascii="宋体" w:hAnsi="宋体" w:cs="宋体"/>
          <w:b/>
          <w:sz w:val="36"/>
          <w:szCs w:val="36"/>
        </w:rPr>
        <w:t>授权委托书</w:t>
      </w:r>
    </w:p>
    <w:p w14:paraId="58BAFCAB">
      <w:pPr>
        <w:spacing w:line="400" w:lineRule="exact"/>
        <w:rPr>
          <w:rFonts w:hint="eastAsia" w:ascii="宋体" w:hAnsi="宋体" w:cs="宋体"/>
          <w:sz w:val="24"/>
          <w:szCs w:val="20"/>
        </w:rPr>
      </w:pPr>
      <w:r>
        <w:rPr>
          <w:rFonts w:hint="eastAsia" w:ascii="宋体" w:hAnsi="宋体" w:cs="宋体"/>
          <w:sz w:val="24"/>
          <w:szCs w:val="24"/>
        </w:rPr>
        <w:t>致：</w:t>
      </w:r>
      <w:r>
        <w:rPr>
          <w:rFonts w:hint="eastAsia" w:ascii="宋体" w:hAnsi="宋体" w:cs="宋体"/>
          <w:sz w:val="24"/>
          <w:szCs w:val="24"/>
          <w:u w:val="single"/>
        </w:rPr>
        <w:t>【采购单位】</w:t>
      </w:r>
    </w:p>
    <w:p w14:paraId="187C055D">
      <w:pPr>
        <w:spacing w:line="400" w:lineRule="exact"/>
        <w:ind w:firstLine="420"/>
        <w:rPr>
          <w:rFonts w:hint="eastAsia" w:ascii="宋体" w:hAnsi="宋体" w:cs="宋体"/>
          <w:sz w:val="24"/>
          <w:szCs w:val="20"/>
        </w:rPr>
      </w:pPr>
      <w:r>
        <w:rPr>
          <w:rFonts w:hint="eastAsia" w:ascii="宋体" w:hAnsi="宋体" w:cs="宋体"/>
          <w:sz w:val="24"/>
          <w:szCs w:val="20"/>
        </w:rPr>
        <w:t>本人</w:t>
      </w:r>
      <w:r>
        <w:rPr>
          <w:rFonts w:hint="eastAsia" w:ascii="宋体" w:hAnsi="宋体" w:cs="宋体"/>
          <w:sz w:val="24"/>
          <w:szCs w:val="24"/>
          <w:lang w:val="zh-CN"/>
        </w:rPr>
        <w:t>_______</w:t>
      </w:r>
      <w:r>
        <w:rPr>
          <w:rFonts w:hint="eastAsia" w:ascii="宋体" w:hAnsi="宋体" w:cs="宋体"/>
          <w:sz w:val="24"/>
          <w:szCs w:val="20"/>
        </w:rPr>
        <w:t>（姓名）系</w:t>
      </w:r>
      <w:r>
        <w:rPr>
          <w:rFonts w:hint="eastAsia" w:ascii="宋体" w:hAnsi="宋体" w:cs="宋体"/>
          <w:sz w:val="24"/>
          <w:szCs w:val="24"/>
          <w:lang w:val="zh-CN"/>
        </w:rPr>
        <w:t>________________</w:t>
      </w:r>
      <w:r>
        <w:rPr>
          <w:rFonts w:hint="eastAsia" w:ascii="宋体" w:hAnsi="宋体" w:cs="宋体"/>
          <w:sz w:val="24"/>
          <w:szCs w:val="20"/>
        </w:rPr>
        <w:t>（供应商名称）的法定代表人（单位负责人），现委托</w:t>
      </w:r>
      <w:r>
        <w:rPr>
          <w:rFonts w:hint="eastAsia" w:ascii="宋体" w:hAnsi="宋体" w:cs="宋体"/>
          <w:sz w:val="24"/>
          <w:szCs w:val="24"/>
          <w:lang w:val="zh-CN"/>
        </w:rPr>
        <w:t>_______</w:t>
      </w:r>
      <w:r>
        <w:rPr>
          <w:rFonts w:hint="eastAsia" w:ascii="宋体" w:hAnsi="宋体" w:cs="宋体"/>
          <w:sz w:val="24"/>
          <w:szCs w:val="20"/>
        </w:rPr>
        <w:t>（姓名）为我方代理人。代理人根据授权，以我方名义签署、澄清确认、递交、撤回、修改</w:t>
      </w:r>
      <w:r>
        <w:rPr>
          <w:rFonts w:hint="eastAsia" w:ascii="宋体" w:hAnsi="宋体" w:cs="宋体"/>
          <w:sz w:val="24"/>
          <w:szCs w:val="24"/>
          <w:u w:val="single"/>
        </w:rPr>
        <w:t>【项目名称】</w:t>
      </w:r>
      <w:r>
        <w:rPr>
          <w:rFonts w:hint="eastAsia" w:ascii="宋体" w:hAnsi="宋体" w:cs="宋体"/>
          <w:sz w:val="24"/>
          <w:szCs w:val="24"/>
        </w:rPr>
        <w:t>项目（项目编号：</w:t>
      </w:r>
      <w:r>
        <w:rPr>
          <w:rFonts w:hint="eastAsia" w:ascii="宋体" w:hAnsi="宋体" w:cs="宋体"/>
          <w:sz w:val="24"/>
          <w:szCs w:val="24"/>
          <w:u w:val="single"/>
        </w:rPr>
        <w:t>【项目编号】</w:t>
      </w:r>
      <w:r>
        <w:rPr>
          <w:rFonts w:hint="eastAsia" w:ascii="宋体" w:hAnsi="宋体" w:cs="宋体"/>
          <w:sz w:val="24"/>
          <w:szCs w:val="24"/>
        </w:rPr>
        <w:t>）</w:t>
      </w:r>
      <w:r>
        <w:rPr>
          <w:rFonts w:hint="eastAsia" w:ascii="宋体" w:hAnsi="宋体" w:cs="宋体"/>
          <w:sz w:val="24"/>
          <w:szCs w:val="20"/>
        </w:rPr>
        <w:t>响应文件和处理有关事宜，其法律后果由我方承担。</w:t>
      </w:r>
    </w:p>
    <w:p w14:paraId="68E68112">
      <w:pPr>
        <w:spacing w:line="400" w:lineRule="exact"/>
        <w:ind w:firstLine="480"/>
        <w:rPr>
          <w:rFonts w:hint="eastAsia" w:ascii="宋体" w:hAnsi="宋体" w:cs="宋体"/>
          <w:sz w:val="24"/>
          <w:szCs w:val="20"/>
        </w:rPr>
      </w:pPr>
      <w:r>
        <w:rPr>
          <w:rFonts w:hint="eastAsia" w:ascii="宋体" w:hAnsi="宋体" w:cs="宋体"/>
          <w:sz w:val="24"/>
          <w:szCs w:val="20"/>
        </w:rPr>
        <w:t>委托期限：自本授权委托书签署之日起至响应有效期届满之日止。</w:t>
      </w:r>
    </w:p>
    <w:p w14:paraId="6DF289E5">
      <w:pPr>
        <w:spacing w:line="400" w:lineRule="exact"/>
        <w:ind w:firstLine="480"/>
        <w:rPr>
          <w:rFonts w:hint="eastAsia" w:ascii="宋体" w:hAnsi="宋体" w:cs="宋体"/>
          <w:sz w:val="24"/>
          <w:szCs w:val="20"/>
        </w:rPr>
      </w:pPr>
      <w:r>
        <w:rPr>
          <w:rFonts w:hint="eastAsia" w:ascii="宋体" w:hAnsi="宋体" w:cs="宋体"/>
          <w:sz w:val="24"/>
          <w:szCs w:val="20"/>
        </w:rPr>
        <w:t>代理人无转委托权。</w:t>
      </w:r>
    </w:p>
    <w:p w14:paraId="0CA107C9">
      <w:pPr>
        <w:spacing w:line="400" w:lineRule="exact"/>
        <w:ind w:firstLine="480"/>
        <w:rPr>
          <w:rFonts w:hint="eastAsia" w:ascii="宋体" w:hAnsi="宋体" w:cs="宋体"/>
          <w:sz w:val="24"/>
          <w:szCs w:val="20"/>
        </w:rPr>
      </w:pPr>
    </w:p>
    <w:p w14:paraId="18B46B96">
      <w:pPr>
        <w:spacing w:line="400" w:lineRule="exact"/>
        <w:ind w:firstLine="480"/>
        <w:rPr>
          <w:rFonts w:hint="eastAsia" w:ascii="宋体" w:hAnsi="宋体" w:cs="宋体"/>
          <w:bCs/>
          <w:sz w:val="24"/>
          <w:szCs w:val="24"/>
          <w:lang w:val="zh-CN"/>
        </w:rPr>
      </w:pPr>
      <w:r>
        <w:rPr>
          <w:rFonts w:hint="eastAsia" w:ascii="宋体" w:hAnsi="宋体" w:cs="宋体"/>
          <w:bCs/>
          <w:sz w:val="24"/>
          <w:szCs w:val="24"/>
        </w:rPr>
        <w:t>供应商名称（加盖公章）</w:t>
      </w:r>
      <w:r>
        <w:rPr>
          <w:rFonts w:hint="eastAsia" w:ascii="宋体" w:hAnsi="宋体" w:cs="宋体"/>
          <w:bCs/>
          <w:sz w:val="24"/>
          <w:szCs w:val="24"/>
          <w:lang w:val="zh-CN"/>
        </w:rPr>
        <w:t>：________________</w:t>
      </w:r>
    </w:p>
    <w:p w14:paraId="5C900A7E">
      <w:pPr>
        <w:spacing w:line="400" w:lineRule="exact"/>
        <w:ind w:firstLine="480"/>
        <w:rPr>
          <w:rFonts w:hint="eastAsia" w:ascii="宋体" w:hAnsi="宋体" w:cs="宋体"/>
          <w:bCs/>
          <w:sz w:val="24"/>
          <w:szCs w:val="24"/>
        </w:rPr>
      </w:pPr>
      <w:r>
        <w:rPr>
          <w:rFonts w:hint="eastAsia" w:ascii="宋体" w:hAnsi="宋体" w:cs="宋体"/>
          <w:bCs/>
          <w:sz w:val="24"/>
          <w:szCs w:val="24"/>
        </w:rPr>
        <w:t>法定代表人（单位负责人）（签字、签章或印鉴）：</w:t>
      </w:r>
      <w:r>
        <w:rPr>
          <w:rFonts w:hint="eastAsia" w:ascii="宋体" w:hAnsi="宋体" w:cs="宋体"/>
          <w:bCs/>
          <w:sz w:val="24"/>
          <w:szCs w:val="24"/>
          <w:lang w:val="zh-CN"/>
        </w:rPr>
        <w:t>________________</w:t>
      </w:r>
    </w:p>
    <w:p w14:paraId="1CEF7C09">
      <w:pPr>
        <w:spacing w:line="400" w:lineRule="exact"/>
        <w:ind w:firstLine="480"/>
        <w:rPr>
          <w:rFonts w:hint="eastAsia" w:ascii="宋体" w:hAnsi="宋体" w:cs="宋体"/>
          <w:bCs/>
          <w:sz w:val="24"/>
          <w:szCs w:val="24"/>
          <w:lang w:val="zh-CN"/>
        </w:rPr>
      </w:pPr>
      <w:r>
        <w:rPr>
          <w:rFonts w:hint="eastAsia" w:ascii="宋体" w:hAnsi="宋体" w:cs="宋体"/>
          <w:bCs/>
          <w:sz w:val="24"/>
          <w:szCs w:val="24"/>
        </w:rPr>
        <w:t>委托代理人（签字/签章）：</w:t>
      </w:r>
      <w:r>
        <w:rPr>
          <w:rFonts w:hint="eastAsia" w:ascii="宋体" w:hAnsi="宋体" w:cs="宋体"/>
          <w:bCs/>
          <w:sz w:val="24"/>
          <w:szCs w:val="24"/>
          <w:lang w:val="zh-CN"/>
        </w:rPr>
        <w:t>________________</w:t>
      </w:r>
      <w:r>
        <w:rPr>
          <w:rFonts w:hint="eastAsia" w:ascii="宋体" w:hAnsi="宋体" w:cs="宋体"/>
          <w:bCs/>
          <w:sz w:val="24"/>
          <w:szCs w:val="24"/>
        </w:rPr>
        <w:t xml:space="preserve">    </w:t>
      </w:r>
      <w:r>
        <w:rPr>
          <w:rFonts w:hint="eastAsia" w:ascii="宋体" w:hAnsi="宋体" w:cs="宋体"/>
          <w:bCs/>
          <w:sz w:val="24"/>
          <w:szCs w:val="24"/>
          <w:lang w:val="zh-CN"/>
        </w:rPr>
        <w:t xml:space="preserve">                      </w:t>
      </w:r>
    </w:p>
    <w:p w14:paraId="2A762D34">
      <w:pPr>
        <w:spacing w:line="400" w:lineRule="exact"/>
        <w:ind w:firstLine="480"/>
        <w:rPr>
          <w:rFonts w:hint="eastAsia" w:ascii="宋体" w:hAnsi="宋体" w:cs="宋体"/>
          <w:bCs/>
          <w:sz w:val="24"/>
          <w:szCs w:val="24"/>
          <w:lang w:val="zh-CN"/>
        </w:rPr>
      </w:pPr>
      <w:r>
        <w:rPr>
          <w:rFonts w:hint="eastAsia" w:ascii="宋体" w:hAnsi="宋体" w:cs="宋体"/>
          <w:bCs/>
          <w:sz w:val="24"/>
          <w:szCs w:val="24"/>
        </w:rPr>
        <w:t>日期：_____年______月______日</w:t>
      </w:r>
    </w:p>
    <w:p w14:paraId="12B0E5C1">
      <w:pPr>
        <w:tabs>
          <w:tab w:val="left" w:pos="5580"/>
        </w:tabs>
        <w:ind w:firstLine="480"/>
        <w:rPr>
          <w:rFonts w:hint="eastAsia" w:ascii="宋体" w:hAnsi="宋体" w:cs="宋体"/>
          <w:sz w:val="24"/>
          <w:szCs w:val="20"/>
        </w:rPr>
      </w:pPr>
    </w:p>
    <w:p w14:paraId="276AE9FE">
      <w:pPr>
        <w:tabs>
          <w:tab w:val="left" w:pos="5580"/>
        </w:tabs>
        <w:ind w:firstLine="240"/>
        <w:jc w:val="left"/>
        <w:rPr>
          <w:rFonts w:hint="eastAsia" w:ascii="宋体" w:hAnsi="宋体" w:cs="宋体"/>
          <w:sz w:val="24"/>
          <w:szCs w:val="20"/>
        </w:rPr>
      </w:pPr>
      <w:r>
        <w:rPr>
          <w:rFonts w:hint="eastAsia" w:ascii="宋体" w:hAnsi="宋体" w:cs="宋体"/>
          <w:sz w:val="24"/>
          <w:szCs w:val="20"/>
        </w:rPr>
        <w:t>法定代表人（单位负责人）有效期内的身份证</w:t>
      </w:r>
      <w:r>
        <w:rPr>
          <w:rFonts w:hint="eastAsia" w:ascii="宋体" w:hAnsi="宋体" w:cs="宋体"/>
          <w:b/>
          <w:sz w:val="24"/>
          <w:szCs w:val="20"/>
        </w:rPr>
        <w:t>正反面</w:t>
      </w:r>
      <w:r>
        <w:rPr>
          <w:rFonts w:hint="eastAsia" w:ascii="宋体" w:hAnsi="宋体" w:cs="宋体"/>
          <w:sz w:val="24"/>
          <w:szCs w:val="20"/>
        </w:rPr>
        <w:t>电子件：</w:t>
      </w:r>
    </w:p>
    <w:tbl>
      <w:tblPr>
        <w:tblStyle w:val="1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97A8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673" w:type="dxa"/>
          </w:tcPr>
          <w:p w14:paraId="4B9F76AF">
            <w:pPr>
              <w:tabs>
                <w:tab w:val="left" w:pos="5580"/>
              </w:tabs>
              <w:jc w:val="left"/>
              <w:rPr>
                <w:rFonts w:hint="eastAsia" w:ascii="宋体" w:hAnsi="宋体" w:cs="宋体"/>
                <w:sz w:val="24"/>
                <w:szCs w:val="20"/>
              </w:rPr>
            </w:pPr>
          </w:p>
          <w:p w14:paraId="3F99075E">
            <w:pPr>
              <w:tabs>
                <w:tab w:val="left" w:pos="5580"/>
              </w:tabs>
              <w:jc w:val="left"/>
              <w:rPr>
                <w:rFonts w:hint="eastAsia" w:ascii="宋体" w:hAnsi="宋体" w:cs="宋体"/>
                <w:sz w:val="24"/>
                <w:szCs w:val="20"/>
              </w:rPr>
            </w:pPr>
          </w:p>
        </w:tc>
        <w:tc>
          <w:tcPr>
            <w:tcW w:w="4536" w:type="dxa"/>
          </w:tcPr>
          <w:p w14:paraId="6CBC7B49">
            <w:pPr>
              <w:tabs>
                <w:tab w:val="left" w:pos="5580"/>
              </w:tabs>
              <w:jc w:val="left"/>
              <w:rPr>
                <w:rFonts w:hint="eastAsia" w:ascii="宋体" w:hAnsi="宋体" w:cs="宋体"/>
                <w:sz w:val="24"/>
                <w:szCs w:val="20"/>
              </w:rPr>
            </w:pPr>
          </w:p>
          <w:p w14:paraId="15D28D11">
            <w:pPr>
              <w:tabs>
                <w:tab w:val="left" w:pos="5580"/>
              </w:tabs>
              <w:jc w:val="left"/>
              <w:rPr>
                <w:rFonts w:hint="eastAsia" w:ascii="宋体" w:hAnsi="宋体" w:cs="宋体"/>
                <w:sz w:val="24"/>
                <w:szCs w:val="20"/>
              </w:rPr>
            </w:pPr>
          </w:p>
        </w:tc>
      </w:tr>
    </w:tbl>
    <w:p w14:paraId="7DAF4B17">
      <w:pPr>
        <w:tabs>
          <w:tab w:val="left" w:pos="5580"/>
        </w:tabs>
        <w:ind w:firstLine="240"/>
        <w:jc w:val="left"/>
        <w:rPr>
          <w:rFonts w:hint="eastAsia" w:ascii="宋体" w:hAnsi="宋体" w:cs="宋体"/>
          <w:sz w:val="24"/>
          <w:szCs w:val="20"/>
        </w:rPr>
      </w:pPr>
      <w:r>
        <w:rPr>
          <w:rFonts w:hint="eastAsia" w:ascii="宋体" w:hAnsi="宋体" w:cs="宋体"/>
          <w:sz w:val="24"/>
          <w:szCs w:val="20"/>
        </w:rPr>
        <w:t>委托代理人有效期内的身份证</w:t>
      </w:r>
      <w:r>
        <w:rPr>
          <w:rFonts w:hint="eastAsia" w:ascii="宋体" w:hAnsi="宋体" w:cs="宋体"/>
          <w:b/>
          <w:sz w:val="24"/>
          <w:szCs w:val="20"/>
        </w:rPr>
        <w:t>正反面</w:t>
      </w:r>
      <w:r>
        <w:rPr>
          <w:rFonts w:hint="eastAsia" w:ascii="宋体" w:hAnsi="宋体" w:cs="宋体"/>
          <w:sz w:val="24"/>
          <w:szCs w:val="20"/>
        </w:rPr>
        <w:t>电子件：</w:t>
      </w:r>
    </w:p>
    <w:tbl>
      <w:tblPr>
        <w:tblStyle w:val="1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837F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jc w:val="center"/>
        </w:trPr>
        <w:tc>
          <w:tcPr>
            <w:tcW w:w="4673" w:type="dxa"/>
          </w:tcPr>
          <w:p w14:paraId="48E0B381">
            <w:pPr>
              <w:tabs>
                <w:tab w:val="left" w:pos="5580"/>
              </w:tabs>
              <w:jc w:val="left"/>
              <w:rPr>
                <w:rFonts w:hint="eastAsia" w:ascii="宋体" w:hAnsi="宋体" w:cs="宋体"/>
                <w:sz w:val="24"/>
                <w:szCs w:val="20"/>
              </w:rPr>
            </w:pPr>
          </w:p>
          <w:p w14:paraId="6F534955">
            <w:pPr>
              <w:tabs>
                <w:tab w:val="left" w:pos="5580"/>
              </w:tabs>
              <w:jc w:val="left"/>
              <w:rPr>
                <w:rFonts w:hint="eastAsia" w:ascii="宋体" w:hAnsi="宋体" w:cs="宋体"/>
                <w:sz w:val="24"/>
                <w:szCs w:val="20"/>
              </w:rPr>
            </w:pPr>
          </w:p>
        </w:tc>
        <w:tc>
          <w:tcPr>
            <w:tcW w:w="4536" w:type="dxa"/>
          </w:tcPr>
          <w:p w14:paraId="69312A2D">
            <w:pPr>
              <w:tabs>
                <w:tab w:val="left" w:pos="5580"/>
              </w:tabs>
              <w:jc w:val="left"/>
              <w:rPr>
                <w:rFonts w:hint="eastAsia" w:ascii="宋体" w:hAnsi="宋体" w:cs="宋体"/>
                <w:sz w:val="24"/>
                <w:szCs w:val="20"/>
              </w:rPr>
            </w:pPr>
          </w:p>
          <w:p w14:paraId="1E2BFA8F">
            <w:pPr>
              <w:tabs>
                <w:tab w:val="left" w:pos="5580"/>
              </w:tabs>
              <w:jc w:val="left"/>
              <w:rPr>
                <w:rFonts w:hint="eastAsia" w:ascii="宋体" w:hAnsi="宋体" w:cs="宋体"/>
                <w:sz w:val="24"/>
                <w:szCs w:val="20"/>
              </w:rPr>
            </w:pPr>
          </w:p>
        </w:tc>
      </w:tr>
    </w:tbl>
    <w:p w14:paraId="36FAFD54">
      <w:pPr>
        <w:tabs>
          <w:tab w:val="left" w:pos="5580"/>
        </w:tabs>
        <w:jc w:val="left"/>
        <w:rPr>
          <w:rFonts w:hint="eastAsia" w:ascii="宋体" w:hAnsi="宋体" w:cs="宋体"/>
          <w:sz w:val="24"/>
          <w:szCs w:val="20"/>
        </w:rPr>
      </w:pPr>
      <w:r>
        <w:rPr>
          <w:rFonts w:hint="eastAsia" w:ascii="宋体" w:hAnsi="宋体" w:cs="宋体"/>
          <w:sz w:val="24"/>
          <w:szCs w:val="20"/>
        </w:rPr>
        <w:t>填报说明：</w:t>
      </w:r>
    </w:p>
    <w:p w14:paraId="55D55622">
      <w:pPr>
        <w:tabs>
          <w:tab w:val="left" w:pos="5580"/>
        </w:tabs>
        <w:ind w:firstLine="480"/>
        <w:jc w:val="left"/>
        <w:rPr>
          <w:rFonts w:hint="eastAsia" w:ascii="宋体" w:hAnsi="宋体" w:cs="宋体"/>
          <w:sz w:val="24"/>
          <w:szCs w:val="20"/>
        </w:rPr>
      </w:pPr>
      <w:r>
        <w:rPr>
          <w:rFonts w:hint="eastAsia" w:ascii="宋体" w:hAnsi="宋体" w:cs="宋体"/>
          <w:sz w:val="24"/>
          <w:szCs w:val="20"/>
        </w:rPr>
        <w:t>1.若供应商为事业单位或其他组织或分支机构（仅当磋商文件注明允许分支机构参与的），则法定代表人（单位负责人）的签署人可为单位负责人。</w:t>
      </w:r>
    </w:p>
    <w:p w14:paraId="74562F4A">
      <w:pPr>
        <w:tabs>
          <w:tab w:val="left" w:pos="5580"/>
        </w:tabs>
        <w:ind w:firstLine="480"/>
        <w:jc w:val="left"/>
        <w:rPr>
          <w:rFonts w:hint="eastAsia" w:ascii="宋体" w:hAnsi="宋体" w:cs="宋体"/>
          <w:sz w:val="24"/>
          <w:szCs w:val="20"/>
        </w:rPr>
      </w:pPr>
      <w:r>
        <w:rPr>
          <w:rFonts w:hint="eastAsia" w:ascii="宋体" w:hAnsi="宋体" w:cs="宋体"/>
          <w:sz w:val="24"/>
          <w:szCs w:val="20"/>
        </w:rPr>
        <w:t>2.若响应文件中全部签字之处均为法定代表人（单位负责人）本人签署，则可不提供本《授权委托书》，但须提供《法定代表人（单位负责人）身份证明》。</w:t>
      </w:r>
    </w:p>
    <w:p w14:paraId="29611B07">
      <w:pPr>
        <w:tabs>
          <w:tab w:val="left" w:pos="5580"/>
        </w:tabs>
        <w:ind w:firstLine="480"/>
        <w:jc w:val="left"/>
        <w:rPr>
          <w:rFonts w:hint="eastAsia" w:ascii="宋体" w:hAnsi="宋体" w:cs="宋体"/>
          <w:sz w:val="24"/>
          <w:szCs w:val="20"/>
        </w:rPr>
      </w:pPr>
      <w:r>
        <w:rPr>
          <w:rFonts w:hint="eastAsia" w:ascii="宋体" w:hAnsi="宋体" w:cs="宋体"/>
          <w:sz w:val="24"/>
          <w:szCs w:val="20"/>
        </w:rPr>
        <w:t>3.供应商为自然人的情形，可不提供本《授权委托书》。</w:t>
      </w:r>
    </w:p>
    <w:p w14:paraId="0D5699D0">
      <w:pPr>
        <w:tabs>
          <w:tab w:val="left" w:pos="5580"/>
        </w:tabs>
        <w:ind w:firstLine="480"/>
        <w:jc w:val="left"/>
        <w:rPr>
          <w:rFonts w:hint="eastAsia" w:ascii="宋体" w:hAnsi="宋体" w:cs="宋体"/>
          <w:b/>
          <w:sz w:val="36"/>
          <w:szCs w:val="36"/>
        </w:rPr>
      </w:pPr>
      <w:r>
        <w:rPr>
          <w:rFonts w:hint="eastAsia" w:ascii="宋体" w:hAnsi="宋体" w:cs="宋体"/>
          <w:sz w:val="24"/>
          <w:szCs w:val="20"/>
        </w:rPr>
        <w:br w:type="page" w:clear="all"/>
      </w:r>
    </w:p>
    <w:p w14:paraId="4E5771DD">
      <w:pPr>
        <w:jc w:val="center"/>
        <w:rPr>
          <w:rFonts w:hint="eastAsia" w:ascii="宋体" w:hAnsi="宋体" w:cs="宋体"/>
          <w:b/>
          <w:sz w:val="36"/>
          <w:szCs w:val="36"/>
        </w:rPr>
      </w:pPr>
      <w:r>
        <w:rPr>
          <w:rFonts w:hint="eastAsia" w:ascii="宋体" w:hAnsi="宋体" w:cs="宋体"/>
          <w:b/>
          <w:sz w:val="36"/>
          <w:szCs w:val="36"/>
        </w:rPr>
        <w:t>法定代表人（单位负责人）身份证明</w:t>
      </w:r>
    </w:p>
    <w:p w14:paraId="0BB8190F">
      <w:pPr>
        <w:rPr>
          <w:rFonts w:hint="eastAsia" w:ascii="宋体" w:hAnsi="宋体" w:cs="宋体"/>
          <w:sz w:val="20"/>
          <w:szCs w:val="20"/>
        </w:rPr>
      </w:pPr>
    </w:p>
    <w:p w14:paraId="30A60BE6">
      <w:pPr>
        <w:tabs>
          <w:tab w:val="left" w:pos="5580"/>
        </w:tabs>
        <w:rPr>
          <w:rFonts w:hint="eastAsia" w:ascii="宋体" w:hAnsi="宋体" w:cs="宋体"/>
          <w:sz w:val="24"/>
          <w:szCs w:val="24"/>
        </w:rPr>
      </w:pPr>
      <w:r>
        <w:rPr>
          <w:rFonts w:hint="eastAsia" w:ascii="宋体" w:hAnsi="宋体" w:cs="宋体"/>
          <w:sz w:val="24"/>
          <w:szCs w:val="24"/>
        </w:rPr>
        <w:t>致：【采购单位】</w:t>
      </w:r>
    </w:p>
    <w:p w14:paraId="6D2339EA">
      <w:pPr>
        <w:tabs>
          <w:tab w:val="left" w:pos="567"/>
          <w:tab w:val="left" w:pos="2412"/>
          <w:tab w:val="left" w:pos="3883"/>
          <w:tab w:val="left" w:pos="5352"/>
          <w:tab w:val="left" w:pos="6821"/>
        </w:tabs>
        <w:spacing w:before="120"/>
        <w:ind w:firstLine="480"/>
        <w:rPr>
          <w:rFonts w:hint="eastAsia" w:ascii="宋体" w:hAnsi="宋体" w:cs="宋体"/>
          <w:sz w:val="24"/>
          <w:szCs w:val="24"/>
        </w:rPr>
      </w:pPr>
      <w:r>
        <w:rPr>
          <w:rFonts w:hint="eastAsia" w:ascii="宋体" w:hAnsi="宋体" w:cs="宋体"/>
          <w:sz w:val="24"/>
          <w:szCs w:val="24"/>
        </w:rPr>
        <w:t>兹证明，</w:t>
      </w:r>
    </w:p>
    <w:p w14:paraId="7B71AB28">
      <w:pPr>
        <w:tabs>
          <w:tab w:val="left" w:pos="567"/>
          <w:tab w:val="left" w:pos="1690"/>
          <w:tab w:val="left" w:pos="3400"/>
          <w:tab w:val="left" w:pos="5110"/>
          <w:tab w:val="left" w:pos="6821"/>
        </w:tabs>
        <w:spacing w:before="120"/>
        <w:rPr>
          <w:rFonts w:hint="eastAsia" w:ascii="宋体" w:hAnsi="宋体" w:cs="宋体"/>
          <w:sz w:val="24"/>
          <w:szCs w:val="24"/>
        </w:rPr>
      </w:pPr>
      <w:r>
        <w:rPr>
          <w:rFonts w:hint="eastAsia" w:ascii="宋体" w:hAnsi="宋体" w:cs="宋体"/>
          <w:sz w:val="24"/>
          <w:szCs w:val="24"/>
        </w:rPr>
        <w:t>姓名：____性别：____年龄：____职务：____</w:t>
      </w:r>
    </w:p>
    <w:p w14:paraId="52C02620">
      <w:pPr>
        <w:tabs>
          <w:tab w:val="left" w:pos="567"/>
          <w:tab w:val="left" w:pos="2412"/>
          <w:tab w:val="left" w:pos="3883"/>
          <w:tab w:val="left" w:pos="5352"/>
          <w:tab w:val="left" w:pos="6821"/>
        </w:tabs>
        <w:spacing w:before="120"/>
        <w:rPr>
          <w:rFonts w:hint="eastAsia" w:ascii="宋体" w:hAnsi="宋体" w:cs="宋体"/>
          <w:sz w:val="24"/>
          <w:szCs w:val="24"/>
        </w:rPr>
      </w:pPr>
    </w:p>
    <w:p w14:paraId="3083788F">
      <w:pPr>
        <w:tabs>
          <w:tab w:val="left" w:pos="2250"/>
          <w:tab w:val="left" w:pos="2412"/>
          <w:tab w:val="left" w:pos="3883"/>
          <w:tab w:val="left" w:pos="5352"/>
          <w:tab w:val="left" w:pos="6821"/>
        </w:tabs>
        <w:spacing w:before="120"/>
        <w:rPr>
          <w:rFonts w:hint="eastAsia"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ab/>
      </w:r>
      <w:r>
        <w:rPr>
          <w:rFonts w:hint="eastAsia" w:ascii="宋体" w:hAnsi="宋体" w:cs="宋体"/>
          <w:sz w:val="24"/>
          <w:szCs w:val="24"/>
        </w:rPr>
        <w:t>（供应商名称）的法定代表人（单位负责人）。</w:t>
      </w:r>
    </w:p>
    <w:p w14:paraId="3EB4E51C">
      <w:pPr>
        <w:tabs>
          <w:tab w:val="left" w:pos="567"/>
          <w:tab w:val="left" w:pos="2412"/>
          <w:tab w:val="left" w:pos="3883"/>
          <w:tab w:val="left" w:pos="5352"/>
          <w:tab w:val="left" w:pos="6821"/>
        </w:tabs>
        <w:spacing w:before="120"/>
        <w:rPr>
          <w:rFonts w:hint="eastAsia" w:ascii="宋体" w:hAnsi="宋体" w:cs="宋体"/>
          <w:sz w:val="24"/>
          <w:szCs w:val="24"/>
        </w:rPr>
      </w:pPr>
    </w:p>
    <w:p w14:paraId="3CC630DF">
      <w:pPr>
        <w:tabs>
          <w:tab w:val="left" w:pos="567"/>
          <w:tab w:val="left" w:pos="2412"/>
          <w:tab w:val="left" w:pos="3883"/>
          <w:tab w:val="left" w:pos="5352"/>
          <w:tab w:val="left" w:pos="6821"/>
        </w:tabs>
        <w:spacing w:before="120"/>
        <w:rPr>
          <w:rFonts w:hint="eastAsia" w:ascii="宋体" w:hAnsi="宋体" w:cs="宋体"/>
          <w:sz w:val="24"/>
          <w:szCs w:val="24"/>
        </w:rPr>
      </w:pPr>
    </w:p>
    <w:p w14:paraId="1A4DC2B7">
      <w:pPr>
        <w:tabs>
          <w:tab w:val="left" w:pos="567"/>
        </w:tabs>
        <w:spacing w:before="120"/>
        <w:ind w:right="-46" w:firstLine="240"/>
        <w:rPr>
          <w:rFonts w:hint="eastAsia" w:ascii="宋体" w:hAnsi="宋体" w:cs="宋体"/>
          <w:spacing w:val="-3"/>
          <w:sz w:val="24"/>
          <w:szCs w:val="24"/>
        </w:rPr>
      </w:pPr>
      <w:r>
        <w:rPr>
          <w:rFonts w:hint="eastAsia" w:ascii="宋体" w:hAnsi="宋体" w:cs="宋体"/>
          <w:sz w:val="24"/>
          <w:szCs w:val="24"/>
        </w:rPr>
        <w:t>附：</w:t>
      </w:r>
      <w:r>
        <w:rPr>
          <w:rFonts w:hint="eastAsia" w:ascii="宋体" w:hAnsi="宋体" w:cs="宋体"/>
          <w:spacing w:val="-3"/>
          <w:sz w:val="24"/>
          <w:szCs w:val="24"/>
        </w:rPr>
        <w:t>法</w:t>
      </w:r>
      <w:r>
        <w:rPr>
          <w:rFonts w:hint="eastAsia" w:ascii="宋体" w:hAnsi="宋体" w:cs="宋体"/>
          <w:sz w:val="24"/>
          <w:szCs w:val="24"/>
        </w:rPr>
        <w:t>定</w:t>
      </w:r>
      <w:r>
        <w:rPr>
          <w:rFonts w:hint="eastAsia" w:ascii="宋体" w:hAnsi="宋体" w:cs="宋体"/>
          <w:spacing w:val="-3"/>
          <w:sz w:val="24"/>
          <w:szCs w:val="24"/>
        </w:rPr>
        <w:t>代</w:t>
      </w:r>
      <w:r>
        <w:rPr>
          <w:rFonts w:hint="eastAsia" w:ascii="宋体" w:hAnsi="宋体" w:cs="宋体"/>
          <w:sz w:val="24"/>
          <w:szCs w:val="24"/>
        </w:rPr>
        <w:t>表</w:t>
      </w:r>
      <w:r>
        <w:rPr>
          <w:rFonts w:hint="eastAsia" w:ascii="宋体" w:hAnsi="宋体" w:cs="宋体"/>
          <w:spacing w:val="-3"/>
          <w:sz w:val="24"/>
          <w:szCs w:val="24"/>
        </w:rPr>
        <w:t>人</w:t>
      </w:r>
      <w:r>
        <w:rPr>
          <w:rFonts w:hint="eastAsia" w:ascii="宋体" w:hAnsi="宋体" w:cs="宋体"/>
          <w:sz w:val="24"/>
          <w:szCs w:val="24"/>
        </w:rPr>
        <w:t>（</w:t>
      </w:r>
      <w:r>
        <w:rPr>
          <w:rFonts w:hint="eastAsia" w:ascii="宋体" w:hAnsi="宋体" w:cs="宋体"/>
          <w:spacing w:val="-3"/>
          <w:sz w:val="24"/>
          <w:szCs w:val="24"/>
        </w:rPr>
        <w:t>单</w:t>
      </w:r>
      <w:r>
        <w:rPr>
          <w:rFonts w:hint="eastAsia" w:ascii="宋体" w:hAnsi="宋体" w:cs="宋体"/>
          <w:sz w:val="24"/>
          <w:szCs w:val="24"/>
        </w:rPr>
        <w:t>位</w:t>
      </w:r>
      <w:r>
        <w:rPr>
          <w:rFonts w:hint="eastAsia" w:ascii="宋体" w:hAnsi="宋体" w:cs="宋体"/>
          <w:spacing w:val="-3"/>
          <w:sz w:val="24"/>
          <w:szCs w:val="24"/>
        </w:rPr>
        <w:t>负</w:t>
      </w:r>
      <w:r>
        <w:rPr>
          <w:rFonts w:hint="eastAsia" w:ascii="宋体" w:hAnsi="宋体" w:cs="宋体"/>
          <w:sz w:val="24"/>
          <w:szCs w:val="24"/>
        </w:rPr>
        <w:t>责人</w:t>
      </w:r>
      <w:r>
        <w:rPr>
          <w:rFonts w:hint="eastAsia" w:ascii="宋体" w:hAnsi="宋体" w:cs="宋体"/>
          <w:spacing w:val="-3"/>
          <w:sz w:val="24"/>
          <w:szCs w:val="24"/>
        </w:rPr>
        <w:t>）有效期内的身份证正反面电子件。</w:t>
      </w:r>
    </w:p>
    <w:tbl>
      <w:tblPr>
        <w:tblStyle w:val="1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2734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4" w:hRule="atLeast"/>
          <w:jc w:val="center"/>
        </w:trPr>
        <w:tc>
          <w:tcPr>
            <w:tcW w:w="4673" w:type="dxa"/>
          </w:tcPr>
          <w:p w14:paraId="3433A8F1">
            <w:pPr>
              <w:tabs>
                <w:tab w:val="left" w:pos="5580"/>
              </w:tabs>
              <w:jc w:val="left"/>
              <w:rPr>
                <w:rFonts w:hint="eastAsia" w:ascii="宋体" w:hAnsi="宋体" w:cs="宋体"/>
                <w:sz w:val="24"/>
                <w:szCs w:val="20"/>
              </w:rPr>
            </w:pPr>
          </w:p>
          <w:p w14:paraId="3CE503D0">
            <w:pPr>
              <w:tabs>
                <w:tab w:val="left" w:pos="5580"/>
              </w:tabs>
              <w:jc w:val="left"/>
              <w:rPr>
                <w:rFonts w:hint="eastAsia" w:ascii="宋体" w:hAnsi="宋体" w:cs="宋体"/>
                <w:sz w:val="24"/>
                <w:szCs w:val="20"/>
              </w:rPr>
            </w:pPr>
          </w:p>
          <w:p w14:paraId="38D0095F">
            <w:pPr>
              <w:tabs>
                <w:tab w:val="left" w:pos="5580"/>
              </w:tabs>
              <w:jc w:val="left"/>
              <w:rPr>
                <w:rFonts w:hint="eastAsia" w:ascii="宋体" w:hAnsi="宋体" w:cs="宋体"/>
                <w:sz w:val="24"/>
                <w:szCs w:val="20"/>
              </w:rPr>
            </w:pPr>
          </w:p>
        </w:tc>
        <w:tc>
          <w:tcPr>
            <w:tcW w:w="4536" w:type="dxa"/>
          </w:tcPr>
          <w:p w14:paraId="20044DF1">
            <w:pPr>
              <w:tabs>
                <w:tab w:val="left" w:pos="5580"/>
              </w:tabs>
              <w:jc w:val="left"/>
              <w:rPr>
                <w:rFonts w:hint="eastAsia" w:ascii="宋体" w:hAnsi="宋体" w:cs="宋体"/>
                <w:sz w:val="24"/>
                <w:szCs w:val="20"/>
              </w:rPr>
            </w:pPr>
          </w:p>
          <w:p w14:paraId="602ED484">
            <w:pPr>
              <w:tabs>
                <w:tab w:val="left" w:pos="5580"/>
              </w:tabs>
              <w:jc w:val="left"/>
              <w:rPr>
                <w:rFonts w:hint="eastAsia" w:ascii="宋体" w:hAnsi="宋体" w:cs="宋体"/>
                <w:sz w:val="24"/>
                <w:szCs w:val="20"/>
              </w:rPr>
            </w:pPr>
          </w:p>
          <w:p w14:paraId="7F9BAE1B">
            <w:pPr>
              <w:tabs>
                <w:tab w:val="left" w:pos="5580"/>
              </w:tabs>
              <w:jc w:val="left"/>
              <w:rPr>
                <w:rFonts w:hint="eastAsia" w:ascii="宋体" w:hAnsi="宋体" w:cs="宋体"/>
                <w:sz w:val="24"/>
                <w:szCs w:val="20"/>
              </w:rPr>
            </w:pPr>
          </w:p>
        </w:tc>
      </w:tr>
    </w:tbl>
    <w:p w14:paraId="6A6D8232">
      <w:pPr>
        <w:tabs>
          <w:tab w:val="left" w:pos="567"/>
        </w:tabs>
        <w:spacing w:before="120"/>
        <w:ind w:right="4305"/>
        <w:rPr>
          <w:rFonts w:hint="eastAsia" w:ascii="宋体" w:hAnsi="宋体" w:cs="宋体"/>
          <w:spacing w:val="-3"/>
          <w:sz w:val="24"/>
          <w:szCs w:val="24"/>
        </w:rPr>
      </w:pPr>
    </w:p>
    <w:p w14:paraId="0628B6F2">
      <w:pPr>
        <w:tabs>
          <w:tab w:val="left" w:pos="567"/>
        </w:tabs>
        <w:spacing w:before="120"/>
        <w:ind w:right="4305"/>
        <w:rPr>
          <w:rFonts w:hint="eastAsia" w:ascii="宋体" w:hAnsi="宋体" w:cs="宋体"/>
          <w:spacing w:val="-3"/>
          <w:sz w:val="24"/>
          <w:szCs w:val="24"/>
        </w:rPr>
      </w:pPr>
    </w:p>
    <w:p w14:paraId="62FF2247">
      <w:pPr>
        <w:rPr>
          <w:rFonts w:hint="eastAsia" w:ascii="宋体" w:hAnsi="宋体" w:cs="宋体"/>
          <w:sz w:val="24"/>
          <w:szCs w:val="24"/>
          <w:lang w:val="zh-CN"/>
        </w:rPr>
      </w:pPr>
      <w:r>
        <w:rPr>
          <w:rFonts w:hint="eastAsia" w:ascii="宋体" w:hAnsi="宋体" w:cs="宋体"/>
          <w:bCs/>
          <w:sz w:val="24"/>
          <w:szCs w:val="24"/>
        </w:rPr>
        <w:t>供应商</w:t>
      </w:r>
      <w:r>
        <w:rPr>
          <w:rFonts w:hint="eastAsia" w:ascii="宋体" w:hAnsi="宋体" w:cs="宋体"/>
          <w:sz w:val="24"/>
          <w:szCs w:val="24"/>
        </w:rPr>
        <w:t>名称（加盖公章）</w:t>
      </w:r>
      <w:r>
        <w:rPr>
          <w:rFonts w:hint="eastAsia" w:ascii="宋体" w:hAnsi="宋体" w:cs="宋体"/>
          <w:sz w:val="24"/>
          <w:szCs w:val="24"/>
          <w:lang w:val="zh-CN"/>
        </w:rPr>
        <w:t>：________________</w:t>
      </w:r>
    </w:p>
    <w:p w14:paraId="70D2D8C1">
      <w:pPr>
        <w:tabs>
          <w:tab w:val="left" w:pos="567"/>
        </w:tabs>
        <w:spacing w:before="120"/>
        <w:ind w:right="95"/>
        <w:rPr>
          <w:rFonts w:hint="eastAsia" w:ascii="宋体" w:hAnsi="宋体" w:cs="宋体"/>
          <w:spacing w:val="-3"/>
          <w:sz w:val="24"/>
          <w:szCs w:val="24"/>
        </w:rPr>
      </w:pPr>
      <w:r>
        <w:rPr>
          <w:rFonts w:hint="eastAsia" w:ascii="宋体" w:hAnsi="宋体" w:cs="宋体"/>
          <w:spacing w:val="-3"/>
          <w:sz w:val="24"/>
          <w:szCs w:val="24"/>
        </w:rPr>
        <w:t>法定代表人（</w:t>
      </w:r>
      <w:r>
        <w:rPr>
          <w:rFonts w:hint="eastAsia" w:ascii="宋体" w:hAnsi="宋体" w:cs="宋体"/>
          <w:sz w:val="24"/>
          <w:szCs w:val="24"/>
        </w:rPr>
        <w:t>单位负责人</w:t>
      </w:r>
      <w:r>
        <w:rPr>
          <w:rFonts w:hint="eastAsia" w:ascii="宋体" w:hAnsi="宋体" w:cs="宋体"/>
          <w:spacing w:val="-3"/>
          <w:sz w:val="24"/>
          <w:szCs w:val="24"/>
        </w:rPr>
        <w:t>）（签字、签章或印鉴）：_______</w:t>
      </w:r>
    </w:p>
    <w:p w14:paraId="63D25195">
      <w:pPr>
        <w:rPr>
          <w:rFonts w:hint="eastAsia" w:ascii="宋体" w:hAnsi="宋体" w:cs="宋体"/>
          <w:sz w:val="24"/>
          <w:szCs w:val="24"/>
        </w:rPr>
      </w:pPr>
    </w:p>
    <w:p w14:paraId="1690A982">
      <w:pPr>
        <w:rPr>
          <w:rFonts w:hint="eastAsia" w:ascii="宋体" w:hAnsi="宋体" w:cs="宋体"/>
          <w:sz w:val="24"/>
          <w:szCs w:val="24"/>
          <w:lang w:val="zh-CN"/>
        </w:rPr>
      </w:pPr>
      <w:r>
        <w:rPr>
          <w:rFonts w:hint="eastAsia" w:ascii="宋体" w:hAnsi="宋体" w:cs="宋体"/>
          <w:sz w:val="24"/>
          <w:szCs w:val="24"/>
        </w:rPr>
        <w:t>日期：_____年______月______日</w:t>
      </w:r>
    </w:p>
    <w:p w14:paraId="46C394AD">
      <w:pPr>
        <w:ind w:firstLine="420"/>
        <w:rPr>
          <w:rFonts w:hint="eastAsia" w:ascii="宋体" w:hAnsi="宋体" w:cs="宋体"/>
          <w:szCs w:val="20"/>
        </w:rPr>
      </w:pPr>
    </w:p>
    <w:p w14:paraId="582B9061">
      <w:pPr>
        <w:spacing w:before="120" w:after="120"/>
        <w:jc w:val="left"/>
        <w:outlineLvl w:val="1"/>
        <w:rPr>
          <w:rFonts w:hint="eastAsia" w:ascii="宋体" w:hAnsi="宋体" w:cs="宋体"/>
          <w:b/>
          <w:sz w:val="30"/>
          <w:szCs w:val="30"/>
          <w:u w:val="single"/>
        </w:rPr>
      </w:pPr>
      <w:r>
        <w:rPr>
          <w:rFonts w:hint="eastAsia" w:ascii="宋体" w:hAnsi="宋体" w:cs="宋体"/>
          <w:szCs w:val="24"/>
        </w:rPr>
        <w:br w:type="page" w:clear="all"/>
      </w:r>
      <w:bookmarkStart w:id="211" w:name="_Toc24718"/>
      <w:bookmarkStart w:id="212" w:name="_Toc21502"/>
      <w:bookmarkStart w:id="213" w:name="_Toc2689"/>
      <w:bookmarkStart w:id="214" w:name="_Toc120614284"/>
      <w:bookmarkStart w:id="215" w:name="_Toc24878535"/>
      <w:bookmarkStart w:id="216" w:name="_Toc120614291"/>
      <w:bookmarkStart w:id="217" w:name="_Toc513029281"/>
      <w:bookmarkStart w:id="218" w:name="_Toc26554103"/>
      <w:bookmarkStart w:id="219" w:name="_Toc49090582"/>
      <w:bookmarkStart w:id="220" w:name="_Toc22356583"/>
      <w:bookmarkStart w:id="221" w:name="_Toc23828483"/>
      <w:r>
        <w:rPr>
          <w:rFonts w:hint="eastAsia" w:ascii="宋体" w:hAnsi="宋体" w:cs="宋体"/>
          <w:bCs/>
          <w:sz w:val="24"/>
          <w:szCs w:val="28"/>
        </w:rPr>
        <w:t>格式10、商务条款偏离表</w:t>
      </w:r>
      <w:bookmarkEnd w:id="211"/>
      <w:bookmarkEnd w:id="212"/>
      <w:bookmarkEnd w:id="213"/>
    </w:p>
    <w:p w14:paraId="1A4EC9C8">
      <w:pPr>
        <w:jc w:val="center"/>
        <w:rPr>
          <w:rFonts w:hint="eastAsia" w:ascii="宋体" w:hAnsi="宋体" w:cs="宋体"/>
          <w:bCs/>
          <w:sz w:val="36"/>
          <w:szCs w:val="28"/>
        </w:rPr>
      </w:pPr>
      <w:r>
        <w:rPr>
          <w:rFonts w:hint="eastAsia" w:ascii="宋体" w:hAnsi="宋体" w:cs="宋体"/>
          <w:bCs/>
          <w:sz w:val="36"/>
          <w:szCs w:val="28"/>
        </w:rPr>
        <w:t>商务条款偏离表</w:t>
      </w:r>
    </w:p>
    <w:p w14:paraId="5B9FD0C0">
      <w:pPr>
        <w:ind w:firstLine="480"/>
        <w:rPr>
          <w:rFonts w:hint="eastAsia" w:ascii="宋体" w:hAnsi="宋体" w:cs="宋体"/>
          <w:b/>
          <w:bCs/>
          <w:sz w:val="24"/>
          <w:szCs w:val="24"/>
        </w:rPr>
      </w:pPr>
      <w:r>
        <w:rPr>
          <w:rFonts w:hint="eastAsia" w:ascii="宋体" w:hAnsi="宋体" w:cs="宋体"/>
          <w:sz w:val="24"/>
          <w:szCs w:val="24"/>
        </w:rPr>
        <w:t>请逐条对应采购文件“项目需求”等内容要求的商务条件，填写该表。</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55F63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vAlign w:val="center"/>
          </w:tcPr>
          <w:p w14:paraId="1D184073">
            <w:pPr>
              <w:jc w:val="center"/>
              <w:rPr>
                <w:rFonts w:hint="eastAsia" w:ascii="宋体" w:hAnsi="宋体" w:cs="宋体"/>
                <w:sz w:val="24"/>
                <w:szCs w:val="24"/>
              </w:rPr>
            </w:pPr>
            <w:r>
              <w:rPr>
                <w:rFonts w:hint="eastAsia" w:ascii="宋体" w:hAnsi="宋体" w:cs="宋体"/>
                <w:sz w:val="24"/>
                <w:szCs w:val="24"/>
              </w:rPr>
              <w:t>项号</w:t>
            </w:r>
          </w:p>
        </w:tc>
        <w:tc>
          <w:tcPr>
            <w:tcW w:w="2774" w:type="dxa"/>
            <w:vAlign w:val="center"/>
          </w:tcPr>
          <w:p w14:paraId="466D486E">
            <w:pPr>
              <w:jc w:val="center"/>
              <w:rPr>
                <w:rFonts w:hint="eastAsia" w:ascii="宋体" w:hAnsi="宋体" w:cs="宋体"/>
                <w:sz w:val="24"/>
                <w:szCs w:val="24"/>
              </w:rPr>
            </w:pPr>
            <w:r>
              <w:rPr>
                <w:rFonts w:hint="eastAsia" w:ascii="宋体" w:hAnsi="宋体" w:cs="宋体"/>
                <w:sz w:val="24"/>
                <w:szCs w:val="24"/>
              </w:rPr>
              <w:t>采购文件的商务条款</w:t>
            </w:r>
          </w:p>
        </w:tc>
        <w:tc>
          <w:tcPr>
            <w:tcW w:w="2927" w:type="dxa"/>
            <w:vAlign w:val="center"/>
          </w:tcPr>
          <w:p w14:paraId="698076D4">
            <w:pPr>
              <w:jc w:val="center"/>
              <w:rPr>
                <w:rFonts w:hint="eastAsia" w:ascii="宋体" w:hAnsi="宋体" w:cs="宋体"/>
                <w:sz w:val="24"/>
                <w:szCs w:val="24"/>
              </w:rPr>
            </w:pPr>
            <w:r>
              <w:rPr>
                <w:rFonts w:hint="eastAsia" w:ascii="宋体" w:hAnsi="宋体" w:cs="宋体"/>
                <w:sz w:val="24"/>
                <w:szCs w:val="24"/>
              </w:rPr>
              <w:t>响应文件的商务条款</w:t>
            </w:r>
          </w:p>
        </w:tc>
        <w:tc>
          <w:tcPr>
            <w:tcW w:w="2444" w:type="dxa"/>
            <w:vAlign w:val="center"/>
          </w:tcPr>
          <w:p w14:paraId="005B9F2D">
            <w:pPr>
              <w:jc w:val="center"/>
              <w:rPr>
                <w:rFonts w:hint="eastAsia" w:ascii="宋体" w:hAnsi="宋体" w:cs="宋体"/>
                <w:sz w:val="24"/>
                <w:szCs w:val="24"/>
              </w:rPr>
            </w:pPr>
            <w:r>
              <w:rPr>
                <w:rFonts w:hint="eastAsia" w:ascii="宋体" w:hAnsi="宋体" w:cs="宋体"/>
                <w:sz w:val="24"/>
                <w:szCs w:val="24"/>
              </w:rPr>
              <w:t>偏离说明</w:t>
            </w:r>
          </w:p>
        </w:tc>
      </w:tr>
      <w:tr w14:paraId="18571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6135B5BF">
            <w:pPr>
              <w:ind w:firstLine="480"/>
              <w:jc w:val="center"/>
              <w:rPr>
                <w:rFonts w:hint="eastAsia" w:ascii="宋体" w:hAnsi="宋体" w:cs="宋体"/>
                <w:sz w:val="24"/>
                <w:szCs w:val="24"/>
              </w:rPr>
            </w:pPr>
          </w:p>
        </w:tc>
        <w:tc>
          <w:tcPr>
            <w:tcW w:w="2774" w:type="dxa"/>
          </w:tcPr>
          <w:p w14:paraId="648A4F21">
            <w:pPr>
              <w:ind w:firstLine="480"/>
              <w:jc w:val="center"/>
              <w:rPr>
                <w:rFonts w:hint="eastAsia" w:ascii="宋体" w:hAnsi="宋体" w:cs="宋体"/>
                <w:sz w:val="24"/>
                <w:szCs w:val="24"/>
              </w:rPr>
            </w:pPr>
          </w:p>
        </w:tc>
        <w:tc>
          <w:tcPr>
            <w:tcW w:w="2927" w:type="dxa"/>
          </w:tcPr>
          <w:p w14:paraId="290A90A9">
            <w:pPr>
              <w:ind w:firstLine="480"/>
              <w:jc w:val="center"/>
              <w:rPr>
                <w:rFonts w:hint="eastAsia" w:ascii="宋体" w:hAnsi="宋体" w:cs="宋体"/>
                <w:sz w:val="24"/>
                <w:szCs w:val="24"/>
              </w:rPr>
            </w:pPr>
          </w:p>
        </w:tc>
        <w:tc>
          <w:tcPr>
            <w:tcW w:w="2444" w:type="dxa"/>
          </w:tcPr>
          <w:p w14:paraId="155C7DE9">
            <w:pPr>
              <w:ind w:firstLine="480"/>
              <w:jc w:val="center"/>
              <w:rPr>
                <w:rFonts w:hint="eastAsia" w:ascii="宋体" w:hAnsi="宋体" w:cs="宋体"/>
                <w:sz w:val="24"/>
                <w:szCs w:val="24"/>
              </w:rPr>
            </w:pPr>
          </w:p>
        </w:tc>
      </w:tr>
      <w:tr w14:paraId="1B82C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6025E5FF">
            <w:pPr>
              <w:ind w:firstLine="480"/>
              <w:jc w:val="center"/>
              <w:rPr>
                <w:rFonts w:hint="eastAsia" w:ascii="宋体" w:hAnsi="宋体" w:cs="宋体"/>
                <w:sz w:val="24"/>
                <w:szCs w:val="24"/>
              </w:rPr>
            </w:pPr>
          </w:p>
        </w:tc>
        <w:tc>
          <w:tcPr>
            <w:tcW w:w="2774" w:type="dxa"/>
          </w:tcPr>
          <w:p w14:paraId="28F55F99">
            <w:pPr>
              <w:ind w:firstLine="480"/>
              <w:jc w:val="center"/>
              <w:rPr>
                <w:rFonts w:hint="eastAsia" w:ascii="宋体" w:hAnsi="宋体" w:cs="宋体"/>
                <w:sz w:val="24"/>
                <w:szCs w:val="24"/>
              </w:rPr>
            </w:pPr>
          </w:p>
        </w:tc>
        <w:tc>
          <w:tcPr>
            <w:tcW w:w="2927" w:type="dxa"/>
          </w:tcPr>
          <w:p w14:paraId="68614300">
            <w:pPr>
              <w:ind w:firstLine="480"/>
              <w:jc w:val="center"/>
              <w:rPr>
                <w:rFonts w:hint="eastAsia" w:ascii="宋体" w:hAnsi="宋体" w:cs="宋体"/>
                <w:sz w:val="24"/>
                <w:szCs w:val="24"/>
              </w:rPr>
            </w:pPr>
          </w:p>
        </w:tc>
        <w:tc>
          <w:tcPr>
            <w:tcW w:w="2444" w:type="dxa"/>
          </w:tcPr>
          <w:p w14:paraId="76544FB5">
            <w:pPr>
              <w:ind w:firstLine="480"/>
              <w:jc w:val="center"/>
              <w:rPr>
                <w:rFonts w:hint="eastAsia" w:ascii="宋体" w:hAnsi="宋体" w:cs="宋体"/>
                <w:sz w:val="24"/>
                <w:szCs w:val="24"/>
              </w:rPr>
            </w:pPr>
          </w:p>
        </w:tc>
      </w:tr>
      <w:tr w14:paraId="7B86E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02B90BCA">
            <w:pPr>
              <w:ind w:firstLine="480"/>
              <w:jc w:val="center"/>
              <w:rPr>
                <w:rFonts w:hint="eastAsia" w:ascii="宋体" w:hAnsi="宋体" w:cs="宋体"/>
                <w:sz w:val="24"/>
                <w:szCs w:val="24"/>
              </w:rPr>
            </w:pPr>
          </w:p>
        </w:tc>
        <w:tc>
          <w:tcPr>
            <w:tcW w:w="2774" w:type="dxa"/>
          </w:tcPr>
          <w:p w14:paraId="1005FB15">
            <w:pPr>
              <w:ind w:firstLine="480"/>
              <w:jc w:val="center"/>
              <w:rPr>
                <w:rFonts w:hint="eastAsia" w:ascii="宋体" w:hAnsi="宋体" w:cs="宋体"/>
                <w:sz w:val="24"/>
                <w:szCs w:val="24"/>
              </w:rPr>
            </w:pPr>
          </w:p>
        </w:tc>
        <w:tc>
          <w:tcPr>
            <w:tcW w:w="2927" w:type="dxa"/>
          </w:tcPr>
          <w:p w14:paraId="507E1F09">
            <w:pPr>
              <w:ind w:firstLine="480"/>
              <w:jc w:val="center"/>
              <w:rPr>
                <w:rFonts w:hint="eastAsia" w:ascii="宋体" w:hAnsi="宋体" w:cs="宋体"/>
                <w:sz w:val="24"/>
                <w:szCs w:val="24"/>
              </w:rPr>
            </w:pPr>
          </w:p>
        </w:tc>
        <w:tc>
          <w:tcPr>
            <w:tcW w:w="2444" w:type="dxa"/>
          </w:tcPr>
          <w:p w14:paraId="117974EA">
            <w:pPr>
              <w:ind w:firstLine="480"/>
              <w:jc w:val="center"/>
              <w:rPr>
                <w:rFonts w:hint="eastAsia" w:ascii="宋体" w:hAnsi="宋体" w:cs="宋体"/>
                <w:sz w:val="24"/>
                <w:szCs w:val="24"/>
              </w:rPr>
            </w:pPr>
          </w:p>
        </w:tc>
      </w:tr>
      <w:tr w14:paraId="10EBA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00E2569D">
            <w:pPr>
              <w:ind w:firstLine="480"/>
              <w:jc w:val="center"/>
              <w:rPr>
                <w:rFonts w:hint="eastAsia" w:ascii="宋体" w:hAnsi="宋体" w:cs="宋体"/>
                <w:sz w:val="24"/>
                <w:szCs w:val="24"/>
              </w:rPr>
            </w:pPr>
          </w:p>
        </w:tc>
        <w:tc>
          <w:tcPr>
            <w:tcW w:w="2774" w:type="dxa"/>
          </w:tcPr>
          <w:p w14:paraId="062166FB">
            <w:pPr>
              <w:ind w:firstLine="480"/>
              <w:jc w:val="center"/>
              <w:rPr>
                <w:rFonts w:hint="eastAsia" w:ascii="宋体" w:hAnsi="宋体" w:cs="宋体"/>
                <w:sz w:val="24"/>
                <w:szCs w:val="24"/>
              </w:rPr>
            </w:pPr>
          </w:p>
        </w:tc>
        <w:tc>
          <w:tcPr>
            <w:tcW w:w="2927" w:type="dxa"/>
          </w:tcPr>
          <w:p w14:paraId="4A786986">
            <w:pPr>
              <w:ind w:firstLine="480"/>
              <w:jc w:val="center"/>
              <w:rPr>
                <w:rFonts w:hint="eastAsia" w:ascii="宋体" w:hAnsi="宋体" w:cs="宋体"/>
                <w:sz w:val="24"/>
                <w:szCs w:val="24"/>
              </w:rPr>
            </w:pPr>
          </w:p>
        </w:tc>
        <w:tc>
          <w:tcPr>
            <w:tcW w:w="2444" w:type="dxa"/>
          </w:tcPr>
          <w:p w14:paraId="087523D1">
            <w:pPr>
              <w:ind w:firstLine="480"/>
              <w:jc w:val="center"/>
              <w:rPr>
                <w:rFonts w:hint="eastAsia" w:ascii="宋体" w:hAnsi="宋体" w:cs="宋体"/>
                <w:sz w:val="24"/>
                <w:szCs w:val="24"/>
              </w:rPr>
            </w:pPr>
          </w:p>
        </w:tc>
      </w:tr>
      <w:tr w14:paraId="5046E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3C5487DC">
            <w:pPr>
              <w:ind w:firstLine="480"/>
              <w:jc w:val="center"/>
              <w:rPr>
                <w:rFonts w:hint="eastAsia" w:ascii="宋体" w:hAnsi="宋体" w:cs="宋体"/>
                <w:sz w:val="24"/>
                <w:szCs w:val="24"/>
              </w:rPr>
            </w:pPr>
          </w:p>
        </w:tc>
        <w:tc>
          <w:tcPr>
            <w:tcW w:w="2774" w:type="dxa"/>
          </w:tcPr>
          <w:p w14:paraId="11ECE561">
            <w:pPr>
              <w:ind w:firstLine="480"/>
              <w:jc w:val="center"/>
              <w:rPr>
                <w:rFonts w:hint="eastAsia" w:ascii="宋体" w:hAnsi="宋体" w:cs="宋体"/>
                <w:sz w:val="24"/>
                <w:szCs w:val="24"/>
              </w:rPr>
            </w:pPr>
          </w:p>
        </w:tc>
        <w:tc>
          <w:tcPr>
            <w:tcW w:w="2927" w:type="dxa"/>
          </w:tcPr>
          <w:p w14:paraId="482887A4">
            <w:pPr>
              <w:ind w:firstLine="480"/>
              <w:jc w:val="center"/>
              <w:rPr>
                <w:rFonts w:hint="eastAsia" w:ascii="宋体" w:hAnsi="宋体" w:cs="宋体"/>
                <w:sz w:val="24"/>
                <w:szCs w:val="24"/>
              </w:rPr>
            </w:pPr>
          </w:p>
        </w:tc>
        <w:tc>
          <w:tcPr>
            <w:tcW w:w="2444" w:type="dxa"/>
          </w:tcPr>
          <w:p w14:paraId="55E86A68">
            <w:pPr>
              <w:ind w:firstLine="480"/>
              <w:jc w:val="center"/>
              <w:rPr>
                <w:rFonts w:hint="eastAsia" w:ascii="宋体" w:hAnsi="宋体" w:cs="宋体"/>
                <w:sz w:val="24"/>
                <w:szCs w:val="24"/>
              </w:rPr>
            </w:pPr>
          </w:p>
        </w:tc>
      </w:tr>
      <w:tr w14:paraId="5CCC5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4BA7BE55">
            <w:pPr>
              <w:ind w:firstLine="480"/>
              <w:jc w:val="center"/>
              <w:rPr>
                <w:rFonts w:hint="eastAsia" w:ascii="宋体" w:hAnsi="宋体" w:cs="宋体"/>
                <w:sz w:val="24"/>
                <w:szCs w:val="24"/>
              </w:rPr>
            </w:pPr>
          </w:p>
        </w:tc>
        <w:tc>
          <w:tcPr>
            <w:tcW w:w="2774" w:type="dxa"/>
          </w:tcPr>
          <w:p w14:paraId="7D3D97C5">
            <w:pPr>
              <w:ind w:firstLine="480"/>
              <w:jc w:val="center"/>
              <w:rPr>
                <w:rFonts w:hint="eastAsia" w:ascii="宋体" w:hAnsi="宋体" w:cs="宋体"/>
                <w:sz w:val="24"/>
                <w:szCs w:val="24"/>
              </w:rPr>
            </w:pPr>
          </w:p>
        </w:tc>
        <w:tc>
          <w:tcPr>
            <w:tcW w:w="2927" w:type="dxa"/>
          </w:tcPr>
          <w:p w14:paraId="3EF4590D">
            <w:pPr>
              <w:ind w:firstLine="480"/>
              <w:jc w:val="center"/>
              <w:rPr>
                <w:rFonts w:hint="eastAsia" w:ascii="宋体" w:hAnsi="宋体" w:cs="宋体"/>
                <w:sz w:val="24"/>
                <w:szCs w:val="24"/>
              </w:rPr>
            </w:pPr>
          </w:p>
        </w:tc>
        <w:tc>
          <w:tcPr>
            <w:tcW w:w="2444" w:type="dxa"/>
          </w:tcPr>
          <w:p w14:paraId="3F09248F">
            <w:pPr>
              <w:ind w:firstLine="480"/>
              <w:jc w:val="center"/>
              <w:rPr>
                <w:rFonts w:hint="eastAsia" w:ascii="宋体" w:hAnsi="宋体" w:cs="宋体"/>
                <w:sz w:val="24"/>
                <w:szCs w:val="24"/>
              </w:rPr>
            </w:pPr>
          </w:p>
        </w:tc>
      </w:tr>
      <w:tr w14:paraId="2A0A5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2737C291">
            <w:pPr>
              <w:ind w:firstLine="480"/>
              <w:jc w:val="center"/>
              <w:rPr>
                <w:rFonts w:hint="eastAsia" w:ascii="宋体" w:hAnsi="宋体" w:cs="宋体"/>
                <w:sz w:val="24"/>
                <w:szCs w:val="24"/>
              </w:rPr>
            </w:pPr>
          </w:p>
        </w:tc>
        <w:tc>
          <w:tcPr>
            <w:tcW w:w="2774" w:type="dxa"/>
          </w:tcPr>
          <w:p w14:paraId="212FEB87">
            <w:pPr>
              <w:ind w:firstLine="480"/>
              <w:jc w:val="center"/>
              <w:rPr>
                <w:rFonts w:hint="eastAsia" w:ascii="宋体" w:hAnsi="宋体" w:cs="宋体"/>
                <w:sz w:val="24"/>
                <w:szCs w:val="24"/>
              </w:rPr>
            </w:pPr>
          </w:p>
        </w:tc>
        <w:tc>
          <w:tcPr>
            <w:tcW w:w="2927" w:type="dxa"/>
          </w:tcPr>
          <w:p w14:paraId="466B4C05">
            <w:pPr>
              <w:ind w:firstLine="480"/>
              <w:jc w:val="center"/>
              <w:rPr>
                <w:rFonts w:hint="eastAsia" w:ascii="宋体" w:hAnsi="宋体" w:cs="宋体"/>
                <w:sz w:val="24"/>
                <w:szCs w:val="24"/>
              </w:rPr>
            </w:pPr>
          </w:p>
        </w:tc>
        <w:tc>
          <w:tcPr>
            <w:tcW w:w="2444" w:type="dxa"/>
          </w:tcPr>
          <w:p w14:paraId="1D503B94">
            <w:pPr>
              <w:ind w:firstLine="480"/>
              <w:jc w:val="center"/>
              <w:rPr>
                <w:rFonts w:hint="eastAsia" w:ascii="宋体" w:hAnsi="宋体" w:cs="宋体"/>
                <w:sz w:val="24"/>
                <w:szCs w:val="24"/>
              </w:rPr>
            </w:pPr>
          </w:p>
        </w:tc>
      </w:tr>
      <w:tr w14:paraId="6FF01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697E6324">
            <w:pPr>
              <w:ind w:firstLine="480"/>
              <w:jc w:val="center"/>
              <w:rPr>
                <w:rFonts w:hint="eastAsia" w:ascii="宋体" w:hAnsi="宋体" w:cs="宋体"/>
                <w:sz w:val="24"/>
                <w:szCs w:val="24"/>
              </w:rPr>
            </w:pPr>
          </w:p>
        </w:tc>
        <w:tc>
          <w:tcPr>
            <w:tcW w:w="2774" w:type="dxa"/>
          </w:tcPr>
          <w:p w14:paraId="30AE47E7">
            <w:pPr>
              <w:ind w:firstLine="480"/>
              <w:jc w:val="center"/>
              <w:rPr>
                <w:rFonts w:hint="eastAsia" w:ascii="宋体" w:hAnsi="宋体" w:cs="宋体"/>
                <w:sz w:val="24"/>
                <w:szCs w:val="24"/>
              </w:rPr>
            </w:pPr>
          </w:p>
        </w:tc>
        <w:tc>
          <w:tcPr>
            <w:tcW w:w="2927" w:type="dxa"/>
          </w:tcPr>
          <w:p w14:paraId="29092B02">
            <w:pPr>
              <w:ind w:firstLine="480"/>
              <w:jc w:val="center"/>
              <w:rPr>
                <w:rFonts w:hint="eastAsia" w:ascii="宋体" w:hAnsi="宋体" w:cs="宋体"/>
                <w:sz w:val="24"/>
                <w:szCs w:val="24"/>
              </w:rPr>
            </w:pPr>
          </w:p>
        </w:tc>
        <w:tc>
          <w:tcPr>
            <w:tcW w:w="2444" w:type="dxa"/>
          </w:tcPr>
          <w:p w14:paraId="5FC3A725">
            <w:pPr>
              <w:ind w:firstLine="480"/>
              <w:jc w:val="center"/>
              <w:rPr>
                <w:rFonts w:hint="eastAsia" w:ascii="宋体" w:hAnsi="宋体" w:cs="宋体"/>
                <w:sz w:val="24"/>
                <w:szCs w:val="24"/>
              </w:rPr>
            </w:pPr>
          </w:p>
        </w:tc>
      </w:tr>
      <w:tr w14:paraId="172FB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67E9C91C">
            <w:pPr>
              <w:ind w:firstLine="480"/>
              <w:jc w:val="center"/>
              <w:rPr>
                <w:rFonts w:hint="eastAsia" w:ascii="宋体" w:hAnsi="宋体" w:cs="宋体"/>
                <w:sz w:val="24"/>
                <w:szCs w:val="24"/>
              </w:rPr>
            </w:pPr>
          </w:p>
        </w:tc>
        <w:tc>
          <w:tcPr>
            <w:tcW w:w="2774" w:type="dxa"/>
          </w:tcPr>
          <w:p w14:paraId="0ED52D30">
            <w:pPr>
              <w:ind w:firstLine="480"/>
              <w:jc w:val="center"/>
              <w:rPr>
                <w:rFonts w:hint="eastAsia" w:ascii="宋体" w:hAnsi="宋体" w:cs="宋体"/>
                <w:sz w:val="24"/>
                <w:szCs w:val="24"/>
              </w:rPr>
            </w:pPr>
          </w:p>
        </w:tc>
        <w:tc>
          <w:tcPr>
            <w:tcW w:w="2927" w:type="dxa"/>
          </w:tcPr>
          <w:p w14:paraId="23334123">
            <w:pPr>
              <w:ind w:firstLine="480"/>
              <w:jc w:val="center"/>
              <w:rPr>
                <w:rFonts w:hint="eastAsia" w:ascii="宋体" w:hAnsi="宋体" w:cs="宋体"/>
                <w:sz w:val="24"/>
                <w:szCs w:val="24"/>
              </w:rPr>
            </w:pPr>
          </w:p>
        </w:tc>
        <w:tc>
          <w:tcPr>
            <w:tcW w:w="2444" w:type="dxa"/>
          </w:tcPr>
          <w:p w14:paraId="0056A61F">
            <w:pPr>
              <w:ind w:firstLine="480"/>
              <w:jc w:val="center"/>
              <w:rPr>
                <w:rFonts w:hint="eastAsia" w:ascii="宋体" w:hAnsi="宋体" w:cs="宋体"/>
                <w:sz w:val="24"/>
                <w:szCs w:val="24"/>
              </w:rPr>
            </w:pPr>
          </w:p>
        </w:tc>
      </w:tr>
      <w:tr w14:paraId="0BDC3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Pr>
          <w:p w14:paraId="1C3BB9E5">
            <w:pPr>
              <w:ind w:firstLine="480"/>
              <w:jc w:val="center"/>
              <w:rPr>
                <w:rFonts w:hint="eastAsia" w:ascii="宋体" w:hAnsi="宋体" w:cs="宋体"/>
                <w:sz w:val="24"/>
                <w:szCs w:val="24"/>
              </w:rPr>
            </w:pPr>
          </w:p>
        </w:tc>
        <w:tc>
          <w:tcPr>
            <w:tcW w:w="2774" w:type="dxa"/>
          </w:tcPr>
          <w:p w14:paraId="3A573BF9">
            <w:pPr>
              <w:ind w:firstLine="480"/>
              <w:jc w:val="center"/>
              <w:rPr>
                <w:rFonts w:hint="eastAsia" w:ascii="宋体" w:hAnsi="宋体" w:cs="宋体"/>
                <w:sz w:val="24"/>
                <w:szCs w:val="24"/>
              </w:rPr>
            </w:pPr>
          </w:p>
        </w:tc>
        <w:tc>
          <w:tcPr>
            <w:tcW w:w="2927" w:type="dxa"/>
          </w:tcPr>
          <w:p w14:paraId="3FA48AD6">
            <w:pPr>
              <w:ind w:firstLine="480"/>
              <w:jc w:val="center"/>
              <w:rPr>
                <w:rFonts w:hint="eastAsia" w:ascii="宋体" w:hAnsi="宋体" w:cs="宋体"/>
                <w:sz w:val="24"/>
                <w:szCs w:val="24"/>
              </w:rPr>
            </w:pPr>
          </w:p>
        </w:tc>
        <w:tc>
          <w:tcPr>
            <w:tcW w:w="2444" w:type="dxa"/>
          </w:tcPr>
          <w:p w14:paraId="266F033E">
            <w:pPr>
              <w:ind w:firstLine="480"/>
              <w:jc w:val="center"/>
              <w:rPr>
                <w:rFonts w:hint="eastAsia" w:ascii="宋体" w:hAnsi="宋体" w:cs="宋体"/>
                <w:sz w:val="24"/>
                <w:szCs w:val="24"/>
              </w:rPr>
            </w:pPr>
          </w:p>
        </w:tc>
      </w:tr>
    </w:tbl>
    <w:p w14:paraId="194322F4">
      <w:pPr>
        <w:rPr>
          <w:rFonts w:hint="eastAsia" w:ascii="宋体" w:hAnsi="宋体" w:cs="宋体"/>
          <w:szCs w:val="20"/>
        </w:rPr>
      </w:pPr>
      <w:r>
        <w:rPr>
          <w:rFonts w:hint="eastAsia" w:ascii="宋体" w:hAnsi="宋体" w:cs="宋体"/>
          <w:sz w:val="24"/>
          <w:szCs w:val="24"/>
        </w:rPr>
        <w:t>注：“偏离说明”填写“正偏离”“负偏离”或“无偏离”。</w:t>
      </w:r>
    </w:p>
    <w:p w14:paraId="3FA0AB87">
      <w:pPr>
        <w:ind w:firstLine="480"/>
        <w:jc w:val="left"/>
        <w:rPr>
          <w:rFonts w:hint="eastAsia" w:ascii="宋体" w:hAnsi="宋体" w:cs="宋体"/>
          <w:bCs/>
          <w:sz w:val="24"/>
          <w:szCs w:val="24"/>
        </w:rPr>
      </w:pPr>
    </w:p>
    <w:p w14:paraId="11E13F6D">
      <w:pPr>
        <w:ind w:firstLine="480"/>
        <w:jc w:val="left"/>
        <w:rPr>
          <w:rFonts w:hint="eastAsia" w:ascii="宋体" w:hAnsi="宋体" w:cs="宋体"/>
          <w:bCs/>
          <w:sz w:val="24"/>
          <w:szCs w:val="24"/>
        </w:rPr>
      </w:pPr>
      <w:r>
        <w:rPr>
          <w:rFonts w:hint="eastAsia" w:ascii="宋体" w:hAnsi="宋体" w:cs="宋体"/>
          <w:bCs/>
          <w:sz w:val="24"/>
          <w:szCs w:val="24"/>
        </w:rPr>
        <w:t>供应商（盖章）：</w:t>
      </w:r>
    </w:p>
    <w:p w14:paraId="094AE2DC">
      <w:pPr>
        <w:ind w:firstLine="480"/>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18EDD67C">
      <w:pPr>
        <w:ind w:firstLine="1440"/>
        <w:rPr>
          <w:rFonts w:hint="eastAsia" w:ascii="宋体" w:hAnsi="宋体" w:cs="宋体"/>
          <w:bCs/>
          <w:sz w:val="24"/>
          <w:szCs w:val="24"/>
        </w:rPr>
      </w:pPr>
      <w:r>
        <w:rPr>
          <w:rFonts w:hint="eastAsia" w:ascii="宋体" w:hAnsi="宋体" w:cs="宋体"/>
          <w:bCs/>
          <w:sz w:val="24"/>
          <w:szCs w:val="24"/>
        </w:rPr>
        <w:t xml:space="preserve">年     月     日 </w:t>
      </w:r>
    </w:p>
    <w:bookmarkEnd w:id="184"/>
    <w:bookmarkEnd w:id="185"/>
    <w:bookmarkEnd w:id="186"/>
    <w:bookmarkEnd w:id="214"/>
    <w:bookmarkEnd w:id="215"/>
    <w:bookmarkEnd w:id="216"/>
    <w:bookmarkEnd w:id="217"/>
    <w:bookmarkEnd w:id="218"/>
    <w:bookmarkEnd w:id="219"/>
    <w:bookmarkEnd w:id="220"/>
    <w:bookmarkEnd w:id="221"/>
    <w:p w14:paraId="774A0E3D">
      <w:pPr>
        <w:spacing w:before="120" w:after="120"/>
        <w:jc w:val="left"/>
        <w:outlineLvl w:val="1"/>
        <w:rPr>
          <w:rFonts w:hint="eastAsia" w:ascii="宋体" w:hAnsi="宋体" w:cs="宋体"/>
          <w:b/>
          <w:sz w:val="24"/>
          <w:szCs w:val="24"/>
        </w:rPr>
      </w:pPr>
      <w:r>
        <w:rPr>
          <w:rFonts w:hint="eastAsia" w:ascii="宋体" w:hAnsi="宋体" w:cs="宋体"/>
          <w:bCs/>
          <w:sz w:val="24"/>
          <w:szCs w:val="24"/>
        </w:rPr>
        <w:br w:type="page" w:clear="all"/>
      </w:r>
      <w:bookmarkStart w:id="222" w:name="_Toc488"/>
      <w:bookmarkStart w:id="223" w:name="_Toc24038"/>
      <w:bookmarkStart w:id="224" w:name="_Toc2529"/>
      <w:r>
        <w:rPr>
          <w:rFonts w:hint="eastAsia" w:ascii="宋体" w:hAnsi="宋体" w:cs="宋体"/>
          <w:bCs/>
          <w:sz w:val="24"/>
          <w:szCs w:val="28"/>
        </w:rPr>
        <w:t>格式11、售后服务承诺书</w:t>
      </w:r>
      <w:bookmarkEnd w:id="222"/>
      <w:bookmarkEnd w:id="223"/>
      <w:bookmarkEnd w:id="224"/>
    </w:p>
    <w:p w14:paraId="6F112707">
      <w:pPr>
        <w:jc w:val="center"/>
        <w:rPr>
          <w:rFonts w:hint="eastAsia" w:ascii="宋体" w:hAnsi="宋体" w:cs="宋体"/>
          <w:bCs/>
          <w:sz w:val="36"/>
          <w:szCs w:val="28"/>
        </w:rPr>
      </w:pPr>
      <w:r>
        <w:rPr>
          <w:rFonts w:hint="eastAsia" w:ascii="宋体" w:hAnsi="宋体" w:cs="宋体"/>
          <w:bCs/>
          <w:sz w:val="36"/>
          <w:szCs w:val="28"/>
        </w:rPr>
        <w:t>售后服务承诺书</w:t>
      </w:r>
    </w:p>
    <w:p w14:paraId="001334E7">
      <w:pPr>
        <w:jc w:val="center"/>
        <w:rPr>
          <w:rFonts w:hint="eastAsia" w:ascii="宋体" w:hAnsi="宋体" w:cs="宋体"/>
          <w:sz w:val="24"/>
          <w:szCs w:val="20"/>
        </w:rPr>
      </w:pPr>
      <w:r>
        <w:rPr>
          <w:rFonts w:hint="eastAsia" w:ascii="宋体" w:hAnsi="宋体" w:cs="宋体"/>
          <w:sz w:val="24"/>
          <w:szCs w:val="24"/>
        </w:rPr>
        <w:t>（供应商按“项目需求”“评审标准”等内容要求自行填写，格式自定）</w:t>
      </w:r>
    </w:p>
    <w:p w14:paraId="7BE1310B">
      <w:pPr>
        <w:rPr>
          <w:rFonts w:hint="eastAsia" w:ascii="宋体" w:hAnsi="宋体" w:cs="宋体"/>
          <w:sz w:val="24"/>
          <w:szCs w:val="24"/>
        </w:rPr>
      </w:pPr>
    </w:p>
    <w:p w14:paraId="09237CDF">
      <w:pPr>
        <w:rPr>
          <w:rFonts w:hint="eastAsia" w:ascii="宋体" w:hAnsi="宋体" w:cs="宋体"/>
          <w:sz w:val="24"/>
          <w:szCs w:val="24"/>
        </w:rPr>
      </w:pPr>
    </w:p>
    <w:p w14:paraId="317A1A4E">
      <w:pPr>
        <w:rPr>
          <w:rFonts w:hint="eastAsia" w:ascii="宋体" w:hAnsi="宋体" w:cs="宋体"/>
          <w:sz w:val="24"/>
          <w:szCs w:val="24"/>
        </w:rPr>
      </w:pPr>
    </w:p>
    <w:p w14:paraId="344FEB04">
      <w:pPr>
        <w:rPr>
          <w:rFonts w:hint="eastAsia" w:ascii="宋体" w:hAnsi="宋体" w:cs="宋体"/>
          <w:sz w:val="24"/>
          <w:szCs w:val="24"/>
        </w:rPr>
      </w:pPr>
    </w:p>
    <w:p w14:paraId="78F7D9A2">
      <w:pPr>
        <w:rPr>
          <w:rFonts w:hint="eastAsia" w:ascii="宋体" w:hAnsi="宋体" w:cs="宋体"/>
          <w:sz w:val="24"/>
          <w:szCs w:val="24"/>
        </w:rPr>
      </w:pPr>
    </w:p>
    <w:p w14:paraId="57650C3E">
      <w:pPr>
        <w:rPr>
          <w:rFonts w:hint="eastAsia" w:ascii="宋体" w:hAnsi="宋体" w:cs="宋体"/>
          <w:sz w:val="24"/>
          <w:szCs w:val="24"/>
        </w:rPr>
      </w:pPr>
    </w:p>
    <w:p w14:paraId="5A93920B">
      <w:pPr>
        <w:rPr>
          <w:rFonts w:hint="eastAsia" w:ascii="宋体" w:hAnsi="宋体" w:cs="宋体"/>
          <w:sz w:val="24"/>
          <w:szCs w:val="24"/>
        </w:rPr>
      </w:pPr>
    </w:p>
    <w:p w14:paraId="6A56A2EF">
      <w:pPr>
        <w:rPr>
          <w:rFonts w:hint="eastAsia" w:ascii="宋体" w:hAnsi="宋体" w:cs="宋体"/>
          <w:sz w:val="24"/>
          <w:szCs w:val="24"/>
        </w:rPr>
      </w:pPr>
    </w:p>
    <w:p w14:paraId="18B59D18">
      <w:pPr>
        <w:rPr>
          <w:rFonts w:hint="eastAsia" w:ascii="宋体" w:hAnsi="宋体" w:cs="宋体"/>
          <w:sz w:val="24"/>
          <w:szCs w:val="24"/>
        </w:rPr>
      </w:pPr>
    </w:p>
    <w:p w14:paraId="0A585546">
      <w:pPr>
        <w:rPr>
          <w:rFonts w:hint="eastAsia" w:ascii="宋体" w:hAnsi="宋体" w:cs="宋体"/>
          <w:sz w:val="24"/>
          <w:szCs w:val="24"/>
        </w:rPr>
      </w:pPr>
    </w:p>
    <w:p w14:paraId="79CC10B4">
      <w:pPr>
        <w:rPr>
          <w:rFonts w:hint="eastAsia" w:ascii="宋体" w:hAnsi="宋体" w:cs="宋体"/>
          <w:sz w:val="24"/>
          <w:szCs w:val="24"/>
        </w:rPr>
      </w:pPr>
    </w:p>
    <w:p w14:paraId="24A9C506">
      <w:pPr>
        <w:rPr>
          <w:rFonts w:hint="eastAsia" w:ascii="宋体" w:hAnsi="宋体" w:cs="宋体"/>
          <w:sz w:val="24"/>
          <w:szCs w:val="24"/>
        </w:rPr>
      </w:pPr>
    </w:p>
    <w:p w14:paraId="1FF845EE">
      <w:pPr>
        <w:rPr>
          <w:rFonts w:hint="eastAsia" w:ascii="宋体" w:hAnsi="宋体" w:cs="宋体"/>
          <w:sz w:val="24"/>
          <w:szCs w:val="24"/>
        </w:rPr>
      </w:pPr>
    </w:p>
    <w:p w14:paraId="129F91A2">
      <w:pPr>
        <w:rPr>
          <w:rFonts w:hint="eastAsia" w:ascii="宋体" w:hAnsi="宋体" w:cs="宋体"/>
          <w:sz w:val="24"/>
          <w:szCs w:val="24"/>
        </w:rPr>
      </w:pPr>
    </w:p>
    <w:p w14:paraId="0EA2A2FC">
      <w:pPr>
        <w:rPr>
          <w:rFonts w:hint="eastAsia" w:ascii="宋体" w:hAnsi="宋体" w:cs="宋体"/>
          <w:sz w:val="24"/>
          <w:szCs w:val="24"/>
        </w:rPr>
      </w:pPr>
    </w:p>
    <w:p w14:paraId="10535AB1">
      <w:pPr>
        <w:rPr>
          <w:rFonts w:hint="eastAsia" w:ascii="宋体" w:hAnsi="宋体" w:cs="宋体"/>
          <w:sz w:val="24"/>
          <w:szCs w:val="24"/>
        </w:rPr>
      </w:pPr>
    </w:p>
    <w:p w14:paraId="68CAF42B">
      <w:pPr>
        <w:rPr>
          <w:rFonts w:hint="eastAsia" w:ascii="宋体" w:hAnsi="宋体" w:cs="宋体"/>
          <w:sz w:val="24"/>
          <w:szCs w:val="24"/>
        </w:rPr>
      </w:pPr>
    </w:p>
    <w:p w14:paraId="4D05F47B">
      <w:pPr>
        <w:jc w:val="left"/>
        <w:rPr>
          <w:rFonts w:hint="eastAsia" w:ascii="宋体" w:hAnsi="宋体" w:cs="宋体"/>
          <w:bCs/>
          <w:sz w:val="24"/>
          <w:szCs w:val="24"/>
        </w:rPr>
      </w:pPr>
      <w:r>
        <w:rPr>
          <w:rFonts w:hint="eastAsia" w:ascii="宋体" w:hAnsi="宋体" w:cs="宋体"/>
          <w:bCs/>
          <w:sz w:val="24"/>
          <w:szCs w:val="24"/>
        </w:rPr>
        <w:t>供应商（盖章）：</w:t>
      </w:r>
    </w:p>
    <w:p w14:paraId="7880EADF">
      <w:pPr>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04BF6533">
      <w:pPr>
        <w:ind w:firstLine="960"/>
        <w:rPr>
          <w:rFonts w:hint="eastAsia" w:ascii="宋体" w:hAnsi="宋体" w:cs="宋体"/>
          <w:bCs/>
          <w:sz w:val="24"/>
          <w:szCs w:val="24"/>
        </w:rPr>
      </w:pPr>
      <w:r>
        <w:rPr>
          <w:rFonts w:hint="eastAsia" w:ascii="宋体" w:hAnsi="宋体" w:cs="宋体"/>
          <w:bCs/>
          <w:sz w:val="24"/>
          <w:szCs w:val="24"/>
        </w:rPr>
        <w:t>年     月     日</w:t>
      </w:r>
    </w:p>
    <w:p w14:paraId="3D9A167E">
      <w:pPr>
        <w:jc w:val="left"/>
        <w:rPr>
          <w:rFonts w:hint="eastAsia" w:ascii="宋体" w:hAnsi="宋体" w:cs="宋体"/>
          <w:bCs/>
          <w:sz w:val="24"/>
          <w:szCs w:val="28"/>
        </w:rPr>
      </w:pPr>
      <w:r>
        <w:rPr>
          <w:rFonts w:hint="eastAsia" w:ascii="宋体" w:hAnsi="宋体" w:cs="宋体"/>
          <w:bCs/>
          <w:sz w:val="24"/>
          <w:szCs w:val="24"/>
        </w:rPr>
        <w:br w:type="page" w:clear="all"/>
      </w:r>
      <w:r>
        <w:rPr>
          <w:rFonts w:hint="eastAsia" w:ascii="宋体" w:hAnsi="宋体" w:cs="宋体"/>
          <w:bCs/>
          <w:sz w:val="24"/>
          <w:szCs w:val="28"/>
        </w:rPr>
        <w:t>格式12、项目团队人员一览表</w:t>
      </w:r>
    </w:p>
    <w:p w14:paraId="5B5DA5C1">
      <w:pPr>
        <w:ind w:firstLine="3233"/>
        <w:rPr>
          <w:rFonts w:hint="eastAsia" w:ascii="宋体" w:hAnsi="宋体" w:cs="宋体"/>
          <w:b/>
          <w:bCs/>
          <w:sz w:val="28"/>
          <w:szCs w:val="24"/>
        </w:rPr>
      </w:pPr>
    </w:p>
    <w:p w14:paraId="32ACCFFB">
      <w:pPr>
        <w:jc w:val="center"/>
        <w:rPr>
          <w:rFonts w:hint="eastAsia" w:ascii="宋体" w:hAnsi="宋体" w:cs="宋体"/>
          <w:bCs/>
          <w:sz w:val="36"/>
          <w:szCs w:val="28"/>
        </w:rPr>
      </w:pPr>
      <w:r>
        <w:rPr>
          <w:rFonts w:hint="eastAsia" w:ascii="宋体" w:hAnsi="宋体" w:cs="宋体"/>
          <w:bCs/>
          <w:sz w:val="36"/>
          <w:szCs w:val="28"/>
        </w:rPr>
        <w:t>项目团队人员一览表</w:t>
      </w:r>
    </w:p>
    <w:tbl>
      <w:tblPr>
        <w:tblStyle w:val="12"/>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810"/>
        <w:gridCol w:w="1602"/>
        <w:gridCol w:w="1230"/>
        <w:gridCol w:w="1260"/>
        <w:gridCol w:w="1101"/>
        <w:gridCol w:w="1487"/>
        <w:gridCol w:w="1768"/>
      </w:tblGrid>
      <w:tr w14:paraId="29555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4" w:type="dxa"/>
            <w:vAlign w:val="center"/>
          </w:tcPr>
          <w:p w14:paraId="2AB3951F">
            <w:pPr>
              <w:jc w:val="center"/>
              <w:rPr>
                <w:rFonts w:hint="eastAsia" w:ascii="宋体" w:hAnsi="宋体" w:cs="宋体"/>
                <w:sz w:val="24"/>
                <w:szCs w:val="24"/>
              </w:rPr>
            </w:pPr>
            <w:r>
              <w:rPr>
                <w:rFonts w:hint="eastAsia" w:ascii="宋体" w:hAnsi="宋体" w:cs="宋体"/>
                <w:sz w:val="24"/>
                <w:szCs w:val="24"/>
              </w:rPr>
              <w:t>序号</w:t>
            </w:r>
          </w:p>
        </w:tc>
        <w:tc>
          <w:tcPr>
            <w:tcW w:w="810" w:type="dxa"/>
            <w:vAlign w:val="center"/>
          </w:tcPr>
          <w:p w14:paraId="466C7DEF">
            <w:pPr>
              <w:jc w:val="center"/>
              <w:rPr>
                <w:rFonts w:hint="eastAsia" w:ascii="宋体" w:hAnsi="宋体" w:cs="宋体"/>
                <w:sz w:val="24"/>
                <w:szCs w:val="24"/>
              </w:rPr>
            </w:pPr>
            <w:r>
              <w:rPr>
                <w:rFonts w:hint="eastAsia" w:ascii="宋体" w:hAnsi="宋体" w:cs="宋体"/>
                <w:sz w:val="24"/>
                <w:szCs w:val="24"/>
              </w:rPr>
              <w:t>姓名</w:t>
            </w:r>
          </w:p>
        </w:tc>
        <w:tc>
          <w:tcPr>
            <w:tcW w:w="1602" w:type="dxa"/>
            <w:vAlign w:val="center"/>
          </w:tcPr>
          <w:p w14:paraId="4B281217">
            <w:pPr>
              <w:jc w:val="center"/>
              <w:rPr>
                <w:rFonts w:hint="eastAsia" w:ascii="宋体" w:hAnsi="宋体" w:cs="宋体"/>
                <w:sz w:val="24"/>
                <w:szCs w:val="24"/>
              </w:rPr>
            </w:pPr>
            <w:r>
              <w:rPr>
                <w:rFonts w:hint="eastAsia" w:ascii="宋体" w:hAnsi="宋体" w:cs="宋体"/>
                <w:sz w:val="24"/>
                <w:szCs w:val="24"/>
              </w:rPr>
              <w:t>本项目拟任职务</w:t>
            </w:r>
          </w:p>
        </w:tc>
        <w:tc>
          <w:tcPr>
            <w:tcW w:w="1230" w:type="dxa"/>
            <w:vAlign w:val="center"/>
          </w:tcPr>
          <w:p w14:paraId="5B4AD525">
            <w:pPr>
              <w:jc w:val="center"/>
              <w:rPr>
                <w:rFonts w:hint="eastAsia" w:ascii="宋体" w:hAnsi="宋体" w:cs="宋体"/>
                <w:sz w:val="24"/>
                <w:szCs w:val="24"/>
              </w:rPr>
            </w:pPr>
            <w:r>
              <w:rPr>
                <w:rFonts w:hint="eastAsia" w:ascii="宋体" w:hAnsi="宋体" w:cs="宋体"/>
                <w:sz w:val="24"/>
                <w:szCs w:val="24"/>
              </w:rPr>
              <w:t>职称证书</w:t>
            </w:r>
          </w:p>
        </w:tc>
        <w:tc>
          <w:tcPr>
            <w:tcW w:w="1260" w:type="dxa"/>
            <w:vAlign w:val="center"/>
          </w:tcPr>
          <w:p w14:paraId="60DFCFA5">
            <w:pPr>
              <w:jc w:val="center"/>
              <w:rPr>
                <w:rFonts w:hint="eastAsia" w:ascii="宋体" w:hAnsi="宋体" w:cs="宋体"/>
                <w:sz w:val="24"/>
                <w:szCs w:val="24"/>
              </w:rPr>
            </w:pPr>
            <w:r>
              <w:rPr>
                <w:rFonts w:hint="eastAsia" w:ascii="宋体" w:hAnsi="宋体" w:cs="宋体"/>
                <w:sz w:val="24"/>
                <w:szCs w:val="24"/>
              </w:rPr>
              <w:t>资格证书</w:t>
            </w:r>
          </w:p>
        </w:tc>
        <w:tc>
          <w:tcPr>
            <w:tcW w:w="1101" w:type="dxa"/>
            <w:vAlign w:val="center"/>
          </w:tcPr>
          <w:p w14:paraId="052DD9AB">
            <w:pPr>
              <w:jc w:val="center"/>
              <w:rPr>
                <w:rFonts w:hint="eastAsia" w:ascii="宋体" w:hAnsi="宋体" w:cs="宋体"/>
                <w:sz w:val="24"/>
                <w:szCs w:val="24"/>
              </w:rPr>
            </w:pPr>
            <w:r>
              <w:rPr>
                <w:rFonts w:hint="eastAsia" w:ascii="宋体" w:hAnsi="宋体" w:cs="宋体"/>
                <w:sz w:val="24"/>
                <w:szCs w:val="24"/>
              </w:rPr>
              <w:t>年龄</w:t>
            </w:r>
          </w:p>
        </w:tc>
        <w:tc>
          <w:tcPr>
            <w:tcW w:w="1487" w:type="dxa"/>
            <w:vAlign w:val="center"/>
          </w:tcPr>
          <w:p w14:paraId="4B0417BD">
            <w:pPr>
              <w:jc w:val="center"/>
              <w:rPr>
                <w:rFonts w:hint="eastAsia" w:ascii="宋体" w:hAnsi="宋体" w:cs="宋体"/>
                <w:sz w:val="24"/>
                <w:szCs w:val="24"/>
              </w:rPr>
            </w:pPr>
            <w:r>
              <w:rPr>
                <w:sz w:val="24"/>
                <w:szCs w:val="24"/>
              </w:rPr>
              <w:t>学历</w:t>
            </w:r>
          </w:p>
        </w:tc>
        <w:tc>
          <w:tcPr>
            <w:tcW w:w="1768" w:type="dxa"/>
            <w:vAlign w:val="center"/>
          </w:tcPr>
          <w:p w14:paraId="770F8459">
            <w:pPr>
              <w:jc w:val="center"/>
              <w:rPr>
                <w:rFonts w:hint="eastAsia" w:ascii="宋体" w:hAnsi="宋体" w:cs="宋体"/>
                <w:sz w:val="24"/>
                <w:szCs w:val="24"/>
              </w:rPr>
            </w:pPr>
            <w:r>
              <w:rPr>
                <w:sz w:val="24"/>
                <w:szCs w:val="24"/>
              </w:rPr>
              <w:t>主要资历及担任过的职务</w:t>
            </w:r>
          </w:p>
        </w:tc>
      </w:tr>
      <w:tr w14:paraId="3D9A0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490210F7">
            <w:pPr>
              <w:jc w:val="center"/>
              <w:rPr>
                <w:rFonts w:hint="eastAsia" w:ascii="宋体" w:hAnsi="宋体" w:cs="宋体"/>
                <w:sz w:val="28"/>
                <w:szCs w:val="24"/>
              </w:rPr>
            </w:pPr>
          </w:p>
        </w:tc>
        <w:tc>
          <w:tcPr>
            <w:tcW w:w="810" w:type="dxa"/>
            <w:vAlign w:val="center"/>
          </w:tcPr>
          <w:p w14:paraId="6F51B895">
            <w:pPr>
              <w:jc w:val="center"/>
              <w:rPr>
                <w:rFonts w:hint="eastAsia" w:ascii="宋体" w:hAnsi="宋体" w:cs="宋体"/>
                <w:sz w:val="28"/>
                <w:szCs w:val="24"/>
              </w:rPr>
            </w:pPr>
          </w:p>
        </w:tc>
        <w:tc>
          <w:tcPr>
            <w:tcW w:w="1602" w:type="dxa"/>
            <w:vAlign w:val="center"/>
          </w:tcPr>
          <w:p w14:paraId="2D2318B4">
            <w:pPr>
              <w:jc w:val="center"/>
              <w:rPr>
                <w:rFonts w:hint="eastAsia" w:ascii="宋体" w:hAnsi="宋体" w:cs="宋体"/>
                <w:sz w:val="28"/>
                <w:szCs w:val="24"/>
              </w:rPr>
            </w:pPr>
          </w:p>
        </w:tc>
        <w:tc>
          <w:tcPr>
            <w:tcW w:w="1230" w:type="dxa"/>
            <w:vAlign w:val="center"/>
          </w:tcPr>
          <w:p w14:paraId="36776C83">
            <w:pPr>
              <w:jc w:val="center"/>
              <w:rPr>
                <w:rFonts w:hint="eastAsia" w:ascii="宋体" w:hAnsi="宋体" w:cs="宋体"/>
                <w:sz w:val="28"/>
                <w:szCs w:val="24"/>
              </w:rPr>
            </w:pPr>
          </w:p>
        </w:tc>
        <w:tc>
          <w:tcPr>
            <w:tcW w:w="1260" w:type="dxa"/>
            <w:vAlign w:val="center"/>
          </w:tcPr>
          <w:p w14:paraId="1E8A9D22">
            <w:pPr>
              <w:jc w:val="center"/>
              <w:rPr>
                <w:rFonts w:hint="eastAsia" w:ascii="宋体" w:hAnsi="宋体" w:cs="宋体"/>
                <w:sz w:val="28"/>
                <w:szCs w:val="24"/>
              </w:rPr>
            </w:pPr>
          </w:p>
        </w:tc>
        <w:tc>
          <w:tcPr>
            <w:tcW w:w="1101" w:type="dxa"/>
            <w:vAlign w:val="center"/>
          </w:tcPr>
          <w:p w14:paraId="46BAD607">
            <w:pPr>
              <w:jc w:val="center"/>
              <w:rPr>
                <w:rFonts w:hint="eastAsia" w:ascii="宋体" w:hAnsi="宋体" w:cs="宋体"/>
                <w:sz w:val="28"/>
                <w:szCs w:val="24"/>
              </w:rPr>
            </w:pPr>
          </w:p>
        </w:tc>
        <w:tc>
          <w:tcPr>
            <w:tcW w:w="1487" w:type="dxa"/>
            <w:vAlign w:val="center"/>
          </w:tcPr>
          <w:p w14:paraId="08B1989F">
            <w:pPr>
              <w:jc w:val="center"/>
              <w:rPr>
                <w:rFonts w:hint="eastAsia" w:ascii="宋体" w:hAnsi="宋体" w:cs="宋体"/>
                <w:sz w:val="28"/>
                <w:szCs w:val="24"/>
              </w:rPr>
            </w:pPr>
          </w:p>
        </w:tc>
        <w:tc>
          <w:tcPr>
            <w:tcW w:w="1768" w:type="dxa"/>
            <w:vAlign w:val="center"/>
          </w:tcPr>
          <w:p w14:paraId="2038C994">
            <w:pPr>
              <w:jc w:val="center"/>
              <w:rPr>
                <w:rFonts w:hint="eastAsia" w:ascii="宋体" w:hAnsi="宋体" w:cs="宋体"/>
                <w:sz w:val="28"/>
                <w:szCs w:val="24"/>
              </w:rPr>
            </w:pPr>
          </w:p>
        </w:tc>
      </w:tr>
      <w:tr w14:paraId="3A569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590AD1AE">
            <w:pPr>
              <w:jc w:val="center"/>
              <w:rPr>
                <w:rFonts w:hint="eastAsia" w:ascii="宋体" w:hAnsi="宋体" w:cs="宋体"/>
                <w:sz w:val="28"/>
                <w:szCs w:val="24"/>
              </w:rPr>
            </w:pPr>
          </w:p>
        </w:tc>
        <w:tc>
          <w:tcPr>
            <w:tcW w:w="810" w:type="dxa"/>
            <w:vAlign w:val="center"/>
          </w:tcPr>
          <w:p w14:paraId="0F1ADBC7">
            <w:pPr>
              <w:jc w:val="center"/>
              <w:rPr>
                <w:rFonts w:hint="eastAsia" w:ascii="宋体" w:hAnsi="宋体" w:cs="宋体"/>
                <w:sz w:val="28"/>
                <w:szCs w:val="24"/>
              </w:rPr>
            </w:pPr>
          </w:p>
        </w:tc>
        <w:tc>
          <w:tcPr>
            <w:tcW w:w="1602" w:type="dxa"/>
            <w:vAlign w:val="center"/>
          </w:tcPr>
          <w:p w14:paraId="146E136C">
            <w:pPr>
              <w:jc w:val="center"/>
              <w:rPr>
                <w:rFonts w:hint="eastAsia" w:ascii="宋体" w:hAnsi="宋体" w:cs="宋体"/>
                <w:sz w:val="28"/>
                <w:szCs w:val="24"/>
              </w:rPr>
            </w:pPr>
          </w:p>
        </w:tc>
        <w:tc>
          <w:tcPr>
            <w:tcW w:w="1230" w:type="dxa"/>
            <w:vAlign w:val="center"/>
          </w:tcPr>
          <w:p w14:paraId="5DEBDD91">
            <w:pPr>
              <w:jc w:val="center"/>
              <w:rPr>
                <w:rFonts w:hint="eastAsia" w:ascii="宋体" w:hAnsi="宋体" w:cs="宋体"/>
                <w:sz w:val="28"/>
                <w:szCs w:val="24"/>
              </w:rPr>
            </w:pPr>
          </w:p>
        </w:tc>
        <w:tc>
          <w:tcPr>
            <w:tcW w:w="1260" w:type="dxa"/>
            <w:vAlign w:val="center"/>
          </w:tcPr>
          <w:p w14:paraId="3C9FDA85">
            <w:pPr>
              <w:jc w:val="center"/>
              <w:rPr>
                <w:rFonts w:hint="eastAsia" w:ascii="宋体" w:hAnsi="宋体" w:cs="宋体"/>
                <w:sz w:val="28"/>
                <w:szCs w:val="24"/>
              </w:rPr>
            </w:pPr>
          </w:p>
        </w:tc>
        <w:tc>
          <w:tcPr>
            <w:tcW w:w="1101" w:type="dxa"/>
            <w:vAlign w:val="center"/>
          </w:tcPr>
          <w:p w14:paraId="5B8EE7CC">
            <w:pPr>
              <w:jc w:val="center"/>
              <w:rPr>
                <w:rFonts w:hint="eastAsia" w:ascii="宋体" w:hAnsi="宋体" w:cs="宋体"/>
                <w:sz w:val="28"/>
                <w:szCs w:val="24"/>
              </w:rPr>
            </w:pPr>
          </w:p>
        </w:tc>
        <w:tc>
          <w:tcPr>
            <w:tcW w:w="1487" w:type="dxa"/>
            <w:vAlign w:val="center"/>
          </w:tcPr>
          <w:p w14:paraId="145F61E4">
            <w:pPr>
              <w:jc w:val="center"/>
              <w:rPr>
                <w:rFonts w:hint="eastAsia" w:ascii="宋体" w:hAnsi="宋体" w:cs="宋体"/>
                <w:sz w:val="28"/>
                <w:szCs w:val="24"/>
              </w:rPr>
            </w:pPr>
          </w:p>
        </w:tc>
        <w:tc>
          <w:tcPr>
            <w:tcW w:w="1768" w:type="dxa"/>
            <w:vAlign w:val="center"/>
          </w:tcPr>
          <w:p w14:paraId="2A3B2712">
            <w:pPr>
              <w:jc w:val="center"/>
              <w:rPr>
                <w:rFonts w:hint="eastAsia" w:ascii="宋体" w:hAnsi="宋体" w:cs="宋体"/>
                <w:sz w:val="28"/>
                <w:szCs w:val="24"/>
              </w:rPr>
            </w:pPr>
          </w:p>
        </w:tc>
      </w:tr>
      <w:tr w14:paraId="4C9A1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27C683F4">
            <w:pPr>
              <w:jc w:val="center"/>
              <w:rPr>
                <w:rFonts w:hint="eastAsia" w:ascii="宋体" w:hAnsi="宋体" w:cs="宋体"/>
                <w:sz w:val="28"/>
                <w:szCs w:val="24"/>
              </w:rPr>
            </w:pPr>
          </w:p>
        </w:tc>
        <w:tc>
          <w:tcPr>
            <w:tcW w:w="810" w:type="dxa"/>
            <w:vAlign w:val="center"/>
          </w:tcPr>
          <w:p w14:paraId="05C0E3F6">
            <w:pPr>
              <w:jc w:val="center"/>
              <w:rPr>
                <w:rFonts w:hint="eastAsia" w:ascii="宋体" w:hAnsi="宋体" w:cs="宋体"/>
                <w:sz w:val="28"/>
                <w:szCs w:val="24"/>
              </w:rPr>
            </w:pPr>
          </w:p>
        </w:tc>
        <w:tc>
          <w:tcPr>
            <w:tcW w:w="1602" w:type="dxa"/>
            <w:vAlign w:val="center"/>
          </w:tcPr>
          <w:p w14:paraId="53F6104F">
            <w:pPr>
              <w:jc w:val="center"/>
              <w:rPr>
                <w:rFonts w:hint="eastAsia" w:ascii="宋体" w:hAnsi="宋体" w:cs="宋体"/>
                <w:sz w:val="28"/>
                <w:szCs w:val="24"/>
              </w:rPr>
            </w:pPr>
          </w:p>
        </w:tc>
        <w:tc>
          <w:tcPr>
            <w:tcW w:w="1230" w:type="dxa"/>
            <w:vAlign w:val="center"/>
          </w:tcPr>
          <w:p w14:paraId="21DC8C87">
            <w:pPr>
              <w:jc w:val="center"/>
              <w:rPr>
                <w:rFonts w:hint="eastAsia" w:ascii="宋体" w:hAnsi="宋体" w:cs="宋体"/>
                <w:sz w:val="28"/>
                <w:szCs w:val="24"/>
              </w:rPr>
            </w:pPr>
          </w:p>
        </w:tc>
        <w:tc>
          <w:tcPr>
            <w:tcW w:w="1260" w:type="dxa"/>
            <w:vAlign w:val="center"/>
          </w:tcPr>
          <w:p w14:paraId="2507EB1D">
            <w:pPr>
              <w:jc w:val="center"/>
              <w:rPr>
                <w:rFonts w:hint="eastAsia" w:ascii="宋体" w:hAnsi="宋体" w:cs="宋体"/>
                <w:sz w:val="28"/>
                <w:szCs w:val="24"/>
              </w:rPr>
            </w:pPr>
          </w:p>
        </w:tc>
        <w:tc>
          <w:tcPr>
            <w:tcW w:w="1101" w:type="dxa"/>
            <w:vAlign w:val="center"/>
          </w:tcPr>
          <w:p w14:paraId="3BD389BB">
            <w:pPr>
              <w:jc w:val="center"/>
              <w:rPr>
                <w:rFonts w:hint="eastAsia" w:ascii="宋体" w:hAnsi="宋体" w:cs="宋体"/>
                <w:sz w:val="28"/>
                <w:szCs w:val="24"/>
              </w:rPr>
            </w:pPr>
          </w:p>
        </w:tc>
        <w:tc>
          <w:tcPr>
            <w:tcW w:w="1487" w:type="dxa"/>
            <w:vAlign w:val="center"/>
          </w:tcPr>
          <w:p w14:paraId="3D57AEBD">
            <w:pPr>
              <w:jc w:val="center"/>
              <w:rPr>
                <w:rFonts w:hint="eastAsia" w:ascii="宋体" w:hAnsi="宋体" w:cs="宋体"/>
                <w:sz w:val="28"/>
                <w:szCs w:val="24"/>
              </w:rPr>
            </w:pPr>
          </w:p>
        </w:tc>
        <w:tc>
          <w:tcPr>
            <w:tcW w:w="1768" w:type="dxa"/>
            <w:vAlign w:val="center"/>
          </w:tcPr>
          <w:p w14:paraId="67D76066">
            <w:pPr>
              <w:jc w:val="center"/>
              <w:rPr>
                <w:rFonts w:hint="eastAsia" w:ascii="宋体" w:hAnsi="宋体" w:cs="宋体"/>
                <w:sz w:val="28"/>
                <w:szCs w:val="24"/>
              </w:rPr>
            </w:pPr>
          </w:p>
        </w:tc>
      </w:tr>
      <w:tr w14:paraId="6142B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4F75CE6F">
            <w:pPr>
              <w:jc w:val="center"/>
              <w:rPr>
                <w:rFonts w:hint="eastAsia" w:ascii="宋体" w:hAnsi="宋体" w:cs="宋体"/>
                <w:sz w:val="28"/>
                <w:szCs w:val="24"/>
              </w:rPr>
            </w:pPr>
          </w:p>
        </w:tc>
        <w:tc>
          <w:tcPr>
            <w:tcW w:w="810" w:type="dxa"/>
            <w:vAlign w:val="center"/>
          </w:tcPr>
          <w:p w14:paraId="757D626B">
            <w:pPr>
              <w:jc w:val="center"/>
              <w:rPr>
                <w:rFonts w:hint="eastAsia" w:ascii="宋体" w:hAnsi="宋体" w:cs="宋体"/>
                <w:sz w:val="28"/>
                <w:szCs w:val="24"/>
              </w:rPr>
            </w:pPr>
          </w:p>
        </w:tc>
        <w:tc>
          <w:tcPr>
            <w:tcW w:w="1602" w:type="dxa"/>
            <w:vAlign w:val="center"/>
          </w:tcPr>
          <w:p w14:paraId="6635AADD">
            <w:pPr>
              <w:jc w:val="center"/>
              <w:rPr>
                <w:rFonts w:hint="eastAsia" w:ascii="宋体" w:hAnsi="宋体" w:cs="宋体"/>
                <w:sz w:val="28"/>
                <w:szCs w:val="24"/>
              </w:rPr>
            </w:pPr>
          </w:p>
        </w:tc>
        <w:tc>
          <w:tcPr>
            <w:tcW w:w="1230" w:type="dxa"/>
            <w:vAlign w:val="center"/>
          </w:tcPr>
          <w:p w14:paraId="33E8D433">
            <w:pPr>
              <w:jc w:val="center"/>
              <w:rPr>
                <w:rFonts w:hint="eastAsia" w:ascii="宋体" w:hAnsi="宋体" w:cs="宋体"/>
                <w:sz w:val="28"/>
                <w:szCs w:val="24"/>
              </w:rPr>
            </w:pPr>
          </w:p>
        </w:tc>
        <w:tc>
          <w:tcPr>
            <w:tcW w:w="1260" w:type="dxa"/>
            <w:vAlign w:val="center"/>
          </w:tcPr>
          <w:p w14:paraId="0621824C">
            <w:pPr>
              <w:jc w:val="center"/>
              <w:rPr>
                <w:rFonts w:hint="eastAsia" w:ascii="宋体" w:hAnsi="宋体" w:cs="宋体"/>
                <w:sz w:val="28"/>
                <w:szCs w:val="24"/>
              </w:rPr>
            </w:pPr>
          </w:p>
        </w:tc>
        <w:tc>
          <w:tcPr>
            <w:tcW w:w="1101" w:type="dxa"/>
            <w:vAlign w:val="center"/>
          </w:tcPr>
          <w:p w14:paraId="4E9041F3">
            <w:pPr>
              <w:jc w:val="center"/>
              <w:rPr>
                <w:rFonts w:hint="eastAsia" w:ascii="宋体" w:hAnsi="宋体" w:cs="宋体"/>
                <w:sz w:val="28"/>
                <w:szCs w:val="24"/>
              </w:rPr>
            </w:pPr>
          </w:p>
        </w:tc>
        <w:tc>
          <w:tcPr>
            <w:tcW w:w="1487" w:type="dxa"/>
            <w:vAlign w:val="center"/>
          </w:tcPr>
          <w:p w14:paraId="0F3EE4CB">
            <w:pPr>
              <w:jc w:val="center"/>
              <w:rPr>
                <w:rFonts w:hint="eastAsia" w:ascii="宋体" w:hAnsi="宋体" w:cs="宋体"/>
                <w:sz w:val="28"/>
                <w:szCs w:val="24"/>
              </w:rPr>
            </w:pPr>
          </w:p>
        </w:tc>
        <w:tc>
          <w:tcPr>
            <w:tcW w:w="1768" w:type="dxa"/>
            <w:vAlign w:val="center"/>
          </w:tcPr>
          <w:p w14:paraId="7ADBE73B">
            <w:pPr>
              <w:jc w:val="center"/>
              <w:rPr>
                <w:rFonts w:hint="eastAsia" w:ascii="宋体" w:hAnsi="宋体" w:cs="宋体"/>
                <w:sz w:val="28"/>
                <w:szCs w:val="24"/>
              </w:rPr>
            </w:pPr>
          </w:p>
        </w:tc>
      </w:tr>
      <w:tr w14:paraId="5B6F7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579C6B45">
            <w:pPr>
              <w:jc w:val="center"/>
              <w:rPr>
                <w:rFonts w:hint="eastAsia" w:ascii="宋体" w:hAnsi="宋体" w:cs="宋体"/>
                <w:sz w:val="28"/>
                <w:szCs w:val="24"/>
              </w:rPr>
            </w:pPr>
          </w:p>
        </w:tc>
        <w:tc>
          <w:tcPr>
            <w:tcW w:w="810" w:type="dxa"/>
            <w:vAlign w:val="center"/>
          </w:tcPr>
          <w:p w14:paraId="26CC2304">
            <w:pPr>
              <w:jc w:val="center"/>
              <w:rPr>
                <w:rFonts w:hint="eastAsia" w:ascii="宋体" w:hAnsi="宋体" w:cs="宋体"/>
                <w:sz w:val="28"/>
                <w:szCs w:val="24"/>
              </w:rPr>
            </w:pPr>
          </w:p>
        </w:tc>
        <w:tc>
          <w:tcPr>
            <w:tcW w:w="1602" w:type="dxa"/>
            <w:vAlign w:val="center"/>
          </w:tcPr>
          <w:p w14:paraId="006807FB">
            <w:pPr>
              <w:jc w:val="center"/>
              <w:rPr>
                <w:rFonts w:hint="eastAsia" w:ascii="宋体" w:hAnsi="宋体" w:cs="宋体"/>
                <w:sz w:val="28"/>
                <w:szCs w:val="24"/>
              </w:rPr>
            </w:pPr>
          </w:p>
        </w:tc>
        <w:tc>
          <w:tcPr>
            <w:tcW w:w="1230" w:type="dxa"/>
            <w:vAlign w:val="center"/>
          </w:tcPr>
          <w:p w14:paraId="3206CC26">
            <w:pPr>
              <w:jc w:val="center"/>
              <w:rPr>
                <w:rFonts w:hint="eastAsia" w:ascii="宋体" w:hAnsi="宋体" w:cs="宋体"/>
                <w:sz w:val="28"/>
                <w:szCs w:val="24"/>
              </w:rPr>
            </w:pPr>
          </w:p>
        </w:tc>
        <w:tc>
          <w:tcPr>
            <w:tcW w:w="1260" w:type="dxa"/>
            <w:vAlign w:val="center"/>
          </w:tcPr>
          <w:p w14:paraId="49D2AED7">
            <w:pPr>
              <w:jc w:val="center"/>
              <w:rPr>
                <w:rFonts w:hint="eastAsia" w:ascii="宋体" w:hAnsi="宋体" w:cs="宋体"/>
                <w:sz w:val="28"/>
                <w:szCs w:val="24"/>
              </w:rPr>
            </w:pPr>
          </w:p>
        </w:tc>
        <w:tc>
          <w:tcPr>
            <w:tcW w:w="1101" w:type="dxa"/>
            <w:vAlign w:val="center"/>
          </w:tcPr>
          <w:p w14:paraId="328A3896">
            <w:pPr>
              <w:jc w:val="center"/>
              <w:rPr>
                <w:rFonts w:hint="eastAsia" w:ascii="宋体" w:hAnsi="宋体" w:cs="宋体"/>
                <w:sz w:val="28"/>
                <w:szCs w:val="24"/>
              </w:rPr>
            </w:pPr>
          </w:p>
        </w:tc>
        <w:tc>
          <w:tcPr>
            <w:tcW w:w="1487" w:type="dxa"/>
            <w:vAlign w:val="center"/>
          </w:tcPr>
          <w:p w14:paraId="7BA99B18">
            <w:pPr>
              <w:jc w:val="center"/>
              <w:rPr>
                <w:rFonts w:hint="eastAsia" w:ascii="宋体" w:hAnsi="宋体" w:cs="宋体"/>
                <w:sz w:val="28"/>
                <w:szCs w:val="24"/>
              </w:rPr>
            </w:pPr>
          </w:p>
        </w:tc>
        <w:tc>
          <w:tcPr>
            <w:tcW w:w="1768" w:type="dxa"/>
            <w:vAlign w:val="center"/>
          </w:tcPr>
          <w:p w14:paraId="34AFE84C">
            <w:pPr>
              <w:jc w:val="center"/>
              <w:rPr>
                <w:rFonts w:hint="eastAsia" w:ascii="宋体" w:hAnsi="宋体" w:cs="宋体"/>
                <w:sz w:val="28"/>
                <w:szCs w:val="24"/>
              </w:rPr>
            </w:pPr>
          </w:p>
        </w:tc>
      </w:tr>
      <w:tr w14:paraId="1E0F2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5E9EF29F">
            <w:pPr>
              <w:jc w:val="center"/>
              <w:rPr>
                <w:rFonts w:hint="eastAsia" w:ascii="宋体" w:hAnsi="宋体" w:cs="宋体"/>
                <w:sz w:val="28"/>
                <w:szCs w:val="24"/>
              </w:rPr>
            </w:pPr>
          </w:p>
        </w:tc>
        <w:tc>
          <w:tcPr>
            <w:tcW w:w="810" w:type="dxa"/>
            <w:vAlign w:val="center"/>
          </w:tcPr>
          <w:p w14:paraId="12CEB43A">
            <w:pPr>
              <w:jc w:val="center"/>
              <w:rPr>
                <w:rFonts w:hint="eastAsia" w:ascii="宋体" w:hAnsi="宋体" w:cs="宋体"/>
                <w:sz w:val="28"/>
                <w:szCs w:val="24"/>
              </w:rPr>
            </w:pPr>
          </w:p>
        </w:tc>
        <w:tc>
          <w:tcPr>
            <w:tcW w:w="1602" w:type="dxa"/>
            <w:vAlign w:val="center"/>
          </w:tcPr>
          <w:p w14:paraId="1EE4CF38">
            <w:pPr>
              <w:jc w:val="center"/>
              <w:rPr>
                <w:rFonts w:hint="eastAsia" w:ascii="宋体" w:hAnsi="宋体" w:cs="宋体"/>
                <w:sz w:val="28"/>
                <w:szCs w:val="24"/>
              </w:rPr>
            </w:pPr>
          </w:p>
        </w:tc>
        <w:tc>
          <w:tcPr>
            <w:tcW w:w="1230" w:type="dxa"/>
            <w:vAlign w:val="center"/>
          </w:tcPr>
          <w:p w14:paraId="4AEE4905">
            <w:pPr>
              <w:jc w:val="center"/>
              <w:rPr>
                <w:rFonts w:hint="eastAsia" w:ascii="宋体" w:hAnsi="宋体" w:cs="宋体"/>
                <w:sz w:val="28"/>
                <w:szCs w:val="24"/>
              </w:rPr>
            </w:pPr>
          </w:p>
        </w:tc>
        <w:tc>
          <w:tcPr>
            <w:tcW w:w="1260" w:type="dxa"/>
            <w:vAlign w:val="center"/>
          </w:tcPr>
          <w:p w14:paraId="32742F11">
            <w:pPr>
              <w:jc w:val="center"/>
              <w:rPr>
                <w:rFonts w:hint="eastAsia" w:ascii="宋体" w:hAnsi="宋体" w:cs="宋体"/>
                <w:sz w:val="28"/>
                <w:szCs w:val="24"/>
              </w:rPr>
            </w:pPr>
          </w:p>
        </w:tc>
        <w:tc>
          <w:tcPr>
            <w:tcW w:w="1101" w:type="dxa"/>
            <w:vAlign w:val="center"/>
          </w:tcPr>
          <w:p w14:paraId="2E3E6862">
            <w:pPr>
              <w:jc w:val="center"/>
              <w:rPr>
                <w:rFonts w:hint="eastAsia" w:ascii="宋体" w:hAnsi="宋体" w:cs="宋体"/>
                <w:sz w:val="28"/>
                <w:szCs w:val="24"/>
              </w:rPr>
            </w:pPr>
          </w:p>
        </w:tc>
        <w:tc>
          <w:tcPr>
            <w:tcW w:w="1487" w:type="dxa"/>
            <w:vAlign w:val="center"/>
          </w:tcPr>
          <w:p w14:paraId="2B373CD6">
            <w:pPr>
              <w:jc w:val="center"/>
              <w:rPr>
                <w:rFonts w:hint="eastAsia" w:ascii="宋体" w:hAnsi="宋体" w:cs="宋体"/>
                <w:sz w:val="28"/>
                <w:szCs w:val="24"/>
              </w:rPr>
            </w:pPr>
          </w:p>
        </w:tc>
        <w:tc>
          <w:tcPr>
            <w:tcW w:w="1768" w:type="dxa"/>
            <w:vAlign w:val="center"/>
          </w:tcPr>
          <w:p w14:paraId="0125B14B">
            <w:pPr>
              <w:jc w:val="center"/>
              <w:rPr>
                <w:rFonts w:hint="eastAsia" w:ascii="宋体" w:hAnsi="宋体" w:cs="宋体"/>
                <w:sz w:val="28"/>
                <w:szCs w:val="24"/>
              </w:rPr>
            </w:pPr>
          </w:p>
        </w:tc>
      </w:tr>
      <w:tr w14:paraId="4D58A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470AF30C">
            <w:pPr>
              <w:jc w:val="center"/>
              <w:rPr>
                <w:rFonts w:hint="eastAsia" w:ascii="宋体" w:hAnsi="宋体" w:cs="宋体"/>
                <w:sz w:val="28"/>
                <w:szCs w:val="24"/>
              </w:rPr>
            </w:pPr>
          </w:p>
        </w:tc>
        <w:tc>
          <w:tcPr>
            <w:tcW w:w="810" w:type="dxa"/>
            <w:vAlign w:val="center"/>
          </w:tcPr>
          <w:p w14:paraId="0A1AF3FC">
            <w:pPr>
              <w:jc w:val="center"/>
              <w:rPr>
                <w:rFonts w:hint="eastAsia" w:ascii="宋体" w:hAnsi="宋体" w:cs="宋体"/>
                <w:sz w:val="28"/>
                <w:szCs w:val="24"/>
              </w:rPr>
            </w:pPr>
          </w:p>
        </w:tc>
        <w:tc>
          <w:tcPr>
            <w:tcW w:w="1602" w:type="dxa"/>
            <w:vAlign w:val="center"/>
          </w:tcPr>
          <w:p w14:paraId="470EB375">
            <w:pPr>
              <w:jc w:val="center"/>
              <w:rPr>
                <w:rFonts w:hint="eastAsia" w:ascii="宋体" w:hAnsi="宋体" w:cs="宋体"/>
                <w:sz w:val="28"/>
                <w:szCs w:val="24"/>
              </w:rPr>
            </w:pPr>
          </w:p>
        </w:tc>
        <w:tc>
          <w:tcPr>
            <w:tcW w:w="1230" w:type="dxa"/>
            <w:vAlign w:val="center"/>
          </w:tcPr>
          <w:p w14:paraId="1A077017">
            <w:pPr>
              <w:jc w:val="center"/>
              <w:rPr>
                <w:rFonts w:hint="eastAsia" w:ascii="宋体" w:hAnsi="宋体" w:cs="宋体"/>
                <w:sz w:val="28"/>
                <w:szCs w:val="24"/>
              </w:rPr>
            </w:pPr>
          </w:p>
        </w:tc>
        <w:tc>
          <w:tcPr>
            <w:tcW w:w="1260" w:type="dxa"/>
            <w:vAlign w:val="center"/>
          </w:tcPr>
          <w:p w14:paraId="2A63DB01">
            <w:pPr>
              <w:jc w:val="center"/>
              <w:rPr>
                <w:rFonts w:hint="eastAsia" w:ascii="宋体" w:hAnsi="宋体" w:cs="宋体"/>
                <w:sz w:val="28"/>
                <w:szCs w:val="24"/>
              </w:rPr>
            </w:pPr>
          </w:p>
        </w:tc>
        <w:tc>
          <w:tcPr>
            <w:tcW w:w="1101" w:type="dxa"/>
            <w:vAlign w:val="center"/>
          </w:tcPr>
          <w:p w14:paraId="53D57520">
            <w:pPr>
              <w:jc w:val="center"/>
              <w:rPr>
                <w:rFonts w:hint="eastAsia" w:ascii="宋体" w:hAnsi="宋体" w:cs="宋体"/>
                <w:sz w:val="28"/>
                <w:szCs w:val="24"/>
              </w:rPr>
            </w:pPr>
          </w:p>
        </w:tc>
        <w:tc>
          <w:tcPr>
            <w:tcW w:w="1487" w:type="dxa"/>
            <w:vAlign w:val="center"/>
          </w:tcPr>
          <w:p w14:paraId="3EFB3C91">
            <w:pPr>
              <w:jc w:val="center"/>
              <w:rPr>
                <w:rFonts w:hint="eastAsia" w:ascii="宋体" w:hAnsi="宋体" w:cs="宋体"/>
                <w:sz w:val="28"/>
                <w:szCs w:val="24"/>
              </w:rPr>
            </w:pPr>
          </w:p>
        </w:tc>
        <w:tc>
          <w:tcPr>
            <w:tcW w:w="1768" w:type="dxa"/>
            <w:vAlign w:val="center"/>
          </w:tcPr>
          <w:p w14:paraId="474F6EC0">
            <w:pPr>
              <w:jc w:val="center"/>
              <w:rPr>
                <w:rFonts w:hint="eastAsia" w:ascii="宋体" w:hAnsi="宋体" w:cs="宋体"/>
                <w:sz w:val="28"/>
                <w:szCs w:val="24"/>
              </w:rPr>
            </w:pPr>
          </w:p>
        </w:tc>
      </w:tr>
      <w:tr w14:paraId="7FB17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5C275FBD">
            <w:pPr>
              <w:jc w:val="center"/>
              <w:rPr>
                <w:rFonts w:hint="eastAsia" w:ascii="宋体" w:hAnsi="宋体" w:cs="宋体"/>
                <w:sz w:val="28"/>
                <w:szCs w:val="24"/>
              </w:rPr>
            </w:pPr>
          </w:p>
        </w:tc>
        <w:tc>
          <w:tcPr>
            <w:tcW w:w="810" w:type="dxa"/>
            <w:vAlign w:val="center"/>
          </w:tcPr>
          <w:p w14:paraId="6D90C4B4">
            <w:pPr>
              <w:jc w:val="center"/>
              <w:rPr>
                <w:rFonts w:hint="eastAsia" w:ascii="宋体" w:hAnsi="宋体" w:cs="宋体"/>
                <w:sz w:val="28"/>
                <w:szCs w:val="24"/>
              </w:rPr>
            </w:pPr>
          </w:p>
        </w:tc>
        <w:tc>
          <w:tcPr>
            <w:tcW w:w="1602" w:type="dxa"/>
            <w:vAlign w:val="center"/>
          </w:tcPr>
          <w:p w14:paraId="65D70E92">
            <w:pPr>
              <w:jc w:val="center"/>
              <w:rPr>
                <w:rFonts w:hint="eastAsia" w:ascii="宋体" w:hAnsi="宋体" w:cs="宋体"/>
                <w:sz w:val="28"/>
                <w:szCs w:val="24"/>
              </w:rPr>
            </w:pPr>
          </w:p>
        </w:tc>
        <w:tc>
          <w:tcPr>
            <w:tcW w:w="1230" w:type="dxa"/>
            <w:vAlign w:val="center"/>
          </w:tcPr>
          <w:p w14:paraId="0656E783">
            <w:pPr>
              <w:jc w:val="center"/>
              <w:rPr>
                <w:rFonts w:hint="eastAsia" w:ascii="宋体" w:hAnsi="宋体" w:cs="宋体"/>
                <w:sz w:val="28"/>
                <w:szCs w:val="24"/>
              </w:rPr>
            </w:pPr>
          </w:p>
        </w:tc>
        <w:tc>
          <w:tcPr>
            <w:tcW w:w="1260" w:type="dxa"/>
            <w:vAlign w:val="center"/>
          </w:tcPr>
          <w:p w14:paraId="4EFC325A">
            <w:pPr>
              <w:jc w:val="center"/>
              <w:rPr>
                <w:rFonts w:hint="eastAsia" w:ascii="宋体" w:hAnsi="宋体" w:cs="宋体"/>
                <w:sz w:val="28"/>
                <w:szCs w:val="24"/>
              </w:rPr>
            </w:pPr>
          </w:p>
        </w:tc>
        <w:tc>
          <w:tcPr>
            <w:tcW w:w="1101" w:type="dxa"/>
            <w:vAlign w:val="center"/>
          </w:tcPr>
          <w:p w14:paraId="3C249584">
            <w:pPr>
              <w:jc w:val="center"/>
              <w:rPr>
                <w:rFonts w:hint="eastAsia" w:ascii="宋体" w:hAnsi="宋体" w:cs="宋体"/>
                <w:sz w:val="28"/>
                <w:szCs w:val="24"/>
              </w:rPr>
            </w:pPr>
          </w:p>
        </w:tc>
        <w:tc>
          <w:tcPr>
            <w:tcW w:w="1487" w:type="dxa"/>
            <w:vAlign w:val="center"/>
          </w:tcPr>
          <w:p w14:paraId="6288B53A">
            <w:pPr>
              <w:jc w:val="center"/>
              <w:rPr>
                <w:rFonts w:hint="eastAsia" w:ascii="宋体" w:hAnsi="宋体" w:cs="宋体"/>
                <w:sz w:val="28"/>
                <w:szCs w:val="24"/>
              </w:rPr>
            </w:pPr>
          </w:p>
        </w:tc>
        <w:tc>
          <w:tcPr>
            <w:tcW w:w="1768" w:type="dxa"/>
            <w:vAlign w:val="center"/>
          </w:tcPr>
          <w:p w14:paraId="319D6ED4">
            <w:pPr>
              <w:jc w:val="center"/>
              <w:rPr>
                <w:rFonts w:hint="eastAsia" w:ascii="宋体" w:hAnsi="宋体" w:cs="宋体"/>
                <w:sz w:val="28"/>
                <w:szCs w:val="24"/>
              </w:rPr>
            </w:pPr>
          </w:p>
        </w:tc>
      </w:tr>
      <w:tr w14:paraId="3B5BB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vAlign w:val="center"/>
          </w:tcPr>
          <w:p w14:paraId="5763ECDD">
            <w:pPr>
              <w:jc w:val="center"/>
              <w:rPr>
                <w:rFonts w:hint="eastAsia" w:ascii="宋体" w:hAnsi="宋体" w:cs="宋体"/>
                <w:sz w:val="28"/>
                <w:szCs w:val="24"/>
              </w:rPr>
            </w:pPr>
          </w:p>
        </w:tc>
        <w:tc>
          <w:tcPr>
            <w:tcW w:w="810" w:type="dxa"/>
            <w:vAlign w:val="center"/>
          </w:tcPr>
          <w:p w14:paraId="2F82BDB7">
            <w:pPr>
              <w:jc w:val="center"/>
              <w:rPr>
                <w:rFonts w:hint="eastAsia" w:ascii="宋体" w:hAnsi="宋体" w:cs="宋体"/>
                <w:sz w:val="28"/>
                <w:szCs w:val="24"/>
              </w:rPr>
            </w:pPr>
          </w:p>
        </w:tc>
        <w:tc>
          <w:tcPr>
            <w:tcW w:w="1602" w:type="dxa"/>
            <w:vAlign w:val="center"/>
          </w:tcPr>
          <w:p w14:paraId="45B4F0BE">
            <w:pPr>
              <w:jc w:val="center"/>
              <w:rPr>
                <w:rFonts w:hint="eastAsia" w:ascii="宋体" w:hAnsi="宋体" w:cs="宋体"/>
                <w:sz w:val="28"/>
                <w:szCs w:val="24"/>
              </w:rPr>
            </w:pPr>
          </w:p>
        </w:tc>
        <w:tc>
          <w:tcPr>
            <w:tcW w:w="1230" w:type="dxa"/>
            <w:vAlign w:val="center"/>
          </w:tcPr>
          <w:p w14:paraId="49848C01">
            <w:pPr>
              <w:jc w:val="center"/>
              <w:rPr>
                <w:rFonts w:hint="eastAsia" w:ascii="宋体" w:hAnsi="宋体" w:cs="宋体"/>
                <w:sz w:val="28"/>
                <w:szCs w:val="24"/>
              </w:rPr>
            </w:pPr>
          </w:p>
        </w:tc>
        <w:tc>
          <w:tcPr>
            <w:tcW w:w="1260" w:type="dxa"/>
            <w:vAlign w:val="center"/>
          </w:tcPr>
          <w:p w14:paraId="7CFBDA2D">
            <w:pPr>
              <w:jc w:val="center"/>
              <w:rPr>
                <w:rFonts w:hint="eastAsia" w:ascii="宋体" w:hAnsi="宋体" w:cs="宋体"/>
                <w:sz w:val="28"/>
                <w:szCs w:val="24"/>
              </w:rPr>
            </w:pPr>
          </w:p>
        </w:tc>
        <w:tc>
          <w:tcPr>
            <w:tcW w:w="1101" w:type="dxa"/>
            <w:vAlign w:val="center"/>
          </w:tcPr>
          <w:p w14:paraId="64EDEC0D">
            <w:pPr>
              <w:jc w:val="center"/>
              <w:rPr>
                <w:rFonts w:hint="eastAsia" w:ascii="宋体" w:hAnsi="宋体" w:cs="宋体"/>
                <w:sz w:val="28"/>
                <w:szCs w:val="24"/>
              </w:rPr>
            </w:pPr>
          </w:p>
        </w:tc>
        <w:tc>
          <w:tcPr>
            <w:tcW w:w="1487" w:type="dxa"/>
            <w:vAlign w:val="center"/>
          </w:tcPr>
          <w:p w14:paraId="1685AABB">
            <w:pPr>
              <w:jc w:val="center"/>
              <w:rPr>
                <w:rFonts w:hint="eastAsia" w:ascii="宋体" w:hAnsi="宋体" w:cs="宋体"/>
                <w:sz w:val="28"/>
                <w:szCs w:val="24"/>
              </w:rPr>
            </w:pPr>
          </w:p>
        </w:tc>
        <w:tc>
          <w:tcPr>
            <w:tcW w:w="1768" w:type="dxa"/>
            <w:vAlign w:val="center"/>
          </w:tcPr>
          <w:p w14:paraId="20F39304">
            <w:pPr>
              <w:jc w:val="center"/>
              <w:rPr>
                <w:rFonts w:hint="eastAsia" w:ascii="宋体" w:hAnsi="宋体" w:cs="宋体"/>
                <w:sz w:val="28"/>
                <w:szCs w:val="24"/>
              </w:rPr>
            </w:pPr>
          </w:p>
        </w:tc>
      </w:tr>
    </w:tbl>
    <w:p w14:paraId="481842E0">
      <w:pPr>
        <w:rPr>
          <w:rFonts w:hint="eastAsia" w:ascii="宋体" w:hAnsi="宋体" w:cs="宋体"/>
          <w:b/>
          <w:sz w:val="28"/>
          <w:szCs w:val="30"/>
        </w:rPr>
      </w:pPr>
    </w:p>
    <w:p w14:paraId="65CA5C85">
      <w:pPr>
        <w:jc w:val="center"/>
        <w:rPr>
          <w:rFonts w:hint="eastAsia" w:ascii="宋体" w:hAnsi="宋体" w:cs="宋体"/>
          <w:b/>
          <w:sz w:val="28"/>
          <w:szCs w:val="30"/>
        </w:rPr>
      </w:pPr>
    </w:p>
    <w:p w14:paraId="1F4C4FA8">
      <w:pPr>
        <w:jc w:val="center"/>
        <w:rPr>
          <w:rFonts w:hint="eastAsia" w:ascii="宋体" w:hAnsi="宋体" w:cs="宋体"/>
          <w:b/>
          <w:sz w:val="28"/>
          <w:szCs w:val="30"/>
        </w:rPr>
      </w:pPr>
    </w:p>
    <w:p w14:paraId="4D98A4BD">
      <w:pPr>
        <w:ind w:firstLine="480"/>
        <w:jc w:val="left"/>
        <w:rPr>
          <w:rFonts w:hint="eastAsia" w:ascii="宋体" w:hAnsi="宋体" w:cs="宋体"/>
          <w:bCs/>
          <w:sz w:val="24"/>
          <w:szCs w:val="24"/>
        </w:rPr>
      </w:pPr>
      <w:r>
        <w:rPr>
          <w:rFonts w:hint="eastAsia" w:ascii="宋体" w:hAnsi="宋体" w:cs="宋体"/>
          <w:bCs/>
          <w:sz w:val="24"/>
          <w:szCs w:val="24"/>
        </w:rPr>
        <w:t>供应商（盖章）：</w:t>
      </w:r>
    </w:p>
    <w:p w14:paraId="73F4D627">
      <w:pPr>
        <w:ind w:firstLine="480"/>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12C87ACD">
      <w:pPr>
        <w:ind w:firstLine="1440"/>
        <w:rPr>
          <w:rFonts w:hint="eastAsia" w:ascii="宋体" w:hAnsi="宋体" w:cs="宋体"/>
          <w:sz w:val="24"/>
          <w:szCs w:val="24"/>
        </w:rPr>
      </w:pPr>
      <w:r>
        <w:rPr>
          <w:rFonts w:hint="eastAsia" w:ascii="宋体" w:hAnsi="宋体" w:cs="宋体"/>
          <w:bCs/>
          <w:sz w:val="24"/>
          <w:szCs w:val="24"/>
        </w:rPr>
        <w:t>年     月     日</w:t>
      </w:r>
    </w:p>
    <w:p w14:paraId="301BBBDA">
      <w:pPr>
        <w:ind w:firstLine="480"/>
        <w:rPr>
          <w:rFonts w:hint="eastAsia" w:ascii="宋体" w:hAnsi="宋体" w:cs="宋体"/>
          <w:sz w:val="24"/>
          <w:szCs w:val="24"/>
        </w:rPr>
      </w:pPr>
    </w:p>
    <w:p w14:paraId="33026892">
      <w:pPr>
        <w:spacing w:before="120" w:after="120"/>
        <w:jc w:val="left"/>
        <w:outlineLvl w:val="1"/>
        <w:rPr>
          <w:rFonts w:hint="eastAsia" w:ascii="宋体" w:hAnsi="宋体" w:cs="宋体"/>
          <w:b/>
          <w:bCs/>
          <w:sz w:val="32"/>
          <w:szCs w:val="32"/>
        </w:rPr>
      </w:pPr>
      <w:r>
        <w:rPr>
          <w:rFonts w:hint="eastAsia" w:ascii="宋体" w:hAnsi="宋体" w:cs="宋体"/>
          <w:b/>
          <w:bCs/>
          <w:sz w:val="32"/>
          <w:szCs w:val="32"/>
        </w:rPr>
        <w:br w:type="page" w:clear="all"/>
      </w:r>
      <w:bookmarkStart w:id="225" w:name="_Toc17713"/>
      <w:bookmarkStart w:id="226" w:name="_Toc20521"/>
      <w:bookmarkStart w:id="227" w:name="_Toc14474"/>
      <w:r>
        <w:rPr>
          <w:rFonts w:hint="eastAsia" w:ascii="宋体" w:hAnsi="宋体" w:cs="宋体"/>
          <w:bCs/>
          <w:sz w:val="24"/>
          <w:szCs w:val="28"/>
        </w:rPr>
        <w:t>格式13、类似项目业绩一览表</w:t>
      </w:r>
      <w:bookmarkEnd w:id="225"/>
      <w:bookmarkEnd w:id="226"/>
      <w:bookmarkEnd w:id="227"/>
    </w:p>
    <w:p w14:paraId="7E7282BA">
      <w:pPr>
        <w:jc w:val="center"/>
        <w:rPr>
          <w:rFonts w:hint="eastAsia" w:ascii="宋体" w:hAnsi="宋体" w:cs="宋体"/>
          <w:b/>
          <w:bCs/>
          <w:sz w:val="28"/>
          <w:szCs w:val="24"/>
        </w:rPr>
      </w:pPr>
    </w:p>
    <w:p w14:paraId="0A0E03AC">
      <w:pPr>
        <w:jc w:val="center"/>
        <w:rPr>
          <w:rFonts w:hint="eastAsia" w:ascii="宋体" w:hAnsi="宋体" w:cs="宋体"/>
          <w:bCs/>
          <w:sz w:val="36"/>
          <w:szCs w:val="28"/>
        </w:rPr>
      </w:pPr>
      <w:r>
        <w:rPr>
          <w:rFonts w:hint="eastAsia" w:ascii="宋体" w:hAnsi="宋体" w:cs="宋体"/>
          <w:bCs/>
          <w:sz w:val="36"/>
          <w:szCs w:val="28"/>
        </w:rPr>
        <w:t>类似项目业绩一览表</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7318F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56AF98C0">
            <w:pPr>
              <w:jc w:val="center"/>
              <w:rPr>
                <w:rFonts w:hint="eastAsia" w:ascii="宋体" w:hAnsi="宋体" w:cs="宋体"/>
                <w:sz w:val="28"/>
                <w:szCs w:val="24"/>
              </w:rPr>
            </w:pPr>
            <w:r>
              <w:rPr>
                <w:rFonts w:hint="eastAsia" w:ascii="宋体" w:hAnsi="宋体" w:cs="宋体"/>
                <w:sz w:val="28"/>
                <w:szCs w:val="24"/>
              </w:rPr>
              <w:t>序号</w:t>
            </w:r>
          </w:p>
        </w:tc>
        <w:tc>
          <w:tcPr>
            <w:tcW w:w="2439" w:type="dxa"/>
            <w:vAlign w:val="center"/>
          </w:tcPr>
          <w:p w14:paraId="2983F197">
            <w:pPr>
              <w:jc w:val="center"/>
              <w:rPr>
                <w:rFonts w:hint="eastAsia" w:ascii="宋体" w:hAnsi="宋体" w:cs="宋体"/>
                <w:sz w:val="28"/>
                <w:szCs w:val="24"/>
              </w:rPr>
            </w:pPr>
            <w:r>
              <w:rPr>
                <w:rFonts w:hint="eastAsia" w:ascii="宋体" w:hAnsi="宋体" w:cs="宋体"/>
                <w:sz w:val="28"/>
                <w:szCs w:val="24"/>
              </w:rPr>
              <w:t>项目名称</w:t>
            </w:r>
          </w:p>
        </w:tc>
        <w:tc>
          <w:tcPr>
            <w:tcW w:w="2135" w:type="dxa"/>
            <w:vAlign w:val="center"/>
          </w:tcPr>
          <w:p w14:paraId="45D800A7">
            <w:pPr>
              <w:jc w:val="center"/>
              <w:rPr>
                <w:rFonts w:hint="eastAsia" w:ascii="宋体" w:hAnsi="宋体" w:cs="宋体"/>
                <w:sz w:val="28"/>
                <w:szCs w:val="24"/>
              </w:rPr>
            </w:pPr>
            <w:r>
              <w:rPr>
                <w:rFonts w:hint="eastAsia" w:ascii="宋体" w:hAnsi="宋体" w:cs="宋体"/>
                <w:sz w:val="28"/>
                <w:szCs w:val="24"/>
              </w:rPr>
              <w:t>签订时间</w:t>
            </w:r>
          </w:p>
        </w:tc>
        <w:tc>
          <w:tcPr>
            <w:tcW w:w="1358" w:type="dxa"/>
            <w:vAlign w:val="center"/>
          </w:tcPr>
          <w:p w14:paraId="0A9DD57F">
            <w:pPr>
              <w:jc w:val="center"/>
              <w:rPr>
                <w:rFonts w:hint="eastAsia" w:ascii="宋体" w:hAnsi="宋体" w:cs="宋体"/>
                <w:sz w:val="28"/>
                <w:szCs w:val="24"/>
              </w:rPr>
            </w:pPr>
            <w:r>
              <w:rPr>
                <w:rFonts w:hint="eastAsia" w:ascii="宋体" w:hAnsi="宋体" w:cs="宋体"/>
                <w:sz w:val="28"/>
                <w:szCs w:val="24"/>
              </w:rPr>
              <w:t>采购单位</w:t>
            </w:r>
          </w:p>
        </w:tc>
        <w:tc>
          <w:tcPr>
            <w:tcW w:w="2418" w:type="dxa"/>
            <w:vAlign w:val="center"/>
          </w:tcPr>
          <w:p w14:paraId="64141FE8">
            <w:pPr>
              <w:jc w:val="center"/>
              <w:rPr>
                <w:rFonts w:hint="eastAsia" w:ascii="宋体" w:hAnsi="宋体" w:cs="宋体"/>
                <w:sz w:val="28"/>
                <w:szCs w:val="24"/>
              </w:rPr>
            </w:pPr>
            <w:r>
              <w:rPr>
                <w:rFonts w:hint="eastAsia" w:ascii="宋体" w:hAnsi="宋体" w:cs="宋体"/>
                <w:sz w:val="28"/>
                <w:szCs w:val="24"/>
              </w:rPr>
              <w:t>主要标的</w:t>
            </w:r>
          </w:p>
        </w:tc>
      </w:tr>
      <w:tr w14:paraId="253D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20FC2056">
            <w:pPr>
              <w:jc w:val="center"/>
              <w:rPr>
                <w:rFonts w:hint="eastAsia" w:ascii="宋体" w:hAnsi="宋体" w:cs="宋体"/>
                <w:sz w:val="28"/>
                <w:szCs w:val="24"/>
              </w:rPr>
            </w:pPr>
          </w:p>
        </w:tc>
        <w:tc>
          <w:tcPr>
            <w:tcW w:w="2439" w:type="dxa"/>
            <w:vAlign w:val="center"/>
          </w:tcPr>
          <w:p w14:paraId="03713BAB">
            <w:pPr>
              <w:jc w:val="center"/>
              <w:rPr>
                <w:rFonts w:hint="eastAsia" w:ascii="宋体" w:hAnsi="宋体" w:cs="宋体"/>
                <w:sz w:val="28"/>
                <w:szCs w:val="24"/>
              </w:rPr>
            </w:pPr>
          </w:p>
        </w:tc>
        <w:tc>
          <w:tcPr>
            <w:tcW w:w="2135" w:type="dxa"/>
            <w:vAlign w:val="center"/>
          </w:tcPr>
          <w:p w14:paraId="2A0AB9FB">
            <w:pPr>
              <w:jc w:val="center"/>
              <w:rPr>
                <w:rFonts w:hint="eastAsia" w:ascii="宋体" w:hAnsi="宋体" w:cs="宋体"/>
                <w:sz w:val="28"/>
                <w:szCs w:val="24"/>
              </w:rPr>
            </w:pPr>
          </w:p>
        </w:tc>
        <w:tc>
          <w:tcPr>
            <w:tcW w:w="1358" w:type="dxa"/>
            <w:vAlign w:val="center"/>
          </w:tcPr>
          <w:p w14:paraId="788DA820">
            <w:pPr>
              <w:jc w:val="center"/>
              <w:rPr>
                <w:rFonts w:hint="eastAsia" w:ascii="宋体" w:hAnsi="宋体" w:cs="宋体"/>
                <w:sz w:val="28"/>
                <w:szCs w:val="24"/>
              </w:rPr>
            </w:pPr>
          </w:p>
        </w:tc>
        <w:tc>
          <w:tcPr>
            <w:tcW w:w="2418" w:type="dxa"/>
            <w:vAlign w:val="center"/>
          </w:tcPr>
          <w:p w14:paraId="6D77BA93">
            <w:pPr>
              <w:jc w:val="center"/>
              <w:rPr>
                <w:rFonts w:hint="eastAsia" w:ascii="宋体" w:hAnsi="宋体" w:cs="宋体"/>
                <w:sz w:val="28"/>
                <w:szCs w:val="24"/>
              </w:rPr>
            </w:pPr>
          </w:p>
        </w:tc>
      </w:tr>
      <w:tr w14:paraId="1C101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44CDBCFD">
            <w:pPr>
              <w:jc w:val="center"/>
              <w:rPr>
                <w:rFonts w:hint="eastAsia" w:ascii="宋体" w:hAnsi="宋体" w:cs="宋体"/>
                <w:sz w:val="28"/>
                <w:szCs w:val="24"/>
              </w:rPr>
            </w:pPr>
          </w:p>
        </w:tc>
        <w:tc>
          <w:tcPr>
            <w:tcW w:w="2439" w:type="dxa"/>
            <w:vAlign w:val="center"/>
          </w:tcPr>
          <w:p w14:paraId="23D81E10">
            <w:pPr>
              <w:jc w:val="center"/>
              <w:rPr>
                <w:rFonts w:hint="eastAsia" w:ascii="宋体" w:hAnsi="宋体" w:cs="宋体"/>
                <w:sz w:val="28"/>
                <w:szCs w:val="24"/>
              </w:rPr>
            </w:pPr>
          </w:p>
        </w:tc>
        <w:tc>
          <w:tcPr>
            <w:tcW w:w="2135" w:type="dxa"/>
            <w:vAlign w:val="center"/>
          </w:tcPr>
          <w:p w14:paraId="350611B9">
            <w:pPr>
              <w:jc w:val="center"/>
              <w:rPr>
                <w:rFonts w:hint="eastAsia" w:ascii="宋体" w:hAnsi="宋体" w:cs="宋体"/>
                <w:sz w:val="28"/>
                <w:szCs w:val="24"/>
              </w:rPr>
            </w:pPr>
          </w:p>
        </w:tc>
        <w:tc>
          <w:tcPr>
            <w:tcW w:w="1358" w:type="dxa"/>
            <w:vAlign w:val="center"/>
          </w:tcPr>
          <w:p w14:paraId="44E2ABBE">
            <w:pPr>
              <w:jc w:val="center"/>
              <w:rPr>
                <w:rFonts w:hint="eastAsia" w:ascii="宋体" w:hAnsi="宋体" w:cs="宋体"/>
                <w:sz w:val="28"/>
                <w:szCs w:val="24"/>
              </w:rPr>
            </w:pPr>
          </w:p>
        </w:tc>
        <w:tc>
          <w:tcPr>
            <w:tcW w:w="2418" w:type="dxa"/>
            <w:vAlign w:val="center"/>
          </w:tcPr>
          <w:p w14:paraId="46E36114">
            <w:pPr>
              <w:jc w:val="center"/>
              <w:rPr>
                <w:rFonts w:hint="eastAsia" w:ascii="宋体" w:hAnsi="宋体" w:cs="宋体"/>
                <w:sz w:val="28"/>
                <w:szCs w:val="24"/>
              </w:rPr>
            </w:pPr>
          </w:p>
        </w:tc>
      </w:tr>
      <w:tr w14:paraId="00846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30BF74E3">
            <w:pPr>
              <w:jc w:val="center"/>
              <w:rPr>
                <w:rFonts w:hint="eastAsia" w:ascii="宋体" w:hAnsi="宋体" w:cs="宋体"/>
                <w:sz w:val="28"/>
                <w:szCs w:val="24"/>
              </w:rPr>
            </w:pPr>
          </w:p>
        </w:tc>
        <w:tc>
          <w:tcPr>
            <w:tcW w:w="2439" w:type="dxa"/>
            <w:vAlign w:val="center"/>
          </w:tcPr>
          <w:p w14:paraId="3BF3EF7F">
            <w:pPr>
              <w:jc w:val="center"/>
              <w:rPr>
                <w:rFonts w:hint="eastAsia" w:ascii="宋体" w:hAnsi="宋体" w:cs="宋体"/>
                <w:sz w:val="28"/>
                <w:szCs w:val="24"/>
              </w:rPr>
            </w:pPr>
          </w:p>
        </w:tc>
        <w:tc>
          <w:tcPr>
            <w:tcW w:w="2135" w:type="dxa"/>
            <w:vAlign w:val="center"/>
          </w:tcPr>
          <w:p w14:paraId="1837BC79">
            <w:pPr>
              <w:jc w:val="center"/>
              <w:rPr>
                <w:rFonts w:hint="eastAsia" w:ascii="宋体" w:hAnsi="宋体" w:cs="宋体"/>
                <w:sz w:val="28"/>
                <w:szCs w:val="24"/>
              </w:rPr>
            </w:pPr>
          </w:p>
        </w:tc>
        <w:tc>
          <w:tcPr>
            <w:tcW w:w="1358" w:type="dxa"/>
            <w:vAlign w:val="center"/>
          </w:tcPr>
          <w:p w14:paraId="2D461F90">
            <w:pPr>
              <w:jc w:val="center"/>
              <w:rPr>
                <w:rFonts w:hint="eastAsia" w:ascii="宋体" w:hAnsi="宋体" w:cs="宋体"/>
                <w:sz w:val="28"/>
                <w:szCs w:val="24"/>
              </w:rPr>
            </w:pPr>
          </w:p>
        </w:tc>
        <w:tc>
          <w:tcPr>
            <w:tcW w:w="2418" w:type="dxa"/>
            <w:vAlign w:val="center"/>
          </w:tcPr>
          <w:p w14:paraId="7635943A">
            <w:pPr>
              <w:jc w:val="center"/>
              <w:rPr>
                <w:rFonts w:hint="eastAsia" w:ascii="宋体" w:hAnsi="宋体" w:cs="宋体"/>
                <w:sz w:val="28"/>
                <w:szCs w:val="24"/>
              </w:rPr>
            </w:pPr>
          </w:p>
        </w:tc>
      </w:tr>
      <w:tr w14:paraId="2D0EA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72B3C5B2">
            <w:pPr>
              <w:jc w:val="center"/>
              <w:rPr>
                <w:rFonts w:hint="eastAsia" w:ascii="宋体" w:hAnsi="宋体" w:cs="宋体"/>
                <w:sz w:val="28"/>
                <w:szCs w:val="24"/>
              </w:rPr>
            </w:pPr>
          </w:p>
        </w:tc>
        <w:tc>
          <w:tcPr>
            <w:tcW w:w="2439" w:type="dxa"/>
            <w:vAlign w:val="center"/>
          </w:tcPr>
          <w:p w14:paraId="75B43B18">
            <w:pPr>
              <w:jc w:val="center"/>
              <w:rPr>
                <w:rFonts w:hint="eastAsia" w:ascii="宋体" w:hAnsi="宋体" w:cs="宋体"/>
                <w:sz w:val="28"/>
                <w:szCs w:val="24"/>
              </w:rPr>
            </w:pPr>
          </w:p>
        </w:tc>
        <w:tc>
          <w:tcPr>
            <w:tcW w:w="2135" w:type="dxa"/>
            <w:vAlign w:val="center"/>
          </w:tcPr>
          <w:p w14:paraId="1E4BEFA6">
            <w:pPr>
              <w:jc w:val="center"/>
              <w:rPr>
                <w:rFonts w:hint="eastAsia" w:ascii="宋体" w:hAnsi="宋体" w:cs="宋体"/>
                <w:sz w:val="28"/>
                <w:szCs w:val="24"/>
              </w:rPr>
            </w:pPr>
          </w:p>
        </w:tc>
        <w:tc>
          <w:tcPr>
            <w:tcW w:w="1358" w:type="dxa"/>
            <w:vAlign w:val="center"/>
          </w:tcPr>
          <w:p w14:paraId="62356462">
            <w:pPr>
              <w:jc w:val="center"/>
              <w:rPr>
                <w:rFonts w:hint="eastAsia" w:ascii="宋体" w:hAnsi="宋体" w:cs="宋体"/>
                <w:sz w:val="28"/>
                <w:szCs w:val="24"/>
              </w:rPr>
            </w:pPr>
          </w:p>
        </w:tc>
        <w:tc>
          <w:tcPr>
            <w:tcW w:w="2418" w:type="dxa"/>
            <w:vAlign w:val="center"/>
          </w:tcPr>
          <w:p w14:paraId="3558DC78">
            <w:pPr>
              <w:jc w:val="center"/>
              <w:rPr>
                <w:rFonts w:hint="eastAsia" w:ascii="宋体" w:hAnsi="宋体" w:cs="宋体"/>
                <w:sz w:val="28"/>
                <w:szCs w:val="24"/>
              </w:rPr>
            </w:pPr>
          </w:p>
        </w:tc>
      </w:tr>
      <w:tr w14:paraId="04D14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26D27705">
            <w:pPr>
              <w:jc w:val="center"/>
              <w:rPr>
                <w:rFonts w:hint="eastAsia" w:ascii="宋体" w:hAnsi="宋体" w:cs="宋体"/>
                <w:sz w:val="28"/>
                <w:szCs w:val="24"/>
              </w:rPr>
            </w:pPr>
          </w:p>
        </w:tc>
        <w:tc>
          <w:tcPr>
            <w:tcW w:w="2439" w:type="dxa"/>
            <w:vAlign w:val="center"/>
          </w:tcPr>
          <w:p w14:paraId="732CC42B">
            <w:pPr>
              <w:jc w:val="center"/>
              <w:rPr>
                <w:rFonts w:hint="eastAsia" w:ascii="宋体" w:hAnsi="宋体" w:cs="宋体"/>
                <w:sz w:val="28"/>
                <w:szCs w:val="24"/>
              </w:rPr>
            </w:pPr>
          </w:p>
        </w:tc>
        <w:tc>
          <w:tcPr>
            <w:tcW w:w="2135" w:type="dxa"/>
            <w:vAlign w:val="center"/>
          </w:tcPr>
          <w:p w14:paraId="176E9F28">
            <w:pPr>
              <w:jc w:val="center"/>
              <w:rPr>
                <w:rFonts w:hint="eastAsia" w:ascii="宋体" w:hAnsi="宋体" w:cs="宋体"/>
                <w:sz w:val="28"/>
                <w:szCs w:val="24"/>
              </w:rPr>
            </w:pPr>
          </w:p>
        </w:tc>
        <w:tc>
          <w:tcPr>
            <w:tcW w:w="1358" w:type="dxa"/>
            <w:vAlign w:val="center"/>
          </w:tcPr>
          <w:p w14:paraId="09DC8CFD">
            <w:pPr>
              <w:jc w:val="center"/>
              <w:rPr>
                <w:rFonts w:hint="eastAsia" w:ascii="宋体" w:hAnsi="宋体" w:cs="宋体"/>
                <w:sz w:val="28"/>
                <w:szCs w:val="24"/>
              </w:rPr>
            </w:pPr>
          </w:p>
        </w:tc>
        <w:tc>
          <w:tcPr>
            <w:tcW w:w="2418" w:type="dxa"/>
            <w:vAlign w:val="center"/>
          </w:tcPr>
          <w:p w14:paraId="6D197603">
            <w:pPr>
              <w:jc w:val="center"/>
              <w:rPr>
                <w:rFonts w:hint="eastAsia" w:ascii="宋体" w:hAnsi="宋体" w:cs="宋体"/>
                <w:sz w:val="28"/>
                <w:szCs w:val="24"/>
              </w:rPr>
            </w:pPr>
          </w:p>
        </w:tc>
      </w:tr>
      <w:tr w14:paraId="3AE7F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6AEF5599">
            <w:pPr>
              <w:jc w:val="center"/>
              <w:rPr>
                <w:rFonts w:hint="eastAsia" w:ascii="宋体" w:hAnsi="宋体" w:cs="宋体"/>
                <w:sz w:val="28"/>
                <w:szCs w:val="24"/>
              </w:rPr>
            </w:pPr>
          </w:p>
        </w:tc>
        <w:tc>
          <w:tcPr>
            <w:tcW w:w="2439" w:type="dxa"/>
            <w:vAlign w:val="center"/>
          </w:tcPr>
          <w:p w14:paraId="7AB3B947">
            <w:pPr>
              <w:jc w:val="center"/>
              <w:rPr>
                <w:rFonts w:hint="eastAsia" w:ascii="宋体" w:hAnsi="宋体" w:cs="宋体"/>
                <w:sz w:val="28"/>
                <w:szCs w:val="24"/>
              </w:rPr>
            </w:pPr>
          </w:p>
        </w:tc>
        <w:tc>
          <w:tcPr>
            <w:tcW w:w="2135" w:type="dxa"/>
            <w:vAlign w:val="center"/>
          </w:tcPr>
          <w:p w14:paraId="5BD7CBCE">
            <w:pPr>
              <w:jc w:val="center"/>
              <w:rPr>
                <w:rFonts w:hint="eastAsia" w:ascii="宋体" w:hAnsi="宋体" w:cs="宋体"/>
                <w:sz w:val="28"/>
                <w:szCs w:val="24"/>
              </w:rPr>
            </w:pPr>
          </w:p>
        </w:tc>
        <w:tc>
          <w:tcPr>
            <w:tcW w:w="1358" w:type="dxa"/>
            <w:vAlign w:val="center"/>
          </w:tcPr>
          <w:p w14:paraId="00B29726">
            <w:pPr>
              <w:jc w:val="center"/>
              <w:rPr>
                <w:rFonts w:hint="eastAsia" w:ascii="宋体" w:hAnsi="宋体" w:cs="宋体"/>
                <w:sz w:val="28"/>
                <w:szCs w:val="24"/>
              </w:rPr>
            </w:pPr>
          </w:p>
        </w:tc>
        <w:tc>
          <w:tcPr>
            <w:tcW w:w="2418" w:type="dxa"/>
            <w:vAlign w:val="center"/>
          </w:tcPr>
          <w:p w14:paraId="5E5D4333">
            <w:pPr>
              <w:jc w:val="center"/>
              <w:rPr>
                <w:rFonts w:hint="eastAsia" w:ascii="宋体" w:hAnsi="宋体" w:cs="宋体"/>
                <w:sz w:val="28"/>
                <w:szCs w:val="24"/>
              </w:rPr>
            </w:pPr>
          </w:p>
        </w:tc>
      </w:tr>
      <w:tr w14:paraId="3EEE0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6FF35A9A">
            <w:pPr>
              <w:jc w:val="center"/>
              <w:rPr>
                <w:rFonts w:hint="eastAsia" w:ascii="宋体" w:hAnsi="宋体" w:cs="宋体"/>
                <w:sz w:val="28"/>
                <w:szCs w:val="24"/>
              </w:rPr>
            </w:pPr>
          </w:p>
        </w:tc>
        <w:tc>
          <w:tcPr>
            <w:tcW w:w="2439" w:type="dxa"/>
            <w:vAlign w:val="center"/>
          </w:tcPr>
          <w:p w14:paraId="65E7C120">
            <w:pPr>
              <w:jc w:val="center"/>
              <w:rPr>
                <w:rFonts w:hint="eastAsia" w:ascii="宋体" w:hAnsi="宋体" w:cs="宋体"/>
                <w:sz w:val="28"/>
                <w:szCs w:val="24"/>
              </w:rPr>
            </w:pPr>
          </w:p>
        </w:tc>
        <w:tc>
          <w:tcPr>
            <w:tcW w:w="2135" w:type="dxa"/>
            <w:vAlign w:val="center"/>
          </w:tcPr>
          <w:p w14:paraId="06E8DA25">
            <w:pPr>
              <w:jc w:val="center"/>
              <w:rPr>
                <w:rFonts w:hint="eastAsia" w:ascii="宋体" w:hAnsi="宋体" w:cs="宋体"/>
                <w:sz w:val="28"/>
                <w:szCs w:val="24"/>
              </w:rPr>
            </w:pPr>
          </w:p>
        </w:tc>
        <w:tc>
          <w:tcPr>
            <w:tcW w:w="1358" w:type="dxa"/>
            <w:vAlign w:val="center"/>
          </w:tcPr>
          <w:p w14:paraId="2E057809">
            <w:pPr>
              <w:jc w:val="center"/>
              <w:rPr>
                <w:rFonts w:hint="eastAsia" w:ascii="宋体" w:hAnsi="宋体" w:cs="宋体"/>
                <w:sz w:val="28"/>
                <w:szCs w:val="24"/>
              </w:rPr>
            </w:pPr>
          </w:p>
        </w:tc>
        <w:tc>
          <w:tcPr>
            <w:tcW w:w="2418" w:type="dxa"/>
            <w:vAlign w:val="center"/>
          </w:tcPr>
          <w:p w14:paraId="22DACCC2">
            <w:pPr>
              <w:jc w:val="center"/>
              <w:rPr>
                <w:rFonts w:hint="eastAsia" w:ascii="宋体" w:hAnsi="宋体" w:cs="宋体"/>
                <w:sz w:val="28"/>
                <w:szCs w:val="24"/>
              </w:rPr>
            </w:pPr>
          </w:p>
        </w:tc>
      </w:tr>
      <w:tr w14:paraId="262FC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4B82CB74">
            <w:pPr>
              <w:jc w:val="center"/>
              <w:rPr>
                <w:rFonts w:hint="eastAsia" w:ascii="宋体" w:hAnsi="宋体" w:cs="宋体"/>
                <w:sz w:val="28"/>
                <w:szCs w:val="24"/>
              </w:rPr>
            </w:pPr>
          </w:p>
        </w:tc>
        <w:tc>
          <w:tcPr>
            <w:tcW w:w="2439" w:type="dxa"/>
            <w:vAlign w:val="center"/>
          </w:tcPr>
          <w:p w14:paraId="73C3F79B">
            <w:pPr>
              <w:jc w:val="center"/>
              <w:rPr>
                <w:rFonts w:hint="eastAsia" w:ascii="宋体" w:hAnsi="宋体" w:cs="宋体"/>
                <w:sz w:val="28"/>
                <w:szCs w:val="24"/>
              </w:rPr>
            </w:pPr>
          </w:p>
        </w:tc>
        <w:tc>
          <w:tcPr>
            <w:tcW w:w="2135" w:type="dxa"/>
            <w:vAlign w:val="center"/>
          </w:tcPr>
          <w:p w14:paraId="3FFEE6AD">
            <w:pPr>
              <w:jc w:val="center"/>
              <w:rPr>
                <w:rFonts w:hint="eastAsia" w:ascii="宋体" w:hAnsi="宋体" w:cs="宋体"/>
                <w:sz w:val="28"/>
                <w:szCs w:val="24"/>
              </w:rPr>
            </w:pPr>
          </w:p>
        </w:tc>
        <w:tc>
          <w:tcPr>
            <w:tcW w:w="1358" w:type="dxa"/>
            <w:vAlign w:val="center"/>
          </w:tcPr>
          <w:p w14:paraId="30E44DF2">
            <w:pPr>
              <w:jc w:val="center"/>
              <w:rPr>
                <w:rFonts w:hint="eastAsia" w:ascii="宋体" w:hAnsi="宋体" w:cs="宋体"/>
                <w:sz w:val="28"/>
                <w:szCs w:val="24"/>
              </w:rPr>
            </w:pPr>
          </w:p>
        </w:tc>
        <w:tc>
          <w:tcPr>
            <w:tcW w:w="2418" w:type="dxa"/>
            <w:vAlign w:val="center"/>
          </w:tcPr>
          <w:p w14:paraId="418F0140">
            <w:pPr>
              <w:jc w:val="center"/>
              <w:rPr>
                <w:rFonts w:hint="eastAsia" w:ascii="宋体" w:hAnsi="宋体" w:cs="宋体"/>
                <w:sz w:val="28"/>
                <w:szCs w:val="24"/>
              </w:rPr>
            </w:pPr>
          </w:p>
        </w:tc>
      </w:tr>
      <w:tr w14:paraId="09123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vAlign w:val="center"/>
          </w:tcPr>
          <w:p w14:paraId="110830CB">
            <w:pPr>
              <w:jc w:val="center"/>
              <w:rPr>
                <w:rFonts w:hint="eastAsia" w:ascii="宋体" w:hAnsi="宋体" w:cs="宋体"/>
                <w:sz w:val="28"/>
                <w:szCs w:val="24"/>
              </w:rPr>
            </w:pPr>
          </w:p>
        </w:tc>
        <w:tc>
          <w:tcPr>
            <w:tcW w:w="2439" w:type="dxa"/>
            <w:vAlign w:val="center"/>
          </w:tcPr>
          <w:p w14:paraId="02448B2E">
            <w:pPr>
              <w:jc w:val="center"/>
              <w:rPr>
                <w:rFonts w:hint="eastAsia" w:ascii="宋体" w:hAnsi="宋体" w:cs="宋体"/>
                <w:sz w:val="28"/>
                <w:szCs w:val="24"/>
              </w:rPr>
            </w:pPr>
          </w:p>
        </w:tc>
        <w:tc>
          <w:tcPr>
            <w:tcW w:w="2135" w:type="dxa"/>
            <w:vAlign w:val="center"/>
          </w:tcPr>
          <w:p w14:paraId="1A9C165D">
            <w:pPr>
              <w:jc w:val="center"/>
              <w:rPr>
                <w:rFonts w:hint="eastAsia" w:ascii="宋体" w:hAnsi="宋体" w:cs="宋体"/>
                <w:sz w:val="28"/>
                <w:szCs w:val="24"/>
              </w:rPr>
            </w:pPr>
          </w:p>
        </w:tc>
        <w:tc>
          <w:tcPr>
            <w:tcW w:w="1358" w:type="dxa"/>
            <w:vAlign w:val="center"/>
          </w:tcPr>
          <w:p w14:paraId="7112BF88">
            <w:pPr>
              <w:jc w:val="center"/>
              <w:rPr>
                <w:rFonts w:hint="eastAsia" w:ascii="宋体" w:hAnsi="宋体" w:cs="宋体"/>
                <w:sz w:val="28"/>
                <w:szCs w:val="24"/>
              </w:rPr>
            </w:pPr>
          </w:p>
        </w:tc>
        <w:tc>
          <w:tcPr>
            <w:tcW w:w="2418" w:type="dxa"/>
            <w:vAlign w:val="center"/>
          </w:tcPr>
          <w:p w14:paraId="774ABBC4">
            <w:pPr>
              <w:jc w:val="center"/>
              <w:rPr>
                <w:rFonts w:hint="eastAsia" w:ascii="宋体" w:hAnsi="宋体" w:cs="宋体"/>
                <w:sz w:val="28"/>
                <w:szCs w:val="24"/>
              </w:rPr>
            </w:pPr>
          </w:p>
        </w:tc>
      </w:tr>
      <w:tr w14:paraId="2A058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72" w:hRule="atLeast"/>
          <w:jc w:val="center"/>
        </w:trPr>
        <w:tc>
          <w:tcPr>
            <w:tcW w:w="1014" w:type="dxa"/>
            <w:vAlign w:val="center"/>
          </w:tcPr>
          <w:p w14:paraId="1AA22835">
            <w:pPr>
              <w:jc w:val="center"/>
              <w:rPr>
                <w:rFonts w:hint="eastAsia" w:ascii="宋体" w:hAnsi="宋体" w:cs="宋体"/>
                <w:sz w:val="28"/>
                <w:szCs w:val="24"/>
              </w:rPr>
            </w:pPr>
          </w:p>
        </w:tc>
        <w:tc>
          <w:tcPr>
            <w:tcW w:w="2439" w:type="dxa"/>
            <w:vAlign w:val="center"/>
          </w:tcPr>
          <w:p w14:paraId="59ED447B">
            <w:pPr>
              <w:jc w:val="center"/>
              <w:rPr>
                <w:rFonts w:hint="eastAsia" w:ascii="宋体" w:hAnsi="宋体" w:cs="宋体"/>
                <w:sz w:val="28"/>
                <w:szCs w:val="24"/>
              </w:rPr>
            </w:pPr>
          </w:p>
        </w:tc>
        <w:tc>
          <w:tcPr>
            <w:tcW w:w="2135" w:type="dxa"/>
            <w:vAlign w:val="center"/>
          </w:tcPr>
          <w:p w14:paraId="7E690A9B">
            <w:pPr>
              <w:jc w:val="center"/>
              <w:rPr>
                <w:rFonts w:hint="eastAsia" w:ascii="宋体" w:hAnsi="宋体" w:cs="宋体"/>
                <w:sz w:val="28"/>
                <w:szCs w:val="24"/>
              </w:rPr>
            </w:pPr>
          </w:p>
        </w:tc>
        <w:tc>
          <w:tcPr>
            <w:tcW w:w="1358" w:type="dxa"/>
            <w:vAlign w:val="center"/>
          </w:tcPr>
          <w:p w14:paraId="1EC8DA0A">
            <w:pPr>
              <w:jc w:val="center"/>
              <w:rPr>
                <w:rFonts w:hint="eastAsia" w:ascii="宋体" w:hAnsi="宋体" w:cs="宋体"/>
                <w:sz w:val="28"/>
                <w:szCs w:val="24"/>
              </w:rPr>
            </w:pPr>
          </w:p>
        </w:tc>
        <w:tc>
          <w:tcPr>
            <w:tcW w:w="2418" w:type="dxa"/>
            <w:vAlign w:val="center"/>
          </w:tcPr>
          <w:p w14:paraId="1A6183AF">
            <w:pPr>
              <w:jc w:val="center"/>
              <w:rPr>
                <w:rFonts w:hint="eastAsia" w:ascii="宋体" w:hAnsi="宋体" w:cs="宋体"/>
                <w:sz w:val="28"/>
                <w:szCs w:val="24"/>
              </w:rPr>
            </w:pPr>
          </w:p>
        </w:tc>
      </w:tr>
    </w:tbl>
    <w:p w14:paraId="300F5F40">
      <w:pPr>
        <w:jc w:val="center"/>
        <w:rPr>
          <w:rFonts w:hint="eastAsia" w:ascii="宋体" w:hAnsi="宋体" w:cs="宋体"/>
          <w:b/>
          <w:sz w:val="28"/>
          <w:szCs w:val="30"/>
        </w:rPr>
      </w:pPr>
    </w:p>
    <w:p w14:paraId="58C5E7E0">
      <w:pPr>
        <w:rPr>
          <w:rFonts w:hint="eastAsia" w:ascii="宋体" w:hAnsi="宋体" w:cs="宋体"/>
          <w:b/>
          <w:sz w:val="28"/>
          <w:szCs w:val="30"/>
        </w:rPr>
      </w:pPr>
    </w:p>
    <w:p w14:paraId="3B5D5D1C">
      <w:pPr>
        <w:ind w:firstLine="480"/>
        <w:jc w:val="left"/>
        <w:rPr>
          <w:rFonts w:hint="eastAsia" w:ascii="宋体" w:hAnsi="宋体" w:cs="宋体"/>
          <w:bCs/>
          <w:sz w:val="24"/>
          <w:szCs w:val="24"/>
        </w:rPr>
      </w:pPr>
      <w:r>
        <w:rPr>
          <w:rFonts w:hint="eastAsia" w:ascii="宋体" w:hAnsi="宋体" w:cs="宋体"/>
          <w:bCs/>
          <w:sz w:val="24"/>
          <w:szCs w:val="24"/>
        </w:rPr>
        <w:t>供应商（盖章）：</w:t>
      </w:r>
    </w:p>
    <w:p w14:paraId="07C9C1C2">
      <w:pPr>
        <w:ind w:firstLine="480"/>
        <w:jc w:val="left"/>
        <w:rPr>
          <w:rFonts w:hint="eastAsia" w:ascii="宋体" w:hAnsi="宋体" w:cs="宋体"/>
          <w:bCs/>
          <w:sz w:val="24"/>
          <w:szCs w:val="24"/>
        </w:rPr>
      </w:pPr>
      <w:r>
        <w:rPr>
          <w:rFonts w:hint="eastAsia" w:ascii="宋体" w:hAnsi="宋体" w:cs="宋体"/>
          <w:bCs/>
          <w:sz w:val="24"/>
          <w:szCs w:val="24"/>
        </w:rPr>
        <w:t>法定代表人或委托代理人（签字或盖章）：</w:t>
      </w:r>
    </w:p>
    <w:p w14:paraId="621AE6FF">
      <w:pPr>
        <w:ind w:firstLine="1440"/>
        <w:rPr>
          <w:rFonts w:hint="eastAsia" w:ascii="宋体" w:hAnsi="宋体" w:cs="宋体"/>
          <w:sz w:val="24"/>
          <w:szCs w:val="24"/>
        </w:rPr>
      </w:pPr>
      <w:r>
        <w:rPr>
          <w:rFonts w:hint="eastAsia" w:ascii="宋体" w:hAnsi="宋体" w:cs="宋体"/>
          <w:bCs/>
          <w:sz w:val="24"/>
          <w:szCs w:val="24"/>
        </w:rPr>
        <w:t>年     月     日</w:t>
      </w:r>
    </w:p>
    <w:p w14:paraId="3D1CB554">
      <w:pPr>
        <w:ind w:firstLine="480"/>
        <w:rPr>
          <w:rFonts w:hint="eastAsia" w:ascii="宋体" w:hAnsi="宋体" w:cs="宋体"/>
          <w:sz w:val="24"/>
          <w:szCs w:val="24"/>
        </w:rPr>
      </w:pPr>
    </w:p>
    <w:p w14:paraId="1165388D">
      <w:pPr>
        <w:ind w:firstLine="960"/>
        <w:rPr>
          <w:rFonts w:hint="eastAsia" w:ascii="宋体" w:hAnsi="宋体" w:cs="宋体"/>
          <w:bCs/>
          <w:sz w:val="24"/>
          <w:szCs w:val="24"/>
        </w:rPr>
      </w:pPr>
    </w:p>
    <w:p w14:paraId="73373550">
      <w:pPr>
        <w:jc w:val="left"/>
        <w:rPr>
          <w:rFonts w:hint="eastAsia" w:ascii="宋体" w:hAnsi="宋体" w:cs="宋体"/>
          <w:bCs/>
          <w:sz w:val="24"/>
          <w:szCs w:val="24"/>
        </w:rPr>
      </w:pPr>
      <w:r>
        <w:rPr>
          <w:rFonts w:hint="eastAsia" w:ascii="宋体" w:hAnsi="宋体" w:cs="宋体"/>
          <w:bCs/>
          <w:sz w:val="24"/>
          <w:szCs w:val="24"/>
        </w:rPr>
        <w:br w:type="page" w:clear="all"/>
      </w:r>
    </w:p>
    <w:p w14:paraId="280531D4">
      <w:pPr>
        <w:spacing w:before="120" w:after="120"/>
        <w:jc w:val="left"/>
        <w:outlineLvl w:val="1"/>
        <w:rPr>
          <w:rFonts w:hint="eastAsia" w:ascii="宋体" w:hAnsi="宋体" w:cs="宋体"/>
          <w:b/>
          <w:sz w:val="24"/>
          <w:szCs w:val="24"/>
        </w:rPr>
      </w:pPr>
      <w:bookmarkStart w:id="228" w:name="_Toc23355"/>
      <w:bookmarkStart w:id="229" w:name="_Toc26229"/>
      <w:bookmarkStart w:id="230" w:name="_Toc10377"/>
      <w:r>
        <w:rPr>
          <w:rFonts w:hint="eastAsia" w:ascii="宋体" w:hAnsi="宋体" w:cs="宋体"/>
          <w:bCs/>
          <w:sz w:val="24"/>
          <w:szCs w:val="28"/>
        </w:rPr>
        <w:t>格式14、</w:t>
      </w:r>
      <w:bookmarkEnd w:id="228"/>
      <w:bookmarkEnd w:id="229"/>
      <w:bookmarkEnd w:id="230"/>
      <w:r>
        <w:rPr>
          <w:rFonts w:hint="eastAsia" w:ascii="宋体" w:hAnsi="宋体" w:cs="宋体"/>
          <w:bCs/>
          <w:sz w:val="24"/>
          <w:szCs w:val="28"/>
        </w:rPr>
        <w:t>技术方案</w:t>
      </w:r>
    </w:p>
    <w:p w14:paraId="453C44D7">
      <w:pPr>
        <w:jc w:val="center"/>
        <w:rPr>
          <w:rFonts w:hint="eastAsia" w:ascii="宋体" w:hAnsi="宋体" w:cs="宋体"/>
          <w:bCs/>
          <w:sz w:val="36"/>
          <w:szCs w:val="28"/>
        </w:rPr>
      </w:pPr>
      <w:r>
        <w:rPr>
          <w:rFonts w:hint="eastAsia" w:ascii="宋体" w:hAnsi="宋体" w:cs="宋体"/>
          <w:bCs/>
          <w:sz w:val="36"/>
          <w:szCs w:val="28"/>
        </w:rPr>
        <w:t>技术</w:t>
      </w:r>
      <w:r>
        <w:rPr>
          <w:rFonts w:hint="eastAsia" w:ascii="宋体" w:hAnsi="宋体" w:cs="宋体"/>
          <w:bCs/>
          <w:sz w:val="36"/>
          <w:szCs w:val="28"/>
          <w:lang w:val="en-US" w:eastAsia="zh-CN"/>
        </w:rPr>
        <w:t>服务</w:t>
      </w:r>
      <w:r>
        <w:rPr>
          <w:rFonts w:hint="eastAsia" w:ascii="宋体" w:hAnsi="宋体" w:cs="宋体"/>
          <w:bCs/>
          <w:sz w:val="36"/>
          <w:szCs w:val="28"/>
        </w:rPr>
        <w:t>方案</w:t>
      </w:r>
    </w:p>
    <w:p w14:paraId="6800DA48">
      <w:pPr>
        <w:jc w:val="center"/>
        <w:rPr>
          <w:rFonts w:hint="eastAsia" w:ascii="宋体" w:hAnsi="宋体" w:cs="宋体"/>
          <w:sz w:val="24"/>
          <w:szCs w:val="24"/>
        </w:rPr>
      </w:pPr>
      <w:r>
        <w:rPr>
          <w:rFonts w:hint="eastAsia" w:ascii="宋体" w:hAnsi="宋体" w:cs="宋体"/>
          <w:sz w:val="24"/>
          <w:szCs w:val="24"/>
        </w:rPr>
        <w:t>（供应商根据“项目需求”“评审标准”等内容要求自行填写，格式自定）</w:t>
      </w:r>
    </w:p>
    <w:p w14:paraId="03C2FB2A">
      <w:pPr>
        <w:rPr>
          <w:rFonts w:hint="eastAsia" w:ascii="宋体" w:hAnsi="宋体" w:cs="宋体"/>
          <w:szCs w:val="24"/>
        </w:rPr>
      </w:pPr>
    </w:p>
    <w:p w14:paraId="6A2A2929">
      <w:pPr>
        <w:rPr>
          <w:rFonts w:hint="eastAsia" w:ascii="宋体" w:hAnsi="宋体" w:cs="宋体"/>
          <w:sz w:val="24"/>
          <w:szCs w:val="24"/>
        </w:rPr>
      </w:pPr>
    </w:p>
    <w:p w14:paraId="6E79FEDB">
      <w:pPr>
        <w:rPr>
          <w:rFonts w:hint="eastAsia" w:ascii="宋体" w:hAnsi="宋体" w:cs="宋体"/>
          <w:sz w:val="24"/>
          <w:szCs w:val="24"/>
        </w:rPr>
      </w:pPr>
    </w:p>
    <w:p w14:paraId="59330627">
      <w:pPr>
        <w:rPr>
          <w:rFonts w:hint="eastAsia" w:ascii="宋体" w:hAnsi="宋体" w:cs="宋体"/>
          <w:sz w:val="24"/>
          <w:szCs w:val="24"/>
        </w:rPr>
      </w:pPr>
    </w:p>
    <w:p w14:paraId="6585B956">
      <w:bookmarkStart w:id="231" w:name="_GoBack"/>
      <w:bookmarkEnd w:id="231"/>
    </w:p>
    <w:sectPr>
      <w:footerReference r:id="rId5" w:type="first"/>
      <w:headerReference r:id="rId3" w:type="default"/>
      <w:footerReference r:id="rId4" w:type="default"/>
      <w:pgSz w:w="11906" w:h="16838"/>
      <w:pgMar w:top="1134" w:right="1417" w:bottom="1134" w:left="1417" w:header="851" w:footer="907" w:gutter="0"/>
      <w:pgNumType w:start="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A00002BF" w:usb1="68C7FCFB" w:usb2="00000010" w:usb3="00000000" w:csb0="4002009F" w:csb1="DFD70000"/>
  </w:font>
  <w:font w:name="微软雅黑 Light">
    <w:panose1 w:val="020B0502040204020203"/>
    <w:charset w:val="86"/>
    <w:family w:val="swiss"/>
    <w:pitch w:val="default"/>
    <w:sig w:usb0="80000287" w:usb1="2ACF0010" w:usb2="00000016" w:usb3="00000000" w:csb0="0004001F" w:csb1="00000000"/>
  </w:font>
  <w:font w:name="仿宋">
    <w:panose1 w:val="02010609060101010101"/>
    <w:charset w:val="86"/>
    <w:family w:val="modern"/>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44CF9">
    <w:pPr>
      <w:jc w:val="center"/>
    </w:pPr>
    <w:r>
      <w:t>第</w:t>
    </w:r>
    <w:r>
      <w:fldChar w:fldCharType="begin"/>
    </w:r>
    <w:r>
      <w:instrText xml:space="preserve"> PAGE  \* Arabic  \* MERGEFORMAT </w:instrText>
    </w:r>
    <w:r>
      <w:fldChar w:fldCharType="separate"/>
    </w:r>
    <w:r>
      <w:t>44</w:t>
    </w:r>
    <w:r>
      <w:fldChar w:fldCharType="end"/>
    </w:r>
    <w:r>
      <w:t>页</w:t>
    </w:r>
    <w:r>
      <w:rPr>
        <w:rFonts w:hint="eastAsia"/>
      </w:rPr>
      <w:t xml:space="preserve"> 共</w:t>
    </w:r>
    <w:r>
      <w:fldChar w:fldCharType="begin"/>
    </w:r>
    <w:r>
      <w:instrText xml:space="preserve"> NUMPAGES  \* Arabic  \* MERGEFORMAT </w:instrText>
    </w:r>
    <w:r>
      <w:fldChar w:fldCharType="separate"/>
    </w:r>
    <w:r>
      <w:t>44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E50FA">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FF5AB">
    <w:pPr>
      <w:pBdr>
        <w:bottom w:val="single" w:color="000000" w:sz="6" w:space="1"/>
      </w:pBdr>
      <w:tabs>
        <w:tab w:val="left" w:pos="8058"/>
      </w:tabs>
      <w:jc w:val="left"/>
      <w:rPr>
        <w:color w:val="000000"/>
      </w:rPr>
    </w:pPr>
    <w:r>
      <w:rPr>
        <w:rFonts w:hint="eastAsia"/>
        <w:color w:val="000000"/>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F336D7"/>
    <w:multiLevelType w:val="multilevel"/>
    <w:tmpl w:val="07F336D7"/>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17F84D85"/>
    <w:multiLevelType w:val="multilevel"/>
    <w:tmpl w:val="17F84D85"/>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2"/>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2">
    <w:nsid w:val="214F02B6"/>
    <w:multiLevelType w:val="multilevel"/>
    <w:tmpl w:val="214F02B6"/>
    <w:lvl w:ilvl="0" w:tentative="0">
      <w:start w:val="1"/>
      <w:numFmt w:val="decimal"/>
      <w:pStyle w:val="4"/>
      <w:lvlText w:val="%1"/>
      <w:lvlJc w:val="left"/>
      <w:pPr>
        <w:tabs>
          <w:tab w:val="left" w:pos="360"/>
        </w:tabs>
        <w:ind w:left="284" w:hanging="284"/>
      </w:pPr>
      <w:rPr>
        <w:rFonts w:ascii="Times New Roman" w:hAnsi="Times New Roman"/>
        <w:b/>
        <w:i w:val="0"/>
        <w:sz w:val="28"/>
      </w:rPr>
    </w:lvl>
    <w:lvl w:ilvl="1" w:tentative="0">
      <w:start w:val="1"/>
      <w:numFmt w:val="decimal"/>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55CC6035"/>
    <w:multiLevelType w:val="singleLevel"/>
    <w:tmpl w:val="55CC6035"/>
    <w:lvl w:ilvl="0" w:tentative="0">
      <w:start w:val="3"/>
      <w:numFmt w:val="decimal"/>
      <w:suff w:val="nothing"/>
      <w:lvlText w:val="（%1）"/>
      <w:lvlJc w:val="left"/>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961270"/>
    <w:rsid w:val="5A435EB2"/>
    <w:rsid w:val="72E15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link w:val="14"/>
    <w:qFormat/>
    <w:uiPriority w:val="0"/>
    <w:pPr>
      <w:keepNext/>
      <w:keepLines/>
      <w:numPr>
        <w:ilvl w:val="0"/>
        <w:numId w:val="1"/>
      </w:numPr>
      <w:spacing w:before="50" w:after="50" w:line="360" w:lineRule="auto"/>
      <w:ind w:left="283" w:hanging="283"/>
      <w:jc w:val="center"/>
      <w:outlineLvl w:val="0"/>
    </w:pPr>
    <w:rPr>
      <w:b/>
      <w:sz w:val="36"/>
      <w:szCs w:val="20"/>
    </w:rPr>
  </w:style>
  <w:style w:type="character" w:default="1" w:styleId="13">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黑体"/>
      <w:sz w:val="21"/>
      <w:szCs w:val="21"/>
      <w:lang w:val="en-US" w:eastAsia="zh-CN" w:bidi="ar-SA"/>
    </w:rPr>
  </w:style>
  <w:style w:type="paragraph" w:styleId="5">
    <w:name w:val="Body Text"/>
    <w:basedOn w:val="1"/>
    <w:next w:val="6"/>
    <w:qFormat/>
    <w:uiPriority w:val="99"/>
    <w:pPr>
      <w:spacing w:after="120"/>
    </w:pPr>
  </w:style>
  <w:style w:type="paragraph" w:styleId="6">
    <w:name w:val="header"/>
    <w:basedOn w:val="1"/>
    <w:next w:val="7"/>
    <w:qFormat/>
    <w:uiPriority w:val="0"/>
    <w:pPr>
      <w:pBdr>
        <w:bottom w:val="single" w:color="000000" w:sz="6" w:space="1"/>
      </w:pBdr>
      <w:tabs>
        <w:tab w:val="center" w:pos="4153"/>
        <w:tab w:val="right" w:pos="8306"/>
      </w:tabs>
      <w:jc w:val="center"/>
    </w:pPr>
    <w:rPr>
      <w:rFonts w:ascii="Calibri" w:hAnsi="Calibri"/>
      <w:sz w:val="18"/>
      <w:szCs w:val="18"/>
    </w:rPr>
  </w:style>
  <w:style w:type="paragraph" w:customStyle="1" w:styleId="7">
    <w:name w:val="Quote1"/>
    <w:basedOn w:val="1"/>
    <w:next w:val="1"/>
    <w:qFormat/>
    <w:uiPriority w:val="99"/>
    <w:pPr>
      <w:widowControl/>
      <w:spacing w:before="200" w:after="160"/>
      <w:ind w:left="864" w:right="864"/>
      <w:jc w:val="center"/>
    </w:pPr>
    <w:rPr>
      <w:rFonts w:ascii="宋体"/>
      <w:i/>
      <w:color w:val="404040"/>
    </w:rPr>
  </w:style>
  <w:style w:type="paragraph" w:styleId="8">
    <w:name w:val="footer"/>
    <w:basedOn w:val="1"/>
    <w:qFormat/>
    <w:uiPriority w:val="0"/>
    <w:pPr>
      <w:tabs>
        <w:tab w:val="center" w:pos="4153"/>
        <w:tab w:val="right" w:pos="8306"/>
      </w:tabs>
      <w:jc w:val="left"/>
    </w:pPr>
    <w:rPr>
      <w:rFonts w:ascii="Calibri" w:hAnsi="Calibri"/>
      <w:sz w:val="18"/>
      <w:szCs w:val="18"/>
    </w:rPr>
  </w:style>
  <w:style w:type="paragraph" w:styleId="9">
    <w:name w:val="toc 1"/>
    <w:basedOn w:val="1"/>
    <w:next w:val="1"/>
    <w:unhideWhenUsed/>
    <w:qFormat/>
    <w:uiPriority w:val="39"/>
    <w:pPr>
      <w:spacing w:after="57"/>
    </w:pPr>
  </w:style>
  <w:style w:type="paragraph" w:styleId="10">
    <w:name w:val="toc 2"/>
    <w:basedOn w:val="1"/>
    <w:next w:val="1"/>
    <w:unhideWhenUsed/>
    <w:qFormat/>
    <w:uiPriority w:val="39"/>
    <w:pPr>
      <w:spacing w:after="57"/>
      <w:ind w:left="283"/>
    </w:pPr>
  </w:style>
  <w:style w:type="paragraph" w:styleId="11">
    <w:name w:val="Body Text First Indent"/>
    <w:basedOn w:val="5"/>
    <w:next w:val="1"/>
    <w:qFormat/>
    <w:uiPriority w:val="0"/>
    <w:pPr>
      <w:ind w:firstLine="420" w:firstLineChars="100"/>
    </w:pPr>
    <w:rPr>
      <w:rFonts w:ascii="楷体_GB2312" w:hAnsi="Arial" w:eastAsia="楷体_GB2312"/>
      <w:kern w:val="2"/>
      <w:szCs w:val="24"/>
    </w:rPr>
  </w:style>
  <w:style w:type="character" w:customStyle="1" w:styleId="14">
    <w:name w:val="标题 1 字符"/>
    <w:link w:val="4"/>
    <w:qFormat/>
    <w:uiPriority w:val="0"/>
    <w:rPr>
      <w:b/>
      <w:sz w:val="36"/>
      <w:szCs w:val="20"/>
    </w:rPr>
  </w:style>
  <w:style w:type="paragraph" w:customStyle="1" w:styleId="15">
    <w:name w:val="Table Text"/>
    <w:basedOn w:val="1"/>
    <w:qFormat/>
    <w:uiPriority w:val="0"/>
    <w:rPr>
      <w:rFonts w:ascii="宋体" w:hAnsi="宋体" w:cs="宋体"/>
      <w:sz w:val="24"/>
      <w:szCs w:val="2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20038</Words>
  <Characters>20945</Characters>
  <Lines>0</Lines>
  <Paragraphs>0</Paragraphs>
  <TotalTime>5</TotalTime>
  <ScaleCrop>false</ScaleCrop>
  <LinksUpToDate>false</LinksUpToDate>
  <CharactersWithSpaces>21324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2026-10-26T07:07:00Z</dcterms:created>
  <dc:creator>LENOVO</dc:creator>
  <cp:lastModifiedBy>李彩～水晶珠宝</cp:lastModifiedBy>
  <dcterms:modified xsi:type="dcterms:W3CDTF">2026-10-26T07:14:21Z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eyJoZGlkIjoiOGM0OWViZGYyODBlOTUwZjY5YTQ4OTYwZjU3ODE2ZGMiLCJ1c2VySWQiOiI2NDEyODM5MDcifQ==</vt:lpwstr>
  </property>
  <property fmtid="{D5CDD505-2E9C-101B-9397-08002B2CF9AE}" pid="4" name="ICV">
    <vt:lpwstr>C1DBD51824C441618A8863AD9350DD86_12</vt:lpwstr>
  </property>
</Properties>
</file>