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A9862">
      <w:pPr>
        <w:spacing w:line="360" w:lineRule="auto"/>
        <w:rPr>
          <w:rFonts w:hint="eastAsia" w:ascii="宋体" w:hAnsi="宋体"/>
          <w:b/>
          <w:color w:val="auto"/>
          <w:sz w:val="30"/>
          <w:highlight w:val="none"/>
        </w:rPr>
      </w:pPr>
    </w:p>
    <w:p w14:paraId="2ECB5AB0">
      <w:pPr>
        <w:spacing w:line="360" w:lineRule="auto"/>
        <w:jc w:val="center"/>
        <w:rPr>
          <w:rFonts w:ascii="宋体" w:hAnsi="宋体"/>
          <w:b/>
          <w:color w:val="auto"/>
          <w:spacing w:val="20"/>
          <w:sz w:val="72"/>
          <w:szCs w:val="72"/>
          <w:highlight w:val="none"/>
        </w:rPr>
      </w:pPr>
      <w:r>
        <w:rPr>
          <w:rFonts w:hint="eastAsia" w:ascii="宋体" w:hAnsi="宋体"/>
          <w:b/>
          <w:color w:val="auto"/>
          <w:spacing w:val="20"/>
          <w:sz w:val="72"/>
          <w:szCs w:val="72"/>
          <w:highlight w:val="none"/>
        </w:rPr>
        <w:t>无 锡 市 政 府 采 购</w:t>
      </w:r>
    </w:p>
    <w:p w14:paraId="799E3F5E">
      <w:pPr>
        <w:spacing w:line="360" w:lineRule="auto"/>
        <w:rPr>
          <w:rFonts w:ascii="宋体" w:hAnsi="宋体"/>
          <w:b/>
          <w:color w:val="auto"/>
          <w:sz w:val="30"/>
          <w:highlight w:val="none"/>
        </w:rPr>
      </w:pPr>
    </w:p>
    <w:p w14:paraId="1C688074">
      <w:pPr>
        <w:spacing w:line="360" w:lineRule="auto"/>
        <w:rPr>
          <w:rFonts w:ascii="宋体" w:hAnsi="宋体"/>
          <w:b/>
          <w:color w:val="auto"/>
          <w:sz w:val="30"/>
          <w:highlight w:val="none"/>
        </w:rPr>
      </w:pPr>
    </w:p>
    <w:p w14:paraId="1868C7A4">
      <w:pPr>
        <w:spacing w:line="360" w:lineRule="auto"/>
        <w:jc w:val="center"/>
        <w:rPr>
          <w:rFonts w:ascii="宋体" w:hAnsi="宋体"/>
          <w:b/>
          <w:color w:val="auto"/>
          <w:spacing w:val="20"/>
          <w:sz w:val="72"/>
          <w:szCs w:val="72"/>
          <w:highlight w:val="none"/>
        </w:rPr>
      </w:pPr>
      <w:r>
        <w:rPr>
          <w:rFonts w:hint="eastAsia" w:ascii="宋体" w:hAnsi="宋体"/>
          <w:b/>
          <w:color w:val="auto"/>
          <w:spacing w:val="20"/>
          <w:sz w:val="72"/>
          <w:szCs w:val="72"/>
          <w:highlight w:val="none"/>
        </w:rPr>
        <w:t>公开招标文件</w:t>
      </w:r>
    </w:p>
    <w:p w14:paraId="49D8A0E8">
      <w:pPr>
        <w:spacing w:line="360" w:lineRule="auto"/>
        <w:jc w:val="center"/>
        <w:rPr>
          <w:rFonts w:ascii="宋体" w:hAnsi="宋体"/>
          <w:color w:val="auto"/>
          <w:highlight w:val="none"/>
        </w:rPr>
      </w:pPr>
      <w:r>
        <w:rPr>
          <w:rFonts w:hint="eastAsia" w:ascii="宋体" w:hAnsi="宋体"/>
          <w:b/>
          <w:color w:val="auto"/>
          <w:sz w:val="32"/>
          <w:szCs w:val="32"/>
          <w:highlight w:val="none"/>
        </w:rPr>
        <w:t>（全流程电子化）</w:t>
      </w:r>
    </w:p>
    <w:p w14:paraId="1E8ABB86">
      <w:pPr>
        <w:spacing w:line="360" w:lineRule="auto"/>
        <w:ind w:firstLine="904"/>
        <w:rPr>
          <w:rFonts w:ascii="宋体" w:hAnsi="宋体"/>
          <w:b/>
          <w:color w:val="auto"/>
          <w:sz w:val="30"/>
          <w:szCs w:val="30"/>
          <w:highlight w:val="none"/>
        </w:rPr>
      </w:pPr>
    </w:p>
    <w:p w14:paraId="7C64CD0B">
      <w:pPr>
        <w:spacing w:line="360" w:lineRule="auto"/>
        <w:rPr>
          <w:rFonts w:ascii="宋体" w:hAnsi="宋体"/>
          <w:b/>
          <w:color w:val="auto"/>
          <w:sz w:val="30"/>
          <w:szCs w:val="30"/>
          <w:highlight w:val="none"/>
        </w:rPr>
      </w:pPr>
    </w:p>
    <w:p w14:paraId="31DF14FE">
      <w:pPr>
        <w:keepNext w:val="0"/>
        <w:keepLines w:val="0"/>
        <w:pageBreakBefore w:val="0"/>
        <w:widowControl/>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b/>
          <w:color w:val="auto"/>
          <w:sz w:val="36"/>
          <w:szCs w:val="36"/>
          <w:highlight w:val="none"/>
          <w:lang w:eastAsia="zh-CN"/>
        </w:rPr>
      </w:pPr>
      <w:r>
        <w:rPr>
          <w:rFonts w:hint="eastAsia" w:ascii="宋体" w:hAnsi="宋体"/>
          <w:b/>
          <w:color w:val="auto"/>
          <w:sz w:val="30"/>
          <w:szCs w:val="30"/>
          <w:highlight w:val="none"/>
        </w:rPr>
        <w:t>政府采购编号：</w:t>
      </w:r>
      <w:r>
        <w:rPr>
          <w:rFonts w:hint="eastAsia" w:ascii="宋体" w:hAnsi="宋体"/>
          <w:b/>
          <w:color w:val="auto"/>
          <w:sz w:val="32"/>
          <w:szCs w:val="32"/>
          <w:highlight w:val="none"/>
          <w:lang w:eastAsia="zh-CN"/>
        </w:rPr>
        <w:t>JSZC-320200-HXZX-G2026-0014</w:t>
      </w:r>
    </w:p>
    <w:p w14:paraId="7A41E3D3">
      <w:pPr>
        <w:pStyle w:val="63"/>
        <w:keepNext w:val="0"/>
        <w:keepLines w:val="0"/>
        <w:pageBreakBefore w:val="0"/>
        <w:widowControl/>
        <w:kinsoku/>
        <w:wordWrap/>
        <w:overflowPunct/>
        <w:topLinePunct w:val="0"/>
        <w:autoSpaceDE/>
        <w:autoSpaceDN/>
        <w:bidi w:val="0"/>
        <w:adjustRightInd/>
        <w:snapToGrid/>
        <w:ind w:firstLine="440" w:firstLineChars="200"/>
        <w:textAlignment w:val="auto"/>
        <w:rPr>
          <w:color w:val="auto"/>
          <w:highlight w:val="none"/>
        </w:rPr>
      </w:pPr>
    </w:p>
    <w:p w14:paraId="1A5EEE73">
      <w:pPr>
        <w:keepNext w:val="0"/>
        <w:keepLines w:val="0"/>
        <w:pageBreakBefore w:val="0"/>
        <w:widowControl/>
        <w:kinsoku/>
        <w:wordWrap/>
        <w:overflowPunct/>
        <w:topLinePunct w:val="0"/>
        <w:autoSpaceDE/>
        <w:autoSpaceDN/>
        <w:bidi w:val="0"/>
        <w:adjustRightInd/>
        <w:snapToGrid/>
        <w:spacing w:line="360" w:lineRule="auto"/>
        <w:ind w:firstLine="602" w:firstLineChars="200"/>
        <w:textAlignment w:val="auto"/>
        <w:rPr>
          <w:rFonts w:hint="default" w:ascii="宋体" w:hAnsi="宋体"/>
          <w:b/>
          <w:color w:val="auto"/>
          <w:sz w:val="30"/>
          <w:szCs w:val="30"/>
          <w:highlight w:val="none"/>
          <w:lang w:val="en-US"/>
        </w:rPr>
      </w:pPr>
      <w:r>
        <w:rPr>
          <w:rFonts w:hint="eastAsia" w:ascii="宋体" w:hAnsi="宋体"/>
          <w:b/>
          <w:color w:val="auto"/>
          <w:sz w:val="30"/>
          <w:szCs w:val="30"/>
          <w:highlight w:val="none"/>
        </w:rPr>
        <w:t>采购项目名称：</w:t>
      </w:r>
      <w:r>
        <w:rPr>
          <w:rFonts w:hint="eastAsia" w:ascii="宋体" w:hAnsi="宋体"/>
          <w:b/>
          <w:color w:val="auto"/>
          <w:sz w:val="30"/>
          <w:szCs w:val="30"/>
          <w:highlight w:val="none"/>
          <w:lang w:val="en-US" w:eastAsia="zh-CN"/>
        </w:rPr>
        <w:t>克组砝码自动检定装置等一批力学设备采购项目</w:t>
      </w:r>
    </w:p>
    <w:p w14:paraId="06FB9168">
      <w:pPr>
        <w:pStyle w:val="63"/>
        <w:keepNext w:val="0"/>
        <w:keepLines w:val="0"/>
        <w:pageBreakBefore w:val="0"/>
        <w:widowControl/>
        <w:kinsoku/>
        <w:wordWrap/>
        <w:overflowPunct/>
        <w:topLinePunct w:val="0"/>
        <w:autoSpaceDE/>
        <w:autoSpaceDN/>
        <w:bidi w:val="0"/>
        <w:adjustRightInd/>
        <w:snapToGrid/>
        <w:ind w:firstLine="440" w:firstLineChars="200"/>
        <w:textAlignment w:val="auto"/>
        <w:rPr>
          <w:color w:val="auto"/>
          <w:highlight w:val="none"/>
        </w:rPr>
      </w:pPr>
    </w:p>
    <w:p w14:paraId="0511B8A0">
      <w:pPr>
        <w:keepNext w:val="0"/>
        <w:keepLines w:val="0"/>
        <w:pageBreakBefore w:val="0"/>
        <w:widowControl/>
        <w:kinsoku/>
        <w:wordWrap/>
        <w:overflowPunct/>
        <w:topLinePunct w:val="0"/>
        <w:autoSpaceDE/>
        <w:autoSpaceDN/>
        <w:bidi w:val="0"/>
        <w:adjustRightInd/>
        <w:snapToGrid/>
        <w:spacing w:line="360" w:lineRule="auto"/>
        <w:ind w:firstLine="602" w:firstLineChars="200"/>
        <w:textAlignment w:val="auto"/>
        <w:rPr>
          <w:rFonts w:ascii="宋体" w:hAnsi="宋体"/>
          <w:b/>
          <w:color w:val="auto"/>
          <w:sz w:val="30"/>
          <w:szCs w:val="30"/>
          <w:highlight w:val="none"/>
        </w:rPr>
      </w:pPr>
      <w:r>
        <w:rPr>
          <w:rFonts w:hint="eastAsia" w:ascii="宋体" w:hAnsi="宋体"/>
          <w:b/>
          <w:color w:val="auto"/>
          <w:sz w:val="30"/>
          <w:szCs w:val="30"/>
          <w:highlight w:val="none"/>
        </w:rPr>
        <w:t>采   购   人：无锡市检验检测认证研究院</w:t>
      </w:r>
    </w:p>
    <w:p w14:paraId="1DB13BD6">
      <w:pPr>
        <w:pStyle w:val="63"/>
        <w:keepNext w:val="0"/>
        <w:keepLines w:val="0"/>
        <w:pageBreakBefore w:val="0"/>
        <w:widowControl/>
        <w:kinsoku/>
        <w:wordWrap/>
        <w:overflowPunct/>
        <w:topLinePunct w:val="0"/>
        <w:autoSpaceDE/>
        <w:autoSpaceDN/>
        <w:bidi w:val="0"/>
        <w:adjustRightInd/>
        <w:snapToGrid/>
        <w:ind w:firstLine="440" w:firstLineChars="200"/>
        <w:textAlignment w:val="auto"/>
        <w:rPr>
          <w:color w:val="auto"/>
          <w:highlight w:val="none"/>
        </w:rPr>
      </w:pPr>
    </w:p>
    <w:p w14:paraId="66FDC839">
      <w:pPr>
        <w:keepNext w:val="0"/>
        <w:keepLines w:val="0"/>
        <w:pageBreakBefore w:val="0"/>
        <w:widowControl/>
        <w:kinsoku/>
        <w:wordWrap/>
        <w:overflowPunct/>
        <w:topLinePunct w:val="0"/>
        <w:autoSpaceDE/>
        <w:autoSpaceDN/>
        <w:bidi w:val="0"/>
        <w:adjustRightInd/>
        <w:snapToGrid/>
        <w:spacing w:line="360" w:lineRule="auto"/>
        <w:ind w:firstLine="602" w:firstLineChars="200"/>
        <w:textAlignment w:val="auto"/>
        <w:rPr>
          <w:rFonts w:ascii="宋体" w:hAnsi="宋体"/>
          <w:b/>
          <w:color w:val="auto"/>
          <w:sz w:val="30"/>
          <w:szCs w:val="30"/>
          <w:highlight w:val="none"/>
        </w:rPr>
      </w:pPr>
      <w:r>
        <w:rPr>
          <w:rFonts w:hint="eastAsia" w:ascii="宋体" w:hAnsi="宋体"/>
          <w:b/>
          <w:color w:val="auto"/>
          <w:sz w:val="30"/>
          <w:szCs w:val="30"/>
          <w:highlight w:val="none"/>
        </w:rPr>
        <w:t xml:space="preserve">采购代理机构：江苏宏翔工程造价咨询有限公司 </w:t>
      </w:r>
    </w:p>
    <w:p w14:paraId="729BA1ED">
      <w:pPr>
        <w:pStyle w:val="63"/>
        <w:rPr>
          <w:color w:val="auto"/>
          <w:highlight w:val="none"/>
        </w:rPr>
      </w:pPr>
    </w:p>
    <w:p w14:paraId="37E2BA1E">
      <w:pPr>
        <w:pStyle w:val="63"/>
        <w:rPr>
          <w:color w:val="auto"/>
          <w:highlight w:val="none"/>
        </w:rPr>
      </w:pPr>
    </w:p>
    <w:p w14:paraId="66844880">
      <w:pPr>
        <w:pStyle w:val="63"/>
        <w:rPr>
          <w:color w:val="auto"/>
          <w:highlight w:val="none"/>
        </w:rPr>
      </w:pPr>
    </w:p>
    <w:p w14:paraId="63F0A507">
      <w:pPr>
        <w:spacing w:line="360" w:lineRule="auto"/>
        <w:jc w:val="center"/>
        <w:rPr>
          <w:rFonts w:ascii="宋体" w:hAnsi="宋体"/>
          <w:bCs/>
          <w:color w:val="auto"/>
          <w:sz w:val="24"/>
          <w:highlight w:val="none"/>
        </w:rPr>
      </w:pPr>
      <w:r>
        <w:rPr>
          <w:rFonts w:hint="eastAsia" w:ascii="宋体" w:hAnsi="宋体"/>
          <w:b/>
          <w:color w:val="auto"/>
          <w:sz w:val="30"/>
          <w:szCs w:val="30"/>
          <w:highlight w:val="none"/>
        </w:rPr>
        <w:t>二〇</w:t>
      </w:r>
      <w:r>
        <w:rPr>
          <w:rFonts w:hint="eastAsia" w:ascii="宋体" w:hAnsi="宋体"/>
          <w:b/>
          <w:color w:val="auto"/>
          <w:sz w:val="30"/>
          <w:szCs w:val="30"/>
          <w:highlight w:val="none"/>
          <w:lang w:val="en-US" w:eastAsia="zh-CN"/>
        </w:rPr>
        <w:t>二六</w:t>
      </w:r>
      <w:r>
        <w:rPr>
          <w:rFonts w:hint="eastAsia" w:ascii="宋体" w:hAnsi="宋体"/>
          <w:b/>
          <w:color w:val="auto"/>
          <w:sz w:val="30"/>
          <w:szCs w:val="30"/>
          <w:highlight w:val="none"/>
        </w:rPr>
        <w:t>年</w:t>
      </w:r>
      <w:r>
        <w:rPr>
          <w:rFonts w:hint="eastAsia" w:ascii="宋体" w:hAnsi="宋体"/>
          <w:b/>
          <w:color w:val="auto"/>
          <w:sz w:val="30"/>
          <w:szCs w:val="30"/>
          <w:highlight w:val="none"/>
          <w:lang w:val="en-US" w:eastAsia="zh-CN"/>
        </w:rPr>
        <w:t>十</w:t>
      </w:r>
      <w:r>
        <w:rPr>
          <w:rFonts w:hint="eastAsia" w:ascii="宋体" w:hAnsi="宋体"/>
          <w:b/>
          <w:color w:val="auto"/>
          <w:sz w:val="30"/>
          <w:szCs w:val="30"/>
          <w:highlight w:val="none"/>
        </w:rPr>
        <w:t>月</w:t>
      </w:r>
    </w:p>
    <w:p w14:paraId="2708AEF1">
      <w:pPr>
        <w:spacing w:line="360" w:lineRule="auto"/>
        <w:jc w:val="center"/>
        <w:rPr>
          <w:rFonts w:ascii="宋体" w:hAnsi="宋体"/>
          <w:bCs/>
          <w:color w:val="auto"/>
          <w:sz w:val="30"/>
          <w:szCs w:val="30"/>
          <w:highlight w:val="none"/>
        </w:rPr>
      </w:pPr>
      <w:r>
        <w:rPr>
          <w:rFonts w:hint="eastAsia" w:ascii="宋体" w:hAnsi="宋体"/>
          <w:bCs/>
          <w:color w:val="auto"/>
          <w:sz w:val="44"/>
          <w:szCs w:val="44"/>
          <w:highlight w:val="none"/>
        </w:rPr>
        <w:t>目  录</w:t>
      </w:r>
    </w:p>
    <w:p w14:paraId="1703A270">
      <w:pPr>
        <w:tabs>
          <w:tab w:val="left" w:pos="8000"/>
        </w:tabs>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第一部分    投标邀请 </w:t>
      </w:r>
    </w:p>
    <w:p w14:paraId="3D256473">
      <w:pPr>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第二部分    投标人须知 </w:t>
      </w:r>
    </w:p>
    <w:p w14:paraId="240DF76C">
      <w:pPr>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第三部分    项目技术要求和有关说明 </w:t>
      </w:r>
    </w:p>
    <w:p w14:paraId="7578F6D4">
      <w:pPr>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第四部分    合同书 </w:t>
      </w:r>
    </w:p>
    <w:p w14:paraId="2B48B2C5">
      <w:pPr>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第五部分    附件  </w:t>
      </w:r>
    </w:p>
    <w:p w14:paraId="5EEDA544">
      <w:pPr>
        <w:spacing w:line="1000" w:lineRule="exact"/>
        <w:rPr>
          <w:rFonts w:ascii="宋体" w:hAnsi="宋体"/>
          <w:bCs/>
          <w:color w:val="auto"/>
          <w:sz w:val="30"/>
          <w:szCs w:val="30"/>
          <w:highlight w:val="none"/>
        </w:rPr>
      </w:pPr>
    </w:p>
    <w:p w14:paraId="7121761E">
      <w:pPr>
        <w:spacing w:line="360" w:lineRule="auto"/>
        <w:rPr>
          <w:rFonts w:ascii="宋体" w:hAnsi="宋体"/>
          <w:bCs/>
          <w:color w:val="auto"/>
          <w:sz w:val="24"/>
          <w:highlight w:val="none"/>
        </w:rPr>
      </w:pPr>
    </w:p>
    <w:p w14:paraId="0A214229">
      <w:pPr>
        <w:spacing w:line="360" w:lineRule="auto"/>
        <w:rPr>
          <w:rFonts w:ascii="宋体" w:hAnsi="宋体"/>
          <w:bCs/>
          <w:color w:val="auto"/>
          <w:sz w:val="24"/>
          <w:highlight w:val="none"/>
        </w:rPr>
      </w:pPr>
    </w:p>
    <w:p w14:paraId="68B7DEBF">
      <w:pPr>
        <w:spacing w:line="360" w:lineRule="auto"/>
        <w:rPr>
          <w:rFonts w:ascii="宋体" w:hAnsi="宋体"/>
          <w:bCs/>
          <w:color w:val="auto"/>
          <w:sz w:val="24"/>
          <w:highlight w:val="none"/>
        </w:rPr>
      </w:pPr>
    </w:p>
    <w:p w14:paraId="2640990F">
      <w:pPr>
        <w:spacing w:line="360" w:lineRule="auto"/>
        <w:rPr>
          <w:rFonts w:ascii="宋体" w:hAnsi="宋体"/>
          <w:bCs/>
          <w:color w:val="auto"/>
          <w:sz w:val="24"/>
          <w:highlight w:val="none"/>
        </w:rPr>
      </w:pPr>
    </w:p>
    <w:p w14:paraId="3D59DF1B">
      <w:pPr>
        <w:spacing w:line="360" w:lineRule="auto"/>
        <w:rPr>
          <w:rFonts w:ascii="宋体" w:hAnsi="宋体"/>
          <w:bCs/>
          <w:color w:val="auto"/>
          <w:sz w:val="24"/>
          <w:highlight w:val="none"/>
        </w:rPr>
      </w:pPr>
    </w:p>
    <w:p w14:paraId="589D19F2">
      <w:pPr>
        <w:spacing w:before="470"/>
        <w:rPr>
          <w:rFonts w:ascii="宋体" w:hAnsi="宋体"/>
          <w:bCs/>
          <w:color w:val="auto"/>
          <w:sz w:val="24"/>
          <w:highlight w:val="none"/>
        </w:rPr>
      </w:pPr>
    </w:p>
    <w:p w14:paraId="518EC947">
      <w:pPr>
        <w:spacing w:before="470"/>
        <w:rPr>
          <w:rFonts w:ascii="宋体" w:hAnsi="宋体"/>
          <w:bCs/>
          <w:color w:val="auto"/>
          <w:sz w:val="24"/>
          <w:highlight w:val="none"/>
        </w:rPr>
      </w:pPr>
    </w:p>
    <w:p w14:paraId="0A49A925">
      <w:pPr>
        <w:spacing w:line="460" w:lineRule="exact"/>
        <w:jc w:val="center"/>
        <w:rPr>
          <w:rFonts w:ascii="宋体" w:hAnsi="宋体"/>
          <w:b/>
          <w:color w:val="auto"/>
          <w:sz w:val="24"/>
          <w:highlight w:val="none"/>
        </w:rPr>
      </w:pPr>
      <w:r>
        <w:rPr>
          <w:rFonts w:hint="eastAsia" w:ascii="宋体" w:hAnsi="宋体"/>
          <w:bCs/>
          <w:color w:val="auto"/>
          <w:sz w:val="24"/>
          <w:highlight w:val="none"/>
        </w:rPr>
        <w:br w:type="page" w:clear="all"/>
      </w:r>
      <w:r>
        <w:rPr>
          <w:rFonts w:hint="eastAsia" w:ascii="宋体" w:hAnsi="宋体"/>
          <w:b/>
          <w:color w:val="auto"/>
          <w:sz w:val="28"/>
          <w:szCs w:val="28"/>
          <w:highlight w:val="none"/>
        </w:rPr>
        <w:t>第一部分</w:t>
      </w:r>
      <w:r>
        <w:rPr>
          <w:rFonts w:hint="eastAsia" w:ascii="宋体" w:hAnsi="宋体"/>
          <w:b/>
          <w:color w:val="auto"/>
          <w:sz w:val="28"/>
          <w:szCs w:val="28"/>
          <w:highlight w:val="none"/>
          <w:lang w:val="en-US" w:eastAsia="zh-CN"/>
        </w:rPr>
        <w:t>.</w:t>
      </w:r>
      <w:r>
        <w:rPr>
          <w:rFonts w:hint="eastAsia" w:ascii="宋体" w:hAnsi="宋体"/>
          <w:b/>
          <w:color w:val="auto"/>
          <w:sz w:val="28"/>
          <w:szCs w:val="28"/>
          <w:highlight w:val="none"/>
        </w:rPr>
        <w:t>投标邀请</w:t>
      </w:r>
    </w:p>
    <w:p w14:paraId="4A66F1EC">
      <w:pPr>
        <w:widowControl w:val="0"/>
        <w:spacing w:after="0" w:line="460" w:lineRule="exact"/>
        <w:ind w:firstLine="482"/>
        <w:jc w:val="both"/>
        <w:rPr>
          <w:rFonts w:ascii="宋体" w:hAnsi="宋体"/>
          <w:bCs/>
          <w:color w:val="auto"/>
          <w:sz w:val="24"/>
          <w:szCs w:val="20"/>
          <w:highlight w:val="none"/>
        </w:rPr>
      </w:pPr>
      <w:r>
        <w:rPr>
          <w:rFonts w:hint="eastAsia" w:ascii="宋体" w:hAnsi="宋体"/>
          <w:b/>
          <w:color w:val="auto"/>
          <w:sz w:val="24"/>
          <w:szCs w:val="20"/>
          <w:highlight w:val="none"/>
        </w:rPr>
        <w:t>江苏宏翔工程造价咨询有限公司</w:t>
      </w:r>
      <w:r>
        <w:rPr>
          <w:rFonts w:hint="eastAsia" w:ascii="宋体" w:hAnsi="宋体"/>
          <w:bCs/>
          <w:color w:val="auto"/>
          <w:sz w:val="24"/>
          <w:szCs w:val="20"/>
          <w:highlight w:val="none"/>
        </w:rPr>
        <w:t>受</w:t>
      </w:r>
      <w:r>
        <w:rPr>
          <w:rFonts w:hint="eastAsia" w:ascii="宋体" w:hAnsi="宋体"/>
          <w:b/>
          <w:color w:val="auto"/>
          <w:sz w:val="24"/>
          <w:szCs w:val="20"/>
          <w:highlight w:val="none"/>
        </w:rPr>
        <w:t>无锡市检验检测认证研究院</w:t>
      </w:r>
      <w:r>
        <w:rPr>
          <w:rFonts w:hint="eastAsia" w:ascii="宋体" w:hAnsi="宋体"/>
          <w:bCs/>
          <w:color w:val="auto"/>
          <w:sz w:val="24"/>
          <w:szCs w:val="20"/>
          <w:highlight w:val="none"/>
        </w:rPr>
        <w:t>的委托</w:t>
      </w:r>
      <w:r>
        <w:rPr>
          <w:rFonts w:hint="eastAsia" w:ascii="宋体" w:hAnsi="宋体"/>
          <w:b/>
          <w:color w:val="auto"/>
          <w:sz w:val="24"/>
          <w:szCs w:val="20"/>
          <w:highlight w:val="none"/>
        </w:rPr>
        <w:t>，</w:t>
      </w:r>
      <w:r>
        <w:rPr>
          <w:rFonts w:hint="eastAsia" w:ascii="宋体" w:hAnsi="宋体"/>
          <w:bCs/>
          <w:color w:val="auto"/>
          <w:sz w:val="24"/>
          <w:szCs w:val="20"/>
          <w:highlight w:val="none"/>
        </w:rPr>
        <w:t>就</w:t>
      </w:r>
      <w:r>
        <w:rPr>
          <w:rFonts w:hint="eastAsia" w:ascii="宋体" w:hAnsi="宋体"/>
          <w:b/>
          <w:color w:val="auto"/>
          <w:sz w:val="24"/>
          <w:szCs w:val="20"/>
          <w:highlight w:val="none"/>
          <w:lang w:eastAsia="zh-CN"/>
        </w:rPr>
        <w:t>克组砝码自动检定装置等一批力学设备采购项目</w:t>
      </w:r>
      <w:r>
        <w:rPr>
          <w:rFonts w:hint="eastAsia" w:ascii="宋体" w:hAnsi="宋体"/>
          <w:bCs/>
          <w:color w:val="auto"/>
          <w:sz w:val="24"/>
          <w:szCs w:val="20"/>
          <w:highlight w:val="none"/>
        </w:rPr>
        <w:t>进行公开招标，欢迎你单位参加投标并提请注意下列附表中的相关事项：</w:t>
      </w:r>
    </w:p>
    <w:tbl>
      <w:tblPr>
        <w:tblStyle w:val="36"/>
        <w:tblW w:w="10046"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5"/>
        <w:gridCol w:w="9341"/>
      </w:tblGrid>
      <w:tr w14:paraId="3390B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705" w:type="dxa"/>
            <w:noWrap w:val="0"/>
            <w:vAlign w:val="center"/>
          </w:tcPr>
          <w:p w14:paraId="4B293782">
            <w:pPr>
              <w:spacing w:after="0" w:line="460" w:lineRule="exact"/>
              <w:jc w:val="center"/>
              <w:rPr>
                <w:rFonts w:ascii="宋体" w:hAnsi="宋体"/>
                <w:bCs/>
                <w:color w:val="auto"/>
                <w:sz w:val="24"/>
                <w:highlight w:val="none"/>
              </w:rPr>
            </w:pPr>
            <w:r>
              <w:rPr>
                <w:rFonts w:hint="eastAsia" w:ascii="宋体" w:hAnsi="宋体"/>
                <w:bCs/>
                <w:color w:val="auto"/>
                <w:sz w:val="24"/>
                <w:highlight w:val="none"/>
              </w:rPr>
              <w:t>序号</w:t>
            </w:r>
          </w:p>
        </w:tc>
        <w:tc>
          <w:tcPr>
            <w:tcW w:w="9341" w:type="dxa"/>
            <w:noWrap w:val="0"/>
            <w:vAlign w:val="center"/>
          </w:tcPr>
          <w:p w14:paraId="30A794E3">
            <w:pPr>
              <w:spacing w:after="0" w:line="460" w:lineRule="exact"/>
              <w:jc w:val="center"/>
              <w:rPr>
                <w:rFonts w:ascii="宋体" w:hAnsi="宋体"/>
                <w:bCs/>
                <w:color w:val="auto"/>
                <w:sz w:val="24"/>
                <w:highlight w:val="none"/>
              </w:rPr>
            </w:pPr>
            <w:r>
              <w:rPr>
                <w:rFonts w:hint="eastAsia" w:ascii="宋体" w:hAnsi="宋体"/>
                <w:bCs/>
                <w:color w:val="auto"/>
                <w:sz w:val="24"/>
                <w:highlight w:val="none"/>
              </w:rPr>
              <w:t>内    容</w:t>
            </w:r>
          </w:p>
        </w:tc>
      </w:tr>
      <w:tr w14:paraId="1BD58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2" w:hRule="atLeast"/>
        </w:trPr>
        <w:tc>
          <w:tcPr>
            <w:tcW w:w="705" w:type="dxa"/>
            <w:noWrap w:val="0"/>
            <w:vAlign w:val="center"/>
          </w:tcPr>
          <w:p w14:paraId="27E9DE58">
            <w:pPr>
              <w:spacing w:after="0" w:line="460" w:lineRule="exact"/>
              <w:jc w:val="center"/>
              <w:rPr>
                <w:rFonts w:ascii="宋体" w:hAnsi="宋体"/>
                <w:bCs/>
                <w:color w:val="auto"/>
                <w:sz w:val="24"/>
                <w:highlight w:val="none"/>
              </w:rPr>
            </w:pPr>
            <w:r>
              <w:rPr>
                <w:rFonts w:hint="eastAsia" w:ascii="宋体" w:hAnsi="宋体"/>
                <w:bCs/>
                <w:color w:val="auto"/>
                <w:sz w:val="24"/>
                <w:highlight w:val="none"/>
              </w:rPr>
              <w:t>1</w:t>
            </w:r>
          </w:p>
        </w:tc>
        <w:tc>
          <w:tcPr>
            <w:tcW w:w="9341" w:type="dxa"/>
            <w:noWrap w:val="0"/>
            <w:vAlign w:val="center"/>
          </w:tcPr>
          <w:p w14:paraId="49868DA8">
            <w:pPr>
              <w:widowControl w:val="0"/>
              <w:spacing w:after="0" w:line="460" w:lineRule="exact"/>
              <w:jc w:val="both"/>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rPr>
              <w:t>采购项目名称：</w:t>
            </w:r>
            <w:r>
              <w:rPr>
                <w:rFonts w:hint="eastAsia" w:ascii="宋体" w:hAnsi="宋体"/>
                <w:bCs/>
                <w:color w:val="auto"/>
                <w:sz w:val="24"/>
                <w:szCs w:val="20"/>
                <w:highlight w:val="none"/>
                <w:lang w:eastAsia="zh-CN"/>
              </w:rPr>
              <w:t>克组砝码自动检定装置等一批力学设备采购项目</w:t>
            </w:r>
          </w:p>
          <w:p w14:paraId="6D0BF39E">
            <w:pPr>
              <w:widowControl w:val="0"/>
              <w:spacing w:after="0" w:line="460" w:lineRule="exact"/>
              <w:jc w:val="both"/>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rPr>
              <w:t>采购项目编号：</w:t>
            </w:r>
            <w:r>
              <w:rPr>
                <w:rFonts w:hint="eastAsia" w:ascii="宋体" w:hAnsi="宋体"/>
                <w:bCs/>
                <w:color w:val="auto"/>
                <w:sz w:val="24"/>
                <w:szCs w:val="20"/>
                <w:highlight w:val="none"/>
                <w:lang w:eastAsia="zh-CN"/>
              </w:rPr>
              <w:t>JSZC-320200-HXZX-G2026-0014</w:t>
            </w:r>
          </w:p>
          <w:p w14:paraId="14A9EAE1">
            <w:pPr>
              <w:widowControl w:val="0"/>
              <w:spacing w:after="0" w:line="460" w:lineRule="exact"/>
              <w:jc w:val="both"/>
              <w:rPr>
                <w:rFonts w:ascii="宋体" w:hAnsi="宋体"/>
                <w:bCs/>
                <w:color w:val="auto"/>
                <w:sz w:val="24"/>
                <w:szCs w:val="20"/>
                <w:highlight w:val="none"/>
              </w:rPr>
            </w:pPr>
            <w:r>
              <w:rPr>
                <w:rFonts w:hint="eastAsia" w:ascii="宋体" w:hAnsi="宋体"/>
                <w:bCs/>
                <w:color w:val="auto"/>
                <w:sz w:val="24"/>
                <w:szCs w:val="20"/>
                <w:highlight w:val="none"/>
              </w:rPr>
              <w:t>采 购 人：无锡市检验检测认证研究院</w:t>
            </w:r>
          </w:p>
          <w:p w14:paraId="135006B3">
            <w:pPr>
              <w:widowControl w:val="0"/>
              <w:spacing w:after="0" w:line="460" w:lineRule="exact"/>
              <w:jc w:val="both"/>
              <w:rPr>
                <w:rFonts w:ascii="宋体" w:hAnsi="宋体"/>
                <w:bCs/>
                <w:color w:val="auto"/>
                <w:sz w:val="24"/>
                <w:highlight w:val="none"/>
              </w:rPr>
            </w:pPr>
            <w:r>
              <w:rPr>
                <w:rFonts w:hint="eastAsia" w:ascii="宋体" w:hAnsi="宋体"/>
                <w:bCs/>
                <w:color w:val="auto"/>
                <w:sz w:val="24"/>
                <w:szCs w:val="20"/>
                <w:highlight w:val="none"/>
              </w:rPr>
              <w:t>采购方式：公开招标</w:t>
            </w:r>
          </w:p>
        </w:tc>
      </w:tr>
      <w:tr w14:paraId="02F36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705" w:type="dxa"/>
            <w:noWrap w:val="0"/>
            <w:vAlign w:val="center"/>
          </w:tcPr>
          <w:p w14:paraId="0F35205A">
            <w:pPr>
              <w:spacing w:after="0" w:line="460" w:lineRule="exact"/>
              <w:jc w:val="center"/>
              <w:rPr>
                <w:rFonts w:ascii="宋体" w:hAnsi="宋体"/>
                <w:bCs/>
                <w:color w:val="auto"/>
                <w:sz w:val="24"/>
                <w:highlight w:val="none"/>
              </w:rPr>
            </w:pPr>
            <w:r>
              <w:rPr>
                <w:rFonts w:hint="eastAsia" w:ascii="宋体" w:hAnsi="宋体"/>
                <w:bCs/>
                <w:color w:val="auto"/>
                <w:sz w:val="24"/>
                <w:highlight w:val="none"/>
              </w:rPr>
              <w:t>2</w:t>
            </w:r>
          </w:p>
        </w:tc>
        <w:tc>
          <w:tcPr>
            <w:tcW w:w="9341" w:type="dxa"/>
            <w:noWrap w:val="0"/>
            <w:vAlign w:val="center"/>
          </w:tcPr>
          <w:p w14:paraId="09AF0B7F">
            <w:pPr>
              <w:widowControl w:val="0"/>
              <w:spacing w:after="0" w:line="460" w:lineRule="exact"/>
              <w:jc w:val="both"/>
              <w:rPr>
                <w:rFonts w:ascii="宋体" w:hAnsi="宋体"/>
                <w:bCs/>
                <w:color w:val="auto"/>
                <w:sz w:val="24"/>
                <w:szCs w:val="20"/>
                <w:highlight w:val="none"/>
              </w:rPr>
            </w:pPr>
            <w:r>
              <w:rPr>
                <w:rFonts w:hint="eastAsia" w:ascii="宋体" w:hAnsi="宋体"/>
                <w:bCs/>
                <w:color w:val="auto"/>
                <w:sz w:val="24"/>
                <w:szCs w:val="20"/>
                <w:highlight w:val="none"/>
              </w:rPr>
              <w:t>采购代理机构：江苏宏翔工程造价咨询有限公司</w:t>
            </w:r>
          </w:p>
          <w:p w14:paraId="36FFB28F">
            <w:pPr>
              <w:widowControl w:val="0"/>
              <w:spacing w:after="0" w:line="460" w:lineRule="exact"/>
              <w:jc w:val="both"/>
              <w:rPr>
                <w:rFonts w:ascii="宋体" w:hAnsi="宋体"/>
                <w:bCs/>
                <w:color w:val="auto"/>
                <w:sz w:val="24"/>
                <w:highlight w:val="none"/>
              </w:rPr>
            </w:pPr>
            <w:r>
              <w:rPr>
                <w:rFonts w:hint="eastAsia" w:ascii="宋体" w:hAnsi="宋体"/>
                <w:bCs/>
                <w:color w:val="auto"/>
                <w:sz w:val="24"/>
                <w:szCs w:val="20"/>
                <w:highlight w:val="none"/>
              </w:rPr>
              <w:t>地        址：无锡市滨湖区建筑西路586号建苑智汇谷5楼503室</w:t>
            </w:r>
          </w:p>
        </w:tc>
      </w:tr>
      <w:tr w14:paraId="4F89A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05" w:type="dxa"/>
            <w:noWrap w:val="0"/>
            <w:vAlign w:val="center"/>
          </w:tcPr>
          <w:p w14:paraId="057ED1B8">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3</w:t>
            </w:r>
          </w:p>
        </w:tc>
        <w:tc>
          <w:tcPr>
            <w:tcW w:w="9341" w:type="dxa"/>
            <w:noWrap w:val="0"/>
            <w:vAlign w:val="center"/>
          </w:tcPr>
          <w:p w14:paraId="4E152D71">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项目概况、要求：</w:t>
            </w:r>
          </w:p>
          <w:p w14:paraId="4E72BC3B">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1.采购内容包括：</w:t>
            </w:r>
          </w:p>
          <w:p w14:paraId="010D7408">
            <w:pPr>
              <w:numPr>
                <w:ilvl w:val="0"/>
                <w:numId w:val="0"/>
              </w:numPr>
              <w:spacing w:after="0" w:line="460" w:lineRule="exact"/>
              <w:rPr>
                <w:rFonts w:hint="default"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①克组砝码自动检定装置，1台：</w:t>
            </w:r>
            <w:r>
              <w:rPr>
                <w:rFonts w:hint="eastAsia" w:ascii="Times New Roman" w:hAnsi="Times New Roman" w:cs="宋体"/>
                <w:b w:val="0"/>
                <w:bCs/>
                <w:color w:val="auto"/>
                <w:sz w:val="24"/>
                <w:szCs w:val="22"/>
                <w:highlight w:val="none"/>
                <w:lang w:val="en-US" w:eastAsia="zh-CN" w:bidi="ar-SA"/>
              </w:rPr>
              <w:t>用于自动检定砝码；</w:t>
            </w:r>
          </w:p>
          <w:p w14:paraId="44EC15D8">
            <w:pPr>
              <w:numPr>
                <w:ilvl w:val="0"/>
                <w:numId w:val="0"/>
              </w:numPr>
              <w:spacing w:after="0" w:line="460" w:lineRule="exact"/>
              <w:rPr>
                <w:rFonts w:hint="default"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②滑行时间测量仪，1台：</w:t>
            </w:r>
            <w:r>
              <w:rPr>
                <w:rFonts w:hint="eastAsia" w:ascii="Times New Roman" w:hAnsi="Times New Roman" w:cs="宋体"/>
                <w:b w:val="0"/>
                <w:bCs/>
                <w:color w:val="auto"/>
                <w:sz w:val="24"/>
                <w:szCs w:val="22"/>
                <w:highlight w:val="none"/>
                <w:lang w:val="en-US" w:eastAsia="zh-CN" w:bidi="ar-SA"/>
              </w:rPr>
              <w:t>用于底盘测功机的检测；</w:t>
            </w:r>
          </w:p>
          <w:p w14:paraId="624BC764">
            <w:pPr>
              <w:numPr>
                <w:ilvl w:val="0"/>
                <w:numId w:val="0"/>
              </w:numPr>
              <w:spacing w:after="0" w:line="460" w:lineRule="exact"/>
              <w:rPr>
                <w:rFonts w:hint="default"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③实验室版压力表检定装置，5套：</w:t>
            </w:r>
            <w:r>
              <w:rPr>
                <w:rFonts w:hint="eastAsia" w:ascii="Times New Roman" w:hAnsi="Times New Roman" w:cs="宋体"/>
                <w:b w:val="0"/>
                <w:bCs/>
                <w:color w:val="auto"/>
                <w:sz w:val="24"/>
                <w:szCs w:val="22"/>
                <w:highlight w:val="none"/>
                <w:lang w:val="en-US" w:eastAsia="zh-CN" w:bidi="ar-SA"/>
              </w:rPr>
              <w:t>用于多量化压力表的检测；</w:t>
            </w:r>
          </w:p>
          <w:p w14:paraId="6427825C">
            <w:pPr>
              <w:numPr>
                <w:ilvl w:val="0"/>
                <w:numId w:val="0"/>
              </w:numPr>
              <w:spacing w:after="0" w:line="460" w:lineRule="exact"/>
              <w:rPr>
                <w:rFonts w:hint="default"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④压力发生器，2台</w:t>
            </w:r>
            <w:r>
              <w:rPr>
                <w:rFonts w:hint="eastAsia" w:ascii="Times New Roman" w:hAnsi="Times New Roman" w:cs="宋体"/>
                <w:b w:val="0"/>
                <w:bCs/>
                <w:color w:val="auto"/>
                <w:sz w:val="24"/>
                <w:szCs w:val="22"/>
                <w:highlight w:val="none"/>
                <w:lang w:val="en-US" w:eastAsia="zh-CN" w:bidi="ar-SA"/>
              </w:rPr>
              <w:t>：用于多量化压力表的检测；</w:t>
            </w:r>
          </w:p>
          <w:p w14:paraId="090DDB7E">
            <w:pPr>
              <w:numPr>
                <w:ilvl w:val="0"/>
                <w:numId w:val="0"/>
              </w:numPr>
              <w:spacing w:after="0" w:line="460" w:lineRule="exact"/>
              <w:rPr>
                <w:rFonts w:hint="default"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⑤</w:t>
            </w:r>
            <w:r>
              <w:rPr>
                <w:rFonts w:hint="eastAsia" w:ascii="Times New Roman" w:hAnsi="Times New Roman" w:eastAsia="宋体" w:cs="宋体"/>
                <w:b w:val="0"/>
                <w:bCs/>
                <w:color w:val="auto"/>
                <w:sz w:val="24"/>
                <w:szCs w:val="22"/>
                <w:highlight w:val="none"/>
                <w:lang w:val="en-US" w:eastAsia="zh-CN" w:bidi="ar-SA"/>
              </w:rPr>
              <w:t>隔膜压力表工装</w:t>
            </w:r>
            <w:r>
              <w:rPr>
                <w:rFonts w:hint="eastAsia" w:ascii="Times New Roman" w:hAnsi="Times New Roman" w:cs="宋体"/>
                <w:b w:val="0"/>
                <w:bCs/>
                <w:color w:val="auto"/>
                <w:sz w:val="24"/>
                <w:szCs w:val="22"/>
                <w:highlight w:val="none"/>
                <w:lang w:val="en-US" w:eastAsia="zh-CN" w:bidi="ar-SA"/>
              </w:rPr>
              <w:t>，</w:t>
            </w:r>
            <w:r>
              <w:rPr>
                <w:rFonts w:hint="eastAsia" w:ascii="Times New Roman" w:hAnsi="Times New Roman" w:eastAsia="宋体" w:cs="宋体"/>
                <w:b w:val="0"/>
                <w:bCs/>
                <w:color w:val="auto"/>
                <w:sz w:val="24"/>
                <w:szCs w:val="22"/>
                <w:highlight w:val="none"/>
                <w:lang w:val="en-US" w:eastAsia="zh-CN" w:bidi="ar-SA"/>
              </w:rPr>
              <w:t>3台</w:t>
            </w:r>
            <w:r>
              <w:rPr>
                <w:rFonts w:hint="eastAsia" w:ascii="Times New Roman" w:hAnsi="Times New Roman" w:cs="宋体"/>
                <w:b w:val="0"/>
                <w:bCs/>
                <w:color w:val="auto"/>
                <w:sz w:val="24"/>
                <w:szCs w:val="22"/>
                <w:highlight w:val="none"/>
                <w:lang w:val="en-US" w:eastAsia="zh-CN" w:bidi="ar-SA"/>
              </w:rPr>
              <w:t>：用于隔膜压力表的检测；</w:t>
            </w:r>
          </w:p>
          <w:p w14:paraId="44B3A2FF">
            <w:pPr>
              <w:numPr>
                <w:ilvl w:val="0"/>
                <w:numId w:val="0"/>
              </w:numPr>
              <w:spacing w:after="0" w:line="460" w:lineRule="exact"/>
              <w:rPr>
                <w:rFonts w:hint="default"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⑥</w:t>
            </w:r>
            <w:r>
              <w:rPr>
                <w:rFonts w:hint="eastAsia" w:ascii="Times New Roman" w:hAnsi="Times New Roman" w:eastAsia="宋体" w:cs="宋体"/>
                <w:b w:val="0"/>
                <w:bCs/>
                <w:color w:val="auto"/>
                <w:sz w:val="24"/>
                <w:szCs w:val="22"/>
                <w:highlight w:val="none"/>
                <w:lang w:val="en-US" w:eastAsia="zh-CN" w:bidi="ar-SA"/>
              </w:rPr>
              <w:t>便携式压力表检定装置</w:t>
            </w:r>
            <w:r>
              <w:rPr>
                <w:rFonts w:hint="eastAsia" w:ascii="Times New Roman" w:hAnsi="Times New Roman" w:cs="宋体"/>
                <w:b w:val="0"/>
                <w:bCs/>
                <w:color w:val="auto"/>
                <w:sz w:val="24"/>
                <w:szCs w:val="22"/>
                <w:highlight w:val="none"/>
                <w:lang w:val="en-US" w:eastAsia="zh-CN" w:bidi="ar-SA"/>
              </w:rPr>
              <w:t>，</w:t>
            </w:r>
            <w:r>
              <w:rPr>
                <w:rFonts w:hint="eastAsia" w:ascii="Times New Roman" w:hAnsi="Times New Roman" w:eastAsia="宋体" w:cs="宋体"/>
                <w:b w:val="0"/>
                <w:bCs/>
                <w:color w:val="auto"/>
                <w:sz w:val="24"/>
                <w:szCs w:val="22"/>
                <w:highlight w:val="none"/>
                <w:lang w:val="en-US" w:eastAsia="zh-CN" w:bidi="ar-SA"/>
              </w:rPr>
              <w:t>3套</w:t>
            </w:r>
            <w:r>
              <w:rPr>
                <w:rFonts w:hint="eastAsia" w:ascii="Times New Roman" w:hAnsi="Times New Roman" w:cs="宋体"/>
                <w:b w:val="0"/>
                <w:bCs/>
                <w:color w:val="auto"/>
                <w:sz w:val="24"/>
                <w:szCs w:val="22"/>
                <w:highlight w:val="none"/>
                <w:lang w:val="en-US" w:eastAsia="zh-CN" w:bidi="ar-SA"/>
              </w:rPr>
              <w:t>：用于现场压力表的检测。</w:t>
            </w:r>
          </w:p>
          <w:p w14:paraId="59E9AE07">
            <w:pPr>
              <w:spacing w:after="0" w:line="460" w:lineRule="exact"/>
              <w:rPr>
                <w:rFonts w:hint="eastAsia" w:ascii="宋体" w:hAnsi="宋体"/>
                <w:bCs/>
                <w:color w:val="auto"/>
                <w:sz w:val="24"/>
                <w:highlight w:val="none"/>
                <w:lang w:val="zh-CN" w:eastAsia="zh-CN"/>
              </w:rPr>
            </w:pPr>
            <w:r>
              <w:rPr>
                <w:rFonts w:hint="eastAsia" w:ascii="宋体" w:hAnsi="宋体"/>
                <w:bCs/>
                <w:color w:val="auto"/>
                <w:sz w:val="24"/>
                <w:highlight w:val="none"/>
                <w:lang w:val="zh-CN" w:eastAsia="zh-CN"/>
              </w:rPr>
              <w:t>2.交货期：</w:t>
            </w:r>
            <w:r>
              <w:rPr>
                <w:rFonts w:hint="eastAsia" w:ascii="宋体" w:hAnsi="宋体"/>
                <w:bCs/>
                <w:color w:val="auto"/>
                <w:sz w:val="24"/>
                <w:highlight w:val="none"/>
                <w:lang w:val="zh-CN"/>
              </w:rPr>
              <w:t>合同签订生效后6个月内，完成供货、安装、调试，交付买方使用。</w:t>
            </w:r>
          </w:p>
          <w:p w14:paraId="478BA5F6">
            <w:pPr>
              <w:spacing w:after="0" w:line="460" w:lineRule="exact"/>
              <w:rPr>
                <w:rFonts w:hint="eastAsia" w:ascii="宋体" w:hAnsi="宋体"/>
                <w:bCs/>
                <w:color w:val="auto"/>
                <w:sz w:val="24"/>
                <w:highlight w:val="none"/>
                <w:lang w:val="zh-CN" w:eastAsia="zh-CN"/>
              </w:rPr>
            </w:pPr>
            <w:r>
              <w:rPr>
                <w:rFonts w:hint="eastAsia" w:ascii="宋体" w:hAnsi="宋体"/>
                <w:bCs/>
                <w:color w:val="auto"/>
                <w:sz w:val="24"/>
                <w:highlight w:val="none"/>
                <w:lang w:val="zh-CN" w:eastAsia="zh-CN"/>
              </w:rPr>
              <w:t>3.质量标准：合格。</w:t>
            </w:r>
          </w:p>
          <w:p w14:paraId="4682FF65">
            <w:pPr>
              <w:spacing w:after="0" w:line="460" w:lineRule="exact"/>
              <w:rPr>
                <w:rFonts w:hint="eastAsia" w:ascii="宋体" w:hAnsi="宋体"/>
                <w:bCs/>
                <w:color w:val="auto"/>
                <w:sz w:val="24"/>
                <w:highlight w:val="none"/>
                <w:lang w:val="zh-CN" w:eastAsia="zh-CN"/>
              </w:rPr>
            </w:pPr>
            <w:r>
              <w:rPr>
                <w:rFonts w:hint="eastAsia" w:ascii="宋体" w:hAnsi="宋体"/>
                <w:bCs/>
                <w:color w:val="auto"/>
                <w:sz w:val="24"/>
                <w:highlight w:val="none"/>
                <w:lang w:val="zh-CN" w:eastAsia="zh-CN"/>
              </w:rPr>
              <w:t>4.质保期：</w:t>
            </w:r>
            <w:r>
              <w:rPr>
                <w:rFonts w:hint="eastAsia" w:ascii="宋体" w:hAnsi="宋体"/>
                <w:bCs/>
                <w:color w:val="auto"/>
                <w:sz w:val="24"/>
                <w:highlight w:val="none"/>
              </w:rPr>
              <w:t>1年（自终验收双方签署终验收报告之日起开始计算）。</w:t>
            </w:r>
          </w:p>
          <w:p w14:paraId="15C3ED4A">
            <w:pPr>
              <w:spacing w:after="0" w:line="460" w:lineRule="exact"/>
              <w:rPr>
                <w:rFonts w:hint="eastAsia" w:ascii="宋体" w:hAnsi="宋体"/>
                <w:bCs/>
                <w:color w:val="auto"/>
                <w:sz w:val="24"/>
                <w:highlight w:val="none"/>
                <w:lang w:val="zh-CN" w:eastAsia="zh-CN"/>
              </w:rPr>
            </w:pPr>
            <w:r>
              <w:rPr>
                <w:rFonts w:hint="eastAsia" w:ascii="宋体" w:hAnsi="宋体"/>
                <w:bCs/>
                <w:color w:val="auto"/>
                <w:sz w:val="24"/>
                <w:highlight w:val="none"/>
                <w:lang w:val="zh-CN" w:eastAsia="zh-CN"/>
              </w:rPr>
              <w:t>5.本项目采购预算为：</w:t>
            </w:r>
            <w:r>
              <w:rPr>
                <w:rFonts w:hint="eastAsia" w:ascii="宋体" w:hAnsi="宋体"/>
                <w:bCs/>
                <w:color w:val="auto"/>
                <w:sz w:val="24"/>
                <w:highlight w:val="none"/>
                <w:lang w:val="en-US" w:eastAsia="zh-CN"/>
              </w:rPr>
              <w:t>165.41</w:t>
            </w:r>
            <w:r>
              <w:rPr>
                <w:rFonts w:hint="eastAsia" w:ascii="宋体" w:hAnsi="宋体"/>
                <w:bCs/>
                <w:color w:val="auto"/>
                <w:sz w:val="24"/>
                <w:highlight w:val="none"/>
                <w:lang w:val="zh-CN" w:eastAsia="zh-CN"/>
              </w:rPr>
              <w:t>万元；</w:t>
            </w:r>
          </w:p>
          <w:p w14:paraId="62DFB27F">
            <w:pPr>
              <w:numPr>
                <w:ilvl w:val="0"/>
                <w:numId w:val="0"/>
              </w:numPr>
              <w:spacing w:after="0" w:line="460" w:lineRule="exact"/>
              <w:rPr>
                <w:rFonts w:hint="eastAsia" w:ascii="Times New Roman" w:hAnsi="Times New Roman" w:eastAsia="宋体" w:cs="宋体"/>
                <w:b w:val="0"/>
                <w:bCs/>
                <w:color w:val="auto"/>
                <w:sz w:val="24"/>
                <w:szCs w:val="22"/>
                <w:highlight w:val="none"/>
                <w:lang w:val="zh-CN" w:eastAsia="zh-CN" w:bidi="ar-SA"/>
              </w:rPr>
            </w:pPr>
            <w:r>
              <w:rPr>
                <w:rFonts w:hint="eastAsia" w:ascii="Times New Roman" w:hAnsi="Times New Roman" w:eastAsia="宋体" w:cs="宋体"/>
                <w:b w:val="0"/>
                <w:bCs/>
                <w:color w:val="auto"/>
                <w:sz w:val="24"/>
                <w:szCs w:val="22"/>
                <w:highlight w:val="none"/>
                <w:lang w:val="zh-CN" w:eastAsia="zh-CN" w:bidi="ar-SA"/>
              </w:rPr>
              <w:t>6</w:t>
            </w:r>
            <w:r>
              <w:rPr>
                <w:rFonts w:hint="eastAsia" w:ascii="宋体" w:hAnsi="宋体"/>
                <w:bCs/>
                <w:color w:val="auto"/>
                <w:sz w:val="24"/>
                <w:highlight w:val="none"/>
                <w:lang w:val="zh-CN" w:eastAsia="zh-CN"/>
              </w:rPr>
              <w:t>.</w:t>
            </w:r>
            <w:r>
              <w:rPr>
                <w:rFonts w:hint="eastAsia" w:ascii="Times New Roman" w:hAnsi="Times New Roman" w:eastAsia="宋体" w:cs="宋体"/>
                <w:b w:val="0"/>
                <w:bCs/>
                <w:color w:val="auto"/>
                <w:sz w:val="24"/>
                <w:szCs w:val="22"/>
                <w:highlight w:val="none"/>
                <w:lang w:val="zh-CN" w:eastAsia="zh-CN" w:bidi="ar-SA"/>
              </w:rPr>
              <w:t>本项目最高限价为：</w:t>
            </w:r>
            <w:r>
              <w:rPr>
                <w:rFonts w:hint="eastAsia" w:ascii="宋体" w:hAnsi="宋体"/>
                <w:bCs/>
                <w:color w:val="auto"/>
                <w:sz w:val="24"/>
                <w:highlight w:val="none"/>
                <w:lang w:val="en-US" w:eastAsia="zh-CN"/>
              </w:rPr>
              <w:t>165.41</w:t>
            </w:r>
            <w:r>
              <w:rPr>
                <w:rFonts w:hint="eastAsia" w:ascii="Times New Roman" w:hAnsi="Times New Roman" w:eastAsia="宋体" w:cs="宋体"/>
                <w:b w:val="0"/>
                <w:bCs/>
                <w:color w:val="auto"/>
                <w:sz w:val="24"/>
                <w:szCs w:val="22"/>
                <w:highlight w:val="none"/>
                <w:lang w:val="zh-CN" w:eastAsia="zh-CN" w:bidi="ar-SA"/>
              </w:rPr>
              <w:t>万元</w:t>
            </w:r>
            <w:r>
              <w:rPr>
                <w:rFonts w:hint="eastAsia" w:ascii="Times New Roman" w:hAnsi="Times New Roman" w:eastAsia="宋体" w:cs="宋体"/>
                <w:b w:val="0"/>
                <w:bCs/>
                <w:color w:val="auto"/>
                <w:sz w:val="24"/>
                <w:szCs w:val="22"/>
                <w:highlight w:val="none"/>
                <w:lang w:val="en-US" w:eastAsia="zh-CN" w:bidi="ar-SA"/>
              </w:rPr>
              <w:t>，</w:t>
            </w:r>
            <w:r>
              <w:rPr>
                <w:rFonts w:hint="eastAsia" w:ascii="Times New Roman" w:hAnsi="Times New Roman" w:eastAsia="宋体" w:cs="宋体"/>
                <w:b w:val="0"/>
                <w:bCs/>
                <w:color w:val="auto"/>
                <w:sz w:val="24"/>
                <w:szCs w:val="22"/>
                <w:highlight w:val="none"/>
                <w:lang w:val="zh-CN" w:eastAsia="zh-CN" w:bidi="ar-SA"/>
              </w:rPr>
              <w:t>投标报价高于最高限价的作为无效投标处理</w:t>
            </w:r>
            <w:r>
              <w:rPr>
                <w:rFonts w:hint="eastAsia" w:ascii="Times New Roman" w:hAnsi="Times New Roman" w:eastAsia="宋体" w:cs="宋体"/>
                <w:b w:val="0"/>
                <w:bCs/>
                <w:color w:val="auto"/>
                <w:sz w:val="24"/>
                <w:szCs w:val="22"/>
                <w:highlight w:val="none"/>
                <w:lang w:val="en-US" w:eastAsia="zh-CN" w:bidi="ar-SA"/>
              </w:rPr>
              <w:t>。</w:t>
            </w:r>
            <w:r>
              <w:rPr>
                <w:rFonts w:hint="eastAsia" w:ascii="Times New Roman" w:hAnsi="Times New Roman" w:eastAsia="宋体" w:cs="宋体"/>
                <w:b w:val="0"/>
                <w:bCs/>
                <w:color w:val="auto"/>
                <w:sz w:val="24"/>
                <w:szCs w:val="22"/>
                <w:highlight w:val="none"/>
                <w:lang w:val="zh-CN" w:eastAsia="zh-CN" w:bidi="ar-SA"/>
              </w:rPr>
              <w:t>（</w:t>
            </w:r>
            <w:r>
              <w:rPr>
                <w:rFonts w:hint="eastAsia" w:ascii="Times New Roman" w:hAnsi="Times New Roman" w:eastAsia="宋体" w:cs="宋体"/>
                <w:b/>
                <w:bCs w:val="0"/>
                <w:color w:val="auto"/>
                <w:sz w:val="24"/>
                <w:szCs w:val="22"/>
                <w:highlight w:val="none"/>
                <w:lang w:val="en-US" w:eastAsia="zh-CN" w:bidi="ar-SA"/>
              </w:rPr>
              <w:t>克组砝码自动检定装置</w:t>
            </w:r>
            <w:r>
              <w:rPr>
                <w:rFonts w:hint="eastAsia" w:ascii="Times New Roman" w:hAnsi="Times New Roman" w:eastAsia="宋体" w:cs="宋体"/>
                <w:b/>
                <w:bCs w:val="0"/>
                <w:color w:val="auto"/>
                <w:sz w:val="24"/>
                <w:szCs w:val="22"/>
                <w:highlight w:val="none"/>
                <w:lang w:val="zh-CN" w:eastAsia="zh-CN" w:bidi="ar-SA"/>
              </w:rPr>
              <w:t>：</w:t>
            </w:r>
            <w:r>
              <w:rPr>
                <w:rFonts w:hint="eastAsia" w:ascii="Times New Roman" w:hAnsi="Times New Roman" w:cs="宋体"/>
                <w:b w:val="0"/>
                <w:bCs/>
                <w:color w:val="auto"/>
                <w:sz w:val="24"/>
                <w:szCs w:val="22"/>
                <w:highlight w:val="none"/>
                <w:lang w:val="en-US" w:eastAsia="zh-CN" w:bidi="ar-SA"/>
              </w:rPr>
              <w:t>80.00</w:t>
            </w:r>
            <w:r>
              <w:rPr>
                <w:rFonts w:hint="eastAsia" w:ascii="Times New Roman" w:hAnsi="Times New Roman" w:eastAsia="宋体" w:cs="宋体"/>
                <w:b w:val="0"/>
                <w:bCs/>
                <w:color w:val="auto"/>
                <w:sz w:val="24"/>
                <w:szCs w:val="22"/>
                <w:highlight w:val="none"/>
                <w:lang w:val="zh-CN" w:eastAsia="zh-CN" w:bidi="ar-SA"/>
              </w:rPr>
              <w:t>万元；</w:t>
            </w:r>
            <w:r>
              <w:rPr>
                <w:rFonts w:hint="eastAsia" w:ascii="Times New Roman" w:hAnsi="Times New Roman" w:eastAsia="宋体" w:cs="宋体"/>
                <w:b/>
                <w:bCs w:val="0"/>
                <w:color w:val="auto"/>
                <w:sz w:val="24"/>
                <w:szCs w:val="22"/>
                <w:highlight w:val="none"/>
                <w:lang w:val="zh-CN" w:eastAsia="zh-CN" w:bidi="ar-SA"/>
              </w:rPr>
              <w:t>滑行时间测量仪：</w:t>
            </w:r>
            <w:r>
              <w:rPr>
                <w:rFonts w:hint="eastAsia" w:ascii="Times New Roman" w:hAnsi="Times New Roman" w:cs="宋体"/>
                <w:b w:val="0"/>
                <w:bCs/>
                <w:color w:val="auto"/>
                <w:sz w:val="24"/>
                <w:szCs w:val="22"/>
                <w:highlight w:val="none"/>
                <w:lang w:val="en-US" w:eastAsia="zh-CN" w:bidi="ar-SA"/>
              </w:rPr>
              <w:t>30.00</w:t>
            </w:r>
            <w:r>
              <w:rPr>
                <w:rFonts w:hint="eastAsia" w:ascii="Times New Roman" w:hAnsi="Times New Roman" w:eastAsia="宋体" w:cs="宋体"/>
                <w:b w:val="0"/>
                <w:bCs/>
                <w:color w:val="auto"/>
                <w:sz w:val="24"/>
                <w:szCs w:val="22"/>
                <w:highlight w:val="none"/>
                <w:lang w:val="zh-CN" w:eastAsia="zh-CN" w:bidi="ar-SA"/>
              </w:rPr>
              <w:t>万元；</w:t>
            </w:r>
            <w:r>
              <w:rPr>
                <w:rFonts w:hint="eastAsia" w:ascii="宋体" w:hAnsi="宋体"/>
                <w:b/>
                <w:bCs w:val="0"/>
                <w:color w:val="auto"/>
                <w:sz w:val="24"/>
                <w:highlight w:val="none"/>
              </w:rPr>
              <w:t>实验室版压力</w:t>
            </w:r>
            <w:r>
              <w:rPr>
                <w:rFonts w:hint="eastAsia" w:ascii="宋体" w:hAnsi="宋体"/>
                <w:b/>
                <w:bCs w:val="0"/>
                <w:color w:val="auto"/>
                <w:sz w:val="24"/>
                <w:highlight w:val="none"/>
                <w:lang w:val="en-US" w:eastAsia="zh-CN"/>
              </w:rPr>
              <w:t>表</w:t>
            </w:r>
            <w:r>
              <w:rPr>
                <w:rFonts w:hint="eastAsia" w:ascii="宋体" w:hAnsi="宋体"/>
                <w:b/>
                <w:bCs w:val="0"/>
                <w:color w:val="auto"/>
                <w:sz w:val="24"/>
                <w:highlight w:val="none"/>
              </w:rPr>
              <w:t>检定装置</w:t>
            </w:r>
            <w:r>
              <w:rPr>
                <w:rFonts w:hint="eastAsia" w:ascii="Times New Roman" w:hAnsi="Times New Roman" w:eastAsia="宋体" w:cs="宋体"/>
                <w:b/>
                <w:bCs w:val="0"/>
                <w:color w:val="auto"/>
                <w:sz w:val="24"/>
                <w:szCs w:val="22"/>
                <w:highlight w:val="none"/>
                <w:lang w:val="zh-CN" w:eastAsia="zh-CN" w:bidi="ar-SA"/>
              </w:rPr>
              <w:t>：</w:t>
            </w:r>
            <w:r>
              <w:rPr>
                <w:rFonts w:hint="eastAsia" w:ascii="Times New Roman" w:hAnsi="Times New Roman" w:cs="宋体"/>
                <w:b w:val="0"/>
                <w:bCs/>
                <w:color w:val="auto"/>
                <w:sz w:val="24"/>
                <w:szCs w:val="22"/>
                <w:highlight w:val="none"/>
                <w:lang w:val="en-US" w:eastAsia="zh-CN" w:bidi="ar-SA"/>
              </w:rPr>
              <w:t>24.50</w:t>
            </w:r>
            <w:r>
              <w:rPr>
                <w:rFonts w:hint="eastAsia" w:ascii="Times New Roman" w:hAnsi="Times New Roman" w:eastAsia="宋体" w:cs="宋体"/>
                <w:b w:val="0"/>
                <w:bCs/>
                <w:color w:val="auto"/>
                <w:sz w:val="24"/>
                <w:szCs w:val="22"/>
                <w:highlight w:val="none"/>
                <w:lang w:val="zh-CN" w:eastAsia="zh-CN" w:bidi="ar-SA"/>
              </w:rPr>
              <w:t>万元；</w:t>
            </w:r>
            <w:r>
              <w:rPr>
                <w:rFonts w:hint="eastAsia" w:ascii="Times New Roman" w:hAnsi="Times New Roman" w:eastAsia="宋体" w:cs="宋体"/>
                <w:b/>
                <w:bCs w:val="0"/>
                <w:color w:val="auto"/>
                <w:sz w:val="24"/>
                <w:szCs w:val="22"/>
                <w:highlight w:val="none"/>
                <w:lang w:val="zh-CN" w:eastAsia="zh-CN" w:bidi="ar-SA"/>
              </w:rPr>
              <w:t>压力发生器：</w:t>
            </w:r>
            <w:r>
              <w:rPr>
                <w:rFonts w:hint="eastAsia" w:ascii="Times New Roman" w:hAnsi="Times New Roman" w:cs="宋体"/>
                <w:b w:val="0"/>
                <w:bCs/>
                <w:color w:val="auto"/>
                <w:sz w:val="24"/>
                <w:szCs w:val="22"/>
                <w:highlight w:val="none"/>
                <w:lang w:val="en-US" w:eastAsia="zh-CN" w:bidi="ar-SA"/>
              </w:rPr>
              <w:t>9.76</w:t>
            </w:r>
            <w:r>
              <w:rPr>
                <w:rFonts w:hint="eastAsia" w:ascii="Times New Roman" w:hAnsi="Times New Roman" w:eastAsia="宋体" w:cs="宋体"/>
                <w:b w:val="0"/>
                <w:bCs/>
                <w:color w:val="auto"/>
                <w:sz w:val="24"/>
                <w:szCs w:val="22"/>
                <w:highlight w:val="none"/>
                <w:lang w:val="zh-CN" w:eastAsia="zh-CN" w:bidi="ar-SA"/>
              </w:rPr>
              <w:t>万元</w:t>
            </w:r>
            <w:r>
              <w:rPr>
                <w:rFonts w:hint="eastAsia" w:ascii="Times New Roman" w:hAnsi="Times New Roman" w:eastAsia="宋体" w:cs="宋体"/>
                <w:b w:val="0"/>
                <w:bCs/>
                <w:color w:val="auto"/>
                <w:sz w:val="24"/>
                <w:szCs w:val="22"/>
                <w:highlight w:val="none"/>
                <w:lang w:val="en-US" w:eastAsia="zh-CN" w:bidi="ar-SA"/>
              </w:rPr>
              <w:t>；</w:t>
            </w:r>
            <w:r>
              <w:rPr>
                <w:rFonts w:hint="eastAsia" w:ascii="Times New Roman" w:hAnsi="Times New Roman" w:eastAsia="宋体" w:cs="宋体"/>
                <w:b/>
                <w:bCs w:val="0"/>
                <w:color w:val="auto"/>
                <w:sz w:val="24"/>
                <w:szCs w:val="22"/>
                <w:highlight w:val="none"/>
                <w:lang w:val="zh-CN" w:eastAsia="zh-CN" w:bidi="ar-SA"/>
              </w:rPr>
              <w:t>隔膜压力表工装：</w:t>
            </w:r>
            <w:r>
              <w:rPr>
                <w:rFonts w:hint="eastAsia" w:ascii="Times New Roman" w:hAnsi="Times New Roman" w:cs="宋体"/>
                <w:b w:val="0"/>
                <w:bCs/>
                <w:color w:val="auto"/>
                <w:sz w:val="24"/>
                <w:szCs w:val="22"/>
                <w:highlight w:val="none"/>
                <w:lang w:val="en-US" w:eastAsia="zh-CN" w:bidi="ar-SA"/>
              </w:rPr>
              <w:t>8.85</w:t>
            </w:r>
            <w:r>
              <w:rPr>
                <w:rFonts w:hint="eastAsia" w:ascii="Times New Roman" w:hAnsi="Times New Roman" w:eastAsia="宋体" w:cs="宋体"/>
                <w:b w:val="0"/>
                <w:bCs/>
                <w:color w:val="auto"/>
                <w:sz w:val="24"/>
                <w:szCs w:val="22"/>
                <w:highlight w:val="none"/>
                <w:lang w:val="zh-CN" w:eastAsia="zh-CN" w:bidi="ar-SA"/>
              </w:rPr>
              <w:t>万元</w:t>
            </w:r>
            <w:r>
              <w:rPr>
                <w:rFonts w:hint="eastAsia" w:ascii="Times New Roman" w:hAnsi="Times New Roman" w:eastAsia="宋体" w:cs="宋体"/>
                <w:b w:val="0"/>
                <w:bCs/>
                <w:color w:val="auto"/>
                <w:sz w:val="24"/>
                <w:szCs w:val="22"/>
                <w:highlight w:val="none"/>
                <w:lang w:val="en-US" w:eastAsia="zh-CN" w:bidi="ar-SA"/>
              </w:rPr>
              <w:t>；</w:t>
            </w:r>
            <w:r>
              <w:rPr>
                <w:rFonts w:hint="eastAsia" w:ascii="Times New Roman" w:hAnsi="Times New Roman" w:eastAsia="宋体" w:cs="宋体"/>
                <w:b/>
                <w:bCs w:val="0"/>
                <w:color w:val="auto"/>
                <w:sz w:val="24"/>
                <w:szCs w:val="22"/>
                <w:highlight w:val="none"/>
                <w:lang w:val="zh-CN" w:eastAsia="zh-CN" w:bidi="ar-SA"/>
              </w:rPr>
              <w:t>便携式压力表检定装置：</w:t>
            </w:r>
            <w:r>
              <w:rPr>
                <w:rFonts w:hint="eastAsia" w:ascii="Times New Roman" w:hAnsi="Times New Roman" w:cs="宋体"/>
                <w:b w:val="0"/>
                <w:bCs/>
                <w:color w:val="auto"/>
                <w:sz w:val="24"/>
                <w:szCs w:val="22"/>
                <w:highlight w:val="none"/>
                <w:lang w:val="en-US" w:eastAsia="zh-CN" w:bidi="ar-SA"/>
              </w:rPr>
              <w:t>12.30</w:t>
            </w:r>
            <w:r>
              <w:rPr>
                <w:rFonts w:hint="eastAsia" w:ascii="Times New Roman" w:hAnsi="Times New Roman" w:eastAsia="宋体" w:cs="宋体"/>
                <w:b w:val="0"/>
                <w:bCs/>
                <w:color w:val="auto"/>
                <w:sz w:val="24"/>
                <w:szCs w:val="22"/>
                <w:highlight w:val="none"/>
                <w:lang w:val="zh-CN" w:eastAsia="zh-CN" w:bidi="ar-SA"/>
              </w:rPr>
              <w:t>万元</w:t>
            </w:r>
            <w:r>
              <w:rPr>
                <w:rFonts w:hint="eastAsia" w:ascii="Times New Roman" w:hAnsi="Times New Roman" w:eastAsia="宋体" w:cs="宋体"/>
                <w:b w:val="0"/>
                <w:bCs/>
                <w:color w:val="auto"/>
                <w:sz w:val="24"/>
                <w:szCs w:val="22"/>
                <w:highlight w:val="none"/>
                <w:lang w:val="en-US" w:eastAsia="zh-CN" w:bidi="ar-SA"/>
              </w:rPr>
              <w:t>；</w:t>
            </w:r>
            <w:r>
              <w:rPr>
                <w:rFonts w:hint="eastAsia" w:ascii="Times New Roman" w:hAnsi="Times New Roman" w:eastAsia="宋体" w:cs="宋体"/>
                <w:b w:val="0"/>
                <w:bCs/>
                <w:color w:val="auto"/>
                <w:sz w:val="24"/>
                <w:szCs w:val="22"/>
                <w:highlight w:val="none"/>
                <w:lang w:val="zh-CN" w:eastAsia="zh-CN" w:bidi="ar-SA"/>
              </w:rPr>
              <w:t>投标时</w:t>
            </w:r>
            <w:r>
              <w:rPr>
                <w:rFonts w:hint="eastAsia" w:ascii="Times New Roman" w:hAnsi="Times New Roman" w:cs="宋体"/>
                <w:b w:val="0"/>
                <w:bCs/>
                <w:color w:val="auto"/>
                <w:sz w:val="24"/>
                <w:szCs w:val="22"/>
                <w:highlight w:val="none"/>
                <w:lang w:val="en-US" w:eastAsia="zh-CN" w:bidi="ar-SA"/>
              </w:rPr>
              <w:t>每种</w:t>
            </w:r>
            <w:r>
              <w:rPr>
                <w:rFonts w:hint="eastAsia" w:ascii="Times New Roman" w:hAnsi="Times New Roman" w:eastAsia="宋体" w:cs="宋体"/>
                <w:b w:val="0"/>
                <w:bCs/>
                <w:color w:val="auto"/>
                <w:sz w:val="24"/>
                <w:szCs w:val="22"/>
                <w:highlight w:val="none"/>
                <w:lang w:val="zh-CN" w:eastAsia="zh-CN" w:bidi="ar-SA"/>
              </w:rPr>
              <w:t>设备均不得超过各自最高限价）。</w:t>
            </w:r>
          </w:p>
          <w:p w14:paraId="7E0732AC">
            <w:pPr>
              <w:numPr>
                <w:ilvl w:val="0"/>
                <w:numId w:val="0"/>
              </w:numPr>
              <w:spacing w:after="0" w:line="460" w:lineRule="exact"/>
              <w:rPr>
                <w:rFonts w:hint="eastAsia" w:ascii="Times New Roman" w:hAnsi="Times New Roman" w:eastAsia="宋体" w:cs="宋体"/>
                <w:b w:val="0"/>
                <w:bCs/>
                <w:color w:val="auto"/>
                <w:sz w:val="24"/>
                <w:szCs w:val="22"/>
                <w:highlight w:val="none"/>
                <w:lang w:val="zh-CN" w:eastAsia="zh-CN" w:bidi="ar-SA"/>
              </w:rPr>
            </w:pPr>
            <w:r>
              <w:rPr>
                <w:rFonts w:hint="eastAsia" w:ascii="Times New Roman" w:hAnsi="Times New Roman" w:eastAsia="宋体" w:cs="宋体"/>
                <w:b w:val="0"/>
                <w:bCs/>
                <w:color w:val="auto"/>
                <w:sz w:val="24"/>
                <w:szCs w:val="22"/>
                <w:highlight w:val="none"/>
                <w:lang w:val="zh-CN" w:eastAsia="zh-CN" w:bidi="ar-SA"/>
              </w:rPr>
              <w:t>7.本项目标的所属行业：工业；</w:t>
            </w:r>
          </w:p>
          <w:p w14:paraId="21A7B89A">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8.本项目是否专门面向中小企业（或监狱企业或残疾人福利性单位）：</w:t>
            </w:r>
            <w:r>
              <w:rPr>
                <w:rFonts w:hint="eastAsia" w:ascii="宋体" w:hAnsi="宋体"/>
                <w:bCs/>
                <w:color w:val="auto"/>
                <w:sz w:val="24"/>
                <w:highlight w:val="none"/>
              </w:rPr>
              <w:t>是</w:t>
            </w:r>
            <w:r>
              <w:rPr>
                <w:rFonts w:hint="eastAsia" w:ascii="宋体" w:hAnsi="宋体"/>
                <w:bCs/>
                <w:color w:val="auto"/>
                <w:sz w:val="24"/>
                <w:highlight w:val="none"/>
                <w:lang w:val="zh-CN"/>
              </w:rPr>
              <w:t>。</w:t>
            </w:r>
          </w:p>
        </w:tc>
      </w:tr>
      <w:tr w14:paraId="696E9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05" w:type="dxa"/>
            <w:noWrap w:val="0"/>
            <w:vAlign w:val="center"/>
          </w:tcPr>
          <w:p w14:paraId="1BCABD58">
            <w:pPr>
              <w:spacing w:line="460" w:lineRule="exact"/>
              <w:jc w:val="center"/>
              <w:rPr>
                <w:rFonts w:ascii="宋体" w:hAnsi="宋体"/>
                <w:bCs/>
                <w:color w:val="auto"/>
                <w:sz w:val="24"/>
                <w:highlight w:val="none"/>
              </w:rPr>
            </w:pPr>
            <w:r>
              <w:rPr>
                <w:rFonts w:hint="eastAsia" w:ascii="宋体" w:hAnsi="宋体"/>
                <w:bCs/>
                <w:color w:val="auto"/>
                <w:sz w:val="24"/>
                <w:highlight w:val="none"/>
              </w:rPr>
              <w:t>4</w:t>
            </w:r>
          </w:p>
        </w:tc>
        <w:tc>
          <w:tcPr>
            <w:tcW w:w="9341" w:type="dxa"/>
            <w:noWrap w:val="0"/>
            <w:vAlign w:val="center"/>
          </w:tcPr>
          <w:p w14:paraId="3EAA8CFF">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投标人条件：投标人参加本次政府采购活动除应当符合《中华人民共和国政府采购法》第二十二条的规定外，还必须具备以下条件：</w:t>
            </w:r>
          </w:p>
          <w:p w14:paraId="28842DBA">
            <w:pPr>
              <w:spacing w:after="0" w:line="460" w:lineRule="exact"/>
              <w:rPr>
                <w:rFonts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lang w:val="zh-CN"/>
              </w:rPr>
              <w:t>未被</w:t>
            </w:r>
            <w:r>
              <w:rPr>
                <w:rFonts w:hint="eastAsia" w:ascii="宋体" w:hAnsi="宋体"/>
                <w:bCs/>
                <w:color w:val="auto"/>
                <w:sz w:val="24"/>
                <w:highlight w:val="none"/>
              </w:rPr>
              <w:t>“</w:t>
            </w:r>
            <w:r>
              <w:rPr>
                <w:rFonts w:hint="eastAsia" w:ascii="宋体" w:hAnsi="宋体"/>
                <w:bCs/>
                <w:color w:val="auto"/>
                <w:sz w:val="24"/>
                <w:highlight w:val="none"/>
                <w:lang w:val="zh-CN"/>
              </w:rPr>
              <w:t>信用中国</w:t>
            </w:r>
            <w:r>
              <w:rPr>
                <w:rFonts w:hint="eastAsia" w:ascii="宋体" w:hAnsi="宋体"/>
                <w:bCs/>
                <w:color w:val="auto"/>
                <w:sz w:val="24"/>
                <w:highlight w:val="none"/>
              </w:rPr>
              <w:t>”</w:t>
            </w:r>
            <w:r>
              <w:rPr>
                <w:rFonts w:hint="eastAsia" w:ascii="宋体" w:hAnsi="宋体"/>
                <w:bCs/>
                <w:color w:val="auto"/>
                <w:sz w:val="24"/>
                <w:highlight w:val="none"/>
                <w:lang w:val="zh-CN"/>
              </w:rPr>
              <w:t>网站</w:t>
            </w:r>
            <w:r>
              <w:rPr>
                <w:rFonts w:hint="eastAsia" w:ascii="宋体" w:hAnsi="宋体"/>
                <w:bCs/>
                <w:color w:val="auto"/>
                <w:sz w:val="24"/>
                <w:highlight w:val="none"/>
              </w:rPr>
              <w:t>（www.creditchina.gov.cn）</w:t>
            </w:r>
            <w:r>
              <w:rPr>
                <w:rFonts w:hint="eastAsia" w:ascii="宋体" w:hAnsi="宋体"/>
                <w:bCs/>
                <w:color w:val="auto"/>
                <w:sz w:val="24"/>
                <w:highlight w:val="none"/>
                <w:lang w:val="zh-CN"/>
              </w:rPr>
              <w:t>列入失信被执行人、重大税收违法案件当事人名单、政府采购严重失信行为记录名单。</w:t>
            </w:r>
          </w:p>
          <w:p w14:paraId="0A46688C">
            <w:pPr>
              <w:spacing w:after="0" w:line="460" w:lineRule="exact"/>
              <w:rPr>
                <w:rFonts w:ascii="宋体" w:hAnsi="宋体"/>
                <w:color w:val="auto"/>
                <w:highlight w:val="none"/>
              </w:rPr>
            </w:pPr>
            <w:r>
              <w:rPr>
                <w:rFonts w:hint="eastAsia" w:ascii="宋体" w:hAnsi="宋体"/>
                <w:bCs/>
                <w:color w:val="auto"/>
                <w:sz w:val="24"/>
                <w:highlight w:val="none"/>
                <w:lang w:val="zh-CN"/>
              </w:rPr>
              <w:t xml:space="preserve">2.本项目不接受联合体投标。 </w:t>
            </w:r>
          </w:p>
        </w:tc>
      </w:tr>
      <w:tr w14:paraId="19577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705" w:type="dxa"/>
            <w:noWrap w:val="0"/>
            <w:vAlign w:val="center"/>
          </w:tcPr>
          <w:p w14:paraId="176A93FB">
            <w:pPr>
              <w:spacing w:after="0" w:line="460" w:lineRule="exact"/>
              <w:jc w:val="center"/>
              <w:rPr>
                <w:rFonts w:ascii="宋体" w:hAnsi="宋体"/>
                <w:bCs/>
                <w:color w:val="auto"/>
                <w:sz w:val="24"/>
                <w:highlight w:val="none"/>
              </w:rPr>
            </w:pPr>
            <w:r>
              <w:rPr>
                <w:rFonts w:hint="eastAsia" w:ascii="宋体" w:hAnsi="宋体"/>
                <w:bCs/>
                <w:color w:val="auto"/>
                <w:sz w:val="24"/>
                <w:highlight w:val="none"/>
              </w:rPr>
              <w:t>5</w:t>
            </w:r>
          </w:p>
        </w:tc>
        <w:tc>
          <w:tcPr>
            <w:tcW w:w="9341" w:type="dxa"/>
            <w:noWrap w:val="0"/>
            <w:vAlign w:val="center"/>
          </w:tcPr>
          <w:p w14:paraId="6FF8202E">
            <w:pPr>
              <w:spacing w:after="0" w:line="460" w:lineRule="exact"/>
              <w:rPr>
                <w:rFonts w:ascii="宋体" w:hAnsi="宋体"/>
                <w:color w:val="auto"/>
                <w:sz w:val="24"/>
                <w:highlight w:val="none"/>
              </w:rPr>
            </w:pPr>
            <w:r>
              <w:rPr>
                <w:rFonts w:hint="eastAsia" w:ascii="宋体" w:hAnsi="宋体"/>
                <w:bCs/>
                <w:color w:val="auto"/>
                <w:sz w:val="24"/>
                <w:highlight w:val="none"/>
              </w:rPr>
              <w:t>资金来源：财政资金</w:t>
            </w:r>
          </w:p>
        </w:tc>
      </w:tr>
      <w:tr w14:paraId="5B259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705" w:type="dxa"/>
            <w:noWrap w:val="0"/>
            <w:vAlign w:val="center"/>
          </w:tcPr>
          <w:p w14:paraId="66CF6FF8">
            <w:pPr>
              <w:spacing w:line="460" w:lineRule="exact"/>
              <w:jc w:val="center"/>
              <w:rPr>
                <w:rFonts w:ascii="宋体" w:hAnsi="宋体"/>
                <w:bCs/>
                <w:color w:val="auto"/>
                <w:sz w:val="24"/>
                <w:highlight w:val="none"/>
              </w:rPr>
            </w:pPr>
            <w:r>
              <w:rPr>
                <w:rFonts w:hint="eastAsia" w:ascii="宋体" w:hAnsi="宋体"/>
                <w:bCs/>
                <w:color w:val="auto"/>
                <w:sz w:val="24"/>
                <w:highlight w:val="none"/>
              </w:rPr>
              <w:t>6</w:t>
            </w:r>
          </w:p>
        </w:tc>
        <w:tc>
          <w:tcPr>
            <w:tcW w:w="9341" w:type="dxa"/>
            <w:noWrap w:val="0"/>
          </w:tcPr>
          <w:p w14:paraId="6A7F205E">
            <w:pPr>
              <w:spacing w:after="0" w:line="460" w:lineRule="exact"/>
              <w:rPr>
                <w:rFonts w:ascii="宋体" w:hAnsi="宋体"/>
                <w:b/>
                <w:color w:val="auto"/>
                <w:sz w:val="24"/>
                <w:highlight w:val="none"/>
                <w:lang w:val="zh-CN"/>
              </w:rPr>
            </w:pPr>
            <w:r>
              <w:rPr>
                <w:rFonts w:hint="eastAsia" w:ascii="宋体" w:hAnsi="宋体"/>
                <w:b/>
                <w:color w:val="auto"/>
                <w:sz w:val="24"/>
                <w:highlight w:val="none"/>
                <w:lang w:val="zh-CN"/>
              </w:rPr>
              <w:t>招标文件获取信息：</w:t>
            </w:r>
          </w:p>
          <w:p w14:paraId="7A4B0818">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1.招标文件获取期限：20</w:t>
            </w:r>
            <w:r>
              <w:rPr>
                <w:rFonts w:hint="eastAsia" w:ascii="宋体" w:hAnsi="宋体"/>
                <w:bCs/>
                <w:color w:val="auto"/>
                <w:sz w:val="24"/>
                <w:highlight w:val="none"/>
                <w:lang w:val="en-US" w:eastAsia="zh-CN"/>
              </w:rPr>
              <w:t>26</w:t>
            </w:r>
            <w:r>
              <w:rPr>
                <w:rFonts w:hint="eastAsia" w:ascii="宋体" w:hAnsi="宋体"/>
                <w:bCs/>
                <w:color w:val="auto"/>
                <w:sz w:val="24"/>
                <w:highlight w:val="none"/>
                <w:lang w:val="zh-CN"/>
              </w:rPr>
              <w:t>年</w:t>
            </w:r>
            <w:r>
              <w:rPr>
                <w:rFonts w:hint="eastAsia" w:ascii="宋体" w:hAnsi="宋体"/>
                <w:bCs/>
                <w:color w:val="auto"/>
                <w:sz w:val="24"/>
                <w:highlight w:val="none"/>
                <w:lang w:val="en-US" w:eastAsia="zh-CN"/>
              </w:rPr>
              <w:t>10</w:t>
            </w:r>
            <w:r>
              <w:rPr>
                <w:rFonts w:hint="eastAsia" w:ascii="宋体" w:hAnsi="宋体"/>
                <w:bCs/>
                <w:color w:val="auto"/>
                <w:sz w:val="24"/>
                <w:highlight w:val="none"/>
                <w:lang w:val="zh-CN"/>
              </w:rPr>
              <w:t>月</w:t>
            </w:r>
            <w:r>
              <w:rPr>
                <w:rFonts w:hint="eastAsia" w:ascii="宋体" w:hAnsi="宋体"/>
                <w:bCs/>
                <w:color w:val="auto"/>
                <w:sz w:val="24"/>
                <w:highlight w:val="none"/>
                <w:lang w:val="en-US" w:eastAsia="zh-CN"/>
              </w:rPr>
              <w:t>23</w:t>
            </w:r>
            <w:r>
              <w:rPr>
                <w:rFonts w:hint="eastAsia" w:ascii="宋体" w:hAnsi="宋体"/>
                <w:bCs/>
                <w:color w:val="auto"/>
                <w:sz w:val="24"/>
                <w:highlight w:val="none"/>
                <w:lang w:val="zh-CN"/>
              </w:rPr>
              <w:t>日至20</w:t>
            </w:r>
            <w:r>
              <w:rPr>
                <w:rFonts w:hint="eastAsia" w:ascii="宋体" w:hAnsi="宋体"/>
                <w:bCs/>
                <w:color w:val="auto"/>
                <w:sz w:val="24"/>
                <w:highlight w:val="none"/>
                <w:lang w:val="en-US" w:eastAsia="zh-CN"/>
              </w:rPr>
              <w:t>26</w:t>
            </w:r>
            <w:r>
              <w:rPr>
                <w:rFonts w:hint="eastAsia" w:ascii="宋体" w:hAnsi="宋体"/>
                <w:bCs/>
                <w:color w:val="auto"/>
                <w:sz w:val="24"/>
                <w:highlight w:val="none"/>
                <w:lang w:val="zh-CN"/>
              </w:rPr>
              <w:t>年</w:t>
            </w:r>
            <w:r>
              <w:rPr>
                <w:rFonts w:hint="eastAsia" w:ascii="宋体" w:hAnsi="宋体"/>
                <w:bCs/>
                <w:color w:val="auto"/>
                <w:sz w:val="24"/>
                <w:highlight w:val="none"/>
                <w:lang w:val="en-US" w:eastAsia="zh-CN"/>
              </w:rPr>
              <w:t>10</w:t>
            </w:r>
            <w:r>
              <w:rPr>
                <w:rFonts w:hint="eastAsia" w:ascii="宋体" w:hAnsi="宋体"/>
                <w:bCs/>
                <w:color w:val="auto"/>
                <w:sz w:val="24"/>
                <w:highlight w:val="none"/>
                <w:lang w:val="zh-CN"/>
              </w:rPr>
              <w:t>月</w:t>
            </w:r>
            <w:r>
              <w:rPr>
                <w:rFonts w:hint="eastAsia" w:ascii="宋体" w:hAnsi="宋体"/>
                <w:bCs/>
                <w:color w:val="auto"/>
                <w:sz w:val="24"/>
                <w:highlight w:val="none"/>
                <w:lang w:val="en-US" w:eastAsia="zh-CN"/>
              </w:rPr>
              <w:t>30</w:t>
            </w:r>
            <w:r>
              <w:rPr>
                <w:rFonts w:hint="eastAsia" w:ascii="宋体" w:hAnsi="宋体"/>
                <w:bCs/>
                <w:color w:val="auto"/>
                <w:sz w:val="24"/>
                <w:highlight w:val="none"/>
                <w:lang w:val="zh-CN"/>
              </w:rPr>
              <w:t>日23:59时止（法定假日除外）。</w:t>
            </w:r>
          </w:p>
          <w:p w14:paraId="5278BB09">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2.获取方式：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p>
          <w:p w14:paraId="7FA0A41A">
            <w:pPr>
              <w:spacing w:after="0" w:line="460" w:lineRule="exact"/>
              <w:rPr>
                <w:rFonts w:ascii="宋体" w:hAnsi="宋体"/>
                <w:bCs/>
                <w:color w:val="auto"/>
                <w:sz w:val="24"/>
                <w:highlight w:val="none"/>
                <w:lang w:val="zh-CN"/>
              </w:rPr>
            </w:pPr>
            <w:r>
              <w:rPr>
                <w:rFonts w:hint="eastAsia" w:ascii="宋体" w:hAnsi="宋体"/>
                <w:bCs/>
                <w:color w:val="auto"/>
                <w:sz w:val="24"/>
                <w:highlight w:val="none"/>
                <w:lang w:eastAsia="zh-CN"/>
              </w:rPr>
              <w:t>3.</w:t>
            </w:r>
            <w:r>
              <w:rPr>
                <w:rFonts w:hint="eastAsia" w:ascii="宋体" w:hAnsi="宋体"/>
                <w:bCs/>
                <w:color w:val="auto"/>
                <w:sz w:val="24"/>
                <w:highlight w:val="none"/>
                <w:lang w:val="zh-CN"/>
              </w:rPr>
              <w:t>投标人应承担其编制投标文件以及递交投标文件所涉及的一切费用。无论投标结果如何，采购人对上述费用不负任何责任。</w:t>
            </w:r>
          </w:p>
          <w:p w14:paraId="5026625F">
            <w:pPr>
              <w:spacing w:after="0" w:line="460" w:lineRule="exact"/>
              <w:rPr>
                <w:rFonts w:ascii="宋体" w:hAnsi="宋体"/>
                <w:bCs/>
                <w:color w:val="auto"/>
                <w:sz w:val="24"/>
                <w:highlight w:val="none"/>
              </w:rPr>
            </w:pPr>
            <w:r>
              <w:rPr>
                <w:rFonts w:hint="eastAsia" w:ascii="宋体" w:hAnsi="宋体"/>
                <w:bCs/>
                <w:color w:val="auto"/>
                <w:sz w:val="24"/>
                <w:highlight w:val="none"/>
                <w:lang w:eastAsia="zh-CN"/>
              </w:rPr>
              <w:t>4.</w:t>
            </w:r>
            <w:r>
              <w:rPr>
                <w:rFonts w:hint="eastAsia" w:ascii="宋体" w:hAnsi="宋体"/>
                <w:bCs/>
                <w:color w:val="auto"/>
                <w:sz w:val="24"/>
                <w:highlight w:val="none"/>
                <w:lang w:val="zh-CN"/>
              </w:rPr>
              <w:t>本项目不收取投标保证金。</w:t>
            </w:r>
          </w:p>
        </w:tc>
      </w:tr>
      <w:tr w14:paraId="57C13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705" w:type="dxa"/>
            <w:noWrap w:val="0"/>
            <w:vAlign w:val="center"/>
          </w:tcPr>
          <w:p w14:paraId="6D6DDE14">
            <w:pPr>
              <w:spacing w:line="460" w:lineRule="exact"/>
              <w:jc w:val="center"/>
              <w:rPr>
                <w:rFonts w:ascii="宋体" w:hAnsi="宋体"/>
                <w:bCs/>
                <w:color w:val="auto"/>
                <w:sz w:val="24"/>
                <w:highlight w:val="none"/>
              </w:rPr>
            </w:pPr>
            <w:r>
              <w:rPr>
                <w:rFonts w:hint="eastAsia" w:ascii="宋体" w:hAnsi="宋体"/>
                <w:bCs/>
                <w:color w:val="auto"/>
                <w:sz w:val="24"/>
                <w:highlight w:val="none"/>
              </w:rPr>
              <w:t>7</w:t>
            </w:r>
          </w:p>
        </w:tc>
        <w:tc>
          <w:tcPr>
            <w:tcW w:w="9341" w:type="dxa"/>
            <w:noWrap w:val="0"/>
          </w:tcPr>
          <w:p w14:paraId="235BCD85">
            <w:pPr>
              <w:widowControl w:val="0"/>
              <w:spacing w:after="0" w:line="460" w:lineRule="exact"/>
              <w:jc w:val="both"/>
              <w:rPr>
                <w:rFonts w:ascii="宋体" w:hAnsi="宋体"/>
                <w:b/>
                <w:color w:val="auto"/>
                <w:sz w:val="24"/>
                <w:highlight w:val="none"/>
              </w:rPr>
            </w:pPr>
            <w:r>
              <w:rPr>
                <w:rFonts w:hint="eastAsia" w:ascii="宋体" w:hAnsi="宋体"/>
                <w:b/>
                <w:color w:val="auto"/>
                <w:sz w:val="24"/>
                <w:highlight w:val="none"/>
              </w:rPr>
              <w:t>现场踏勘、提疑（答疑）、澄清、修改：</w:t>
            </w:r>
          </w:p>
          <w:p w14:paraId="2AECE46A">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投标供应商要求澄清招标文件的截止时间：</w:t>
            </w:r>
            <w:r>
              <w:rPr>
                <w:rFonts w:hint="eastAsia" w:ascii="宋体" w:hAnsi="宋体"/>
                <w:bCs/>
                <w:color w:val="auto"/>
                <w:sz w:val="24"/>
                <w:highlight w:val="none"/>
                <w:lang w:val="zh-CN"/>
              </w:rPr>
              <w:t>20</w:t>
            </w:r>
            <w:r>
              <w:rPr>
                <w:rFonts w:hint="eastAsia" w:ascii="宋体" w:hAnsi="宋体"/>
                <w:bCs/>
                <w:color w:val="auto"/>
                <w:sz w:val="24"/>
                <w:highlight w:val="none"/>
                <w:lang w:val="en-US" w:eastAsia="zh-CN"/>
              </w:rPr>
              <w:t>26</w:t>
            </w:r>
            <w:r>
              <w:rPr>
                <w:rFonts w:hint="eastAsia" w:ascii="宋体" w:hAnsi="宋体"/>
                <w:bCs/>
                <w:color w:val="auto"/>
                <w:sz w:val="24"/>
                <w:highlight w:val="none"/>
                <w:lang w:val="zh-CN"/>
              </w:rPr>
              <w:t>年</w:t>
            </w:r>
            <w:r>
              <w:rPr>
                <w:rFonts w:hint="eastAsia" w:ascii="宋体" w:hAnsi="宋体"/>
                <w:bCs/>
                <w:color w:val="auto"/>
                <w:sz w:val="24"/>
                <w:highlight w:val="none"/>
                <w:lang w:val="en-US" w:eastAsia="zh-CN"/>
              </w:rPr>
              <w:t>11</w:t>
            </w:r>
            <w:r>
              <w:rPr>
                <w:rFonts w:hint="eastAsia" w:ascii="宋体" w:hAnsi="宋体"/>
                <w:bCs/>
                <w:color w:val="auto"/>
                <w:sz w:val="24"/>
                <w:highlight w:val="none"/>
                <w:lang w:val="zh-CN"/>
              </w:rPr>
              <w:t>月</w:t>
            </w:r>
            <w:r>
              <w:rPr>
                <w:rFonts w:hint="eastAsia" w:ascii="宋体" w:hAnsi="宋体"/>
                <w:bCs/>
                <w:color w:val="auto"/>
                <w:sz w:val="24"/>
                <w:highlight w:val="none"/>
                <w:lang w:val="en-US" w:eastAsia="zh-CN"/>
              </w:rPr>
              <w:t>2</w:t>
            </w:r>
            <w:r>
              <w:rPr>
                <w:rFonts w:hint="eastAsia" w:ascii="宋体" w:hAnsi="宋体"/>
                <w:bCs/>
                <w:color w:val="auto"/>
                <w:sz w:val="24"/>
                <w:highlight w:val="none"/>
                <w:lang w:val="zh-CN"/>
              </w:rPr>
              <w:t>日</w:t>
            </w:r>
            <w:r>
              <w:rPr>
                <w:rFonts w:hint="eastAsia" w:ascii="宋体" w:hAnsi="宋体"/>
                <w:bCs/>
                <w:color w:val="auto"/>
                <w:sz w:val="24"/>
                <w:highlight w:val="none"/>
              </w:rPr>
              <w:t>10:00时前，以书面文件和电子邮件形式发送给采购代理机构。</w:t>
            </w:r>
          </w:p>
          <w:p w14:paraId="1C6C845B">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采购人对招标文件答疑、澄清、修改的时间：采购人或者采购代理机构在投标截止时间十五日前以书面文件或电子邮件形式发送给提疑供应商。如涉及澄清或者修改，在原招标公告媒体上发布。</w:t>
            </w:r>
            <w:bookmarkStart w:id="72" w:name="_GoBack"/>
            <w:bookmarkEnd w:id="72"/>
          </w:p>
          <w:p w14:paraId="3EE31AFB">
            <w:pPr>
              <w:widowControl w:val="0"/>
              <w:spacing w:after="0" w:line="460" w:lineRule="exact"/>
              <w:jc w:val="both"/>
              <w:rPr>
                <w:rFonts w:ascii="宋体" w:hAnsi="宋体"/>
                <w:color w:val="auto"/>
                <w:sz w:val="24"/>
                <w:highlight w:val="none"/>
              </w:rPr>
            </w:pPr>
            <w:r>
              <w:rPr>
                <w:rFonts w:hint="eastAsia" w:ascii="宋体" w:hAnsi="宋体"/>
                <w:bCs/>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70077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05" w:type="dxa"/>
            <w:noWrap w:val="0"/>
            <w:vAlign w:val="center"/>
          </w:tcPr>
          <w:p w14:paraId="172E979A">
            <w:pPr>
              <w:spacing w:after="0" w:line="460" w:lineRule="exact"/>
              <w:jc w:val="center"/>
              <w:rPr>
                <w:rFonts w:ascii="宋体" w:hAnsi="宋体"/>
                <w:bCs/>
                <w:color w:val="auto"/>
                <w:sz w:val="24"/>
                <w:highlight w:val="none"/>
              </w:rPr>
            </w:pPr>
            <w:r>
              <w:rPr>
                <w:rFonts w:hint="eastAsia" w:ascii="宋体" w:hAnsi="宋体"/>
                <w:bCs/>
                <w:color w:val="auto"/>
                <w:sz w:val="24"/>
                <w:highlight w:val="none"/>
              </w:rPr>
              <w:t>8</w:t>
            </w:r>
          </w:p>
        </w:tc>
        <w:tc>
          <w:tcPr>
            <w:tcW w:w="9341" w:type="dxa"/>
            <w:noWrap w:val="0"/>
          </w:tcPr>
          <w:p w14:paraId="6BA319A0">
            <w:pPr>
              <w:spacing w:after="0" w:line="460" w:lineRule="exact"/>
              <w:rPr>
                <w:rFonts w:ascii="宋体" w:hAnsi="宋体"/>
                <w:color w:val="auto"/>
                <w:highlight w:val="none"/>
              </w:rPr>
            </w:pPr>
            <w:r>
              <w:rPr>
                <w:rFonts w:hint="eastAsia" w:ascii="宋体" w:hAnsi="宋体"/>
                <w:color w:val="auto"/>
                <w:sz w:val="24"/>
                <w:highlight w:val="none"/>
              </w:rPr>
              <w:t>投标有效期：提交投标文件截止之日起90天。</w:t>
            </w:r>
          </w:p>
        </w:tc>
      </w:tr>
      <w:tr w14:paraId="2A15F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 w:type="dxa"/>
            <w:noWrap w:val="0"/>
            <w:vAlign w:val="center"/>
          </w:tcPr>
          <w:p w14:paraId="6B63C2A2">
            <w:pPr>
              <w:spacing w:line="460" w:lineRule="exact"/>
              <w:jc w:val="center"/>
              <w:rPr>
                <w:rFonts w:ascii="宋体" w:hAnsi="宋体"/>
                <w:bCs/>
                <w:color w:val="auto"/>
                <w:sz w:val="24"/>
                <w:highlight w:val="none"/>
              </w:rPr>
            </w:pPr>
            <w:r>
              <w:rPr>
                <w:rFonts w:hint="eastAsia" w:ascii="宋体" w:hAnsi="宋体"/>
                <w:bCs/>
                <w:color w:val="auto"/>
                <w:sz w:val="24"/>
                <w:highlight w:val="none"/>
              </w:rPr>
              <w:t>9</w:t>
            </w:r>
          </w:p>
        </w:tc>
        <w:tc>
          <w:tcPr>
            <w:tcW w:w="9341" w:type="dxa"/>
            <w:noWrap w:val="0"/>
            <w:vAlign w:val="center"/>
          </w:tcPr>
          <w:p w14:paraId="147BC950">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网上投标截止时间：</w:t>
            </w:r>
            <w:r>
              <w:rPr>
                <w:rFonts w:hint="eastAsia" w:ascii="宋体" w:hAnsi="宋体"/>
                <w:bCs/>
                <w:color w:val="auto"/>
                <w:sz w:val="24"/>
                <w:highlight w:val="none"/>
                <w:lang w:val="zh-CN"/>
              </w:rPr>
              <w:t>20</w:t>
            </w:r>
            <w:r>
              <w:rPr>
                <w:rFonts w:hint="eastAsia" w:ascii="宋体" w:hAnsi="宋体"/>
                <w:bCs/>
                <w:color w:val="auto"/>
                <w:sz w:val="24"/>
                <w:highlight w:val="none"/>
                <w:lang w:val="en-US" w:eastAsia="zh-CN"/>
              </w:rPr>
              <w:t>26</w:t>
            </w:r>
            <w:r>
              <w:rPr>
                <w:rFonts w:hint="eastAsia" w:ascii="宋体" w:hAnsi="宋体"/>
                <w:bCs/>
                <w:color w:val="auto"/>
                <w:sz w:val="24"/>
                <w:highlight w:val="none"/>
                <w:lang w:val="zh-CN"/>
              </w:rPr>
              <w:t>年</w:t>
            </w:r>
            <w:r>
              <w:rPr>
                <w:rFonts w:hint="eastAsia" w:ascii="宋体" w:hAnsi="宋体"/>
                <w:bCs/>
                <w:color w:val="auto"/>
                <w:sz w:val="24"/>
                <w:highlight w:val="none"/>
                <w:lang w:val="en-US" w:eastAsia="zh-CN"/>
              </w:rPr>
              <w:t>11</w:t>
            </w:r>
            <w:r>
              <w:rPr>
                <w:rFonts w:hint="eastAsia" w:ascii="宋体" w:hAnsi="宋体"/>
                <w:bCs/>
                <w:color w:val="auto"/>
                <w:sz w:val="24"/>
                <w:highlight w:val="none"/>
                <w:lang w:val="zh-CN"/>
              </w:rPr>
              <w:t>月</w:t>
            </w:r>
            <w:r>
              <w:rPr>
                <w:rFonts w:hint="eastAsia" w:ascii="宋体" w:hAnsi="宋体"/>
                <w:bCs/>
                <w:color w:val="auto"/>
                <w:sz w:val="24"/>
                <w:highlight w:val="none"/>
                <w:lang w:val="en-US" w:eastAsia="zh-CN"/>
              </w:rPr>
              <w:t>17</w:t>
            </w:r>
            <w:r>
              <w:rPr>
                <w:rFonts w:hint="eastAsia" w:ascii="宋体" w:hAnsi="宋体"/>
                <w:bCs/>
                <w:color w:val="auto"/>
                <w:sz w:val="24"/>
                <w:highlight w:val="none"/>
                <w:lang w:val="zh-CN"/>
              </w:rPr>
              <w:t>日</w:t>
            </w:r>
            <w:r>
              <w:rPr>
                <w:rFonts w:hint="eastAsia" w:ascii="宋体" w:hAnsi="宋体"/>
                <w:bCs/>
                <w:color w:val="auto"/>
                <w:sz w:val="24"/>
                <w:highlight w:val="none"/>
              </w:rPr>
              <w:t>13:30，投标截止时间后的投标文件恕不接受。</w:t>
            </w:r>
          </w:p>
          <w:p w14:paraId="06568EDC">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lang w:eastAsia="zh-CN"/>
              </w:rPr>
              <w:t>2.</w:t>
            </w:r>
            <w:r>
              <w:rPr>
                <w:rFonts w:hint="eastAsia" w:ascii="宋体" w:hAnsi="宋体"/>
                <w:bCs/>
                <w:color w:val="auto"/>
                <w:sz w:val="24"/>
                <w:highlight w:val="none"/>
              </w:rPr>
              <w:t>网上投标解密时间：</w:t>
            </w:r>
            <w:r>
              <w:rPr>
                <w:rFonts w:hint="eastAsia" w:ascii="宋体" w:hAnsi="宋体"/>
                <w:bCs/>
                <w:color w:val="auto"/>
                <w:sz w:val="24"/>
                <w:highlight w:val="none"/>
                <w:lang w:val="zh-CN"/>
              </w:rPr>
              <w:t>20</w:t>
            </w:r>
            <w:r>
              <w:rPr>
                <w:rFonts w:hint="eastAsia" w:ascii="宋体" w:hAnsi="宋体"/>
                <w:bCs/>
                <w:color w:val="auto"/>
                <w:sz w:val="24"/>
                <w:highlight w:val="none"/>
                <w:lang w:val="en-US" w:eastAsia="zh-CN"/>
              </w:rPr>
              <w:t>26</w:t>
            </w:r>
            <w:r>
              <w:rPr>
                <w:rFonts w:hint="eastAsia" w:ascii="宋体" w:hAnsi="宋体"/>
                <w:bCs/>
                <w:color w:val="auto"/>
                <w:sz w:val="24"/>
                <w:highlight w:val="none"/>
                <w:lang w:val="zh-CN"/>
              </w:rPr>
              <w:t>年</w:t>
            </w:r>
            <w:r>
              <w:rPr>
                <w:rFonts w:hint="eastAsia" w:ascii="宋体" w:hAnsi="宋体"/>
                <w:bCs/>
                <w:color w:val="auto"/>
                <w:sz w:val="24"/>
                <w:highlight w:val="none"/>
                <w:lang w:val="en-US" w:eastAsia="zh-CN"/>
              </w:rPr>
              <w:t>11</w:t>
            </w:r>
            <w:r>
              <w:rPr>
                <w:rFonts w:hint="eastAsia" w:ascii="宋体" w:hAnsi="宋体"/>
                <w:bCs/>
                <w:color w:val="auto"/>
                <w:sz w:val="24"/>
                <w:highlight w:val="none"/>
                <w:lang w:val="zh-CN"/>
              </w:rPr>
              <w:t>月</w:t>
            </w:r>
            <w:r>
              <w:rPr>
                <w:rFonts w:hint="eastAsia" w:ascii="宋体" w:hAnsi="宋体"/>
                <w:bCs/>
                <w:color w:val="auto"/>
                <w:sz w:val="24"/>
                <w:highlight w:val="none"/>
                <w:lang w:val="en-US" w:eastAsia="zh-CN"/>
              </w:rPr>
              <w:t>17</w:t>
            </w:r>
            <w:r>
              <w:rPr>
                <w:rFonts w:hint="eastAsia" w:ascii="宋体" w:hAnsi="宋体"/>
                <w:bCs/>
                <w:color w:val="auto"/>
                <w:sz w:val="24"/>
                <w:highlight w:val="none"/>
                <w:lang w:val="zh-CN"/>
              </w:rPr>
              <w:t>日</w:t>
            </w:r>
            <w:r>
              <w:rPr>
                <w:rFonts w:hint="eastAsia" w:ascii="宋体" w:hAnsi="宋体"/>
                <w:bCs/>
                <w:color w:val="auto"/>
                <w:sz w:val="24"/>
                <w:highlight w:val="none"/>
              </w:rPr>
              <w:t>13:30；解密时限：开启解密后30分钟。</w:t>
            </w:r>
          </w:p>
          <w:p w14:paraId="34C6FFF8">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lang w:eastAsia="zh-CN"/>
              </w:rPr>
              <w:t>3.</w:t>
            </w:r>
            <w:r>
              <w:rPr>
                <w:rFonts w:hint="eastAsia" w:ascii="宋体" w:hAnsi="宋体"/>
                <w:bCs/>
                <w:color w:val="auto"/>
                <w:sz w:val="24"/>
                <w:highlight w:val="none"/>
              </w:rPr>
              <w:t>投标文件提交地点：江苏省政府采购（苏采云）平台投标，线上不见面开标。</w:t>
            </w:r>
          </w:p>
          <w:p w14:paraId="0C3DD9F4">
            <w:pPr>
              <w:widowControl w:val="0"/>
              <w:spacing w:after="0" w:line="460" w:lineRule="exact"/>
              <w:jc w:val="both"/>
              <w:rPr>
                <w:rFonts w:ascii="宋体" w:hAnsi="宋体"/>
                <w:b/>
                <w:color w:val="auto"/>
                <w:sz w:val="24"/>
                <w:highlight w:val="none"/>
              </w:rPr>
            </w:pPr>
            <w:r>
              <w:rPr>
                <w:rFonts w:hint="eastAsia" w:ascii="宋体" w:hAnsi="宋体"/>
                <w:b/>
                <w:color w:val="auto"/>
                <w:sz w:val="24"/>
                <w:highlight w:val="none"/>
              </w:rPr>
              <w:t>特别提醒：</w:t>
            </w:r>
          </w:p>
          <w:p w14:paraId="0A7C74DE">
            <w:pPr>
              <w:widowControl w:val="0"/>
              <w:spacing w:after="0" w:line="460" w:lineRule="exact"/>
              <w:jc w:val="both"/>
              <w:rPr>
                <w:rFonts w:ascii="宋体" w:hAnsi="宋体"/>
                <w:b/>
                <w:color w:val="auto"/>
                <w:sz w:val="24"/>
                <w:highlight w:val="none"/>
              </w:rPr>
            </w:pPr>
            <w:r>
              <w:rPr>
                <w:rFonts w:hint="eastAsia" w:ascii="宋体" w:hAnsi="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37FF30D9">
            <w:pPr>
              <w:widowControl w:val="0"/>
              <w:spacing w:after="0" w:line="460" w:lineRule="exact"/>
              <w:jc w:val="both"/>
              <w:rPr>
                <w:rFonts w:hAnsi="宋体"/>
                <w:bCs/>
                <w:color w:val="auto"/>
                <w:sz w:val="24"/>
                <w:highlight w:val="none"/>
              </w:rPr>
            </w:pPr>
            <w:r>
              <w:rPr>
                <w:rFonts w:hint="eastAsia" w:ascii="宋体" w:hAnsi="宋体"/>
                <w:b/>
                <w:color w:val="auto"/>
                <w:sz w:val="24"/>
                <w:highlight w:val="none"/>
              </w:rPr>
              <w:t>（2）若资格审查中或评审过程中，采购人/代理机构/评标委员会对投标文件存在疑问，投标人被授权代表须在接到在线询标函后15分钟内，在开标界面在线以澄清函回复并签章；若投标人被授权代表未在规定时间内按上述要求作出回复，则视为投标人默认资审结果或评审结果。</w:t>
            </w:r>
          </w:p>
        </w:tc>
      </w:tr>
      <w:tr w14:paraId="7004A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705" w:type="dxa"/>
            <w:noWrap w:val="0"/>
            <w:vAlign w:val="center"/>
          </w:tcPr>
          <w:p w14:paraId="5F9A27FC">
            <w:pPr>
              <w:spacing w:after="0" w:line="460" w:lineRule="exact"/>
              <w:jc w:val="center"/>
              <w:rPr>
                <w:rFonts w:ascii="宋体" w:hAnsi="宋体"/>
                <w:bCs/>
                <w:color w:val="auto"/>
                <w:sz w:val="24"/>
                <w:highlight w:val="none"/>
              </w:rPr>
            </w:pPr>
            <w:r>
              <w:rPr>
                <w:rFonts w:hint="eastAsia" w:ascii="宋体" w:hAnsi="宋体"/>
                <w:bCs/>
                <w:color w:val="auto"/>
                <w:sz w:val="24"/>
                <w:highlight w:val="none"/>
              </w:rPr>
              <w:t>10</w:t>
            </w:r>
          </w:p>
        </w:tc>
        <w:tc>
          <w:tcPr>
            <w:tcW w:w="9341" w:type="dxa"/>
            <w:noWrap w:val="0"/>
          </w:tcPr>
          <w:p w14:paraId="5971FADB">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评审时间：</w:t>
            </w:r>
            <w:r>
              <w:rPr>
                <w:rFonts w:hint="eastAsia" w:ascii="宋体" w:hAnsi="宋体"/>
                <w:bCs/>
                <w:color w:val="auto"/>
                <w:sz w:val="24"/>
                <w:highlight w:val="none"/>
                <w:lang w:val="zh-CN"/>
              </w:rPr>
              <w:t>20</w:t>
            </w:r>
            <w:r>
              <w:rPr>
                <w:rFonts w:hint="eastAsia" w:ascii="宋体" w:hAnsi="宋体"/>
                <w:bCs/>
                <w:color w:val="auto"/>
                <w:sz w:val="24"/>
                <w:highlight w:val="none"/>
                <w:lang w:val="en-US" w:eastAsia="zh-CN"/>
              </w:rPr>
              <w:t>26</w:t>
            </w:r>
            <w:r>
              <w:rPr>
                <w:rFonts w:hint="eastAsia" w:ascii="宋体" w:hAnsi="宋体"/>
                <w:bCs/>
                <w:color w:val="auto"/>
                <w:sz w:val="24"/>
                <w:highlight w:val="none"/>
                <w:lang w:val="zh-CN"/>
              </w:rPr>
              <w:t>年</w:t>
            </w:r>
            <w:r>
              <w:rPr>
                <w:rFonts w:hint="eastAsia" w:ascii="宋体" w:hAnsi="宋体"/>
                <w:bCs/>
                <w:color w:val="auto"/>
                <w:sz w:val="24"/>
                <w:highlight w:val="none"/>
                <w:lang w:val="en-US" w:eastAsia="zh-CN"/>
              </w:rPr>
              <w:t>11</w:t>
            </w:r>
            <w:r>
              <w:rPr>
                <w:rFonts w:hint="eastAsia" w:ascii="宋体" w:hAnsi="宋体"/>
                <w:bCs/>
                <w:color w:val="auto"/>
                <w:sz w:val="24"/>
                <w:highlight w:val="none"/>
                <w:lang w:val="zh-CN"/>
              </w:rPr>
              <w:t>月</w:t>
            </w:r>
            <w:r>
              <w:rPr>
                <w:rFonts w:hint="eastAsia" w:ascii="宋体" w:hAnsi="宋体"/>
                <w:bCs/>
                <w:color w:val="auto"/>
                <w:sz w:val="24"/>
                <w:highlight w:val="none"/>
                <w:lang w:val="en-US" w:eastAsia="zh-CN"/>
              </w:rPr>
              <w:t>17</w:t>
            </w:r>
            <w:r>
              <w:rPr>
                <w:rFonts w:hint="eastAsia" w:ascii="宋体" w:hAnsi="宋体"/>
                <w:bCs/>
                <w:color w:val="auto"/>
                <w:sz w:val="24"/>
                <w:highlight w:val="none"/>
                <w:lang w:val="zh-CN"/>
              </w:rPr>
              <w:t xml:space="preserve">日唱标结束后  </w:t>
            </w:r>
          </w:p>
          <w:p w14:paraId="6C192483">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评审地点：无锡市滨湖区建筑西路586号建苑智汇谷5楼503室</w:t>
            </w:r>
          </w:p>
        </w:tc>
      </w:tr>
      <w:tr w14:paraId="301F0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trPr>
        <w:tc>
          <w:tcPr>
            <w:tcW w:w="705" w:type="dxa"/>
            <w:noWrap w:val="0"/>
            <w:vAlign w:val="center"/>
          </w:tcPr>
          <w:p w14:paraId="73475EC7">
            <w:pPr>
              <w:spacing w:after="0" w:line="460" w:lineRule="exact"/>
              <w:jc w:val="center"/>
              <w:rPr>
                <w:rFonts w:ascii="宋体" w:hAnsi="宋体"/>
                <w:bCs/>
                <w:color w:val="auto"/>
                <w:sz w:val="24"/>
                <w:highlight w:val="none"/>
              </w:rPr>
            </w:pPr>
            <w:r>
              <w:rPr>
                <w:rFonts w:hint="eastAsia" w:ascii="宋体" w:hAnsi="宋体"/>
                <w:bCs/>
                <w:color w:val="auto"/>
                <w:sz w:val="24"/>
                <w:highlight w:val="none"/>
              </w:rPr>
              <w:t>11</w:t>
            </w:r>
          </w:p>
        </w:tc>
        <w:tc>
          <w:tcPr>
            <w:tcW w:w="9341" w:type="dxa"/>
            <w:noWrap w:val="0"/>
            <w:vAlign w:val="center"/>
          </w:tcPr>
          <w:p w14:paraId="33D95BCE">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确定中标单位时间：</w:t>
            </w:r>
            <w:r>
              <w:rPr>
                <w:rFonts w:hint="eastAsia" w:ascii="宋体" w:hAnsi="宋体"/>
                <w:bCs/>
                <w:color w:val="auto"/>
                <w:sz w:val="24"/>
                <w:highlight w:val="none"/>
                <w:lang w:val="zh-CN"/>
              </w:rPr>
              <w:t>20</w:t>
            </w:r>
            <w:r>
              <w:rPr>
                <w:rFonts w:hint="eastAsia" w:ascii="宋体" w:hAnsi="宋体"/>
                <w:bCs/>
                <w:color w:val="auto"/>
                <w:sz w:val="24"/>
                <w:highlight w:val="none"/>
                <w:lang w:val="en-US" w:eastAsia="zh-CN"/>
              </w:rPr>
              <w:t>26</w:t>
            </w:r>
            <w:r>
              <w:rPr>
                <w:rFonts w:hint="eastAsia" w:ascii="宋体" w:hAnsi="宋体"/>
                <w:bCs/>
                <w:color w:val="auto"/>
                <w:sz w:val="24"/>
                <w:highlight w:val="none"/>
                <w:lang w:val="zh-CN"/>
              </w:rPr>
              <w:t>年</w:t>
            </w:r>
            <w:r>
              <w:rPr>
                <w:rFonts w:hint="eastAsia" w:ascii="宋体" w:hAnsi="宋体"/>
                <w:bCs/>
                <w:color w:val="auto"/>
                <w:sz w:val="24"/>
                <w:highlight w:val="none"/>
                <w:lang w:val="en-US" w:eastAsia="zh-CN"/>
              </w:rPr>
              <w:t>11</w:t>
            </w:r>
            <w:r>
              <w:rPr>
                <w:rFonts w:hint="eastAsia" w:ascii="宋体" w:hAnsi="宋体"/>
                <w:bCs/>
                <w:color w:val="auto"/>
                <w:sz w:val="24"/>
                <w:highlight w:val="none"/>
                <w:lang w:val="zh-CN"/>
              </w:rPr>
              <w:t>月</w:t>
            </w:r>
            <w:r>
              <w:rPr>
                <w:rFonts w:hint="eastAsia" w:ascii="宋体" w:hAnsi="宋体"/>
                <w:bCs/>
                <w:color w:val="auto"/>
                <w:sz w:val="24"/>
                <w:highlight w:val="none"/>
                <w:lang w:val="en-US" w:eastAsia="zh-CN"/>
              </w:rPr>
              <w:t>17</w:t>
            </w:r>
            <w:r>
              <w:rPr>
                <w:rFonts w:hint="eastAsia" w:ascii="宋体" w:hAnsi="宋体"/>
                <w:bCs/>
                <w:color w:val="auto"/>
                <w:sz w:val="24"/>
                <w:highlight w:val="none"/>
                <w:lang w:val="zh-CN"/>
              </w:rPr>
              <w:t>日</w:t>
            </w:r>
            <w:r>
              <w:rPr>
                <w:rFonts w:hint="eastAsia" w:ascii="宋体" w:hAnsi="宋体"/>
                <w:bCs/>
                <w:color w:val="auto"/>
                <w:sz w:val="24"/>
                <w:highlight w:val="none"/>
              </w:rPr>
              <w:t>评审结束后</w:t>
            </w:r>
          </w:p>
        </w:tc>
      </w:tr>
      <w:tr w14:paraId="07841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05" w:type="dxa"/>
            <w:noWrap w:val="0"/>
            <w:vAlign w:val="center"/>
          </w:tcPr>
          <w:p w14:paraId="3D94F6AD">
            <w:pPr>
              <w:spacing w:line="460" w:lineRule="exact"/>
              <w:jc w:val="center"/>
              <w:rPr>
                <w:rFonts w:ascii="宋体" w:hAnsi="宋体"/>
                <w:bCs/>
                <w:color w:val="auto"/>
                <w:sz w:val="24"/>
                <w:highlight w:val="none"/>
              </w:rPr>
            </w:pPr>
            <w:r>
              <w:rPr>
                <w:rFonts w:hint="eastAsia" w:ascii="宋体" w:hAnsi="宋体"/>
                <w:bCs/>
                <w:color w:val="auto"/>
                <w:sz w:val="24"/>
                <w:highlight w:val="none"/>
              </w:rPr>
              <w:t>12</w:t>
            </w:r>
          </w:p>
        </w:tc>
        <w:tc>
          <w:tcPr>
            <w:tcW w:w="9341" w:type="dxa"/>
            <w:noWrap w:val="0"/>
            <w:vAlign w:val="center"/>
          </w:tcPr>
          <w:p w14:paraId="32169F71">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本次采购采用江苏省政府采购（苏采云）平台进行招标投标活动，招标、投标、评标和中标结果发布全程电子化。</w:t>
            </w:r>
          </w:p>
          <w:p w14:paraId="316C538A">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本项目为线上不见面采购，投标人无需到开标现场及递交纸质文件。中标供应商在收到中标通知书后与采购人签订合同前，必须提供与系统中电子投标文件一致的纸质投标文件正本一份，副本二份。</w:t>
            </w:r>
          </w:p>
        </w:tc>
      </w:tr>
      <w:tr w14:paraId="3E70B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3" w:hRule="atLeast"/>
        </w:trPr>
        <w:tc>
          <w:tcPr>
            <w:tcW w:w="705" w:type="dxa"/>
            <w:noWrap w:val="0"/>
            <w:vAlign w:val="center"/>
          </w:tcPr>
          <w:p w14:paraId="320C2940">
            <w:pPr>
              <w:spacing w:line="460" w:lineRule="exact"/>
              <w:jc w:val="center"/>
              <w:rPr>
                <w:rFonts w:ascii="宋体" w:hAnsi="宋体"/>
                <w:bCs/>
                <w:color w:val="auto"/>
                <w:sz w:val="24"/>
                <w:highlight w:val="none"/>
              </w:rPr>
            </w:pPr>
            <w:r>
              <w:rPr>
                <w:rFonts w:hint="eastAsia" w:ascii="宋体" w:hAnsi="宋体"/>
                <w:bCs/>
                <w:color w:val="auto"/>
                <w:sz w:val="24"/>
                <w:highlight w:val="none"/>
              </w:rPr>
              <w:t>13</w:t>
            </w:r>
          </w:p>
        </w:tc>
        <w:tc>
          <w:tcPr>
            <w:tcW w:w="9341" w:type="dxa"/>
            <w:noWrap w:val="0"/>
            <w:vAlign w:val="center"/>
          </w:tcPr>
          <w:p w14:paraId="3A178148">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采购人：无锡市检验检测认证研究院</w:t>
            </w:r>
          </w:p>
          <w:p w14:paraId="37632CA4">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联系地址：无锡市春新东路8号</w:t>
            </w:r>
          </w:p>
          <w:p w14:paraId="2CD1C2D5">
            <w:pPr>
              <w:widowControl w:val="0"/>
              <w:spacing w:after="0" w:line="460" w:lineRule="exact"/>
              <w:jc w:val="both"/>
              <w:rPr>
                <w:rFonts w:hint="default" w:ascii="宋体" w:hAnsi="宋体" w:eastAsia="宋体"/>
                <w:bCs/>
                <w:color w:val="auto"/>
                <w:sz w:val="24"/>
                <w:highlight w:val="none"/>
                <w:lang w:val="en-US" w:eastAsia="zh-CN"/>
              </w:rPr>
            </w:pPr>
            <w:r>
              <w:rPr>
                <w:rFonts w:hint="eastAsia" w:ascii="宋体" w:hAnsi="宋体"/>
                <w:bCs/>
                <w:color w:val="auto"/>
                <w:sz w:val="24"/>
                <w:highlight w:val="none"/>
              </w:rPr>
              <w:t>联系人：</w:t>
            </w:r>
            <w:r>
              <w:rPr>
                <w:rFonts w:hint="eastAsia" w:ascii="宋体" w:hAnsi="宋体"/>
                <w:bCs/>
                <w:color w:val="auto"/>
                <w:sz w:val="24"/>
                <w:highlight w:val="none"/>
                <w:lang w:val="en-US" w:eastAsia="zh-CN"/>
              </w:rPr>
              <w:t>叶沁</w:t>
            </w:r>
          </w:p>
          <w:p w14:paraId="1DA7A980">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联系电话：0510-82803652</w:t>
            </w:r>
          </w:p>
          <w:p w14:paraId="1B7F7913">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采购代理机构：江苏宏翔工程造价咨询有限公司</w:t>
            </w:r>
          </w:p>
          <w:p w14:paraId="65E9705C">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 xml:space="preserve">联系地址：无锡市滨湖区建筑西路586号建苑智汇谷5楼503室 </w:t>
            </w:r>
          </w:p>
          <w:p w14:paraId="49834C8A">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联系人：</w:t>
            </w:r>
            <w:r>
              <w:rPr>
                <w:rFonts w:hint="eastAsia" w:ascii="宋体" w:hAnsi="宋体"/>
                <w:bCs/>
                <w:color w:val="auto"/>
                <w:sz w:val="24"/>
                <w:highlight w:val="none"/>
                <w:lang w:val="en-US" w:eastAsia="zh-CN"/>
              </w:rPr>
              <w:t>虞霖</w:t>
            </w:r>
            <w:r>
              <w:rPr>
                <w:rFonts w:hint="eastAsia" w:ascii="宋体" w:hAnsi="宋体"/>
                <w:bCs/>
                <w:color w:val="auto"/>
                <w:sz w:val="24"/>
                <w:highlight w:val="none"/>
              </w:rPr>
              <w:t>、欧阳文超</w:t>
            </w:r>
          </w:p>
          <w:p w14:paraId="6324FDA5">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联系电话：</w:t>
            </w:r>
            <w:r>
              <w:rPr>
                <w:rFonts w:hint="eastAsia" w:ascii="宋体" w:hAnsi="宋体" w:eastAsia="宋体" w:cs="宋体"/>
                <w:color w:val="auto"/>
                <w:sz w:val="24"/>
                <w:highlight w:val="none"/>
                <w:lang w:val="en-US" w:eastAsia="zh-CN"/>
              </w:rPr>
              <w:t>18061903317</w:t>
            </w:r>
            <w:r>
              <w:rPr>
                <w:rFonts w:hint="eastAsia" w:ascii="宋体" w:hAnsi="宋体"/>
                <w:bCs/>
                <w:color w:val="auto"/>
                <w:sz w:val="24"/>
                <w:highlight w:val="none"/>
              </w:rPr>
              <w:t>、0510-88601103</w:t>
            </w:r>
          </w:p>
          <w:p w14:paraId="3928509A">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电子邮件地址：</w:t>
            </w:r>
            <w:r>
              <w:rPr>
                <w:rFonts w:hint="eastAsia" w:ascii="宋体" w:hAnsi="宋体" w:eastAsia="宋体" w:cs="宋体"/>
                <w:color w:val="auto"/>
                <w:sz w:val="24"/>
                <w:highlight w:val="none"/>
                <w:lang w:val="en-US" w:eastAsia="zh-CN"/>
              </w:rPr>
              <w:t>573140386</w:t>
            </w:r>
            <w:r>
              <w:rPr>
                <w:rFonts w:hint="eastAsia" w:ascii="宋体" w:hAnsi="宋体" w:eastAsia="宋体" w:cs="宋体"/>
                <w:color w:val="auto"/>
                <w:sz w:val="24"/>
                <w:highlight w:val="none"/>
                <w:lang w:eastAsia="zh-CN"/>
              </w:rPr>
              <w:t>@qq.com</w:t>
            </w:r>
          </w:p>
          <w:p w14:paraId="39075F42">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邮政编码：214000</w:t>
            </w:r>
          </w:p>
          <w:p w14:paraId="4096665E">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有关本次采购活动程序方面的问题，可来人、来函（传真）或电话联系。</w:t>
            </w:r>
          </w:p>
        </w:tc>
      </w:tr>
      <w:tr w14:paraId="646CD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705" w:type="dxa"/>
            <w:noWrap w:val="0"/>
            <w:vAlign w:val="center"/>
          </w:tcPr>
          <w:p w14:paraId="42451140">
            <w:pPr>
              <w:spacing w:line="460" w:lineRule="exact"/>
              <w:jc w:val="center"/>
              <w:rPr>
                <w:rFonts w:ascii="宋体" w:hAnsi="宋体"/>
                <w:bCs/>
                <w:color w:val="auto"/>
                <w:sz w:val="24"/>
                <w:highlight w:val="none"/>
              </w:rPr>
            </w:pPr>
            <w:r>
              <w:rPr>
                <w:rFonts w:hint="eastAsia" w:ascii="宋体" w:hAnsi="宋体"/>
                <w:bCs/>
                <w:color w:val="auto"/>
                <w:sz w:val="24"/>
                <w:highlight w:val="none"/>
              </w:rPr>
              <w:t>14</w:t>
            </w:r>
          </w:p>
        </w:tc>
        <w:tc>
          <w:tcPr>
            <w:tcW w:w="9341" w:type="dxa"/>
            <w:noWrap w:val="0"/>
            <w:vAlign w:val="center"/>
          </w:tcPr>
          <w:p w14:paraId="2A237742">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1.潜在投标人访问江苏省政府采购（苏采云）平台的网络地址和方法：</w:t>
            </w:r>
          </w:p>
          <w:p w14:paraId="3DDF5722">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1）供应商访问江苏省政府采购（苏采云）平台的方法：“苏采云”系统用户注册--获取“CA数字证书”--CA绑定与登录--网上获取--下载招标文件--将招标文件导入政府采购客户端工具--制作投标文件--导出加密的投标文件（后缀名为zip）--通过“苏采云”系统上传投标文件。具体见《“苏采云”系统供应商操作手册》。</w:t>
            </w:r>
          </w:p>
          <w:p w14:paraId="7C641B3B">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（2）访问“无锡政府采购网”点击“江苏省政府采购（苏采云平台）”——“用户注册”按钮，进行账号注册并填写申请信息，也可以直接通过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bCs/>
                <w:color w:val="auto"/>
                <w:sz w:val="24"/>
                <w:highlight w:val="none"/>
              </w:rPr>
              <w:t>苏采云 （http://jszfcg.jsczt.cn）</w:t>
            </w:r>
            <w:r>
              <w:rPr>
                <w:rFonts w:hint="eastAsia" w:ascii="宋体" w:hAnsi="宋体"/>
                <w:bCs/>
                <w:color w:val="auto"/>
                <w:sz w:val="24"/>
                <w:highlight w:val="none"/>
              </w:rPr>
              <w:fldChar w:fldCharType="end"/>
            </w:r>
            <w:r>
              <w:rPr>
                <w:rFonts w:hint="eastAsia" w:ascii="宋体" w:hAnsi="宋体"/>
                <w:bCs/>
                <w:color w:val="auto"/>
                <w:sz w:val="24"/>
                <w:highlight w:val="none"/>
              </w:rPr>
              <w:t>进入注册界面。</w:t>
            </w:r>
          </w:p>
          <w:p w14:paraId="13925618">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3）投标人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1006A5E6">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（4）CA驱动下载：在“江苏省政府采购（苏采云）平台”账号登录页面，点击“驱动下载”链接中的“政务CA、方正签章控件驱动安装包及安装说明”可以直接下载驱动安装包，安装包中附有驱动安装手册。</w:t>
            </w:r>
          </w:p>
          <w:p w14:paraId="6D29130D">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（5）招标文件、供应商操作手册及政府采购客户端工具可通过“苏采云”系统--已获取项目—获取详情页面内相应链接进行下载。</w:t>
            </w:r>
          </w:p>
          <w:p w14:paraId="2E0F6B4C">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7E88EC6C">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（7）采购代理机构将数据电文形式的招标文件加载至“苏采云”系统，供潜在供应商下载或者查阅。</w:t>
            </w:r>
          </w:p>
          <w:p w14:paraId="44C67967">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（8）苏采云系统应使用谷歌浏览器参与不见面开标。</w:t>
            </w:r>
          </w:p>
          <w:p w14:paraId="64AE52E4">
            <w:pPr>
              <w:widowControl w:val="0"/>
              <w:spacing w:after="0" w:line="460" w:lineRule="exact"/>
              <w:jc w:val="both"/>
              <w:rPr>
                <w:rFonts w:ascii="宋体" w:hAnsi="宋体"/>
                <w:bCs/>
                <w:color w:val="auto"/>
                <w:sz w:val="24"/>
                <w:highlight w:val="none"/>
              </w:rPr>
            </w:pPr>
            <w:r>
              <w:rPr>
                <w:rFonts w:hint="eastAsia" w:ascii="宋体" w:hAnsi="宋体"/>
                <w:bCs/>
                <w:color w:val="auto"/>
                <w:sz w:val="24"/>
                <w:highlight w:val="none"/>
              </w:rPr>
              <w:t>2.有关本次招标的事项若存在变动或修改，敬请及时关注“无锡政府采购网”“江苏政府采购网”发布的信息。</w:t>
            </w:r>
          </w:p>
        </w:tc>
      </w:tr>
    </w:tbl>
    <w:p w14:paraId="6533EF37">
      <w:pPr>
        <w:spacing w:line="460" w:lineRule="exact"/>
        <w:jc w:val="center"/>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第二部分</w:t>
      </w:r>
      <w:r>
        <w:rPr>
          <w:rFonts w:hint="eastAsia" w:ascii="宋体" w:hAnsi="宋体"/>
          <w:b/>
          <w:color w:val="auto"/>
          <w:sz w:val="28"/>
          <w:szCs w:val="28"/>
          <w:highlight w:val="none"/>
          <w:lang w:val="en-US" w:eastAsia="zh-CN"/>
        </w:rPr>
        <w:t>.</w:t>
      </w:r>
      <w:r>
        <w:rPr>
          <w:rFonts w:hint="eastAsia" w:ascii="宋体" w:hAnsi="宋体"/>
          <w:b/>
          <w:color w:val="auto"/>
          <w:sz w:val="28"/>
          <w:szCs w:val="28"/>
          <w:highlight w:val="none"/>
        </w:rPr>
        <w:t>投标人须知</w:t>
      </w:r>
    </w:p>
    <w:p w14:paraId="3938E722">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（一）遵循原则：</w:t>
      </w:r>
    </w:p>
    <w:p w14:paraId="2F04F7A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公开透明原则、公平竞争原则、公正原则和诚实信用原则。</w:t>
      </w:r>
    </w:p>
    <w:p w14:paraId="2B80086C">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（二）招标文件：</w:t>
      </w:r>
    </w:p>
    <w:p w14:paraId="3CD5318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1.招标文件包括文件目录所列全部内容，供应商应仔细阅读，并在投标文件中充分响应招标文件的所有要求。</w:t>
      </w:r>
    </w:p>
    <w:p w14:paraId="1C20592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2.投标人</w:t>
      </w:r>
      <w:r>
        <w:rPr>
          <w:rFonts w:hint="eastAsia" w:ascii="宋体" w:hAnsi="宋体" w:cs="Times New Roman"/>
          <w:color w:val="auto"/>
          <w:sz w:val="24"/>
          <w:szCs w:val="20"/>
          <w:highlight w:val="none"/>
          <w:lang w:val="zh-CN"/>
        </w:rPr>
        <w:t>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Times New Roman"/>
          <w:color w:val="auto"/>
          <w:sz w:val="24"/>
          <w:szCs w:val="20"/>
          <w:highlight w:val="none"/>
        </w:rPr>
        <w:t>江苏省政府采购（苏采云）平台 （http://jszfcg.jsczt.cn）</w:t>
      </w:r>
      <w:r>
        <w:rPr>
          <w:rFonts w:hint="eastAsia" w:ascii="宋体" w:hAnsi="宋体" w:cs="Times New Roman"/>
          <w:color w:val="auto"/>
          <w:sz w:val="24"/>
          <w:szCs w:val="20"/>
          <w:highlight w:val="none"/>
        </w:rPr>
        <w:fldChar w:fldCharType="end"/>
      </w:r>
      <w:r>
        <w:rPr>
          <w:rFonts w:hint="eastAsia" w:ascii="宋体" w:hAnsi="宋体" w:cs="Times New Roman"/>
          <w:color w:val="auto"/>
          <w:sz w:val="24"/>
          <w:szCs w:val="20"/>
          <w:highlight w:val="none"/>
          <w:lang w:val="zh-CN"/>
        </w:rPr>
        <w:t>在线申请获取招标文件</w:t>
      </w:r>
      <w:r>
        <w:rPr>
          <w:rFonts w:hint="eastAsia" w:ascii="宋体" w:hAnsi="宋体" w:cs="Times New Roman"/>
          <w:color w:val="auto"/>
          <w:sz w:val="24"/>
          <w:szCs w:val="20"/>
          <w:highlight w:val="none"/>
        </w:rPr>
        <w:t>及有关资料，按招标文件要求提交全部资料并对招标文件各项内容做出实质性响应，否则投标无效</w:t>
      </w:r>
      <w:r>
        <w:rPr>
          <w:rFonts w:hint="eastAsia" w:ascii="宋体" w:hAnsi="宋体" w:cs="Times New Roman"/>
          <w:color w:val="auto"/>
          <w:sz w:val="24"/>
          <w:szCs w:val="20"/>
          <w:highlight w:val="none"/>
          <w:lang w:val="zh-CN"/>
        </w:rPr>
        <w:t>。</w:t>
      </w:r>
    </w:p>
    <w:p w14:paraId="4FA905B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3.投标人一旦参加本项目投标，即表明承诺接受了本招标文件中所有条件和规定。</w:t>
      </w:r>
    </w:p>
    <w:p w14:paraId="7162AE0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4.招标文件仅作为本次采购招标使用。</w:t>
      </w:r>
    </w:p>
    <w:p w14:paraId="273FE9AF">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（三）招标文件的解释：</w:t>
      </w:r>
    </w:p>
    <w:p w14:paraId="3E0B2362">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1.投标人如有需要对招标文件要求澄清的问题，请以书面提出，并按“投标邀请”第6项规定的时间将电子邮件及书面传真（两种形式均须发送）至江苏宏翔工程造价咨询有限公司，联系方式详见投标邀请第13项。</w:t>
      </w:r>
    </w:p>
    <w:p w14:paraId="6F9572E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2.采购人、江苏宏翔工程造价咨询有限公司将按“投标邀请”第6项规定的时间对投标人针对招标文件书面提出的要求澄清的问题进行书面答疑。</w:t>
      </w:r>
    </w:p>
    <w:p w14:paraId="65EB5AB0">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3.本文件的最终解释权归采购人。</w:t>
      </w:r>
    </w:p>
    <w:p w14:paraId="229F22F1">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 xml:space="preserve">（四）招标文件的补充或修正： </w:t>
      </w:r>
    </w:p>
    <w:p w14:paraId="3EBDB012">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采购人或者采购代理机构可以对已发出的招标文件进行必要的澄清或者修改，但不得改变采购标的和资格条件。如需对招标文件进行澄清或修正，江苏宏翔工程造价咨询有限公司将在财政部门指定的政府采购信息发布媒体上（无锡政府采购网、江苏政府采购网）发布更正公告并书面通知已获取招标文件的单位，该澄清或修正的内容为招标文件的组成部分。投标人应在投标截止时间前关注原招标公告媒体上发布的相关更正公告。请招标文件的收受人下载此更正公告后，于投标截止日前书面回函（传真件）江苏宏翔工程造价咨询有限公司，逾期不回视同收到此公告。澄清或者修改的内容为招标文件的组成部分。</w:t>
      </w:r>
    </w:p>
    <w:p w14:paraId="0CCA70E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p>
    <w:p w14:paraId="6E1093D0">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（五）投标文件的组成：</w:t>
      </w:r>
    </w:p>
    <w:p w14:paraId="1061262E">
      <w:pPr>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投标文件由证明文件、投标函、报价部分、技术文件四部分组成。（相应内容上传至投标客户端）</w:t>
      </w:r>
    </w:p>
    <w:p w14:paraId="38BC2CA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1.证明文件部分：</w:t>
      </w:r>
    </w:p>
    <w:p w14:paraId="1405C4AE">
      <w:pPr>
        <w:widowControl w:val="0"/>
        <w:spacing w:after="0" w:line="460" w:lineRule="exact"/>
        <w:ind w:firstLine="480"/>
        <w:jc w:val="both"/>
        <w:rPr>
          <w:rFonts w:ascii="宋体" w:hAnsi="宋体" w:cs="Times New Roman"/>
          <w:color w:val="auto"/>
          <w:sz w:val="24"/>
          <w:szCs w:val="20"/>
          <w:highlight w:val="none"/>
        </w:rPr>
      </w:pPr>
      <w:bookmarkStart w:id="0" w:name="_Toc24104"/>
      <w:r>
        <w:rPr>
          <w:rFonts w:hint="eastAsia" w:ascii="宋体" w:hAnsi="宋体" w:cs="Times New Roman"/>
          <w:color w:val="auto"/>
          <w:sz w:val="24"/>
          <w:szCs w:val="20"/>
          <w:highlight w:val="none"/>
        </w:rPr>
        <w:t>第一部分：资格、资信证明文件</w:t>
      </w:r>
      <w:bookmarkEnd w:id="0"/>
    </w:p>
    <w:p w14:paraId="0CFE3C10">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（1）关于资格的声明函（格式见附件）；</w:t>
      </w:r>
    </w:p>
    <w:p w14:paraId="0CEDC01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（2）具有独立承担民事责任能力的投标人营业执照或相关部门的登记证明文件原件扫描件并签章上传至投标系统</w:t>
      </w:r>
      <w:r>
        <w:rPr>
          <w:rFonts w:hint="eastAsia" w:ascii="宋体" w:hAnsi="宋体" w:cs="Times New Roman"/>
          <w:b/>
          <w:bCs/>
          <w:color w:val="auto"/>
          <w:sz w:val="24"/>
          <w:szCs w:val="20"/>
          <w:highlight w:val="none"/>
        </w:rPr>
        <w:t>（投标人如是允许以分支机构身份参加投标的，提供投标人分支机构的营业执照扫描件；投标人如是自然人情形的，提供有效身份证扫描件）；</w:t>
      </w:r>
    </w:p>
    <w:p w14:paraId="616D87A5">
      <w:pPr>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color w:val="auto"/>
          <w:sz w:val="24"/>
          <w:szCs w:val="20"/>
          <w:highlight w:val="none"/>
        </w:rPr>
        <w:t>（3）投标人法定代表人授权委托书</w:t>
      </w:r>
      <w:r>
        <w:rPr>
          <w:rFonts w:hint="eastAsia" w:ascii="宋体" w:hAnsi="宋体" w:cs="Times New Roman"/>
          <w:b/>
          <w:bCs/>
          <w:color w:val="auto"/>
          <w:sz w:val="24"/>
          <w:szCs w:val="20"/>
          <w:highlight w:val="none"/>
        </w:rPr>
        <w:t>（法定代表人亲自参与投标的除外，格式见附件）（投标人如是允许以分支机构身份参加投标的，请自行将“法定代表人”更改为“负责人”，分支机构投标时涉及到招标文件“法定代表人”要求的部分，其具体要求视同本条规定）；</w:t>
      </w:r>
    </w:p>
    <w:p w14:paraId="0C123E24">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（4）投标人法定代表人身份证原件扫描件并签章上传至投标系统（身份证应为正、反面）；</w:t>
      </w:r>
    </w:p>
    <w:p w14:paraId="26595B74">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（5）投标人法定代表人授权代表身份证原件扫描件并签章上传至投标系统（身份证应为正、反面，法定代表人亲自参加投标的除外）；</w:t>
      </w:r>
    </w:p>
    <w:p w14:paraId="6E7FEB5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（6）投标人近六个月中任意一个月份（不含投标当月） 的财务状况报告（资产负债表和利润表）或由会计师事务所出具的20</w:t>
      </w:r>
      <w:r>
        <w:rPr>
          <w:rFonts w:hint="eastAsia" w:ascii="宋体" w:hAnsi="宋体" w:cs="Times New Roman"/>
          <w:color w:val="auto"/>
          <w:sz w:val="24"/>
          <w:szCs w:val="20"/>
          <w:highlight w:val="none"/>
          <w:lang w:val="en-US" w:eastAsia="zh-CN"/>
        </w:rPr>
        <w:t>24</w:t>
      </w:r>
      <w:r>
        <w:rPr>
          <w:rFonts w:hint="eastAsia" w:ascii="宋体" w:hAnsi="宋体" w:cs="Times New Roman"/>
          <w:color w:val="auto"/>
          <w:sz w:val="24"/>
          <w:szCs w:val="20"/>
          <w:highlight w:val="none"/>
        </w:rPr>
        <w:t>年度或20</w:t>
      </w:r>
      <w:r>
        <w:rPr>
          <w:rFonts w:hint="eastAsia" w:ascii="宋体" w:hAnsi="宋体" w:cs="Times New Roman"/>
          <w:color w:val="auto"/>
          <w:sz w:val="24"/>
          <w:szCs w:val="20"/>
          <w:highlight w:val="none"/>
          <w:lang w:val="en-US" w:eastAsia="zh-CN"/>
        </w:rPr>
        <w:t>25</w:t>
      </w:r>
      <w:r>
        <w:rPr>
          <w:rFonts w:hint="eastAsia" w:ascii="宋体" w:hAnsi="宋体" w:cs="Times New Roman"/>
          <w:color w:val="auto"/>
          <w:sz w:val="24"/>
          <w:szCs w:val="20"/>
          <w:highlight w:val="none"/>
        </w:rPr>
        <w:t>年度审计报告和所附已审财务报告原件扫描件并签章上传至投标系统；</w:t>
      </w:r>
    </w:p>
    <w:p w14:paraId="0E182C9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（7）投标人近六个月中任意一个月份（不含投标当月）的依法缴纳税收的相关材料（提供相关主管部门证明或银行代扣证明）原件扫描件并签章上传至投标系统；</w:t>
      </w:r>
    </w:p>
    <w:p w14:paraId="227E7C7E">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（8）投标人近六个月中任意一个月份（不含投标当月）的依法缴纳社会保障资金的相关材料（提供相关主管部门证明或银行代扣证明）原件扫描件并签章上传至投标系统；</w:t>
      </w:r>
    </w:p>
    <w:p w14:paraId="6B686C88">
      <w:pPr>
        <w:widowControl w:val="0"/>
        <w:spacing w:after="0" w:line="460" w:lineRule="exact"/>
        <w:ind w:firstLine="480"/>
        <w:jc w:val="both"/>
        <w:rPr>
          <w:rFonts w:hint="eastAsia" w:ascii="宋体" w:hAnsi="宋体" w:eastAsia="宋体" w:cs="Times New Roman"/>
          <w:color w:val="auto"/>
          <w:sz w:val="24"/>
          <w:szCs w:val="20"/>
          <w:highlight w:val="none"/>
          <w:lang w:eastAsia="zh-CN"/>
        </w:rPr>
      </w:pPr>
      <w:r>
        <w:rPr>
          <w:rFonts w:hint="eastAsia" w:ascii="宋体" w:hAnsi="宋体" w:cs="Times New Roman"/>
          <w:color w:val="auto"/>
          <w:sz w:val="24"/>
          <w:szCs w:val="20"/>
          <w:highlight w:val="none"/>
        </w:rPr>
        <w:t>（9）承诺书原件扫描件</w:t>
      </w:r>
      <w:r>
        <w:rPr>
          <w:rFonts w:hint="eastAsia" w:ascii="宋体" w:hAnsi="宋体" w:cs="Times New Roman"/>
          <w:b/>
          <w:bCs/>
          <w:color w:val="auto"/>
          <w:sz w:val="24"/>
          <w:szCs w:val="20"/>
          <w:highlight w:val="none"/>
        </w:rPr>
        <w:t>（格式见附件）</w:t>
      </w:r>
      <w:bookmarkStart w:id="1" w:name="_Toc14924"/>
      <w:r>
        <w:rPr>
          <w:rFonts w:hint="eastAsia" w:ascii="宋体" w:hAnsi="宋体" w:cs="Times New Roman"/>
          <w:color w:val="auto"/>
          <w:sz w:val="24"/>
          <w:szCs w:val="20"/>
          <w:highlight w:val="none"/>
          <w:lang w:eastAsia="zh-CN"/>
        </w:rPr>
        <w:t>。</w:t>
      </w:r>
    </w:p>
    <w:p w14:paraId="176A2172">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10）所投产品制造商应为中小企业（或监狱企业或残疾人福利性单位），所投产品制造商如为中小微企业的提供《中小企业声明函》扫描件并签章上传至投标系统；所投产品制造商如为监狱和戒毒企业的，按照财政部《司法部关于政府采购支持监狱企业发展有关问题》（财库〔2014〕68号）的规定提供由省级以上监狱管理局、戒毒管理局（含新疆生产建设兵团）出具的属于监狱企业的证明文件扫描件并签章上传至投标系统；所投产品制造商如为残疾人福利性单位的提供《残疾人福利性单位声明函》扫描件并签章上传至投标系统（格式见附件）。</w:t>
      </w:r>
    </w:p>
    <w:p w14:paraId="0A87D5E4">
      <w:pPr>
        <w:widowControl w:val="0"/>
        <w:spacing w:after="0" w:line="460" w:lineRule="exact"/>
        <w:ind w:firstLine="480"/>
        <w:jc w:val="both"/>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（11）</w:t>
      </w:r>
      <w:r>
        <w:rPr>
          <w:rFonts w:hint="eastAsia" w:ascii="宋体" w:hAnsi="宋体" w:cs="Times New Roman"/>
          <w:color w:val="auto"/>
          <w:sz w:val="24"/>
          <w:szCs w:val="20"/>
          <w:highlight w:val="none"/>
        </w:rPr>
        <w:t>所投产品应为本国产品，提供《</w:t>
      </w:r>
      <w:r>
        <w:rPr>
          <w:rFonts w:hint="eastAsia" w:ascii="宋体" w:hAnsi="宋体" w:cs="Times New Roman"/>
          <w:color w:val="auto"/>
          <w:sz w:val="24"/>
          <w:szCs w:val="20"/>
          <w:highlight w:val="none"/>
          <w:lang w:val="en-US" w:eastAsia="zh-CN"/>
        </w:rPr>
        <w:t>关于符合本国产品标准的声明函</w:t>
      </w:r>
      <w:r>
        <w:rPr>
          <w:rFonts w:hint="eastAsia" w:ascii="宋体" w:hAnsi="宋体" w:cs="Times New Roman"/>
          <w:color w:val="auto"/>
          <w:sz w:val="24"/>
          <w:szCs w:val="20"/>
          <w:highlight w:val="none"/>
        </w:rPr>
        <w:t>》扫描件并签章上传至投标系统（格式见附件）</w:t>
      </w:r>
      <w:r>
        <w:rPr>
          <w:rFonts w:hint="eastAsia" w:ascii="宋体" w:hAnsi="宋体" w:cs="Times New Roman"/>
          <w:color w:val="auto"/>
          <w:sz w:val="24"/>
          <w:szCs w:val="20"/>
          <w:highlight w:val="none"/>
          <w:lang w:eastAsia="zh-CN"/>
        </w:rPr>
        <w:t>。</w:t>
      </w:r>
    </w:p>
    <w:p w14:paraId="4D0E8184">
      <w:pPr>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注1：上述证明文件中的资格、资信证明文件必须全部提供，必须确保所有证明文件均为真实的、有效的且清晰的。如上述资格证明文件遇年检、换证，则必须提供法定年检、换证单位出具的有效证明扫描件。如上述资格证明文件第6、7、8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2AFB2EF7">
      <w:pPr>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4B4836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第二部分：补充证明文件</w:t>
      </w:r>
      <w:bookmarkEnd w:id="1"/>
    </w:p>
    <w:p w14:paraId="493D1217">
      <w:pPr>
        <w:widowControl w:val="0"/>
        <w:spacing w:after="0" w:line="460" w:lineRule="exact"/>
        <w:ind w:firstLine="480"/>
        <w:jc w:val="both"/>
        <w:rPr>
          <w:rFonts w:ascii="宋体" w:hAnsi="宋体" w:cs="Times New Roman"/>
          <w:color w:val="auto"/>
          <w:sz w:val="24"/>
          <w:szCs w:val="20"/>
          <w:highlight w:val="none"/>
        </w:rPr>
      </w:pPr>
      <w:bookmarkStart w:id="2" w:name="OLE_LINK6"/>
      <w:r>
        <w:rPr>
          <w:rFonts w:hint="eastAsia" w:ascii="宋体" w:hAnsi="宋体" w:cs="Times New Roman"/>
          <w:color w:val="auto"/>
          <w:sz w:val="24"/>
          <w:szCs w:val="20"/>
          <w:highlight w:val="none"/>
        </w:rPr>
        <w:t>（1）投标偏离表（格式见附件）；</w:t>
      </w:r>
    </w:p>
    <w:p w14:paraId="40852B65">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w:t>
      </w:r>
      <w:bookmarkEnd w:id="2"/>
      <w:r>
        <w:rPr>
          <w:rFonts w:hint="eastAsia" w:ascii="宋体" w:hAnsi="宋体" w:cs="Times New Roman"/>
          <w:color w:val="auto"/>
          <w:sz w:val="24"/>
          <w:szCs w:val="20"/>
          <w:highlight w:val="none"/>
        </w:rPr>
        <w:t>其他投标人认为有必要提供的证明资料（参考评分标准）。</w:t>
      </w:r>
    </w:p>
    <w:p w14:paraId="7D6498C5">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w:t>
      </w:r>
      <w:r>
        <w:rPr>
          <w:rFonts w:hint="eastAsia" w:ascii="宋体" w:hAnsi="宋体" w:cs="Times New Roman"/>
          <w:color w:val="auto"/>
          <w:sz w:val="24"/>
          <w:szCs w:val="20"/>
          <w:highlight w:val="none"/>
        </w:rPr>
        <w:t>投标函部分（格式见附件）：</w:t>
      </w:r>
    </w:p>
    <w:p w14:paraId="0B1622D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（1）投标函；</w:t>
      </w:r>
    </w:p>
    <w:p w14:paraId="106242F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（2）投标函附录（开标一览表）；</w:t>
      </w:r>
    </w:p>
    <w:p w14:paraId="6D5AA3E0">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3.报价部分（格式见附件）：</w:t>
      </w:r>
    </w:p>
    <w:p w14:paraId="63202A5C">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（1）分项报价表；</w:t>
      </w:r>
    </w:p>
    <w:p w14:paraId="2222FE8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（2）细目报价表；</w:t>
      </w:r>
    </w:p>
    <w:p w14:paraId="5865C4F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4.技术文件（格式自拟）。</w:t>
      </w:r>
    </w:p>
    <w:p w14:paraId="548105E7">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（六）投标文件的要求：</w:t>
      </w:r>
    </w:p>
    <w:p w14:paraId="03060F5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1.所有文件、往来函件均应使用简体中文（规格、型号辅助符号例外）。</w:t>
      </w:r>
    </w:p>
    <w:p w14:paraId="5DFC9465">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2.投标文件由投标人按给定格式如实填写（编写），须有法人（盖章）、法定代表人或法定代表人授权代表签字或盖章，方为有效，未尽事宜可自行补充。</w:t>
      </w:r>
    </w:p>
    <w:p w14:paraId="2B1B99FC">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3.如无特别说明，投标人报价一律以人民币为投标结算货币，结算单位为“元”。</w:t>
      </w:r>
    </w:p>
    <w:p w14:paraId="349AE03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4.投标文件格式部分，应由投标人按给定格式提供，不得更改。</w:t>
      </w:r>
    </w:p>
    <w:p w14:paraId="33D29D7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5.投标人应由其法定代表人或法定代表人授权代表在规定的网上投标时间内，凭CA数字证书登录江苏省政府采购（苏采云）平台获取招标文件，在苏采云报价客户端制作投标文件（电子数据），并在投标截止时间之前上传投标文件，逾期提交的投标文件，“苏采云”系统将自动拒收。</w:t>
      </w:r>
    </w:p>
    <w:p w14:paraId="3644C0D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6.投标人应对CA数字证书妥善保管，如被他人盗用投标，后果自负。</w:t>
      </w:r>
    </w:p>
    <w:p w14:paraId="5F0091E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7.投标人按招标文件规定的网上解密时间进行解密，如未按时解密后果自负。</w:t>
      </w:r>
    </w:p>
    <w:p w14:paraId="3AACFC4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8.投标人应当对招标文件提出的要求和条件作出实质性响应，并在电子投标系统逐条应答。</w:t>
      </w:r>
    </w:p>
    <w:p w14:paraId="41FA4ED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9.投标人进行网上投标请参照《“苏采云”系统供应商操作手册》。</w:t>
      </w:r>
    </w:p>
    <w:p w14:paraId="0440A96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10.投标费用自理。</w:t>
      </w:r>
    </w:p>
    <w:p w14:paraId="52AF1F1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11.投标人在制作电子投标文件时，请正确关联到对应页，在评审过程中，评审专家如因在相对应页面找不到该相关联的文件，由此产生的后果由投标人自行承担。</w:t>
      </w:r>
    </w:p>
    <w:p w14:paraId="2FBA0316">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（七）网上投标：</w:t>
      </w:r>
    </w:p>
    <w:p w14:paraId="36E9A3C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投标人应由其法定代表人或法定代表人授权代表在规定的网上投标截止时间内，凭CA数字证书登录政府采购交易管理一体化系统获取招标文件，在投标客户端制作投标文件（电子数据），并在投标截止时间之前上传投标文件。</w:t>
      </w:r>
    </w:p>
    <w:p w14:paraId="429B8922">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2.投标人应对CA数字证书妥善保管，如被他人盗用投标，后果自负。</w:t>
      </w:r>
    </w:p>
    <w:p w14:paraId="65352E1F">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3.投标人按招标文件规定的网上解密时间进行解密，如未按时解密后果自负。</w:t>
      </w:r>
    </w:p>
    <w:p w14:paraId="092879A8">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4.投标人应当对招标文件提出的要求和条件作出实质性响应，并在电子投标系统逐条应答。</w:t>
      </w:r>
    </w:p>
    <w:p w14:paraId="6DEBCE1E">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5.投标人应对要求提供的资格、资信证明文件（如资质证书、资格证书等）、技术资料（如白皮书、彩页、手册、检测报告等）扫描上传至投标系统。</w:t>
      </w:r>
    </w:p>
    <w:p w14:paraId="40BBB12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6.投标人进行网上投标请参照《政府采购项目电子交易管理操作指南-供应商》。</w:t>
      </w:r>
    </w:p>
    <w:p w14:paraId="6D35512D">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（八）无效投标文件的确认：</w:t>
      </w:r>
    </w:p>
    <w:p w14:paraId="1B9766C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投标人有下列情况之一者，其投标文件无效：</w:t>
      </w:r>
    </w:p>
    <w:p w14:paraId="784E755C">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1.电子投标文件未按规定时间上传的，纸质投标文件（如有）未按规定的期限、地点送达的；</w:t>
      </w:r>
    </w:p>
    <w:p w14:paraId="7505306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2.未按《“苏采云”系统供应商操作手册》进行正确操作的；</w:t>
      </w:r>
    </w:p>
    <w:p w14:paraId="52D8BE60">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3.</w:t>
      </w:r>
      <w:r>
        <w:rPr>
          <w:rFonts w:hint="eastAsia" w:ascii="宋体" w:hAnsi="宋体" w:cs="Times New Roman"/>
          <w:color w:val="auto"/>
          <w:sz w:val="24"/>
          <w:szCs w:val="20"/>
          <w:highlight w:val="none"/>
        </w:rPr>
        <w:t>电子投标文件未按招标文件要求签章的；</w:t>
      </w:r>
    </w:p>
    <w:p w14:paraId="74965BBC">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4.</w:t>
      </w:r>
      <w:r>
        <w:rPr>
          <w:rFonts w:hint="eastAsia" w:ascii="宋体" w:hAnsi="宋体" w:cs="Times New Roman"/>
          <w:color w:val="auto"/>
          <w:sz w:val="24"/>
          <w:szCs w:val="20"/>
          <w:highlight w:val="none"/>
        </w:rPr>
        <w:t>投标人未按招标文件要求解密电子投标文件的；</w:t>
      </w:r>
    </w:p>
    <w:p w14:paraId="1326687E">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5.</w:t>
      </w:r>
      <w:r>
        <w:rPr>
          <w:rFonts w:hint="eastAsia" w:ascii="宋体" w:hAnsi="宋体" w:cs="Times New Roman"/>
          <w:color w:val="auto"/>
          <w:sz w:val="24"/>
          <w:szCs w:val="20"/>
          <w:highlight w:val="none"/>
        </w:rPr>
        <w:t>不具备招标文件中规定的资格要求的；</w:t>
      </w:r>
    </w:p>
    <w:p w14:paraId="4193D45C">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6.</w:t>
      </w:r>
      <w:r>
        <w:rPr>
          <w:rFonts w:hint="eastAsia" w:ascii="宋体" w:hAnsi="宋体" w:cs="Times New Roman"/>
          <w:color w:val="auto"/>
          <w:sz w:val="24"/>
          <w:szCs w:val="20"/>
          <w:highlight w:val="none"/>
        </w:rPr>
        <w:t>报价超过招标文件中规定的预算金额或最高限价或最高单项限价的；</w:t>
      </w:r>
    </w:p>
    <w:p w14:paraId="1F0E452E">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7.</w:t>
      </w:r>
      <w:r>
        <w:rPr>
          <w:rFonts w:hint="eastAsia" w:ascii="宋体" w:hAnsi="宋体" w:cs="Times New Roman"/>
          <w:color w:val="auto"/>
          <w:sz w:val="24"/>
          <w:szCs w:val="20"/>
          <w:highlight w:val="none"/>
        </w:rPr>
        <w:t>投标人的法定代表人授权代表无法定代表人授权委托书的；</w:t>
      </w:r>
    </w:p>
    <w:p w14:paraId="395F134C">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8.</w:t>
      </w:r>
      <w:r>
        <w:rPr>
          <w:rFonts w:hint="eastAsia" w:ascii="宋体" w:hAnsi="宋体" w:cs="Times New Roman"/>
          <w:color w:val="auto"/>
          <w:sz w:val="24"/>
          <w:szCs w:val="20"/>
          <w:highlight w:val="none"/>
        </w:rPr>
        <w:t>投标文件含有采购人不能接受的附加条件的；</w:t>
      </w:r>
    </w:p>
    <w:p w14:paraId="4A81EC5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9.</w:t>
      </w:r>
      <w:r>
        <w:rPr>
          <w:rFonts w:hint="eastAsia" w:ascii="宋体" w:hAnsi="宋体" w:cs="Times New Roman"/>
          <w:color w:val="auto"/>
          <w:sz w:val="24"/>
          <w:szCs w:val="20"/>
          <w:highlight w:val="none"/>
        </w:rPr>
        <w:t>投标文件中有招标文件未允许提供的选择性内容的；</w:t>
      </w:r>
    </w:p>
    <w:p w14:paraId="0F572420">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10.</w:t>
      </w:r>
      <w:r>
        <w:rPr>
          <w:rFonts w:hint="eastAsia" w:ascii="宋体" w:hAnsi="宋体" w:cs="Times New Roman"/>
          <w:color w:val="auto"/>
          <w:sz w:val="24"/>
          <w:szCs w:val="20"/>
          <w:highlight w:val="none"/>
        </w:rPr>
        <w:t>恶意串通其他投标人，故意哄抬价格或压价的；</w:t>
      </w:r>
    </w:p>
    <w:p w14:paraId="6DF80CB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11.</w:t>
      </w:r>
      <w:r>
        <w:rPr>
          <w:rFonts w:hint="eastAsia" w:ascii="宋体" w:hAnsi="宋体" w:cs="Times New Roman"/>
          <w:color w:val="auto"/>
          <w:sz w:val="24"/>
          <w:szCs w:val="20"/>
          <w:highlight w:val="none"/>
        </w:rPr>
        <w:t>提供虚假材料的（包括工商营业执照、财务报表、资格证明文件等）；</w:t>
      </w:r>
    </w:p>
    <w:p w14:paraId="32887DA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12.</w:t>
      </w:r>
      <w:r>
        <w:rPr>
          <w:rFonts w:hint="eastAsia" w:ascii="宋体" w:hAnsi="宋体" w:cs="Times New Roman"/>
          <w:color w:val="auto"/>
          <w:sz w:val="24"/>
          <w:szCs w:val="20"/>
          <w:highlight w:val="none"/>
        </w:rPr>
        <w:t>不具备招标文件中规定的资格要求或未按招标文件规定的要求提供资格、资信证明文件的或提供的资格、资信证明文件图片字迹模糊不清、无法辨认的；</w:t>
      </w:r>
    </w:p>
    <w:p w14:paraId="76F2AE7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13.</w:t>
      </w:r>
      <w:r>
        <w:rPr>
          <w:rFonts w:hint="eastAsia" w:ascii="宋体" w:hAnsi="宋体" w:cs="Times New Roman"/>
          <w:color w:val="auto"/>
          <w:sz w:val="24"/>
          <w:szCs w:val="20"/>
          <w:highlight w:val="none"/>
        </w:rPr>
        <w:t>不同投标人投标文件中的项目相关人员出现同一人的；</w:t>
      </w:r>
    </w:p>
    <w:p w14:paraId="6DEC0B8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14.</w:t>
      </w:r>
      <w:r>
        <w:rPr>
          <w:rFonts w:hint="eastAsia" w:ascii="宋体" w:hAnsi="宋体" w:cs="Times New Roman"/>
          <w:color w:val="auto"/>
          <w:sz w:val="24"/>
          <w:szCs w:val="20"/>
          <w:highlight w:val="none"/>
        </w:rPr>
        <w:t>不同投标人聘请同一人为其投标提供技术或经济咨询服务的；</w:t>
      </w:r>
    </w:p>
    <w:p w14:paraId="25B6952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15.</w:t>
      </w:r>
      <w:r>
        <w:rPr>
          <w:rFonts w:hint="eastAsia" w:ascii="宋体" w:hAnsi="宋体" w:cs="Times New Roman"/>
          <w:color w:val="auto"/>
          <w:sz w:val="24"/>
          <w:szCs w:val="20"/>
          <w:highlight w:val="none"/>
        </w:rPr>
        <w:t>不同投标人的单位负责人为同一人或者存在直接控股、管理关系的；</w:t>
      </w:r>
    </w:p>
    <w:p w14:paraId="6EC4670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16.</w:t>
      </w:r>
      <w:r>
        <w:rPr>
          <w:rFonts w:hint="eastAsia" w:ascii="宋体" w:hAnsi="宋体" w:cs="Times New Roman"/>
          <w:color w:val="auto"/>
          <w:sz w:val="24"/>
          <w:szCs w:val="20"/>
          <w:highlight w:val="none"/>
        </w:rPr>
        <w:t>不同投标人的投标文件异常一致或者投标报价呈规律性差异；</w:t>
      </w:r>
    </w:p>
    <w:p w14:paraId="7B114E9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17.</w:t>
      </w:r>
      <w:r>
        <w:rPr>
          <w:rFonts w:hint="eastAsia" w:ascii="宋体" w:hAnsi="宋体" w:cs="Times New Roman"/>
          <w:color w:val="auto"/>
          <w:sz w:val="24"/>
          <w:szCs w:val="20"/>
          <w:highlight w:val="none"/>
        </w:rPr>
        <w:t>投标文件商务标中同一方案有选择性报价且未声明以哪一个为准的；</w:t>
      </w:r>
    </w:p>
    <w:p w14:paraId="0F6336E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18.</w:t>
      </w:r>
      <w:r>
        <w:rPr>
          <w:rFonts w:hint="eastAsia" w:ascii="宋体" w:hAnsi="宋体" w:cs="Times New Roman"/>
          <w:color w:val="auto"/>
          <w:sz w:val="24"/>
          <w:szCs w:val="20"/>
          <w:highlight w:val="none"/>
        </w:rPr>
        <w:t>投标文件报价出现前后不一致，投标人拒不确认修正后的报价的；</w:t>
      </w:r>
    </w:p>
    <w:p w14:paraId="23786EE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19.</w:t>
      </w:r>
      <w:r>
        <w:rPr>
          <w:rFonts w:hint="eastAsia" w:ascii="宋体" w:hAnsi="宋体" w:cs="Times New Roman"/>
          <w:color w:val="auto"/>
          <w:sz w:val="24"/>
          <w:szCs w:val="20"/>
          <w:highlight w:val="none"/>
        </w:rPr>
        <w:t>同一投标人提交两种（含两种）以上不同的投标报价的；</w:t>
      </w:r>
    </w:p>
    <w:p w14:paraId="1D7A44A4">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20.</w:t>
      </w:r>
      <w:r>
        <w:rPr>
          <w:rFonts w:hint="eastAsia" w:ascii="宋体" w:hAnsi="宋体" w:cs="Times New Roman"/>
          <w:color w:val="auto"/>
          <w:sz w:val="24"/>
          <w:szCs w:val="20"/>
          <w:highlight w:val="none"/>
        </w:rPr>
        <w:t>评标委员会认为投标人的报价明显低于其他通过符合性审查的投标人的报价，有可能影响产品质量或者不能诚信履约的，未能在合理的时间</w:t>
      </w:r>
      <w:r>
        <w:rPr>
          <w:rFonts w:hint="eastAsia" w:ascii="宋体" w:hAnsi="宋体" w:cs="Times New Roman"/>
          <w:color w:val="auto"/>
          <w:sz w:val="24"/>
          <w:szCs w:val="20"/>
          <w:highlight w:val="none"/>
          <w:lang w:eastAsia="zh-CN"/>
        </w:rPr>
        <w:t>（</w:t>
      </w:r>
      <w:r>
        <w:rPr>
          <w:rFonts w:hint="eastAsia" w:ascii="宋体" w:hAnsi="宋体" w:cs="Times New Roman"/>
          <w:color w:val="auto"/>
          <w:sz w:val="24"/>
          <w:szCs w:val="20"/>
          <w:highlight w:val="none"/>
        </w:rPr>
        <w:t>一般不少于30分钟</w:t>
      </w:r>
      <w:r>
        <w:rPr>
          <w:rFonts w:hint="eastAsia" w:ascii="宋体" w:hAnsi="宋体" w:cs="Times New Roman"/>
          <w:color w:val="auto"/>
          <w:sz w:val="24"/>
          <w:szCs w:val="20"/>
          <w:highlight w:val="none"/>
          <w:lang w:eastAsia="zh-CN"/>
        </w:rPr>
        <w:t>）</w:t>
      </w:r>
      <w:r>
        <w:rPr>
          <w:rFonts w:hint="eastAsia" w:ascii="宋体" w:hAnsi="宋体" w:cs="Times New Roman"/>
          <w:color w:val="auto"/>
          <w:sz w:val="24"/>
          <w:szCs w:val="20"/>
          <w:highlight w:val="none"/>
        </w:rPr>
        <w:t>内提交书面说明或相关证明材料以证明其报价合理性的；</w:t>
      </w:r>
    </w:p>
    <w:p w14:paraId="0C42B875">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21.</w:t>
      </w:r>
      <w:r>
        <w:rPr>
          <w:rFonts w:hint="eastAsia" w:ascii="宋体" w:hAnsi="宋体" w:cs="Times New Roman"/>
          <w:color w:val="auto"/>
          <w:sz w:val="24"/>
          <w:szCs w:val="20"/>
          <w:highlight w:val="none"/>
        </w:rPr>
        <w:t>未通过初步资格性审查、投标文件资格性检查、投标文件符合性检查的；</w:t>
      </w:r>
    </w:p>
    <w:p w14:paraId="28A6AA4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22.</w:t>
      </w:r>
      <w:r>
        <w:rPr>
          <w:rFonts w:hint="eastAsia" w:ascii="宋体" w:hAnsi="宋体" w:cs="Times New Roman"/>
          <w:color w:val="auto"/>
          <w:sz w:val="24"/>
          <w:szCs w:val="20"/>
          <w:highlight w:val="none"/>
        </w:rPr>
        <w:t>未提供技术文件的；</w:t>
      </w:r>
    </w:p>
    <w:p w14:paraId="6399A91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23.</w:t>
      </w:r>
      <w:r>
        <w:rPr>
          <w:rFonts w:hint="eastAsia" w:ascii="宋体" w:hAnsi="宋体" w:cs="Times New Roman"/>
          <w:color w:val="auto"/>
          <w:sz w:val="24"/>
          <w:szCs w:val="20"/>
          <w:highlight w:val="none"/>
        </w:rPr>
        <w:t>列入失信被执行人、重大税收违法失信主体、政府采购严重违法失信行为记录名单及其他不符合《中华人民共和国政府采购法》第二十二条规定条件的；</w:t>
      </w:r>
    </w:p>
    <w:p w14:paraId="1D94BF0F">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24.</w:t>
      </w:r>
      <w:r>
        <w:rPr>
          <w:rFonts w:hint="eastAsia" w:ascii="宋体" w:hAnsi="宋体" w:cs="Times New Roman"/>
          <w:color w:val="auto"/>
          <w:sz w:val="24"/>
          <w:szCs w:val="20"/>
          <w:highlight w:val="none"/>
        </w:rPr>
        <w:t>不同投标人的投标文件存在明显的相似性或一致性，特征显示由同一单位或者同一个人编制的；</w:t>
      </w:r>
    </w:p>
    <w:p w14:paraId="52B98075">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25.</w:t>
      </w:r>
      <w:r>
        <w:rPr>
          <w:rFonts w:hint="eastAsia" w:ascii="宋体" w:hAnsi="宋体" w:cs="Times New Roman"/>
          <w:color w:val="auto"/>
          <w:sz w:val="24"/>
          <w:szCs w:val="20"/>
          <w:highlight w:val="none"/>
        </w:rPr>
        <w:t>不同投标人投标文件内容存在非正常一致、项目组成员或者联系人员出现同一人、投标文件中错误（或异常）一致或雷同、电子文档信息一致或雷同的；</w:t>
      </w:r>
    </w:p>
    <w:p w14:paraId="5D6A5D58">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26.</w:t>
      </w:r>
      <w:r>
        <w:rPr>
          <w:rFonts w:hint="eastAsia" w:ascii="宋体" w:hAnsi="宋体" w:cs="Times New Roman"/>
          <w:color w:val="auto"/>
          <w:sz w:val="24"/>
          <w:szCs w:val="20"/>
          <w:highlight w:val="none"/>
        </w:rPr>
        <w:t>不同投标人的委托代理人、项目负责人以及其他相关人员有在同一个单位缴纳社会保险的；</w:t>
      </w:r>
    </w:p>
    <w:p w14:paraId="63DA361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27.</w:t>
      </w:r>
      <w:r>
        <w:rPr>
          <w:rFonts w:hint="eastAsia" w:ascii="宋体" w:hAnsi="宋体" w:cs="Times New Roman"/>
          <w:color w:val="auto"/>
          <w:sz w:val="24"/>
          <w:szCs w:val="20"/>
          <w:highlight w:val="none"/>
        </w:rPr>
        <w:t>同一投标文件中单位名称落款与公章不是同一单位的；</w:t>
      </w:r>
    </w:p>
    <w:p w14:paraId="5B824DB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28.</w:t>
      </w:r>
      <w:r>
        <w:rPr>
          <w:rFonts w:hint="eastAsia" w:ascii="宋体" w:hAnsi="宋体" w:cs="Times New Roman"/>
          <w:color w:val="auto"/>
          <w:sz w:val="24"/>
          <w:szCs w:val="20"/>
          <w:highlight w:val="none"/>
        </w:rPr>
        <w:t>不同投标人委托同一单位或者个人办理投标事宜的；</w:t>
      </w:r>
    </w:p>
    <w:p w14:paraId="506A296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29.</w:t>
      </w:r>
      <w:r>
        <w:rPr>
          <w:rFonts w:hint="eastAsia" w:ascii="宋体" w:hAnsi="宋体" w:cs="Times New Roman"/>
          <w:color w:val="auto"/>
          <w:sz w:val="24"/>
          <w:szCs w:val="20"/>
          <w:highlight w:val="none"/>
        </w:rPr>
        <w:t>投标文件内容不全或不符合法律法规和招标文件中规定的其他实质性要求的。</w:t>
      </w:r>
    </w:p>
    <w:p w14:paraId="773FAEE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30.</w:t>
      </w:r>
      <w:r>
        <w:rPr>
          <w:rFonts w:hint="eastAsia" w:ascii="宋体" w:hAnsi="宋体" w:cs="Times New Roman"/>
          <w:color w:val="auto"/>
          <w:sz w:val="24"/>
          <w:szCs w:val="20"/>
          <w:highlight w:val="none"/>
        </w:rPr>
        <w:t>不同投标人的投标文件由同一台电脑编制或者同一把数字证书加密锁加密或者同一台附属设备打印的；</w:t>
      </w:r>
    </w:p>
    <w:p w14:paraId="2553A62F">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31.不同投标人的投标文件上传使用的MAC地址和IP地址一致的，其投标无效；</w:t>
      </w:r>
    </w:p>
    <w:p w14:paraId="70D6C34F">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32.电子投标文件与招标文件要求格式不一致而无法导入计算机评标系统；</w:t>
      </w:r>
    </w:p>
    <w:p w14:paraId="5A80271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33.其他法律法规及本招标文件规定的</w:t>
      </w:r>
      <w:r>
        <w:rPr>
          <w:rFonts w:hint="eastAsia" w:ascii="宋体" w:hAnsi="宋体" w:cs="Times New Roman"/>
          <w:color w:val="auto"/>
          <w:sz w:val="24"/>
          <w:szCs w:val="20"/>
          <w:highlight w:val="none"/>
          <w:lang w:eastAsia="zh-CN"/>
        </w:rPr>
        <w:t>属于</w:t>
      </w:r>
      <w:r>
        <w:rPr>
          <w:rFonts w:hint="eastAsia" w:ascii="宋体" w:hAnsi="宋体" w:cs="Times New Roman"/>
          <w:color w:val="auto"/>
          <w:sz w:val="24"/>
          <w:szCs w:val="20"/>
          <w:highlight w:val="none"/>
        </w:rPr>
        <w:t>无效投标的情形。</w:t>
      </w:r>
    </w:p>
    <w:p w14:paraId="0A3CD4F5">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 xml:space="preserve"> （九）开标、评标：</w:t>
      </w:r>
    </w:p>
    <w:p w14:paraId="6D4C9D4E">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w:t>
      </w:r>
      <w:r>
        <w:rPr>
          <w:rFonts w:hint="eastAsia" w:ascii="宋体" w:hAnsi="宋体" w:cs="Times New Roman"/>
          <w:color w:val="auto"/>
          <w:sz w:val="24"/>
          <w:szCs w:val="20"/>
          <w:highlight w:val="none"/>
        </w:rPr>
        <w:t>所有投标单位在招标文件规定的时间内解密各自投标文件。</w:t>
      </w:r>
    </w:p>
    <w:p w14:paraId="51561DF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2.</w:t>
      </w:r>
      <w:r>
        <w:rPr>
          <w:rFonts w:hint="eastAsia" w:ascii="宋体" w:hAnsi="宋体" w:cs="Times New Roman"/>
          <w:color w:val="auto"/>
          <w:sz w:val="24"/>
          <w:szCs w:val="20"/>
          <w:highlight w:val="none"/>
        </w:rPr>
        <w:t>解密时，供应商须自行准备设备（包括但不限于笔记本电脑、CA锁、无线网络）登录“江苏省政府采购（苏采云）平台”，按招标文件规定时间解密后，在评审过程中保持在线，等待评标委员会的询问，并等待评审结果，中途不得离开。如未按要求应答，由此所产生的损失及风险由供应商自行承担。</w:t>
      </w:r>
    </w:p>
    <w:p w14:paraId="4F9C1574">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3.投标人如果对开标过程和开标记录有疑义，应当根据《操作手册》规定提出，如“苏采云”系统中《开标记录表》宣布后5分钟内未提出的，视同认可开标结果。</w:t>
      </w:r>
    </w:p>
    <w:p w14:paraId="170126F0">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4.投标截止时间后参加投标的供应商或解密投标文件的供应商不足三家的，不开标；开标后，所有投标人可在线上开标大厅中看到所有投标人的投标报价。</w:t>
      </w:r>
    </w:p>
    <w:p w14:paraId="252F8B6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5.投标文件的审查</w:t>
      </w:r>
    </w:p>
    <w:p w14:paraId="4F0EBC1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（1）</w:t>
      </w:r>
      <w:r>
        <w:rPr>
          <w:rFonts w:hint="eastAsia" w:ascii="宋体" w:hAnsi="宋体" w:cs="Times New Roman"/>
          <w:color w:val="auto"/>
          <w:sz w:val="24"/>
          <w:szCs w:val="20"/>
          <w:highlight w:val="none"/>
        </w:rPr>
        <w:t xml:space="preserve"> 投标文件报价出现前后不一致的，按照下列规定修正： </w:t>
      </w:r>
    </w:p>
    <w:p w14:paraId="369F65B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①投标文件中开标一览表（报价表）内容与投标文件中相应内容不一致的，以开标一览表（报价表）为准；</w:t>
      </w:r>
    </w:p>
    <w:p w14:paraId="222AD47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②大写金额和小写金额不一致的，以大写金额为准；</w:t>
      </w:r>
    </w:p>
    <w:p w14:paraId="621BC24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③单价金额小数点或者百分比有明显错位的，以开标一览表的总价为准，并修改单价；</w:t>
      </w:r>
    </w:p>
    <w:p w14:paraId="29709E14">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④总价金额与按单价汇总金额不一致的，以单价金额计算结果为准。</w:t>
      </w:r>
    </w:p>
    <w:p w14:paraId="3FE79B65">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16D65AB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（2）电子投标文件与纸质投标文件（如有）不符的，以电子投标文件为准。</w:t>
      </w:r>
    </w:p>
    <w:p w14:paraId="6D0B1ED4">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（3）投标人未参加开标的，视同认可开标结果。</w:t>
      </w:r>
    </w:p>
    <w:p w14:paraId="5545F34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6.评标程序</w:t>
      </w:r>
    </w:p>
    <w:p w14:paraId="60F68F2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评标工作由江苏宏翔工程造价咨询有限公司负责组织，具体评标事务由依法组建的评标委员会负责。</w:t>
      </w:r>
    </w:p>
    <w:p w14:paraId="55242C6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（1）投标文件初审。初审分为资格性检查和符合性检查。</w:t>
      </w:r>
    </w:p>
    <w:p w14:paraId="0DB79A3C">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A．资格性检查。采购人依据法律法规和招标文件的规定，对投标文件中的资格证明、投标（报价）承诺函等进行审查；通过“信用中国”网站（www.creditchina.gov.cn）、中国政府采购网（www.ccgp.gov.cn）、 查询投标人在投标截止时间之前，是否被列入失信被执行人、重大税收违法案件失信主体、政府采购严重违法失信行为记录名单，以确定投标人是否具备投标资格。信用查询结果以网页打印的形式留存并归档。</w:t>
      </w:r>
    </w:p>
    <w:p w14:paraId="19241485">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B．符合性检查。评标委员会依据招标文件的规定，从投标文件的有效性、完整性和对招标文件的响应程度进行审查，以确定是否对招标文件的实质性要求作出响应。</w:t>
      </w:r>
    </w:p>
    <w:p w14:paraId="7ED78D0E">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C.</w:t>
      </w:r>
      <w:r>
        <w:rPr>
          <w:rFonts w:hint="eastAsia" w:ascii="宋体" w:hAnsi="宋体" w:cs="Times New Roman"/>
          <w:color w:val="auto"/>
          <w:sz w:val="24"/>
          <w:szCs w:val="20"/>
          <w:highlight w:val="none"/>
        </w:rPr>
        <w:t>异常低价投标（响应）审查</w:t>
      </w:r>
    </w:p>
    <w:p w14:paraId="4C5E24CF">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1</w:t>
      </w:r>
      <w:r>
        <w:rPr>
          <w:rFonts w:hint="eastAsia" w:ascii="宋体" w:hAnsi="宋体" w:cs="Times New Roman"/>
          <w:color w:val="auto"/>
          <w:sz w:val="24"/>
          <w:szCs w:val="20"/>
          <w:highlight w:val="none"/>
        </w:rPr>
        <w:t>）根据《关于推动解决政府采购异常低价问题的通知》（</w:t>
      </w:r>
      <w:bookmarkStart w:id="3" w:name="OLE_LINK2"/>
      <w:r>
        <w:rPr>
          <w:rFonts w:hint="eastAsia" w:ascii="宋体" w:hAnsi="宋体" w:cs="Times New Roman"/>
          <w:color w:val="auto"/>
          <w:sz w:val="24"/>
          <w:szCs w:val="20"/>
          <w:highlight w:val="none"/>
        </w:rPr>
        <w:t>财库〔2026〕2号</w:t>
      </w:r>
      <w:bookmarkEnd w:id="3"/>
      <w:r>
        <w:rPr>
          <w:rFonts w:hint="eastAsia" w:ascii="宋体" w:hAnsi="宋体" w:cs="Times New Roman"/>
          <w:color w:val="auto"/>
          <w:sz w:val="24"/>
          <w:szCs w:val="20"/>
          <w:highlight w:val="none"/>
        </w:rPr>
        <w:t>）要求，政府采购评审中出现下列情形之一的，评审委员会应当启动异常低价投标（响应）审查程序：</w:t>
      </w:r>
    </w:p>
    <w:p w14:paraId="4B1C884D">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①</w:t>
      </w:r>
      <w:r>
        <w:rPr>
          <w:rFonts w:hint="eastAsia" w:ascii="宋体" w:hAnsi="宋体" w:cs="Times New Roman"/>
          <w:color w:val="auto"/>
          <w:sz w:val="24"/>
          <w:szCs w:val="20"/>
          <w:highlight w:val="none"/>
        </w:rPr>
        <w:t>投标（响应）报价低于全部通过符合性审查供应商投标（响应）报价平均值50%的，即投标（响应）报价＜全部通过符合性审查供应商投标（响应）报价平均值×50%；</w:t>
      </w:r>
    </w:p>
    <w:p w14:paraId="263F3598">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②</w:t>
      </w:r>
      <w:r>
        <w:rPr>
          <w:rFonts w:hint="eastAsia" w:ascii="宋体" w:hAnsi="宋体" w:cs="Times New Roman"/>
          <w:color w:val="auto"/>
          <w:sz w:val="24"/>
          <w:szCs w:val="20"/>
          <w:highlight w:val="none"/>
        </w:rPr>
        <w:t>投标（响应）报价低于通过符合性审查的次低报价供应商投标（响应）报价50%的，即投标（响应）报价＜通过符合性审查的次低报价供应商投标（响应）报价×50%；</w:t>
      </w:r>
    </w:p>
    <w:p w14:paraId="6F92A189">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③</w:t>
      </w:r>
      <w:r>
        <w:rPr>
          <w:rFonts w:hint="eastAsia" w:ascii="宋体" w:hAnsi="宋体" w:cs="Times New Roman"/>
          <w:color w:val="auto"/>
          <w:sz w:val="24"/>
          <w:szCs w:val="20"/>
          <w:highlight w:val="none"/>
        </w:rPr>
        <w:t>投标（响应）报价低于采购项目最高限价45%的，即投标（响应）报价＜采购项目最高限价×45%；</w:t>
      </w:r>
    </w:p>
    <w:p w14:paraId="136D09AD">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④</w:t>
      </w:r>
      <w:r>
        <w:rPr>
          <w:rFonts w:hint="eastAsia" w:ascii="宋体" w:hAnsi="宋体" w:cs="Times New Roman"/>
          <w:color w:val="auto"/>
          <w:sz w:val="24"/>
          <w:szCs w:val="20"/>
          <w:highlight w:val="none"/>
        </w:rPr>
        <w:t>评审委员会基于专业判断，认为供应商报价过低，有可能影响产品质量或者不能诚信履约的其他情形。</w:t>
      </w:r>
    </w:p>
    <w:p w14:paraId="1375AF3E">
      <w:pPr>
        <w:widowControl w:val="0"/>
        <w:spacing w:after="0" w:line="460" w:lineRule="exact"/>
        <w:ind w:firstLine="480"/>
        <w:jc w:val="both"/>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相关法律法规对供应商报价有规定的，从其规定。</w:t>
      </w:r>
    </w:p>
    <w:p w14:paraId="411EB4C1">
      <w:pPr>
        <w:widowControl w:val="0"/>
        <w:spacing w:after="0" w:line="460" w:lineRule="exact"/>
        <w:ind w:firstLine="480"/>
        <w:jc w:val="both"/>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如果项目或采购包存在有分项价格最高限价要求或单价最高限价（最高限制单价）要求时，有上述情形的，应当启动异常低价投标（响应）审查程序。</w:t>
      </w:r>
    </w:p>
    <w:p w14:paraId="79BDA67F">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2</w:t>
      </w:r>
      <w:r>
        <w:rPr>
          <w:rFonts w:hint="eastAsia" w:ascii="宋体" w:hAnsi="宋体" w:cs="Times New Roman"/>
          <w:color w:val="auto"/>
          <w:sz w:val="24"/>
          <w:szCs w:val="20"/>
          <w:highlight w:val="none"/>
          <w:lang w:eastAsia="zh-CN"/>
        </w:rPr>
        <w:t>）</w:t>
      </w:r>
      <w:r>
        <w:rPr>
          <w:rFonts w:hint="eastAsia" w:ascii="宋体" w:hAnsi="宋体" w:cs="Times New Roman"/>
          <w:color w:val="auto"/>
          <w:sz w:val="24"/>
          <w:szCs w:val="20"/>
          <w:highlight w:val="none"/>
        </w:rPr>
        <w:t>评审委员会启动异常低价投标（响应）审查后，属于前述第</w:t>
      </w:r>
      <w:r>
        <w:rPr>
          <w:rFonts w:hint="eastAsia" w:ascii="宋体" w:hAnsi="宋体" w:cs="Times New Roman"/>
          <w:color w:val="auto"/>
          <w:sz w:val="24"/>
          <w:szCs w:val="20"/>
          <w:highlight w:val="none"/>
          <w:lang w:val="en-US" w:eastAsia="zh-CN"/>
        </w:rPr>
        <w:t>①</w:t>
      </w:r>
      <w:r>
        <w:rPr>
          <w:rFonts w:hint="eastAsia" w:ascii="宋体" w:hAnsi="宋体" w:cs="Times New Roman"/>
          <w:color w:val="auto"/>
          <w:sz w:val="24"/>
          <w:szCs w:val="20"/>
          <w:highlight w:val="none"/>
        </w:rPr>
        <w:t>项至第</w:t>
      </w:r>
      <w:r>
        <w:rPr>
          <w:rFonts w:hint="eastAsia" w:ascii="宋体" w:hAnsi="宋体" w:cs="Times New Roman"/>
          <w:color w:val="auto"/>
          <w:sz w:val="24"/>
          <w:szCs w:val="20"/>
          <w:highlight w:val="none"/>
          <w:lang w:val="en-US" w:eastAsia="zh-CN"/>
        </w:rPr>
        <w:t>④</w:t>
      </w:r>
      <w:r>
        <w:rPr>
          <w:rFonts w:hint="eastAsia" w:ascii="宋体" w:hAnsi="宋体" w:cs="Times New Roman"/>
          <w:color w:val="auto"/>
          <w:sz w:val="24"/>
          <w:szCs w:val="20"/>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Times New Roman"/>
          <w:color w:val="auto"/>
          <w:sz w:val="24"/>
          <w:szCs w:val="20"/>
          <w:highlight w:val="none"/>
          <w:lang w:val="en-US" w:eastAsia="zh-CN"/>
        </w:rPr>
        <w:t>③</w:t>
      </w:r>
      <w:r>
        <w:rPr>
          <w:rFonts w:hint="eastAsia" w:ascii="宋体" w:hAnsi="宋体" w:cs="Times New Roman"/>
          <w:color w:val="auto"/>
          <w:sz w:val="24"/>
          <w:szCs w:val="20"/>
          <w:highlight w:val="none"/>
        </w:rPr>
        <w:t>项情形，供应商已随投标（响应）文件一并提交相关书面说明及必要的证明材料的，在评审现场可不再重复提交。</w:t>
      </w:r>
    </w:p>
    <w:p w14:paraId="41902AB1">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3</w:t>
      </w:r>
      <w:r>
        <w:rPr>
          <w:rFonts w:hint="eastAsia" w:ascii="宋体" w:hAnsi="宋体" w:cs="Times New Roman"/>
          <w:color w:val="auto"/>
          <w:sz w:val="24"/>
          <w:szCs w:val="20"/>
          <w:highlight w:val="none"/>
          <w:lang w:eastAsia="zh-CN"/>
        </w:rPr>
        <w:t>）</w:t>
      </w:r>
      <w:r>
        <w:rPr>
          <w:rFonts w:hint="eastAsia" w:ascii="宋体" w:hAnsi="宋体" w:cs="Times New Roman"/>
          <w:color w:val="auto"/>
          <w:sz w:val="24"/>
          <w:szCs w:val="2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006E64">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4</w:t>
      </w:r>
      <w:r>
        <w:rPr>
          <w:rFonts w:hint="eastAsia" w:ascii="宋体" w:hAnsi="宋体" w:cs="Times New Roman"/>
          <w:color w:val="auto"/>
          <w:sz w:val="24"/>
          <w:szCs w:val="20"/>
          <w:highlight w:val="none"/>
          <w:lang w:eastAsia="zh-CN"/>
        </w:rPr>
        <w:t>）</w:t>
      </w:r>
      <w:r>
        <w:rPr>
          <w:rFonts w:hint="eastAsia" w:ascii="宋体" w:hAnsi="宋体" w:cs="Times New Roman"/>
          <w:color w:val="auto"/>
          <w:sz w:val="24"/>
          <w:szCs w:val="20"/>
          <w:highlight w:val="none"/>
        </w:rPr>
        <w:t>异常低价投标（响应）审查的启动原因、审查意见和审查结果应当在评审报告中记录，并随供应商提供的相关书面说明及证明材料，以及评审委员会有关互联网浏览、查询历史一并归档。</w:t>
      </w:r>
    </w:p>
    <w:p w14:paraId="4574E295">
      <w:pPr>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财政部门在投诉处理、监督检查中发现评审委员会未按规定对异常低价开展审查的，依法予以纠正并追究评审专家的法律责任。</w:t>
      </w:r>
    </w:p>
    <w:p w14:paraId="16C5F6A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D</w:t>
      </w:r>
      <w:r>
        <w:rPr>
          <w:rFonts w:hint="eastAsia" w:ascii="宋体" w:hAnsi="宋体" w:cs="Times New Roman"/>
          <w:color w:val="auto"/>
          <w:sz w:val="24"/>
          <w:szCs w:val="20"/>
          <w:highlight w:val="none"/>
        </w:rPr>
        <w:t>.未通过资格审查或符合性审查的投标人，将在“苏采云”系统中告知未通过资格审查或符合性审查的原因，评标结束后，将不再告知未通过资格审查和符合性审查的原因。</w:t>
      </w:r>
    </w:p>
    <w:p w14:paraId="69A319A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E</w:t>
      </w:r>
      <w:r>
        <w:rPr>
          <w:rFonts w:hint="eastAsia" w:ascii="宋体" w:hAnsi="宋体" w:cs="Times New Roman"/>
          <w:color w:val="auto"/>
          <w:sz w:val="24"/>
          <w:szCs w:val="20"/>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1B7D93D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ADD625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F</w:t>
      </w:r>
      <w:r>
        <w:rPr>
          <w:rFonts w:hint="eastAsia" w:ascii="宋体" w:hAnsi="宋体" w:cs="Times New Roman"/>
          <w:color w:val="auto"/>
          <w:sz w:val="24"/>
          <w:szCs w:val="20"/>
          <w:highlight w:val="none"/>
        </w:rPr>
        <w:t>.如果投标文件实质上没有响应招标文件的要求，评委会将予以拒绝，其投标文件无效，投标人不得通过修改或撤销不合要求的偏离或保留而使其投标成为实质性响应的投标。</w:t>
      </w:r>
    </w:p>
    <w:p w14:paraId="70E9F8F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p>
    <w:p w14:paraId="68814314">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（3）比较与评价。评标委员会按招标文件中规定的评标方法和标准，对资格性检查和符合性检查合格的投标文件进行商务和技术评估，综合比较与评价。</w:t>
      </w:r>
    </w:p>
    <w:p w14:paraId="29D41D1F">
      <w:pPr>
        <w:keepNext w:val="0"/>
        <w:keepLines w:val="0"/>
        <w:pageBreakBefore w:val="0"/>
        <w:widowControl w:val="0"/>
        <w:spacing w:after="0" w:line="42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7.评标方法</w:t>
      </w:r>
    </w:p>
    <w:p w14:paraId="2A3B6DEF">
      <w:pPr>
        <w:keepNext w:val="0"/>
        <w:keepLines w:val="0"/>
        <w:pageBreakBefore w:val="0"/>
        <w:widowControl w:val="0"/>
        <w:spacing w:after="0" w:line="42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投标人通过初审的，方可进入比较与评价程序。</w:t>
      </w:r>
    </w:p>
    <w:p w14:paraId="691E0218">
      <w:pPr>
        <w:keepNext w:val="0"/>
        <w:keepLines w:val="0"/>
        <w:pageBreakBefore w:val="0"/>
        <w:widowControl w:val="0"/>
        <w:spacing w:after="0" w:line="42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比较与评价采用综合评分法（计分均保留2位小数）。</w:t>
      </w:r>
    </w:p>
    <w:p w14:paraId="1B230E5D">
      <w:pPr>
        <w:keepNext w:val="0"/>
        <w:keepLines w:val="0"/>
        <w:pageBreakBefore w:val="0"/>
        <w:widowControl w:val="0"/>
        <w:spacing w:after="0" w:line="42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评审委员会遵循公平、公正、择优原则，独立按照评分标准分别评定投标人的分值；各投标人的最终得分为各评委所评定分值的平均值，评标结果按评审后得分由高到低顺序排列。得分相同的，按投标报价由低到高顺序排列。得分且投标报价相同的并列。并列的按技术标指标优劣顺序排列。投标文件满足招标文件全部实质性要求，且按照评审因素的量化指标评审得分最高的投标人为排名第一的中标候选人。未列入本评分细则的其他条件不作为评分内容。</w:t>
      </w:r>
    </w:p>
    <w:p w14:paraId="687A15E8">
      <w:pPr>
        <w:keepNext w:val="0"/>
        <w:keepLines w:val="0"/>
        <w:pageBreakBefore w:val="0"/>
        <w:widowControl w:val="0"/>
        <w:spacing w:after="0" w:line="42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核心产品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687DA8C">
      <w:pPr>
        <w:keepNext w:val="0"/>
        <w:keepLines w:val="0"/>
        <w:pageBreakBefore w:val="0"/>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8.评分标准</w:t>
      </w:r>
    </w:p>
    <w:p w14:paraId="344E2FD5">
      <w:pPr>
        <w:keepNext w:val="0"/>
        <w:keepLines w:val="0"/>
        <w:pageBreakBefore w:val="0"/>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（一）评分项目及总分（总分100分）</w:t>
      </w:r>
    </w:p>
    <w:p w14:paraId="6E174775">
      <w:pPr>
        <w:keepNext w:val="0"/>
        <w:keepLines w:val="0"/>
        <w:pageBreakBefore w:val="0"/>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（1）报价                                30分</w:t>
      </w:r>
    </w:p>
    <w:p w14:paraId="09D2A7CA">
      <w:pPr>
        <w:keepNext w:val="0"/>
        <w:keepLines w:val="0"/>
        <w:pageBreakBefore w:val="0"/>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（2）投标人评价                          </w:t>
      </w:r>
      <w:r>
        <w:rPr>
          <w:rFonts w:hint="eastAsia" w:ascii="宋体" w:hAnsi="宋体" w:cs="Times New Roman"/>
          <w:b/>
          <w:bCs/>
          <w:color w:val="auto"/>
          <w:sz w:val="24"/>
          <w:szCs w:val="20"/>
          <w:highlight w:val="none"/>
          <w:lang w:val="en-US" w:eastAsia="zh-CN"/>
        </w:rPr>
        <w:t xml:space="preserve"> </w:t>
      </w:r>
      <w:r>
        <w:rPr>
          <w:rFonts w:hint="eastAsia" w:ascii="宋体" w:hAnsi="宋体" w:cs="Times New Roman"/>
          <w:b/>
          <w:bCs/>
          <w:color w:val="auto"/>
          <w:sz w:val="24"/>
          <w:szCs w:val="20"/>
          <w:highlight w:val="none"/>
        </w:rPr>
        <w:t>8分</w:t>
      </w:r>
    </w:p>
    <w:p w14:paraId="4529BF6F">
      <w:pPr>
        <w:keepNext w:val="0"/>
        <w:keepLines w:val="0"/>
        <w:pageBreakBefore w:val="0"/>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（3）技术规格及性能                      </w:t>
      </w:r>
      <w:r>
        <w:rPr>
          <w:rFonts w:hint="eastAsia" w:ascii="宋体" w:hAnsi="宋体" w:cs="Times New Roman"/>
          <w:b/>
          <w:bCs/>
          <w:color w:val="auto"/>
          <w:sz w:val="24"/>
          <w:szCs w:val="20"/>
          <w:highlight w:val="none"/>
          <w:lang w:val="en-US" w:eastAsia="zh-CN"/>
        </w:rPr>
        <w:t>17</w:t>
      </w:r>
      <w:r>
        <w:rPr>
          <w:rFonts w:hint="eastAsia" w:ascii="宋体" w:hAnsi="宋体" w:cs="Times New Roman"/>
          <w:b/>
          <w:bCs/>
          <w:color w:val="auto"/>
          <w:sz w:val="24"/>
          <w:szCs w:val="20"/>
          <w:highlight w:val="none"/>
        </w:rPr>
        <w:t>分</w:t>
      </w:r>
    </w:p>
    <w:p w14:paraId="1B6F146B">
      <w:pPr>
        <w:keepNext w:val="0"/>
        <w:keepLines w:val="0"/>
        <w:pageBreakBefore w:val="0"/>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（4）技术服务方案                       </w:t>
      </w:r>
      <w:r>
        <w:rPr>
          <w:rFonts w:hint="eastAsia" w:ascii="宋体" w:hAnsi="宋体" w:cs="Times New Roman"/>
          <w:b/>
          <w:bCs/>
          <w:color w:val="auto"/>
          <w:sz w:val="24"/>
          <w:szCs w:val="20"/>
          <w:highlight w:val="none"/>
          <w:lang w:val="en-US" w:eastAsia="zh-CN"/>
        </w:rPr>
        <w:t xml:space="preserve"> 43</w:t>
      </w:r>
      <w:r>
        <w:rPr>
          <w:rFonts w:hint="eastAsia" w:ascii="宋体" w:hAnsi="宋体" w:cs="Times New Roman"/>
          <w:b/>
          <w:bCs/>
          <w:color w:val="auto"/>
          <w:sz w:val="24"/>
          <w:szCs w:val="20"/>
          <w:highlight w:val="none"/>
        </w:rPr>
        <w:t>分</w:t>
      </w:r>
    </w:p>
    <w:p w14:paraId="3575AA78">
      <w:pPr>
        <w:keepNext w:val="0"/>
        <w:keepLines w:val="0"/>
        <w:pageBreakBefore w:val="0"/>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（5）加分因素                             2分</w:t>
      </w:r>
    </w:p>
    <w:p w14:paraId="7305D5E3">
      <w:pPr>
        <w:keepNext w:val="0"/>
        <w:keepLines w:val="0"/>
        <w:pageBreakBefore w:val="0"/>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（二）各项目评分标准</w:t>
      </w:r>
    </w:p>
    <w:p w14:paraId="0BDEE068">
      <w:pPr>
        <w:keepNext w:val="0"/>
        <w:keepLines w:val="0"/>
        <w:pageBreakBefore w:val="0"/>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（1）报价（30分）</w:t>
      </w:r>
    </w:p>
    <w:p w14:paraId="697F03BD">
      <w:pPr>
        <w:keepNext w:val="0"/>
        <w:keepLines w:val="0"/>
        <w:pageBreakBefore w:val="0"/>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采用低价优先法计算，即满足招标文件要求且投标价格最低的投标报价为评标基准价，其价格分为满分。其他投标人的价格分统一按照下列公式计算：</w:t>
      </w:r>
    </w:p>
    <w:p w14:paraId="001A893C">
      <w:pPr>
        <w:keepNext w:val="0"/>
        <w:keepLines w:val="0"/>
        <w:pageBreakBefore w:val="0"/>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投标报价得分=（评标基准价/投标报价）×30。</w:t>
      </w:r>
    </w:p>
    <w:p w14:paraId="5C7846AC">
      <w:pPr>
        <w:keepNext w:val="0"/>
        <w:keepLines w:val="0"/>
        <w:pageBreakBefore w:val="0"/>
        <w:widowControl w:val="0"/>
        <w:spacing w:after="0" w:line="460" w:lineRule="exact"/>
        <w:ind w:firstLine="480"/>
        <w:jc w:val="both"/>
        <w:rPr>
          <w:rFonts w:hint="eastAsia" w:ascii="宋体" w:hAnsi="宋体" w:cs="Times New Roman"/>
          <w:b/>
          <w:bCs/>
          <w:color w:val="auto"/>
          <w:sz w:val="24"/>
          <w:szCs w:val="20"/>
          <w:highlight w:val="none"/>
        </w:rPr>
      </w:pPr>
      <w:r>
        <w:rPr>
          <w:rFonts w:hint="eastAsia" w:ascii="宋体" w:hAnsi="宋体" w:cs="Times New Roman"/>
          <w:b/>
          <w:bCs/>
          <w:color w:val="auto"/>
          <w:sz w:val="24"/>
          <w:szCs w:val="20"/>
          <w:highlight w:val="none"/>
        </w:rPr>
        <w:t>注：本项目</w:t>
      </w:r>
      <w:r>
        <w:rPr>
          <w:rFonts w:hint="eastAsia" w:ascii="宋体" w:hAnsi="宋体" w:cs="Times New Roman"/>
          <w:b/>
          <w:bCs/>
          <w:color w:val="auto"/>
          <w:sz w:val="24"/>
          <w:szCs w:val="20"/>
          <w:highlight w:val="none"/>
          <w:lang w:val="en-US" w:eastAsia="zh-CN"/>
        </w:rPr>
        <w:t>为</w:t>
      </w:r>
      <w:r>
        <w:rPr>
          <w:rFonts w:hint="eastAsia" w:ascii="宋体" w:hAnsi="宋体" w:cs="Times New Roman"/>
          <w:b/>
          <w:bCs/>
          <w:color w:val="auto"/>
          <w:sz w:val="24"/>
          <w:szCs w:val="20"/>
          <w:highlight w:val="none"/>
        </w:rPr>
        <w:t>专门面向中小/小微企业的项目</w:t>
      </w:r>
      <w:r>
        <w:rPr>
          <w:rFonts w:hint="eastAsia" w:ascii="宋体" w:hAnsi="宋体" w:cs="Times New Roman"/>
          <w:b/>
          <w:bCs/>
          <w:color w:val="auto"/>
          <w:sz w:val="24"/>
          <w:szCs w:val="20"/>
          <w:highlight w:val="none"/>
          <w:lang w:eastAsia="zh-CN"/>
        </w:rPr>
        <w:t>，</w:t>
      </w:r>
      <w:r>
        <w:rPr>
          <w:rFonts w:hint="eastAsia" w:ascii="宋体" w:hAnsi="宋体" w:cs="Times New Roman"/>
          <w:b/>
          <w:bCs/>
          <w:color w:val="auto"/>
          <w:sz w:val="24"/>
          <w:szCs w:val="20"/>
          <w:highlight w:val="none"/>
        </w:rPr>
        <w:t>不做价格扣除。</w:t>
      </w:r>
    </w:p>
    <w:p w14:paraId="7FF1F747">
      <w:pPr>
        <w:keepNext w:val="0"/>
        <w:keepLines w:val="0"/>
        <w:pageBreakBefore w:val="0"/>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（2）投标人评价（8分）</w:t>
      </w:r>
    </w:p>
    <w:p w14:paraId="6BD8FFC6">
      <w:pPr>
        <w:keepNext w:val="0"/>
        <w:keepLines w:val="0"/>
        <w:pageBreakBefore w:val="0"/>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1）投标人所提供的整体质保期在满足招标文件要求的前提下，每延长</w:t>
      </w:r>
      <w:r>
        <w:rPr>
          <w:rFonts w:hint="eastAsia" w:ascii="宋体" w:hAnsi="宋体" w:cs="Times New Roman"/>
          <w:color w:val="auto"/>
          <w:sz w:val="24"/>
          <w:szCs w:val="20"/>
          <w:highlight w:val="none"/>
          <w:lang w:val="en-US" w:eastAsia="zh-CN"/>
        </w:rPr>
        <w:t>1</w:t>
      </w:r>
      <w:r>
        <w:rPr>
          <w:rFonts w:hint="eastAsia" w:ascii="宋体" w:hAnsi="宋体" w:cs="Times New Roman"/>
          <w:color w:val="auto"/>
          <w:sz w:val="24"/>
          <w:szCs w:val="20"/>
          <w:highlight w:val="none"/>
        </w:rPr>
        <w:t>年加</w:t>
      </w:r>
      <w:r>
        <w:rPr>
          <w:rFonts w:hint="eastAsia" w:ascii="宋体" w:hAnsi="宋体" w:cs="Times New Roman"/>
          <w:color w:val="auto"/>
          <w:sz w:val="24"/>
          <w:szCs w:val="20"/>
          <w:highlight w:val="none"/>
          <w:lang w:val="en-US" w:eastAsia="zh-CN"/>
        </w:rPr>
        <w:t>2</w:t>
      </w:r>
      <w:r>
        <w:rPr>
          <w:rFonts w:hint="eastAsia" w:ascii="宋体" w:hAnsi="宋体" w:cs="Times New Roman"/>
          <w:color w:val="auto"/>
          <w:sz w:val="24"/>
          <w:szCs w:val="20"/>
          <w:highlight w:val="none"/>
        </w:rPr>
        <w:t>分，本项最高得4分。（提供承诺书上传至投标系统，承诺书格式自拟，不提供不得分）</w:t>
      </w:r>
    </w:p>
    <w:p w14:paraId="0222404E">
      <w:pPr>
        <w:keepNext w:val="0"/>
        <w:keepLines w:val="0"/>
        <w:pageBreakBefore w:val="0"/>
        <w:widowControl w:val="0"/>
        <w:spacing w:after="0" w:line="460" w:lineRule="exact"/>
        <w:ind w:firstLine="480"/>
        <w:jc w:val="both"/>
        <w:rPr>
          <w:rFonts w:ascii="宋体" w:hAnsi="宋体"/>
          <w:color w:val="auto"/>
          <w:sz w:val="24"/>
          <w:szCs w:val="20"/>
          <w:highlight w:val="none"/>
        </w:rPr>
      </w:pPr>
      <w:r>
        <w:rPr>
          <w:rFonts w:hint="eastAsia" w:ascii="宋体" w:hAnsi="宋体" w:cs="Times New Roman"/>
          <w:color w:val="auto"/>
          <w:sz w:val="24"/>
          <w:szCs w:val="20"/>
          <w:highlight w:val="none"/>
        </w:rPr>
        <w:t>2）投标人自20</w:t>
      </w:r>
      <w:r>
        <w:rPr>
          <w:rFonts w:hint="eastAsia" w:ascii="宋体" w:hAnsi="宋体" w:cs="Times New Roman"/>
          <w:color w:val="auto"/>
          <w:sz w:val="24"/>
          <w:szCs w:val="20"/>
          <w:highlight w:val="none"/>
          <w:lang w:val="en-US" w:eastAsia="zh-CN"/>
        </w:rPr>
        <w:t>23</w:t>
      </w:r>
      <w:r>
        <w:rPr>
          <w:rFonts w:hint="eastAsia" w:ascii="宋体" w:hAnsi="宋体" w:cs="Times New Roman"/>
          <w:color w:val="auto"/>
          <w:sz w:val="24"/>
          <w:szCs w:val="20"/>
          <w:highlight w:val="none"/>
        </w:rPr>
        <w:t>年1月1日以来承担过同类项目</w:t>
      </w:r>
      <w:r>
        <w:rPr>
          <w:rFonts w:hint="eastAsia" w:ascii="宋体" w:hAnsi="宋体" w:cs="Times New Roman"/>
          <w:b/>
          <w:bCs/>
          <w:color w:val="auto"/>
          <w:sz w:val="24"/>
          <w:szCs w:val="20"/>
          <w:highlight w:val="none"/>
        </w:rPr>
        <w:t>（</w:t>
      </w:r>
      <w:r>
        <w:rPr>
          <w:rFonts w:hint="eastAsia" w:ascii="宋体" w:hAnsi="宋体" w:eastAsia="宋体" w:cs="宋体"/>
          <w:b/>
          <w:bCs/>
          <w:color w:val="auto"/>
          <w:sz w:val="24"/>
          <w:szCs w:val="24"/>
          <w:highlight w:val="none"/>
          <w:lang w:val="en-US" w:eastAsia="zh-CN"/>
        </w:rPr>
        <w:t>克组砝码自动检定装置</w:t>
      </w:r>
      <w:r>
        <w:rPr>
          <w:rFonts w:hint="eastAsia" w:ascii="宋体" w:hAnsi="宋体" w:cs="Times New Roman"/>
          <w:b/>
          <w:bCs/>
          <w:color w:val="auto"/>
          <w:sz w:val="24"/>
          <w:szCs w:val="20"/>
          <w:highlight w:val="none"/>
        </w:rPr>
        <w:t>）</w:t>
      </w:r>
      <w:r>
        <w:rPr>
          <w:rFonts w:hint="eastAsia" w:ascii="宋体" w:hAnsi="宋体" w:cs="Times New Roman"/>
          <w:color w:val="auto"/>
          <w:sz w:val="24"/>
          <w:szCs w:val="20"/>
          <w:highlight w:val="none"/>
        </w:rPr>
        <w:t>的，有一个得2分，本项最高得4分，时间以合同签订时间为准，</w:t>
      </w:r>
      <w:r>
        <w:rPr>
          <w:rFonts w:hint="eastAsia" w:ascii="宋体" w:hAnsi="宋体"/>
          <w:color w:val="auto"/>
          <w:sz w:val="24"/>
          <w:szCs w:val="20"/>
          <w:highlight w:val="none"/>
        </w:rPr>
        <w:t>提供合同、</w:t>
      </w:r>
      <w:r>
        <w:rPr>
          <w:rFonts w:ascii="宋体" w:hAnsi="宋体"/>
          <w:color w:val="auto"/>
          <w:sz w:val="24"/>
          <w:szCs w:val="20"/>
          <w:highlight w:val="none"/>
        </w:rPr>
        <w:t>发票</w:t>
      </w:r>
      <w:r>
        <w:rPr>
          <w:rFonts w:hint="eastAsia" w:ascii="宋体" w:hAnsi="宋体"/>
          <w:color w:val="auto"/>
          <w:sz w:val="24"/>
          <w:szCs w:val="20"/>
          <w:highlight w:val="none"/>
        </w:rPr>
        <w:t>及履约验收证明材料原件扫描件上传至投标系统，不提供或</w:t>
      </w:r>
      <w:r>
        <w:rPr>
          <w:rFonts w:ascii="宋体" w:hAnsi="宋体"/>
          <w:color w:val="auto"/>
          <w:sz w:val="24"/>
          <w:szCs w:val="20"/>
          <w:highlight w:val="none"/>
        </w:rPr>
        <w:t>提供不全</w:t>
      </w:r>
      <w:r>
        <w:rPr>
          <w:rFonts w:hint="eastAsia" w:ascii="宋体" w:hAnsi="宋体"/>
          <w:color w:val="auto"/>
          <w:sz w:val="24"/>
          <w:szCs w:val="20"/>
          <w:highlight w:val="none"/>
        </w:rPr>
        <w:t>不得分，同一客户不同时间的合同不重复计取。</w:t>
      </w:r>
    </w:p>
    <w:p w14:paraId="6AEB75CE">
      <w:pPr>
        <w:keepNext w:val="0"/>
        <w:keepLines w:val="0"/>
        <w:pageBreakBefore w:val="0"/>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（3）技术规格及性能（</w:t>
      </w:r>
      <w:r>
        <w:rPr>
          <w:rFonts w:hint="eastAsia" w:ascii="宋体" w:hAnsi="宋体" w:cs="Times New Roman"/>
          <w:b/>
          <w:bCs/>
          <w:color w:val="auto"/>
          <w:sz w:val="24"/>
          <w:szCs w:val="20"/>
          <w:highlight w:val="none"/>
          <w:lang w:val="en-US" w:eastAsia="zh-CN"/>
        </w:rPr>
        <w:t>17</w:t>
      </w:r>
      <w:r>
        <w:rPr>
          <w:rFonts w:hint="eastAsia" w:ascii="宋体" w:hAnsi="宋体" w:cs="Times New Roman"/>
          <w:b/>
          <w:bCs/>
          <w:color w:val="auto"/>
          <w:sz w:val="24"/>
          <w:szCs w:val="20"/>
          <w:highlight w:val="none"/>
        </w:rPr>
        <w:t>分）</w:t>
      </w:r>
    </w:p>
    <w:p w14:paraId="53DDB5F7">
      <w:pPr>
        <w:keepNext w:val="0"/>
        <w:keepLines w:val="0"/>
        <w:pageBreakBefore w:val="0"/>
        <w:widowControl w:val="0"/>
        <w:spacing w:after="0" w:line="460" w:lineRule="exact"/>
        <w:ind w:firstLine="480"/>
        <w:jc w:val="both"/>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①</w:t>
      </w:r>
      <w:r>
        <w:rPr>
          <w:rFonts w:hint="eastAsia" w:ascii="宋体" w:hAnsi="宋体" w:cs="Times New Roman"/>
          <w:color w:val="auto"/>
          <w:sz w:val="24"/>
          <w:szCs w:val="20"/>
          <w:highlight w:val="none"/>
        </w:rPr>
        <w:t>所投货物的技术参数为★号指标的，为实质性</w:t>
      </w:r>
      <w:r>
        <w:rPr>
          <w:rFonts w:hint="eastAsia" w:ascii="宋体" w:hAnsi="宋体" w:cs="Times New Roman"/>
          <w:color w:val="auto"/>
          <w:sz w:val="24"/>
          <w:szCs w:val="20"/>
          <w:highlight w:val="none"/>
          <w:lang w:val="en-US" w:eastAsia="zh-CN"/>
        </w:rPr>
        <w:t>技术参数，</w:t>
      </w:r>
      <w:r>
        <w:rPr>
          <w:rFonts w:hint="eastAsia" w:ascii="宋体" w:hAnsi="宋体" w:cs="Times New Roman"/>
          <w:color w:val="auto"/>
          <w:sz w:val="24"/>
          <w:szCs w:val="20"/>
          <w:highlight w:val="none"/>
        </w:rPr>
        <w:t>需在《投标偏离表》对应列明偏离情况</w:t>
      </w:r>
      <w:r>
        <w:rPr>
          <w:rFonts w:hint="eastAsia" w:ascii="宋体" w:hAnsi="宋体" w:cs="Times New Roman"/>
          <w:color w:val="auto"/>
          <w:sz w:val="24"/>
          <w:szCs w:val="20"/>
          <w:highlight w:val="none"/>
          <w:lang w:val="en-US" w:eastAsia="zh-CN"/>
        </w:rPr>
        <w:t>，</w:t>
      </w:r>
      <w:r>
        <w:rPr>
          <w:rFonts w:hint="eastAsia" w:ascii="宋体" w:hAnsi="宋体" w:cs="Times New Roman"/>
          <w:color w:val="auto"/>
          <w:sz w:val="24"/>
          <w:szCs w:val="20"/>
          <w:highlight w:val="none"/>
        </w:rPr>
        <w:t>若出现负偏离即无效标书</w:t>
      </w:r>
      <w:r>
        <w:rPr>
          <w:rFonts w:hint="eastAsia" w:ascii="宋体" w:hAnsi="宋体" w:cs="Times New Roman"/>
          <w:color w:val="auto"/>
          <w:sz w:val="24"/>
          <w:szCs w:val="20"/>
          <w:highlight w:val="none"/>
          <w:lang w:eastAsia="zh-CN"/>
        </w:rPr>
        <w:t>。</w:t>
      </w:r>
      <w:r>
        <w:rPr>
          <w:rFonts w:hint="eastAsia" w:ascii="宋体" w:hAnsi="宋体" w:cs="Times New Roman"/>
          <w:color w:val="auto"/>
          <w:sz w:val="24"/>
          <w:szCs w:val="20"/>
          <w:highlight w:val="none"/>
          <w:lang w:val="en-US" w:eastAsia="zh-CN"/>
        </w:rPr>
        <w:t>投标人须提供有效证明电子件材料包括但不仅限于厂家证明、白皮书、彩页、手册、检测报告、说明书、设备照片等，评标委员会认为所附证明材料未按要求提供技术支持资料或提供的技术支持资料不能佐证偏离表内容的，视为负偏离</w:t>
      </w:r>
      <w:r>
        <w:rPr>
          <w:rFonts w:hint="eastAsia" w:ascii="宋体" w:hAnsi="宋体" w:cs="Times New Roman"/>
          <w:color w:val="auto"/>
          <w:sz w:val="24"/>
          <w:szCs w:val="20"/>
          <w:highlight w:val="none"/>
        </w:rPr>
        <w:t>。</w:t>
      </w:r>
    </w:p>
    <w:p w14:paraId="32725379">
      <w:pPr>
        <w:keepNext w:val="0"/>
        <w:keepLines w:val="0"/>
        <w:pageBreakBefore w:val="0"/>
        <w:widowControl w:val="0"/>
        <w:spacing w:after="0" w:line="460" w:lineRule="exact"/>
        <w:ind w:firstLine="480"/>
        <w:jc w:val="both"/>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②所投货物的技术参数为▲号指标的，为重要技术参数，需在《投标偏离表》对应列明偏离情况，单项权重为2分。投标人须提供有效证明电子件材料包括但不仅限于厂家证明、白皮书、彩页、手册、检测报告、说明书、设备照片等，评标委员会认为所附证明材料未按要求提供技术支持资料或提供的技术支持资料不能佐证偏离表内容的，则不得分。</w:t>
      </w:r>
    </w:p>
    <w:p w14:paraId="2DCD95EE">
      <w:pPr>
        <w:keepNext w:val="0"/>
        <w:keepLines w:val="0"/>
        <w:pageBreakBefore w:val="0"/>
        <w:widowControl w:val="0"/>
        <w:spacing w:after="0" w:line="460" w:lineRule="exact"/>
        <w:ind w:firstLine="480"/>
        <w:jc w:val="both"/>
        <w:rPr>
          <w:rFonts w:hint="default"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③所投货物的技术参数为未标符号指标的，为普通技术参数，单项权重为1分，投标人必须如实地在《投标偏离表》中逐条标明满足与否，并对其真实性负责。</w:t>
      </w:r>
    </w:p>
    <w:p w14:paraId="2C3306A1">
      <w:pPr>
        <w:keepNext w:val="0"/>
        <w:keepLines w:val="0"/>
        <w:pageBreakBefore w:val="0"/>
        <w:widowControl w:val="0"/>
        <w:spacing w:after="0" w:line="460" w:lineRule="exact"/>
        <w:ind w:firstLine="480"/>
        <w:jc w:val="both"/>
        <w:rPr>
          <w:rFonts w:hint="default"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④得分项相关证明材料请按下方表格顺序须逐条列明并标识清晰，如因投标供应商上传混乱、模糊不清等原因造成错漏，由投标供应商自行负责。</w:t>
      </w:r>
    </w:p>
    <w:tbl>
      <w:tblPr>
        <w:tblStyle w:val="36"/>
        <w:tblW w:w="9684" w:type="dxa"/>
        <w:jc w:val="center"/>
        <w:tblLayout w:type="autofit"/>
        <w:tblCellMar>
          <w:top w:w="32" w:type="dxa"/>
          <w:left w:w="64" w:type="dxa"/>
          <w:bottom w:w="32" w:type="dxa"/>
          <w:right w:w="64" w:type="dxa"/>
        </w:tblCellMar>
      </w:tblPr>
      <w:tblGrid>
        <w:gridCol w:w="357"/>
        <w:gridCol w:w="1482"/>
        <w:gridCol w:w="5609"/>
        <w:gridCol w:w="970"/>
        <w:gridCol w:w="683"/>
        <w:gridCol w:w="583"/>
      </w:tblGrid>
      <w:tr w14:paraId="2CF3C3F1">
        <w:tblPrEx>
          <w:tblCellMar>
            <w:top w:w="32" w:type="dxa"/>
            <w:left w:w="64" w:type="dxa"/>
            <w:bottom w:w="32" w:type="dxa"/>
            <w:right w:w="64" w:type="dxa"/>
          </w:tblCellMar>
        </w:tblPrEx>
        <w:trPr>
          <w:trHeight w:val="0" w:hRule="atLeast"/>
          <w:tblHeader/>
          <w:jc w:val="center"/>
        </w:trPr>
        <w:tc>
          <w:tcPr>
            <w:tcW w:w="9684" w:type="dxa"/>
            <w:gridSpan w:val="6"/>
            <w:tcBorders>
              <w:top w:val="single" w:color="auto" w:sz="4" w:space="0"/>
              <w:left w:val="single" w:color="auto" w:sz="4" w:space="0"/>
              <w:bottom w:val="single" w:color="auto" w:sz="4" w:space="0"/>
              <w:right w:val="single" w:color="auto" w:sz="4" w:space="0"/>
            </w:tcBorders>
            <w:noWrap w:val="0"/>
            <w:vAlign w:val="center"/>
          </w:tcPr>
          <w:p w14:paraId="15E309ED">
            <w:pPr>
              <w:keepNext/>
              <w:keepLines w:val="0"/>
              <w:pageBreakBefore w:val="0"/>
              <w:widowControl/>
              <w:spacing w:after="0" w:line="240" w:lineRule="auto"/>
              <w:ind w:left="0" w:right="0" w:firstLine="0"/>
              <w:jc w:val="center"/>
              <w:rPr>
                <w:rFonts w:hint="eastAsia" w:ascii="宋体" w:hAnsi="宋体" w:eastAsia="宋体" w:cs="宋体"/>
                <w:b w:val="0"/>
                <w:bCs/>
                <w:color w:val="auto"/>
                <w:szCs w:val="21"/>
                <w:highlight w:val="none"/>
                <w:lang w:eastAsia="zh-CN"/>
              </w:rPr>
            </w:pPr>
            <w:r>
              <w:rPr>
                <w:rFonts w:hint="eastAsia"/>
                <w:color w:val="auto"/>
                <w:highlight w:val="none"/>
                <w:lang w:eastAsia="zh-CN"/>
              </w:rPr>
              <w:t>技术参数评分表</w:t>
            </w:r>
          </w:p>
        </w:tc>
      </w:tr>
      <w:tr w14:paraId="082356E5">
        <w:tblPrEx>
          <w:tblCellMar>
            <w:top w:w="32" w:type="dxa"/>
            <w:left w:w="64" w:type="dxa"/>
            <w:bottom w:w="32" w:type="dxa"/>
            <w:right w:w="64" w:type="dxa"/>
          </w:tblCellMar>
        </w:tblPrEx>
        <w:trPr>
          <w:trHeight w:val="0" w:hRule="atLeast"/>
          <w:tblHeader/>
          <w:jc w:val="center"/>
        </w:trPr>
        <w:tc>
          <w:tcPr>
            <w:tcW w:w="357" w:type="dxa"/>
            <w:tcBorders>
              <w:top w:val="single" w:color="auto" w:sz="4" w:space="0"/>
              <w:left w:val="single" w:color="auto" w:sz="4" w:space="0"/>
              <w:bottom w:val="single" w:color="auto" w:sz="4" w:space="0"/>
              <w:right w:val="single" w:color="auto" w:sz="4" w:space="0"/>
            </w:tcBorders>
            <w:noWrap w:val="0"/>
            <w:vAlign w:val="center"/>
          </w:tcPr>
          <w:p w14:paraId="3464EFB5">
            <w:pPr>
              <w:pStyle w:val="16"/>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序号</w:t>
            </w:r>
          </w:p>
        </w:tc>
        <w:tc>
          <w:tcPr>
            <w:tcW w:w="1482" w:type="dxa"/>
            <w:tcBorders>
              <w:top w:val="single" w:color="auto" w:sz="4" w:space="0"/>
              <w:left w:val="nil"/>
              <w:bottom w:val="single" w:color="auto" w:sz="4" w:space="0"/>
              <w:right w:val="single" w:color="auto" w:sz="4" w:space="0"/>
            </w:tcBorders>
            <w:noWrap w:val="0"/>
            <w:vAlign w:val="center"/>
          </w:tcPr>
          <w:p w14:paraId="3D1E8BA3">
            <w:pPr>
              <w:pStyle w:val="16"/>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名称</w:t>
            </w:r>
          </w:p>
        </w:tc>
        <w:tc>
          <w:tcPr>
            <w:tcW w:w="5609" w:type="dxa"/>
            <w:tcBorders>
              <w:top w:val="single" w:color="auto" w:sz="4" w:space="0"/>
              <w:left w:val="nil"/>
              <w:bottom w:val="single" w:color="auto" w:sz="4" w:space="0"/>
              <w:right w:val="single" w:color="auto" w:sz="4" w:space="0"/>
            </w:tcBorders>
            <w:noWrap w:val="0"/>
            <w:vAlign w:val="center"/>
          </w:tcPr>
          <w:p w14:paraId="56CB2A9D">
            <w:pPr>
              <w:pStyle w:val="16"/>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参数</w:t>
            </w:r>
          </w:p>
        </w:tc>
        <w:tc>
          <w:tcPr>
            <w:tcW w:w="970" w:type="dxa"/>
            <w:tcBorders>
              <w:top w:val="single" w:color="auto" w:sz="4" w:space="0"/>
              <w:left w:val="nil"/>
              <w:bottom w:val="single" w:color="auto" w:sz="4" w:space="0"/>
              <w:right w:val="single" w:color="auto" w:sz="4" w:space="0"/>
            </w:tcBorders>
            <w:noWrap w:val="0"/>
            <w:vAlign w:val="center"/>
          </w:tcPr>
          <w:p w14:paraId="1F009328">
            <w:pPr>
              <w:pStyle w:val="16"/>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评分标准</w:t>
            </w:r>
          </w:p>
        </w:tc>
        <w:tc>
          <w:tcPr>
            <w:tcW w:w="683" w:type="dxa"/>
            <w:tcBorders>
              <w:top w:val="single" w:color="auto" w:sz="4" w:space="0"/>
              <w:left w:val="nil"/>
              <w:bottom w:val="single" w:color="auto" w:sz="4" w:space="0"/>
              <w:right w:val="single" w:color="auto" w:sz="4" w:space="0"/>
            </w:tcBorders>
            <w:noWrap w:val="0"/>
            <w:vAlign w:val="center"/>
          </w:tcPr>
          <w:p w14:paraId="227BD979">
            <w:pPr>
              <w:pStyle w:val="16"/>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分值下限</w:t>
            </w:r>
          </w:p>
        </w:tc>
        <w:tc>
          <w:tcPr>
            <w:tcW w:w="583" w:type="dxa"/>
            <w:tcBorders>
              <w:top w:val="single" w:color="auto" w:sz="4" w:space="0"/>
              <w:left w:val="nil"/>
              <w:bottom w:val="single" w:color="auto" w:sz="4" w:space="0"/>
              <w:right w:val="single" w:color="auto" w:sz="4" w:space="0"/>
            </w:tcBorders>
            <w:noWrap w:val="0"/>
            <w:vAlign w:val="center"/>
          </w:tcPr>
          <w:p w14:paraId="039299F5">
            <w:pPr>
              <w:pStyle w:val="16"/>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分值上限</w:t>
            </w:r>
          </w:p>
        </w:tc>
      </w:tr>
      <w:tr w14:paraId="0B9FC7B5">
        <w:tblPrEx>
          <w:tblCellMar>
            <w:top w:w="32" w:type="dxa"/>
            <w:left w:w="64" w:type="dxa"/>
            <w:bottom w:w="32" w:type="dxa"/>
            <w:right w:w="64" w:type="dxa"/>
          </w:tblCellMar>
        </w:tblPrEx>
        <w:trPr>
          <w:trHeight w:val="829" w:hRule="atLeast"/>
          <w:jc w:val="center"/>
        </w:trPr>
        <w:tc>
          <w:tcPr>
            <w:tcW w:w="357" w:type="dxa"/>
            <w:vMerge w:val="restart"/>
            <w:tcBorders>
              <w:top w:val="single" w:color="auto" w:sz="4" w:space="0"/>
              <w:left w:val="single" w:color="auto" w:sz="4" w:space="0"/>
              <w:right w:val="single" w:color="auto" w:sz="4" w:space="0"/>
            </w:tcBorders>
            <w:noWrap w:val="0"/>
            <w:vAlign w:val="center"/>
          </w:tcPr>
          <w:p w14:paraId="7C1DF559">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1482" w:type="dxa"/>
            <w:vMerge w:val="restart"/>
            <w:tcBorders>
              <w:left w:val="nil"/>
              <w:right w:val="single" w:color="auto" w:sz="4" w:space="0"/>
            </w:tcBorders>
            <w:noWrap w:val="0"/>
            <w:vAlign w:val="center"/>
          </w:tcPr>
          <w:p w14:paraId="432205B6">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bCs w:val="0"/>
                <w:color w:val="auto"/>
                <w:sz w:val="21"/>
                <w:szCs w:val="21"/>
                <w:highlight w:val="none"/>
                <w:lang w:val="en-US" w:eastAsia="zh-CN" w:bidi="ar-SA"/>
              </w:rPr>
              <w:t>克组砝码自动检定装置</w:t>
            </w:r>
          </w:p>
        </w:tc>
        <w:tc>
          <w:tcPr>
            <w:tcW w:w="5609" w:type="dxa"/>
            <w:tcBorders>
              <w:top w:val="single" w:color="auto" w:sz="4" w:space="0"/>
              <w:left w:val="nil"/>
              <w:bottom w:val="single" w:color="auto" w:sz="4" w:space="0"/>
              <w:right w:val="single" w:color="auto" w:sz="4" w:space="0"/>
            </w:tcBorders>
            <w:noWrap w:val="0"/>
            <w:vAlign w:val="center"/>
          </w:tcPr>
          <w:p w14:paraId="0678289B">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1.1</w:t>
            </w:r>
            <w:r>
              <w:rPr>
                <w:rFonts w:hint="eastAsia" w:ascii="宋体" w:hAnsi="宋体" w:eastAsia="宋体" w:cs="宋体"/>
                <w:b w:val="0"/>
                <w:bCs/>
                <w:color w:val="auto"/>
                <w:sz w:val="21"/>
                <w:szCs w:val="21"/>
                <w:highlight w:val="none"/>
                <w:lang w:eastAsia="zh-CN"/>
              </w:rPr>
              <w:t>项目总体要求：</w:t>
            </w:r>
          </w:p>
          <w:p w14:paraId="1A144C6D">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本项目采购的砝码自动检定装置为一体化成套专用检定装备，整体由智能砝码仓模块、克组检定模组、毫克组检定模组、全自动砝码检定测控软件等核心单元集成组成。装置整体检定能力可覆盖量程为1mg～500g，支持不同量程、不同精度等级、不同外形结构砝码的同步并行检定。配套一体式智能砝码仓可一次性装载不少于 80 个砝码，实现整批次砝码集中上料；装置可全自动完成 F2、M1 级砝码检定、校准工作，通过模组协同调度，依次实现样品信息扫码录入、机械手砝码自动转运、精密比对称量、实验室温湿度气压环境参数实时采集、称量数据自动采集、浮力及误差自动修正计算，最终自动输出检定原始记录、检定 / 校准证书。整套设备运行逻辑、算法判定、证书格式完全遵循 JJG 99-2022《砝码》国家计量检定规程，实现全流程无人值守闭环自动化作业，适配计量实验室日常大批量砝码集中检定业务。</w:t>
            </w:r>
          </w:p>
        </w:tc>
        <w:tc>
          <w:tcPr>
            <w:tcW w:w="970" w:type="dxa"/>
            <w:tcBorders>
              <w:top w:val="single" w:color="auto" w:sz="4" w:space="0"/>
              <w:left w:val="nil"/>
              <w:bottom w:val="single" w:color="auto" w:sz="4" w:space="0"/>
              <w:right w:val="single" w:color="auto" w:sz="4" w:space="0"/>
            </w:tcBorders>
            <w:shd w:val="clear" w:color="auto" w:fill="auto"/>
            <w:noWrap w:val="0"/>
            <w:vAlign w:val="center"/>
          </w:tcPr>
          <w:p w14:paraId="5ED5F6DE">
            <w:pPr>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符合得1分，不符合不得分</w:t>
            </w:r>
          </w:p>
        </w:tc>
        <w:tc>
          <w:tcPr>
            <w:tcW w:w="683" w:type="dxa"/>
            <w:tcBorders>
              <w:top w:val="single" w:color="auto" w:sz="4" w:space="0"/>
              <w:left w:val="nil"/>
              <w:bottom w:val="single" w:color="auto" w:sz="4" w:space="0"/>
              <w:right w:val="single" w:color="auto" w:sz="4" w:space="0"/>
            </w:tcBorders>
            <w:shd w:val="clear" w:color="auto" w:fill="auto"/>
            <w:noWrap w:val="0"/>
            <w:vAlign w:val="center"/>
          </w:tcPr>
          <w:p w14:paraId="5EC39A4E">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shd w:val="clear" w:color="auto" w:fill="auto"/>
            <w:noWrap w:val="0"/>
            <w:vAlign w:val="center"/>
          </w:tcPr>
          <w:p w14:paraId="34E77486">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1</w:t>
            </w:r>
          </w:p>
        </w:tc>
      </w:tr>
      <w:tr w14:paraId="2A369A1C">
        <w:tblPrEx>
          <w:tblCellMar>
            <w:top w:w="32" w:type="dxa"/>
            <w:left w:w="64" w:type="dxa"/>
            <w:bottom w:w="32" w:type="dxa"/>
            <w:right w:w="64" w:type="dxa"/>
          </w:tblCellMar>
        </w:tblPrEx>
        <w:trPr>
          <w:trHeight w:val="262" w:hRule="atLeast"/>
          <w:jc w:val="center"/>
        </w:trPr>
        <w:tc>
          <w:tcPr>
            <w:tcW w:w="357" w:type="dxa"/>
            <w:vMerge w:val="continue"/>
            <w:tcBorders>
              <w:left w:val="single" w:color="auto" w:sz="4" w:space="0"/>
              <w:right w:val="single" w:color="auto" w:sz="4" w:space="0"/>
            </w:tcBorders>
            <w:noWrap w:val="0"/>
            <w:vAlign w:val="center"/>
          </w:tcPr>
          <w:p w14:paraId="4D25075E">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rPr>
            </w:pPr>
          </w:p>
        </w:tc>
        <w:tc>
          <w:tcPr>
            <w:tcW w:w="1482" w:type="dxa"/>
            <w:vMerge w:val="continue"/>
            <w:tcBorders>
              <w:left w:val="nil"/>
              <w:right w:val="single" w:color="auto" w:sz="4" w:space="0"/>
            </w:tcBorders>
            <w:noWrap w:val="0"/>
            <w:vAlign w:val="center"/>
          </w:tcPr>
          <w:p w14:paraId="63D019FB">
            <w:pPr>
              <w:pStyle w:val="16"/>
              <w:keepNext/>
              <w:keepLines w:val="0"/>
              <w:pageBreakBefore w:val="0"/>
              <w:widowControl/>
              <w:spacing w:line="240" w:lineRule="auto"/>
              <w:ind w:left="0" w:right="0" w:firstLine="0"/>
              <w:jc w:val="center"/>
              <w:rPr>
                <w:rFonts w:hint="eastAsia" w:asciiTheme="minorEastAsia" w:hAnsiTheme="minorEastAsia" w:cstheme="minorEastAsia"/>
                <w:b/>
                <w:color w:val="auto"/>
                <w:sz w:val="24"/>
                <w:szCs w:val="24"/>
                <w:highlight w:val="none"/>
              </w:rPr>
            </w:pPr>
          </w:p>
        </w:tc>
        <w:tc>
          <w:tcPr>
            <w:tcW w:w="5609" w:type="dxa"/>
            <w:tcBorders>
              <w:top w:val="single" w:color="auto" w:sz="4" w:space="0"/>
              <w:left w:val="nil"/>
              <w:bottom w:val="single" w:color="auto" w:sz="4" w:space="0"/>
              <w:right w:val="single" w:color="auto" w:sz="4" w:space="0"/>
            </w:tcBorders>
            <w:noWrap w:val="0"/>
            <w:vAlign w:val="center"/>
          </w:tcPr>
          <w:p w14:paraId="78FAC9FF">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1.2装置功能及参数：</w:t>
            </w:r>
          </w:p>
          <w:p w14:paraId="3CD312B0">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1.2.1智能砝码仓</w:t>
            </w:r>
          </w:p>
          <w:p w14:paraId="696D756E">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1.2.1.2工位数：一次性可放置不少于40个毫克组砝码、40个克组砝码，满足大批量集中送检需求；</w:t>
            </w:r>
          </w:p>
          <w:p w14:paraId="3D535A7A">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1.2.1.4砝码仓标配扫码器，支持委托单、样品条码 / 二维码扫码识别，完成样品基础信息一键录入；</w:t>
            </w:r>
          </w:p>
          <w:p w14:paraId="424A53E0">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1.2.1.5砝码仓整体外形尺寸≤800mm×800mm×2000mm，结构紧凑，适配实验室场地布置。</w:t>
            </w:r>
          </w:p>
          <w:p w14:paraId="314285E2">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1.2.2克组/毫克组检定模组</w:t>
            </w:r>
          </w:p>
          <w:p w14:paraId="7F01839D">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1.2.2.1克组检定模组与毫克组检定模组分别布置在智能砝码仓左右两侧，两套模组彼此独立，均可单独启动完成检定工作。单套模组配置 6 轴协作机械手、双工位砝码取放工装、阻尼隔振平台、比较仪（采购人自备）、封闭式防风工作间。</w:t>
            </w:r>
          </w:p>
          <w:p w14:paraId="02CC150F">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每个检定模组是均由一套协作机器手、一个双工位取放工装、一套隔振平台、比较仪（需方提供）和一间防风工作间组成；</w:t>
            </w:r>
          </w:p>
          <w:p w14:paraId="2BFFE59C">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1.2.2.2协作机器手： 6轴机器手，重复定位精度达到±0.05mm，工作半径850mm，符合 IP54 标准，额定负载≥5kg；</w:t>
            </w:r>
          </w:p>
          <w:p w14:paraId="2D612F49">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1.2.2.3取放工装采用双工位插齿结构，用于取放被检砝码和标准砝码，。如用移载装置的提取；</w:t>
            </w:r>
          </w:p>
          <w:p w14:paraId="09DFE175">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1.2.2.3阻尼隔振平台，台面不小于500×600×100，隔振平台与机械手安装底座物理分离、无硬性接触，隔绝机械手运动振动传递至精密比较仪，保障称量稳定性；</w:t>
            </w:r>
          </w:p>
          <w:p w14:paraId="0B9FCA38">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1.2.2.4防风工作间具备独立运行能力，内部集成机械手、比较仪、隔振平台全套组件；柜体外侧安装三色状态指示灯，区分待机、运行、故障三种工作状态；工作间外形尺寸≤1100mm×800mm×2000mm。 </w:t>
            </w:r>
          </w:p>
          <w:p w14:paraId="7751B430">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1.2.3数采装置，显示器分辨率 1920×1080，可拓展Wifi与4G网络，嵌入式工业一体机运行。</w:t>
            </w:r>
          </w:p>
        </w:tc>
        <w:tc>
          <w:tcPr>
            <w:tcW w:w="970" w:type="dxa"/>
            <w:tcBorders>
              <w:top w:val="single" w:color="auto" w:sz="4" w:space="0"/>
              <w:left w:val="nil"/>
              <w:bottom w:val="single" w:color="auto" w:sz="4" w:space="0"/>
              <w:right w:val="single" w:color="auto" w:sz="4" w:space="0"/>
            </w:tcBorders>
            <w:shd w:val="clear" w:color="auto" w:fill="auto"/>
            <w:noWrap w:val="0"/>
            <w:vAlign w:val="center"/>
          </w:tcPr>
          <w:p w14:paraId="6F7CF4AD">
            <w:pPr>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符合得</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eastAsia="zh-CN"/>
              </w:rPr>
              <w:t>分，不符合不得分</w:t>
            </w:r>
          </w:p>
        </w:tc>
        <w:tc>
          <w:tcPr>
            <w:tcW w:w="683" w:type="dxa"/>
            <w:tcBorders>
              <w:top w:val="single" w:color="auto" w:sz="4" w:space="0"/>
              <w:left w:val="nil"/>
              <w:bottom w:val="single" w:color="auto" w:sz="4" w:space="0"/>
              <w:right w:val="single" w:color="auto" w:sz="4" w:space="0"/>
            </w:tcBorders>
            <w:shd w:val="clear" w:color="auto" w:fill="auto"/>
            <w:noWrap w:val="0"/>
            <w:vAlign w:val="center"/>
          </w:tcPr>
          <w:p w14:paraId="7BAADCE9">
            <w:pPr>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shd w:val="clear" w:color="auto" w:fill="auto"/>
            <w:noWrap w:val="0"/>
            <w:vAlign w:val="center"/>
          </w:tcPr>
          <w:p w14:paraId="041021B5">
            <w:pPr>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lang w:val="en-US" w:eastAsia="zh-CN"/>
              </w:rPr>
              <w:t>1</w:t>
            </w:r>
          </w:p>
        </w:tc>
      </w:tr>
      <w:tr w14:paraId="3350BEC7">
        <w:tblPrEx>
          <w:tblCellMar>
            <w:top w:w="32" w:type="dxa"/>
            <w:left w:w="64" w:type="dxa"/>
            <w:bottom w:w="32" w:type="dxa"/>
            <w:right w:w="64" w:type="dxa"/>
          </w:tblCellMar>
        </w:tblPrEx>
        <w:trPr>
          <w:trHeight w:val="829" w:hRule="atLeast"/>
          <w:jc w:val="center"/>
        </w:trPr>
        <w:tc>
          <w:tcPr>
            <w:tcW w:w="357" w:type="dxa"/>
            <w:vMerge w:val="continue"/>
            <w:tcBorders>
              <w:left w:val="single" w:color="auto" w:sz="4" w:space="0"/>
              <w:right w:val="single" w:color="auto" w:sz="4" w:space="0"/>
            </w:tcBorders>
            <w:noWrap w:val="0"/>
            <w:vAlign w:val="center"/>
          </w:tcPr>
          <w:p w14:paraId="7881E2A2">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rPr>
            </w:pPr>
          </w:p>
        </w:tc>
        <w:tc>
          <w:tcPr>
            <w:tcW w:w="1482" w:type="dxa"/>
            <w:vMerge w:val="continue"/>
            <w:tcBorders>
              <w:left w:val="nil"/>
              <w:right w:val="single" w:color="auto" w:sz="4" w:space="0"/>
            </w:tcBorders>
            <w:noWrap w:val="0"/>
            <w:vAlign w:val="center"/>
          </w:tcPr>
          <w:p w14:paraId="04334049">
            <w:pPr>
              <w:pStyle w:val="16"/>
              <w:keepNext/>
              <w:keepLines w:val="0"/>
              <w:pageBreakBefore w:val="0"/>
              <w:widowControl/>
              <w:spacing w:line="240" w:lineRule="auto"/>
              <w:ind w:left="0" w:right="0" w:firstLine="0"/>
              <w:jc w:val="center"/>
              <w:rPr>
                <w:rFonts w:hint="eastAsia" w:asciiTheme="minorEastAsia" w:hAnsiTheme="minorEastAsia" w:cstheme="minorEastAsia"/>
                <w:b/>
                <w:color w:val="auto"/>
                <w:sz w:val="24"/>
                <w:szCs w:val="24"/>
                <w:highlight w:val="none"/>
              </w:rPr>
            </w:pPr>
          </w:p>
        </w:tc>
        <w:tc>
          <w:tcPr>
            <w:tcW w:w="5609" w:type="dxa"/>
            <w:tcBorders>
              <w:top w:val="single" w:color="auto" w:sz="4" w:space="0"/>
              <w:left w:val="nil"/>
              <w:bottom w:val="single" w:color="auto" w:sz="4" w:space="0"/>
              <w:right w:val="single" w:color="auto" w:sz="4" w:space="0"/>
            </w:tcBorders>
            <w:noWrap w:val="0"/>
            <w:vAlign w:val="center"/>
          </w:tcPr>
          <w:p w14:paraId="289153D6">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▲1.3.1协作机器手两台，用于在待检仓和比较仪之间搬运检定砝码和标准砝码。</w:t>
            </w:r>
          </w:p>
        </w:tc>
        <w:tc>
          <w:tcPr>
            <w:tcW w:w="970" w:type="dxa"/>
            <w:tcBorders>
              <w:top w:val="single" w:color="auto" w:sz="4" w:space="0"/>
              <w:left w:val="nil"/>
              <w:bottom w:val="single" w:color="auto" w:sz="4" w:space="0"/>
              <w:right w:val="single" w:color="auto" w:sz="4" w:space="0"/>
            </w:tcBorders>
            <w:shd w:val="clear" w:color="auto" w:fill="auto"/>
            <w:noWrap w:val="0"/>
            <w:vAlign w:val="center"/>
          </w:tcPr>
          <w:p w14:paraId="1EA7FBBE">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符合得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分，不符合不得分</w:t>
            </w:r>
          </w:p>
        </w:tc>
        <w:tc>
          <w:tcPr>
            <w:tcW w:w="683" w:type="dxa"/>
            <w:tcBorders>
              <w:top w:val="single" w:color="auto" w:sz="4" w:space="0"/>
              <w:left w:val="nil"/>
              <w:bottom w:val="single" w:color="auto" w:sz="4" w:space="0"/>
              <w:right w:val="single" w:color="auto" w:sz="4" w:space="0"/>
            </w:tcBorders>
            <w:shd w:val="clear" w:color="auto" w:fill="auto"/>
            <w:noWrap w:val="0"/>
            <w:vAlign w:val="center"/>
          </w:tcPr>
          <w:p w14:paraId="6547A20A">
            <w:pPr>
              <w:pStyle w:val="16"/>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shd w:val="clear" w:color="auto" w:fill="auto"/>
            <w:noWrap w:val="0"/>
            <w:vAlign w:val="center"/>
          </w:tcPr>
          <w:p w14:paraId="7B0478A8">
            <w:pPr>
              <w:pStyle w:val="16"/>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r>
      <w:tr w14:paraId="0C94CE8F">
        <w:tblPrEx>
          <w:tblCellMar>
            <w:top w:w="32" w:type="dxa"/>
            <w:left w:w="64" w:type="dxa"/>
            <w:bottom w:w="32" w:type="dxa"/>
            <w:right w:w="64" w:type="dxa"/>
          </w:tblCellMar>
        </w:tblPrEx>
        <w:trPr>
          <w:trHeight w:val="829" w:hRule="atLeast"/>
          <w:jc w:val="center"/>
        </w:trPr>
        <w:tc>
          <w:tcPr>
            <w:tcW w:w="357" w:type="dxa"/>
            <w:vMerge w:val="continue"/>
            <w:tcBorders>
              <w:left w:val="single" w:color="auto" w:sz="4" w:space="0"/>
              <w:right w:val="single" w:color="auto" w:sz="4" w:space="0"/>
            </w:tcBorders>
            <w:noWrap w:val="0"/>
            <w:vAlign w:val="center"/>
          </w:tcPr>
          <w:p w14:paraId="0CBADAB3">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rPr>
            </w:pPr>
          </w:p>
        </w:tc>
        <w:tc>
          <w:tcPr>
            <w:tcW w:w="1482" w:type="dxa"/>
            <w:vMerge w:val="continue"/>
            <w:tcBorders>
              <w:left w:val="nil"/>
              <w:right w:val="single" w:color="auto" w:sz="4" w:space="0"/>
            </w:tcBorders>
            <w:noWrap w:val="0"/>
            <w:vAlign w:val="center"/>
          </w:tcPr>
          <w:p w14:paraId="29801339">
            <w:pPr>
              <w:pStyle w:val="16"/>
              <w:keepNext/>
              <w:keepLines w:val="0"/>
              <w:pageBreakBefore w:val="0"/>
              <w:widowControl/>
              <w:spacing w:line="240" w:lineRule="auto"/>
              <w:ind w:left="0" w:right="0" w:firstLine="0"/>
              <w:jc w:val="center"/>
              <w:rPr>
                <w:rFonts w:hint="eastAsia" w:asciiTheme="minorEastAsia" w:hAnsiTheme="minorEastAsia" w:cstheme="minorEastAsia"/>
                <w:b/>
                <w:color w:val="auto"/>
                <w:sz w:val="24"/>
                <w:szCs w:val="24"/>
                <w:highlight w:val="none"/>
              </w:rPr>
            </w:pPr>
          </w:p>
        </w:tc>
        <w:tc>
          <w:tcPr>
            <w:tcW w:w="5609" w:type="dxa"/>
            <w:tcBorders>
              <w:top w:val="single" w:color="auto" w:sz="4" w:space="0"/>
              <w:left w:val="nil"/>
              <w:bottom w:val="single" w:color="auto" w:sz="4" w:space="0"/>
              <w:right w:val="single" w:color="auto" w:sz="4" w:space="0"/>
            </w:tcBorders>
            <w:noWrap w:val="0"/>
            <w:vAlign w:val="center"/>
          </w:tcPr>
          <w:p w14:paraId="18DD9687">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1.3配置要求：</w:t>
            </w:r>
          </w:p>
          <w:p w14:paraId="3E6B3BB5">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1.3.2克组和毫克组计量工作间各一间，工作间用于检定作业的空间。 </w:t>
            </w:r>
          </w:p>
          <w:p w14:paraId="4FFB972B">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1.3.3智能砝码仓工作间一套，封闭式待检工作间。</w:t>
            </w:r>
          </w:p>
          <w:p w14:paraId="7C5478FE">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1.3.4独立的阻尼隔振平台，用于比较仪的减震。</w:t>
            </w:r>
          </w:p>
          <w:p w14:paraId="205787D9">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1.3.5数采装置一台。</w:t>
            </w:r>
          </w:p>
          <w:p w14:paraId="29865A61">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1.3.6内含全自动砝码检定软件一套。</w:t>
            </w:r>
          </w:p>
        </w:tc>
        <w:tc>
          <w:tcPr>
            <w:tcW w:w="970" w:type="dxa"/>
            <w:tcBorders>
              <w:top w:val="single" w:color="auto" w:sz="4" w:space="0"/>
              <w:left w:val="nil"/>
              <w:bottom w:val="single" w:color="auto" w:sz="4" w:space="0"/>
              <w:right w:val="single" w:color="auto" w:sz="4" w:space="0"/>
            </w:tcBorders>
            <w:shd w:val="clear" w:color="auto" w:fill="auto"/>
            <w:noWrap w:val="0"/>
            <w:vAlign w:val="center"/>
          </w:tcPr>
          <w:p w14:paraId="0EB92327">
            <w:pPr>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符合得1分，不符合不得分</w:t>
            </w:r>
          </w:p>
        </w:tc>
        <w:tc>
          <w:tcPr>
            <w:tcW w:w="683" w:type="dxa"/>
            <w:tcBorders>
              <w:top w:val="single" w:color="auto" w:sz="4" w:space="0"/>
              <w:left w:val="nil"/>
              <w:bottom w:val="single" w:color="auto" w:sz="4" w:space="0"/>
              <w:right w:val="single" w:color="auto" w:sz="4" w:space="0"/>
            </w:tcBorders>
            <w:shd w:val="clear" w:color="auto" w:fill="auto"/>
            <w:noWrap w:val="0"/>
            <w:vAlign w:val="center"/>
          </w:tcPr>
          <w:p w14:paraId="416C2CD5">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shd w:val="clear" w:color="auto" w:fill="auto"/>
            <w:noWrap w:val="0"/>
            <w:vAlign w:val="center"/>
          </w:tcPr>
          <w:p w14:paraId="1C3A7BFD">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w:t>
            </w:r>
          </w:p>
        </w:tc>
      </w:tr>
      <w:tr w14:paraId="7BCAF4F9">
        <w:tblPrEx>
          <w:tblCellMar>
            <w:top w:w="32" w:type="dxa"/>
            <w:left w:w="64" w:type="dxa"/>
            <w:bottom w:w="32" w:type="dxa"/>
            <w:right w:w="64" w:type="dxa"/>
          </w:tblCellMar>
        </w:tblPrEx>
        <w:trPr>
          <w:trHeight w:val="0" w:hRule="atLeast"/>
          <w:jc w:val="center"/>
        </w:trPr>
        <w:tc>
          <w:tcPr>
            <w:tcW w:w="357" w:type="dxa"/>
            <w:vMerge w:val="restart"/>
            <w:tcBorders>
              <w:top w:val="single" w:color="auto" w:sz="4" w:space="0"/>
              <w:left w:val="single" w:color="auto" w:sz="4" w:space="0"/>
              <w:right w:val="single" w:color="auto" w:sz="4" w:space="0"/>
            </w:tcBorders>
            <w:noWrap w:val="0"/>
            <w:vAlign w:val="center"/>
          </w:tcPr>
          <w:p w14:paraId="26417CA5">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c>
          <w:tcPr>
            <w:tcW w:w="1482" w:type="dxa"/>
            <w:vMerge w:val="restart"/>
            <w:tcBorders>
              <w:top w:val="single" w:color="auto" w:sz="4" w:space="0"/>
              <w:left w:val="nil"/>
              <w:right w:val="single" w:color="auto" w:sz="4" w:space="0"/>
            </w:tcBorders>
            <w:noWrap w:val="0"/>
            <w:vAlign w:val="center"/>
          </w:tcPr>
          <w:p w14:paraId="6AF128FA">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SA"/>
              </w:rPr>
              <w:t>滑行时间测量仪</w:t>
            </w:r>
          </w:p>
        </w:tc>
        <w:tc>
          <w:tcPr>
            <w:tcW w:w="5609" w:type="dxa"/>
            <w:tcBorders>
              <w:top w:val="single" w:color="auto" w:sz="4" w:space="0"/>
              <w:left w:val="nil"/>
              <w:bottom w:val="single" w:color="auto" w:sz="4" w:space="0"/>
              <w:right w:val="single" w:color="auto" w:sz="4" w:space="0"/>
            </w:tcBorders>
            <w:noWrap w:val="0"/>
            <w:vAlign w:val="center"/>
          </w:tcPr>
          <w:p w14:paraId="72DF9EA5">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2.1功能技术要求：</w:t>
            </w:r>
          </w:p>
          <w:p w14:paraId="0B2299FB">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2.1.2线速度测量范围：(5～100)km/h</w:t>
            </w:r>
          </w:p>
          <w:p w14:paraId="45315C31">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2.1.3速度测量误差：±0.1%</w:t>
            </w:r>
          </w:p>
          <w:p w14:paraId="32C06BA2">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2.1.5工作距离：600mm±30mm </w:t>
            </w:r>
          </w:p>
          <w:p w14:paraId="550260A5">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2.1.6滑行时间测量范围：(1～300)s</w:t>
            </w:r>
          </w:p>
          <w:p w14:paraId="6B40BF20">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2.1.8电源/功耗：DC24V/20W</w:t>
            </w:r>
          </w:p>
          <w:p w14:paraId="2E0A2533">
            <w:pPr>
              <w:keepNext/>
              <w:keepLines w:val="0"/>
              <w:pageBreakBefore w:val="0"/>
              <w:widowControl/>
              <w:spacing w:after="0" w:line="240" w:lineRule="auto"/>
              <w:ind w:left="0" w:right="0" w:firstLine="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b w:val="0"/>
                <w:bCs/>
                <w:color w:val="auto"/>
                <w:sz w:val="21"/>
                <w:szCs w:val="21"/>
                <w:highlight w:val="none"/>
                <w:lang w:val="en-US" w:eastAsia="zh-CN"/>
              </w:rPr>
              <w:t>2.1.9径向跳动测量范围：(0～30)mm ；MPE：±0.035mm</w:t>
            </w:r>
          </w:p>
        </w:tc>
        <w:tc>
          <w:tcPr>
            <w:tcW w:w="970" w:type="dxa"/>
            <w:tcBorders>
              <w:top w:val="single" w:color="auto" w:sz="4" w:space="0"/>
              <w:left w:val="nil"/>
              <w:bottom w:val="single" w:color="auto" w:sz="4" w:space="0"/>
              <w:right w:val="single" w:color="auto" w:sz="4" w:space="0"/>
            </w:tcBorders>
            <w:noWrap w:val="0"/>
            <w:vAlign w:val="center"/>
          </w:tcPr>
          <w:p w14:paraId="183F346C">
            <w:pPr>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符合得</w:t>
            </w:r>
            <w:r>
              <w:rPr>
                <w:rFonts w:hint="eastAsia" w:ascii="宋体" w:hAnsi="宋体" w:eastAsia="宋体" w:cs="宋体"/>
                <w:b w:val="0"/>
                <w:bCs/>
                <w:color w:val="auto"/>
                <w:sz w:val="21"/>
                <w:szCs w:val="21"/>
                <w:highlight w:val="none"/>
                <w:lang w:eastAsia="zh-CN"/>
              </w:rPr>
              <w:t>1</w:t>
            </w:r>
            <w:r>
              <w:rPr>
                <w:rFonts w:hint="eastAsia" w:ascii="宋体" w:hAnsi="宋体" w:eastAsia="宋体" w:cs="宋体"/>
                <w:b w:val="0"/>
                <w:bCs/>
                <w:color w:val="auto"/>
                <w:sz w:val="21"/>
                <w:szCs w:val="21"/>
                <w:highlight w:val="none"/>
              </w:rPr>
              <w:t>分，不符合不得分</w:t>
            </w:r>
          </w:p>
        </w:tc>
        <w:tc>
          <w:tcPr>
            <w:tcW w:w="683" w:type="dxa"/>
            <w:tcBorders>
              <w:top w:val="single" w:color="auto" w:sz="4" w:space="0"/>
              <w:left w:val="nil"/>
              <w:bottom w:val="single" w:color="auto" w:sz="4" w:space="0"/>
              <w:right w:val="single" w:color="auto" w:sz="4" w:space="0"/>
            </w:tcBorders>
            <w:noWrap w:val="0"/>
            <w:vAlign w:val="center"/>
          </w:tcPr>
          <w:p w14:paraId="700EB7D7">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noWrap w:val="0"/>
            <w:vAlign w:val="center"/>
          </w:tcPr>
          <w:p w14:paraId="031408FD">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w:t>
            </w:r>
          </w:p>
        </w:tc>
      </w:tr>
      <w:tr w14:paraId="2A06FFE5">
        <w:tblPrEx>
          <w:tblCellMar>
            <w:top w:w="32" w:type="dxa"/>
            <w:left w:w="64" w:type="dxa"/>
            <w:bottom w:w="32" w:type="dxa"/>
            <w:right w:w="64" w:type="dxa"/>
          </w:tblCellMar>
        </w:tblPrEx>
        <w:trPr>
          <w:trHeight w:val="1444" w:hRule="atLeast"/>
          <w:jc w:val="center"/>
        </w:trPr>
        <w:tc>
          <w:tcPr>
            <w:tcW w:w="357" w:type="dxa"/>
            <w:vMerge w:val="continue"/>
            <w:tcBorders>
              <w:left w:val="single" w:color="auto" w:sz="4" w:space="0"/>
              <w:right w:val="single" w:color="auto" w:sz="4" w:space="0"/>
            </w:tcBorders>
            <w:noWrap w:val="0"/>
            <w:vAlign w:val="center"/>
          </w:tcPr>
          <w:p w14:paraId="4D3B20C7">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rPr>
            </w:pPr>
          </w:p>
        </w:tc>
        <w:tc>
          <w:tcPr>
            <w:tcW w:w="1482" w:type="dxa"/>
            <w:vMerge w:val="continue"/>
            <w:tcBorders>
              <w:left w:val="nil"/>
              <w:right w:val="single" w:color="auto" w:sz="4" w:space="0"/>
            </w:tcBorders>
            <w:noWrap w:val="0"/>
            <w:vAlign w:val="center"/>
          </w:tcPr>
          <w:p w14:paraId="10FF9D6D">
            <w:pPr>
              <w:pStyle w:val="16"/>
              <w:keepNext/>
              <w:keepLines w:val="0"/>
              <w:pageBreakBefore w:val="0"/>
              <w:widowControl/>
              <w:spacing w:line="240" w:lineRule="auto"/>
              <w:ind w:left="0" w:right="0" w:firstLine="0"/>
              <w:jc w:val="center"/>
              <w:rPr>
                <w:rFonts w:hint="eastAsia" w:ascii="Times New Roman" w:hAnsi="Times New Roman" w:eastAsia="宋体" w:cs="宋体"/>
                <w:b/>
                <w:bCs w:val="0"/>
                <w:color w:val="auto"/>
                <w:sz w:val="24"/>
                <w:szCs w:val="22"/>
                <w:highlight w:val="none"/>
                <w:lang w:val="en-US" w:eastAsia="zh-CN" w:bidi="ar-SA"/>
              </w:rPr>
            </w:pPr>
          </w:p>
        </w:tc>
        <w:tc>
          <w:tcPr>
            <w:tcW w:w="5609" w:type="dxa"/>
            <w:tcBorders>
              <w:top w:val="single" w:color="auto" w:sz="4" w:space="0"/>
              <w:left w:val="nil"/>
              <w:bottom w:val="single" w:color="auto" w:sz="4" w:space="0"/>
              <w:right w:val="single" w:color="auto" w:sz="4" w:space="0"/>
            </w:tcBorders>
            <w:noWrap w:val="0"/>
            <w:vAlign w:val="center"/>
          </w:tcPr>
          <w:p w14:paraId="13630B74">
            <w:pPr>
              <w:keepNext/>
              <w:keepLines w:val="0"/>
              <w:pageBreakBefore w:val="0"/>
              <w:widowControl/>
              <w:spacing w:after="0" w:line="240" w:lineRule="auto"/>
              <w:ind w:left="0" w:right="0" w:firstLine="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2.1.10滑行时间测量主机接口资源丰富，提供激光非接触式测速测距传感器接口、USB、同步脉冲输入、蓝牙及校准检定接口；可外接激光脉冲传感器测量滚筒周⻓并换算直径，亦可接激光位移传感器检测滚筒径向圆跳动；同时具备扩展滑移率测量功能。</w:t>
            </w:r>
          </w:p>
        </w:tc>
        <w:tc>
          <w:tcPr>
            <w:tcW w:w="970" w:type="dxa"/>
            <w:tcBorders>
              <w:top w:val="single" w:color="auto" w:sz="4" w:space="0"/>
              <w:left w:val="nil"/>
              <w:bottom w:val="single" w:color="auto" w:sz="4" w:space="0"/>
              <w:right w:val="single" w:color="auto" w:sz="4" w:space="0"/>
            </w:tcBorders>
            <w:noWrap w:val="0"/>
            <w:vAlign w:val="center"/>
          </w:tcPr>
          <w:p w14:paraId="14ACD4DE">
            <w:pPr>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符合得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分，不符合不得分</w:t>
            </w:r>
          </w:p>
        </w:tc>
        <w:tc>
          <w:tcPr>
            <w:tcW w:w="683" w:type="dxa"/>
            <w:tcBorders>
              <w:top w:val="single" w:color="auto" w:sz="4" w:space="0"/>
              <w:left w:val="nil"/>
              <w:bottom w:val="single" w:color="auto" w:sz="4" w:space="0"/>
              <w:right w:val="single" w:color="auto" w:sz="4" w:space="0"/>
            </w:tcBorders>
            <w:noWrap w:val="0"/>
            <w:vAlign w:val="center"/>
          </w:tcPr>
          <w:p w14:paraId="53985466">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noWrap w:val="0"/>
            <w:vAlign w:val="center"/>
          </w:tcPr>
          <w:p w14:paraId="0175FBD6">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lang w:val="en-US" w:eastAsia="zh-CN"/>
              </w:rPr>
              <w:t>2</w:t>
            </w:r>
          </w:p>
        </w:tc>
      </w:tr>
      <w:tr w14:paraId="488F269A">
        <w:tblPrEx>
          <w:tblCellMar>
            <w:top w:w="32" w:type="dxa"/>
            <w:left w:w="64" w:type="dxa"/>
            <w:bottom w:w="32" w:type="dxa"/>
            <w:right w:w="64" w:type="dxa"/>
          </w:tblCellMar>
        </w:tblPrEx>
        <w:trPr>
          <w:trHeight w:val="886" w:hRule="atLeast"/>
          <w:jc w:val="center"/>
        </w:trPr>
        <w:tc>
          <w:tcPr>
            <w:tcW w:w="357" w:type="dxa"/>
            <w:vMerge w:val="continue"/>
            <w:tcBorders>
              <w:left w:val="single" w:color="auto" w:sz="4" w:space="0"/>
              <w:bottom w:val="single" w:color="auto" w:sz="4" w:space="0"/>
              <w:right w:val="single" w:color="auto" w:sz="4" w:space="0"/>
            </w:tcBorders>
            <w:noWrap w:val="0"/>
            <w:vAlign w:val="center"/>
          </w:tcPr>
          <w:p w14:paraId="7CE11775">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val="en-US" w:eastAsia="zh-CN"/>
              </w:rPr>
            </w:pPr>
          </w:p>
        </w:tc>
        <w:tc>
          <w:tcPr>
            <w:tcW w:w="1482" w:type="dxa"/>
            <w:vMerge w:val="continue"/>
            <w:tcBorders>
              <w:left w:val="nil"/>
              <w:bottom w:val="single" w:color="auto" w:sz="4" w:space="0"/>
              <w:right w:val="single" w:color="auto" w:sz="4" w:space="0"/>
            </w:tcBorders>
            <w:noWrap w:val="0"/>
            <w:vAlign w:val="center"/>
          </w:tcPr>
          <w:p w14:paraId="1120603A">
            <w:pPr>
              <w:pStyle w:val="16"/>
              <w:keepNext/>
              <w:keepLines w:val="0"/>
              <w:pageBreakBefore w:val="0"/>
              <w:widowControl/>
              <w:spacing w:line="240" w:lineRule="auto"/>
              <w:ind w:left="0" w:right="0" w:firstLine="0"/>
              <w:jc w:val="center"/>
              <w:rPr>
                <w:rFonts w:hint="eastAsia" w:ascii="Times New Roman" w:hAnsi="Times New Roman" w:eastAsia="宋体" w:cs="宋体"/>
                <w:b/>
                <w:bCs w:val="0"/>
                <w:color w:val="auto"/>
                <w:sz w:val="24"/>
                <w:szCs w:val="22"/>
                <w:highlight w:val="none"/>
                <w:lang w:val="en-US" w:eastAsia="zh-CN" w:bidi="ar-SA"/>
              </w:rPr>
            </w:pPr>
          </w:p>
        </w:tc>
        <w:tc>
          <w:tcPr>
            <w:tcW w:w="5609" w:type="dxa"/>
            <w:tcBorders>
              <w:top w:val="single" w:color="auto" w:sz="4" w:space="0"/>
              <w:left w:val="nil"/>
              <w:bottom w:val="single" w:color="auto" w:sz="4" w:space="0"/>
              <w:right w:val="single" w:color="auto" w:sz="4" w:space="0"/>
            </w:tcBorders>
            <w:noWrap w:val="0"/>
            <w:vAlign w:val="center"/>
          </w:tcPr>
          <w:p w14:paraId="3281CCA3">
            <w:pPr>
              <w:keepNext/>
              <w:keepLines w:val="0"/>
              <w:pageBreakBefore w:val="0"/>
              <w:widowControl/>
              <w:spacing w:after="0" w:line="240" w:lineRule="auto"/>
              <w:ind w:left="0" w:right="0" w:firstLine="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▲2.1.11测量软件具有人机操作界面，通过与主机连接激光非接触式传感器测量数据的实时采集、分析、计算、测量记录存储、数据导出等功能。</w:t>
            </w:r>
          </w:p>
        </w:tc>
        <w:tc>
          <w:tcPr>
            <w:tcW w:w="970" w:type="dxa"/>
            <w:tcBorders>
              <w:top w:val="single" w:color="auto" w:sz="4" w:space="0"/>
              <w:left w:val="nil"/>
              <w:bottom w:val="single" w:color="auto" w:sz="4" w:space="0"/>
              <w:right w:val="single" w:color="auto" w:sz="4" w:space="0"/>
            </w:tcBorders>
            <w:noWrap w:val="0"/>
            <w:vAlign w:val="center"/>
          </w:tcPr>
          <w:p w14:paraId="58E7DA24">
            <w:pPr>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符合得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分，不符合不得分</w:t>
            </w:r>
          </w:p>
        </w:tc>
        <w:tc>
          <w:tcPr>
            <w:tcW w:w="683" w:type="dxa"/>
            <w:tcBorders>
              <w:top w:val="single" w:color="auto" w:sz="4" w:space="0"/>
              <w:left w:val="nil"/>
              <w:bottom w:val="single" w:color="auto" w:sz="4" w:space="0"/>
              <w:right w:val="single" w:color="auto" w:sz="4" w:space="0"/>
            </w:tcBorders>
            <w:noWrap w:val="0"/>
            <w:vAlign w:val="center"/>
          </w:tcPr>
          <w:p w14:paraId="743009A2">
            <w:pPr>
              <w:pStyle w:val="16"/>
              <w:keepNext/>
              <w:keepLines w:val="0"/>
              <w:pageBreakBefore w:val="0"/>
              <w:widowControl/>
              <w:spacing w:line="240" w:lineRule="auto"/>
              <w:ind w:left="0" w:leftChars="0" w:right="0" w:rightChars="0"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noWrap w:val="0"/>
            <w:vAlign w:val="center"/>
          </w:tcPr>
          <w:p w14:paraId="7FA8B658">
            <w:pPr>
              <w:pStyle w:val="16"/>
              <w:keepNext/>
              <w:keepLines w:val="0"/>
              <w:pageBreakBefore w:val="0"/>
              <w:widowControl/>
              <w:spacing w:line="240" w:lineRule="auto"/>
              <w:ind w:left="0" w:leftChars="0" w:right="0" w:rightChars="0"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2</w:t>
            </w:r>
          </w:p>
        </w:tc>
      </w:tr>
      <w:tr w14:paraId="7BC0833F">
        <w:tblPrEx>
          <w:tblCellMar>
            <w:top w:w="32" w:type="dxa"/>
            <w:left w:w="64" w:type="dxa"/>
            <w:bottom w:w="32" w:type="dxa"/>
            <w:right w:w="64" w:type="dxa"/>
          </w:tblCellMar>
        </w:tblPrEx>
        <w:trPr>
          <w:trHeight w:val="0" w:hRule="atLeast"/>
          <w:jc w:val="center"/>
        </w:trPr>
        <w:tc>
          <w:tcPr>
            <w:tcW w:w="357" w:type="dxa"/>
            <w:tcBorders>
              <w:top w:val="single" w:color="auto" w:sz="4" w:space="0"/>
              <w:left w:val="single" w:color="auto" w:sz="4" w:space="0"/>
              <w:bottom w:val="single" w:color="auto" w:sz="4" w:space="0"/>
              <w:right w:val="single" w:color="auto" w:sz="4" w:space="0"/>
            </w:tcBorders>
            <w:noWrap w:val="0"/>
            <w:vAlign w:val="center"/>
          </w:tcPr>
          <w:p w14:paraId="24220879">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3</w:t>
            </w:r>
          </w:p>
        </w:tc>
        <w:tc>
          <w:tcPr>
            <w:tcW w:w="1482" w:type="dxa"/>
            <w:tcBorders>
              <w:top w:val="single" w:color="auto" w:sz="4" w:space="0"/>
              <w:left w:val="single" w:color="auto" w:sz="4" w:space="0"/>
              <w:bottom w:val="single" w:color="auto" w:sz="4" w:space="0"/>
              <w:right w:val="single" w:color="auto" w:sz="4" w:space="0"/>
            </w:tcBorders>
            <w:noWrap w:val="0"/>
            <w:vAlign w:val="center"/>
          </w:tcPr>
          <w:p w14:paraId="792C4364">
            <w:pPr>
              <w:pStyle w:val="16"/>
              <w:keepNext/>
              <w:keepLines w:val="0"/>
              <w:pageBreakBefore w:val="0"/>
              <w:widowControl/>
              <w:spacing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bCs w:val="0"/>
                <w:color w:val="auto"/>
                <w:sz w:val="21"/>
                <w:szCs w:val="21"/>
                <w:highlight w:val="none"/>
                <w:lang w:val="en-US" w:eastAsia="zh-CN" w:bidi="ar-SA"/>
              </w:rPr>
              <w:t>实验室版压力表检定装置</w:t>
            </w:r>
          </w:p>
        </w:tc>
        <w:tc>
          <w:tcPr>
            <w:tcW w:w="5609" w:type="dxa"/>
            <w:tcBorders>
              <w:top w:val="single" w:color="auto" w:sz="4" w:space="0"/>
              <w:left w:val="single" w:color="auto" w:sz="4" w:space="0"/>
              <w:bottom w:val="single" w:color="auto" w:sz="4" w:space="0"/>
              <w:right w:val="single" w:color="auto" w:sz="4" w:space="0"/>
            </w:tcBorders>
            <w:noWrap w:val="0"/>
            <w:vAlign w:val="center"/>
          </w:tcPr>
          <w:p w14:paraId="09906F13">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3.1功能技术要求：</w:t>
            </w:r>
          </w:p>
          <w:p w14:paraId="28965474">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3.1.2工作介质：洁净的空气；</w:t>
            </w:r>
          </w:p>
          <w:p w14:paraId="7F01D181">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3.1.4控压操作：集成加压阀、精密泄压阀、压力微调阀三位一体控制，实现快速升压、平稳卸压、高精度压力微调；</w:t>
            </w:r>
          </w:p>
          <w:p w14:paraId="38272C9D">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3.1.5主体材质：采用304 不锈钢阀体、管路及接头，耐腐蚀、耐高压，使用寿命长；</w:t>
            </w:r>
          </w:p>
          <w:p w14:paraId="7A51535D">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3.1.6底座结构：固定式实验室台面安装结构，重心稳定，操作高度符合人体工学；</w:t>
            </w:r>
          </w:p>
          <w:p w14:paraId="2AD27374">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3.1.7过载保护：具备压力过载保护功能，防止超压损坏标准表与被检表；</w:t>
            </w:r>
          </w:p>
          <w:p w14:paraId="596D47ED">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3.1.8快速泄压：泄压阀全开可实现快速卸压，卸压时间≤3 秒；</w:t>
            </w:r>
          </w:p>
          <w:p w14:paraId="61B600A5">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3.1.9独立控制：各输出接口气路互不干扰，可单独启停检定，不影响其他接口；</w:t>
            </w:r>
          </w:p>
          <w:p w14:paraId="25A1B584">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3.1.10安装适配：快速接头兼容M20×1.5 螺纹压力表，适配 0～6MPa 量程普通压力表、精密压力表检定。</w:t>
            </w:r>
          </w:p>
        </w:tc>
        <w:tc>
          <w:tcPr>
            <w:tcW w:w="970" w:type="dxa"/>
            <w:tcBorders>
              <w:top w:val="single" w:color="auto" w:sz="4" w:space="0"/>
              <w:left w:val="nil"/>
              <w:bottom w:val="single" w:color="auto" w:sz="4" w:space="0"/>
              <w:right w:val="single" w:color="auto" w:sz="4" w:space="0"/>
            </w:tcBorders>
            <w:noWrap w:val="0"/>
            <w:vAlign w:val="center"/>
          </w:tcPr>
          <w:p w14:paraId="71FC3E18">
            <w:pPr>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符合得1分，不符合不得分</w:t>
            </w:r>
          </w:p>
        </w:tc>
        <w:tc>
          <w:tcPr>
            <w:tcW w:w="683" w:type="dxa"/>
            <w:tcBorders>
              <w:top w:val="single" w:color="auto" w:sz="4" w:space="0"/>
              <w:left w:val="nil"/>
              <w:bottom w:val="single" w:color="auto" w:sz="4" w:space="0"/>
              <w:right w:val="single" w:color="auto" w:sz="4" w:space="0"/>
            </w:tcBorders>
            <w:noWrap w:val="0"/>
            <w:vAlign w:val="center"/>
          </w:tcPr>
          <w:p w14:paraId="3291EDD0">
            <w:pPr>
              <w:pStyle w:val="16"/>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noWrap w:val="0"/>
            <w:vAlign w:val="center"/>
          </w:tcPr>
          <w:p w14:paraId="2C2CDA5B">
            <w:pPr>
              <w:pStyle w:val="16"/>
              <w:keepNext/>
              <w:keepLines w:val="0"/>
              <w:pageBreakBefore w:val="0"/>
              <w:widowControl/>
              <w:spacing w:after="0" w:line="240" w:lineRule="auto"/>
              <w:ind w:left="0" w:right="0" w:firstLine="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w:t>
            </w:r>
          </w:p>
        </w:tc>
      </w:tr>
      <w:tr w14:paraId="1C786280">
        <w:tblPrEx>
          <w:tblCellMar>
            <w:top w:w="32" w:type="dxa"/>
            <w:left w:w="64" w:type="dxa"/>
            <w:bottom w:w="32" w:type="dxa"/>
            <w:right w:w="64" w:type="dxa"/>
          </w:tblCellMar>
        </w:tblPrEx>
        <w:trPr>
          <w:trHeight w:val="0" w:hRule="atLeast"/>
          <w:jc w:val="center"/>
        </w:trPr>
        <w:tc>
          <w:tcPr>
            <w:tcW w:w="357" w:type="dxa"/>
            <w:tcBorders>
              <w:top w:val="single" w:color="auto" w:sz="4" w:space="0"/>
              <w:left w:val="single" w:color="auto" w:sz="4" w:space="0"/>
              <w:bottom w:val="single" w:color="auto" w:sz="4" w:space="0"/>
              <w:right w:val="single" w:color="auto" w:sz="4" w:space="0"/>
            </w:tcBorders>
            <w:noWrap w:val="0"/>
            <w:vAlign w:val="center"/>
          </w:tcPr>
          <w:p w14:paraId="79249A94">
            <w:pPr>
              <w:pStyle w:val="16"/>
              <w:keepNext/>
              <w:keepLines w:val="0"/>
              <w:pageBreakBefore w:val="0"/>
              <w:widowControl/>
              <w:spacing w:line="240" w:lineRule="auto"/>
              <w:ind w:left="0" w:leftChars="0" w:right="0" w:rightChars="0"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p>
        </w:tc>
        <w:tc>
          <w:tcPr>
            <w:tcW w:w="1482" w:type="dxa"/>
            <w:tcBorders>
              <w:top w:val="single" w:color="auto" w:sz="4" w:space="0"/>
              <w:left w:val="single" w:color="auto" w:sz="4" w:space="0"/>
              <w:bottom w:val="single" w:color="auto" w:sz="4" w:space="0"/>
              <w:right w:val="single" w:color="auto" w:sz="4" w:space="0"/>
            </w:tcBorders>
            <w:noWrap w:val="0"/>
            <w:vAlign w:val="center"/>
          </w:tcPr>
          <w:p w14:paraId="2F57197E">
            <w:pPr>
              <w:pStyle w:val="16"/>
              <w:keepNext/>
              <w:keepLines w:val="0"/>
              <w:pageBreakBefore w:val="0"/>
              <w:widowControl/>
              <w:spacing w:line="240" w:lineRule="auto"/>
              <w:ind w:left="0" w:leftChars="0" w:right="0" w:rightChars="0" w:firstLine="0" w:firstLineChars="0"/>
              <w:jc w:val="center"/>
              <w:rPr>
                <w:rFonts w:hint="default" w:ascii="宋体" w:hAnsi="宋体" w:eastAsia="宋体" w:cs="宋体"/>
                <w:b/>
                <w:bCs w:val="0"/>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bidi="ar-SA"/>
              </w:rPr>
              <w:t>压力发生器</w:t>
            </w:r>
          </w:p>
        </w:tc>
        <w:tc>
          <w:tcPr>
            <w:tcW w:w="5609" w:type="dxa"/>
            <w:tcBorders>
              <w:top w:val="single" w:color="auto" w:sz="4" w:space="0"/>
              <w:left w:val="single" w:color="auto" w:sz="4" w:space="0"/>
              <w:bottom w:val="single" w:color="auto" w:sz="4" w:space="0"/>
              <w:right w:val="single" w:color="auto" w:sz="4" w:space="0"/>
            </w:tcBorders>
            <w:noWrap w:val="0"/>
            <w:vAlign w:val="center"/>
          </w:tcPr>
          <w:p w14:paraId="2F03600B">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4.1功能技术要求：</w:t>
            </w:r>
          </w:p>
          <w:p w14:paraId="2CD66953">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4.1.1造压介质：洁净的空气；</w:t>
            </w:r>
          </w:p>
          <w:p w14:paraId="523EA6FD">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4.1.3造压系统：内置一体式静音四缸高压气泵，无外接气源即可独立工作；</w:t>
            </w:r>
          </w:p>
          <w:p w14:paraId="74CDEDF1">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4.1.5造压模式：支持高 / 中 / 低三档压力模式，适配不同量程压力表快速检定；</w:t>
            </w:r>
          </w:p>
          <w:p w14:paraId="0B1039A5">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4.1.6工作电源：AC220V±10%，50Hz；</w:t>
            </w:r>
          </w:p>
          <w:p w14:paraId="446C9446">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4.1.7噪音水平：整机运行噪音 ≤55dB；</w:t>
            </w:r>
          </w:p>
          <w:p w14:paraId="0E9A2124">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4.1.8工作温度：（0～50）℃；</w:t>
            </w:r>
          </w:p>
          <w:p w14:paraId="116AFA35">
            <w:pPr>
              <w:keepNext/>
              <w:keepLines w:val="0"/>
              <w:pageBreakBefore w:val="0"/>
              <w:widowControl/>
              <w:spacing w:after="0" w:line="240" w:lineRule="auto"/>
              <w:ind w:left="0" w:leftChars="0" w:right="0" w:rightChars="0" w:firstLine="0" w:firstLineChars="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4.1.9存储温度：（-20～60）℃；</w:t>
            </w:r>
          </w:p>
        </w:tc>
        <w:tc>
          <w:tcPr>
            <w:tcW w:w="970" w:type="dxa"/>
            <w:tcBorders>
              <w:top w:val="single" w:color="auto" w:sz="4" w:space="0"/>
              <w:left w:val="nil"/>
              <w:bottom w:val="single" w:color="auto" w:sz="4" w:space="0"/>
              <w:right w:val="single" w:color="auto" w:sz="4" w:space="0"/>
            </w:tcBorders>
            <w:noWrap w:val="0"/>
            <w:vAlign w:val="center"/>
          </w:tcPr>
          <w:p w14:paraId="7804092B">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符合得1分，不符合不得分</w:t>
            </w:r>
          </w:p>
        </w:tc>
        <w:tc>
          <w:tcPr>
            <w:tcW w:w="683" w:type="dxa"/>
            <w:tcBorders>
              <w:top w:val="single" w:color="auto" w:sz="4" w:space="0"/>
              <w:left w:val="nil"/>
              <w:bottom w:val="single" w:color="auto" w:sz="4" w:space="0"/>
              <w:right w:val="single" w:color="auto" w:sz="4" w:space="0"/>
            </w:tcBorders>
            <w:noWrap w:val="0"/>
            <w:vAlign w:val="center"/>
          </w:tcPr>
          <w:p w14:paraId="78BC1338">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0</w:t>
            </w:r>
          </w:p>
        </w:tc>
        <w:tc>
          <w:tcPr>
            <w:tcW w:w="583" w:type="dxa"/>
            <w:tcBorders>
              <w:top w:val="single" w:color="auto" w:sz="4" w:space="0"/>
              <w:left w:val="nil"/>
              <w:bottom w:val="single" w:color="auto" w:sz="4" w:space="0"/>
              <w:right w:val="single" w:color="auto" w:sz="4" w:space="0"/>
            </w:tcBorders>
            <w:noWrap w:val="0"/>
            <w:vAlign w:val="center"/>
          </w:tcPr>
          <w:p w14:paraId="2B7EEA30">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1</w:t>
            </w:r>
          </w:p>
        </w:tc>
      </w:tr>
      <w:tr w14:paraId="7E772546">
        <w:tblPrEx>
          <w:tblCellMar>
            <w:top w:w="32" w:type="dxa"/>
            <w:left w:w="64" w:type="dxa"/>
            <w:bottom w:w="32" w:type="dxa"/>
            <w:right w:w="64" w:type="dxa"/>
          </w:tblCellMar>
        </w:tblPrEx>
        <w:trPr>
          <w:trHeight w:val="0" w:hRule="atLeast"/>
          <w:jc w:val="center"/>
        </w:trPr>
        <w:tc>
          <w:tcPr>
            <w:tcW w:w="357" w:type="dxa"/>
            <w:vMerge w:val="restart"/>
            <w:tcBorders>
              <w:top w:val="single" w:color="auto" w:sz="4" w:space="0"/>
              <w:left w:val="single" w:color="auto" w:sz="4" w:space="0"/>
              <w:right w:val="single" w:color="auto" w:sz="4" w:space="0"/>
            </w:tcBorders>
            <w:noWrap w:val="0"/>
            <w:vAlign w:val="center"/>
          </w:tcPr>
          <w:p w14:paraId="5151820A">
            <w:pPr>
              <w:pStyle w:val="16"/>
              <w:keepNext/>
              <w:keepLines w:val="0"/>
              <w:pageBreakBefore w:val="0"/>
              <w:widowControl/>
              <w:spacing w:line="240" w:lineRule="auto"/>
              <w:ind w:left="0" w:leftChars="0" w:right="0" w:rightChars="0"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5</w:t>
            </w:r>
          </w:p>
        </w:tc>
        <w:tc>
          <w:tcPr>
            <w:tcW w:w="1482" w:type="dxa"/>
            <w:vMerge w:val="restart"/>
            <w:tcBorders>
              <w:top w:val="single" w:color="auto" w:sz="4" w:space="0"/>
              <w:left w:val="single" w:color="auto" w:sz="4" w:space="0"/>
              <w:right w:val="single" w:color="auto" w:sz="4" w:space="0"/>
            </w:tcBorders>
            <w:noWrap w:val="0"/>
            <w:vAlign w:val="center"/>
          </w:tcPr>
          <w:p w14:paraId="43A2A01B">
            <w:pPr>
              <w:pStyle w:val="16"/>
              <w:keepNext/>
              <w:keepLines w:val="0"/>
              <w:pageBreakBefore w:val="0"/>
              <w:widowControl/>
              <w:spacing w:line="240" w:lineRule="auto"/>
              <w:ind w:left="0" w:leftChars="0" w:right="0" w:rightChars="0" w:firstLine="0" w:firstLineChars="0"/>
              <w:jc w:val="center"/>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隔膜压力表工装</w:t>
            </w:r>
          </w:p>
        </w:tc>
        <w:tc>
          <w:tcPr>
            <w:tcW w:w="5609" w:type="dxa"/>
            <w:tcBorders>
              <w:top w:val="single" w:color="auto" w:sz="4" w:space="0"/>
              <w:left w:val="single" w:color="auto" w:sz="4" w:space="0"/>
              <w:bottom w:val="single" w:color="auto" w:sz="4" w:space="0"/>
              <w:right w:val="single" w:color="auto" w:sz="4" w:space="0"/>
            </w:tcBorders>
            <w:noWrap w:val="0"/>
            <w:vAlign w:val="center"/>
          </w:tcPr>
          <w:p w14:paraId="4FFEE45B">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5.1功能技术要求：</w:t>
            </w:r>
          </w:p>
          <w:p w14:paraId="3A4795C8">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5.1.4主体材质：承压部件采用304不锈钢，耐腐蚀、耐清洗；</w:t>
            </w:r>
          </w:p>
          <w:p w14:paraId="717E4679">
            <w:pPr>
              <w:keepNext/>
              <w:keepLines w:val="0"/>
              <w:pageBreakBefore w:val="0"/>
              <w:widowControl/>
              <w:spacing w:after="0" w:line="240" w:lineRule="auto"/>
              <w:ind w:left="0" w:right="0"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5.1.5安全防护：具备防松脱、防过压、防泄漏结构设计，检定过程安全可靠；</w:t>
            </w:r>
          </w:p>
        </w:tc>
        <w:tc>
          <w:tcPr>
            <w:tcW w:w="970" w:type="dxa"/>
            <w:tcBorders>
              <w:top w:val="single" w:color="auto" w:sz="4" w:space="0"/>
              <w:left w:val="nil"/>
              <w:bottom w:val="single" w:color="auto" w:sz="4" w:space="0"/>
              <w:right w:val="single" w:color="auto" w:sz="4" w:space="0"/>
            </w:tcBorders>
            <w:noWrap w:val="0"/>
            <w:vAlign w:val="center"/>
          </w:tcPr>
          <w:p w14:paraId="19C57E1F">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符合得1分，不符合不得分</w:t>
            </w:r>
          </w:p>
        </w:tc>
        <w:tc>
          <w:tcPr>
            <w:tcW w:w="683" w:type="dxa"/>
            <w:tcBorders>
              <w:top w:val="single" w:color="auto" w:sz="4" w:space="0"/>
              <w:left w:val="nil"/>
              <w:bottom w:val="single" w:color="auto" w:sz="4" w:space="0"/>
              <w:right w:val="single" w:color="auto" w:sz="4" w:space="0"/>
            </w:tcBorders>
            <w:noWrap w:val="0"/>
            <w:vAlign w:val="center"/>
          </w:tcPr>
          <w:p w14:paraId="2B62336F">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noWrap w:val="0"/>
            <w:vAlign w:val="center"/>
          </w:tcPr>
          <w:p w14:paraId="118A0FBC">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w:t>
            </w:r>
          </w:p>
        </w:tc>
      </w:tr>
      <w:tr w14:paraId="5A0D0967">
        <w:tblPrEx>
          <w:tblCellMar>
            <w:top w:w="32" w:type="dxa"/>
            <w:left w:w="64" w:type="dxa"/>
            <w:bottom w:w="32" w:type="dxa"/>
            <w:right w:w="64" w:type="dxa"/>
          </w:tblCellMar>
        </w:tblPrEx>
        <w:trPr>
          <w:trHeight w:val="0" w:hRule="atLeast"/>
          <w:jc w:val="center"/>
        </w:trPr>
        <w:tc>
          <w:tcPr>
            <w:tcW w:w="357" w:type="dxa"/>
            <w:vMerge w:val="continue"/>
            <w:tcBorders>
              <w:left w:val="single" w:color="auto" w:sz="4" w:space="0"/>
              <w:right w:val="single" w:color="auto" w:sz="4" w:space="0"/>
            </w:tcBorders>
            <w:noWrap w:val="0"/>
            <w:vAlign w:val="center"/>
          </w:tcPr>
          <w:p w14:paraId="2EB21747">
            <w:pPr>
              <w:pStyle w:val="16"/>
              <w:keepNext/>
              <w:keepLines w:val="0"/>
              <w:pageBreakBefore w:val="0"/>
              <w:widowControl/>
              <w:spacing w:line="240" w:lineRule="auto"/>
              <w:ind w:left="0" w:leftChars="0" w:right="0" w:rightChars="0" w:firstLine="0" w:firstLineChars="0"/>
              <w:jc w:val="center"/>
              <w:rPr>
                <w:rFonts w:hint="eastAsia" w:ascii="宋体" w:hAnsi="宋体" w:eastAsia="宋体" w:cs="宋体"/>
                <w:b w:val="0"/>
                <w:bCs/>
                <w:color w:val="auto"/>
                <w:sz w:val="21"/>
                <w:szCs w:val="21"/>
                <w:highlight w:val="none"/>
                <w:lang w:val="en-US" w:eastAsia="zh-CN"/>
              </w:rPr>
            </w:pPr>
          </w:p>
        </w:tc>
        <w:tc>
          <w:tcPr>
            <w:tcW w:w="1482" w:type="dxa"/>
            <w:vMerge w:val="continue"/>
            <w:tcBorders>
              <w:left w:val="single" w:color="auto" w:sz="4" w:space="0"/>
              <w:right w:val="single" w:color="auto" w:sz="4" w:space="0"/>
            </w:tcBorders>
            <w:noWrap w:val="0"/>
            <w:vAlign w:val="center"/>
          </w:tcPr>
          <w:p w14:paraId="2069F832">
            <w:pPr>
              <w:keepNext/>
              <w:keepLines w:val="0"/>
              <w:pageBreakBefore w:val="0"/>
              <w:widowControl/>
              <w:spacing w:after="0" w:line="240" w:lineRule="auto"/>
              <w:ind w:left="0" w:leftChars="0" w:right="0" w:rightChars="0" w:firstLine="0" w:firstLineChars="0"/>
              <w:jc w:val="left"/>
              <w:rPr>
                <w:rFonts w:hint="eastAsia" w:ascii="宋体" w:hAnsi="宋体" w:eastAsia="宋体" w:cs="宋体"/>
                <w:b/>
                <w:bCs w:val="0"/>
                <w:color w:val="auto"/>
                <w:sz w:val="21"/>
                <w:szCs w:val="21"/>
                <w:highlight w:val="none"/>
                <w:lang w:val="en-US" w:eastAsia="zh-CN" w:bidi="ar-SA"/>
              </w:rPr>
            </w:pPr>
          </w:p>
        </w:tc>
        <w:tc>
          <w:tcPr>
            <w:tcW w:w="5609" w:type="dxa"/>
            <w:tcBorders>
              <w:top w:val="single" w:color="auto" w:sz="4" w:space="0"/>
              <w:left w:val="single" w:color="auto" w:sz="4" w:space="0"/>
              <w:bottom w:val="single" w:color="auto" w:sz="4" w:space="0"/>
              <w:right w:val="single" w:color="auto" w:sz="4" w:space="0"/>
            </w:tcBorders>
            <w:noWrap w:val="0"/>
            <w:vAlign w:val="center"/>
          </w:tcPr>
          <w:p w14:paraId="6496F473">
            <w:pPr>
              <w:keepNext/>
              <w:keepLines w:val="0"/>
              <w:pageBreakBefore w:val="0"/>
              <w:widowControl/>
              <w:spacing w:after="0" w:line="240" w:lineRule="auto"/>
              <w:ind w:left="0" w:leftChars="0" w:right="0" w:rightChars="0" w:firstLine="0" w:firstLineChars="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▲5.1.3框架结构：工装应采用立柱框架结构，具有快速调节高度的功能用于快速适配各类厚度的法兰，底部有气驱上浮顶块顶住法兰底部从而保障检定时的密封性，有加压、卸压旋钮；</w:t>
            </w:r>
          </w:p>
        </w:tc>
        <w:tc>
          <w:tcPr>
            <w:tcW w:w="970" w:type="dxa"/>
            <w:tcBorders>
              <w:top w:val="single" w:color="auto" w:sz="4" w:space="0"/>
              <w:left w:val="nil"/>
              <w:bottom w:val="single" w:color="auto" w:sz="4" w:space="0"/>
              <w:right w:val="single" w:color="auto" w:sz="4" w:space="0"/>
            </w:tcBorders>
            <w:noWrap w:val="0"/>
            <w:vAlign w:val="center"/>
          </w:tcPr>
          <w:p w14:paraId="2074EB23">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符合得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分，不符合不得分</w:t>
            </w:r>
          </w:p>
        </w:tc>
        <w:tc>
          <w:tcPr>
            <w:tcW w:w="683" w:type="dxa"/>
            <w:tcBorders>
              <w:top w:val="single" w:color="auto" w:sz="4" w:space="0"/>
              <w:left w:val="nil"/>
              <w:bottom w:val="single" w:color="auto" w:sz="4" w:space="0"/>
              <w:right w:val="single" w:color="auto" w:sz="4" w:space="0"/>
            </w:tcBorders>
            <w:noWrap w:val="0"/>
            <w:vAlign w:val="center"/>
          </w:tcPr>
          <w:p w14:paraId="383482AA">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noWrap w:val="0"/>
            <w:vAlign w:val="center"/>
          </w:tcPr>
          <w:p w14:paraId="2B9731E5">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p>
        </w:tc>
      </w:tr>
      <w:tr w14:paraId="0649C03E">
        <w:tblPrEx>
          <w:tblCellMar>
            <w:top w:w="32" w:type="dxa"/>
            <w:left w:w="64" w:type="dxa"/>
            <w:bottom w:w="32" w:type="dxa"/>
            <w:right w:w="64" w:type="dxa"/>
          </w:tblCellMar>
        </w:tblPrEx>
        <w:trPr>
          <w:trHeight w:val="0" w:hRule="atLeast"/>
          <w:jc w:val="center"/>
        </w:trPr>
        <w:tc>
          <w:tcPr>
            <w:tcW w:w="357" w:type="dxa"/>
            <w:vMerge w:val="continue"/>
            <w:tcBorders>
              <w:left w:val="single" w:color="auto" w:sz="4" w:space="0"/>
              <w:bottom w:val="single" w:color="auto" w:sz="4" w:space="0"/>
              <w:right w:val="single" w:color="auto" w:sz="4" w:space="0"/>
            </w:tcBorders>
            <w:noWrap w:val="0"/>
            <w:vAlign w:val="center"/>
          </w:tcPr>
          <w:p w14:paraId="219749FC">
            <w:pPr>
              <w:pStyle w:val="16"/>
              <w:keepNext/>
              <w:keepLines w:val="0"/>
              <w:pageBreakBefore w:val="0"/>
              <w:widowControl/>
              <w:spacing w:line="240" w:lineRule="auto"/>
              <w:ind w:left="0" w:leftChars="0" w:right="0" w:rightChars="0" w:firstLine="0" w:firstLineChars="0"/>
              <w:jc w:val="center"/>
              <w:rPr>
                <w:rFonts w:hint="eastAsia" w:ascii="宋体" w:hAnsi="宋体" w:eastAsia="宋体" w:cs="宋体"/>
                <w:b w:val="0"/>
                <w:bCs/>
                <w:color w:val="auto"/>
                <w:sz w:val="21"/>
                <w:szCs w:val="21"/>
                <w:highlight w:val="none"/>
                <w:lang w:val="en-US" w:eastAsia="zh-CN"/>
              </w:rPr>
            </w:pPr>
          </w:p>
        </w:tc>
        <w:tc>
          <w:tcPr>
            <w:tcW w:w="1482" w:type="dxa"/>
            <w:vMerge w:val="continue"/>
            <w:tcBorders>
              <w:left w:val="single" w:color="auto" w:sz="4" w:space="0"/>
              <w:bottom w:val="single" w:color="auto" w:sz="4" w:space="0"/>
              <w:right w:val="single" w:color="auto" w:sz="4" w:space="0"/>
            </w:tcBorders>
            <w:noWrap w:val="0"/>
            <w:vAlign w:val="center"/>
          </w:tcPr>
          <w:p w14:paraId="52088153">
            <w:pPr>
              <w:keepNext/>
              <w:keepLines w:val="0"/>
              <w:pageBreakBefore w:val="0"/>
              <w:widowControl/>
              <w:spacing w:after="0" w:line="240" w:lineRule="auto"/>
              <w:ind w:left="0" w:leftChars="0" w:right="0" w:rightChars="0" w:firstLine="0" w:firstLineChars="0"/>
              <w:jc w:val="left"/>
              <w:rPr>
                <w:rFonts w:hint="eastAsia" w:ascii="宋体" w:hAnsi="宋体" w:eastAsia="宋体" w:cs="宋体"/>
                <w:b/>
                <w:bCs w:val="0"/>
                <w:color w:val="auto"/>
                <w:sz w:val="21"/>
                <w:szCs w:val="21"/>
                <w:highlight w:val="none"/>
                <w:lang w:val="en-US" w:eastAsia="zh-CN" w:bidi="ar-SA"/>
              </w:rPr>
            </w:pPr>
          </w:p>
        </w:tc>
        <w:tc>
          <w:tcPr>
            <w:tcW w:w="5609" w:type="dxa"/>
            <w:tcBorders>
              <w:top w:val="single" w:color="auto" w:sz="4" w:space="0"/>
              <w:left w:val="single" w:color="auto" w:sz="4" w:space="0"/>
              <w:bottom w:val="single" w:color="auto" w:sz="4" w:space="0"/>
              <w:right w:val="single" w:color="auto" w:sz="4" w:space="0"/>
            </w:tcBorders>
            <w:noWrap w:val="0"/>
            <w:vAlign w:val="center"/>
          </w:tcPr>
          <w:p w14:paraId="69503C55">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5.2压力控制与接口配置要求：</w:t>
            </w:r>
          </w:p>
          <w:p w14:paraId="1A1B7EF3">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5.2.1压力控制组件：集成加压阀、精密泄压阀、精密微调阀，实现平稳升压、精细稳压、快速卸压；</w:t>
            </w:r>
          </w:p>
          <w:p w14:paraId="6AC81884">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5.2.2标准表接口：配置1 个标准压力输出接口，专用安装标准压力表；</w:t>
            </w:r>
          </w:p>
          <w:p w14:paraId="649C45C7">
            <w:pPr>
              <w:keepNext/>
              <w:keepLines w:val="0"/>
              <w:pageBreakBefore w:val="0"/>
              <w:widowControl/>
              <w:spacing w:after="0" w:line="240" w:lineRule="auto"/>
              <w:ind w:left="0" w:leftChars="0" w:right="0" w:rightChars="0" w:firstLine="0" w:firstLineChars="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5.2.3被检表接口：1 工位，法兰 / 卫生型快速装夹，定位精准、装夹牢固。</w:t>
            </w:r>
          </w:p>
        </w:tc>
        <w:tc>
          <w:tcPr>
            <w:tcW w:w="970" w:type="dxa"/>
            <w:tcBorders>
              <w:top w:val="single" w:color="auto" w:sz="4" w:space="0"/>
              <w:left w:val="nil"/>
              <w:bottom w:val="single" w:color="auto" w:sz="4" w:space="0"/>
              <w:right w:val="single" w:color="auto" w:sz="4" w:space="0"/>
            </w:tcBorders>
            <w:noWrap w:val="0"/>
            <w:vAlign w:val="center"/>
          </w:tcPr>
          <w:p w14:paraId="74CE9CBB">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符合得1分，不符合不得分</w:t>
            </w:r>
          </w:p>
        </w:tc>
        <w:tc>
          <w:tcPr>
            <w:tcW w:w="683" w:type="dxa"/>
            <w:tcBorders>
              <w:top w:val="single" w:color="auto" w:sz="4" w:space="0"/>
              <w:left w:val="nil"/>
              <w:bottom w:val="single" w:color="auto" w:sz="4" w:space="0"/>
              <w:right w:val="single" w:color="auto" w:sz="4" w:space="0"/>
            </w:tcBorders>
            <w:noWrap w:val="0"/>
            <w:vAlign w:val="center"/>
          </w:tcPr>
          <w:p w14:paraId="053D6F64">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noWrap w:val="0"/>
            <w:vAlign w:val="center"/>
          </w:tcPr>
          <w:p w14:paraId="34EF0B2B">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1</w:t>
            </w:r>
          </w:p>
        </w:tc>
      </w:tr>
      <w:tr w14:paraId="39C51C75">
        <w:tblPrEx>
          <w:tblCellMar>
            <w:top w:w="32" w:type="dxa"/>
            <w:left w:w="64" w:type="dxa"/>
            <w:bottom w:w="32" w:type="dxa"/>
            <w:right w:w="64" w:type="dxa"/>
          </w:tblCellMar>
        </w:tblPrEx>
        <w:trPr>
          <w:trHeight w:val="0" w:hRule="atLeast"/>
          <w:jc w:val="center"/>
        </w:trPr>
        <w:tc>
          <w:tcPr>
            <w:tcW w:w="357" w:type="dxa"/>
            <w:tcBorders>
              <w:top w:val="single" w:color="auto" w:sz="4" w:space="0"/>
              <w:left w:val="single" w:color="auto" w:sz="4" w:space="0"/>
              <w:bottom w:val="single" w:color="auto" w:sz="4" w:space="0"/>
              <w:right w:val="single" w:color="auto" w:sz="4" w:space="0"/>
            </w:tcBorders>
            <w:noWrap w:val="0"/>
            <w:vAlign w:val="center"/>
          </w:tcPr>
          <w:p w14:paraId="606923BA">
            <w:pPr>
              <w:pStyle w:val="16"/>
              <w:keepNext/>
              <w:keepLines w:val="0"/>
              <w:pageBreakBefore w:val="0"/>
              <w:widowControl/>
              <w:spacing w:line="240" w:lineRule="auto"/>
              <w:ind w:left="0" w:leftChars="0" w:right="0" w:rightChars="0"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6</w:t>
            </w:r>
          </w:p>
        </w:tc>
        <w:tc>
          <w:tcPr>
            <w:tcW w:w="1482" w:type="dxa"/>
            <w:tcBorders>
              <w:top w:val="single" w:color="auto" w:sz="4" w:space="0"/>
              <w:left w:val="single" w:color="auto" w:sz="4" w:space="0"/>
              <w:bottom w:val="single" w:color="auto" w:sz="4" w:space="0"/>
              <w:right w:val="single" w:color="auto" w:sz="4" w:space="0"/>
            </w:tcBorders>
            <w:noWrap w:val="0"/>
            <w:vAlign w:val="center"/>
          </w:tcPr>
          <w:p w14:paraId="57EE4561">
            <w:pPr>
              <w:pStyle w:val="16"/>
              <w:keepNext/>
              <w:keepLines w:val="0"/>
              <w:pageBreakBefore w:val="0"/>
              <w:widowControl/>
              <w:spacing w:line="240" w:lineRule="auto"/>
              <w:ind w:left="0" w:leftChars="0" w:right="0" w:rightChars="0" w:firstLine="0" w:firstLineChars="0"/>
              <w:jc w:val="left"/>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便携式压力表检定装置</w:t>
            </w:r>
          </w:p>
        </w:tc>
        <w:tc>
          <w:tcPr>
            <w:tcW w:w="5609" w:type="dxa"/>
            <w:tcBorders>
              <w:top w:val="single" w:color="auto" w:sz="4" w:space="0"/>
              <w:left w:val="single" w:color="auto" w:sz="4" w:space="0"/>
              <w:bottom w:val="single" w:color="auto" w:sz="4" w:space="0"/>
              <w:right w:val="single" w:color="auto" w:sz="4" w:space="0"/>
            </w:tcBorders>
            <w:noWrap w:val="0"/>
            <w:vAlign w:val="center"/>
          </w:tcPr>
          <w:p w14:paraId="34BF5A04">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6.1功能技术要求：</w:t>
            </w:r>
          </w:p>
          <w:p w14:paraId="30144A3F">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6.1.1功能：便携式压力检定装置，内置压力源、标准表、两个被检表接口、加压泄压阀、微调旋钮和锂电池等，用于现场快速检定多块压力表；</w:t>
            </w:r>
          </w:p>
          <w:p w14:paraId="1F7347AC">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6.1.2造压范围：（0～7）MPa ；</w:t>
            </w:r>
          </w:p>
          <w:p w14:paraId="5FB5A4E6">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6.1.5设备配置1个数字压力计，量程（0～6）MPa，精度0.02级；</w:t>
            </w:r>
          </w:p>
          <w:p w14:paraId="32D8ACBD">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6.1.7控制模式：集成加压阀、泄压阀，实现平稳升压、快速卸压；配备微调阀，便于精准控压；</w:t>
            </w:r>
          </w:p>
          <w:p w14:paraId="787D0C44">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6.1.9量程切换：根据被检表量程，一键切换气源压力值；</w:t>
            </w:r>
          </w:p>
          <w:p w14:paraId="4D5BA316">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6.1.10高清液晶屏实时显示压力、电量、运行状态；</w:t>
            </w:r>
          </w:p>
          <w:p w14:paraId="42EB228D">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6.1.11供电方式：内置大容量锂电池，电池容量不小于35000mAh（3.5 万毫安时），支持 220V 充电，支持边充边用；</w:t>
            </w:r>
          </w:p>
          <w:p w14:paraId="060990B7">
            <w:pPr>
              <w:keepNext/>
              <w:keepLines w:val="0"/>
              <w:pageBreakBefore w:val="0"/>
              <w:widowControl/>
              <w:spacing w:after="0" w:line="240" w:lineRule="auto"/>
              <w:ind w:left="0" w:right="0" w:firstLine="0"/>
              <w:jc w:val="left"/>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6.1.12续航能力：满电可连续检定压力表≥120 块；</w:t>
            </w:r>
          </w:p>
          <w:p w14:paraId="32C85049">
            <w:pPr>
              <w:keepNext/>
              <w:keepLines w:val="0"/>
              <w:pageBreakBefore w:val="0"/>
              <w:widowControl/>
              <w:spacing w:after="0" w:line="240" w:lineRule="auto"/>
              <w:ind w:left="0" w:leftChars="0" w:right="0" w:rightChars="0" w:firstLine="0" w:firstLineChars="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6.1.15噪音：运行噪音 ≤65dB(A)。</w:t>
            </w:r>
          </w:p>
        </w:tc>
        <w:tc>
          <w:tcPr>
            <w:tcW w:w="970" w:type="dxa"/>
            <w:tcBorders>
              <w:top w:val="single" w:color="auto" w:sz="4" w:space="0"/>
              <w:left w:val="nil"/>
              <w:bottom w:val="single" w:color="auto" w:sz="4" w:space="0"/>
              <w:right w:val="single" w:color="auto" w:sz="4" w:space="0"/>
            </w:tcBorders>
            <w:noWrap w:val="0"/>
            <w:vAlign w:val="center"/>
          </w:tcPr>
          <w:p w14:paraId="478DBD66">
            <w:pPr>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符合得1分，不符合不得分</w:t>
            </w:r>
          </w:p>
        </w:tc>
        <w:tc>
          <w:tcPr>
            <w:tcW w:w="683" w:type="dxa"/>
            <w:tcBorders>
              <w:top w:val="single" w:color="auto" w:sz="4" w:space="0"/>
              <w:left w:val="nil"/>
              <w:bottom w:val="single" w:color="auto" w:sz="4" w:space="0"/>
              <w:right w:val="single" w:color="auto" w:sz="4" w:space="0"/>
            </w:tcBorders>
            <w:noWrap w:val="0"/>
            <w:vAlign w:val="center"/>
          </w:tcPr>
          <w:p w14:paraId="3DDE1D80">
            <w:pPr>
              <w:pStyle w:val="16"/>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0</w:t>
            </w:r>
          </w:p>
        </w:tc>
        <w:tc>
          <w:tcPr>
            <w:tcW w:w="583" w:type="dxa"/>
            <w:tcBorders>
              <w:top w:val="single" w:color="auto" w:sz="4" w:space="0"/>
              <w:left w:val="nil"/>
              <w:bottom w:val="single" w:color="auto" w:sz="4" w:space="0"/>
              <w:right w:val="single" w:color="auto" w:sz="4" w:space="0"/>
            </w:tcBorders>
            <w:noWrap w:val="0"/>
            <w:vAlign w:val="center"/>
          </w:tcPr>
          <w:p w14:paraId="0B901B74">
            <w:pPr>
              <w:pStyle w:val="16"/>
              <w:keepNext/>
              <w:keepLines w:val="0"/>
              <w:pageBreakBefore w:val="0"/>
              <w:widowControl/>
              <w:spacing w:after="0" w:line="240" w:lineRule="auto"/>
              <w:ind w:left="0" w:leftChars="0" w:right="0" w:rightChars="0"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w:t>
            </w:r>
          </w:p>
        </w:tc>
      </w:tr>
    </w:tbl>
    <w:p w14:paraId="69705244">
      <w:pPr>
        <w:widowControl w:val="0"/>
        <w:spacing w:after="0" w:line="460" w:lineRule="exact"/>
        <w:ind w:firstLine="480"/>
        <w:jc w:val="both"/>
        <w:rPr>
          <w:rFonts w:hint="eastAsia" w:ascii="宋体" w:hAnsi="宋体" w:cs="Times New Roman"/>
          <w:b/>
          <w:bCs/>
          <w:color w:val="auto"/>
          <w:sz w:val="24"/>
          <w:szCs w:val="20"/>
          <w:highlight w:val="none"/>
        </w:rPr>
      </w:pPr>
      <w:r>
        <w:rPr>
          <w:rFonts w:hint="eastAsia" w:ascii="宋体" w:hAnsi="宋体" w:cs="Times New Roman"/>
          <w:b/>
          <w:bCs/>
          <w:color w:val="auto"/>
          <w:sz w:val="24"/>
          <w:szCs w:val="20"/>
          <w:highlight w:val="none"/>
          <w:lang w:val="en-US" w:eastAsia="zh-CN"/>
        </w:rPr>
        <w:t>（4）</w:t>
      </w:r>
      <w:r>
        <w:rPr>
          <w:rFonts w:hint="eastAsia" w:ascii="宋体" w:hAnsi="宋体" w:cs="Times New Roman"/>
          <w:b/>
          <w:bCs/>
          <w:color w:val="auto"/>
          <w:sz w:val="24"/>
          <w:szCs w:val="20"/>
          <w:highlight w:val="none"/>
        </w:rPr>
        <w:t>技术服务方案（</w:t>
      </w:r>
      <w:r>
        <w:rPr>
          <w:rFonts w:hint="eastAsia" w:ascii="宋体" w:hAnsi="宋体" w:cs="Times New Roman"/>
          <w:b/>
          <w:bCs/>
          <w:color w:val="auto"/>
          <w:sz w:val="24"/>
          <w:szCs w:val="20"/>
          <w:highlight w:val="none"/>
          <w:lang w:val="en-US" w:eastAsia="zh-CN"/>
        </w:rPr>
        <w:t>43</w:t>
      </w:r>
      <w:r>
        <w:rPr>
          <w:rFonts w:hint="eastAsia" w:ascii="宋体" w:hAnsi="宋体" w:cs="Times New Roman"/>
          <w:b/>
          <w:bCs/>
          <w:color w:val="auto"/>
          <w:sz w:val="24"/>
          <w:szCs w:val="20"/>
          <w:highlight w:val="none"/>
        </w:rPr>
        <w:t>分）</w:t>
      </w:r>
    </w:p>
    <w:p w14:paraId="01E3BCA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1）实施方案（</w:t>
      </w:r>
      <w:r>
        <w:rPr>
          <w:rFonts w:hint="eastAsia" w:ascii="宋体" w:hAnsi="宋体" w:cs="Times New Roman"/>
          <w:color w:val="auto"/>
          <w:sz w:val="24"/>
          <w:szCs w:val="20"/>
          <w:highlight w:val="none"/>
          <w:lang w:val="en-US" w:eastAsia="zh-CN"/>
        </w:rPr>
        <w:t>9</w:t>
      </w:r>
      <w:r>
        <w:rPr>
          <w:rFonts w:hint="eastAsia" w:ascii="宋体" w:hAnsi="宋体" w:cs="Times New Roman"/>
          <w:color w:val="auto"/>
          <w:sz w:val="24"/>
          <w:szCs w:val="20"/>
          <w:highlight w:val="none"/>
        </w:rPr>
        <w:t>分）：对供货计划安排、供货安装方案进行评审。</w:t>
      </w:r>
    </w:p>
    <w:p w14:paraId="6ACFDB6E">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以上内容不存在瑕疵：</w:t>
      </w:r>
      <w:r>
        <w:rPr>
          <w:rFonts w:hint="eastAsia" w:ascii="宋体" w:hAnsi="宋体" w:cs="Times New Roman"/>
          <w:color w:val="auto"/>
          <w:sz w:val="24"/>
          <w:szCs w:val="20"/>
          <w:highlight w:val="none"/>
          <w:lang w:val="en-US" w:eastAsia="zh-CN"/>
        </w:rPr>
        <w:t>9</w:t>
      </w:r>
      <w:r>
        <w:rPr>
          <w:rFonts w:hint="eastAsia" w:ascii="宋体" w:hAnsi="宋体" w:cs="Times New Roman"/>
          <w:color w:val="auto"/>
          <w:sz w:val="24"/>
          <w:szCs w:val="20"/>
          <w:highlight w:val="none"/>
        </w:rPr>
        <w:t>分；</w:t>
      </w:r>
    </w:p>
    <w:p w14:paraId="67CA698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以上内容存在1处瑕疵：</w:t>
      </w:r>
      <w:r>
        <w:rPr>
          <w:rFonts w:hint="eastAsia" w:ascii="宋体" w:hAnsi="宋体" w:cs="Times New Roman"/>
          <w:color w:val="auto"/>
          <w:sz w:val="24"/>
          <w:szCs w:val="20"/>
          <w:highlight w:val="none"/>
          <w:lang w:val="en-US" w:eastAsia="zh-CN"/>
        </w:rPr>
        <w:t>6</w:t>
      </w:r>
      <w:r>
        <w:rPr>
          <w:rFonts w:hint="eastAsia" w:ascii="宋体" w:hAnsi="宋体" w:cs="Times New Roman"/>
          <w:color w:val="auto"/>
          <w:sz w:val="24"/>
          <w:szCs w:val="20"/>
          <w:highlight w:val="none"/>
        </w:rPr>
        <w:t>分；</w:t>
      </w:r>
    </w:p>
    <w:p w14:paraId="5AE138E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以上内容存在2处瑕疵：</w:t>
      </w:r>
      <w:r>
        <w:rPr>
          <w:rFonts w:hint="eastAsia" w:ascii="宋体" w:hAnsi="宋体" w:cs="Times New Roman"/>
          <w:color w:val="auto"/>
          <w:sz w:val="24"/>
          <w:szCs w:val="20"/>
          <w:highlight w:val="none"/>
          <w:lang w:val="en-US" w:eastAsia="zh-CN"/>
        </w:rPr>
        <w:t>3</w:t>
      </w:r>
      <w:r>
        <w:rPr>
          <w:rFonts w:hint="eastAsia" w:ascii="宋体" w:hAnsi="宋体" w:cs="Times New Roman"/>
          <w:color w:val="auto"/>
          <w:sz w:val="24"/>
          <w:szCs w:val="20"/>
          <w:highlight w:val="none"/>
        </w:rPr>
        <w:t>分；</w:t>
      </w:r>
    </w:p>
    <w:p w14:paraId="7D4BB87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未提供方案或不满足项目需求书要求或内容存在3处及以上瑕疵：0分。</w:t>
      </w:r>
    </w:p>
    <w:p w14:paraId="1A67F4A8">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2）质保服务方案（</w:t>
      </w:r>
      <w:r>
        <w:rPr>
          <w:rFonts w:hint="eastAsia" w:ascii="宋体" w:hAnsi="宋体" w:cs="Times New Roman"/>
          <w:color w:val="auto"/>
          <w:sz w:val="24"/>
          <w:szCs w:val="20"/>
          <w:highlight w:val="none"/>
          <w:lang w:val="en-US" w:eastAsia="zh-CN"/>
        </w:rPr>
        <w:t>9</w:t>
      </w:r>
      <w:r>
        <w:rPr>
          <w:rFonts w:hint="eastAsia" w:ascii="宋体" w:hAnsi="宋体" w:cs="Times New Roman"/>
          <w:color w:val="auto"/>
          <w:sz w:val="24"/>
          <w:szCs w:val="20"/>
          <w:highlight w:val="none"/>
        </w:rPr>
        <w:t>分）：对备品备件优惠清单、质保期内及质保期外质量及服务承诺进行评审。</w:t>
      </w:r>
    </w:p>
    <w:p w14:paraId="3CB76898">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以上内容不存在瑕疵：</w:t>
      </w:r>
      <w:r>
        <w:rPr>
          <w:rFonts w:hint="eastAsia" w:ascii="宋体" w:hAnsi="宋体" w:cs="Times New Roman"/>
          <w:color w:val="auto"/>
          <w:sz w:val="24"/>
          <w:szCs w:val="20"/>
          <w:highlight w:val="none"/>
          <w:lang w:val="en-US" w:eastAsia="zh-CN"/>
        </w:rPr>
        <w:t>9</w:t>
      </w:r>
      <w:r>
        <w:rPr>
          <w:rFonts w:hint="eastAsia" w:ascii="宋体" w:hAnsi="宋体" w:cs="Times New Roman"/>
          <w:color w:val="auto"/>
          <w:sz w:val="24"/>
          <w:szCs w:val="20"/>
          <w:highlight w:val="none"/>
        </w:rPr>
        <w:t>分；</w:t>
      </w:r>
    </w:p>
    <w:p w14:paraId="28BA0BD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以上内容存在1处瑕疵：</w:t>
      </w:r>
      <w:r>
        <w:rPr>
          <w:rFonts w:hint="eastAsia" w:ascii="宋体" w:hAnsi="宋体" w:cs="Times New Roman"/>
          <w:color w:val="auto"/>
          <w:sz w:val="24"/>
          <w:szCs w:val="20"/>
          <w:highlight w:val="none"/>
          <w:lang w:val="en-US" w:eastAsia="zh-CN"/>
        </w:rPr>
        <w:t>6</w:t>
      </w:r>
      <w:r>
        <w:rPr>
          <w:rFonts w:hint="eastAsia" w:ascii="宋体" w:hAnsi="宋体" w:cs="Times New Roman"/>
          <w:color w:val="auto"/>
          <w:sz w:val="24"/>
          <w:szCs w:val="20"/>
          <w:highlight w:val="none"/>
        </w:rPr>
        <w:t>分；</w:t>
      </w:r>
    </w:p>
    <w:p w14:paraId="15B8B30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以上内容存在2处瑕疵：</w:t>
      </w:r>
      <w:r>
        <w:rPr>
          <w:rFonts w:hint="eastAsia" w:ascii="宋体" w:hAnsi="宋体" w:cs="Times New Roman"/>
          <w:color w:val="auto"/>
          <w:sz w:val="24"/>
          <w:szCs w:val="20"/>
          <w:highlight w:val="none"/>
          <w:lang w:val="en-US" w:eastAsia="zh-CN"/>
        </w:rPr>
        <w:t>3</w:t>
      </w:r>
      <w:r>
        <w:rPr>
          <w:rFonts w:hint="eastAsia" w:ascii="宋体" w:hAnsi="宋体" w:cs="Times New Roman"/>
          <w:color w:val="auto"/>
          <w:sz w:val="24"/>
          <w:szCs w:val="20"/>
          <w:highlight w:val="none"/>
        </w:rPr>
        <w:t>分；</w:t>
      </w:r>
    </w:p>
    <w:p w14:paraId="28B565BE">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未提供方案或不满足项目需求书要求或内容存在3处及以上瑕疵：0分。</w:t>
      </w:r>
    </w:p>
    <w:p w14:paraId="2A844CC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3）人员培训方案（</w:t>
      </w:r>
      <w:r>
        <w:rPr>
          <w:rFonts w:hint="eastAsia" w:ascii="宋体" w:hAnsi="宋体" w:cs="Times New Roman"/>
          <w:color w:val="auto"/>
          <w:sz w:val="24"/>
          <w:szCs w:val="20"/>
          <w:highlight w:val="none"/>
          <w:lang w:val="en-US" w:eastAsia="zh-CN"/>
        </w:rPr>
        <w:t>9</w:t>
      </w:r>
      <w:r>
        <w:rPr>
          <w:rFonts w:hint="eastAsia" w:ascii="宋体" w:hAnsi="宋体" w:cs="Times New Roman"/>
          <w:color w:val="auto"/>
          <w:sz w:val="24"/>
          <w:szCs w:val="20"/>
          <w:highlight w:val="none"/>
        </w:rPr>
        <w:t>分）：对用户培训计划及服务措施、技术培训承诺进行评审。</w:t>
      </w:r>
    </w:p>
    <w:p w14:paraId="29319B8F">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以上内容不存在瑕疵：</w:t>
      </w:r>
      <w:r>
        <w:rPr>
          <w:rFonts w:hint="eastAsia" w:ascii="宋体" w:hAnsi="宋体" w:cs="Times New Roman"/>
          <w:color w:val="auto"/>
          <w:sz w:val="24"/>
          <w:szCs w:val="20"/>
          <w:highlight w:val="none"/>
          <w:lang w:val="en-US" w:eastAsia="zh-CN"/>
        </w:rPr>
        <w:t>9</w:t>
      </w:r>
      <w:r>
        <w:rPr>
          <w:rFonts w:hint="eastAsia" w:ascii="宋体" w:hAnsi="宋体" w:cs="Times New Roman"/>
          <w:color w:val="auto"/>
          <w:sz w:val="24"/>
          <w:szCs w:val="20"/>
          <w:highlight w:val="none"/>
        </w:rPr>
        <w:t>分；</w:t>
      </w:r>
    </w:p>
    <w:p w14:paraId="112771E2">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以上内容存在1处瑕疵：</w:t>
      </w:r>
      <w:r>
        <w:rPr>
          <w:rFonts w:hint="eastAsia" w:ascii="宋体" w:hAnsi="宋体" w:cs="Times New Roman"/>
          <w:color w:val="auto"/>
          <w:sz w:val="24"/>
          <w:szCs w:val="20"/>
          <w:highlight w:val="none"/>
          <w:lang w:val="en-US" w:eastAsia="zh-CN"/>
        </w:rPr>
        <w:t>6</w:t>
      </w:r>
      <w:r>
        <w:rPr>
          <w:rFonts w:hint="eastAsia" w:ascii="宋体" w:hAnsi="宋体" w:cs="Times New Roman"/>
          <w:color w:val="auto"/>
          <w:sz w:val="24"/>
          <w:szCs w:val="20"/>
          <w:highlight w:val="none"/>
        </w:rPr>
        <w:t>分；</w:t>
      </w:r>
    </w:p>
    <w:p w14:paraId="2892E657">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以上内容存在2处瑕疵：</w:t>
      </w:r>
      <w:r>
        <w:rPr>
          <w:rFonts w:hint="eastAsia" w:ascii="宋体" w:hAnsi="宋体" w:cs="Times New Roman"/>
          <w:color w:val="auto"/>
          <w:sz w:val="24"/>
          <w:szCs w:val="20"/>
          <w:highlight w:val="none"/>
          <w:lang w:val="en-US" w:eastAsia="zh-CN"/>
        </w:rPr>
        <w:t>3</w:t>
      </w:r>
      <w:r>
        <w:rPr>
          <w:rFonts w:hint="eastAsia" w:ascii="宋体" w:hAnsi="宋体" w:cs="Times New Roman"/>
          <w:color w:val="auto"/>
          <w:sz w:val="24"/>
          <w:szCs w:val="20"/>
          <w:highlight w:val="none"/>
        </w:rPr>
        <w:t>分；</w:t>
      </w:r>
    </w:p>
    <w:p w14:paraId="05A23606">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未提供方案或不满足项目需求书要求或内容存在3处及以上瑕疵：0分。</w:t>
      </w:r>
    </w:p>
    <w:p w14:paraId="2CDCAABA">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4）安装调试计划方案（</w:t>
      </w:r>
      <w:r>
        <w:rPr>
          <w:rFonts w:hint="eastAsia" w:ascii="宋体" w:hAnsi="宋体" w:cs="Times New Roman"/>
          <w:color w:val="auto"/>
          <w:sz w:val="24"/>
          <w:szCs w:val="20"/>
          <w:highlight w:val="none"/>
          <w:lang w:val="en-US" w:eastAsia="zh-CN"/>
        </w:rPr>
        <w:t>8</w:t>
      </w:r>
      <w:r>
        <w:rPr>
          <w:rFonts w:hint="eastAsia" w:ascii="宋体" w:hAnsi="宋体" w:cs="Times New Roman"/>
          <w:color w:val="auto"/>
          <w:sz w:val="24"/>
          <w:szCs w:val="20"/>
          <w:highlight w:val="none"/>
        </w:rPr>
        <w:t>分）：对安装调试方案、安装技术人员配备进行评审。</w:t>
      </w:r>
    </w:p>
    <w:p w14:paraId="5AE3C11C">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以上内容不存在瑕疵：</w:t>
      </w:r>
      <w:r>
        <w:rPr>
          <w:rFonts w:hint="eastAsia" w:ascii="宋体" w:hAnsi="宋体" w:cs="Times New Roman"/>
          <w:color w:val="auto"/>
          <w:sz w:val="24"/>
          <w:szCs w:val="20"/>
          <w:highlight w:val="none"/>
          <w:lang w:val="en-US" w:eastAsia="zh-CN"/>
        </w:rPr>
        <w:t>8</w:t>
      </w:r>
      <w:r>
        <w:rPr>
          <w:rFonts w:hint="eastAsia" w:ascii="宋体" w:hAnsi="宋体" w:cs="Times New Roman"/>
          <w:color w:val="auto"/>
          <w:sz w:val="24"/>
          <w:szCs w:val="20"/>
          <w:highlight w:val="none"/>
        </w:rPr>
        <w:t>分；</w:t>
      </w:r>
    </w:p>
    <w:p w14:paraId="559749F2">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以上内容存在1处瑕疵：</w:t>
      </w:r>
      <w:r>
        <w:rPr>
          <w:rFonts w:hint="eastAsia" w:ascii="宋体" w:hAnsi="宋体" w:cs="Times New Roman"/>
          <w:color w:val="auto"/>
          <w:sz w:val="24"/>
          <w:szCs w:val="20"/>
          <w:highlight w:val="none"/>
          <w:lang w:val="en-US" w:eastAsia="zh-CN"/>
        </w:rPr>
        <w:t>5</w:t>
      </w:r>
      <w:r>
        <w:rPr>
          <w:rFonts w:hint="eastAsia" w:ascii="宋体" w:hAnsi="宋体" w:cs="Times New Roman"/>
          <w:color w:val="auto"/>
          <w:sz w:val="24"/>
          <w:szCs w:val="20"/>
          <w:highlight w:val="none"/>
        </w:rPr>
        <w:t>分；</w:t>
      </w:r>
    </w:p>
    <w:p w14:paraId="0CA48D1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以上内容存在2处瑕疵：</w:t>
      </w:r>
      <w:r>
        <w:rPr>
          <w:rFonts w:hint="eastAsia" w:ascii="宋体" w:hAnsi="宋体" w:cs="Times New Roman"/>
          <w:color w:val="auto"/>
          <w:sz w:val="24"/>
          <w:szCs w:val="20"/>
          <w:highlight w:val="none"/>
          <w:lang w:val="en-US" w:eastAsia="zh-CN"/>
        </w:rPr>
        <w:t>2</w:t>
      </w:r>
      <w:r>
        <w:rPr>
          <w:rFonts w:hint="eastAsia" w:ascii="宋体" w:hAnsi="宋体" w:cs="Times New Roman"/>
          <w:color w:val="auto"/>
          <w:sz w:val="24"/>
          <w:szCs w:val="20"/>
          <w:highlight w:val="none"/>
        </w:rPr>
        <w:t>分；</w:t>
      </w:r>
    </w:p>
    <w:p w14:paraId="1632E31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未提供方案或不满足项目需求书要求或内容存在3处及以上瑕疵：0分。</w:t>
      </w:r>
    </w:p>
    <w:p w14:paraId="76137140">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5）售后服务方案（</w:t>
      </w:r>
      <w:r>
        <w:rPr>
          <w:rFonts w:hint="eastAsia" w:ascii="宋体" w:hAnsi="宋体" w:cs="Times New Roman"/>
          <w:color w:val="auto"/>
          <w:sz w:val="24"/>
          <w:szCs w:val="20"/>
          <w:highlight w:val="none"/>
          <w:lang w:val="en-US" w:eastAsia="zh-CN"/>
        </w:rPr>
        <w:t>8</w:t>
      </w:r>
      <w:r>
        <w:rPr>
          <w:rFonts w:hint="eastAsia" w:ascii="宋体" w:hAnsi="宋体" w:cs="Times New Roman"/>
          <w:color w:val="auto"/>
          <w:sz w:val="24"/>
          <w:szCs w:val="20"/>
          <w:highlight w:val="none"/>
        </w:rPr>
        <w:t>分）：对售后服务体系及售后服务承诺、应急处理措施进行评审。</w:t>
      </w:r>
    </w:p>
    <w:p w14:paraId="2A9A14DB">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以上内容不存在瑕疵：</w:t>
      </w:r>
      <w:r>
        <w:rPr>
          <w:rFonts w:hint="eastAsia" w:ascii="宋体" w:hAnsi="宋体" w:cs="Times New Roman"/>
          <w:color w:val="auto"/>
          <w:sz w:val="24"/>
          <w:szCs w:val="20"/>
          <w:highlight w:val="none"/>
          <w:lang w:val="en-US" w:eastAsia="zh-CN"/>
        </w:rPr>
        <w:t>8</w:t>
      </w:r>
      <w:r>
        <w:rPr>
          <w:rFonts w:hint="eastAsia" w:ascii="宋体" w:hAnsi="宋体" w:cs="Times New Roman"/>
          <w:color w:val="auto"/>
          <w:sz w:val="24"/>
          <w:szCs w:val="20"/>
          <w:highlight w:val="none"/>
        </w:rPr>
        <w:t>分；</w:t>
      </w:r>
    </w:p>
    <w:p w14:paraId="75195673">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以上内容存在1处瑕疵：</w:t>
      </w:r>
      <w:r>
        <w:rPr>
          <w:rFonts w:hint="eastAsia" w:ascii="宋体" w:hAnsi="宋体" w:cs="Times New Roman"/>
          <w:color w:val="auto"/>
          <w:sz w:val="24"/>
          <w:szCs w:val="20"/>
          <w:highlight w:val="none"/>
          <w:lang w:val="en-US" w:eastAsia="zh-CN"/>
        </w:rPr>
        <w:t>5</w:t>
      </w:r>
      <w:r>
        <w:rPr>
          <w:rFonts w:hint="eastAsia" w:ascii="宋体" w:hAnsi="宋体" w:cs="Times New Roman"/>
          <w:color w:val="auto"/>
          <w:sz w:val="24"/>
          <w:szCs w:val="20"/>
          <w:highlight w:val="none"/>
        </w:rPr>
        <w:t>分；</w:t>
      </w:r>
    </w:p>
    <w:p w14:paraId="6440212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以上内容存在2处瑕疵：</w:t>
      </w:r>
      <w:r>
        <w:rPr>
          <w:rFonts w:hint="eastAsia" w:ascii="宋体" w:hAnsi="宋体" w:cs="Times New Roman"/>
          <w:color w:val="auto"/>
          <w:sz w:val="24"/>
          <w:szCs w:val="20"/>
          <w:highlight w:val="none"/>
          <w:lang w:val="en-US" w:eastAsia="zh-CN"/>
        </w:rPr>
        <w:t>2</w:t>
      </w:r>
      <w:r>
        <w:rPr>
          <w:rFonts w:hint="eastAsia" w:ascii="宋体" w:hAnsi="宋体" w:cs="Times New Roman"/>
          <w:color w:val="auto"/>
          <w:sz w:val="24"/>
          <w:szCs w:val="20"/>
          <w:highlight w:val="none"/>
        </w:rPr>
        <w:t>分；</w:t>
      </w:r>
    </w:p>
    <w:p w14:paraId="41688905">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未提供方案或不满足项目需求书要求或内容存在3处及以上瑕疵：0分。</w:t>
      </w:r>
    </w:p>
    <w:p w14:paraId="5F46F181">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注：本项所称“瑕疵”是指内容缺项、不完整或缺少关键点或存在薄弱；非专门针对本项目或不适用本项目特性、套用其他项目内容；对同一问题前后表述矛盾；存在逻辑漏洞、科学原理或常识错误；不利于本项目目标的实现、现有技术条件下不可能出现的情形等任意一种情形，未列入本评分细则的其他条件不作为评分内容。</w:t>
      </w:r>
    </w:p>
    <w:p w14:paraId="62DEE43E">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（5）加分因素（2分）</w:t>
      </w:r>
    </w:p>
    <w:p w14:paraId="2A40BD8D">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原件扫描件、环境标志产品认证证书原件扫描件，否则不得分）。</w:t>
      </w:r>
    </w:p>
    <w:p w14:paraId="6E886209">
      <w:pPr>
        <w:widowControl w:val="0"/>
        <w:spacing w:after="0" w:line="460" w:lineRule="exact"/>
        <w:ind w:firstLine="480"/>
        <w:jc w:val="both"/>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评委为5人以上的单数（含5人）时，计算分项得分时取平均值为投标单位的得分，各分项得分合计即为投标单位的总得分。投标文件无相应评分内容时，该项目为零分，但如投标单位的投标文件中无技术文件的，按无效投标文件处理。投标单位如对采购文件提出的合理要求不作出相应承诺或对招标单位提出不合理要求的不予得标。每项评分的具体内容和方法由评委集体讨论，评委独立评分。所有评委打分的平均值为各投标人最终得分。最终得分最高者将为推荐中标候选人。评分办法及评分细则的解释权属采购人。未列入本评分细则的其他条件不作为评分内容。 </w:t>
      </w:r>
    </w:p>
    <w:p w14:paraId="2850BF95">
      <w:pPr>
        <w:widowControl w:val="0"/>
        <w:spacing w:after="0" w:line="460" w:lineRule="exact"/>
        <w:ind w:firstLine="480"/>
        <w:jc w:val="both"/>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（十）定标：</w:t>
      </w:r>
    </w:p>
    <w:p w14:paraId="066357C8">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1.评标委员会根据招标文件规定的评标方法和评标标准进行评审，依法确定中标投标人。采购人将在财政部门指定的政府采购信息发布媒体（江苏政府采购网）发布公告中标、成交结果公告。依据中华人民共和国财政部令第94号《政府采购质疑和投诉办法》，供应商认为招标文件、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招标文件提出的质疑，依法通过澄清或者修改可以继续开展采购活动的，澄清或者修改招标文件后继续开展采购活动；否则应当修改招标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人在法定质疑期限外送达的质疑函或法定质疑期限内送达的质疑函不符合上述要求的均为无效质疑，采购代理机构对无效质疑不予受理。如质疑查无实据或投标人捏造事实，提供虚假材料进行恶意举报，不配合或采用不正当手段干扰政府采购质疑的，将记入投标人在江苏省和无锡市的政府采购“投标人诚信记录”，并按相关规定处理。</w:t>
      </w:r>
    </w:p>
    <w:p w14:paraId="69D9EA40">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 xml:space="preserve"> 2.中标结果确定后，江苏宏翔工程造价咨询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6342A51">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（十一）废标的确认：</w:t>
      </w:r>
    </w:p>
    <w:p w14:paraId="4A06D1AA">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在招标采购中，出现下列情况之一的，应予废标：</w:t>
      </w:r>
    </w:p>
    <w:p w14:paraId="2134DD95">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lang w:eastAsia="zh-CN"/>
        </w:rPr>
        <w:t>1.</w:t>
      </w:r>
      <w:r>
        <w:rPr>
          <w:rFonts w:hint="eastAsia" w:ascii="宋体" w:hAnsi="宋体" w:cs="Times New Roman"/>
          <w:color w:val="auto"/>
          <w:sz w:val="24"/>
          <w:highlight w:val="none"/>
        </w:rPr>
        <w:t>符合专业条件的投标人或者对采购文件作出实质性响应的投标人不足三家；</w:t>
      </w:r>
    </w:p>
    <w:p w14:paraId="3F9F6636">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lang w:eastAsia="zh-CN"/>
        </w:rPr>
        <w:t>2.</w:t>
      </w:r>
      <w:r>
        <w:rPr>
          <w:rFonts w:hint="eastAsia" w:ascii="宋体" w:hAnsi="宋体" w:cs="Times New Roman"/>
          <w:color w:val="auto"/>
          <w:sz w:val="24"/>
          <w:highlight w:val="none"/>
        </w:rPr>
        <w:t>出现影响采购公正的违法、违规行为；</w:t>
      </w:r>
    </w:p>
    <w:p w14:paraId="3B9D7BD4">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lang w:eastAsia="zh-CN"/>
        </w:rPr>
        <w:t>3.</w:t>
      </w:r>
      <w:r>
        <w:rPr>
          <w:rFonts w:hint="eastAsia" w:ascii="宋体" w:hAnsi="宋体" w:cs="Times New Roman"/>
          <w:color w:val="auto"/>
          <w:sz w:val="24"/>
          <w:highlight w:val="none"/>
        </w:rPr>
        <w:t>投标人的报价均超过采购预算，采购人不能支付的；</w:t>
      </w:r>
    </w:p>
    <w:p w14:paraId="4DA96A51">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lang w:eastAsia="zh-CN"/>
        </w:rPr>
        <w:t>4.</w:t>
      </w:r>
      <w:r>
        <w:rPr>
          <w:rFonts w:hint="eastAsia" w:ascii="宋体" w:hAnsi="宋体" w:cs="Times New Roman"/>
          <w:color w:val="auto"/>
          <w:sz w:val="24"/>
          <w:highlight w:val="none"/>
        </w:rPr>
        <w:t xml:space="preserve">因重大变故，采购任务取消。 </w:t>
      </w:r>
    </w:p>
    <w:p w14:paraId="2EAAE04A">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（十二）中标无效的确认：</w:t>
      </w:r>
    </w:p>
    <w:p w14:paraId="0142E653">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（1）提供虚假材料谋取中标的；</w:t>
      </w:r>
    </w:p>
    <w:p w14:paraId="0E80D93B">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（2）采取不正当手段诋毁、排挤其他投标人的；</w:t>
      </w:r>
    </w:p>
    <w:p w14:paraId="3DB24E2D">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（3）与招标采购单位、其他投标人恶意串通的；</w:t>
      </w:r>
    </w:p>
    <w:p w14:paraId="7637E0AC">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（4）向采购人行贿或者提供其他不正当利益的；</w:t>
      </w:r>
    </w:p>
    <w:p w14:paraId="64242144">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（5）在招标过程中与采购人进行协商谈判、不按照招标文件和中标投标人的投标文件订立合同，或者与采购人另行订立背离合同实质性内容的协议的；</w:t>
      </w:r>
    </w:p>
    <w:p w14:paraId="170CD7EA">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（6）拒绝有关部门监督检查或者提供虚假情况的。</w:t>
      </w:r>
    </w:p>
    <w:p w14:paraId="6FC86565">
      <w:pPr>
        <w:widowControl w:val="0"/>
        <w:spacing w:after="0" w:line="460" w:lineRule="exact"/>
        <w:ind w:firstLine="420"/>
        <w:jc w:val="both"/>
        <w:rPr>
          <w:rFonts w:ascii="宋体" w:hAnsi="宋体"/>
          <w:b/>
          <w:color w:val="auto"/>
          <w:sz w:val="24"/>
          <w:szCs w:val="24"/>
          <w:highlight w:val="none"/>
        </w:rPr>
      </w:pPr>
      <w:r>
        <w:rPr>
          <w:rFonts w:hint="eastAsia" w:ascii="宋体" w:hAnsi="宋体" w:cs="Times New Roman"/>
          <w:color w:val="auto"/>
          <w:sz w:val="24"/>
          <w:highlight w:val="none"/>
        </w:rPr>
        <w:t xml:space="preserve"> 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CEA5E14">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（十三）签订、履行合同：</w:t>
      </w:r>
    </w:p>
    <w:p w14:paraId="2909F86B">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1.采购人应当自中标通知书发出之日起30日内，按照招标文件和中标投标人投标文件的约定，与中标投标人签订书面合同。所签订的合同不得对招标文件和中标投标人投标文件作实质性修改。采购人因不可抗力原因迟延签订合同的，应当自不可抗力事由消除之日起7日内完成合同签订事宜。采购人不得向中标投标人提出任何不合理的要求，作为签订合同的条件，不得与中标投标人私下订立背离合同实质性内容的协议。</w:t>
      </w:r>
    </w:p>
    <w:p w14:paraId="174F13A0">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B1F7274">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3.江苏宏翔工程造价咨询有限公司监督合同的履行。中标方非因不可抗力未履行招、投标文件和合同规定的义务，一经查实，招标代理机构将根据具体情况提请政府采购监督管理部门作出相应处理。</w:t>
      </w:r>
    </w:p>
    <w:p w14:paraId="68A86AB1">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（十四）政府采购信用担保（本项目无需缴纳履约保证金）：</w:t>
      </w:r>
    </w:p>
    <w:p w14:paraId="5962AAA8">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28EDFCD3">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1.履约担保。</w:t>
      </w:r>
    </w:p>
    <w:p w14:paraId="60B0090F">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7FA1F95">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p>
    <w:p w14:paraId="742BC9AD">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2.融资担保。</w:t>
      </w:r>
    </w:p>
    <w:p w14:paraId="2B9949A8">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2023E49">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中标、成交供应商可根据自身情况，自行决定是否选择采用合同融资形式，在无锡政府采购网——政采贷专栏提供的银行名录内自主选择合作银行。无锡市政府采购合同融资政策告知函（详见附件）。</w:t>
      </w:r>
    </w:p>
    <w:p w14:paraId="30A54FF1">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lang w:val="en-US" w:eastAsia="zh-CN"/>
        </w:rPr>
        <w:t>3.</w:t>
      </w:r>
      <w:r>
        <w:rPr>
          <w:rFonts w:hint="eastAsia" w:ascii="宋体" w:hAnsi="宋体" w:cs="Times New Roman"/>
          <w:color w:val="auto"/>
          <w:sz w:val="24"/>
          <w:highlight w:val="none"/>
        </w:rPr>
        <w:t>政府采购信用担保合作担保机构和信用融资合作银行</w:t>
      </w:r>
    </w:p>
    <w:p w14:paraId="5ACFD28D">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4CA04865">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lang w:val="en-US" w:eastAsia="zh-CN"/>
        </w:rPr>
        <w:t>4.</w:t>
      </w:r>
      <w:r>
        <w:rPr>
          <w:rFonts w:hint="eastAsia" w:ascii="宋体" w:hAnsi="宋体" w:cs="Times New Roman"/>
          <w:color w:val="auto"/>
          <w:sz w:val="24"/>
          <w:highlight w:val="none"/>
        </w:rPr>
        <w:t>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7AE32181">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（十五）代理服务费：</w:t>
      </w:r>
    </w:p>
    <w:p w14:paraId="77426EC3">
      <w:pPr>
        <w:spacing w:after="0" w:line="460" w:lineRule="exact"/>
        <w:ind w:firstLine="480"/>
        <w:rPr>
          <w:rFonts w:hint="eastAsia" w:ascii="宋体" w:hAnsi="宋体" w:cs="Times New Roman"/>
          <w:color w:val="auto"/>
          <w:sz w:val="24"/>
          <w:highlight w:val="none"/>
          <w:lang w:eastAsia="zh-CN"/>
        </w:rPr>
      </w:pPr>
      <w:r>
        <w:rPr>
          <w:rFonts w:hint="eastAsia" w:ascii="宋体" w:hAnsi="宋体" w:cs="Times New Roman"/>
          <w:color w:val="auto"/>
          <w:sz w:val="24"/>
          <w:highlight w:val="none"/>
        </w:rPr>
        <w:t>招标代理服务费由中标单位支付，代理费收费按差额定率累进法，收费标准（货物招标）为：中标</w:t>
      </w:r>
      <w:r>
        <w:rPr>
          <w:rFonts w:hint="eastAsia" w:ascii="宋体" w:hAnsi="宋体" w:cs="Times New Roman"/>
          <w:color w:val="auto"/>
          <w:sz w:val="24"/>
          <w:highlight w:val="none"/>
          <w:lang w:eastAsia="zh-CN"/>
        </w:rPr>
        <w:t>金额100万元</w:t>
      </w:r>
      <w:r>
        <w:rPr>
          <w:rFonts w:hint="eastAsia" w:ascii="宋体" w:hAnsi="宋体" w:cs="Times New Roman"/>
          <w:color w:val="auto"/>
          <w:sz w:val="24"/>
          <w:highlight w:val="none"/>
        </w:rPr>
        <w:t>以下费率为中标金额的1.5%，中标金额100</w:t>
      </w:r>
      <w:r>
        <w:rPr>
          <w:rFonts w:hint="eastAsia" w:ascii="宋体" w:hAnsi="宋体" w:cs="Times New Roman"/>
          <w:color w:val="auto"/>
          <w:sz w:val="24"/>
          <w:highlight w:val="none"/>
          <w:lang w:eastAsia="zh-CN"/>
        </w:rPr>
        <w:t>万元</w:t>
      </w:r>
      <w:r>
        <w:rPr>
          <w:rFonts w:hint="eastAsia" w:ascii="宋体" w:hAnsi="宋体" w:cs="Times New Roman"/>
          <w:color w:val="auto"/>
          <w:sz w:val="24"/>
          <w:highlight w:val="none"/>
        </w:rPr>
        <w:t>－500</w:t>
      </w:r>
      <w:r>
        <w:rPr>
          <w:rFonts w:hint="eastAsia" w:ascii="宋体" w:hAnsi="宋体" w:cs="Times New Roman"/>
          <w:color w:val="auto"/>
          <w:sz w:val="24"/>
          <w:highlight w:val="none"/>
          <w:lang w:eastAsia="zh-CN"/>
        </w:rPr>
        <w:t>万元</w:t>
      </w:r>
      <w:r>
        <w:rPr>
          <w:rFonts w:hint="eastAsia" w:ascii="宋体" w:hAnsi="宋体" w:cs="Times New Roman"/>
          <w:color w:val="auto"/>
          <w:sz w:val="24"/>
          <w:highlight w:val="none"/>
        </w:rPr>
        <w:t>费率为中标金额的1.1%。</w:t>
      </w:r>
      <w:r>
        <w:rPr>
          <w:rFonts w:hint="eastAsia" w:ascii="宋体" w:hAnsi="宋体" w:cs="Times New Roman"/>
          <w:color w:val="auto"/>
          <w:sz w:val="24"/>
          <w:highlight w:val="none"/>
          <w:lang w:eastAsia="zh-CN"/>
        </w:rPr>
        <w:t>供应商报价应包含</w:t>
      </w:r>
      <w:r>
        <w:rPr>
          <w:rFonts w:hint="eastAsia" w:ascii="宋体" w:hAnsi="宋体" w:cs="Times New Roman"/>
          <w:color w:val="auto"/>
          <w:sz w:val="24"/>
          <w:highlight w:val="none"/>
        </w:rPr>
        <w:t>招标代理服务费</w:t>
      </w:r>
      <w:r>
        <w:rPr>
          <w:rFonts w:hint="eastAsia" w:ascii="宋体" w:hAnsi="宋体" w:cs="Times New Roman"/>
          <w:color w:val="auto"/>
          <w:sz w:val="24"/>
          <w:highlight w:val="none"/>
          <w:lang w:eastAsia="zh-CN"/>
        </w:rPr>
        <w:t>。</w:t>
      </w:r>
    </w:p>
    <w:p w14:paraId="15DED586">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（十六）其他：</w:t>
      </w:r>
    </w:p>
    <w:p w14:paraId="307980D2">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招标文件的条款必须认真审阅，投标人应自行检查招标文件页数是否齐全。若有遗漏、重复或不清楚，需立刻通知招标人予以更正；凡属对条款的误解所造成的投标价格失误，由投标人负责。</w:t>
      </w:r>
    </w:p>
    <w:p w14:paraId="2E2AE368">
      <w:pPr>
        <w:widowControl w:val="0"/>
        <w:spacing w:after="0" w:line="460" w:lineRule="exact"/>
        <w:ind w:firstLine="422"/>
        <w:jc w:val="both"/>
        <w:rPr>
          <w:rFonts w:ascii="宋体" w:hAnsi="宋体"/>
          <w:b/>
          <w:color w:val="auto"/>
          <w:sz w:val="24"/>
          <w:szCs w:val="24"/>
          <w:highlight w:val="none"/>
        </w:rPr>
      </w:pPr>
      <w:r>
        <w:rPr>
          <w:rFonts w:hint="eastAsia" w:ascii="宋体" w:hAnsi="宋体"/>
          <w:b/>
          <w:color w:val="auto"/>
          <w:sz w:val="24"/>
          <w:szCs w:val="24"/>
          <w:highlight w:val="none"/>
        </w:rPr>
        <w:t>（十七）其他政策要求：</w:t>
      </w:r>
    </w:p>
    <w:p w14:paraId="577F0502">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124B494">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A355C2B">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64B329E">
      <w:pPr>
        <w:spacing w:after="0" w:line="460" w:lineRule="exact"/>
        <w:ind w:firstLine="480"/>
        <w:rPr>
          <w:rFonts w:hint="eastAsia" w:ascii="宋体" w:hAnsi="宋体" w:cs="Times New Roman"/>
          <w:color w:val="auto"/>
          <w:sz w:val="24"/>
          <w:highlight w:val="none"/>
        </w:rPr>
      </w:pPr>
      <w:r>
        <w:rPr>
          <w:rFonts w:hint="eastAsia" w:ascii="宋体" w:hAnsi="宋体" w:cs="Times New Roman"/>
          <w:color w:val="auto"/>
          <w:sz w:val="24"/>
          <w:highlight w:val="none"/>
        </w:rPr>
        <w:t>认证机构详见市场监管总局发布的《参与实施政府采购节能产品认证机构名录》和《参与实施政府采购环境标志产品认证机构名录》。</w:t>
      </w:r>
    </w:p>
    <w:p w14:paraId="015B4F37">
      <w:pPr>
        <w:spacing w:after="0" w:line="460" w:lineRule="exact"/>
        <w:ind w:firstLine="480"/>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3.本国产品支持政策</w:t>
      </w:r>
    </w:p>
    <w:p w14:paraId="0E6F6BEF">
      <w:pPr>
        <w:spacing w:after="0" w:line="460" w:lineRule="exact"/>
        <w:ind w:firstLine="480"/>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本国产品标准适用于货物，包括政府采购货物项目和服务项目中涉及的货物。政府采购活动涉及本国产品的，投标人应当出具《关于符合本国产品标准的声明函》。本国产品支持政策详见《国务院办公厅关于在政府采购中实施本国产品标准及相关政策的通知》（国办发〔2025〕34号）。</w:t>
      </w:r>
    </w:p>
    <w:p w14:paraId="62A71FD2">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lang w:val="en-US" w:eastAsia="zh-CN"/>
        </w:rPr>
        <w:t>4.</w:t>
      </w:r>
      <w:r>
        <w:rPr>
          <w:rFonts w:hint="eastAsia" w:ascii="宋体" w:hAnsi="宋体" w:cs="Times New Roman"/>
          <w:color w:val="auto"/>
          <w:sz w:val="24"/>
          <w:highlight w:val="none"/>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D5FAD88">
      <w:pPr>
        <w:spacing w:after="0" w:line="460" w:lineRule="exact"/>
        <w:ind w:firstLine="480"/>
        <w:rPr>
          <w:rFonts w:ascii="宋体" w:hAnsi="宋体" w:cs="Times New Roman"/>
          <w:color w:val="auto"/>
          <w:sz w:val="24"/>
          <w:highlight w:val="none"/>
        </w:rPr>
      </w:pPr>
      <w:r>
        <w:rPr>
          <w:rFonts w:hint="eastAsia" w:ascii="宋体" w:hAnsi="宋体" w:cs="Times New Roman"/>
          <w:color w:val="auto"/>
          <w:sz w:val="24"/>
          <w:highlight w:val="none"/>
          <w:lang w:val="en-US" w:eastAsia="zh-CN"/>
        </w:rPr>
        <w:t>5.</w:t>
      </w:r>
      <w:r>
        <w:rPr>
          <w:rFonts w:hint="eastAsia" w:ascii="宋体" w:hAnsi="宋体" w:cs="Times New Roman"/>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6F3E087">
      <w:pPr>
        <w:spacing w:after="0" w:line="460" w:lineRule="exact"/>
        <w:ind w:firstLine="480"/>
        <w:rPr>
          <w:rFonts w:ascii="宋体" w:hAnsi="宋体"/>
          <w:bCs/>
          <w:color w:val="auto"/>
          <w:sz w:val="24"/>
          <w:highlight w:val="none"/>
        </w:rPr>
      </w:pPr>
      <w:r>
        <w:rPr>
          <w:rFonts w:hint="eastAsia" w:ascii="宋体" w:hAnsi="宋体" w:cs="Times New Roman"/>
          <w:color w:val="auto"/>
          <w:sz w:val="24"/>
          <w:highlight w:val="none"/>
        </w:rPr>
        <w:t>中标、成交供应商可以采用电子履约保函形式，具体操作可登录江苏政府采购网的保险保函模块进行办理，也可通过无锡市政府采购网、“苏采云”系统链接访问（首次使用需注册）。</w:t>
      </w:r>
      <w:r>
        <w:rPr>
          <w:rFonts w:hint="eastAsia" w:ascii="宋体" w:hAnsi="宋体"/>
          <w:bCs/>
          <w:color w:val="auto"/>
          <w:sz w:val="24"/>
          <w:highlight w:val="none"/>
        </w:rPr>
        <w:br w:type="page" w:clear="all"/>
      </w:r>
      <w:r>
        <w:rPr>
          <w:rFonts w:hint="eastAsia" w:ascii="宋体" w:hAnsi="宋体"/>
          <w:bCs/>
          <w:color w:val="auto"/>
          <w:sz w:val="24"/>
          <w:highlight w:val="none"/>
        </w:rPr>
        <w:t>附件：</w:t>
      </w:r>
    </w:p>
    <w:p w14:paraId="1AC16746">
      <w:pPr>
        <w:spacing w:line="240" w:lineRule="auto"/>
        <w:rPr>
          <w:rFonts w:ascii="宋体" w:hAnsi="宋体"/>
          <w:bCs/>
          <w:color w:val="auto"/>
          <w:sz w:val="24"/>
          <w:szCs w:val="24"/>
          <w:highlight w:val="none"/>
        </w:rPr>
      </w:pPr>
      <w:r>
        <w:rPr>
          <w:rFonts w:hint="eastAsia" w:ascii="宋体" w:hAnsi="宋体"/>
          <w:bCs/>
          <w:color w:val="auto"/>
          <w:sz w:val="24"/>
          <w:szCs w:val="24"/>
          <w:highlight w:val="none"/>
        </w:rPr>
        <w:t>（一）政府采购履约担保函（格式）：</w:t>
      </w:r>
    </w:p>
    <w:p w14:paraId="18826672">
      <w:pPr>
        <w:spacing w:after="0" w:line="360" w:lineRule="auto"/>
        <w:jc w:val="center"/>
        <w:rPr>
          <w:rFonts w:ascii="宋体" w:hAnsi="宋体"/>
          <w:b/>
          <w:color w:val="auto"/>
          <w:sz w:val="24"/>
          <w:szCs w:val="24"/>
          <w:highlight w:val="none"/>
        </w:rPr>
      </w:pPr>
      <w:r>
        <w:rPr>
          <w:rFonts w:hint="eastAsia" w:ascii="宋体" w:hAnsi="宋体"/>
          <w:b/>
          <w:color w:val="auto"/>
          <w:sz w:val="24"/>
          <w:szCs w:val="24"/>
          <w:highlight w:val="none"/>
        </w:rPr>
        <w:t>政府采购履约担保函（项目用）</w:t>
      </w:r>
    </w:p>
    <w:p w14:paraId="3C7B1EC9">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编号：</w:t>
      </w:r>
    </w:p>
    <w:p w14:paraId="0D12ACB4">
      <w:pPr>
        <w:spacing w:after="0"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（采购人）：</w:t>
      </w:r>
    </w:p>
    <w:p w14:paraId="15E489A1">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鉴于你方与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（以下简称供应商）于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日签订编号为   的</w:t>
      </w:r>
      <w:r>
        <w:rPr>
          <w:rFonts w:hint="eastAsia" w:ascii="宋体" w:hAnsi="宋体"/>
          <w:color w:val="auto"/>
          <w:sz w:val="24"/>
          <w:szCs w:val="24"/>
          <w:highlight w:val="none"/>
          <w:lang w:eastAsia="zh-CN"/>
        </w:rPr>
        <w:t>《</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lang w:eastAsia="zh-CN"/>
        </w:rPr>
        <w:t>政府采购合同》（以下简称“主合同”）</w:t>
      </w:r>
      <w:r>
        <w:rPr>
          <w:rFonts w:hint="eastAsia" w:ascii="宋体" w:hAnsi="宋体"/>
          <w:color w:val="auto"/>
          <w:sz w:val="24"/>
          <w:szCs w:val="24"/>
          <w:highlight w:val="none"/>
        </w:rPr>
        <w:t>，且依据该合同的约定，供应商应在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日前向你方交纳履约保证金，且可以履约担保函的形式交纳履约保证金。应供应商的申请，我方以保证的方式向你方提供如下履约保证金担保：</w:t>
      </w:r>
    </w:p>
    <w:p w14:paraId="47A7E4C6">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一、保证责任的情形及保证金额</w:t>
      </w:r>
    </w:p>
    <w:p w14:paraId="0B839182">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（一）在供应商出现下列情形之一时，我方承担保证责任：</w:t>
      </w:r>
    </w:p>
    <w:p w14:paraId="2068951B">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将中标项目转让给他人，或者在投标文件中未说明，且未经采购招标机构同意，将中标项目分包给他人的；</w:t>
      </w:r>
    </w:p>
    <w:p w14:paraId="482A5BCF">
      <w:pPr>
        <w:spacing w:after="0" w:line="360" w:lineRule="auto"/>
        <w:rPr>
          <w:rFonts w:ascii="宋体" w:hAnsi="宋体"/>
          <w:color w:val="auto"/>
          <w:sz w:val="24"/>
          <w:szCs w:val="24"/>
          <w:highlight w:val="none"/>
        </w:rPr>
      </w:pPr>
      <w:r>
        <w:rPr>
          <w:rFonts w:hint="eastAsia" w:ascii="宋体" w:hAnsi="宋体"/>
          <w:color w:val="auto"/>
          <w:sz w:val="24"/>
          <w:szCs w:val="24"/>
          <w:highlight w:val="none"/>
        </w:rPr>
        <w:t>　　</w:t>
      </w:r>
      <w:r>
        <w:rPr>
          <w:rFonts w:hint="eastAsia" w:ascii="宋体" w:hAnsi="宋体"/>
          <w:color w:val="auto"/>
          <w:sz w:val="24"/>
          <w:szCs w:val="24"/>
          <w:highlight w:val="none"/>
          <w:lang w:eastAsia="zh-CN"/>
        </w:rPr>
        <w:t>2.</w:t>
      </w:r>
      <w:r>
        <w:rPr>
          <w:rFonts w:hint="eastAsia" w:ascii="宋体" w:hAnsi="宋体"/>
          <w:color w:val="auto"/>
          <w:sz w:val="24"/>
          <w:szCs w:val="24"/>
          <w:highlight w:val="none"/>
        </w:rPr>
        <w:t xml:space="preserve">主合同约定的应当缴纳履约保证金的情形： </w:t>
      </w:r>
    </w:p>
    <w:p w14:paraId="52E31CA1">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（1）未按主合同约定的质量、数量和期限供应货物/提供服务/完成工程的；</w:t>
      </w:r>
    </w:p>
    <w:p w14:paraId="03905039">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A9CCC08">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（二）我方的保证范围是主合同约定的合同价款总额的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%数额为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），币种为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。（即主合同履约保证金金额）</w:t>
      </w:r>
    </w:p>
    <w:p w14:paraId="2AF41135">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二、保证的方式及保证期间</w:t>
      </w:r>
    </w:p>
    <w:p w14:paraId="276A1214">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我方保证的方式为：连带责任保证。</w:t>
      </w:r>
    </w:p>
    <w:p w14:paraId="2C99ED45">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我方保证的期间为：自本合同生效之日起至供应商按照主合同约定的供货/完工期限届满后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日内。</w:t>
      </w:r>
    </w:p>
    <w:p w14:paraId="46B7AAE3">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如果供应商未按主合同约定向贵方供应货物/提供服务/完成工程的，由我方在保证金额内向你方支付上述款项。</w:t>
      </w:r>
    </w:p>
    <w:p w14:paraId="35035792">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三、承担保证责任的程序</w:t>
      </w:r>
    </w:p>
    <w:p w14:paraId="6FBEA217">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你方要求我方承担保证责任的，应在本保函保证期间内向我方发出书面索赔通知。索赔通知应写明要求索赔的金额，支付款项应到达的账号。并附有证明供应商违约事实的证明材料。</w:t>
      </w:r>
    </w:p>
    <w:p w14:paraId="4A3B4973">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如果你方与供应商因货物质量问题产生争议，你方还需同时提供</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部门出具的质量检测报告，或经诉讼（仲裁）程序裁决后的裁决书、调解书，本保证人即按照检测结果或裁决书、调解书决定是否承担保证责任。</w:t>
      </w:r>
    </w:p>
    <w:p w14:paraId="0FBDE7D0">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2.</w:t>
      </w:r>
      <w:r>
        <w:rPr>
          <w:rFonts w:hint="eastAsia" w:ascii="宋体" w:hAnsi="宋体"/>
          <w:color w:val="auto"/>
          <w:sz w:val="24"/>
          <w:szCs w:val="24"/>
          <w:highlight w:val="none"/>
        </w:rPr>
        <w:t xml:space="preserve"> 我方收到你方的书面索赔通知及相应证明材料，在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工作日内进行核定后按照本保函的承诺承担保证责任。</w:t>
      </w:r>
    </w:p>
    <w:p w14:paraId="307A96A2">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四、保证责任的终止</w:t>
      </w:r>
    </w:p>
    <w:p w14:paraId="26DDE948">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保证期间届满你方未向我方书面主张保证责任的，自保证期间届满次日起，我方保证责任自动终止。保证期间届满前，主合同约定的货物\工程\服务全部验收合格的，自验收合格日起，我方保证责任自动终止。</w:t>
      </w:r>
    </w:p>
    <w:p w14:paraId="0007769D">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2.</w:t>
      </w:r>
      <w:r>
        <w:rPr>
          <w:rFonts w:hint="eastAsia" w:ascii="宋体" w:hAnsi="宋体"/>
          <w:color w:val="auto"/>
          <w:sz w:val="24"/>
          <w:szCs w:val="24"/>
          <w:highlight w:val="none"/>
        </w:rPr>
        <w:t>我方按照本保函向你方履行了保证责任后，自我方向你方支付款项（支付款项从我方账户划出）之日起，保证责任即终止。</w:t>
      </w:r>
    </w:p>
    <w:p w14:paraId="62A974AD">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color w:val="auto"/>
          <w:sz w:val="24"/>
          <w:szCs w:val="24"/>
          <w:highlight w:val="none"/>
        </w:rPr>
        <w:t>按照法律法规的规定或出现应终止我方保证责任的</w:t>
      </w:r>
      <w:r>
        <w:rPr>
          <w:rFonts w:hint="eastAsia" w:ascii="宋体" w:hAnsi="宋体"/>
          <w:color w:val="auto"/>
          <w:sz w:val="24"/>
          <w:szCs w:val="24"/>
          <w:highlight w:val="none"/>
          <w:lang w:eastAsia="zh-CN"/>
        </w:rPr>
        <w:t>其他情形的</w:t>
      </w:r>
      <w:r>
        <w:rPr>
          <w:rFonts w:hint="eastAsia" w:ascii="宋体" w:hAnsi="宋体"/>
          <w:color w:val="auto"/>
          <w:sz w:val="24"/>
          <w:szCs w:val="24"/>
          <w:highlight w:val="none"/>
        </w:rPr>
        <w:t>，我方在本保函项下的保证责任亦终止。</w:t>
      </w:r>
    </w:p>
    <w:p w14:paraId="3FBD5295">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4.</w:t>
      </w:r>
      <w:r>
        <w:rPr>
          <w:rFonts w:hint="eastAsia" w:ascii="宋体" w:hAnsi="宋体"/>
          <w:color w:val="auto"/>
          <w:sz w:val="24"/>
          <w:szCs w:val="24"/>
          <w:highlight w:val="none"/>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2AEC69F7">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五、免责条款</w:t>
      </w:r>
    </w:p>
    <w:p w14:paraId="2DDB178B">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因你方违反主合同约定致使供应商不能履行义务的，我方不承担保证责任。</w:t>
      </w:r>
    </w:p>
    <w:p w14:paraId="4666D0C9">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2.</w:t>
      </w:r>
      <w:r>
        <w:rPr>
          <w:rFonts w:hint="eastAsia" w:ascii="宋体" w:hAnsi="宋体"/>
          <w:color w:val="auto"/>
          <w:sz w:val="24"/>
          <w:szCs w:val="24"/>
          <w:highlight w:val="none"/>
        </w:rPr>
        <w:t>依照法律法规的规定或你方与供应商的另行约定，全部或者部分免除供应商应缴纳的保证金义务的，我方亦免除相应的保证责任。</w:t>
      </w:r>
    </w:p>
    <w:p w14:paraId="6D13C110">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color w:val="auto"/>
          <w:sz w:val="24"/>
          <w:szCs w:val="24"/>
          <w:highlight w:val="none"/>
        </w:rPr>
        <w:t>因不可抗力造成供应商不能履行供货义务的，我方不承担保证责任。</w:t>
      </w:r>
    </w:p>
    <w:p w14:paraId="21923898">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六、争议的解决</w:t>
      </w:r>
    </w:p>
    <w:p w14:paraId="493C6E8E">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因本保函发生的纠纷，由你我双方协商解决，协商不成的，通过诉讼程序解决，诉讼管辖地法院为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法院。</w:t>
      </w:r>
    </w:p>
    <w:p w14:paraId="6C139D13">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七、保函的生效</w:t>
      </w:r>
    </w:p>
    <w:p w14:paraId="18736E4C">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本保函自我方加盖公章之日起生效。</w:t>
      </w:r>
    </w:p>
    <w:p w14:paraId="5D2B4F9B">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2D2D7505">
      <w:pPr>
        <w:spacing w:after="0" w:line="360" w:lineRule="auto"/>
        <w:jc w:val="right"/>
        <w:rPr>
          <w:rFonts w:ascii="宋体" w:hAnsi="宋体"/>
          <w:color w:val="auto"/>
          <w:sz w:val="24"/>
          <w:szCs w:val="24"/>
          <w:highlight w:val="none"/>
        </w:rPr>
      </w:pPr>
      <w:r>
        <w:rPr>
          <w:rFonts w:hint="eastAsia" w:ascii="宋体" w:hAnsi="宋体"/>
          <w:color w:val="auto"/>
          <w:sz w:val="24"/>
          <w:szCs w:val="24"/>
          <w:highlight w:val="none"/>
        </w:rPr>
        <w:t>保证人：（公章）</w:t>
      </w:r>
    </w:p>
    <w:p w14:paraId="4143C4B1">
      <w:pPr>
        <w:spacing w:after="0" w:line="360" w:lineRule="auto"/>
        <w:jc w:val="right"/>
        <w:rPr>
          <w:rFonts w:ascii="宋体" w:hAnsi="宋体"/>
          <w:color w:val="auto"/>
          <w:sz w:val="24"/>
          <w:szCs w:val="24"/>
          <w:highlight w:val="none"/>
        </w:rPr>
      </w:pPr>
      <w:r>
        <w:rPr>
          <w:rFonts w:hint="eastAsia" w:ascii="宋体" w:hAnsi="宋体"/>
          <w:color w:val="auto"/>
          <w:sz w:val="24"/>
          <w:szCs w:val="24"/>
          <w:highlight w:val="none"/>
        </w:rPr>
        <w:t>年    月    日</w:t>
      </w:r>
    </w:p>
    <w:p w14:paraId="45F5237F">
      <w:pPr>
        <w:rPr>
          <w:rFonts w:ascii="宋体" w:hAnsi="宋体"/>
          <w:bCs/>
          <w:color w:val="auto"/>
          <w:sz w:val="24"/>
          <w:szCs w:val="24"/>
          <w:highlight w:val="none"/>
        </w:rPr>
      </w:pPr>
      <w:r>
        <w:rPr>
          <w:rFonts w:hint="eastAsia" w:ascii="宋体" w:hAnsi="宋体"/>
          <w:color w:val="auto"/>
          <w:sz w:val="24"/>
          <w:szCs w:val="24"/>
          <w:highlight w:val="none"/>
        </w:rPr>
        <w:br w:type="page" w:clear="all"/>
      </w:r>
      <w:r>
        <w:rPr>
          <w:rFonts w:hint="eastAsia" w:ascii="宋体" w:hAnsi="宋体"/>
          <w:bCs/>
          <w:color w:val="auto"/>
          <w:sz w:val="24"/>
          <w:szCs w:val="24"/>
          <w:highlight w:val="none"/>
        </w:rPr>
        <w:t>（二）无锡市政府采购合同融资政策告知函（格式）</w:t>
      </w:r>
    </w:p>
    <w:p w14:paraId="4FE9B04E">
      <w:pPr>
        <w:spacing w:line="58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无锡市政府采购合同融资政策告知函</w:t>
      </w:r>
    </w:p>
    <w:p w14:paraId="57B3982C">
      <w:pPr>
        <w:spacing w:line="580" w:lineRule="exact"/>
        <w:rPr>
          <w:rFonts w:ascii="宋体" w:hAnsi="宋体"/>
          <w:color w:val="auto"/>
          <w:sz w:val="24"/>
          <w:szCs w:val="24"/>
          <w:highlight w:val="none"/>
        </w:rPr>
      </w:pPr>
      <w:r>
        <w:rPr>
          <w:rFonts w:hint="eastAsia" w:ascii="宋体" w:hAnsi="宋体"/>
          <w:color w:val="auto"/>
          <w:sz w:val="24"/>
          <w:szCs w:val="24"/>
          <w:highlight w:val="none"/>
        </w:rPr>
        <w:t>各供应商：</w:t>
      </w:r>
    </w:p>
    <w:p w14:paraId="69E4121B">
      <w:pPr>
        <w:widowControl w:val="0"/>
        <w:spacing w:after="0"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欢迎贵公司参与无锡市政府采购活动！</w:t>
      </w:r>
    </w:p>
    <w:p w14:paraId="41789BFB">
      <w:pPr>
        <w:widowControl w:val="0"/>
        <w:spacing w:after="0"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293B8BCC">
      <w:pPr>
        <w:rPr>
          <w:rFonts w:ascii="宋体" w:hAnsi="宋体"/>
          <w:b/>
          <w:bCs/>
          <w:color w:val="auto"/>
          <w:sz w:val="24"/>
          <w:szCs w:val="24"/>
          <w:highlight w:val="none"/>
        </w:rPr>
      </w:pPr>
      <w:bookmarkStart w:id="4" w:name="_Hlk6257390"/>
      <w:r>
        <w:rPr>
          <w:rFonts w:hint="eastAsia" w:ascii="宋体" w:hAnsi="宋体"/>
          <w:b/>
          <w:bCs/>
          <w:color w:val="auto"/>
          <w:sz w:val="24"/>
          <w:szCs w:val="24"/>
          <w:highlight w:val="none"/>
        </w:rPr>
        <w:br w:type="page" w:clear="all"/>
      </w:r>
    </w:p>
    <w:p w14:paraId="0B2D95C6">
      <w:pPr>
        <w:widowControl w:val="0"/>
        <w:numPr>
          <w:ilvl w:val="0"/>
          <w:numId w:val="0"/>
        </w:numPr>
        <w:spacing w:after="0" w:line="360" w:lineRule="auto"/>
        <w:jc w:val="center"/>
        <w:rPr>
          <w:rFonts w:ascii="宋体" w:hAnsi="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第三部分</w:t>
      </w:r>
      <w:r>
        <w:rPr>
          <w:rFonts w:hint="eastAsia" w:ascii="宋体" w:hAnsi="宋体" w:cs="宋体"/>
          <w:b/>
          <w:bCs/>
          <w:color w:val="auto"/>
          <w:sz w:val="32"/>
          <w:szCs w:val="32"/>
          <w:highlight w:val="none"/>
          <w:lang w:val="en-US" w:eastAsia="zh-CN" w:bidi="ar-SA"/>
        </w:rPr>
        <w:t>.</w:t>
      </w:r>
      <w:r>
        <w:rPr>
          <w:rFonts w:hint="eastAsia" w:ascii="宋体" w:hAnsi="宋体"/>
          <w:b/>
          <w:bCs/>
          <w:color w:val="auto"/>
          <w:sz w:val="32"/>
          <w:szCs w:val="32"/>
          <w:highlight w:val="none"/>
        </w:rPr>
        <w:t>项目技术要求和有关说明</w:t>
      </w:r>
      <w:bookmarkEnd w:id="4"/>
    </w:p>
    <w:p w14:paraId="2ABA47FD">
      <w:pPr>
        <w:keepNext w:val="0"/>
        <w:keepLines w:val="0"/>
        <w:pageBreakBefore w:val="0"/>
        <w:widowControl/>
        <w:kinsoku/>
        <w:wordWrap/>
        <w:overflowPunct/>
        <w:topLinePunct w:val="0"/>
        <w:autoSpaceDE/>
        <w:autoSpaceDN/>
        <w:bidi w:val="0"/>
        <w:adjustRightInd/>
        <w:snapToGrid/>
        <w:spacing w:after="200" w:line="58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（一）采购标的需实现的功能或者目标，以及为落实政府采购政策需满足的要求：</w:t>
      </w:r>
    </w:p>
    <w:p w14:paraId="2B74F676">
      <w:pPr>
        <w:widowControl w:val="0"/>
        <w:spacing w:after="0" w:line="360" w:lineRule="auto"/>
        <w:ind w:firstLine="480"/>
        <w:jc w:val="both"/>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设备1：</w:t>
      </w:r>
      <w:r>
        <w:rPr>
          <w:rFonts w:hint="eastAsia" w:ascii="宋体" w:hAnsi="宋体" w:eastAsia="宋体" w:cs="宋体"/>
          <w:b/>
          <w:bCs/>
          <w:color w:val="auto"/>
          <w:sz w:val="24"/>
          <w:szCs w:val="24"/>
          <w:highlight w:val="none"/>
          <w:lang w:val="en-US" w:eastAsia="zh-CN"/>
        </w:rPr>
        <w:t>克组砝码自动检定装置</w:t>
      </w:r>
    </w:p>
    <w:p w14:paraId="7B96D207">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1.采购设备名称：</w:t>
      </w:r>
      <w:r>
        <w:rPr>
          <w:rFonts w:hint="eastAsia" w:ascii="宋体" w:hAnsi="宋体" w:eastAsia="宋体" w:cs="宋体"/>
          <w:color w:val="auto"/>
          <w:sz w:val="24"/>
          <w:szCs w:val="24"/>
          <w:highlight w:val="none"/>
          <w:lang w:val="en-US" w:eastAsia="zh-CN"/>
        </w:rPr>
        <w:t>克组砝码</w:t>
      </w:r>
      <w:r>
        <w:rPr>
          <w:rFonts w:hint="eastAsia" w:ascii="宋体" w:hAnsi="宋体" w:eastAsia="宋体" w:cs="宋体"/>
          <w:color w:val="auto"/>
          <w:sz w:val="24"/>
          <w:szCs w:val="24"/>
          <w:highlight w:val="none"/>
        </w:rPr>
        <w:t>自动检定装置</w:t>
      </w:r>
    </w:p>
    <w:p w14:paraId="11C4F2CB">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2.预算价格：</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万元</w:t>
      </w:r>
    </w:p>
    <w:p w14:paraId="6B637E22">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3.最高限价：</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万元</w:t>
      </w:r>
    </w:p>
    <w:p w14:paraId="0F443D9A">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4.是否</w:t>
      </w:r>
      <w:r>
        <w:rPr>
          <w:rFonts w:hint="eastAsia" w:ascii="宋体" w:hAnsi="宋体" w:cs="宋体"/>
          <w:color w:val="auto"/>
          <w:sz w:val="24"/>
          <w:szCs w:val="24"/>
          <w:highlight w:val="none"/>
          <w:lang w:val="en-US" w:eastAsia="zh-CN"/>
        </w:rPr>
        <w:t>接受</w:t>
      </w:r>
      <w:r>
        <w:rPr>
          <w:rFonts w:hint="eastAsia" w:ascii="宋体" w:hAnsi="宋体" w:eastAsia="宋体" w:cs="宋体"/>
          <w:color w:val="auto"/>
          <w:sz w:val="24"/>
          <w:szCs w:val="24"/>
          <w:highlight w:val="none"/>
        </w:rPr>
        <w:t>进口产品：否</w:t>
      </w:r>
    </w:p>
    <w:p w14:paraId="478BB3DB">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5.是否强制节能产品：否</w:t>
      </w:r>
    </w:p>
    <w:p w14:paraId="270713B0">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6.是否安全信息产品：否</w:t>
      </w:r>
    </w:p>
    <w:p w14:paraId="7800BBD7">
      <w:pPr>
        <w:widowControl w:val="0"/>
        <w:spacing w:after="0" w:line="360" w:lineRule="auto"/>
        <w:ind w:firstLine="480"/>
        <w:jc w:val="both"/>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设备</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滑行时间测量仪</w:t>
      </w:r>
    </w:p>
    <w:p w14:paraId="40F74D86">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1.采购设备名称：</w:t>
      </w:r>
      <w:r>
        <w:rPr>
          <w:rFonts w:hint="eastAsia" w:ascii="宋体" w:hAnsi="宋体" w:eastAsia="宋体" w:cs="宋体"/>
          <w:color w:val="auto"/>
          <w:sz w:val="24"/>
          <w:szCs w:val="24"/>
          <w:highlight w:val="none"/>
          <w:lang w:val="en-US" w:eastAsia="zh-CN"/>
        </w:rPr>
        <w:t>滑行时间测量仪</w:t>
      </w:r>
    </w:p>
    <w:p w14:paraId="520C01A9">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2.预算价格：</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万元</w:t>
      </w:r>
    </w:p>
    <w:p w14:paraId="05D8B042">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3.最高限价：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万元</w:t>
      </w:r>
    </w:p>
    <w:p w14:paraId="2102D0E5">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4.是否</w:t>
      </w:r>
      <w:r>
        <w:rPr>
          <w:rFonts w:hint="eastAsia" w:ascii="宋体" w:hAnsi="宋体" w:eastAsia="宋体" w:cs="宋体"/>
          <w:color w:val="auto"/>
          <w:sz w:val="24"/>
          <w:szCs w:val="24"/>
          <w:highlight w:val="none"/>
          <w:lang w:val="en-US" w:eastAsia="zh-CN"/>
        </w:rPr>
        <w:t>接受</w:t>
      </w:r>
      <w:r>
        <w:rPr>
          <w:rFonts w:hint="eastAsia" w:ascii="宋体" w:hAnsi="宋体" w:eastAsia="宋体" w:cs="宋体"/>
          <w:color w:val="auto"/>
          <w:sz w:val="24"/>
          <w:szCs w:val="24"/>
          <w:highlight w:val="none"/>
        </w:rPr>
        <w:t>进口产品：否</w:t>
      </w:r>
    </w:p>
    <w:p w14:paraId="5CA7C532">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5.是否强制节能产品：否</w:t>
      </w:r>
    </w:p>
    <w:p w14:paraId="7561444E">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是否安全信息产品：否</w:t>
      </w:r>
    </w:p>
    <w:p w14:paraId="74E6BD0F">
      <w:pPr>
        <w:widowControl w:val="0"/>
        <w:spacing w:after="0" w:line="360" w:lineRule="auto"/>
        <w:ind w:firstLine="480"/>
        <w:jc w:val="both"/>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设备</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实验室版压力表检定装置</w:t>
      </w:r>
    </w:p>
    <w:p w14:paraId="126A59DD">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1.采购设备名称：</w:t>
      </w:r>
      <w:r>
        <w:rPr>
          <w:rFonts w:hint="eastAsia" w:ascii="宋体" w:hAnsi="宋体" w:eastAsia="宋体" w:cs="宋体"/>
          <w:color w:val="auto"/>
          <w:sz w:val="24"/>
          <w:szCs w:val="24"/>
          <w:highlight w:val="none"/>
          <w:lang w:val="en-US" w:eastAsia="zh-CN"/>
        </w:rPr>
        <w:t>实验室版压力表检定装置</w:t>
      </w:r>
    </w:p>
    <w:p w14:paraId="2F9829EB">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2.预算价格：</w:t>
      </w:r>
      <w:r>
        <w:rPr>
          <w:rFonts w:hint="eastAsia" w:ascii="宋体" w:hAnsi="宋体" w:eastAsia="宋体" w:cs="宋体"/>
          <w:color w:val="auto"/>
          <w:sz w:val="24"/>
          <w:szCs w:val="24"/>
          <w:highlight w:val="none"/>
          <w:lang w:val="en-US" w:eastAsia="zh-CN"/>
        </w:rPr>
        <w:t>24.5</w:t>
      </w:r>
      <w:r>
        <w:rPr>
          <w:rFonts w:hint="eastAsia" w:ascii="宋体" w:hAnsi="宋体" w:eastAsia="宋体" w:cs="宋体"/>
          <w:color w:val="auto"/>
          <w:sz w:val="24"/>
          <w:szCs w:val="24"/>
          <w:highlight w:val="none"/>
        </w:rPr>
        <w:t>万元</w:t>
      </w:r>
    </w:p>
    <w:p w14:paraId="6AF67B08">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3.最高限价：</w:t>
      </w:r>
      <w:r>
        <w:rPr>
          <w:rFonts w:hint="eastAsia" w:ascii="宋体" w:hAnsi="宋体" w:eastAsia="宋体" w:cs="宋体"/>
          <w:color w:val="auto"/>
          <w:sz w:val="24"/>
          <w:szCs w:val="24"/>
          <w:highlight w:val="none"/>
          <w:lang w:val="en-US" w:eastAsia="zh-CN"/>
        </w:rPr>
        <w:t>24.5</w:t>
      </w:r>
      <w:r>
        <w:rPr>
          <w:rFonts w:hint="eastAsia" w:ascii="宋体" w:hAnsi="宋体" w:eastAsia="宋体" w:cs="宋体"/>
          <w:color w:val="auto"/>
          <w:sz w:val="24"/>
          <w:szCs w:val="24"/>
          <w:highlight w:val="none"/>
        </w:rPr>
        <w:t>万元</w:t>
      </w:r>
    </w:p>
    <w:p w14:paraId="759A663D">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4.是否</w:t>
      </w:r>
      <w:r>
        <w:rPr>
          <w:rFonts w:hint="eastAsia" w:ascii="宋体" w:hAnsi="宋体" w:eastAsia="宋体" w:cs="宋体"/>
          <w:color w:val="auto"/>
          <w:sz w:val="24"/>
          <w:szCs w:val="24"/>
          <w:highlight w:val="none"/>
          <w:lang w:val="en-US" w:eastAsia="zh-CN"/>
        </w:rPr>
        <w:t>接受</w:t>
      </w:r>
      <w:r>
        <w:rPr>
          <w:rFonts w:hint="eastAsia" w:ascii="宋体" w:hAnsi="宋体" w:eastAsia="宋体" w:cs="宋体"/>
          <w:color w:val="auto"/>
          <w:sz w:val="24"/>
          <w:szCs w:val="24"/>
          <w:highlight w:val="none"/>
        </w:rPr>
        <w:t>进口产品：否</w:t>
      </w:r>
    </w:p>
    <w:p w14:paraId="3FFE35E5">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5.是否强制节能产品：否</w:t>
      </w:r>
    </w:p>
    <w:p w14:paraId="61F4AE76">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是否安全信息产品：否</w:t>
      </w:r>
    </w:p>
    <w:p w14:paraId="4EA77BBF">
      <w:pPr>
        <w:widowControl w:val="0"/>
        <w:spacing w:after="0" w:line="360" w:lineRule="auto"/>
        <w:ind w:firstLine="480"/>
        <w:jc w:val="both"/>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设备</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压力发生器</w:t>
      </w:r>
    </w:p>
    <w:p w14:paraId="45E3CF2E">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1.采购设备名称：</w:t>
      </w:r>
      <w:r>
        <w:rPr>
          <w:rFonts w:hint="eastAsia" w:ascii="宋体" w:hAnsi="宋体" w:eastAsia="宋体" w:cs="宋体"/>
          <w:color w:val="auto"/>
          <w:sz w:val="24"/>
          <w:szCs w:val="24"/>
          <w:highlight w:val="none"/>
          <w:lang w:val="en-US" w:eastAsia="zh-CN"/>
        </w:rPr>
        <w:t>压力发生器</w:t>
      </w:r>
    </w:p>
    <w:p w14:paraId="54B0D2EB">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2.预算价格：</w:t>
      </w:r>
      <w:r>
        <w:rPr>
          <w:rFonts w:hint="eastAsia" w:ascii="宋体" w:hAnsi="宋体" w:eastAsia="宋体" w:cs="宋体"/>
          <w:color w:val="auto"/>
          <w:sz w:val="24"/>
          <w:szCs w:val="24"/>
          <w:highlight w:val="none"/>
          <w:lang w:val="en-US" w:eastAsia="zh-CN"/>
        </w:rPr>
        <w:t>9.76</w:t>
      </w:r>
      <w:r>
        <w:rPr>
          <w:rFonts w:hint="eastAsia" w:ascii="宋体" w:hAnsi="宋体" w:eastAsia="宋体" w:cs="宋体"/>
          <w:color w:val="auto"/>
          <w:sz w:val="24"/>
          <w:szCs w:val="24"/>
          <w:highlight w:val="none"/>
        </w:rPr>
        <w:t>万元</w:t>
      </w:r>
    </w:p>
    <w:p w14:paraId="621F8F5D">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3.最高限价：</w:t>
      </w:r>
      <w:r>
        <w:rPr>
          <w:rFonts w:hint="eastAsia" w:ascii="宋体" w:hAnsi="宋体" w:eastAsia="宋体" w:cs="宋体"/>
          <w:color w:val="auto"/>
          <w:sz w:val="24"/>
          <w:szCs w:val="24"/>
          <w:highlight w:val="none"/>
          <w:lang w:val="en-US" w:eastAsia="zh-CN"/>
        </w:rPr>
        <w:t>9.76</w:t>
      </w:r>
      <w:r>
        <w:rPr>
          <w:rFonts w:hint="eastAsia" w:ascii="宋体" w:hAnsi="宋体" w:eastAsia="宋体" w:cs="宋体"/>
          <w:color w:val="auto"/>
          <w:sz w:val="24"/>
          <w:szCs w:val="24"/>
          <w:highlight w:val="none"/>
        </w:rPr>
        <w:t>万元</w:t>
      </w:r>
    </w:p>
    <w:p w14:paraId="334E6EDB">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4.是否</w:t>
      </w:r>
      <w:r>
        <w:rPr>
          <w:rFonts w:hint="eastAsia" w:ascii="宋体" w:hAnsi="宋体" w:eastAsia="宋体" w:cs="宋体"/>
          <w:color w:val="auto"/>
          <w:sz w:val="24"/>
          <w:szCs w:val="24"/>
          <w:highlight w:val="none"/>
          <w:lang w:val="en-US" w:eastAsia="zh-CN"/>
        </w:rPr>
        <w:t>接受</w:t>
      </w:r>
      <w:r>
        <w:rPr>
          <w:rFonts w:hint="eastAsia" w:ascii="宋体" w:hAnsi="宋体" w:eastAsia="宋体" w:cs="宋体"/>
          <w:color w:val="auto"/>
          <w:sz w:val="24"/>
          <w:szCs w:val="24"/>
          <w:highlight w:val="none"/>
        </w:rPr>
        <w:t>进口产品：否</w:t>
      </w:r>
    </w:p>
    <w:p w14:paraId="5892DF75">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5.是否强制节能产品：否</w:t>
      </w:r>
    </w:p>
    <w:p w14:paraId="64CC4D63">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是否安全信息产品：否</w:t>
      </w:r>
    </w:p>
    <w:p w14:paraId="2793624B">
      <w:pPr>
        <w:widowControl w:val="0"/>
        <w:spacing w:after="0" w:line="360" w:lineRule="auto"/>
        <w:ind w:firstLine="480"/>
        <w:jc w:val="both"/>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设备</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隔膜压力表工装</w:t>
      </w:r>
    </w:p>
    <w:p w14:paraId="2977F2C4">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1.采购设备名称：</w:t>
      </w:r>
      <w:r>
        <w:rPr>
          <w:rFonts w:hint="eastAsia" w:ascii="宋体" w:hAnsi="宋体" w:eastAsia="宋体" w:cs="宋体"/>
          <w:color w:val="auto"/>
          <w:sz w:val="24"/>
          <w:szCs w:val="24"/>
          <w:highlight w:val="none"/>
          <w:lang w:val="en-US" w:eastAsia="zh-CN"/>
        </w:rPr>
        <w:t>隔膜压力表工装</w:t>
      </w:r>
    </w:p>
    <w:p w14:paraId="7EAB361A">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2.预算价格：</w:t>
      </w:r>
      <w:r>
        <w:rPr>
          <w:rFonts w:hint="eastAsia" w:ascii="宋体" w:hAnsi="宋体" w:eastAsia="宋体" w:cs="宋体"/>
          <w:color w:val="auto"/>
          <w:sz w:val="24"/>
          <w:szCs w:val="24"/>
          <w:highlight w:val="none"/>
          <w:lang w:val="en-US" w:eastAsia="zh-CN"/>
        </w:rPr>
        <w:t>8.85</w:t>
      </w:r>
      <w:r>
        <w:rPr>
          <w:rFonts w:hint="eastAsia" w:ascii="宋体" w:hAnsi="宋体" w:eastAsia="宋体" w:cs="宋体"/>
          <w:color w:val="auto"/>
          <w:sz w:val="24"/>
          <w:szCs w:val="24"/>
          <w:highlight w:val="none"/>
        </w:rPr>
        <w:t>万元</w:t>
      </w:r>
    </w:p>
    <w:p w14:paraId="0E95F975">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3.最高限价：</w:t>
      </w:r>
      <w:r>
        <w:rPr>
          <w:rFonts w:hint="eastAsia" w:ascii="宋体" w:hAnsi="宋体" w:eastAsia="宋体" w:cs="宋体"/>
          <w:color w:val="auto"/>
          <w:sz w:val="24"/>
          <w:szCs w:val="24"/>
          <w:highlight w:val="none"/>
          <w:lang w:val="en-US" w:eastAsia="zh-CN"/>
        </w:rPr>
        <w:t>8.85</w:t>
      </w:r>
      <w:r>
        <w:rPr>
          <w:rFonts w:hint="eastAsia" w:ascii="宋体" w:hAnsi="宋体" w:eastAsia="宋体" w:cs="宋体"/>
          <w:color w:val="auto"/>
          <w:sz w:val="24"/>
          <w:szCs w:val="24"/>
          <w:highlight w:val="none"/>
        </w:rPr>
        <w:t>万元</w:t>
      </w:r>
    </w:p>
    <w:p w14:paraId="689F523C">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4.是否</w:t>
      </w:r>
      <w:r>
        <w:rPr>
          <w:rFonts w:hint="eastAsia" w:ascii="宋体" w:hAnsi="宋体" w:eastAsia="宋体" w:cs="宋体"/>
          <w:color w:val="auto"/>
          <w:sz w:val="24"/>
          <w:szCs w:val="24"/>
          <w:highlight w:val="none"/>
          <w:lang w:val="en-US" w:eastAsia="zh-CN"/>
        </w:rPr>
        <w:t>接受</w:t>
      </w:r>
      <w:r>
        <w:rPr>
          <w:rFonts w:hint="eastAsia" w:ascii="宋体" w:hAnsi="宋体" w:eastAsia="宋体" w:cs="宋体"/>
          <w:color w:val="auto"/>
          <w:sz w:val="24"/>
          <w:szCs w:val="24"/>
          <w:highlight w:val="none"/>
        </w:rPr>
        <w:t>进口产品：否</w:t>
      </w:r>
    </w:p>
    <w:p w14:paraId="1B0ECD5A">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5.是否强制节能产品：否</w:t>
      </w:r>
    </w:p>
    <w:p w14:paraId="2CA71DB6">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是否安全信息产品：否</w:t>
      </w:r>
    </w:p>
    <w:p w14:paraId="413C95A8">
      <w:pPr>
        <w:widowControl w:val="0"/>
        <w:spacing w:after="0" w:line="360" w:lineRule="auto"/>
        <w:ind w:firstLine="480"/>
        <w:jc w:val="both"/>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设备</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便携式压力表检定装置</w:t>
      </w:r>
    </w:p>
    <w:p w14:paraId="01A86A5E">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1.采购设备名称：</w:t>
      </w:r>
      <w:r>
        <w:rPr>
          <w:rFonts w:hint="eastAsia" w:ascii="宋体" w:hAnsi="宋体" w:eastAsia="宋体" w:cs="宋体"/>
          <w:color w:val="auto"/>
          <w:sz w:val="24"/>
          <w:szCs w:val="24"/>
          <w:highlight w:val="none"/>
          <w:lang w:val="en-US" w:eastAsia="zh-CN"/>
        </w:rPr>
        <w:t>便携式压力表检定装置</w:t>
      </w:r>
    </w:p>
    <w:p w14:paraId="7B1197E9">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2.预算价格：</w:t>
      </w:r>
      <w:r>
        <w:rPr>
          <w:rFonts w:hint="eastAsia" w:ascii="宋体" w:hAnsi="宋体" w:eastAsia="宋体" w:cs="宋体"/>
          <w:color w:val="auto"/>
          <w:sz w:val="24"/>
          <w:szCs w:val="24"/>
          <w:highlight w:val="none"/>
          <w:lang w:val="en-US" w:eastAsia="zh-CN"/>
        </w:rPr>
        <w:t>12.3</w:t>
      </w:r>
      <w:r>
        <w:rPr>
          <w:rFonts w:hint="eastAsia" w:ascii="宋体" w:hAnsi="宋体" w:eastAsia="宋体" w:cs="宋体"/>
          <w:color w:val="auto"/>
          <w:sz w:val="24"/>
          <w:szCs w:val="24"/>
          <w:highlight w:val="none"/>
        </w:rPr>
        <w:t>万元</w:t>
      </w:r>
    </w:p>
    <w:p w14:paraId="2181DAD4">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3.最高限价：</w:t>
      </w:r>
      <w:r>
        <w:rPr>
          <w:rFonts w:hint="eastAsia" w:ascii="宋体" w:hAnsi="宋体" w:eastAsia="宋体" w:cs="宋体"/>
          <w:color w:val="auto"/>
          <w:sz w:val="24"/>
          <w:szCs w:val="24"/>
          <w:highlight w:val="none"/>
          <w:lang w:val="en-US" w:eastAsia="zh-CN"/>
        </w:rPr>
        <w:t>12.3</w:t>
      </w:r>
      <w:r>
        <w:rPr>
          <w:rFonts w:hint="eastAsia" w:ascii="宋体" w:hAnsi="宋体" w:eastAsia="宋体" w:cs="宋体"/>
          <w:color w:val="auto"/>
          <w:sz w:val="24"/>
          <w:szCs w:val="24"/>
          <w:highlight w:val="none"/>
        </w:rPr>
        <w:t>万元</w:t>
      </w:r>
    </w:p>
    <w:p w14:paraId="7FE6A7DD">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4.是否</w:t>
      </w:r>
      <w:r>
        <w:rPr>
          <w:rFonts w:hint="eastAsia" w:ascii="宋体" w:hAnsi="宋体" w:eastAsia="宋体" w:cs="宋体"/>
          <w:color w:val="auto"/>
          <w:sz w:val="24"/>
          <w:szCs w:val="24"/>
          <w:highlight w:val="none"/>
          <w:lang w:val="en-US" w:eastAsia="zh-CN"/>
        </w:rPr>
        <w:t>接受</w:t>
      </w:r>
      <w:r>
        <w:rPr>
          <w:rFonts w:hint="eastAsia" w:ascii="宋体" w:hAnsi="宋体" w:eastAsia="宋体" w:cs="宋体"/>
          <w:color w:val="auto"/>
          <w:sz w:val="24"/>
          <w:szCs w:val="24"/>
          <w:highlight w:val="none"/>
        </w:rPr>
        <w:t>进口产品：否</w:t>
      </w:r>
    </w:p>
    <w:p w14:paraId="74679A59">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5.是否强制节能产品：否</w:t>
      </w:r>
    </w:p>
    <w:p w14:paraId="4C197D54">
      <w:pPr>
        <w:widowControl w:val="0"/>
        <w:spacing w:after="0" w:line="360" w:lineRule="auto"/>
        <w:ind w:firstLine="480"/>
        <w:jc w:val="both"/>
        <w:rPr>
          <w:rFonts w:hint="eastAsia" w:ascii="宋体" w:hAnsi="宋体"/>
          <w:b/>
          <w:bCs/>
          <w:color w:val="auto"/>
          <w:sz w:val="32"/>
          <w:szCs w:val="32"/>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是否安全信息产品：否</w:t>
      </w:r>
    </w:p>
    <w:p w14:paraId="197B24EF">
      <w:pPr>
        <w:keepNext w:val="0"/>
        <w:keepLines w:val="0"/>
        <w:pageBreakBefore w:val="0"/>
        <w:widowControl/>
        <w:kinsoku/>
        <w:wordWrap/>
        <w:overflowPunct/>
        <w:topLinePunct w:val="0"/>
        <w:autoSpaceDE/>
        <w:autoSpaceDN/>
        <w:bidi w:val="0"/>
        <w:adjustRightInd/>
        <w:snapToGrid/>
        <w:spacing w:after="200" w:line="580" w:lineRule="exact"/>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（二）采购标的需执行的国家相关标准、行业标准、地方标准或者其他标准、规范：</w:t>
      </w:r>
    </w:p>
    <w:p w14:paraId="03F5A0CA">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JJG 99-2022《砝码》</w:t>
      </w:r>
    </w:p>
    <w:p w14:paraId="58A13AE0">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JJF1221-2025《汽车排气污染物检测用底盘测功机校准规范》</w:t>
      </w:r>
    </w:p>
    <w:p w14:paraId="3AFB1057">
      <w:pPr>
        <w:keepNext w:val="0"/>
        <w:keepLines w:val="0"/>
        <w:pageBreakBefore w:val="0"/>
        <w:widowControl/>
        <w:kinsoku/>
        <w:wordWrap/>
        <w:overflowPunct/>
        <w:topLinePunct w:val="0"/>
        <w:autoSpaceDE/>
        <w:autoSpaceDN/>
        <w:bidi w:val="0"/>
        <w:adjustRightInd/>
        <w:snapToGrid/>
        <w:spacing w:after="200" w:line="58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）采购标的需满足的质量、安全、技术规格、物理特性等要求：</w:t>
      </w:r>
    </w:p>
    <w:p w14:paraId="56BEBE06">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bookmarkStart w:id="5" w:name="OLE_LINK10"/>
      <w:bookmarkStart w:id="6" w:name="OLE_LINK5"/>
      <w:bookmarkStart w:id="7" w:name="OLE_LINK7"/>
      <w:bookmarkStart w:id="8" w:name="_Hlk212467829"/>
      <w:bookmarkStart w:id="9" w:name="OLE_LINK16"/>
      <w:r>
        <w:rPr>
          <w:rFonts w:hint="eastAsia" w:ascii="宋体" w:hAnsi="宋体" w:eastAsia="宋体" w:cs="宋体"/>
          <w:b/>
          <w:bCs/>
          <w:color w:val="auto"/>
          <w:sz w:val="24"/>
          <w:szCs w:val="24"/>
          <w:highlight w:val="none"/>
          <w:lang w:val="en-US" w:eastAsia="zh-CN"/>
        </w:rPr>
        <w:t>1、克组砝码自动检定装置</w:t>
      </w:r>
      <w:bookmarkEnd w:id="5"/>
      <w:bookmarkEnd w:id="6"/>
      <w:bookmarkEnd w:id="7"/>
      <w:bookmarkEnd w:id="8"/>
      <w:bookmarkEnd w:id="9"/>
    </w:p>
    <w:p w14:paraId="71510493">
      <w:pPr>
        <w:widowControl w:val="0"/>
        <w:spacing w:after="0" w:line="360" w:lineRule="auto"/>
        <w:ind w:firstLine="480"/>
        <w:jc w:val="both"/>
        <w:rPr>
          <w:rFonts w:hint="eastAsia" w:ascii="宋体" w:hAnsi="宋体" w:eastAsia="宋体" w:cs="宋体"/>
          <w:color w:val="auto"/>
          <w:sz w:val="24"/>
          <w:szCs w:val="24"/>
          <w:highlight w:val="none"/>
        </w:rPr>
      </w:pPr>
      <w:bookmarkStart w:id="10" w:name="OLE_LINK49"/>
      <w:bookmarkStart w:id="11" w:name="OLE_LINK48"/>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项目总体要求：</w:t>
      </w:r>
    </w:p>
    <w:p w14:paraId="735F044B">
      <w:pPr>
        <w:widowControl w:val="0"/>
        <w:spacing w:after="0" w:line="360" w:lineRule="auto"/>
        <w:ind w:firstLine="480"/>
        <w:jc w:val="both"/>
        <w:rPr>
          <w:rFonts w:hint="eastAsia" w:ascii="宋体" w:hAnsi="宋体" w:eastAsia="宋体" w:cs="宋体"/>
          <w:color w:val="auto"/>
          <w:sz w:val="24"/>
          <w:szCs w:val="24"/>
          <w:highlight w:val="none"/>
        </w:rPr>
      </w:pPr>
      <w:bookmarkStart w:id="12" w:name="OLE_LINK8"/>
      <w:bookmarkStart w:id="13" w:name="OLE_LINK9"/>
      <w:r>
        <w:rPr>
          <w:rFonts w:hint="eastAsia" w:ascii="宋体" w:hAnsi="宋体" w:eastAsia="宋体" w:cs="宋体"/>
          <w:color w:val="auto"/>
          <w:sz w:val="24"/>
          <w:szCs w:val="24"/>
          <w:highlight w:val="none"/>
        </w:rPr>
        <w:t>本项目采购的砝码自动检定装置为一体化成套专用检定装备，整体由智能砝码仓模块、</w:t>
      </w:r>
      <w:bookmarkStart w:id="14" w:name="OLE_LINK15"/>
      <w:r>
        <w:rPr>
          <w:rFonts w:hint="eastAsia" w:ascii="宋体" w:hAnsi="宋体" w:eastAsia="宋体" w:cs="宋体"/>
          <w:color w:val="auto"/>
          <w:sz w:val="24"/>
          <w:szCs w:val="24"/>
          <w:highlight w:val="none"/>
        </w:rPr>
        <w:t>克组检定模组</w:t>
      </w:r>
      <w:bookmarkEnd w:id="14"/>
      <w:r>
        <w:rPr>
          <w:rFonts w:hint="eastAsia" w:ascii="宋体" w:hAnsi="宋体" w:eastAsia="宋体" w:cs="宋体"/>
          <w:color w:val="auto"/>
          <w:sz w:val="24"/>
          <w:szCs w:val="24"/>
          <w:highlight w:val="none"/>
        </w:rPr>
        <w:t>、毫克组检定模组、</w:t>
      </w:r>
      <w:bookmarkStart w:id="15" w:name="OLE_LINK47"/>
      <w:bookmarkStart w:id="16" w:name="OLE_LINK45"/>
      <w:bookmarkStart w:id="17" w:name="OLE_LINK46"/>
      <w:r>
        <w:rPr>
          <w:rFonts w:hint="eastAsia" w:ascii="宋体" w:hAnsi="宋体" w:eastAsia="宋体" w:cs="宋体"/>
          <w:color w:val="auto"/>
          <w:sz w:val="24"/>
          <w:szCs w:val="24"/>
          <w:highlight w:val="none"/>
        </w:rPr>
        <w:t>全自动砝码检定测控软件</w:t>
      </w:r>
      <w:bookmarkEnd w:id="15"/>
      <w:bookmarkEnd w:id="16"/>
      <w:bookmarkEnd w:id="17"/>
      <w:r>
        <w:rPr>
          <w:rFonts w:hint="eastAsia" w:ascii="宋体" w:hAnsi="宋体" w:eastAsia="宋体" w:cs="宋体"/>
          <w:color w:val="auto"/>
          <w:sz w:val="24"/>
          <w:szCs w:val="24"/>
          <w:highlight w:val="none"/>
        </w:rPr>
        <w:t>等核心单元集成组成。</w:t>
      </w:r>
      <w:bookmarkStart w:id="18" w:name="OLE_LINK52"/>
      <w:r>
        <w:rPr>
          <w:rFonts w:hint="eastAsia" w:ascii="宋体" w:hAnsi="宋体" w:eastAsia="宋体" w:cs="宋体"/>
          <w:color w:val="auto"/>
          <w:sz w:val="24"/>
          <w:szCs w:val="24"/>
          <w:highlight w:val="none"/>
        </w:rPr>
        <w:t>装置</w:t>
      </w:r>
      <w:bookmarkEnd w:id="18"/>
      <w:r>
        <w:rPr>
          <w:rFonts w:hint="eastAsia" w:ascii="宋体" w:hAnsi="宋体" w:eastAsia="宋体" w:cs="宋体"/>
          <w:color w:val="auto"/>
          <w:sz w:val="24"/>
          <w:szCs w:val="24"/>
          <w:highlight w:val="none"/>
        </w:rPr>
        <w:t>整体检定能力可覆盖量程为1mg～500g，支持不同量程、不同精度等级、不同外形结构砝码的同步并行检定。配套一体式智能砝码仓可一次性装载不少于 80 个砝码，实现整批次砝码集中上料；装置可全自动完成 F2、M1 级砝码检定、校准工作，通过模组协同调度，依次实现样品信息扫码录入、机械手砝码自动转运、精密比对称量、实验室温湿度气压环境参数实时采集、称量数据自动采集、浮力及误差自动修正计算，最终自动输出检定原始记录、检定 / 校准证书。整套设备运行逻辑、算法判定、证书格式完全遵循 JJG 99-2022《砝码》国家计量检定规程，实现全流程无人值守闭环自动化作业，适配计量实验室日常大批量砝码集中检定业务。</w:t>
      </w:r>
    </w:p>
    <w:bookmarkEnd w:id="12"/>
    <w:bookmarkEnd w:id="13"/>
    <w:p w14:paraId="422A14C3">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装置功能及参数：</w:t>
      </w:r>
    </w:p>
    <w:p w14:paraId="2889B68E">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rPr>
        <w:t>智能砝码仓</w:t>
      </w:r>
    </w:p>
    <w:p w14:paraId="0FE5F429">
      <w:pPr>
        <w:widowControl w:val="0"/>
        <w:spacing w:after="0" w:line="360" w:lineRule="auto"/>
        <w:ind w:firstLine="480"/>
        <w:jc w:val="both"/>
        <w:rPr>
          <w:rFonts w:hint="eastAsia" w:ascii="宋体" w:hAnsi="宋体" w:eastAsia="宋体" w:cs="宋体"/>
          <w:color w:val="auto"/>
          <w:sz w:val="24"/>
          <w:szCs w:val="24"/>
          <w:highlight w:val="none"/>
        </w:rPr>
      </w:pPr>
      <w:bookmarkStart w:id="19" w:name="OLE_LINK41"/>
      <w:bookmarkStart w:id="20" w:name="OLE_LINK4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1.2.1.1</w:t>
      </w:r>
      <w:r>
        <w:rPr>
          <w:rFonts w:hint="eastAsia" w:ascii="宋体" w:hAnsi="宋体" w:eastAsia="宋体" w:cs="宋体"/>
          <w:color w:val="auto"/>
          <w:sz w:val="24"/>
          <w:szCs w:val="24"/>
          <w:highlight w:val="none"/>
        </w:rPr>
        <w:t>装置配置一体式集成智能</w:t>
      </w:r>
      <w:bookmarkStart w:id="21" w:name="OLE_LINK17"/>
      <w:bookmarkStart w:id="22" w:name="OLE_LINK18"/>
      <w:r>
        <w:rPr>
          <w:rFonts w:hint="eastAsia" w:ascii="宋体" w:hAnsi="宋体" w:eastAsia="宋体" w:cs="宋体"/>
          <w:color w:val="auto"/>
          <w:sz w:val="24"/>
          <w:szCs w:val="24"/>
          <w:highlight w:val="none"/>
        </w:rPr>
        <w:t>砝码仓</w:t>
      </w:r>
      <w:bookmarkEnd w:id="21"/>
      <w:bookmarkEnd w:id="22"/>
      <w:r>
        <w:rPr>
          <w:rFonts w:hint="eastAsia" w:ascii="宋体" w:hAnsi="宋体" w:eastAsia="宋体" w:cs="宋体"/>
          <w:color w:val="auto"/>
          <w:sz w:val="24"/>
          <w:szCs w:val="24"/>
          <w:highlight w:val="none"/>
        </w:rPr>
        <w:t>，砝码仓为单一整体结构，仓内划分独立克组砝码存储区、毫克组砝码存储区，为整套设备提供批量砝码存储、自动上料支撑，适配无人值守连续检定工况；</w:t>
      </w:r>
    </w:p>
    <w:bookmarkEnd w:id="19"/>
    <w:bookmarkEnd w:id="20"/>
    <w:p w14:paraId="39D1F87C">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1.2.1.2</w:t>
      </w:r>
      <w:r>
        <w:rPr>
          <w:rFonts w:hint="eastAsia" w:ascii="宋体" w:hAnsi="宋体" w:eastAsia="宋体" w:cs="宋体"/>
          <w:color w:val="auto"/>
          <w:sz w:val="24"/>
          <w:szCs w:val="24"/>
          <w:highlight w:val="none"/>
        </w:rPr>
        <w:t>工位数：一次性可放置不少于40个毫克组砝码、40个克组砝码，满足大批量集中送检需求；</w:t>
      </w:r>
    </w:p>
    <w:p w14:paraId="26332B29">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1.2.1.3</w:t>
      </w:r>
      <w:r>
        <w:rPr>
          <w:rFonts w:hint="eastAsia" w:ascii="宋体" w:hAnsi="宋体" w:eastAsia="宋体" w:cs="宋体"/>
          <w:color w:val="auto"/>
          <w:sz w:val="24"/>
          <w:szCs w:val="24"/>
          <w:highlight w:val="none"/>
        </w:rPr>
        <w:t>砝码仓具备点动旋转、连续自动旋转两种运行模式；点动模式用于人工上下料、砝码整理检修；自动检定工况下启动连续旋转，精准定位砝码仓位，配合协作机械手完成砝码抓取动作；</w:t>
      </w:r>
    </w:p>
    <w:p w14:paraId="2EB2F215">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.1.4</w:t>
      </w:r>
      <w:bookmarkStart w:id="23" w:name="OLE_LINK53"/>
      <w:bookmarkStart w:id="24" w:name="OLE_LINK54"/>
      <w:r>
        <w:rPr>
          <w:rFonts w:hint="eastAsia" w:ascii="宋体" w:hAnsi="宋体" w:eastAsia="宋体" w:cs="宋体"/>
          <w:color w:val="auto"/>
          <w:sz w:val="24"/>
          <w:szCs w:val="24"/>
          <w:highlight w:val="none"/>
        </w:rPr>
        <w:t>砝码仓</w:t>
      </w:r>
      <w:bookmarkEnd w:id="23"/>
      <w:bookmarkEnd w:id="24"/>
      <w:r>
        <w:rPr>
          <w:rFonts w:hint="eastAsia" w:ascii="宋体" w:hAnsi="宋体" w:eastAsia="宋体" w:cs="宋体"/>
          <w:color w:val="auto"/>
          <w:sz w:val="24"/>
          <w:szCs w:val="24"/>
          <w:highlight w:val="none"/>
        </w:rPr>
        <w:t>标配扫码器，支持委托单、样品条码 / 二维码扫码识别，完成样品基础信息一键录入；</w:t>
      </w:r>
    </w:p>
    <w:p w14:paraId="2611206B">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.1.5砝码仓整体外形尺寸≤800mm×800mm×2000mm，结构紧凑，适配实验室场地布置。</w:t>
      </w:r>
    </w:p>
    <w:p w14:paraId="6AADA6A5">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.2克组/毫克组检定模组</w:t>
      </w:r>
    </w:p>
    <w:p w14:paraId="07863AE0">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1.2.2.1克</w:t>
      </w:r>
      <w:r>
        <w:rPr>
          <w:rFonts w:hint="eastAsia" w:ascii="宋体" w:hAnsi="宋体" w:eastAsia="宋体" w:cs="宋体"/>
          <w:color w:val="auto"/>
          <w:sz w:val="24"/>
          <w:szCs w:val="24"/>
          <w:highlight w:val="none"/>
        </w:rPr>
        <w:t>组检定模组与毫克组检定模组分别布置在智能砝码仓左右两侧，两套模组彼此独立，均可单独启动完成检定工作。单套模组配置 6 轴协作机械手、双工位砝码取放工装、阻尼隔振平台、比较仪（采购人自备）、封闭式防风工作间。</w:t>
      </w:r>
    </w:p>
    <w:p w14:paraId="4F4A4F79">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每个检定模组是均由一套协作机器手、</w:t>
      </w:r>
      <w:bookmarkStart w:id="25" w:name="OLE_LINK29"/>
      <w:r>
        <w:rPr>
          <w:rFonts w:hint="eastAsia" w:ascii="宋体" w:hAnsi="宋体" w:eastAsia="宋体" w:cs="宋体"/>
          <w:color w:val="auto"/>
          <w:sz w:val="24"/>
          <w:szCs w:val="24"/>
          <w:highlight w:val="none"/>
        </w:rPr>
        <w:t>一个双工位取放工装</w:t>
      </w:r>
      <w:bookmarkEnd w:id="25"/>
      <w:r>
        <w:rPr>
          <w:rFonts w:hint="eastAsia" w:ascii="宋体" w:hAnsi="宋体" w:eastAsia="宋体" w:cs="宋体"/>
          <w:color w:val="auto"/>
          <w:sz w:val="24"/>
          <w:szCs w:val="24"/>
          <w:highlight w:val="none"/>
        </w:rPr>
        <w:t>、</w:t>
      </w:r>
      <w:bookmarkStart w:id="26" w:name="OLE_LINK35"/>
      <w:bookmarkStart w:id="27" w:name="OLE_LINK30"/>
      <w:r>
        <w:rPr>
          <w:rFonts w:hint="eastAsia" w:ascii="宋体" w:hAnsi="宋体" w:eastAsia="宋体" w:cs="宋体"/>
          <w:color w:val="auto"/>
          <w:sz w:val="24"/>
          <w:szCs w:val="24"/>
          <w:highlight w:val="none"/>
        </w:rPr>
        <w:t>一套隔振平台</w:t>
      </w:r>
      <w:bookmarkEnd w:id="26"/>
      <w:bookmarkEnd w:id="27"/>
      <w:r>
        <w:rPr>
          <w:rFonts w:hint="eastAsia" w:ascii="宋体" w:hAnsi="宋体" w:eastAsia="宋体" w:cs="宋体"/>
          <w:color w:val="auto"/>
          <w:sz w:val="24"/>
          <w:szCs w:val="24"/>
          <w:highlight w:val="none"/>
        </w:rPr>
        <w:t>、比较仪（需方提供）和</w:t>
      </w:r>
      <w:bookmarkStart w:id="28" w:name="OLE_LINK28"/>
      <w:r>
        <w:rPr>
          <w:rFonts w:hint="eastAsia" w:ascii="宋体" w:hAnsi="宋体" w:eastAsia="宋体" w:cs="宋体"/>
          <w:color w:val="auto"/>
          <w:sz w:val="24"/>
          <w:szCs w:val="24"/>
          <w:highlight w:val="none"/>
        </w:rPr>
        <w:t>一间防风工作间</w:t>
      </w:r>
      <w:bookmarkEnd w:id="28"/>
      <w:r>
        <w:rPr>
          <w:rFonts w:hint="eastAsia" w:ascii="宋体" w:hAnsi="宋体" w:eastAsia="宋体" w:cs="宋体"/>
          <w:color w:val="auto"/>
          <w:sz w:val="24"/>
          <w:szCs w:val="24"/>
          <w:highlight w:val="none"/>
        </w:rPr>
        <w:t>组成；</w:t>
      </w:r>
    </w:p>
    <w:p w14:paraId="24BB1FBB">
      <w:pPr>
        <w:widowControl w:val="0"/>
        <w:spacing w:after="0" w:line="360" w:lineRule="auto"/>
        <w:ind w:firstLine="480"/>
        <w:jc w:val="both"/>
        <w:rPr>
          <w:rFonts w:hint="eastAsia" w:ascii="宋体" w:hAnsi="宋体" w:eastAsia="宋体" w:cs="宋体"/>
          <w:color w:val="auto"/>
          <w:sz w:val="24"/>
          <w:szCs w:val="24"/>
          <w:highlight w:val="none"/>
        </w:rPr>
      </w:pPr>
      <w:bookmarkStart w:id="29" w:name="OLE_LINK36"/>
      <w:bookmarkStart w:id="30" w:name="OLE_LINK19"/>
      <w:bookmarkStart w:id="31" w:name="OLE_LINK20"/>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.2.</w:t>
      </w:r>
      <w:bookmarkEnd w:id="29"/>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协作</w:t>
      </w:r>
      <w:bookmarkStart w:id="32" w:name="OLE_LINK40"/>
      <w:bookmarkStart w:id="33" w:name="OLE_LINK39"/>
      <w:r>
        <w:rPr>
          <w:rFonts w:hint="eastAsia" w:ascii="宋体" w:hAnsi="宋体" w:eastAsia="宋体" w:cs="宋体"/>
          <w:color w:val="auto"/>
          <w:sz w:val="24"/>
          <w:szCs w:val="24"/>
          <w:highlight w:val="none"/>
        </w:rPr>
        <w:t>机器手</w:t>
      </w:r>
      <w:bookmarkEnd w:id="30"/>
      <w:bookmarkEnd w:id="31"/>
      <w:bookmarkEnd w:id="32"/>
      <w:bookmarkEnd w:id="33"/>
      <w:r>
        <w:rPr>
          <w:rFonts w:hint="eastAsia" w:ascii="宋体" w:hAnsi="宋体" w:eastAsia="宋体" w:cs="宋体"/>
          <w:color w:val="auto"/>
          <w:sz w:val="24"/>
          <w:szCs w:val="24"/>
          <w:highlight w:val="none"/>
        </w:rPr>
        <w:t>： 6轴机器手，重复定位精度达到±0.05mm，工作半径850mm，符合 IP54 标准，额定负载≥5kg；</w:t>
      </w:r>
    </w:p>
    <w:p w14:paraId="428897BC">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1.2.2.3</w:t>
      </w:r>
      <w:r>
        <w:rPr>
          <w:rFonts w:hint="eastAsia" w:ascii="宋体" w:hAnsi="宋体" w:eastAsia="宋体" w:cs="宋体"/>
          <w:color w:val="auto"/>
          <w:sz w:val="24"/>
          <w:szCs w:val="24"/>
          <w:highlight w:val="none"/>
        </w:rPr>
        <w:t>取放工装采用双工位插齿结构，用于取放被检砝码和标准砝码，。如用移载装置的提取；</w:t>
      </w:r>
    </w:p>
    <w:p w14:paraId="231B49D6">
      <w:pPr>
        <w:widowControl w:val="0"/>
        <w:spacing w:after="0" w:line="360" w:lineRule="auto"/>
        <w:ind w:firstLine="480"/>
        <w:jc w:val="both"/>
        <w:rPr>
          <w:rFonts w:hint="eastAsia" w:ascii="宋体" w:hAnsi="宋体" w:eastAsia="宋体" w:cs="宋体"/>
          <w:color w:val="auto"/>
          <w:sz w:val="24"/>
          <w:szCs w:val="24"/>
          <w:highlight w:val="none"/>
          <w:lang w:val="en-US" w:eastAsia="zh-CN"/>
        </w:rPr>
      </w:pPr>
      <w:bookmarkStart w:id="34" w:name="OLE_LINK1"/>
      <w:r>
        <w:rPr>
          <w:rFonts w:hint="eastAsia" w:ascii="宋体" w:hAnsi="宋体" w:eastAsia="宋体" w:cs="宋体"/>
          <w:color w:val="auto"/>
          <w:sz w:val="24"/>
          <w:szCs w:val="24"/>
          <w:highlight w:val="none"/>
          <w:lang w:val="en-US" w:eastAsia="zh-CN"/>
        </w:rPr>
        <w:t>1.2.2.3阻尼</w:t>
      </w:r>
      <w:bookmarkStart w:id="35" w:name="OLE_LINK21"/>
      <w:r>
        <w:rPr>
          <w:rFonts w:hint="eastAsia" w:ascii="宋体" w:hAnsi="宋体" w:eastAsia="宋体" w:cs="宋体"/>
          <w:color w:val="auto"/>
          <w:sz w:val="24"/>
          <w:szCs w:val="24"/>
          <w:highlight w:val="none"/>
          <w:lang w:val="en-US" w:eastAsia="zh-CN"/>
        </w:rPr>
        <w:t>隔振平台</w:t>
      </w:r>
      <w:bookmarkEnd w:id="34"/>
      <w:bookmarkEnd w:id="35"/>
      <w:r>
        <w:rPr>
          <w:rFonts w:hint="eastAsia" w:ascii="宋体" w:hAnsi="宋体" w:eastAsia="宋体" w:cs="宋体"/>
          <w:color w:val="auto"/>
          <w:sz w:val="24"/>
          <w:szCs w:val="24"/>
          <w:highlight w:val="none"/>
          <w:lang w:val="en-US" w:eastAsia="zh-CN"/>
        </w:rPr>
        <w:t>，台面不小于500×600×100，隔振平台与机械手安装底座物理分离、无硬性接触，隔绝机械手运动振动传递至精密比较仪，保障称量稳定性；</w:t>
      </w:r>
    </w:p>
    <w:p w14:paraId="48B082BE">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1.2.2.4防风工作间具备独立运行能力，内部集成机械手、比较仪、隔振平台全套组件；柜体外侧安装三色状态指示灯，区分待机、运行、故障三种工作状态；工作间外形尺寸≤1100mm×800mm×2000mm。 </w:t>
      </w:r>
    </w:p>
    <w:p w14:paraId="130D5AE0">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1.2.3数采装置，显示器分辨率 1920×1080，可拓展Wifi与4G网络，嵌入式工业一体机运行。</w:t>
      </w:r>
      <w:bookmarkStart w:id="36" w:name="OLE_LINK32"/>
      <w:bookmarkStart w:id="37" w:name="OLE_LINK31"/>
    </w:p>
    <w:bookmarkEnd w:id="36"/>
    <w:bookmarkEnd w:id="37"/>
    <w:p w14:paraId="35D0392C">
      <w:pPr>
        <w:widowControl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1.2.4</w:t>
      </w:r>
      <w:r>
        <w:rPr>
          <w:rFonts w:hint="eastAsia" w:ascii="宋体" w:hAnsi="宋体" w:eastAsia="宋体" w:cs="宋体"/>
          <w:color w:val="auto"/>
          <w:sz w:val="24"/>
          <w:szCs w:val="24"/>
          <w:highlight w:val="none"/>
        </w:rPr>
        <w:t>全自动砝码检定测控软件自带对比较仪的自动校准功能，在砝码自动检定时砝码排列组合可实现单行检测及组合同时进行ABA、ABBA、ABBBBBA检测流程，装置自动采集比较仪数据与判稳等，检测数据按要求自动保存并形成报表。</w:t>
      </w:r>
    </w:p>
    <w:p w14:paraId="2133F57D">
      <w:pPr>
        <w:widowControl w:val="0"/>
        <w:spacing w:after="0" w:line="360" w:lineRule="auto"/>
        <w:ind w:firstLine="480"/>
        <w:jc w:val="both"/>
        <w:rPr>
          <w:rFonts w:hint="eastAsia" w:ascii="宋体" w:hAnsi="宋体"/>
          <w:b/>
          <w:bCs/>
          <w:color w:val="auto"/>
          <w:sz w:val="32"/>
          <w:szCs w:val="32"/>
          <w:highlight w:val="none"/>
        </w:rPr>
      </w:pPr>
      <w:bookmarkStart w:id="38" w:name="OLE_LINK43"/>
      <w:bookmarkStart w:id="39" w:name="OLE_LINK44"/>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1.2.5</w:t>
      </w:r>
      <w:r>
        <w:rPr>
          <w:rFonts w:hint="eastAsia" w:ascii="宋体" w:hAnsi="宋体" w:eastAsia="宋体" w:cs="宋体"/>
          <w:color w:val="auto"/>
          <w:sz w:val="24"/>
          <w:szCs w:val="24"/>
          <w:highlight w:val="none"/>
        </w:rPr>
        <w:t>全自动砝码检定软件</w:t>
      </w:r>
      <w:bookmarkEnd w:id="38"/>
      <w:bookmarkEnd w:id="39"/>
      <w:r>
        <w:rPr>
          <w:rFonts w:hint="eastAsia" w:ascii="宋体" w:hAnsi="宋体" w:eastAsia="宋体" w:cs="宋体"/>
          <w:color w:val="auto"/>
          <w:sz w:val="24"/>
          <w:szCs w:val="24"/>
          <w:highlight w:val="none"/>
        </w:rPr>
        <w:t>可与我院业务管理系统无缝对接，扫码自动获取委托单和检品等信息，检定完成后自动</w:t>
      </w:r>
      <w:bookmarkStart w:id="40" w:name="OLE_LINK33"/>
      <w:bookmarkStart w:id="41" w:name="OLE_LINK34"/>
      <w:r>
        <w:rPr>
          <w:rFonts w:hint="eastAsia" w:ascii="宋体" w:hAnsi="宋体" w:eastAsia="宋体" w:cs="宋体"/>
          <w:color w:val="auto"/>
          <w:sz w:val="24"/>
          <w:szCs w:val="24"/>
          <w:highlight w:val="none"/>
        </w:rPr>
        <w:t>把检品</w:t>
      </w:r>
      <w:bookmarkEnd w:id="40"/>
      <w:bookmarkEnd w:id="41"/>
      <w:r>
        <w:rPr>
          <w:rFonts w:hint="eastAsia" w:ascii="宋体" w:hAnsi="宋体" w:eastAsia="宋体" w:cs="宋体"/>
          <w:color w:val="auto"/>
          <w:sz w:val="24"/>
          <w:szCs w:val="24"/>
          <w:highlight w:val="none"/>
        </w:rPr>
        <w:t>信息、检定数据和检定结论发送到我院业务管理系统，生成对应的原始记录和检定证书。</w:t>
      </w:r>
      <w:bookmarkEnd w:id="10"/>
      <w:bookmarkEnd w:id="11"/>
    </w:p>
    <w:p w14:paraId="0A96A12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1.3配置要求：</w:t>
      </w:r>
    </w:p>
    <w:p w14:paraId="6C25C24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▲1.3.1协作机器手两台，用于在待检仓和比较仪之间搬运检定砝码和标准砝码。</w:t>
      </w:r>
    </w:p>
    <w:p w14:paraId="6027A62D">
      <w:pPr>
        <w:widowControl w:val="0"/>
        <w:spacing w:after="0" w:line="360" w:lineRule="auto"/>
        <w:ind w:firstLine="480"/>
        <w:jc w:val="both"/>
        <w:rPr>
          <w:rFonts w:hint="eastAsia" w:ascii="宋体" w:hAnsi="宋体" w:eastAsia="宋体" w:cs="宋体"/>
          <w:color w:val="auto"/>
          <w:sz w:val="24"/>
          <w:szCs w:val="24"/>
          <w:highlight w:val="none"/>
          <w:lang w:val="en-US" w:eastAsia="zh-CN"/>
        </w:rPr>
      </w:pPr>
      <w:bookmarkStart w:id="42" w:name="OLE_LINK22"/>
      <w:r>
        <w:rPr>
          <w:rFonts w:hint="eastAsia" w:ascii="宋体" w:hAnsi="宋体" w:eastAsia="宋体" w:cs="宋体"/>
          <w:color w:val="auto"/>
          <w:sz w:val="24"/>
          <w:szCs w:val="24"/>
          <w:highlight w:val="none"/>
          <w:lang w:val="en-US" w:eastAsia="zh-CN"/>
        </w:rPr>
        <w:t>1.3.2克组和毫克组计量工作间各一间，</w:t>
      </w:r>
      <w:bookmarkEnd w:id="42"/>
      <w:r>
        <w:rPr>
          <w:rFonts w:hint="eastAsia" w:ascii="宋体" w:hAnsi="宋体" w:eastAsia="宋体" w:cs="宋体"/>
          <w:color w:val="auto"/>
          <w:sz w:val="24"/>
          <w:szCs w:val="24"/>
          <w:highlight w:val="none"/>
          <w:lang w:val="en-US" w:eastAsia="zh-CN"/>
        </w:rPr>
        <w:t xml:space="preserve">工作间用于检定作业的空间。 </w:t>
      </w:r>
    </w:p>
    <w:p w14:paraId="291202F5">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1.3.3智能砝码仓工作间一套，封闭式待检工作间。</w:t>
      </w:r>
    </w:p>
    <w:p w14:paraId="12AFE786">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1.3.4独立的阻尼隔振平台，用于比较仪的减震。</w:t>
      </w:r>
    </w:p>
    <w:p w14:paraId="60BC3996">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1.3.5数采装置一台。</w:t>
      </w:r>
    </w:p>
    <w:p w14:paraId="65FBC8B4">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1.3.6内含全自动砝码检定软件一套。</w:t>
      </w:r>
    </w:p>
    <w:p w14:paraId="396F03BC">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2、滑行时间测量仪</w:t>
      </w:r>
    </w:p>
    <w:p w14:paraId="17206BB5">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2.1功能技术要求：</w:t>
      </w:r>
    </w:p>
    <w:p w14:paraId="0E18AE71">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★2.1.1测量方式：采用激光多普勒测量原理，激光非接触式测量，为了测量的精准、不打滑，不得采用接触式测量。</w:t>
      </w:r>
    </w:p>
    <w:p w14:paraId="51F3BB94">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2.1.2线速度测量范围：(5～100)km/h</w:t>
      </w:r>
    </w:p>
    <w:p w14:paraId="5019ADFA">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2.1.3速度测量误差：±0.1%</w:t>
      </w:r>
    </w:p>
    <w:p w14:paraId="5791B2DE">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★2.1.4速度显示分辨率：0.001km/h</w:t>
      </w:r>
    </w:p>
    <w:p w14:paraId="39A10CD2">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2.1.5工作距离：600mm±30mm </w:t>
      </w:r>
    </w:p>
    <w:p w14:paraId="64FC5EF1">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2.1.6滑行时间测量范围：(1～300)s</w:t>
      </w:r>
    </w:p>
    <w:p w14:paraId="2727F93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★2.1.7滑行时间测量误差：±3 ms</w:t>
      </w:r>
    </w:p>
    <w:p w14:paraId="29F0CF8E">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2.1.8电源/功耗：DC24V/20W</w:t>
      </w:r>
    </w:p>
    <w:p w14:paraId="0D46049B">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2.1.9径向跳动测量范围：(0～30)mm ；MPE：±0.035mm</w:t>
      </w:r>
    </w:p>
    <w:p w14:paraId="2FEA6A17">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2.1.10滑行时间测量主机接口资源丰富，提供激光非接触式测速测距传感器接口、USB、同步脉冲输入、蓝牙及校准检定接口；可外接激光脉冲传感器测量滚筒周⻓并换算直径，亦可接激光位移传感器检测滚筒径向圆跳动；同时具备扩展滑移率测量功能。</w:t>
      </w:r>
    </w:p>
    <w:p w14:paraId="504F4A33">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bookmarkStart w:id="43" w:name="OLE_LINK4"/>
      <w:r>
        <w:rPr>
          <w:rFonts w:hint="eastAsia" w:ascii="宋体" w:hAnsi="宋体" w:eastAsia="宋体" w:cs="宋体"/>
          <w:color w:val="auto"/>
          <w:sz w:val="24"/>
          <w:szCs w:val="24"/>
          <w:highlight w:val="none"/>
          <w:lang w:val="en-US" w:eastAsia="zh-CN"/>
        </w:rPr>
        <w:t>▲</w:t>
      </w:r>
      <w:bookmarkEnd w:id="43"/>
      <w:r>
        <w:rPr>
          <w:rFonts w:hint="eastAsia" w:ascii="宋体" w:hAnsi="宋体" w:eastAsia="宋体" w:cs="宋体"/>
          <w:color w:val="auto"/>
          <w:sz w:val="24"/>
          <w:szCs w:val="24"/>
          <w:highlight w:val="none"/>
          <w:lang w:val="en-US" w:eastAsia="zh-CN"/>
        </w:rPr>
        <w:t>2.1.11测量软件具有人机操作界面，通过与主机连接激光非接触式传感器测量数据的实时采集、分析、计算、测量记录存储、数据导出等功能。</w:t>
      </w:r>
    </w:p>
    <w:p w14:paraId="3E369203">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3、实验室版压力表检定装置</w:t>
      </w:r>
    </w:p>
    <w:p w14:paraId="7CD39AD1">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3.1功能技术要求：</w:t>
      </w:r>
    </w:p>
    <w:p w14:paraId="293D9BC9">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★3.1.1测量范围：（0～7）MPa；</w:t>
      </w:r>
    </w:p>
    <w:p w14:paraId="3B0AA91C">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3.1.2工作介质：洁净的空气；</w:t>
      </w:r>
    </w:p>
    <w:p w14:paraId="5228BFF5">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3.1.3接口配置： </w:t>
      </w:r>
    </w:p>
    <w:p w14:paraId="55A29267">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★A：总输出接口≥5 个，支持同时连接 4 块被检压力表 + 1 块标准压力表并行检定；</w:t>
      </w:r>
    </w:p>
    <w:p w14:paraId="33FD8637">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★B：配置4 个 M20×1.5 标准螺纹快速接头，接头具备90° 自由旋转功能，可适配轴向、径向压力表安装，快速装拆、密封可靠，无泄漏；</w:t>
      </w:r>
    </w:p>
    <w:p w14:paraId="3566EB5E">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3.1.4控压操作：集成加压阀、精密泄压阀、压力微调阀三位一体控制，实现快速升压、平稳卸压、高精度压力微调；</w:t>
      </w:r>
    </w:p>
    <w:p w14:paraId="3A36A970">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3.1.5主体材质：采用304 不锈钢阀体、管路及接头，耐腐蚀、耐高压，使用寿命长；</w:t>
      </w:r>
    </w:p>
    <w:p w14:paraId="48143BD4">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3.1.6底座结构：固定式实验室台面安装结构，重心稳定，操作高度符合人体工学；</w:t>
      </w:r>
    </w:p>
    <w:p w14:paraId="5D77A7FB">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3.1.7过载保护：具备压力过载保护功能，防止超压损坏标准表与被检表；</w:t>
      </w:r>
    </w:p>
    <w:p w14:paraId="1F3972D8">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3.1.8快速泄压：泄压阀全开可实现快速卸压，卸压时间≤3 秒；</w:t>
      </w:r>
    </w:p>
    <w:p w14:paraId="5883515D">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3.1.9独立控制：各输出接口气路互不干扰，可单独启停检定，不影响其他接口；</w:t>
      </w:r>
    </w:p>
    <w:p w14:paraId="47931515">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3.1.10安装适配：快速接头兼容M20×1.5 螺纹压力表，适配 0～6MPa 量程普通压力表、精密压力表检定。</w:t>
      </w:r>
    </w:p>
    <w:p w14:paraId="7E37FAD2">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4.压力发生器</w:t>
      </w:r>
    </w:p>
    <w:p w14:paraId="3B4B2A0A">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w:t>
      </w:r>
      <w:bookmarkStart w:id="44" w:name="OLE_LINK3"/>
      <w:r>
        <w:rPr>
          <w:rFonts w:hint="eastAsia" w:ascii="宋体" w:hAnsi="宋体" w:eastAsia="宋体" w:cs="宋体"/>
          <w:color w:val="auto"/>
          <w:sz w:val="24"/>
          <w:szCs w:val="24"/>
          <w:highlight w:val="none"/>
          <w:lang w:val="en-US" w:eastAsia="zh-CN"/>
        </w:rPr>
        <w:t>功能技术要求：</w:t>
      </w:r>
      <w:bookmarkEnd w:id="44"/>
    </w:p>
    <w:p w14:paraId="338E6CC1">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4.1.1造压介质：洁净的空气；</w:t>
      </w:r>
    </w:p>
    <w:p w14:paraId="37FBD746">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★4.1.2造压范围：（0～7）MPa ；</w:t>
      </w:r>
    </w:p>
    <w:p w14:paraId="5AAED48C">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4.1.3造压系统：内置一体式静音四缸高压气泵，无外接气源即可独立工作；</w:t>
      </w:r>
    </w:p>
    <w:p w14:paraId="4C08583C">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★4.1.4造压速度：0到3MPa ≤8秒；0到7MPa ≤50秒；</w:t>
      </w:r>
    </w:p>
    <w:p w14:paraId="2996A4B1">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4.1.5造压模式：支持高 / 中 / 低三档压力模式，适配不同量程压力表快速检定；</w:t>
      </w:r>
    </w:p>
    <w:p w14:paraId="45DF163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4.1.6工作电源：AC220V±10%，50Hz；</w:t>
      </w:r>
    </w:p>
    <w:p w14:paraId="4EBC8465">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4.1.7噪音水平：整机运行噪音 ≤55dB；</w:t>
      </w:r>
    </w:p>
    <w:p w14:paraId="0771234A">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4.1.8工作温度：（0～50）℃；</w:t>
      </w:r>
    </w:p>
    <w:p w14:paraId="3988A230">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4.1.9存储温度：（-20～60）℃；</w:t>
      </w:r>
    </w:p>
    <w:p w14:paraId="4B01FFB9">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5、隔膜压力表工装</w:t>
      </w:r>
    </w:p>
    <w:p w14:paraId="2119D0BA">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5.1功能技术要求：</w:t>
      </w:r>
    </w:p>
    <w:p w14:paraId="7E7967B1">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★5.1.1适用类型：量程（0～6）MPa的各类卫生型隔膜压力表、法兰型隔膜压力表；</w:t>
      </w:r>
    </w:p>
    <w:p w14:paraId="3AA5279D">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★5.1.2法兰直径范围：φ50mm～φ185mm，最大承载力为100kN；</w:t>
      </w:r>
    </w:p>
    <w:p w14:paraId="42F4EBC9">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▲5.1.3框架结构：工装应采用立柱框架结构，具有快速调节高度的功能用于快速适配各类厚度的法兰，底部有气驱上浮顶块顶住法兰底部从而保障检定时的密封性，有加压、卸压旋钮；</w:t>
      </w:r>
    </w:p>
    <w:p w14:paraId="2ED4DDDB">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5.1.4主体材质：承压部件采用304不锈钢，耐腐蚀、耐清洗；</w:t>
      </w:r>
    </w:p>
    <w:p w14:paraId="724598D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5.1.5安全防护：具备防松脱、防过压、防泄漏结构设计，检定过程安全可靠；</w:t>
      </w:r>
    </w:p>
    <w:p w14:paraId="6CA6BB54">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5.2压力控制与接口配置要求：</w:t>
      </w:r>
    </w:p>
    <w:p w14:paraId="16DE7F7A">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5.2.1压力控制组件：集成加压阀、精密泄压阀、精密微调阀，实现平稳升压、精细稳压、快速卸压；</w:t>
      </w:r>
    </w:p>
    <w:p w14:paraId="12827A55">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5.2.2标准表接口：配置1 个标准压力输出接口，专用安装标准压力表；</w:t>
      </w:r>
    </w:p>
    <w:p w14:paraId="6759254A">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5.2.3被检表接口：1 工位，法兰 / 卫生型快速装夹，定位精准、装夹牢固。</w:t>
      </w:r>
    </w:p>
    <w:p w14:paraId="36DEE4BA">
      <w:pPr>
        <w:widowControl w:val="0"/>
        <w:spacing w:after="0"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6、便携式压力表检定装置</w:t>
      </w:r>
    </w:p>
    <w:p w14:paraId="13EABC5C">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6.1功能技术要求：</w:t>
      </w:r>
    </w:p>
    <w:p w14:paraId="3E271C11">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6.1.1功能：便携式压力检定装置，内置压力源、标准表、两个被检表接口、加压泄压阀、微调旋钮和锂电池等，用于现场快速检定多块压力表；</w:t>
      </w:r>
    </w:p>
    <w:p w14:paraId="12644A28">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6.1.2造压范围：（0～7）MPa ；</w:t>
      </w:r>
    </w:p>
    <w:p w14:paraId="46B7AA55">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★6.1.3压力源：四缸高压电动气泵，自动升压、自动稳压；介质为空气；</w:t>
      </w:r>
    </w:p>
    <w:p w14:paraId="4AA37C3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★6.1.4造压速度：0到3MPa ≤15秒，0到7MPa ≤60秒；</w:t>
      </w:r>
    </w:p>
    <w:p w14:paraId="4F305666">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6.1.5设备配置1个数字压力计，量程（0～6）MPa，精度0.02级；</w:t>
      </w:r>
    </w:p>
    <w:p w14:paraId="4DEA49E0">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★6.1.6检定能力：设备本体可同时检定 2 块被检表，并有压力输出口，可同时增加两块压力表检定能力；</w:t>
      </w:r>
    </w:p>
    <w:p w14:paraId="087DB46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6.1.7控制模式：集成加压阀、泄压阀，实现平稳升压、快速卸压；配备微调阀，便于精准控压；</w:t>
      </w:r>
    </w:p>
    <w:p w14:paraId="7751D1D2">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★6.1.8接头：M20×1.5 快速接头，可 90° 旋转，适配轴向 / 径向压力表；接头均可快插快换、密封可靠、无泄漏、耐高压；</w:t>
      </w:r>
    </w:p>
    <w:p w14:paraId="67CA0159">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6.1.9量程切换：根据被检表量程，一键切换气源压力值；</w:t>
      </w:r>
    </w:p>
    <w:p w14:paraId="02D1E8BC">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6.1.10高清液晶屏实时显示压力、电量、运行状态；</w:t>
      </w:r>
    </w:p>
    <w:p w14:paraId="219CBCB6">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6.1.11供电方式：内置大容量锂电池，电池容量不小于35000mAh（3.5 万毫安时），支持 220V 充电，支持边充边用；</w:t>
      </w:r>
    </w:p>
    <w:p w14:paraId="07F8FFA7">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6.1.12续航能力：满电可连续检定压力表≥120 块；</w:t>
      </w:r>
    </w:p>
    <w:p w14:paraId="0774728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★6.1.13尺寸：不大于370×260×230mm；</w:t>
      </w:r>
    </w:p>
    <w:p w14:paraId="49494A79">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★6.1.14主机重量不大于13kg（不含拓展工装）；</w:t>
      </w:r>
    </w:p>
    <w:p w14:paraId="0C7877B7">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6.1.15噪音：运行噪音 ≤65dB(A)。</w:t>
      </w:r>
    </w:p>
    <w:p w14:paraId="05412D26">
      <w:pPr>
        <w:keepNext w:val="0"/>
        <w:keepLines w:val="0"/>
        <w:pageBreakBefore w:val="0"/>
        <w:widowControl/>
        <w:kinsoku/>
        <w:wordWrap/>
        <w:overflowPunct/>
        <w:topLinePunct w:val="0"/>
        <w:autoSpaceDE/>
        <w:autoSpaceDN/>
        <w:bidi w:val="0"/>
        <w:adjustRightInd/>
        <w:snapToGrid/>
        <w:spacing w:after="200" w:line="58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（四）采购标的的数量、采购项目交付或者实施的时间和地点：</w:t>
      </w:r>
    </w:p>
    <w:p w14:paraId="4968DF45">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1、采购数量：</w:t>
      </w:r>
    </w:p>
    <w:p w14:paraId="7A0F5BF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克组砝码自动检定装置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1台</w:t>
      </w:r>
    </w:p>
    <w:p w14:paraId="6BE0BE4A">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滑行时间测量仪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1台</w:t>
      </w:r>
    </w:p>
    <w:p w14:paraId="51E2B5DC">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实验室版压力表检定装置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5套</w:t>
      </w:r>
    </w:p>
    <w:p w14:paraId="3AAFD675">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压力发生器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2台</w:t>
      </w:r>
    </w:p>
    <w:p w14:paraId="20EF5669">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隔膜压力表工装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3台</w:t>
      </w:r>
    </w:p>
    <w:p w14:paraId="6DF48ED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便携式压力表检定装置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3套</w:t>
      </w:r>
    </w:p>
    <w:p w14:paraId="2477BB87">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2、质保期：1年</w:t>
      </w:r>
      <w:r>
        <w:rPr>
          <w:rFonts w:hint="eastAsia" w:ascii="宋体" w:hAnsi="宋体"/>
          <w:bCs/>
          <w:color w:val="auto"/>
          <w:sz w:val="24"/>
          <w:highlight w:val="none"/>
        </w:rPr>
        <w:t>（自终验收双方签署终验收报告之日起开始计算）。</w:t>
      </w:r>
    </w:p>
    <w:p w14:paraId="134F5D58">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3、付款方式：</w:t>
      </w:r>
      <w:r>
        <w:rPr>
          <w:rFonts w:hint="eastAsia" w:ascii="宋体" w:hAnsi="宋体" w:eastAsia="宋体" w:cs="宋体"/>
          <w:bCs/>
          <w:color w:val="auto"/>
          <w:sz w:val="24"/>
          <w:szCs w:val="24"/>
          <w:highlight w:val="none"/>
        </w:rPr>
        <w:t>合同签订生效后30日内，支付总货款的30%；货到验收合格交付需</w:t>
      </w:r>
      <w:r>
        <w:rPr>
          <w:rFonts w:hint="eastAsia" w:ascii="宋体" w:hAnsi="宋体" w:eastAsia="宋体" w:cs="宋体"/>
          <w:color w:val="auto"/>
          <w:sz w:val="24"/>
          <w:szCs w:val="24"/>
          <w:highlight w:val="none"/>
          <w:lang w:val="en-US" w:eastAsia="zh-CN"/>
        </w:rPr>
        <w:t>方使用，供方提供增值税专用发票后30日内支付剩余尾款。</w:t>
      </w:r>
    </w:p>
    <w:p w14:paraId="02DC730F">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4、交货期：合同签订生效后6个月内，完成供货、安装、调试，交付买方使用。</w:t>
      </w:r>
    </w:p>
    <w:p w14:paraId="0038171E">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5、本项目实施地点：无锡市春新东路8号西大楼。</w:t>
      </w:r>
    </w:p>
    <w:p w14:paraId="57842D92">
      <w:pPr>
        <w:keepNext w:val="0"/>
        <w:keepLines w:val="0"/>
        <w:pageBreakBefore w:val="0"/>
        <w:widowControl/>
        <w:kinsoku/>
        <w:wordWrap/>
        <w:overflowPunct/>
        <w:topLinePunct w:val="0"/>
        <w:autoSpaceDE/>
        <w:autoSpaceDN/>
        <w:bidi w:val="0"/>
        <w:adjustRightInd/>
        <w:snapToGrid/>
        <w:spacing w:after="200" w:line="58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（五）采购标的的其他技术、服务等要求：</w:t>
      </w:r>
    </w:p>
    <w:p w14:paraId="5F10C1F9">
      <w:pPr>
        <w:widowControl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w:t>
      </w:r>
    </w:p>
    <w:p w14:paraId="06858F62">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p>
    <w:p w14:paraId="07A59E19">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第四部分</w:t>
      </w:r>
      <w:r>
        <w:rPr>
          <w:rFonts w:hint="eastAsia" w:ascii="宋体" w:hAnsi="宋体"/>
          <w:b/>
          <w:bCs/>
          <w:color w:val="auto"/>
          <w:sz w:val="32"/>
          <w:szCs w:val="32"/>
          <w:highlight w:val="none"/>
          <w:lang w:val="en-US" w:eastAsia="zh-CN"/>
        </w:rPr>
        <w:t>.</w:t>
      </w:r>
      <w:r>
        <w:rPr>
          <w:rFonts w:hint="eastAsia" w:ascii="宋体" w:hAnsi="宋体"/>
          <w:b/>
          <w:bCs/>
          <w:color w:val="auto"/>
          <w:sz w:val="32"/>
          <w:szCs w:val="32"/>
          <w:highlight w:val="none"/>
        </w:rPr>
        <w:t>合同书（格式）</w:t>
      </w:r>
    </w:p>
    <w:p w14:paraId="1EEFF7B0">
      <w:pPr>
        <w:spacing w:line="360" w:lineRule="auto"/>
        <w:jc w:val="center"/>
        <w:rPr>
          <w:rFonts w:ascii="宋体" w:hAnsi="宋体"/>
          <w:bCs/>
          <w:color w:val="auto"/>
          <w:sz w:val="28"/>
          <w:szCs w:val="28"/>
          <w:highlight w:val="none"/>
        </w:rPr>
      </w:pPr>
      <w:r>
        <w:rPr>
          <w:rFonts w:hint="eastAsia" w:ascii="宋体" w:hAnsi="宋体"/>
          <w:b/>
          <w:color w:val="auto"/>
          <w:sz w:val="28"/>
          <w:szCs w:val="28"/>
          <w:highlight w:val="none"/>
        </w:rPr>
        <w:t>合同书</w:t>
      </w:r>
    </w:p>
    <w:p w14:paraId="1FB06280">
      <w:pPr>
        <w:spacing w:after="0" w:line="360" w:lineRule="auto"/>
        <w:rPr>
          <w:rFonts w:ascii="宋体" w:hAnsi="宋体"/>
          <w:bCs/>
          <w:color w:val="auto"/>
          <w:sz w:val="24"/>
          <w:highlight w:val="none"/>
          <w:u w:val="single"/>
        </w:rPr>
      </w:pPr>
      <w:r>
        <w:rPr>
          <w:rFonts w:hint="eastAsia" w:ascii="宋体" w:hAnsi="宋体"/>
          <w:bCs/>
          <w:color w:val="auto"/>
          <w:sz w:val="24"/>
          <w:highlight w:val="none"/>
        </w:rPr>
        <w:t>需方（采购人）：</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p>
    <w:p w14:paraId="45C71EC9">
      <w:pPr>
        <w:spacing w:after="0" w:line="360" w:lineRule="auto"/>
        <w:rPr>
          <w:rFonts w:ascii="宋体" w:hAnsi="宋体"/>
          <w:bCs/>
          <w:color w:val="auto"/>
          <w:sz w:val="24"/>
          <w:highlight w:val="none"/>
          <w:u w:val="single"/>
        </w:rPr>
      </w:pPr>
      <w:r>
        <w:rPr>
          <w:rFonts w:hint="eastAsia" w:ascii="宋体" w:hAnsi="宋体"/>
          <w:bCs/>
          <w:color w:val="auto"/>
          <w:sz w:val="24"/>
          <w:highlight w:val="none"/>
        </w:rPr>
        <w:t>供方（中标方）：</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p>
    <w:p w14:paraId="19C69106">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政府采购编号：</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p>
    <w:p w14:paraId="4509830F">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采购内容：</w:t>
      </w:r>
      <w:r>
        <w:rPr>
          <w:rFonts w:ascii="宋体" w:hAnsi="宋体"/>
          <w:bCs/>
          <w:color w:val="auto"/>
          <w:sz w:val="24"/>
          <w:highlight w:val="none"/>
          <w:u w:val="single"/>
        </w:rPr>
        <w:t xml:space="preserve">                                                             </w:t>
      </w:r>
    </w:p>
    <w:p w14:paraId="083FFF19">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；（小写）</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p>
    <w:p w14:paraId="25B18175">
      <w:pPr>
        <w:numPr>
          <w:ilvl w:val="0"/>
          <w:numId w:val="6"/>
        </w:numPr>
        <w:tabs>
          <w:tab w:val="left" w:pos="210"/>
          <w:tab w:val="left" w:pos="840"/>
          <w:tab w:val="left" w:pos="1260"/>
        </w:tabs>
        <w:spacing w:after="0" w:line="360" w:lineRule="auto"/>
        <w:ind w:left="0" w:firstLine="523"/>
        <w:rPr>
          <w:rFonts w:ascii="宋体" w:hAnsi="宋体"/>
          <w:bCs/>
          <w:color w:val="auto"/>
          <w:sz w:val="24"/>
          <w:szCs w:val="24"/>
          <w:highlight w:val="none"/>
          <w:u w:val="single"/>
        </w:rPr>
      </w:pPr>
      <w:r>
        <w:rPr>
          <w:rFonts w:hint="eastAsia" w:ascii="宋体" w:hAnsi="宋体"/>
          <w:bCs/>
          <w:color w:val="auto"/>
          <w:sz w:val="24"/>
          <w:szCs w:val="24"/>
          <w:highlight w:val="none"/>
        </w:rPr>
        <w:t>采购数量：</w:t>
      </w:r>
      <w:r>
        <w:rPr>
          <w:rFonts w:hint="eastAsia" w:ascii="宋体" w:hAnsi="宋体"/>
          <w:bCs/>
          <w:color w:val="auto"/>
          <w:sz w:val="24"/>
          <w:szCs w:val="24"/>
          <w:highlight w:val="none"/>
          <w:u w:val="single"/>
        </w:rPr>
        <w:t xml:space="preserve">                                                             </w:t>
      </w:r>
    </w:p>
    <w:p w14:paraId="594756E2">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质量和包装要求及验收标准：</w:t>
      </w:r>
      <w:r>
        <w:rPr>
          <w:rFonts w:ascii="宋体" w:hAnsi="宋体"/>
          <w:bCs/>
          <w:color w:val="auto"/>
          <w:sz w:val="24"/>
          <w:highlight w:val="none"/>
          <w:u w:val="single"/>
        </w:rPr>
        <w:t xml:space="preserve">                                             </w:t>
      </w:r>
    </w:p>
    <w:p w14:paraId="411CD9A9">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交货期或完工期：</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合同签订生效后         日历天内  </w:t>
      </w:r>
      <w:r>
        <w:rPr>
          <w:rFonts w:ascii="宋体" w:hAnsi="宋体"/>
          <w:bCs/>
          <w:color w:val="auto"/>
          <w:sz w:val="24"/>
          <w:highlight w:val="none"/>
          <w:u w:val="single"/>
        </w:rPr>
        <w:t xml:space="preserve">                </w:t>
      </w:r>
    </w:p>
    <w:p w14:paraId="1D1F339A">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交货地点和方式：</w:t>
      </w:r>
      <w:r>
        <w:rPr>
          <w:rFonts w:ascii="宋体" w:hAnsi="宋体"/>
          <w:bCs/>
          <w:color w:val="auto"/>
          <w:sz w:val="24"/>
          <w:highlight w:val="none"/>
          <w:u w:val="single"/>
        </w:rPr>
        <w:t xml:space="preserve">                                                       </w:t>
      </w:r>
    </w:p>
    <w:p w14:paraId="7BEAABAB">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货款支付步骤和办法：</w:t>
      </w:r>
      <w:r>
        <w:rPr>
          <w:rFonts w:ascii="宋体" w:hAnsi="宋体"/>
          <w:bCs/>
          <w:color w:val="auto"/>
          <w:sz w:val="24"/>
          <w:highlight w:val="none"/>
          <w:u w:val="single"/>
        </w:rPr>
        <w:t xml:space="preserve">                                                   </w:t>
      </w:r>
    </w:p>
    <w:p w14:paraId="3C67F982">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售后服务：</w:t>
      </w:r>
      <w:r>
        <w:rPr>
          <w:rFonts w:ascii="宋体" w:hAnsi="宋体"/>
          <w:bCs/>
          <w:color w:val="auto"/>
          <w:sz w:val="24"/>
          <w:highlight w:val="none"/>
          <w:u w:val="single"/>
        </w:rPr>
        <w:t xml:space="preserve">                                                             </w:t>
      </w:r>
    </w:p>
    <w:p w14:paraId="18333E87">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违约责任：</w:t>
      </w:r>
      <w:r>
        <w:rPr>
          <w:rFonts w:ascii="宋体" w:hAnsi="宋体"/>
          <w:bCs/>
          <w:color w:val="auto"/>
          <w:sz w:val="24"/>
          <w:highlight w:val="none"/>
          <w:u w:val="single"/>
        </w:rPr>
        <w:t xml:space="preserve">                                                             </w:t>
      </w:r>
    </w:p>
    <w:p w14:paraId="1C968B0E">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color w:val="auto"/>
          <w:sz w:val="24"/>
          <w:highlight w:val="none"/>
        </w:rPr>
        <w:t>解决争议的方式：</w:t>
      </w:r>
      <w:r>
        <w:rPr>
          <w:rFonts w:ascii="宋体" w:hAnsi="宋体"/>
          <w:color w:val="auto"/>
          <w:sz w:val="24"/>
          <w:highlight w:val="none"/>
          <w:u w:val="single"/>
        </w:rPr>
        <w:t xml:space="preserve">                                                       </w:t>
      </w:r>
    </w:p>
    <w:p w14:paraId="242F0ADF">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lang w:eastAsia="zh-CN"/>
        </w:rPr>
        <w:t>其他</w:t>
      </w:r>
      <w:r>
        <w:rPr>
          <w:rFonts w:hint="eastAsia" w:ascii="宋体" w:hAnsi="宋体"/>
          <w:bCs/>
          <w:color w:val="auto"/>
          <w:sz w:val="24"/>
          <w:highlight w:val="none"/>
        </w:rPr>
        <w:t>事项：</w:t>
      </w:r>
      <w:r>
        <w:rPr>
          <w:rFonts w:ascii="宋体" w:hAnsi="宋体"/>
          <w:bCs/>
          <w:color w:val="auto"/>
          <w:sz w:val="24"/>
          <w:highlight w:val="none"/>
          <w:u w:val="single"/>
        </w:rPr>
        <w:t xml:space="preserve">                                                             </w:t>
      </w:r>
    </w:p>
    <w:p w14:paraId="4055FA6F">
      <w:pPr>
        <w:numPr>
          <w:ilvl w:val="0"/>
          <w:numId w:val="6"/>
        </w:numPr>
        <w:tabs>
          <w:tab w:val="left" w:pos="210"/>
          <w:tab w:val="left" w:pos="840"/>
          <w:tab w:val="left" w:pos="1260"/>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合同不可分割部分：</w:t>
      </w:r>
    </w:p>
    <w:p w14:paraId="3DDC0C77">
      <w:pPr>
        <w:tabs>
          <w:tab w:val="left" w:pos="210"/>
          <w:tab w:val="left" w:pos="42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rPr>
        <w:t>招标文件、投标文件、合同条款及中标通知书，供方在投标、评标过程中所作其它有关承诺、声明、书面澄清等均为合同不可分割的部分，与主合同具有同等法律效力。</w:t>
      </w:r>
    </w:p>
    <w:p w14:paraId="586B569A">
      <w:pPr>
        <w:numPr>
          <w:ilvl w:val="0"/>
          <w:numId w:val="6"/>
        </w:numPr>
        <w:tabs>
          <w:tab w:val="left" w:pos="210"/>
          <w:tab w:val="left" w:pos="840"/>
          <w:tab w:val="left" w:pos="1155"/>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合同备案：</w:t>
      </w:r>
    </w:p>
    <w:p w14:paraId="3C4EC1AD">
      <w:pPr>
        <w:tabs>
          <w:tab w:val="left" w:pos="210"/>
          <w:tab w:val="left" w:pos="735"/>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rPr>
        <w:t>合同一式四份，供需双方各执二份。</w:t>
      </w:r>
    </w:p>
    <w:p w14:paraId="42D14653">
      <w:pPr>
        <w:numPr>
          <w:ilvl w:val="0"/>
          <w:numId w:val="6"/>
        </w:numPr>
        <w:tabs>
          <w:tab w:val="left" w:pos="210"/>
          <w:tab w:val="left" w:pos="840"/>
          <w:tab w:val="left" w:pos="1155"/>
        </w:tabs>
        <w:spacing w:after="0" w:line="360" w:lineRule="auto"/>
        <w:ind w:left="0" w:firstLine="523"/>
        <w:rPr>
          <w:rFonts w:ascii="宋体" w:hAnsi="宋体"/>
          <w:bCs/>
          <w:color w:val="auto"/>
          <w:sz w:val="24"/>
          <w:highlight w:val="none"/>
        </w:rPr>
      </w:pPr>
      <w:r>
        <w:rPr>
          <w:rFonts w:hint="eastAsia" w:ascii="宋体" w:hAnsi="宋体"/>
          <w:bCs/>
          <w:color w:val="auto"/>
          <w:sz w:val="24"/>
          <w:highlight w:val="none"/>
        </w:rPr>
        <w:t>合同生效：</w:t>
      </w:r>
    </w:p>
    <w:p w14:paraId="5AB369E2">
      <w:pPr>
        <w:tabs>
          <w:tab w:val="left" w:pos="210"/>
          <w:tab w:val="left" w:pos="84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rPr>
        <w:t>本合同由供需双方签字、盖章后生效。</w:t>
      </w:r>
    </w:p>
    <w:p w14:paraId="587A3F59">
      <w:pPr>
        <w:tabs>
          <w:tab w:val="left" w:pos="210"/>
          <w:tab w:val="left" w:pos="840"/>
          <w:tab w:val="left" w:pos="1155"/>
        </w:tabs>
        <w:spacing w:after="0" w:line="360" w:lineRule="auto"/>
        <w:rPr>
          <w:rFonts w:ascii="宋体" w:hAnsi="宋体"/>
          <w:bCs/>
          <w:color w:val="auto"/>
          <w:sz w:val="24"/>
          <w:highlight w:val="none"/>
        </w:rPr>
      </w:pPr>
    </w:p>
    <w:p w14:paraId="2C6A7AD1">
      <w:pPr>
        <w:spacing w:after="0" w:line="360" w:lineRule="auto"/>
        <w:rPr>
          <w:rFonts w:ascii="宋体" w:hAnsi="宋体"/>
          <w:bCs/>
          <w:color w:val="auto"/>
          <w:sz w:val="24"/>
          <w:highlight w:val="none"/>
          <w:u w:val="single"/>
        </w:rPr>
      </w:pPr>
      <w:r>
        <w:rPr>
          <w:rFonts w:hint="eastAsia" w:ascii="宋体" w:hAnsi="宋体"/>
          <w:bCs/>
          <w:color w:val="auto"/>
          <w:sz w:val="24"/>
          <w:highlight w:val="none"/>
        </w:rPr>
        <w:t>需方（采购人）：</w:t>
      </w:r>
      <w:r>
        <w:rPr>
          <w:rFonts w:ascii="宋体" w:hAnsi="宋体"/>
          <w:bCs/>
          <w:color w:val="auto"/>
          <w:sz w:val="24"/>
          <w:highlight w:val="none"/>
          <w:u w:val="single"/>
        </w:rPr>
        <w:t xml:space="preserve">           </w:t>
      </w:r>
      <w:r>
        <w:rPr>
          <w:rFonts w:hint="eastAsia" w:ascii="宋体" w:hAnsi="宋体"/>
          <w:bCs/>
          <w:color w:val="auto"/>
          <w:sz w:val="24"/>
          <w:highlight w:val="none"/>
        </w:rPr>
        <w:t>（盖章）</w:t>
      </w:r>
      <w:r>
        <w:rPr>
          <w:rFonts w:ascii="宋体" w:hAnsi="宋体"/>
          <w:bCs/>
          <w:color w:val="auto"/>
          <w:sz w:val="24"/>
          <w:highlight w:val="none"/>
        </w:rPr>
        <w:t xml:space="preserve">   </w:t>
      </w:r>
      <w:r>
        <w:rPr>
          <w:rFonts w:hint="eastAsia" w:ascii="宋体" w:hAnsi="宋体"/>
          <w:bCs/>
          <w:color w:val="auto"/>
          <w:sz w:val="24"/>
          <w:highlight w:val="none"/>
        </w:rPr>
        <w:t>供方（中标方）：</w:t>
      </w:r>
      <w:r>
        <w:rPr>
          <w:rFonts w:ascii="宋体" w:hAnsi="宋体"/>
          <w:bCs/>
          <w:color w:val="auto"/>
          <w:sz w:val="24"/>
          <w:highlight w:val="none"/>
          <w:u w:val="single"/>
        </w:rPr>
        <w:t xml:space="preserve">            </w:t>
      </w:r>
      <w:r>
        <w:rPr>
          <w:rFonts w:hint="eastAsia" w:ascii="宋体" w:hAnsi="宋体"/>
          <w:bCs/>
          <w:color w:val="auto"/>
          <w:sz w:val="24"/>
          <w:highlight w:val="none"/>
        </w:rPr>
        <w:t>（盖章）</w:t>
      </w:r>
    </w:p>
    <w:p w14:paraId="098A38B0">
      <w:pPr>
        <w:spacing w:after="0" w:line="360" w:lineRule="auto"/>
        <w:rPr>
          <w:rFonts w:ascii="宋体" w:hAnsi="宋体"/>
          <w:bCs/>
          <w:color w:val="auto"/>
          <w:sz w:val="24"/>
          <w:highlight w:val="none"/>
          <w:u w:val="single"/>
        </w:rPr>
      </w:pPr>
      <w:r>
        <w:rPr>
          <w:rFonts w:hint="eastAsia" w:ascii="宋体" w:hAnsi="宋体"/>
          <w:bCs/>
          <w:color w:val="auto"/>
          <w:sz w:val="24"/>
          <w:highlight w:val="none"/>
        </w:rPr>
        <w:t>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法定（授权）代表人：</w:t>
      </w:r>
      <w:r>
        <w:rPr>
          <w:rFonts w:ascii="宋体" w:hAnsi="宋体"/>
          <w:bCs/>
          <w:color w:val="auto"/>
          <w:sz w:val="24"/>
          <w:highlight w:val="none"/>
          <w:u w:val="single"/>
        </w:rPr>
        <w:t xml:space="preserve">                   </w:t>
      </w:r>
    </w:p>
    <w:p w14:paraId="477714F8">
      <w:pPr>
        <w:spacing w:after="0" w:line="360" w:lineRule="auto"/>
        <w:rPr>
          <w:rFonts w:ascii="宋体" w:hAnsi="宋体"/>
          <w:bCs/>
          <w:color w:val="auto"/>
          <w:sz w:val="24"/>
          <w:highlight w:val="none"/>
          <w:u w:val="single"/>
        </w:rPr>
      </w:pPr>
      <w:r>
        <w:rPr>
          <w:rFonts w:hint="eastAsia" w:ascii="宋体" w:hAnsi="宋体"/>
          <w:bCs/>
          <w:color w:val="auto"/>
          <w:sz w:val="24"/>
          <w:szCs w:val="24"/>
          <w:highlight w:val="none"/>
        </w:rPr>
        <w:t>地址：</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地址：</w:t>
      </w:r>
      <w:r>
        <w:rPr>
          <w:rFonts w:hint="eastAsia" w:ascii="宋体" w:hAnsi="宋体"/>
          <w:bCs/>
          <w:color w:val="auto"/>
          <w:sz w:val="24"/>
          <w:szCs w:val="24"/>
          <w:highlight w:val="none"/>
          <w:u w:val="single"/>
        </w:rPr>
        <w:t xml:space="preserve">                               </w:t>
      </w:r>
    </w:p>
    <w:p w14:paraId="55F700CF">
      <w:pPr>
        <w:spacing w:after="0" w:line="360" w:lineRule="auto"/>
        <w:rPr>
          <w:rFonts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年</w:t>
      </w:r>
      <w:r>
        <w:rPr>
          <w:rFonts w:ascii="宋体" w:hAnsi="宋体"/>
          <w:bCs/>
          <w:color w:val="auto"/>
          <w:sz w:val="24"/>
          <w:highlight w:val="none"/>
          <w:u w:val="single"/>
        </w:rPr>
        <w:t xml:space="preserve">      </w:t>
      </w:r>
      <w:r>
        <w:rPr>
          <w:rFonts w:hint="eastAsia" w:ascii="宋体" w:hAnsi="宋体"/>
          <w:bCs/>
          <w:color w:val="auto"/>
          <w:sz w:val="24"/>
          <w:highlight w:val="none"/>
        </w:rPr>
        <w:t>月</w:t>
      </w:r>
      <w:r>
        <w:rPr>
          <w:rFonts w:ascii="宋体" w:hAnsi="宋体"/>
          <w:bCs/>
          <w:color w:val="auto"/>
          <w:sz w:val="24"/>
          <w:highlight w:val="none"/>
          <w:u w:val="single"/>
        </w:rPr>
        <w:t xml:space="preserve">       </w:t>
      </w:r>
      <w:r>
        <w:rPr>
          <w:rFonts w:hint="eastAsia" w:ascii="宋体" w:hAnsi="宋体"/>
          <w:bCs/>
          <w:color w:val="auto"/>
          <w:sz w:val="24"/>
          <w:highlight w:val="none"/>
        </w:rPr>
        <w:t>日</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年</w:t>
      </w:r>
      <w:r>
        <w:rPr>
          <w:rFonts w:ascii="宋体" w:hAnsi="宋体"/>
          <w:bCs/>
          <w:color w:val="auto"/>
          <w:sz w:val="24"/>
          <w:highlight w:val="none"/>
          <w:u w:val="single"/>
        </w:rPr>
        <w:t xml:space="preserve">      </w:t>
      </w:r>
      <w:r>
        <w:rPr>
          <w:rFonts w:hint="eastAsia" w:ascii="宋体" w:hAnsi="宋体"/>
          <w:bCs/>
          <w:color w:val="auto"/>
          <w:sz w:val="24"/>
          <w:highlight w:val="none"/>
        </w:rPr>
        <w:t>月</w:t>
      </w:r>
      <w:r>
        <w:rPr>
          <w:rFonts w:ascii="宋体" w:hAnsi="宋体"/>
          <w:bCs/>
          <w:color w:val="auto"/>
          <w:sz w:val="24"/>
          <w:highlight w:val="none"/>
          <w:u w:val="single"/>
        </w:rPr>
        <w:t xml:space="preserve">       </w:t>
      </w:r>
      <w:r>
        <w:rPr>
          <w:rFonts w:hint="eastAsia" w:ascii="宋体" w:hAnsi="宋体"/>
          <w:bCs/>
          <w:color w:val="auto"/>
          <w:sz w:val="24"/>
          <w:highlight w:val="none"/>
        </w:rPr>
        <w:t>日</w:t>
      </w:r>
    </w:p>
    <w:p w14:paraId="7C526C87">
      <w:pPr>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                                          供方户名：</w:t>
      </w:r>
      <w:r>
        <w:rPr>
          <w:rFonts w:ascii="宋体" w:hAnsi="宋体"/>
          <w:bCs/>
          <w:color w:val="auto"/>
          <w:sz w:val="24"/>
          <w:highlight w:val="none"/>
          <w:u w:val="single"/>
        </w:rPr>
        <w:t xml:space="preserve">                             </w:t>
      </w:r>
    </w:p>
    <w:p w14:paraId="4E5A5F67">
      <w:pPr>
        <w:spacing w:after="0" w:line="360" w:lineRule="auto"/>
        <w:rPr>
          <w:rFonts w:ascii="宋体" w:hAnsi="宋体"/>
          <w:bCs/>
          <w:color w:val="auto"/>
          <w:sz w:val="24"/>
          <w:highlight w:val="none"/>
          <w:u w:val="single"/>
        </w:rPr>
      </w:pPr>
      <w:r>
        <w:rPr>
          <w:rFonts w:ascii="宋体" w:hAnsi="宋体"/>
          <w:bCs/>
          <w:color w:val="auto"/>
          <w:sz w:val="24"/>
          <w:highlight w:val="none"/>
        </w:rPr>
        <w:t xml:space="preserve">                     </w:t>
      </w:r>
      <w:r>
        <w:rPr>
          <w:rFonts w:hint="eastAsia" w:ascii="宋体" w:hAnsi="宋体"/>
          <w:bCs/>
          <w:color w:val="auto"/>
          <w:sz w:val="24"/>
          <w:highlight w:val="none"/>
        </w:rPr>
        <w:t xml:space="preserve">                     供方开户银行：</w:t>
      </w:r>
      <w:r>
        <w:rPr>
          <w:rFonts w:ascii="宋体" w:hAnsi="宋体"/>
          <w:bCs/>
          <w:color w:val="auto"/>
          <w:sz w:val="24"/>
          <w:highlight w:val="none"/>
          <w:u w:val="single"/>
        </w:rPr>
        <w:t xml:space="preserve">                         </w:t>
      </w:r>
    </w:p>
    <w:p w14:paraId="2AF2B413">
      <w:pPr>
        <w:spacing w:after="0" w:line="360" w:lineRule="auto"/>
        <w:rPr>
          <w:rFonts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供方账号：</w:t>
      </w:r>
      <w:r>
        <w:rPr>
          <w:rFonts w:ascii="宋体" w:hAnsi="宋体"/>
          <w:bCs/>
          <w:color w:val="auto"/>
          <w:sz w:val="24"/>
          <w:highlight w:val="none"/>
          <w:u w:val="single"/>
        </w:rPr>
        <w:t xml:space="preserve">                             </w:t>
      </w:r>
    </w:p>
    <w:p w14:paraId="0213C5A8">
      <w:pPr>
        <w:spacing w:after="0" w:line="360" w:lineRule="auto"/>
        <w:rPr>
          <w:rFonts w:ascii="宋体" w:hAnsi="宋体"/>
          <w:bCs/>
          <w:color w:val="auto"/>
          <w:sz w:val="28"/>
          <w:szCs w:val="28"/>
          <w:highlight w:val="none"/>
        </w:rPr>
      </w:pPr>
      <w:r>
        <w:rPr>
          <w:rFonts w:hint="eastAsia" w:ascii="宋体" w:hAnsi="宋体"/>
          <w:bCs/>
          <w:color w:val="auto"/>
          <w:sz w:val="24"/>
          <w:highlight w:val="none"/>
        </w:rPr>
        <w:t>★</w:t>
      </w:r>
      <w:r>
        <w:rPr>
          <w:rFonts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供需双方必须以本格式文本，按照合同条款拟订合同。</w:t>
      </w:r>
      <w:bookmarkStart w:id="45" w:name="五．合同条款"/>
      <w:bookmarkEnd w:id="45"/>
    </w:p>
    <w:p w14:paraId="2A6CCBFF">
      <w:pPr>
        <w:spacing w:line="360" w:lineRule="auto"/>
        <w:jc w:val="center"/>
        <w:rPr>
          <w:rFonts w:ascii="黑体" w:hAnsi="黑体" w:eastAsia="黑体"/>
          <w:bCs/>
          <w:color w:val="auto"/>
          <w:sz w:val="28"/>
          <w:szCs w:val="28"/>
          <w:highlight w:val="none"/>
          <w:lang w:val="de-DE"/>
        </w:rPr>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合同条款</w:t>
      </w:r>
    </w:p>
    <w:p w14:paraId="7E289057">
      <w:pPr>
        <w:spacing w:after="0" w:line="360" w:lineRule="auto"/>
        <w:ind w:firstLine="480"/>
        <w:rPr>
          <w:rFonts w:ascii="宋体" w:hAnsi="宋体"/>
          <w:bCs/>
          <w:color w:val="auto"/>
          <w:sz w:val="24"/>
          <w:highlight w:val="none"/>
        </w:rPr>
      </w:pPr>
      <w:r>
        <w:rPr>
          <w:rFonts w:hint="eastAsia" w:ascii="宋体" w:hAnsi="宋体"/>
          <w:bCs/>
          <w:color w:val="auto"/>
          <w:sz w:val="24"/>
          <w:highlight w:val="none"/>
        </w:rPr>
        <w:t>根据江苏宏翔工程造价咨询有限公司编号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招标文件和该文件的中标通知书及供方投标文件，供需双方就此次</w:t>
      </w:r>
      <w:r>
        <w:rPr>
          <w:rFonts w:hint="eastAsia" w:ascii="宋体" w:hAnsi="宋体"/>
          <w:bCs/>
          <w:color w:val="auto"/>
          <w:sz w:val="24"/>
          <w:highlight w:val="none"/>
          <w:u w:val="single"/>
        </w:rPr>
        <w:t xml:space="preserve">           </w:t>
      </w:r>
      <w:r>
        <w:rPr>
          <w:rFonts w:hint="eastAsia" w:ascii="宋体" w:hAnsi="宋体"/>
          <w:bCs/>
          <w:color w:val="auto"/>
          <w:sz w:val="24"/>
          <w:highlight w:val="none"/>
        </w:rPr>
        <w:t>项目相关问题，同意按下列条款规定执行。</w:t>
      </w:r>
    </w:p>
    <w:p w14:paraId="4852BD25">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（一）合同内容：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w:t>
      </w:r>
    </w:p>
    <w:p w14:paraId="0A98F7F6">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（二）采购数量：</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w:t>
      </w:r>
    </w:p>
    <w:p w14:paraId="53E22934">
      <w:pPr>
        <w:spacing w:after="0" w:line="360" w:lineRule="auto"/>
        <w:ind w:firstLine="480"/>
        <w:rPr>
          <w:rFonts w:ascii="宋体" w:hAnsi="宋体"/>
          <w:bCs/>
          <w:color w:val="auto"/>
          <w:sz w:val="24"/>
          <w:highlight w:val="none"/>
        </w:rPr>
      </w:pPr>
      <w:r>
        <w:rPr>
          <w:rFonts w:hint="eastAsia" w:ascii="宋体" w:hAnsi="宋体"/>
          <w:bCs/>
          <w:color w:val="auto"/>
          <w:sz w:val="24"/>
          <w:szCs w:val="24"/>
          <w:highlight w:val="none"/>
        </w:rPr>
        <w:t>（三）价格及支付：</w:t>
      </w:r>
    </w:p>
    <w:p w14:paraId="3EB03DE4">
      <w:pPr>
        <w:tabs>
          <w:tab w:val="left" w:pos="525"/>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rPr>
        <w:t>1.按此次中标价格执行，合同总标的额为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元（含税）。</w:t>
      </w:r>
    </w:p>
    <w:p w14:paraId="426B4C53">
      <w:pPr>
        <w:widowControl w:val="0"/>
        <w:spacing w:after="0" w:line="360" w:lineRule="auto"/>
        <w:ind w:firstLine="480"/>
        <w:jc w:val="both"/>
        <w:rPr>
          <w:rFonts w:ascii="宋体" w:hAnsi="宋体"/>
          <w:color w:val="auto"/>
          <w:sz w:val="24"/>
          <w:szCs w:val="24"/>
          <w:highlight w:val="none"/>
        </w:rPr>
      </w:pPr>
      <w:r>
        <w:rPr>
          <w:rFonts w:hint="eastAsia" w:ascii="宋体" w:hAnsi="宋体"/>
          <w:bCs/>
          <w:color w:val="auto"/>
          <w:sz w:val="24"/>
          <w:highlight w:val="none"/>
        </w:rPr>
        <w:t>2.付款方式：</w:t>
      </w:r>
      <w:r>
        <w:rPr>
          <w:rFonts w:hint="eastAsia" w:ascii="宋体" w:hAnsi="宋体"/>
          <w:color w:val="auto"/>
          <w:sz w:val="24"/>
          <w:szCs w:val="24"/>
          <w:highlight w:val="none"/>
        </w:rPr>
        <w:t>合同签订生效后30日内，支付总货款的30%；货到验收合格交付需方使用，供方提供增值税专用发票后30日内支付剩余尾款。</w:t>
      </w:r>
    </w:p>
    <w:p w14:paraId="2412B3DE">
      <w:pPr>
        <w:tabs>
          <w:tab w:val="left" w:pos="525"/>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rPr>
        <w:t>3.供方应于每次需方付款前，开具对应等额的增值税发票，如因供方开票迟延造成需方付款迟延的，需方付款期限相应顺延。</w:t>
      </w:r>
    </w:p>
    <w:p w14:paraId="04374FCB">
      <w:pPr>
        <w:tabs>
          <w:tab w:val="left" w:pos="0"/>
          <w:tab w:val="left" w:pos="1365"/>
        </w:tabs>
        <w:spacing w:after="0" w:line="360" w:lineRule="auto"/>
        <w:ind w:firstLine="480"/>
        <w:rPr>
          <w:rFonts w:ascii="宋体" w:hAnsi="宋体"/>
          <w:bCs/>
          <w:color w:val="auto"/>
          <w:sz w:val="24"/>
          <w:highlight w:val="none"/>
        </w:rPr>
      </w:pPr>
      <w:r>
        <w:rPr>
          <w:rFonts w:hint="eastAsia" w:ascii="宋体" w:hAnsi="宋体"/>
          <w:bCs/>
          <w:color w:val="auto"/>
          <w:sz w:val="24"/>
          <w:szCs w:val="24"/>
          <w:highlight w:val="none"/>
        </w:rPr>
        <w:t>（四）知识产权</w:t>
      </w:r>
    </w:p>
    <w:p w14:paraId="265E3C72">
      <w:pPr>
        <w:tabs>
          <w:tab w:val="left" w:pos="945"/>
        </w:tabs>
        <w:spacing w:after="0" w:line="360" w:lineRule="auto"/>
        <w:ind w:firstLine="480"/>
        <w:rPr>
          <w:rFonts w:ascii="宋体" w:hAnsi="宋体"/>
          <w:bCs/>
          <w:color w:val="auto"/>
          <w:sz w:val="24"/>
          <w:highlight w:val="none"/>
        </w:rPr>
      </w:pPr>
      <w:r>
        <w:rPr>
          <w:rFonts w:hint="eastAsia" w:ascii="宋体" w:hAnsi="宋体"/>
          <w:bCs/>
          <w:color w:val="auto"/>
          <w:sz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0199337C">
      <w:pPr>
        <w:numPr>
          <w:ilvl w:val="0"/>
          <w:numId w:val="7"/>
        </w:numPr>
        <w:tabs>
          <w:tab w:val="left" w:pos="735"/>
        </w:tabs>
        <w:spacing w:after="0" w:line="360" w:lineRule="auto"/>
        <w:ind w:left="0" w:firstLine="480"/>
        <w:rPr>
          <w:rFonts w:ascii="宋体" w:hAnsi="宋体"/>
          <w:bCs/>
          <w:color w:val="auto"/>
          <w:sz w:val="24"/>
          <w:highlight w:val="none"/>
        </w:rPr>
      </w:pPr>
      <w:r>
        <w:rPr>
          <w:rFonts w:hint="eastAsia" w:ascii="宋体" w:hAnsi="宋体"/>
          <w:bCs/>
          <w:color w:val="auto"/>
          <w:sz w:val="24"/>
          <w:highlight w:val="none"/>
        </w:rPr>
        <w:t>质量要求与检验：</w:t>
      </w:r>
    </w:p>
    <w:p w14:paraId="00A3BED9">
      <w:pPr>
        <w:tabs>
          <w:tab w:val="left" w:pos="420"/>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供方应严格按照招标文件的有关规定和供方投标文件提供合格的货物及服务。</w:t>
      </w:r>
    </w:p>
    <w:p w14:paraId="7ADE68EE">
      <w:pPr>
        <w:tabs>
          <w:tab w:val="left" w:pos="420"/>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2.</w:t>
      </w:r>
      <w:r>
        <w:rPr>
          <w:rFonts w:hint="eastAsia" w:ascii="宋体" w:hAnsi="宋体"/>
          <w:bCs/>
          <w:color w:val="auto"/>
          <w:sz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223BD0AD">
      <w:pPr>
        <w:tabs>
          <w:tab w:val="left" w:pos="420"/>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3.</w:t>
      </w:r>
      <w:r>
        <w:rPr>
          <w:rFonts w:hint="eastAsia" w:ascii="宋体" w:hAnsi="宋体"/>
          <w:bCs/>
          <w:color w:val="auto"/>
          <w:sz w:val="24"/>
          <w:highlight w:val="none"/>
        </w:rPr>
        <w:t>货物的到货验收包括：数量、外观、质量、性能、随机备件、装箱单、质量证书等随机资料及包装完整无破损。</w:t>
      </w:r>
    </w:p>
    <w:p w14:paraId="575B06FB">
      <w:pPr>
        <w:tabs>
          <w:tab w:val="left" w:pos="420"/>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4.</w:t>
      </w:r>
      <w:r>
        <w:rPr>
          <w:rFonts w:hint="eastAsia" w:ascii="宋体" w:hAnsi="宋体"/>
          <w:bCs/>
          <w:color w:val="auto"/>
          <w:sz w:val="24"/>
          <w:highlight w:val="none"/>
        </w:rPr>
        <w:t>供方应当按照约定的包装方式交付标的物。对包装方式没有约定或者约定不明确的，应当按照双方补充协议约定的方式包装，或者按照通用的方式包装，没有通用方式的，应当采取足以保护标的物的包装方式。</w:t>
      </w:r>
    </w:p>
    <w:p w14:paraId="56C7713B">
      <w:pPr>
        <w:tabs>
          <w:tab w:val="left" w:pos="420"/>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5.</w:t>
      </w:r>
      <w:r>
        <w:rPr>
          <w:rFonts w:hint="eastAsia" w:ascii="宋体" w:hAnsi="宋体"/>
          <w:bCs/>
          <w:color w:val="auto"/>
          <w:sz w:val="24"/>
          <w:highlight w:val="none"/>
        </w:rPr>
        <w:t>货物和系统调试验收标准：按行业通行标准、厂方出厂标准、招标文件要求和供方投标文件的承诺，并不低于国家相关标准。</w:t>
      </w:r>
    </w:p>
    <w:p w14:paraId="7BE55605">
      <w:pPr>
        <w:tabs>
          <w:tab w:val="left" w:pos="420"/>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6.</w:t>
      </w:r>
      <w:r>
        <w:rPr>
          <w:rFonts w:hint="eastAsia" w:ascii="宋体" w:hAnsi="宋体"/>
          <w:bCs/>
          <w:color w:val="auto"/>
          <w:sz w:val="24"/>
          <w:highlight w:val="none"/>
        </w:rPr>
        <w:t>货物运到需方指定地点并经需方验证签收后，由于需方保管不善造成的质量问题，供方应负责修理，但有关费用由需方承担。</w:t>
      </w:r>
    </w:p>
    <w:p w14:paraId="2CF97341">
      <w:pPr>
        <w:tabs>
          <w:tab w:val="left" w:pos="420"/>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7.</w:t>
      </w:r>
      <w:r>
        <w:rPr>
          <w:rFonts w:hint="eastAsia" w:ascii="宋体" w:hAnsi="宋体"/>
          <w:bCs/>
          <w:color w:val="auto"/>
          <w:sz w:val="24"/>
          <w:highlight w:val="none"/>
        </w:rPr>
        <w:t>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261BB353">
      <w:pPr>
        <w:tabs>
          <w:tab w:val="left" w:pos="420"/>
          <w:tab w:val="left" w:pos="105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8.</w:t>
      </w:r>
      <w:r>
        <w:rPr>
          <w:rFonts w:hint="eastAsia" w:ascii="宋体" w:hAnsi="宋体"/>
          <w:bCs/>
          <w:color w:val="auto"/>
          <w:sz w:val="24"/>
          <w:highlight w:val="none"/>
        </w:rPr>
        <w:t>需方不得擅自变更招投标文件约定的性能、指标等相关内容，如有变更应按《中华人民共和国政府采购法》、财政部《政府采购货物和服务招标投标管理办法》的相关程序执行。</w:t>
      </w:r>
    </w:p>
    <w:p w14:paraId="29085630">
      <w:pPr>
        <w:spacing w:after="0" w:line="360" w:lineRule="auto"/>
        <w:ind w:left="-2" w:firstLine="480"/>
        <w:rPr>
          <w:rFonts w:ascii="宋体" w:hAnsi="宋体"/>
          <w:bCs/>
          <w:color w:val="auto"/>
          <w:sz w:val="24"/>
          <w:highlight w:val="none"/>
        </w:rPr>
      </w:pPr>
      <w:r>
        <w:rPr>
          <w:rFonts w:hint="eastAsia" w:ascii="宋体" w:hAnsi="宋体"/>
          <w:bCs/>
          <w:color w:val="auto"/>
          <w:sz w:val="24"/>
          <w:szCs w:val="24"/>
          <w:highlight w:val="none"/>
        </w:rPr>
        <w:t>（六）</w:t>
      </w:r>
      <w:r>
        <w:rPr>
          <w:rFonts w:hint="eastAsia" w:ascii="宋体" w:hAnsi="宋体"/>
          <w:bCs/>
          <w:color w:val="auto"/>
          <w:sz w:val="24"/>
          <w:highlight w:val="none"/>
        </w:rPr>
        <w:t>交货条件：</w:t>
      </w:r>
    </w:p>
    <w:p w14:paraId="491965C8">
      <w:pPr>
        <w:tabs>
          <w:tab w:val="left" w:pos="420"/>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交货日期（或完工期）：</w:t>
      </w:r>
      <w:r>
        <w:rPr>
          <w:rFonts w:ascii="宋体" w:hAnsi="宋体"/>
          <w:bCs/>
          <w:color w:val="auto"/>
          <w:sz w:val="24"/>
          <w:highlight w:val="none"/>
        </w:rPr>
        <w:t xml:space="preserve"> </w:t>
      </w:r>
    </w:p>
    <w:p w14:paraId="1C7E98AE">
      <w:pPr>
        <w:tabs>
          <w:tab w:val="left" w:pos="115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2.</w:t>
      </w:r>
      <w:r>
        <w:rPr>
          <w:rFonts w:hint="eastAsia" w:ascii="宋体" w:hAnsi="宋体"/>
          <w:bCs/>
          <w:color w:val="auto"/>
          <w:sz w:val="24"/>
          <w:highlight w:val="none"/>
        </w:rPr>
        <w:t>供方在验收时应先用信函、传真、电子邮件等书面方式通知需方。</w:t>
      </w:r>
    </w:p>
    <w:p w14:paraId="320D2E99">
      <w:pPr>
        <w:tabs>
          <w:tab w:val="left" w:pos="1155"/>
        </w:tabs>
        <w:spacing w:after="0" w:line="360" w:lineRule="auto"/>
        <w:ind w:firstLine="480"/>
        <w:rPr>
          <w:rFonts w:ascii="宋体" w:hAnsi="宋体"/>
          <w:bCs/>
          <w:color w:val="auto"/>
          <w:sz w:val="24"/>
          <w:highlight w:val="none"/>
        </w:rPr>
      </w:pPr>
      <w:r>
        <w:rPr>
          <w:rFonts w:ascii="宋体" w:hAnsi="宋体"/>
          <w:bCs/>
          <w:color w:val="auto"/>
          <w:sz w:val="24"/>
          <w:highlight w:val="none"/>
        </w:rPr>
        <w:t xml:space="preserve">3. </w:t>
      </w:r>
      <w:r>
        <w:rPr>
          <w:rFonts w:hint="eastAsia" w:ascii="宋体" w:hAnsi="宋体"/>
          <w:bCs/>
          <w:color w:val="auto"/>
          <w:sz w:val="24"/>
          <w:highlight w:val="none"/>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190F9CB7">
      <w:pPr>
        <w:tabs>
          <w:tab w:val="left" w:pos="1155"/>
        </w:tabs>
        <w:spacing w:after="0" w:line="360" w:lineRule="auto"/>
        <w:ind w:firstLine="480"/>
        <w:rPr>
          <w:rFonts w:ascii="宋体" w:hAnsi="宋体"/>
          <w:bCs/>
          <w:color w:val="auto"/>
          <w:sz w:val="24"/>
          <w:highlight w:val="none"/>
        </w:rPr>
      </w:pPr>
      <w:r>
        <w:rPr>
          <w:rFonts w:ascii="宋体" w:hAnsi="宋体"/>
          <w:bCs/>
          <w:color w:val="auto"/>
          <w:sz w:val="24"/>
          <w:highlight w:val="none"/>
        </w:rPr>
        <w:t>4.</w:t>
      </w:r>
      <w:r>
        <w:rPr>
          <w:rFonts w:ascii="宋体" w:hAnsi="宋体"/>
          <w:bCs/>
          <w:color w:val="auto"/>
          <w:sz w:val="28"/>
          <w:highlight w:val="none"/>
        </w:rPr>
        <w:t xml:space="preserve"> </w:t>
      </w:r>
      <w:r>
        <w:rPr>
          <w:rFonts w:hint="eastAsia" w:ascii="宋体" w:hAnsi="宋体"/>
          <w:bCs/>
          <w:color w:val="auto"/>
          <w:sz w:val="24"/>
          <w:highlight w:val="none"/>
        </w:rPr>
        <w:t>货物交货时，所有货物必须带有货物质量检验合格证书、中文质保单、装箱单、中文货物安装使用说明书。</w:t>
      </w:r>
      <w:r>
        <w:rPr>
          <w:rFonts w:hint="eastAsia" w:ascii="宋体" w:hAnsi="宋体"/>
          <w:bCs/>
          <w:color w:val="auto"/>
          <w:sz w:val="24"/>
          <w:highlight w:val="none"/>
          <w:lang w:eastAsia="zh-CN"/>
        </w:rPr>
        <w:t>其他</w:t>
      </w:r>
      <w:r>
        <w:rPr>
          <w:rFonts w:hint="eastAsia" w:ascii="宋体" w:hAnsi="宋体"/>
          <w:bCs/>
          <w:color w:val="auto"/>
          <w:sz w:val="24"/>
          <w:highlight w:val="none"/>
        </w:rPr>
        <w:t>附件所有部件必须原包装。</w:t>
      </w:r>
    </w:p>
    <w:p w14:paraId="3DA409B4">
      <w:pPr>
        <w:tabs>
          <w:tab w:val="left" w:pos="945"/>
          <w:tab w:val="left" w:pos="1155"/>
        </w:tabs>
        <w:spacing w:after="0" w:line="360" w:lineRule="auto"/>
        <w:ind w:left="2" w:firstLine="480"/>
        <w:rPr>
          <w:rFonts w:ascii="宋体" w:hAnsi="宋体"/>
          <w:bCs/>
          <w:color w:val="auto"/>
          <w:sz w:val="24"/>
          <w:highlight w:val="none"/>
        </w:rPr>
      </w:pPr>
      <w:r>
        <w:rPr>
          <w:rFonts w:ascii="宋体" w:hAnsi="宋体"/>
          <w:bCs/>
          <w:color w:val="auto"/>
          <w:sz w:val="24"/>
          <w:highlight w:val="none"/>
        </w:rPr>
        <w:t xml:space="preserve">5. </w:t>
      </w:r>
      <w:r>
        <w:rPr>
          <w:rFonts w:hint="eastAsia" w:ascii="宋体" w:hAnsi="宋体"/>
          <w:bCs/>
          <w:color w:val="auto"/>
          <w:sz w:val="24"/>
          <w:highlight w:val="none"/>
        </w:rPr>
        <w:t>运输及到货地点：由供方负责办理运输并承担所有费用，直接送到需方指定地点，即：以合同书上的地点为准。</w:t>
      </w:r>
      <w:r>
        <w:rPr>
          <w:rFonts w:ascii="宋体" w:hAnsi="宋体"/>
          <w:bCs/>
          <w:color w:val="auto"/>
          <w:sz w:val="24"/>
          <w:highlight w:val="none"/>
        </w:rPr>
        <w:t xml:space="preserve">                    </w:t>
      </w:r>
    </w:p>
    <w:p w14:paraId="1A1CB5F7">
      <w:pPr>
        <w:spacing w:after="0" w:line="360" w:lineRule="auto"/>
        <w:ind w:firstLine="480"/>
        <w:rPr>
          <w:rFonts w:ascii="宋体" w:hAnsi="宋体"/>
          <w:bCs/>
          <w:color w:val="auto"/>
          <w:sz w:val="24"/>
          <w:highlight w:val="none"/>
        </w:rPr>
      </w:pPr>
      <w:r>
        <w:rPr>
          <w:rFonts w:hint="eastAsia" w:ascii="宋体" w:hAnsi="宋体"/>
          <w:bCs/>
          <w:color w:val="auto"/>
          <w:sz w:val="24"/>
          <w:szCs w:val="24"/>
          <w:highlight w:val="none"/>
        </w:rPr>
        <w:t xml:space="preserve">（七） </w:t>
      </w:r>
      <w:r>
        <w:rPr>
          <w:rFonts w:ascii="宋体" w:hAnsi="宋体"/>
          <w:bCs/>
          <w:color w:val="auto"/>
          <w:sz w:val="24"/>
          <w:highlight w:val="none"/>
        </w:rPr>
        <w:t xml:space="preserve"> </w:t>
      </w:r>
      <w:r>
        <w:rPr>
          <w:rFonts w:hint="eastAsia" w:ascii="宋体" w:hAnsi="宋体"/>
          <w:bCs/>
          <w:color w:val="auto"/>
          <w:sz w:val="24"/>
          <w:highlight w:val="none"/>
        </w:rPr>
        <w:t>安装调试及售后服务：</w:t>
      </w:r>
    </w:p>
    <w:p w14:paraId="7783800E">
      <w:pPr>
        <w:tabs>
          <w:tab w:val="left" w:pos="525"/>
          <w:tab w:val="left" w:pos="840"/>
          <w:tab w:val="left" w:pos="945"/>
        </w:tabs>
        <w:spacing w:after="0" w:line="360" w:lineRule="auto"/>
        <w:ind w:left="-100" w:firstLine="480"/>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供方负责本项目的安装和调试，并保证其提供的货物符合国家、行业、地方、招投标文件及合同规定的质量、性能和标准，并正确且安全地安装。</w:t>
      </w:r>
    </w:p>
    <w:p w14:paraId="67353E85">
      <w:pPr>
        <w:tabs>
          <w:tab w:val="left" w:pos="525"/>
          <w:tab w:val="left" w:pos="840"/>
          <w:tab w:val="left" w:pos="945"/>
          <w:tab w:val="left" w:pos="1050"/>
        </w:tabs>
        <w:spacing w:after="0" w:line="360" w:lineRule="auto"/>
        <w:ind w:left="-100" w:firstLine="480"/>
        <w:rPr>
          <w:rFonts w:ascii="宋体" w:hAns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供方提供的服务全部按照国家有关法律法规规章和“三包”规定以及按招标文件要求和供方投标文件中的承诺执行。</w:t>
      </w:r>
    </w:p>
    <w:p w14:paraId="3E750677">
      <w:pPr>
        <w:tabs>
          <w:tab w:val="left" w:pos="525"/>
          <w:tab w:val="left" w:pos="840"/>
          <w:tab w:val="left" w:pos="945"/>
          <w:tab w:val="left" w:pos="1050"/>
        </w:tabs>
        <w:spacing w:after="0" w:line="360" w:lineRule="auto"/>
        <w:ind w:left="-100" w:firstLine="480"/>
        <w:rPr>
          <w:rFonts w:ascii="宋体" w:hAnsi="宋体"/>
          <w:bCs/>
          <w:color w:val="auto"/>
          <w:sz w:val="24"/>
          <w:highlight w:val="none"/>
        </w:rPr>
      </w:pPr>
      <w:r>
        <w:rPr>
          <w:rFonts w:ascii="宋体" w:hAnsi="宋体"/>
          <w:bCs/>
          <w:color w:val="auto"/>
          <w:sz w:val="24"/>
          <w:highlight w:val="none"/>
        </w:rPr>
        <w:t>3.</w:t>
      </w:r>
      <w:r>
        <w:rPr>
          <w:rFonts w:hint="eastAsia" w:ascii="宋体" w:hAnsi="宋体"/>
          <w:bCs/>
          <w:color w:val="auto"/>
          <w:sz w:val="24"/>
          <w:highlight w:val="none"/>
        </w:rPr>
        <w:t>质保期后的货物维护由双方协商再定。</w:t>
      </w:r>
    </w:p>
    <w:p w14:paraId="6A71CC80">
      <w:pPr>
        <w:tabs>
          <w:tab w:val="left" w:pos="525"/>
          <w:tab w:val="left" w:pos="840"/>
          <w:tab w:val="left" w:pos="945"/>
          <w:tab w:val="left" w:pos="1050"/>
        </w:tabs>
        <w:spacing w:after="0" w:line="360" w:lineRule="auto"/>
        <w:ind w:left="-100" w:firstLine="480"/>
        <w:rPr>
          <w:rFonts w:ascii="宋体" w:hAnsi="宋体"/>
          <w:bCs/>
          <w:color w:val="auto"/>
          <w:sz w:val="24"/>
          <w:highlight w:val="none"/>
        </w:rPr>
      </w:pPr>
      <w:r>
        <w:rPr>
          <w:rFonts w:ascii="宋体" w:hAnsi="宋体"/>
          <w:bCs/>
          <w:color w:val="auto"/>
          <w:sz w:val="24"/>
          <w:highlight w:val="none"/>
        </w:rPr>
        <w:t>4.</w:t>
      </w:r>
      <w:r>
        <w:rPr>
          <w:rFonts w:hint="eastAsia" w:ascii="宋体" w:hAnsi="宋体"/>
          <w:bCs/>
          <w:color w:val="auto"/>
          <w:sz w:val="24"/>
          <w:highlight w:val="none"/>
        </w:rPr>
        <w:t>需方应向供方现场调试的技术人员及维修人员提供方便条件，有关费用由供方负责。</w:t>
      </w:r>
    </w:p>
    <w:p w14:paraId="59737CDC">
      <w:pPr>
        <w:tabs>
          <w:tab w:val="left" w:pos="525"/>
          <w:tab w:val="left" w:pos="840"/>
          <w:tab w:val="left" w:pos="945"/>
          <w:tab w:val="left" w:pos="1050"/>
        </w:tabs>
        <w:spacing w:after="0" w:line="360" w:lineRule="auto"/>
        <w:ind w:left="-100" w:firstLine="480"/>
        <w:rPr>
          <w:rFonts w:ascii="宋体" w:hAnsi="宋体"/>
          <w:bCs/>
          <w:color w:val="auto"/>
          <w:sz w:val="24"/>
          <w:highlight w:val="none"/>
        </w:rPr>
      </w:pPr>
      <w:r>
        <w:rPr>
          <w:rFonts w:ascii="宋体" w:hAnsi="宋体"/>
          <w:bCs/>
          <w:color w:val="auto"/>
          <w:sz w:val="24"/>
          <w:highlight w:val="none"/>
        </w:rPr>
        <w:t>5.</w:t>
      </w:r>
      <w:r>
        <w:rPr>
          <w:rFonts w:hint="eastAsia" w:ascii="宋体" w:hAnsi="宋体"/>
          <w:bCs/>
          <w:color w:val="auto"/>
          <w:sz w:val="24"/>
          <w:highlight w:val="none"/>
        </w:rPr>
        <w:t>需方如要求供方提供招标文件及供方投标文件以外的</w:t>
      </w:r>
      <w:r>
        <w:rPr>
          <w:rFonts w:hint="eastAsia" w:ascii="宋体" w:hAnsi="宋体"/>
          <w:bCs/>
          <w:color w:val="auto"/>
          <w:sz w:val="24"/>
          <w:highlight w:val="none"/>
          <w:lang w:eastAsia="zh-CN"/>
        </w:rPr>
        <w:t>其他</w:t>
      </w:r>
      <w:r>
        <w:rPr>
          <w:rFonts w:hint="eastAsia" w:ascii="宋体" w:hAnsi="宋体"/>
          <w:bCs/>
          <w:color w:val="auto"/>
          <w:sz w:val="24"/>
          <w:highlight w:val="none"/>
        </w:rPr>
        <w:t>服务，其费用另定。</w:t>
      </w:r>
    </w:p>
    <w:p w14:paraId="397C18D0">
      <w:pPr>
        <w:tabs>
          <w:tab w:val="left" w:pos="525"/>
          <w:tab w:val="left" w:pos="840"/>
          <w:tab w:val="left" w:pos="945"/>
          <w:tab w:val="left" w:pos="1050"/>
          <w:tab w:val="left" w:pos="1839"/>
        </w:tabs>
        <w:spacing w:after="0" w:line="360" w:lineRule="auto"/>
        <w:ind w:left="-100" w:firstLine="480"/>
        <w:rPr>
          <w:rFonts w:ascii="宋体" w:hAnsi="宋体"/>
          <w:bCs/>
          <w:color w:val="auto"/>
          <w:sz w:val="24"/>
          <w:highlight w:val="none"/>
        </w:rPr>
      </w:pPr>
      <w:r>
        <w:rPr>
          <w:rFonts w:ascii="宋体" w:hAnsi="宋体"/>
          <w:bCs/>
          <w:color w:val="auto"/>
          <w:sz w:val="24"/>
          <w:highlight w:val="none"/>
        </w:rPr>
        <w:t>6.</w:t>
      </w:r>
      <w:r>
        <w:rPr>
          <w:rFonts w:hint="eastAsia" w:ascii="宋体" w:hAnsi="宋体"/>
          <w:bCs/>
          <w:color w:val="auto"/>
          <w:sz w:val="24"/>
          <w:highlight w:val="none"/>
        </w:rPr>
        <w:t>供方提供</w:t>
      </w:r>
      <w:r>
        <w:rPr>
          <w:rFonts w:hint="eastAsia" w:ascii="宋体" w:hAnsi="宋体"/>
          <w:bCs/>
          <w:color w:val="auto"/>
          <w:sz w:val="24"/>
          <w:highlight w:val="none"/>
          <w:u w:val="single"/>
        </w:rPr>
        <w:t xml:space="preserve">    </w:t>
      </w:r>
      <w:r>
        <w:rPr>
          <w:rFonts w:hint="eastAsia" w:ascii="宋体" w:hAnsi="宋体"/>
          <w:bCs/>
          <w:color w:val="auto"/>
          <w:sz w:val="24"/>
          <w:highlight w:val="none"/>
        </w:rPr>
        <w:t>年免费质保服务质保期，并提供终身维修服务。质保期自货物安装调试完毕并经需方验收合格之日起开始计算。在质保期内，</w:t>
      </w:r>
      <w:r>
        <w:rPr>
          <w:rFonts w:ascii="宋体" w:hAnsi="宋体"/>
          <w:bCs/>
          <w:color w:val="auto"/>
          <w:sz w:val="24"/>
          <w:highlight w:val="none"/>
        </w:rPr>
        <w:t>用户方在使用设备的过程中遇到的技术问题、故障等，接到报修后</w:t>
      </w:r>
      <w:r>
        <w:rPr>
          <w:rFonts w:hint="eastAsia" w:ascii="宋体" w:hAnsi="宋体"/>
          <w:bCs/>
          <w:color w:val="auto"/>
          <w:sz w:val="24"/>
          <w:highlight w:val="none"/>
          <w:u w:val="single"/>
        </w:rPr>
        <w:t xml:space="preserve">    </w:t>
      </w:r>
      <w:r>
        <w:rPr>
          <w:rFonts w:ascii="宋体" w:hAnsi="宋体"/>
          <w:bCs/>
          <w:color w:val="auto"/>
          <w:sz w:val="24"/>
          <w:highlight w:val="none"/>
        </w:rPr>
        <w:t>小时内</w:t>
      </w:r>
      <w:r>
        <w:rPr>
          <w:rFonts w:hint="eastAsia" w:ascii="宋体" w:hAnsi="宋体"/>
          <w:bCs/>
          <w:color w:val="auto"/>
          <w:sz w:val="24"/>
          <w:highlight w:val="none"/>
        </w:rPr>
        <w:t>电话</w:t>
      </w:r>
      <w:r>
        <w:rPr>
          <w:rFonts w:ascii="宋体" w:hAnsi="宋体"/>
          <w:bCs/>
          <w:color w:val="auto"/>
          <w:sz w:val="24"/>
          <w:highlight w:val="none"/>
        </w:rPr>
        <w:t>响应，如需要</w:t>
      </w:r>
      <w:r>
        <w:rPr>
          <w:rFonts w:hint="eastAsia" w:ascii="宋体" w:hAnsi="宋体"/>
          <w:bCs/>
          <w:color w:val="auto"/>
          <w:sz w:val="24"/>
          <w:highlight w:val="none"/>
          <w:u w:val="single"/>
        </w:rPr>
        <w:t xml:space="preserve">    </w:t>
      </w:r>
      <w:r>
        <w:rPr>
          <w:rFonts w:hint="eastAsia" w:ascii="宋体" w:hAnsi="宋体"/>
          <w:bCs/>
          <w:color w:val="auto"/>
          <w:sz w:val="24"/>
          <w:highlight w:val="none"/>
        </w:rPr>
        <w:t>小时内</w:t>
      </w:r>
      <w:r>
        <w:rPr>
          <w:rFonts w:ascii="宋体" w:hAnsi="宋体"/>
          <w:bCs/>
          <w:color w:val="auto"/>
          <w:sz w:val="24"/>
          <w:highlight w:val="none"/>
        </w:rPr>
        <w:t>上门</w:t>
      </w:r>
      <w:r>
        <w:rPr>
          <w:rFonts w:hint="eastAsia" w:ascii="宋体" w:hAnsi="宋体"/>
          <w:bCs/>
          <w:color w:val="auto"/>
          <w:sz w:val="24"/>
          <w:highlight w:val="none"/>
        </w:rPr>
        <w:t>，维修日程不超过</w:t>
      </w:r>
      <w:r>
        <w:rPr>
          <w:rFonts w:hint="eastAsia" w:ascii="宋体" w:hAnsi="宋体"/>
          <w:bCs/>
          <w:color w:val="auto"/>
          <w:sz w:val="24"/>
          <w:highlight w:val="none"/>
          <w:u w:val="single"/>
        </w:rPr>
        <w:t xml:space="preserve">    </w:t>
      </w:r>
      <w:r>
        <w:rPr>
          <w:rFonts w:hint="eastAsia" w:ascii="宋体" w:hAnsi="宋体"/>
          <w:bCs/>
          <w:color w:val="auto"/>
          <w:sz w:val="24"/>
          <w:highlight w:val="none"/>
        </w:rPr>
        <w:t>个工作日。</w:t>
      </w:r>
    </w:p>
    <w:p w14:paraId="5473BF9D">
      <w:pPr>
        <w:tabs>
          <w:tab w:val="left" w:pos="525"/>
          <w:tab w:val="left" w:pos="840"/>
          <w:tab w:val="left" w:pos="945"/>
          <w:tab w:val="left" w:pos="1050"/>
          <w:tab w:val="left" w:pos="1839"/>
        </w:tabs>
        <w:spacing w:after="0" w:line="360" w:lineRule="auto"/>
        <w:ind w:left="-100" w:firstLine="480"/>
        <w:rPr>
          <w:rFonts w:ascii="宋体" w:hAnsi="宋体"/>
          <w:bCs/>
          <w:color w:val="auto"/>
          <w:sz w:val="24"/>
          <w:highlight w:val="none"/>
        </w:rPr>
      </w:pPr>
      <w:r>
        <w:rPr>
          <w:rFonts w:hint="eastAsia" w:ascii="宋体" w:hAnsi="宋体"/>
          <w:bCs/>
          <w:color w:val="auto"/>
          <w:sz w:val="24"/>
          <w:highlight w:val="none"/>
        </w:rPr>
        <w:t>7.在质保期内，如非需方原因损坏或出现性能不符要求等质量问题时，需方可根据具体情况，有权要求供方负责在需方指定期限内修复、换货或退货，因修复、调换或退货而支付的实际费用由供方承担，并且供方还应承担给需方造成的所有损失。如需方要求供方在指定期限内修复的，但供方超过指定期限还未修复的，需方有权自行修复或委托第三方修复，所花费用全部由供方承担。对于修复或调换的产品，质量保证期限自修复完毕或调换之日起重新计算。</w:t>
      </w:r>
    </w:p>
    <w:p w14:paraId="5EE1FB5A">
      <w:pPr>
        <w:tabs>
          <w:tab w:val="left" w:pos="525"/>
          <w:tab w:val="left" w:pos="840"/>
          <w:tab w:val="left" w:pos="945"/>
          <w:tab w:val="left" w:pos="1050"/>
          <w:tab w:val="left" w:pos="1839"/>
        </w:tabs>
        <w:spacing w:after="0" w:line="360" w:lineRule="auto"/>
        <w:ind w:left="-100" w:firstLine="480"/>
        <w:rPr>
          <w:rFonts w:ascii="宋体" w:hAnsi="宋体"/>
          <w:bCs/>
          <w:color w:val="auto"/>
          <w:sz w:val="24"/>
          <w:highlight w:val="none"/>
        </w:rPr>
      </w:pPr>
      <w:r>
        <w:rPr>
          <w:rFonts w:ascii="宋体" w:hAnsi="宋体"/>
          <w:bCs/>
          <w:color w:val="auto"/>
          <w:sz w:val="24"/>
          <w:highlight w:val="none"/>
        </w:rPr>
        <w:t>8.</w:t>
      </w:r>
      <w:r>
        <w:rPr>
          <w:rFonts w:hint="eastAsia" w:ascii="宋体" w:hAnsi="宋体"/>
          <w:bCs/>
          <w:color w:val="auto"/>
          <w:sz w:val="24"/>
          <w:highlight w:val="none"/>
        </w:rPr>
        <w:t>供方对本合同履行过程中所知悉的需方全部文件、资料、信息等负有保密义务。未经需方书面同意，供方不得擅自披露、泄露、使用或用于本合同约定之外的目的。</w:t>
      </w:r>
    </w:p>
    <w:p w14:paraId="71A3739E">
      <w:pPr>
        <w:spacing w:after="0" w:line="360" w:lineRule="auto"/>
        <w:ind w:firstLine="480"/>
        <w:rPr>
          <w:rFonts w:ascii="宋体" w:hAnsi="宋体"/>
          <w:bCs/>
          <w:color w:val="auto"/>
          <w:sz w:val="24"/>
          <w:highlight w:val="none"/>
        </w:rPr>
      </w:pPr>
      <w:r>
        <w:rPr>
          <w:rFonts w:hint="eastAsia" w:ascii="宋体" w:hAnsi="宋体"/>
          <w:bCs/>
          <w:color w:val="auto"/>
          <w:sz w:val="24"/>
          <w:szCs w:val="24"/>
          <w:highlight w:val="none"/>
        </w:rPr>
        <w:t>（八）</w:t>
      </w:r>
      <w:r>
        <w:rPr>
          <w:rFonts w:hint="eastAsia" w:ascii="宋体" w:hAnsi="宋体"/>
          <w:bCs/>
          <w:color w:val="auto"/>
          <w:sz w:val="24"/>
          <w:highlight w:val="none"/>
        </w:rPr>
        <w:t>违约责任：</w:t>
      </w:r>
    </w:p>
    <w:p w14:paraId="0C654123">
      <w:pPr>
        <w:tabs>
          <w:tab w:val="left" w:pos="0"/>
          <w:tab w:val="left" w:pos="525"/>
          <w:tab w:val="left" w:pos="945"/>
          <w:tab w:val="left" w:pos="229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3634802F">
      <w:pPr>
        <w:tabs>
          <w:tab w:val="left" w:pos="0"/>
          <w:tab w:val="left" w:pos="525"/>
          <w:tab w:val="left" w:pos="945"/>
          <w:tab w:val="left" w:pos="229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2.</w:t>
      </w:r>
      <w:r>
        <w:rPr>
          <w:rFonts w:hint="eastAsia" w:ascii="宋体" w:hAnsi="宋体"/>
          <w:bCs/>
          <w:color w:val="auto"/>
          <w:sz w:val="24"/>
          <w:highlight w:val="none"/>
        </w:rPr>
        <w:t>如供方逾期交货且未经需方同意延长交货时间，除不可抗力外，每逾期一日，供方应按照逾期交货金额的万分之五的标准累计计算向需方支付违约金。逾期超过</w:t>
      </w:r>
      <w:r>
        <w:rPr>
          <w:rFonts w:ascii="宋体" w:hAnsi="宋体"/>
          <w:bCs/>
          <w:color w:val="auto"/>
          <w:sz w:val="24"/>
          <w:highlight w:val="none"/>
        </w:rPr>
        <w:t>20</w:t>
      </w:r>
      <w:r>
        <w:rPr>
          <w:rFonts w:hint="eastAsia" w:ascii="宋体" w:hAnsi="宋体"/>
          <w:bCs/>
          <w:color w:val="auto"/>
          <w:sz w:val="24"/>
          <w:highlight w:val="none"/>
        </w:rPr>
        <w:t>个工作日的，需方有权依照法律程序解除合同，需方如已支付费用的，供方全部返还，且供方应按照合同总价的</w:t>
      </w:r>
      <w:r>
        <w:rPr>
          <w:rFonts w:ascii="宋体" w:hAnsi="宋体"/>
          <w:bCs/>
          <w:color w:val="auto"/>
          <w:sz w:val="24"/>
          <w:highlight w:val="none"/>
        </w:rPr>
        <w:t>30%</w:t>
      </w:r>
      <w:r>
        <w:rPr>
          <w:rFonts w:hint="eastAsia" w:ascii="宋体" w:hAnsi="宋体"/>
          <w:bCs/>
          <w:color w:val="auto"/>
          <w:sz w:val="24"/>
          <w:highlight w:val="none"/>
        </w:rPr>
        <w:t>向需方支付违约金，如给需方造成损失的，还应赔偿损失。</w:t>
      </w:r>
    </w:p>
    <w:p w14:paraId="7CE6EF9B">
      <w:pPr>
        <w:tabs>
          <w:tab w:val="left" w:pos="105"/>
          <w:tab w:val="left" w:pos="525"/>
          <w:tab w:val="left" w:pos="945"/>
          <w:tab w:val="left" w:pos="229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3.</w:t>
      </w:r>
      <w:r>
        <w:rPr>
          <w:rFonts w:hint="eastAsia" w:ascii="宋体" w:hAnsi="宋体"/>
          <w:bCs/>
          <w:color w:val="auto"/>
          <w:sz w:val="24"/>
          <w:highlight w:val="none"/>
        </w:rPr>
        <w:t>供方如无不可抗力，又未履行招标文件、投标文件和合同条款的，一经查实，由供方赔偿由此给需方造成的损失，并按照合同总价的</w:t>
      </w:r>
      <w:r>
        <w:rPr>
          <w:rFonts w:ascii="宋体" w:hAnsi="宋体"/>
          <w:bCs/>
          <w:color w:val="auto"/>
          <w:sz w:val="24"/>
          <w:highlight w:val="none"/>
        </w:rPr>
        <w:t>30%</w:t>
      </w:r>
      <w:r>
        <w:rPr>
          <w:rFonts w:hint="eastAsia" w:ascii="宋体" w:hAnsi="宋体"/>
          <w:bCs/>
          <w:color w:val="auto"/>
          <w:sz w:val="24"/>
          <w:highlight w:val="none"/>
        </w:rPr>
        <w:t>向需方支付违约金，因招、投标产生的其他责任及后果按招标文件的相关要求及处理方式执行。</w:t>
      </w:r>
    </w:p>
    <w:p w14:paraId="5C12EFA7">
      <w:pPr>
        <w:tabs>
          <w:tab w:val="left" w:pos="105"/>
          <w:tab w:val="left" w:pos="525"/>
          <w:tab w:val="left" w:pos="945"/>
          <w:tab w:val="left" w:pos="229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4.</w:t>
      </w:r>
      <w:r>
        <w:rPr>
          <w:rFonts w:hint="eastAsia" w:ascii="宋体" w:hAnsi="宋体"/>
          <w:bCs/>
          <w:color w:val="auto"/>
          <w:sz w:val="24"/>
          <w:highlight w:val="none"/>
        </w:rPr>
        <w:t>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highlight w:val="none"/>
        </w:rPr>
        <w:t>20%</w:t>
      </w:r>
      <w:r>
        <w:rPr>
          <w:rFonts w:hint="eastAsia" w:ascii="宋体" w:hAnsi="宋体"/>
          <w:bCs/>
          <w:color w:val="auto"/>
          <w:sz w:val="24"/>
          <w:highlight w:val="none"/>
        </w:rPr>
        <w:t>向需方支付违约金，如给需方造成其他损失的，供方还应负责赔偿。</w:t>
      </w:r>
    </w:p>
    <w:p w14:paraId="69A0337E">
      <w:pPr>
        <w:tabs>
          <w:tab w:val="left" w:pos="105"/>
          <w:tab w:val="left" w:pos="525"/>
          <w:tab w:val="left" w:pos="945"/>
          <w:tab w:val="left" w:pos="229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5.</w:t>
      </w:r>
      <w:r>
        <w:rPr>
          <w:rFonts w:hint="eastAsia" w:ascii="宋体" w:hAnsi="宋体"/>
          <w:bCs/>
          <w:color w:val="auto"/>
          <w:sz w:val="24"/>
          <w:highlight w:val="none"/>
        </w:rPr>
        <w:t>质保期内，供方未能按约履行质保义务，每发生一次，应当向需方支付违约金，金额为质保实际发生金额的</w:t>
      </w:r>
      <w:r>
        <w:rPr>
          <w:rFonts w:ascii="宋体" w:hAnsi="宋体"/>
          <w:bCs/>
          <w:color w:val="auto"/>
          <w:sz w:val="24"/>
          <w:highlight w:val="none"/>
        </w:rPr>
        <w:t>2</w:t>
      </w:r>
      <w:r>
        <w:rPr>
          <w:rFonts w:hint="eastAsia" w:ascii="宋体" w:hAnsi="宋体"/>
          <w:bCs/>
          <w:color w:val="auto"/>
          <w:sz w:val="24"/>
          <w:highlight w:val="none"/>
        </w:rPr>
        <w:t>倍。</w:t>
      </w:r>
    </w:p>
    <w:p w14:paraId="5790678D">
      <w:pPr>
        <w:tabs>
          <w:tab w:val="left" w:pos="105"/>
          <w:tab w:val="left" w:pos="525"/>
          <w:tab w:val="left" w:pos="945"/>
          <w:tab w:val="left" w:pos="229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6.</w:t>
      </w:r>
      <w:r>
        <w:rPr>
          <w:rFonts w:hint="eastAsia" w:ascii="宋体" w:hAnsi="宋体"/>
          <w:bCs/>
          <w:color w:val="auto"/>
          <w:sz w:val="24"/>
          <w:highlight w:val="none"/>
        </w:rPr>
        <w:t>供方未能按约履行保密义务，应当向需方支付合同总价</w:t>
      </w:r>
      <w:r>
        <w:rPr>
          <w:rFonts w:ascii="宋体" w:hAnsi="宋体"/>
          <w:bCs/>
          <w:color w:val="auto"/>
          <w:sz w:val="24"/>
          <w:highlight w:val="none"/>
        </w:rPr>
        <w:t xml:space="preserve"> 1 %</w:t>
      </w:r>
      <w:r>
        <w:rPr>
          <w:rFonts w:hint="eastAsia" w:ascii="宋体" w:hAnsi="宋体"/>
          <w:bCs/>
          <w:color w:val="auto"/>
          <w:sz w:val="24"/>
          <w:highlight w:val="none"/>
        </w:rPr>
        <w:t>的违约金并赔偿由此给需方造成的全部损失。</w:t>
      </w:r>
    </w:p>
    <w:p w14:paraId="0A322D6C">
      <w:pPr>
        <w:spacing w:after="0" w:line="360" w:lineRule="auto"/>
        <w:ind w:left="-2" w:firstLine="480"/>
        <w:rPr>
          <w:rFonts w:ascii="宋体" w:hAnsi="宋体"/>
          <w:bCs/>
          <w:color w:val="auto"/>
          <w:sz w:val="24"/>
          <w:highlight w:val="none"/>
        </w:rPr>
      </w:pPr>
      <w:r>
        <w:rPr>
          <w:rFonts w:ascii="宋体" w:hAnsi="宋体"/>
          <w:bCs/>
          <w:color w:val="auto"/>
          <w:sz w:val="24"/>
          <w:highlight w:val="none"/>
        </w:rPr>
        <w:t>（九）</w:t>
      </w:r>
      <w:r>
        <w:rPr>
          <w:rFonts w:hint="eastAsia" w:ascii="宋体" w:hAnsi="宋体"/>
          <w:bCs/>
          <w:color w:val="auto"/>
          <w:sz w:val="24"/>
          <w:highlight w:val="none"/>
        </w:rPr>
        <w:t>不可抗力：</w:t>
      </w:r>
    </w:p>
    <w:p w14:paraId="24D904CF">
      <w:pPr>
        <w:tabs>
          <w:tab w:val="left" w:pos="105"/>
          <w:tab w:val="left" w:pos="945"/>
          <w:tab w:val="left" w:pos="1320"/>
        </w:tabs>
        <w:spacing w:after="0" w:line="360" w:lineRule="auto"/>
        <w:ind w:firstLine="480"/>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5494415E">
      <w:pPr>
        <w:tabs>
          <w:tab w:val="left" w:pos="105"/>
          <w:tab w:val="left" w:pos="525"/>
          <w:tab w:val="left" w:pos="945"/>
        </w:tabs>
        <w:spacing w:after="0" w:line="360" w:lineRule="auto"/>
        <w:ind w:firstLine="480"/>
        <w:rPr>
          <w:rFonts w:ascii="宋体" w:hAns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招标文件及合同中所述之“不可抗力”系指不可预见、不可避免、不可克服的事件。</w:t>
      </w:r>
    </w:p>
    <w:p w14:paraId="0A862365">
      <w:pPr>
        <w:spacing w:after="0" w:line="360" w:lineRule="auto"/>
        <w:ind w:left="-2" w:firstLine="480"/>
        <w:rPr>
          <w:rFonts w:ascii="宋体" w:hAnsi="宋体"/>
          <w:bCs/>
          <w:color w:val="auto"/>
          <w:sz w:val="24"/>
          <w:highlight w:val="none"/>
        </w:rPr>
      </w:pPr>
      <w:r>
        <w:rPr>
          <w:rFonts w:hint="eastAsia" w:ascii="宋体" w:hAnsi="宋体"/>
          <w:bCs/>
          <w:color w:val="auto"/>
          <w:sz w:val="24"/>
          <w:highlight w:val="none"/>
        </w:rPr>
        <w:t>（十）合同生效及其它：</w:t>
      </w:r>
    </w:p>
    <w:p w14:paraId="1519F88C">
      <w:pPr>
        <w:tabs>
          <w:tab w:val="left" w:pos="0"/>
          <w:tab w:val="left" w:pos="525"/>
          <w:tab w:val="left" w:pos="94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合同经供需双方代表签字并盖章后即生效。</w:t>
      </w:r>
    </w:p>
    <w:p w14:paraId="36B48003">
      <w:pPr>
        <w:tabs>
          <w:tab w:val="left" w:pos="0"/>
          <w:tab w:val="left" w:pos="525"/>
          <w:tab w:val="left" w:pos="945"/>
        </w:tabs>
        <w:spacing w:after="0" w:line="360" w:lineRule="auto"/>
        <w:ind w:firstLine="480"/>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bCs/>
          <w:color w:val="auto"/>
          <w:sz w:val="24"/>
          <w:highlight w:val="none"/>
        </w:rPr>
        <w:t>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highlight w:val="none"/>
        </w:rPr>
        <w:t>由供需双方协商处理，若协商不成，</w:t>
      </w:r>
      <w:r>
        <w:rPr>
          <w:rFonts w:hint="eastAsia" w:ascii="宋体" w:hAnsi="宋体"/>
          <w:bCs/>
          <w:color w:val="auto"/>
          <w:sz w:val="24"/>
          <w:highlight w:val="none"/>
        </w:rPr>
        <w:t>可选择以下</w:t>
      </w:r>
      <w:r>
        <w:rPr>
          <w:rFonts w:ascii="宋体" w:hAnsi="宋体"/>
          <w:bCs/>
          <w:color w:val="auto"/>
          <w:sz w:val="24"/>
          <w:highlight w:val="none"/>
          <w:u w:val="single"/>
        </w:rPr>
        <w:t xml:space="preserve"> </w:t>
      </w:r>
      <w:r>
        <w:rPr>
          <w:rFonts w:hint="eastAsia" w:ascii="宋体" w:hAnsi="宋体"/>
          <w:bCs/>
          <w:color w:val="auto"/>
          <w:sz w:val="24"/>
          <w:highlight w:val="none"/>
          <w:u w:val="single"/>
        </w:rPr>
        <w:t>（1）</w:t>
      </w:r>
      <w:r>
        <w:rPr>
          <w:rFonts w:ascii="宋体" w:hAnsi="宋体"/>
          <w:bCs/>
          <w:color w:val="auto"/>
          <w:sz w:val="24"/>
          <w:highlight w:val="none"/>
          <w:u w:val="single"/>
        </w:rPr>
        <w:t xml:space="preserve"> </w:t>
      </w:r>
      <w:r>
        <w:rPr>
          <w:rFonts w:hint="eastAsia" w:ascii="宋体" w:hAnsi="宋体"/>
          <w:bCs/>
          <w:color w:val="auto"/>
          <w:sz w:val="24"/>
          <w:highlight w:val="none"/>
        </w:rPr>
        <w:t>方式处理：</w:t>
      </w:r>
    </w:p>
    <w:p w14:paraId="48AC2E37">
      <w:pPr>
        <w:tabs>
          <w:tab w:val="left" w:pos="525"/>
          <w:tab w:val="left" w:pos="945"/>
        </w:tabs>
        <w:spacing w:after="0" w:line="360" w:lineRule="auto"/>
        <w:ind w:left="521" w:firstLine="480"/>
        <w:rPr>
          <w:rFonts w:ascii="宋体" w:hAnsi="宋体"/>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1</w:t>
      </w:r>
      <w:r>
        <w:rPr>
          <w:rFonts w:hint="eastAsia" w:ascii="宋体" w:hAnsi="宋体"/>
          <w:bCs/>
          <w:color w:val="auto"/>
          <w:sz w:val="24"/>
          <w:highlight w:val="none"/>
        </w:rPr>
        <w:t>）</w:t>
      </w:r>
      <w:r>
        <w:rPr>
          <w:rFonts w:hint="eastAsia" w:ascii="宋体" w:hAnsi="宋体"/>
          <w:color w:val="auto"/>
          <w:sz w:val="24"/>
          <w:highlight w:val="none"/>
        </w:rPr>
        <w:t>向无锡仲裁委员会申请仲裁。</w:t>
      </w:r>
    </w:p>
    <w:p w14:paraId="1453D61E">
      <w:pPr>
        <w:tabs>
          <w:tab w:val="left" w:pos="525"/>
          <w:tab w:val="left" w:pos="945"/>
        </w:tabs>
        <w:spacing w:after="0" w:line="360" w:lineRule="auto"/>
        <w:ind w:left="521"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）向需方所在地法院提起诉讼。</w:t>
      </w:r>
    </w:p>
    <w:p w14:paraId="19C84049">
      <w:pPr>
        <w:tabs>
          <w:tab w:val="left" w:pos="0"/>
          <w:tab w:val="left" w:pos="525"/>
          <w:tab w:val="left" w:pos="94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3.</w:t>
      </w:r>
      <w:r>
        <w:rPr>
          <w:rFonts w:hint="eastAsia" w:ascii="宋体" w:hAnsi="宋体"/>
          <w:bCs/>
          <w:color w:val="auto"/>
          <w:sz w:val="24"/>
          <w:highlight w:val="none"/>
        </w:rPr>
        <w:t>合同在执行过程中出现的未尽事宜，双方在不违背本合同和招标文件的原则下协商解决，协商结果以书面形式签订补充协议，且补充协议与本合同具有同等效力。</w:t>
      </w:r>
    </w:p>
    <w:p w14:paraId="0012595C">
      <w:pPr>
        <w:tabs>
          <w:tab w:val="left" w:pos="0"/>
          <w:tab w:val="left" w:pos="525"/>
          <w:tab w:val="left" w:pos="945"/>
        </w:tabs>
        <w:spacing w:after="0" w:line="360" w:lineRule="auto"/>
        <w:ind w:firstLine="480"/>
        <w:rPr>
          <w:rFonts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合同中未有约定的按照有关的法律法规以及国家行业标准或技术文件规定予以解决。</w:t>
      </w:r>
    </w:p>
    <w:p w14:paraId="48ABC8A6">
      <w:pPr>
        <w:tabs>
          <w:tab w:val="left" w:pos="0"/>
          <w:tab w:val="left" w:pos="525"/>
          <w:tab w:val="left" w:pos="945"/>
        </w:tabs>
        <w:spacing w:after="0" w:line="360" w:lineRule="auto"/>
        <w:ind w:firstLine="480"/>
        <w:rPr>
          <w:rFonts w:ascii="宋体" w:hAnsi="宋体"/>
          <w:bCs/>
          <w:color w:val="auto"/>
          <w:sz w:val="24"/>
          <w:highlight w:val="none"/>
        </w:rPr>
      </w:pPr>
      <w:r>
        <w:rPr>
          <w:rFonts w:hint="eastAsia" w:ascii="宋体" w:hAnsi="宋体"/>
          <w:bCs/>
          <w:color w:val="auto"/>
          <w:sz w:val="24"/>
          <w:highlight w:val="none"/>
          <w:lang w:eastAsia="zh-CN"/>
        </w:rPr>
        <w:t>5.</w:t>
      </w:r>
      <w:r>
        <w:rPr>
          <w:rFonts w:hint="eastAsia" w:ascii="宋体" w:hAnsi="宋体"/>
          <w:bCs/>
          <w:color w:val="auto"/>
          <w:sz w:val="24"/>
          <w:highlight w:val="none"/>
        </w:rPr>
        <w:t>供需双方确认：对本合同条款及后果均已知悉，一致确认不存在欺诈、胁迫、乘人之危、重大误解、显失公平等任何可能导致合同无效或被撤销的情形。</w:t>
      </w:r>
    </w:p>
    <w:p w14:paraId="20563B14">
      <w:pPr>
        <w:rPr>
          <w:color w:val="auto"/>
          <w:highlight w:val="none"/>
        </w:rPr>
      </w:pPr>
    </w:p>
    <w:p w14:paraId="6810181B">
      <w:pPr>
        <w:spacing w:line="360" w:lineRule="auto"/>
        <w:ind w:firstLine="560"/>
        <w:rPr>
          <w:rFonts w:ascii="宋体" w:hAnsi="宋体"/>
          <w:color w:val="auto"/>
          <w:sz w:val="24"/>
          <w:szCs w:val="24"/>
          <w:highlight w:val="none"/>
          <w:lang w:bidi="ar"/>
        </w:rPr>
      </w:pPr>
      <w:r>
        <w:rPr>
          <w:rFonts w:hint="eastAsia" w:ascii="黑体" w:hAnsi="黑体" w:eastAsia="黑体"/>
          <w:bCs/>
          <w:color w:val="auto"/>
          <w:sz w:val="28"/>
          <w:szCs w:val="28"/>
          <w:highlight w:val="none"/>
        </w:rPr>
        <w:br w:type="page" w:clear="all"/>
      </w:r>
      <w:r>
        <w:rPr>
          <w:rFonts w:hint="eastAsia" w:ascii="宋体" w:hAnsi="宋体"/>
          <w:color w:val="auto"/>
          <w:sz w:val="24"/>
          <w:szCs w:val="24"/>
          <w:highlight w:val="none"/>
          <w:lang w:bidi="ar"/>
        </w:rPr>
        <w:t>附件1</w:t>
      </w:r>
    </w:p>
    <w:p w14:paraId="3949AC06">
      <w:pPr>
        <w:spacing w:line="360" w:lineRule="auto"/>
        <w:ind w:firstLine="560"/>
        <w:jc w:val="center"/>
        <w:rPr>
          <w:rFonts w:ascii="宋体" w:hAnsi="宋体"/>
          <w:b/>
          <w:color w:val="auto"/>
          <w:sz w:val="28"/>
          <w:szCs w:val="28"/>
          <w:highlight w:val="none"/>
          <w:lang w:bidi="ar"/>
        </w:rPr>
      </w:pPr>
      <w:r>
        <w:rPr>
          <w:rFonts w:hint="eastAsia" w:ascii="宋体" w:hAnsi="宋体"/>
          <w:b/>
          <w:color w:val="auto"/>
          <w:sz w:val="28"/>
          <w:szCs w:val="28"/>
          <w:highlight w:val="none"/>
          <w:lang w:bidi="ar"/>
        </w:rPr>
        <w:t>货物清单及明细报价</w:t>
      </w:r>
    </w:p>
    <w:tbl>
      <w:tblPr>
        <w:tblStyle w:val="36"/>
        <w:tblW w:w="86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193"/>
        <w:gridCol w:w="967"/>
        <w:gridCol w:w="1159"/>
        <w:gridCol w:w="709"/>
        <w:gridCol w:w="708"/>
        <w:gridCol w:w="1110"/>
        <w:gridCol w:w="1134"/>
        <w:gridCol w:w="854"/>
      </w:tblGrid>
      <w:tr w14:paraId="41337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812" w:type="dxa"/>
            <w:noWrap w:val="0"/>
            <w:vAlign w:val="center"/>
          </w:tcPr>
          <w:p w14:paraId="304AF862">
            <w:pPr>
              <w:keepNext w:val="0"/>
              <w:keepLines w:val="0"/>
              <w:pageBreakBefore w:val="0"/>
              <w:widowControl/>
              <w:spacing w:after="0" w:line="460" w:lineRule="exact"/>
              <w:jc w:val="center"/>
              <w:rPr>
                <w:rFonts w:ascii="等线" w:hAnsi="等线" w:eastAsia="等线" w:cs="Arial"/>
                <w:color w:val="auto"/>
                <w:szCs w:val="21"/>
                <w:highlight w:val="none"/>
              </w:rPr>
            </w:pPr>
            <w:r>
              <w:rPr>
                <w:rFonts w:ascii="等线" w:hAnsi="等线" w:eastAsia="等线" w:cs="Arial"/>
                <w:color w:val="auto"/>
                <w:szCs w:val="21"/>
                <w:highlight w:val="none"/>
              </w:rPr>
              <w:t>序号</w:t>
            </w:r>
          </w:p>
        </w:tc>
        <w:tc>
          <w:tcPr>
            <w:tcW w:w="1193" w:type="dxa"/>
            <w:noWrap w:val="0"/>
            <w:vAlign w:val="center"/>
          </w:tcPr>
          <w:p w14:paraId="4FB59A0C">
            <w:pPr>
              <w:keepNext w:val="0"/>
              <w:keepLines w:val="0"/>
              <w:pageBreakBefore w:val="0"/>
              <w:widowControl/>
              <w:spacing w:after="0" w:line="460" w:lineRule="exact"/>
              <w:jc w:val="center"/>
              <w:rPr>
                <w:rFonts w:ascii="等线" w:hAnsi="等线" w:eastAsia="等线" w:cs="Arial"/>
                <w:color w:val="auto"/>
                <w:szCs w:val="21"/>
                <w:highlight w:val="none"/>
              </w:rPr>
            </w:pPr>
            <w:r>
              <w:rPr>
                <w:rFonts w:ascii="等线" w:hAnsi="等线" w:eastAsia="等线" w:cs="Arial"/>
                <w:color w:val="auto"/>
                <w:szCs w:val="21"/>
                <w:highlight w:val="none"/>
              </w:rPr>
              <w:t>名称</w:t>
            </w:r>
          </w:p>
        </w:tc>
        <w:tc>
          <w:tcPr>
            <w:tcW w:w="967" w:type="dxa"/>
            <w:noWrap w:val="0"/>
            <w:vAlign w:val="center"/>
          </w:tcPr>
          <w:p w14:paraId="6C50DE0A">
            <w:pPr>
              <w:keepNext w:val="0"/>
              <w:keepLines w:val="0"/>
              <w:pageBreakBefore w:val="0"/>
              <w:widowControl/>
              <w:spacing w:after="0" w:line="460" w:lineRule="exact"/>
              <w:jc w:val="center"/>
              <w:rPr>
                <w:rFonts w:ascii="等线" w:hAnsi="等线" w:eastAsia="等线" w:cs="Arial"/>
                <w:color w:val="auto"/>
                <w:szCs w:val="21"/>
                <w:highlight w:val="none"/>
              </w:rPr>
            </w:pPr>
            <w:r>
              <w:rPr>
                <w:rFonts w:ascii="等线" w:hAnsi="等线" w:eastAsia="等线" w:cs="Arial"/>
                <w:color w:val="auto"/>
                <w:szCs w:val="21"/>
                <w:highlight w:val="none"/>
              </w:rPr>
              <w:t>制造商名称</w:t>
            </w:r>
          </w:p>
        </w:tc>
        <w:tc>
          <w:tcPr>
            <w:tcW w:w="1159" w:type="dxa"/>
            <w:noWrap w:val="0"/>
            <w:vAlign w:val="center"/>
          </w:tcPr>
          <w:p w14:paraId="2B2C12B4">
            <w:pPr>
              <w:keepNext w:val="0"/>
              <w:keepLines w:val="0"/>
              <w:pageBreakBefore w:val="0"/>
              <w:widowControl/>
              <w:spacing w:after="0" w:line="460" w:lineRule="exact"/>
              <w:jc w:val="center"/>
              <w:rPr>
                <w:rFonts w:ascii="等线" w:hAnsi="等线" w:eastAsia="等线" w:cs="Arial"/>
                <w:color w:val="auto"/>
                <w:szCs w:val="21"/>
                <w:highlight w:val="none"/>
              </w:rPr>
            </w:pPr>
            <w:r>
              <w:rPr>
                <w:rFonts w:ascii="等线" w:hAnsi="等线" w:eastAsia="等线" w:cs="Arial"/>
                <w:color w:val="auto"/>
                <w:szCs w:val="21"/>
                <w:highlight w:val="none"/>
              </w:rPr>
              <w:t>型号规格</w:t>
            </w:r>
          </w:p>
        </w:tc>
        <w:tc>
          <w:tcPr>
            <w:tcW w:w="709" w:type="dxa"/>
            <w:noWrap w:val="0"/>
            <w:vAlign w:val="center"/>
          </w:tcPr>
          <w:p w14:paraId="3B83ED4C">
            <w:pPr>
              <w:keepNext w:val="0"/>
              <w:keepLines w:val="0"/>
              <w:pageBreakBefore w:val="0"/>
              <w:widowControl/>
              <w:spacing w:after="0" w:line="460" w:lineRule="exact"/>
              <w:jc w:val="center"/>
              <w:rPr>
                <w:rFonts w:ascii="等线" w:hAnsi="等线" w:eastAsia="等线" w:cs="Arial"/>
                <w:color w:val="auto"/>
                <w:szCs w:val="21"/>
                <w:highlight w:val="none"/>
              </w:rPr>
            </w:pPr>
            <w:r>
              <w:rPr>
                <w:rFonts w:ascii="等线" w:hAnsi="等线" w:eastAsia="等线" w:cs="Arial"/>
                <w:color w:val="auto"/>
                <w:szCs w:val="21"/>
                <w:highlight w:val="none"/>
              </w:rPr>
              <w:t>单位</w:t>
            </w:r>
          </w:p>
        </w:tc>
        <w:tc>
          <w:tcPr>
            <w:tcW w:w="708" w:type="dxa"/>
            <w:noWrap w:val="0"/>
            <w:vAlign w:val="center"/>
          </w:tcPr>
          <w:p w14:paraId="409ED5EA">
            <w:pPr>
              <w:keepNext w:val="0"/>
              <w:keepLines w:val="0"/>
              <w:pageBreakBefore w:val="0"/>
              <w:widowControl/>
              <w:spacing w:after="0" w:line="460" w:lineRule="exact"/>
              <w:jc w:val="center"/>
              <w:rPr>
                <w:rFonts w:ascii="等线" w:hAnsi="等线" w:eastAsia="等线" w:cs="Arial"/>
                <w:color w:val="auto"/>
                <w:szCs w:val="21"/>
                <w:highlight w:val="none"/>
              </w:rPr>
            </w:pPr>
            <w:r>
              <w:rPr>
                <w:rFonts w:ascii="等线" w:hAnsi="等线" w:eastAsia="等线" w:cs="Arial"/>
                <w:color w:val="auto"/>
                <w:szCs w:val="21"/>
                <w:highlight w:val="none"/>
              </w:rPr>
              <w:t>数量</w:t>
            </w:r>
          </w:p>
        </w:tc>
        <w:tc>
          <w:tcPr>
            <w:tcW w:w="1110" w:type="dxa"/>
            <w:noWrap w:val="0"/>
            <w:vAlign w:val="center"/>
          </w:tcPr>
          <w:p w14:paraId="5900CA25">
            <w:pPr>
              <w:keepNext w:val="0"/>
              <w:keepLines w:val="0"/>
              <w:pageBreakBefore w:val="0"/>
              <w:widowControl/>
              <w:spacing w:after="0" w:line="460" w:lineRule="exact"/>
              <w:jc w:val="center"/>
              <w:rPr>
                <w:rFonts w:ascii="等线" w:hAnsi="等线" w:eastAsia="等线" w:cs="Arial"/>
                <w:color w:val="auto"/>
                <w:szCs w:val="21"/>
                <w:highlight w:val="none"/>
              </w:rPr>
            </w:pPr>
            <w:r>
              <w:rPr>
                <w:rFonts w:ascii="等线" w:hAnsi="等线" w:eastAsia="等线" w:cs="Arial"/>
                <w:color w:val="auto"/>
                <w:szCs w:val="21"/>
                <w:highlight w:val="none"/>
              </w:rPr>
              <w:t>单价</w:t>
            </w:r>
          </w:p>
        </w:tc>
        <w:tc>
          <w:tcPr>
            <w:tcW w:w="1134" w:type="dxa"/>
            <w:noWrap w:val="0"/>
            <w:vAlign w:val="center"/>
          </w:tcPr>
          <w:p w14:paraId="00B56807">
            <w:pPr>
              <w:keepNext w:val="0"/>
              <w:keepLines w:val="0"/>
              <w:pageBreakBefore w:val="0"/>
              <w:widowControl/>
              <w:spacing w:after="0" w:line="460" w:lineRule="exact"/>
              <w:jc w:val="center"/>
              <w:rPr>
                <w:rFonts w:ascii="等线" w:hAnsi="等线" w:eastAsia="等线" w:cs="Arial"/>
                <w:color w:val="auto"/>
                <w:szCs w:val="21"/>
                <w:highlight w:val="none"/>
              </w:rPr>
            </w:pPr>
            <w:r>
              <w:rPr>
                <w:rFonts w:ascii="等线" w:hAnsi="等线" w:eastAsia="等线" w:cs="Arial"/>
                <w:color w:val="auto"/>
                <w:szCs w:val="21"/>
                <w:highlight w:val="none"/>
              </w:rPr>
              <w:t>合价</w:t>
            </w:r>
          </w:p>
        </w:tc>
        <w:tc>
          <w:tcPr>
            <w:tcW w:w="854" w:type="dxa"/>
            <w:noWrap w:val="0"/>
            <w:vAlign w:val="center"/>
          </w:tcPr>
          <w:p w14:paraId="4521C08F">
            <w:pPr>
              <w:keepNext w:val="0"/>
              <w:keepLines w:val="0"/>
              <w:pageBreakBefore w:val="0"/>
              <w:widowControl/>
              <w:spacing w:after="0" w:line="460" w:lineRule="exact"/>
              <w:jc w:val="center"/>
              <w:rPr>
                <w:rFonts w:ascii="等线" w:hAnsi="等线" w:eastAsia="等线" w:cs="Arial"/>
                <w:color w:val="auto"/>
                <w:szCs w:val="21"/>
                <w:highlight w:val="none"/>
              </w:rPr>
            </w:pPr>
            <w:r>
              <w:rPr>
                <w:rFonts w:hint="eastAsia" w:ascii="等线" w:hAnsi="等线" w:eastAsia="等线" w:cs="Arial"/>
                <w:color w:val="auto"/>
                <w:szCs w:val="21"/>
                <w:highlight w:val="none"/>
              </w:rPr>
              <w:t>备注</w:t>
            </w:r>
          </w:p>
        </w:tc>
      </w:tr>
      <w:tr w14:paraId="7D3A3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812" w:type="dxa"/>
            <w:noWrap w:val="0"/>
            <w:vAlign w:val="center"/>
          </w:tcPr>
          <w:p w14:paraId="435ADBE7">
            <w:pPr>
              <w:jc w:val="center"/>
              <w:rPr>
                <w:rFonts w:ascii="等线" w:hAnsi="等线" w:eastAsia="等线" w:cs="Arial"/>
                <w:color w:val="auto"/>
                <w:szCs w:val="21"/>
                <w:highlight w:val="none"/>
              </w:rPr>
            </w:pPr>
            <w:r>
              <w:rPr>
                <w:rFonts w:ascii="等线" w:hAnsi="等线" w:eastAsia="等线" w:cs="Arial"/>
                <w:color w:val="auto"/>
                <w:szCs w:val="21"/>
                <w:highlight w:val="none"/>
              </w:rPr>
              <w:t>1</w:t>
            </w:r>
          </w:p>
        </w:tc>
        <w:tc>
          <w:tcPr>
            <w:tcW w:w="1193" w:type="dxa"/>
            <w:noWrap w:val="0"/>
            <w:vAlign w:val="center"/>
          </w:tcPr>
          <w:p w14:paraId="53577443">
            <w:pPr>
              <w:rPr>
                <w:rFonts w:ascii="等线" w:hAnsi="等线" w:eastAsia="等线" w:cs="Arial"/>
                <w:color w:val="auto"/>
                <w:szCs w:val="21"/>
                <w:highlight w:val="none"/>
              </w:rPr>
            </w:pPr>
          </w:p>
        </w:tc>
        <w:tc>
          <w:tcPr>
            <w:tcW w:w="967" w:type="dxa"/>
            <w:noWrap w:val="0"/>
            <w:vAlign w:val="center"/>
          </w:tcPr>
          <w:p w14:paraId="719D24E0">
            <w:pPr>
              <w:rPr>
                <w:rFonts w:ascii="等线" w:hAnsi="等线" w:eastAsia="等线" w:cs="Arial"/>
                <w:color w:val="auto"/>
                <w:szCs w:val="21"/>
                <w:highlight w:val="none"/>
              </w:rPr>
            </w:pPr>
          </w:p>
        </w:tc>
        <w:tc>
          <w:tcPr>
            <w:tcW w:w="1159" w:type="dxa"/>
            <w:noWrap w:val="0"/>
            <w:vAlign w:val="center"/>
          </w:tcPr>
          <w:p w14:paraId="7081598D">
            <w:pPr>
              <w:rPr>
                <w:rFonts w:ascii="等线" w:hAnsi="等线" w:eastAsia="等线" w:cs="Arial"/>
                <w:color w:val="auto"/>
                <w:szCs w:val="21"/>
                <w:highlight w:val="none"/>
              </w:rPr>
            </w:pPr>
          </w:p>
        </w:tc>
        <w:tc>
          <w:tcPr>
            <w:tcW w:w="709" w:type="dxa"/>
            <w:noWrap w:val="0"/>
            <w:vAlign w:val="center"/>
          </w:tcPr>
          <w:p w14:paraId="25393BDE">
            <w:pPr>
              <w:rPr>
                <w:rFonts w:ascii="等线" w:hAnsi="等线" w:eastAsia="等线" w:cs="Arial"/>
                <w:color w:val="auto"/>
                <w:szCs w:val="21"/>
                <w:highlight w:val="none"/>
              </w:rPr>
            </w:pPr>
          </w:p>
        </w:tc>
        <w:tc>
          <w:tcPr>
            <w:tcW w:w="708" w:type="dxa"/>
            <w:noWrap w:val="0"/>
            <w:vAlign w:val="center"/>
          </w:tcPr>
          <w:p w14:paraId="3625B9C4">
            <w:pPr>
              <w:rPr>
                <w:rFonts w:ascii="等线" w:hAnsi="等线" w:eastAsia="等线" w:cs="Arial"/>
                <w:color w:val="auto"/>
                <w:szCs w:val="21"/>
                <w:highlight w:val="none"/>
              </w:rPr>
            </w:pPr>
          </w:p>
        </w:tc>
        <w:tc>
          <w:tcPr>
            <w:tcW w:w="1110" w:type="dxa"/>
            <w:noWrap w:val="0"/>
            <w:vAlign w:val="center"/>
          </w:tcPr>
          <w:p w14:paraId="6F8ED61E">
            <w:pPr>
              <w:rPr>
                <w:rFonts w:ascii="等线" w:hAnsi="等线" w:eastAsia="等线" w:cs="Arial"/>
                <w:color w:val="auto"/>
                <w:szCs w:val="21"/>
                <w:highlight w:val="none"/>
              </w:rPr>
            </w:pPr>
          </w:p>
        </w:tc>
        <w:tc>
          <w:tcPr>
            <w:tcW w:w="1134" w:type="dxa"/>
            <w:noWrap w:val="0"/>
            <w:vAlign w:val="center"/>
          </w:tcPr>
          <w:p w14:paraId="0ADC932A">
            <w:pPr>
              <w:rPr>
                <w:rFonts w:ascii="等线" w:hAnsi="等线" w:eastAsia="等线" w:cs="Arial"/>
                <w:color w:val="auto"/>
                <w:szCs w:val="21"/>
                <w:highlight w:val="none"/>
              </w:rPr>
            </w:pPr>
          </w:p>
        </w:tc>
        <w:tc>
          <w:tcPr>
            <w:tcW w:w="854" w:type="dxa"/>
            <w:noWrap w:val="0"/>
            <w:vAlign w:val="center"/>
          </w:tcPr>
          <w:p w14:paraId="49D03B13">
            <w:pPr>
              <w:rPr>
                <w:rFonts w:ascii="等线" w:hAnsi="等线" w:eastAsia="等线" w:cs="Arial"/>
                <w:color w:val="auto"/>
                <w:szCs w:val="21"/>
                <w:highlight w:val="none"/>
              </w:rPr>
            </w:pPr>
          </w:p>
        </w:tc>
      </w:tr>
      <w:tr w14:paraId="6F99C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812" w:type="dxa"/>
            <w:noWrap w:val="0"/>
            <w:vAlign w:val="center"/>
          </w:tcPr>
          <w:p w14:paraId="5B49A7B3">
            <w:pPr>
              <w:jc w:val="center"/>
              <w:rPr>
                <w:rFonts w:ascii="等线" w:hAnsi="等线" w:eastAsia="等线" w:cs="Arial"/>
                <w:color w:val="auto"/>
                <w:szCs w:val="21"/>
                <w:highlight w:val="none"/>
              </w:rPr>
            </w:pPr>
            <w:r>
              <w:rPr>
                <w:rFonts w:ascii="等线" w:hAnsi="等线" w:eastAsia="等线" w:cs="Arial"/>
                <w:color w:val="auto"/>
                <w:szCs w:val="21"/>
                <w:highlight w:val="none"/>
              </w:rPr>
              <w:t>2</w:t>
            </w:r>
          </w:p>
        </w:tc>
        <w:tc>
          <w:tcPr>
            <w:tcW w:w="1193" w:type="dxa"/>
            <w:noWrap w:val="0"/>
            <w:vAlign w:val="center"/>
          </w:tcPr>
          <w:p w14:paraId="1251FBF2">
            <w:pPr>
              <w:rPr>
                <w:rFonts w:ascii="等线" w:hAnsi="等线" w:eastAsia="等线" w:cs="Arial"/>
                <w:color w:val="auto"/>
                <w:szCs w:val="21"/>
                <w:highlight w:val="none"/>
              </w:rPr>
            </w:pPr>
          </w:p>
        </w:tc>
        <w:tc>
          <w:tcPr>
            <w:tcW w:w="967" w:type="dxa"/>
            <w:noWrap w:val="0"/>
            <w:vAlign w:val="center"/>
          </w:tcPr>
          <w:p w14:paraId="364340D5">
            <w:pPr>
              <w:rPr>
                <w:rFonts w:ascii="等线" w:hAnsi="等线" w:eastAsia="等线" w:cs="Arial"/>
                <w:color w:val="auto"/>
                <w:szCs w:val="21"/>
                <w:highlight w:val="none"/>
              </w:rPr>
            </w:pPr>
          </w:p>
        </w:tc>
        <w:tc>
          <w:tcPr>
            <w:tcW w:w="1159" w:type="dxa"/>
            <w:noWrap w:val="0"/>
            <w:vAlign w:val="center"/>
          </w:tcPr>
          <w:p w14:paraId="7A1B33EE">
            <w:pPr>
              <w:rPr>
                <w:rFonts w:ascii="等线" w:hAnsi="等线" w:eastAsia="等线" w:cs="Arial"/>
                <w:color w:val="auto"/>
                <w:szCs w:val="21"/>
                <w:highlight w:val="none"/>
              </w:rPr>
            </w:pPr>
          </w:p>
        </w:tc>
        <w:tc>
          <w:tcPr>
            <w:tcW w:w="709" w:type="dxa"/>
            <w:noWrap w:val="0"/>
          </w:tcPr>
          <w:p w14:paraId="75E6340A">
            <w:pPr>
              <w:rPr>
                <w:color w:val="auto"/>
                <w:highlight w:val="none"/>
              </w:rPr>
            </w:pPr>
          </w:p>
        </w:tc>
        <w:tc>
          <w:tcPr>
            <w:tcW w:w="708" w:type="dxa"/>
            <w:noWrap w:val="0"/>
          </w:tcPr>
          <w:p w14:paraId="14AF4472">
            <w:pPr>
              <w:rPr>
                <w:color w:val="auto"/>
                <w:highlight w:val="none"/>
              </w:rPr>
            </w:pPr>
          </w:p>
        </w:tc>
        <w:tc>
          <w:tcPr>
            <w:tcW w:w="1110" w:type="dxa"/>
            <w:noWrap w:val="0"/>
            <w:vAlign w:val="center"/>
          </w:tcPr>
          <w:p w14:paraId="4DD301B6">
            <w:pPr>
              <w:rPr>
                <w:rFonts w:ascii="等线" w:hAnsi="等线" w:eastAsia="等线" w:cs="Arial"/>
                <w:color w:val="auto"/>
                <w:szCs w:val="21"/>
                <w:highlight w:val="none"/>
              </w:rPr>
            </w:pPr>
          </w:p>
        </w:tc>
        <w:tc>
          <w:tcPr>
            <w:tcW w:w="1134" w:type="dxa"/>
            <w:noWrap w:val="0"/>
            <w:vAlign w:val="center"/>
          </w:tcPr>
          <w:p w14:paraId="443CC21B">
            <w:pPr>
              <w:rPr>
                <w:rFonts w:ascii="等线" w:hAnsi="等线" w:eastAsia="等线" w:cs="Arial"/>
                <w:color w:val="auto"/>
                <w:szCs w:val="21"/>
                <w:highlight w:val="none"/>
              </w:rPr>
            </w:pPr>
          </w:p>
        </w:tc>
        <w:tc>
          <w:tcPr>
            <w:tcW w:w="854" w:type="dxa"/>
            <w:noWrap w:val="0"/>
            <w:vAlign w:val="center"/>
          </w:tcPr>
          <w:p w14:paraId="5C134C3F">
            <w:pPr>
              <w:rPr>
                <w:rFonts w:ascii="等线" w:hAnsi="等线" w:eastAsia="等线" w:cs="Arial"/>
                <w:color w:val="auto"/>
                <w:szCs w:val="21"/>
                <w:highlight w:val="none"/>
              </w:rPr>
            </w:pPr>
          </w:p>
        </w:tc>
      </w:tr>
      <w:tr w14:paraId="6F92D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812" w:type="dxa"/>
            <w:noWrap w:val="0"/>
            <w:vAlign w:val="center"/>
          </w:tcPr>
          <w:p w14:paraId="72ACE6B1">
            <w:pPr>
              <w:jc w:val="center"/>
              <w:rPr>
                <w:rFonts w:ascii="等线" w:hAnsi="等线" w:eastAsia="等线" w:cs="Arial"/>
                <w:color w:val="auto"/>
                <w:szCs w:val="21"/>
                <w:highlight w:val="none"/>
              </w:rPr>
            </w:pPr>
            <w:r>
              <w:rPr>
                <w:rFonts w:ascii="等线" w:hAnsi="等线" w:eastAsia="等线" w:cs="Arial"/>
                <w:color w:val="auto"/>
                <w:szCs w:val="21"/>
                <w:highlight w:val="none"/>
              </w:rPr>
              <w:t>3</w:t>
            </w:r>
          </w:p>
        </w:tc>
        <w:tc>
          <w:tcPr>
            <w:tcW w:w="1193" w:type="dxa"/>
            <w:noWrap w:val="0"/>
            <w:vAlign w:val="center"/>
          </w:tcPr>
          <w:p w14:paraId="7FDCC8AF">
            <w:pPr>
              <w:rPr>
                <w:rFonts w:ascii="等线" w:hAnsi="等线" w:eastAsia="等线" w:cs="Arial"/>
                <w:color w:val="auto"/>
                <w:szCs w:val="21"/>
                <w:highlight w:val="none"/>
              </w:rPr>
            </w:pPr>
          </w:p>
        </w:tc>
        <w:tc>
          <w:tcPr>
            <w:tcW w:w="967" w:type="dxa"/>
            <w:noWrap w:val="0"/>
            <w:vAlign w:val="center"/>
          </w:tcPr>
          <w:p w14:paraId="50552091">
            <w:pPr>
              <w:rPr>
                <w:rFonts w:ascii="等线" w:hAnsi="等线" w:eastAsia="等线" w:cs="Arial"/>
                <w:color w:val="auto"/>
                <w:szCs w:val="21"/>
                <w:highlight w:val="none"/>
              </w:rPr>
            </w:pPr>
          </w:p>
        </w:tc>
        <w:tc>
          <w:tcPr>
            <w:tcW w:w="1159" w:type="dxa"/>
            <w:noWrap w:val="0"/>
            <w:vAlign w:val="center"/>
          </w:tcPr>
          <w:p w14:paraId="743445DD">
            <w:pPr>
              <w:rPr>
                <w:rFonts w:ascii="等线" w:hAnsi="等线" w:eastAsia="等线" w:cs="Arial"/>
                <w:color w:val="auto"/>
                <w:szCs w:val="21"/>
                <w:highlight w:val="none"/>
              </w:rPr>
            </w:pPr>
          </w:p>
        </w:tc>
        <w:tc>
          <w:tcPr>
            <w:tcW w:w="709" w:type="dxa"/>
            <w:noWrap w:val="0"/>
          </w:tcPr>
          <w:p w14:paraId="55BB79F1">
            <w:pPr>
              <w:rPr>
                <w:color w:val="auto"/>
                <w:highlight w:val="none"/>
              </w:rPr>
            </w:pPr>
          </w:p>
        </w:tc>
        <w:tc>
          <w:tcPr>
            <w:tcW w:w="708" w:type="dxa"/>
            <w:noWrap w:val="0"/>
          </w:tcPr>
          <w:p w14:paraId="7706A436">
            <w:pPr>
              <w:rPr>
                <w:color w:val="auto"/>
                <w:highlight w:val="none"/>
              </w:rPr>
            </w:pPr>
          </w:p>
        </w:tc>
        <w:tc>
          <w:tcPr>
            <w:tcW w:w="1110" w:type="dxa"/>
            <w:noWrap w:val="0"/>
            <w:vAlign w:val="center"/>
          </w:tcPr>
          <w:p w14:paraId="6AB28D0D">
            <w:pPr>
              <w:rPr>
                <w:rFonts w:ascii="等线" w:hAnsi="等线" w:eastAsia="等线" w:cs="Arial"/>
                <w:color w:val="auto"/>
                <w:szCs w:val="21"/>
                <w:highlight w:val="none"/>
              </w:rPr>
            </w:pPr>
          </w:p>
        </w:tc>
        <w:tc>
          <w:tcPr>
            <w:tcW w:w="1134" w:type="dxa"/>
            <w:noWrap w:val="0"/>
            <w:vAlign w:val="center"/>
          </w:tcPr>
          <w:p w14:paraId="68B9CB19">
            <w:pPr>
              <w:rPr>
                <w:rFonts w:ascii="等线" w:hAnsi="等线" w:eastAsia="等线" w:cs="Arial"/>
                <w:color w:val="auto"/>
                <w:szCs w:val="21"/>
                <w:highlight w:val="none"/>
              </w:rPr>
            </w:pPr>
          </w:p>
        </w:tc>
        <w:tc>
          <w:tcPr>
            <w:tcW w:w="854" w:type="dxa"/>
            <w:noWrap w:val="0"/>
            <w:vAlign w:val="center"/>
          </w:tcPr>
          <w:p w14:paraId="7141BAA9">
            <w:pPr>
              <w:rPr>
                <w:rFonts w:ascii="等线" w:hAnsi="等线" w:eastAsia="等线" w:cs="Arial"/>
                <w:color w:val="auto"/>
                <w:szCs w:val="21"/>
                <w:highlight w:val="none"/>
              </w:rPr>
            </w:pPr>
          </w:p>
        </w:tc>
      </w:tr>
      <w:tr w14:paraId="7505E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jc w:val="center"/>
        </w:trPr>
        <w:tc>
          <w:tcPr>
            <w:tcW w:w="812" w:type="dxa"/>
            <w:noWrap w:val="0"/>
            <w:vAlign w:val="center"/>
          </w:tcPr>
          <w:p w14:paraId="52511CC7">
            <w:pPr>
              <w:jc w:val="center"/>
              <w:rPr>
                <w:rFonts w:ascii="等线" w:hAnsi="等线" w:eastAsia="等线" w:cs="Arial"/>
                <w:color w:val="auto"/>
                <w:szCs w:val="21"/>
                <w:highlight w:val="none"/>
              </w:rPr>
            </w:pPr>
            <w:r>
              <w:rPr>
                <w:rFonts w:ascii="等线" w:hAnsi="等线" w:eastAsia="等线" w:cs="Arial"/>
                <w:color w:val="auto"/>
                <w:szCs w:val="21"/>
                <w:highlight w:val="none"/>
              </w:rPr>
              <w:t>4</w:t>
            </w:r>
          </w:p>
        </w:tc>
        <w:tc>
          <w:tcPr>
            <w:tcW w:w="1193" w:type="dxa"/>
            <w:noWrap w:val="0"/>
            <w:vAlign w:val="center"/>
          </w:tcPr>
          <w:p w14:paraId="70FA649E">
            <w:pPr>
              <w:rPr>
                <w:rFonts w:ascii="等线" w:hAnsi="等线" w:eastAsia="等线" w:cs="Arial"/>
                <w:color w:val="auto"/>
                <w:szCs w:val="21"/>
                <w:highlight w:val="none"/>
              </w:rPr>
            </w:pPr>
          </w:p>
        </w:tc>
        <w:tc>
          <w:tcPr>
            <w:tcW w:w="967" w:type="dxa"/>
            <w:noWrap w:val="0"/>
            <w:vAlign w:val="center"/>
          </w:tcPr>
          <w:p w14:paraId="79334742">
            <w:pPr>
              <w:rPr>
                <w:rFonts w:ascii="等线" w:hAnsi="等线" w:eastAsia="等线" w:cs="Arial"/>
                <w:color w:val="auto"/>
                <w:szCs w:val="21"/>
                <w:highlight w:val="none"/>
              </w:rPr>
            </w:pPr>
          </w:p>
        </w:tc>
        <w:tc>
          <w:tcPr>
            <w:tcW w:w="1159" w:type="dxa"/>
            <w:noWrap w:val="0"/>
            <w:vAlign w:val="center"/>
          </w:tcPr>
          <w:p w14:paraId="4587CBBD">
            <w:pPr>
              <w:rPr>
                <w:rFonts w:ascii="等线" w:hAnsi="等线" w:eastAsia="等线" w:cs="Arial"/>
                <w:color w:val="auto"/>
                <w:szCs w:val="21"/>
                <w:highlight w:val="none"/>
              </w:rPr>
            </w:pPr>
          </w:p>
        </w:tc>
        <w:tc>
          <w:tcPr>
            <w:tcW w:w="709" w:type="dxa"/>
            <w:noWrap w:val="0"/>
          </w:tcPr>
          <w:p w14:paraId="3EDC9056">
            <w:pPr>
              <w:rPr>
                <w:color w:val="auto"/>
                <w:highlight w:val="none"/>
              </w:rPr>
            </w:pPr>
          </w:p>
        </w:tc>
        <w:tc>
          <w:tcPr>
            <w:tcW w:w="708" w:type="dxa"/>
            <w:noWrap w:val="0"/>
          </w:tcPr>
          <w:p w14:paraId="1809AE36">
            <w:pPr>
              <w:rPr>
                <w:color w:val="auto"/>
                <w:highlight w:val="none"/>
              </w:rPr>
            </w:pPr>
          </w:p>
        </w:tc>
        <w:tc>
          <w:tcPr>
            <w:tcW w:w="1110" w:type="dxa"/>
            <w:noWrap w:val="0"/>
            <w:vAlign w:val="center"/>
          </w:tcPr>
          <w:p w14:paraId="05176830">
            <w:pPr>
              <w:rPr>
                <w:rFonts w:ascii="等线" w:hAnsi="等线" w:eastAsia="等线" w:cs="Arial"/>
                <w:color w:val="auto"/>
                <w:szCs w:val="21"/>
                <w:highlight w:val="none"/>
              </w:rPr>
            </w:pPr>
          </w:p>
        </w:tc>
        <w:tc>
          <w:tcPr>
            <w:tcW w:w="1134" w:type="dxa"/>
            <w:noWrap w:val="0"/>
            <w:vAlign w:val="center"/>
          </w:tcPr>
          <w:p w14:paraId="0C9A104D">
            <w:pPr>
              <w:rPr>
                <w:rFonts w:ascii="等线" w:hAnsi="等线" w:eastAsia="等线" w:cs="Arial"/>
                <w:color w:val="auto"/>
                <w:szCs w:val="21"/>
                <w:highlight w:val="none"/>
              </w:rPr>
            </w:pPr>
          </w:p>
        </w:tc>
        <w:tc>
          <w:tcPr>
            <w:tcW w:w="854" w:type="dxa"/>
            <w:noWrap w:val="0"/>
            <w:vAlign w:val="center"/>
          </w:tcPr>
          <w:p w14:paraId="248BB851">
            <w:pPr>
              <w:rPr>
                <w:rFonts w:ascii="等线" w:hAnsi="等线" w:eastAsia="等线" w:cs="Arial"/>
                <w:color w:val="auto"/>
                <w:szCs w:val="21"/>
                <w:highlight w:val="none"/>
              </w:rPr>
            </w:pPr>
          </w:p>
        </w:tc>
      </w:tr>
      <w:tr w14:paraId="32032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812" w:type="dxa"/>
            <w:noWrap w:val="0"/>
            <w:vAlign w:val="center"/>
          </w:tcPr>
          <w:p w14:paraId="2BADE060">
            <w:pPr>
              <w:jc w:val="center"/>
              <w:rPr>
                <w:rFonts w:ascii="等线" w:hAnsi="等线" w:eastAsia="等线" w:cs="Arial"/>
                <w:color w:val="auto"/>
                <w:szCs w:val="21"/>
                <w:highlight w:val="none"/>
              </w:rPr>
            </w:pPr>
            <w:r>
              <w:rPr>
                <w:rFonts w:hint="eastAsia" w:ascii="等线" w:hAnsi="等线" w:eastAsia="等线" w:cs="Arial"/>
                <w:color w:val="auto"/>
                <w:szCs w:val="21"/>
                <w:highlight w:val="none"/>
              </w:rPr>
              <w:t>5</w:t>
            </w:r>
          </w:p>
        </w:tc>
        <w:tc>
          <w:tcPr>
            <w:tcW w:w="1193" w:type="dxa"/>
            <w:noWrap w:val="0"/>
            <w:vAlign w:val="center"/>
          </w:tcPr>
          <w:p w14:paraId="398F6269">
            <w:pPr>
              <w:jc w:val="center"/>
              <w:rPr>
                <w:rFonts w:ascii="等线" w:hAnsi="等线" w:eastAsia="等线" w:cs="Arial"/>
                <w:color w:val="auto"/>
                <w:szCs w:val="21"/>
                <w:highlight w:val="none"/>
              </w:rPr>
            </w:pPr>
          </w:p>
        </w:tc>
        <w:tc>
          <w:tcPr>
            <w:tcW w:w="967" w:type="dxa"/>
            <w:noWrap w:val="0"/>
            <w:vAlign w:val="center"/>
          </w:tcPr>
          <w:p w14:paraId="65D5C432">
            <w:pPr>
              <w:rPr>
                <w:rFonts w:ascii="等线" w:hAnsi="等线" w:eastAsia="等线" w:cs="Arial"/>
                <w:color w:val="auto"/>
                <w:szCs w:val="21"/>
                <w:highlight w:val="none"/>
              </w:rPr>
            </w:pPr>
          </w:p>
        </w:tc>
        <w:tc>
          <w:tcPr>
            <w:tcW w:w="1159" w:type="dxa"/>
            <w:noWrap w:val="0"/>
            <w:vAlign w:val="center"/>
          </w:tcPr>
          <w:p w14:paraId="16503D30">
            <w:pPr>
              <w:rPr>
                <w:rFonts w:ascii="等线" w:hAnsi="等线" w:eastAsia="等线" w:cs="Arial"/>
                <w:color w:val="auto"/>
                <w:szCs w:val="21"/>
                <w:highlight w:val="none"/>
              </w:rPr>
            </w:pPr>
          </w:p>
        </w:tc>
        <w:tc>
          <w:tcPr>
            <w:tcW w:w="709" w:type="dxa"/>
            <w:noWrap w:val="0"/>
          </w:tcPr>
          <w:p w14:paraId="4535E66D">
            <w:pPr>
              <w:rPr>
                <w:color w:val="auto"/>
                <w:highlight w:val="none"/>
              </w:rPr>
            </w:pPr>
          </w:p>
        </w:tc>
        <w:tc>
          <w:tcPr>
            <w:tcW w:w="708" w:type="dxa"/>
            <w:noWrap w:val="0"/>
          </w:tcPr>
          <w:p w14:paraId="1073332D">
            <w:pPr>
              <w:rPr>
                <w:color w:val="auto"/>
                <w:highlight w:val="none"/>
              </w:rPr>
            </w:pPr>
          </w:p>
        </w:tc>
        <w:tc>
          <w:tcPr>
            <w:tcW w:w="1110" w:type="dxa"/>
            <w:noWrap w:val="0"/>
            <w:vAlign w:val="center"/>
          </w:tcPr>
          <w:p w14:paraId="42FE2214">
            <w:pPr>
              <w:rPr>
                <w:rFonts w:ascii="等线" w:hAnsi="等线" w:eastAsia="等线" w:cs="Arial"/>
                <w:color w:val="auto"/>
                <w:szCs w:val="21"/>
                <w:highlight w:val="none"/>
              </w:rPr>
            </w:pPr>
          </w:p>
        </w:tc>
        <w:tc>
          <w:tcPr>
            <w:tcW w:w="1134" w:type="dxa"/>
            <w:noWrap w:val="0"/>
            <w:vAlign w:val="center"/>
          </w:tcPr>
          <w:p w14:paraId="11132043">
            <w:pPr>
              <w:rPr>
                <w:rFonts w:ascii="等线" w:hAnsi="等线" w:eastAsia="等线" w:cs="Arial"/>
                <w:color w:val="auto"/>
                <w:szCs w:val="21"/>
                <w:highlight w:val="none"/>
              </w:rPr>
            </w:pPr>
          </w:p>
        </w:tc>
        <w:tc>
          <w:tcPr>
            <w:tcW w:w="854" w:type="dxa"/>
            <w:noWrap w:val="0"/>
            <w:vAlign w:val="center"/>
          </w:tcPr>
          <w:p w14:paraId="539C2F15">
            <w:pPr>
              <w:rPr>
                <w:rFonts w:ascii="等线" w:hAnsi="等线" w:eastAsia="等线" w:cs="Arial"/>
                <w:color w:val="auto"/>
                <w:szCs w:val="21"/>
                <w:highlight w:val="none"/>
              </w:rPr>
            </w:pPr>
          </w:p>
        </w:tc>
      </w:tr>
      <w:tr w14:paraId="58206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812" w:type="dxa"/>
            <w:noWrap w:val="0"/>
            <w:vAlign w:val="center"/>
          </w:tcPr>
          <w:p w14:paraId="22399926">
            <w:pPr>
              <w:jc w:val="center"/>
              <w:rPr>
                <w:rFonts w:ascii="等线" w:hAnsi="等线" w:eastAsia="等线" w:cs="Arial"/>
                <w:color w:val="auto"/>
                <w:szCs w:val="21"/>
                <w:highlight w:val="none"/>
              </w:rPr>
            </w:pPr>
            <w:r>
              <w:rPr>
                <w:rFonts w:hint="eastAsia" w:ascii="等线" w:hAnsi="等线" w:eastAsia="等线" w:cs="Arial"/>
                <w:color w:val="auto"/>
                <w:szCs w:val="21"/>
                <w:highlight w:val="none"/>
              </w:rPr>
              <w:t>6</w:t>
            </w:r>
          </w:p>
        </w:tc>
        <w:tc>
          <w:tcPr>
            <w:tcW w:w="1193" w:type="dxa"/>
            <w:noWrap w:val="0"/>
            <w:vAlign w:val="center"/>
          </w:tcPr>
          <w:p w14:paraId="320EA5F2">
            <w:pPr>
              <w:jc w:val="center"/>
              <w:rPr>
                <w:rFonts w:ascii="等线" w:hAnsi="等线" w:eastAsia="等线" w:cs="Arial"/>
                <w:color w:val="auto"/>
                <w:szCs w:val="21"/>
                <w:highlight w:val="none"/>
              </w:rPr>
            </w:pPr>
          </w:p>
        </w:tc>
        <w:tc>
          <w:tcPr>
            <w:tcW w:w="967" w:type="dxa"/>
            <w:noWrap w:val="0"/>
            <w:vAlign w:val="center"/>
          </w:tcPr>
          <w:p w14:paraId="3C94B2E7">
            <w:pPr>
              <w:rPr>
                <w:rFonts w:ascii="等线" w:hAnsi="等线" w:eastAsia="等线" w:cs="Arial"/>
                <w:color w:val="auto"/>
                <w:szCs w:val="21"/>
                <w:highlight w:val="none"/>
              </w:rPr>
            </w:pPr>
          </w:p>
        </w:tc>
        <w:tc>
          <w:tcPr>
            <w:tcW w:w="1159" w:type="dxa"/>
            <w:noWrap w:val="0"/>
            <w:vAlign w:val="center"/>
          </w:tcPr>
          <w:p w14:paraId="1C7BB2E1">
            <w:pPr>
              <w:rPr>
                <w:rFonts w:ascii="等线" w:hAnsi="等线" w:eastAsia="等线" w:cs="Arial"/>
                <w:color w:val="auto"/>
                <w:szCs w:val="21"/>
                <w:highlight w:val="none"/>
              </w:rPr>
            </w:pPr>
          </w:p>
        </w:tc>
        <w:tc>
          <w:tcPr>
            <w:tcW w:w="709" w:type="dxa"/>
            <w:noWrap w:val="0"/>
          </w:tcPr>
          <w:p w14:paraId="7AFA1656">
            <w:pPr>
              <w:rPr>
                <w:color w:val="auto"/>
                <w:highlight w:val="none"/>
              </w:rPr>
            </w:pPr>
          </w:p>
        </w:tc>
        <w:tc>
          <w:tcPr>
            <w:tcW w:w="708" w:type="dxa"/>
            <w:noWrap w:val="0"/>
          </w:tcPr>
          <w:p w14:paraId="2D5F9DE2">
            <w:pPr>
              <w:rPr>
                <w:color w:val="auto"/>
                <w:highlight w:val="none"/>
              </w:rPr>
            </w:pPr>
          </w:p>
        </w:tc>
        <w:tc>
          <w:tcPr>
            <w:tcW w:w="1110" w:type="dxa"/>
            <w:noWrap w:val="0"/>
            <w:vAlign w:val="center"/>
          </w:tcPr>
          <w:p w14:paraId="30866AF3">
            <w:pPr>
              <w:rPr>
                <w:rFonts w:ascii="等线" w:hAnsi="等线" w:eastAsia="等线" w:cs="Arial"/>
                <w:color w:val="auto"/>
                <w:szCs w:val="21"/>
                <w:highlight w:val="none"/>
              </w:rPr>
            </w:pPr>
          </w:p>
        </w:tc>
        <w:tc>
          <w:tcPr>
            <w:tcW w:w="1134" w:type="dxa"/>
            <w:noWrap w:val="0"/>
            <w:vAlign w:val="center"/>
          </w:tcPr>
          <w:p w14:paraId="63B17AF5">
            <w:pPr>
              <w:rPr>
                <w:rFonts w:ascii="等线" w:hAnsi="等线" w:eastAsia="等线" w:cs="Arial"/>
                <w:color w:val="auto"/>
                <w:szCs w:val="21"/>
                <w:highlight w:val="none"/>
              </w:rPr>
            </w:pPr>
          </w:p>
        </w:tc>
        <w:tc>
          <w:tcPr>
            <w:tcW w:w="854" w:type="dxa"/>
            <w:noWrap w:val="0"/>
            <w:vAlign w:val="center"/>
          </w:tcPr>
          <w:p w14:paraId="6CE8E72D">
            <w:pPr>
              <w:rPr>
                <w:rFonts w:ascii="等线" w:hAnsi="等线" w:eastAsia="等线" w:cs="Arial"/>
                <w:color w:val="auto"/>
                <w:szCs w:val="21"/>
                <w:highlight w:val="none"/>
              </w:rPr>
            </w:pPr>
          </w:p>
        </w:tc>
      </w:tr>
      <w:tr w14:paraId="5D241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812" w:type="dxa"/>
            <w:noWrap w:val="0"/>
            <w:vAlign w:val="center"/>
          </w:tcPr>
          <w:p w14:paraId="498A97EC">
            <w:pPr>
              <w:jc w:val="center"/>
              <w:rPr>
                <w:rFonts w:ascii="等线" w:hAnsi="等线" w:eastAsia="等线" w:cs="Arial"/>
                <w:color w:val="auto"/>
                <w:szCs w:val="21"/>
                <w:highlight w:val="none"/>
              </w:rPr>
            </w:pPr>
            <w:r>
              <w:rPr>
                <w:rFonts w:hint="eastAsia" w:ascii="等线" w:hAnsi="等线" w:eastAsia="等线" w:cs="Arial"/>
                <w:color w:val="auto"/>
                <w:szCs w:val="21"/>
                <w:highlight w:val="none"/>
              </w:rPr>
              <w:t>7</w:t>
            </w:r>
          </w:p>
        </w:tc>
        <w:tc>
          <w:tcPr>
            <w:tcW w:w="1193" w:type="dxa"/>
            <w:noWrap w:val="0"/>
            <w:vAlign w:val="center"/>
          </w:tcPr>
          <w:p w14:paraId="2DA24CE7">
            <w:pPr>
              <w:jc w:val="center"/>
              <w:rPr>
                <w:rFonts w:ascii="等线" w:hAnsi="等线" w:eastAsia="等线" w:cs="Arial"/>
                <w:color w:val="auto"/>
                <w:szCs w:val="21"/>
                <w:highlight w:val="none"/>
              </w:rPr>
            </w:pPr>
          </w:p>
        </w:tc>
        <w:tc>
          <w:tcPr>
            <w:tcW w:w="967" w:type="dxa"/>
            <w:noWrap w:val="0"/>
            <w:vAlign w:val="center"/>
          </w:tcPr>
          <w:p w14:paraId="1DE3ADE3">
            <w:pPr>
              <w:rPr>
                <w:rFonts w:ascii="等线" w:hAnsi="等线" w:eastAsia="等线" w:cs="Arial"/>
                <w:color w:val="auto"/>
                <w:szCs w:val="21"/>
                <w:highlight w:val="none"/>
              </w:rPr>
            </w:pPr>
          </w:p>
        </w:tc>
        <w:tc>
          <w:tcPr>
            <w:tcW w:w="1159" w:type="dxa"/>
            <w:noWrap w:val="0"/>
            <w:vAlign w:val="center"/>
          </w:tcPr>
          <w:p w14:paraId="6B9199E4">
            <w:pPr>
              <w:rPr>
                <w:rFonts w:ascii="等线" w:hAnsi="等线" w:eastAsia="等线" w:cs="Arial"/>
                <w:color w:val="auto"/>
                <w:szCs w:val="21"/>
                <w:highlight w:val="none"/>
              </w:rPr>
            </w:pPr>
          </w:p>
        </w:tc>
        <w:tc>
          <w:tcPr>
            <w:tcW w:w="709" w:type="dxa"/>
            <w:noWrap w:val="0"/>
          </w:tcPr>
          <w:p w14:paraId="5EDF7A54">
            <w:pPr>
              <w:rPr>
                <w:color w:val="auto"/>
                <w:highlight w:val="none"/>
              </w:rPr>
            </w:pPr>
          </w:p>
        </w:tc>
        <w:tc>
          <w:tcPr>
            <w:tcW w:w="708" w:type="dxa"/>
            <w:noWrap w:val="0"/>
          </w:tcPr>
          <w:p w14:paraId="6894CD3A">
            <w:pPr>
              <w:rPr>
                <w:color w:val="auto"/>
                <w:highlight w:val="none"/>
              </w:rPr>
            </w:pPr>
          </w:p>
        </w:tc>
        <w:tc>
          <w:tcPr>
            <w:tcW w:w="1110" w:type="dxa"/>
            <w:noWrap w:val="0"/>
            <w:vAlign w:val="center"/>
          </w:tcPr>
          <w:p w14:paraId="1830545A">
            <w:pPr>
              <w:rPr>
                <w:rFonts w:ascii="等线" w:hAnsi="等线" w:eastAsia="等线" w:cs="Arial"/>
                <w:color w:val="auto"/>
                <w:szCs w:val="21"/>
                <w:highlight w:val="none"/>
              </w:rPr>
            </w:pPr>
          </w:p>
        </w:tc>
        <w:tc>
          <w:tcPr>
            <w:tcW w:w="1134" w:type="dxa"/>
            <w:noWrap w:val="0"/>
            <w:vAlign w:val="center"/>
          </w:tcPr>
          <w:p w14:paraId="4B4A5C4E">
            <w:pPr>
              <w:rPr>
                <w:rFonts w:ascii="等线" w:hAnsi="等线" w:eastAsia="等线" w:cs="Arial"/>
                <w:color w:val="auto"/>
                <w:szCs w:val="21"/>
                <w:highlight w:val="none"/>
              </w:rPr>
            </w:pPr>
          </w:p>
        </w:tc>
        <w:tc>
          <w:tcPr>
            <w:tcW w:w="854" w:type="dxa"/>
            <w:noWrap w:val="0"/>
            <w:vAlign w:val="center"/>
          </w:tcPr>
          <w:p w14:paraId="5C3982A9">
            <w:pPr>
              <w:rPr>
                <w:rFonts w:ascii="等线" w:hAnsi="等线" w:eastAsia="等线" w:cs="Arial"/>
                <w:color w:val="auto"/>
                <w:szCs w:val="21"/>
                <w:highlight w:val="none"/>
              </w:rPr>
            </w:pPr>
          </w:p>
        </w:tc>
      </w:tr>
      <w:tr w14:paraId="4FF69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812" w:type="dxa"/>
            <w:noWrap w:val="0"/>
            <w:vAlign w:val="center"/>
          </w:tcPr>
          <w:p w14:paraId="5B6027AD">
            <w:pPr>
              <w:jc w:val="center"/>
              <w:rPr>
                <w:rFonts w:ascii="等线" w:hAnsi="等线" w:eastAsia="等线" w:cs="Arial"/>
                <w:color w:val="auto"/>
                <w:szCs w:val="21"/>
                <w:highlight w:val="none"/>
              </w:rPr>
            </w:pPr>
            <w:r>
              <w:rPr>
                <w:rFonts w:hint="eastAsia" w:ascii="等线" w:hAnsi="等线" w:eastAsia="等线" w:cs="Arial"/>
                <w:color w:val="auto"/>
                <w:szCs w:val="21"/>
                <w:highlight w:val="none"/>
              </w:rPr>
              <w:t>8</w:t>
            </w:r>
          </w:p>
        </w:tc>
        <w:tc>
          <w:tcPr>
            <w:tcW w:w="1193" w:type="dxa"/>
            <w:noWrap w:val="0"/>
            <w:vAlign w:val="center"/>
          </w:tcPr>
          <w:p w14:paraId="257058BE">
            <w:pPr>
              <w:jc w:val="center"/>
              <w:rPr>
                <w:rFonts w:ascii="等线" w:hAnsi="等线" w:eastAsia="等线" w:cs="Arial"/>
                <w:color w:val="auto"/>
                <w:szCs w:val="21"/>
                <w:highlight w:val="none"/>
              </w:rPr>
            </w:pPr>
          </w:p>
        </w:tc>
        <w:tc>
          <w:tcPr>
            <w:tcW w:w="967" w:type="dxa"/>
            <w:noWrap w:val="0"/>
            <w:vAlign w:val="center"/>
          </w:tcPr>
          <w:p w14:paraId="7E0F5C83">
            <w:pPr>
              <w:rPr>
                <w:rFonts w:ascii="等线" w:hAnsi="等线" w:eastAsia="等线" w:cs="Arial"/>
                <w:color w:val="auto"/>
                <w:szCs w:val="21"/>
                <w:highlight w:val="none"/>
              </w:rPr>
            </w:pPr>
          </w:p>
        </w:tc>
        <w:tc>
          <w:tcPr>
            <w:tcW w:w="1159" w:type="dxa"/>
            <w:noWrap w:val="0"/>
            <w:vAlign w:val="center"/>
          </w:tcPr>
          <w:p w14:paraId="61CD126A">
            <w:pPr>
              <w:rPr>
                <w:rFonts w:ascii="等线" w:hAnsi="等线" w:eastAsia="等线" w:cs="Arial"/>
                <w:color w:val="auto"/>
                <w:szCs w:val="21"/>
                <w:highlight w:val="none"/>
              </w:rPr>
            </w:pPr>
          </w:p>
        </w:tc>
        <w:tc>
          <w:tcPr>
            <w:tcW w:w="709" w:type="dxa"/>
            <w:noWrap w:val="0"/>
          </w:tcPr>
          <w:p w14:paraId="7373138F">
            <w:pPr>
              <w:rPr>
                <w:color w:val="auto"/>
                <w:highlight w:val="none"/>
              </w:rPr>
            </w:pPr>
          </w:p>
        </w:tc>
        <w:tc>
          <w:tcPr>
            <w:tcW w:w="708" w:type="dxa"/>
            <w:noWrap w:val="0"/>
          </w:tcPr>
          <w:p w14:paraId="6DD3DF71">
            <w:pPr>
              <w:rPr>
                <w:color w:val="auto"/>
                <w:highlight w:val="none"/>
              </w:rPr>
            </w:pPr>
          </w:p>
        </w:tc>
        <w:tc>
          <w:tcPr>
            <w:tcW w:w="1110" w:type="dxa"/>
            <w:noWrap w:val="0"/>
            <w:vAlign w:val="center"/>
          </w:tcPr>
          <w:p w14:paraId="7C5BC047">
            <w:pPr>
              <w:rPr>
                <w:rFonts w:ascii="等线" w:hAnsi="等线" w:eastAsia="等线" w:cs="Arial"/>
                <w:color w:val="auto"/>
                <w:szCs w:val="21"/>
                <w:highlight w:val="none"/>
              </w:rPr>
            </w:pPr>
          </w:p>
        </w:tc>
        <w:tc>
          <w:tcPr>
            <w:tcW w:w="1134" w:type="dxa"/>
            <w:noWrap w:val="0"/>
            <w:vAlign w:val="center"/>
          </w:tcPr>
          <w:p w14:paraId="010C030E">
            <w:pPr>
              <w:rPr>
                <w:rFonts w:ascii="等线" w:hAnsi="等线" w:eastAsia="等线" w:cs="Arial"/>
                <w:color w:val="auto"/>
                <w:szCs w:val="21"/>
                <w:highlight w:val="none"/>
              </w:rPr>
            </w:pPr>
          </w:p>
        </w:tc>
        <w:tc>
          <w:tcPr>
            <w:tcW w:w="854" w:type="dxa"/>
            <w:noWrap w:val="0"/>
            <w:vAlign w:val="center"/>
          </w:tcPr>
          <w:p w14:paraId="66706E25">
            <w:pPr>
              <w:rPr>
                <w:rFonts w:ascii="等线" w:hAnsi="等线" w:eastAsia="等线" w:cs="Arial"/>
                <w:color w:val="auto"/>
                <w:szCs w:val="21"/>
                <w:highlight w:val="none"/>
              </w:rPr>
            </w:pPr>
          </w:p>
        </w:tc>
      </w:tr>
      <w:tr w14:paraId="218F9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8646" w:type="dxa"/>
            <w:gridSpan w:val="9"/>
            <w:noWrap w:val="0"/>
            <w:vAlign w:val="center"/>
          </w:tcPr>
          <w:p w14:paraId="281D3F2F">
            <w:pPr>
              <w:rPr>
                <w:rFonts w:ascii="Arial" w:hAnsi="Arial" w:cs="Arial"/>
                <w:color w:val="auto"/>
                <w:szCs w:val="21"/>
                <w:highlight w:val="none"/>
              </w:rPr>
            </w:pPr>
            <w:r>
              <w:rPr>
                <w:rFonts w:ascii="Arial" w:hAnsi="Arial" w:cs="Arial"/>
                <w:color w:val="auto"/>
                <w:szCs w:val="21"/>
                <w:highlight w:val="none"/>
              </w:rPr>
              <w:t xml:space="preserve">总报价：大写： </w:t>
            </w:r>
            <w:r>
              <w:rPr>
                <w:rFonts w:hint="eastAsia" w:ascii="Arial" w:hAnsi="Arial" w:cs="Arial"/>
                <w:color w:val="auto"/>
                <w:szCs w:val="21"/>
                <w:highlight w:val="none"/>
                <w:u w:val="single"/>
              </w:rPr>
              <w:t xml:space="preserve">            </w:t>
            </w:r>
            <w:r>
              <w:rPr>
                <w:rFonts w:hint="eastAsia" w:ascii="宋体" w:hAnsi="宋体"/>
                <w:color w:val="auto"/>
                <w:highlight w:val="none"/>
              </w:rPr>
              <w:t>元</w:t>
            </w:r>
            <w:r>
              <w:rPr>
                <w:rFonts w:ascii="宋体" w:hAnsi="宋体"/>
                <w:color w:val="auto"/>
                <w:highlight w:val="none"/>
              </w:rPr>
              <w:t xml:space="preserve">整   </w:t>
            </w:r>
            <w:r>
              <w:rPr>
                <w:rFonts w:ascii="Arial" w:hAnsi="Arial" w:cs="Arial"/>
                <w:color w:val="auto"/>
                <w:szCs w:val="21"/>
                <w:highlight w:val="none"/>
              </w:rPr>
              <w:t>小写：</w:t>
            </w:r>
            <w:r>
              <w:rPr>
                <w:rFonts w:hint="eastAsia" w:ascii="Arial" w:hAnsi="Arial" w:cs="Arial"/>
                <w:color w:val="auto"/>
                <w:szCs w:val="21"/>
                <w:highlight w:val="none"/>
                <w:u w:val="single"/>
              </w:rPr>
              <w:t xml:space="preserve">              </w:t>
            </w:r>
            <w:r>
              <w:rPr>
                <w:rFonts w:ascii="Arial" w:hAnsi="Arial" w:cs="Arial"/>
                <w:color w:val="auto"/>
                <w:szCs w:val="21"/>
                <w:highlight w:val="none"/>
              </w:rPr>
              <w:t>元</w:t>
            </w:r>
            <w:r>
              <w:rPr>
                <w:rFonts w:hint="eastAsia" w:ascii="Arial" w:hAnsi="Arial" w:cs="Arial"/>
                <w:color w:val="auto"/>
                <w:szCs w:val="21"/>
                <w:highlight w:val="none"/>
              </w:rPr>
              <w:t>（含税）</w:t>
            </w:r>
          </w:p>
        </w:tc>
      </w:tr>
    </w:tbl>
    <w:p w14:paraId="22891898">
      <w:pPr>
        <w:pStyle w:val="252"/>
        <w:rPr>
          <w:color w:val="auto"/>
          <w:highlight w:val="none"/>
        </w:rPr>
      </w:pPr>
    </w:p>
    <w:p w14:paraId="14B64469">
      <w:pPr>
        <w:spacing w:line="480" w:lineRule="auto"/>
        <w:ind w:firstLine="560"/>
        <w:rPr>
          <w:rFonts w:ascii="宋体" w:hAnsi="宋体"/>
          <w:color w:val="auto"/>
          <w:sz w:val="24"/>
          <w:szCs w:val="24"/>
          <w:highlight w:val="none"/>
        </w:rPr>
      </w:pPr>
      <w:r>
        <w:rPr>
          <w:rFonts w:hint="eastAsia" w:ascii="黑体" w:hAnsi="黑体" w:eastAsia="黑体"/>
          <w:bCs/>
          <w:color w:val="auto"/>
          <w:sz w:val="28"/>
          <w:szCs w:val="28"/>
          <w:highlight w:val="none"/>
        </w:rPr>
        <w:br w:type="page" w:clear="all"/>
      </w:r>
      <w:r>
        <w:rPr>
          <w:rFonts w:hint="eastAsia" w:ascii="宋体" w:hAnsi="宋体"/>
          <w:color w:val="auto"/>
          <w:sz w:val="24"/>
          <w:szCs w:val="24"/>
          <w:highlight w:val="none"/>
          <w:lang w:bidi="ar"/>
        </w:rPr>
        <w:t>附件2</w:t>
      </w:r>
    </w:p>
    <w:p w14:paraId="37047951">
      <w:pPr>
        <w:spacing w:line="48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lang w:bidi="ar"/>
        </w:rPr>
        <w:t>商品包装政府采购需求标准（试行）</w:t>
      </w:r>
    </w:p>
    <w:p w14:paraId="39EE667F">
      <w:pPr>
        <w:spacing w:after="0"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lang w:bidi="ar"/>
        </w:rPr>
        <w:t>一、适用范围</w:t>
      </w:r>
    </w:p>
    <w:p w14:paraId="17D20063">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本标准规定了商品使用的塑料、纸质、木质等包装材料的环保要求。</w:t>
      </w:r>
    </w:p>
    <w:p w14:paraId="24C3023D">
      <w:pPr>
        <w:spacing w:after="0"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lang w:bidi="ar"/>
        </w:rPr>
        <w:t>二、商品包装环保要求</w:t>
      </w:r>
    </w:p>
    <w:p w14:paraId="2B19BE21">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1.商品包装层数不得超过3层，空隙率不大于40%；</w:t>
      </w:r>
    </w:p>
    <w:p w14:paraId="18A53ECA">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2.商品包装尽可能使用单一材质的包装材料，如因功能需求</w:t>
      </w:r>
      <w:r>
        <w:rPr>
          <w:rFonts w:hint="eastAsia" w:ascii="宋体" w:hAnsi="宋体"/>
          <w:color w:val="auto"/>
          <w:sz w:val="24"/>
          <w:szCs w:val="24"/>
          <w:highlight w:val="none"/>
          <w:lang w:eastAsia="zh-CN" w:bidi="ar"/>
        </w:rPr>
        <w:t>必须</w:t>
      </w:r>
      <w:r>
        <w:rPr>
          <w:rFonts w:hint="eastAsia" w:ascii="宋体" w:hAnsi="宋体"/>
          <w:color w:val="auto"/>
          <w:sz w:val="24"/>
          <w:szCs w:val="24"/>
          <w:highlight w:val="none"/>
          <w:lang w:bidi="ar"/>
        </w:rPr>
        <w:t xml:space="preserve">使用不同材质，不同材质间应便于分离； </w:t>
      </w:r>
    </w:p>
    <w:p w14:paraId="58F0DE11">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3.商品包装中铅、汞、镉、六价铬的总含量应不大于100mg/kg；</w:t>
      </w:r>
    </w:p>
    <w:p w14:paraId="73CB5234">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4.商品包装印刷使用的油墨中挥发性有机化合物（VOCs）含量应不大于5%（以重量计）；</w:t>
      </w:r>
    </w:p>
    <w:p w14:paraId="64C36082">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5.塑料材质商品包装上呈现的印刷颜色不得超过6色； </w:t>
      </w:r>
    </w:p>
    <w:p w14:paraId="1FC7E483">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6.纸质商品包装应使用75%以上的可再生纤维原料生产； </w:t>
      </w:r>
    </w:p>
    <w:p w14:paraId="3B778ADD">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7.木质商品包装的原料应来源于可持续性森林。</w:t>
      </w:r>
    </w:p>
    <w:p w14:paraId="1830828D">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三、检测方法</w:t>
      </w:r>
    </w:p>
    <w:p w14:paraId="7A780D06">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1.商品包装中重金属（铅、汞、镉、六价铬）总量的检测按照GB/T10004-2008《包装用塑料复合膜、袋干法复合、挤出复合》规定的方法进行。</w:t>
      </w:r>
    </w:p>
    <w:p w14:paraId="58987BA9">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2.商品包装印刷使用的油墨中挥发性有机化合物（VOCs）的检测按照GB/T 23986-2009《色漆和清漆挥发性有机化合物（VOC）含量的测定气相色谱法》规定的方法进行。</w:t>
      </w:r>
    </w:p>
    <w:p w14:paraId="19BED22E">
      <w:pPr>
        <w:spacing w:line="360" w:lineRule="auto"/>
        <w:rPr>
          <w:rFonts w:ascii="宋体" w:hAnsi="宋体"/>
          <w:color w:val="auto"/>
          <w:sz w:val="24"/>
          <w:szCs w:val="24"/>
          <w:highlight w:val="none"/>
        </w:rPr>
      </w:pPr>
    </w:p>
    <w:p w14:paraId="7C5A76A5">
      <w:pPr>
        <w:spacing w:line="360" w:lineRule="auto"/>
        <w:rPr>
          <w:rFonts w:ascii="宋体" w:hAnsi="宋体"/>
          <w:color w:val="auto"/>
          <w:sz w:val="24"/>
          <w:szCs w:val="24"/>
          <w:highlight w:val="none"/>
        </w:rPr>
      </w:pPr>
      <w:r>
        <w:rPr>
          <w:rFonts w:hint="eastAsia" w:ascii="宋体" w:hAnsi="宋体"/>
          <w:color w:val="auto"/>
          <w:sz w:val="24"/>
          <w:szCs w:val="24"/>
          <w:highlight w:val="none"/>
          <w:lang w:bidi="ar"/>
        </w:rPr>
        <w:br w:type="page" w:clear="all"/>
      </w:r>
      <w:r>
        <w:rPr>
          <w:rFonts w:hint="eastAsia" w:ascii="宋体" w:hAnsi="宋体"/>
          <w:color w:val="auto"/>
          <w:sz w:val="24"/>
          <w:szCs w:val="24"/>
          <w:highlight w:val="none"/>
          <w:lang w:bidi="ar"/>
        </w:rPr>
        <w:t>附件3</w:t>
      </w:r>
    </w:p>
    <w:p w14:paraId="2A05A0C9">
      <w:pPr>
        <w:spacing w:line="360" w:lineRule="auto"/>
        <w:jc w:val="center"/>
        <w:rPr>
          <w:rFonts w:ascii="宋体" w:hAnsi="宋体"/>
          <w:b/>
          <w:bCs/>
          <w:color w:val="auto"/>
          <w:sz w:val="24"/>
          <w:szCs w:val="24"/>
          <w:highlight w:val="none"/>
        </w:rPr>
      </w:pPr>
      <w:r>
        <w:rPr>
          <w:rFonts w:hint="eastAsia" w:ascii="宋体" w:hAnsi="宋体"/>
          <w:b/>
          <w:bCs/>
          <w:color w:val="auto"/>
          <w:sz w:val="24"/>
          <w:szCs w:val="24"/>
          <w:highlight w:val="none"/>
          <w:lang w:bidi="ar"/>
        </w:rPr>
        <w:t>快递包装政府采购需求标准（试行）</w:t>
      </w:r>
    </w:p>
    <w:p w14:paraId="16A30495">
      <w:pPr>
        <w:spacing w:after="0"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lang w:bidi="ar"/>
        </w:rPr>
        <w:t>一、适用范围</w:t>
      </w:r>
    </w:p>
    <w:p w14:paraId="281475AD">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本标准中的快递包装主要指快递封装材料，包括封套、胶带、面单、包装袋/箱、填充物、集装袋、周转箱等。</w:t>
      </w:r>
    </w:p>
    <w:p w14:paraId="0C4DE88C">
      <w:pPr>
        <w:spacing w:after="0"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lang w:bidi="ar"/>
        </w:rPr>
        <w:t>二、快递包装环保要求</w:t>
      </w:r>
    </w:p>
    <w:p w14:paraId="72743B3E">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1.快递包装中重金属（铅、汞、镉、六价铬）总量应不大于100mg/kg；</w:t>
      </w:r>
    </w:p>
    <w:p w14:paraId="121C2C5F">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2.快递包装印刷使用的油墨中不应添加邻苯二甲酸酯，其挥发性有机化合物（VOCs）含量应不大于5%（以重量计）；</w:t>
      </w:r>
    </w:p>
    <w:p w14:paraId="4999FC18">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3.快递包装中使用纸基材的包装材料，纸基材中的有机氯的含量应不大于150mg/kg；</w:t>
      </w:r>
    </w:p>
    <w:p w14:paraId="394970C6">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4.快递包装中使用塑料基材的包装材料不得使用邻苯二甲酸二异壬酯、邻苯二甲酸二正辛酯、邻苯二甲酸二（2</w:t>
      </w:r>
      <w:r>
        <w:rPr>
          <w:rFonts w:hint="eastAsia" w:ascii="宋体" w:hAnsi="宋体"/>
          <w:color w:val="auto"/>
          <w:sz w:val="24"/>
          <w:szCs w:val="24"/>
          <w:highlight w:val="none"/>
          <w:lang w:eastAsia="zh-CN" w:bidi="ar"/>
        </w:rPr>
        <w:t>－</w:t>
      </w:r>
      <w:r>
        <w:rPr>
          <w:rFonts w:hint="eastAsia" w:ascii="宋体" w:hAnsi="宋体"/>
          <w:color w:val="auto"/>
          <w:sz w:val="24"/>
          <w:szCs w:val="24"/>
          <w:highlight w:val="none"/>
          <w:lang w:bidi="ar"/>
        </w:rPr>
        <w:t xml:space="preserve">乙基）己酯、邻苯二甲酸二异癸酯、邻苯二甲酸丁基苄基酯、邻苯二甲酸二丁酯等作为增塑剂； </w:t>
      </w:r>
    </w:p>
    <w:p w14:paraId="16E97B42">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5.快递中使用的塑料包装袋不得使用聚氯乙烯作为原料，且原料应为单一材质制成，生物分解率大于60%； </w:t>
      </w:r>
    </w:p>
    <w:p w14:paraId="1060A8AB">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6.快递中使用的充气类填充物不得使用聚氯乙烯作为原料，且原料为单一材质制成，生物分解率大于60%；</w:t>
      </w:r>
    </w:p>
    <w:p w14:paraId="1C855B9D">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7.快递中使用的集装袋应为单一材质制成，其重复使用次数应不小于80次； </w:t>
      </w:r>
    </w:p>
    <w:p w14:paraId="4857BAE5">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8.快递中应使用幅宽不大于45mm的生物降解胶带； </w:t>
      </w:r>
    </w:p>
    <w:p w14:paraId="1E3FA392">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9.快递包装中不得使用溶剂型胶粘剂； </w:t>
      </w:r>
    </w:p>
    <w:p w14:paraId="79F4C645">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10.快递应使用电子面单； </w:t>
      </w:r>
    </w:p>
    <w:p w14:paraId="2E3541D6">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11.直接使用商品包装作为快递包装的商品，其商品包装满足《商品包装政府采购需求标准（试行）》即可； </w:t>
      </w:r>
    </w:p>
    <w:p w14:paraId="6424B7CE">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12.快递包装产品质量和封装方式应符合相关国家或行业标准技术指标要求。</w:t>
      </w:r>
    </w:p>
    <w:p w14:paraId="60E2D18A">
      <w:pPr>
        <w:spacing w:after="0"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lang w:bidi="ar"/>
        </w:rPr>
        <w:t>三、检测方法</w:t>
      </w:r>
    </w:p>
    <w:p w14:paraId="127EA697">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1.快递包装中重金属（铅、汞、镉、六价铬）总量的检测按照GB/T10004-2008《包装用塑料复合膜、袋干法复合、挤出复合》规定的方法进行。 </w:t>
      </w:r>
    </w:p>
    <w:p w14:paraId="43B8E8C3">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2.快递包装印刷使用的油墨中挥发性有机化合物（VOCs）的检测按照GB/T 23986-2009《色漆和清漆挥发性有机化合物（VOC）含量的测定气相色谱法》规定的方法进行。 </w:t>
      </w:r>
    </w:p>
    <w:p w14:paraId="0BDD5309">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 xml:space="preserve">3.快递包装所使用的塑料包装的生物降解率的检测按照GB/T 20197-2006《降解塑料的定义、分类、标识和降解性能要求》规定的方法进行。 </w:t>
      </w:r>
    </w:p>
    <w:p w14:paraId="0FFC2F8E">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bidi="ar"/>
        </w:rPr>
        <w:t>4.快递包装使用纸基材的包装材料中有机氯的检测按照GB/T22904-2008《纸浆、纸和纸板总氯和有机氯的检定》规定的方法进行。</w:t>
      </w:r>
    </w:p>
    <w:p w14:paraId="1488FAC3">
      <w:pPr>
        <w:spacing w:after="0" w:line="360" w:lineRule="auto"/>
        <w:ind w:firstLine="480"/>
        <w:rPr>
          <w:rFonts w:ascii="宋体" w:hAnsi="宋体"/>
          <w:b/>
          <w:color w:val="auto"/>
          <w:sz w:val="28"/>
          <w:szCs w:val="28"/>
          <w:highlight w:val="none"/>
        </w:rPr>
      </w:pPr>
      <w:r>
        <w:rPr>
          <w:rFonts w:hint="eastAsia" w:ascii="宋体" w:hAnsi="宋体"/>
          <w:color w:val="auto"/>
          <w:sz w:val="24"/>
          <w:szCs w:val="24"/>
          <w:highlight w:val="none"/>
          <w:lang w:bidi="ar"/>
        </w:rPr>
        <w:t>5.快递包装中使用的生物降解胶带的生物降解率的检测按照GB/T19277.1《受控堆肥条件下材料最终需氧生物分解能力的测定采用测定释放的二氧化碳的方法第1部分：通用方法》规定的方法进行。</w:t>
      </w:r>
    </w:p>
    <w:p w14:paraId="2CC90161">
      <w:pPr>
        <w:jc w:val="center"/>
        <w:rPr>
          <w:rFonts w:ascii="宋体" w:hAnsi="宋体"/>
          <w:b/>
          <w:color w:val="auto"/>
          <w:sz w:val="28"/>
          <w:szCs w:val="28"/>
          <w:highlight w:val="none"/>
        </w:rPr>
      </w:pPr>
    </w:p>
    <w:p w14:paraId="13A35B74">
      <w:pPr>
        <w:jc w:val="center"/>
        <w:rPr>
          <w:rFonts w:ascii="宋体" w:hAnsi="宋体"/>
          <w:b/>
          <w:color w:val="auto"/>
          <w:sz w:val="28"/>
          <w:szCs w:val="28"/>
          <w:highlight w:val="none"/>
        </w:rPr>
      </w:pPr>
    </w:p>
    <w:p w14:paraId="7DFF2A1D">
      <w:pPr>
        <w:rPr>
          <w:rFonts w:ascii="Tahoma" w:hAnsi="Tahoma"/>
          <w:color w:val="auto"/>
          <w:szCs w:val="24"/>
          <w:highlight w:val="none"/>
        </w:rPr>
      </w:pPr>
    </w:p>
    <w:p w14:paraId="7BD9EEF5">
      <w:pPr>
        <w:jc w:val="center"/>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第五部分</w:t>
      </w:r>
      <w:r>
        <w:rPr>
          <w:rFonts w:hint="eastAsia" w:ascii="宋体" w:hAnsi="宋体"/>
          <w:b/>
          <w:color w:val="auto"/>
          <w:sz w:val="28"/>
          <w:szCs w:val="28"/>
          <w:highlight w:val="none"/>
          <w:lang w:val="en-US" w:eastAsia="zh-CN"/>
        </w:rPr>
        <w:t>.</w:t>
      </w:r>
      <w:r>
        <w:rPr>
          <w:rFonts w:hint="eastAsia" w:ascii="宋体" w:hAnsi="宋体"/>
          <w:b/>
          <w:color w:val="auto"/>
          <w:sz w:val="28"/>
          <w:szCs w:val="28"/>
          <w:highlight w:val="none"/>
        </w:rPr>
        <w:t xml:space="preserve"> 附件（投标文件格式）</w:t>
      </w:r>
    </w:p>
    <w:p w14:paraId="0541053B">
      <w:pPr>
        <w:rPr>
          <w:rFonts w:ascii="宋体" w:hAnsi="宋体"/>
          <w:b/>
          <w:color w:val="auto"/>
          <w:sz w:val="24"/>
          <w:szCs w:val="24"/>
          <w:highlight w:val="none"/>
        </w:rPr>
      </w:pPr>
    </w:p>
    <w:p w14:paraId="3931550A">
      <w:pPr>
        <w:rPr>
          <w:rFonts w:ascii="宋体" w:hAnsi="宋体"/>
          <w:bCs/>
          <w:color w:val="auto"/>
          <w:sz w:val="32"/>
          <w:highlight w:val="none"/>
        </w:rPr>
      </w:pPr>
    </w:p>
    <w:p w14:paraId="137A79FA">
      <w:pPr>
        <w:jc w:val="center"/>
        <w:rPr>
          <w:rFonts w:ascii="宋体" w:hAnsi="宋体"/>
          <w:bCs/>
          <w:color w:val="auto"/>
          <w:sz w:val="52"/>
          <w:szCs w:val="52"/>
          <w:highlight w:val="none"/>
        </w:rPr>
      </w:pPr>
      <w:r>
        <w:rPr>
          <w:rFonts w:hint="eastAsia" w:ascii="宋体" w:hAnsi="宋体"/>
          <w:bCs/>
          <w:color w:val="auto"/>
          <w:sz w:val="52"/>
          <w:szCs w:val="52"/>
          <w:highlight w:val="none"/>
        </w:rPr>
        <w:t>投</w:t>
      </w:r>
    </w:p>
    <w:p w14:paraId="0A698A60">
      <w:pPr>
        <w:jc w:val="center"/>
        <w:rPr>
          <w:rFonts w:ascii="宋体" w:hAnsi="宋体"/>
          <w:bCs/>
          <w:color w:val="auto"/>
          <w:sz w:val="72"/>
          <w:highlight w:val="none"/>
        </w:rPr>
      </w:pPr>
    </w:p>
    <w:p w14:paraId="4F2147D9">
      <w:pPr>
        <w:jc w:val="center"/>
        <w:rPr>
          <w:rFonts w:ascii="宋体" w:hAnsi="宋体"/>
          <w:bCs/>
          <w:color w:val="auto"/>
          <w:sz w:val="52"/>
          <w:szCs w:val="52"/>
          <w:highlight w:val="none"/>
        </w:rPr>
      </w:pPr>
      <w:r>
        <w:rPr>
          <w:rFonts w:hint="eastAsia" w:ascii="宋体" w:hAnsi="宋体"/>
          <w:bCs/>
          <w:color w:val="auto"/>
          <w:sz w:val="52"/>
          <w:szCs w:val="52"/>
          <w:highlight w:val="none"/>
        </w:rPr>
        <w:t>标</w:t>
      </w:r>
    </w:p>
    <w:p w14:paraId="56CB0C5A">
      <w:pPr>
        <w:jc w:val="center"/>
        <w:rPr>
          <w:rFonts w:ascii="宋体" w:hAnsi="宋体"/>
          <w:bCs/>
          <w:color w:val="auto"/>
          <w:sz w:val="72"/>
          <w:highlight w:val="none"/>
        </w:rPr>
      </w:pPr>
    </w:p>
    <w:p w14:paraId="2B4E7ACF">
      <w:pPr>
        <w:jc w:val="center"/>
        <w:rPr>
          <w:rFonts w:ascii="宋体" w:hAnsi="宋体"/>
          <w:bCs/>
          <w:color w:val="auto"/>
          <w:sz w:val="52"/>
          <w:szCs w:val="52"/>
          <w:highlight w:val="none"/>
        </w:rPr>
      </w:pPr>
      <w:r>
        <w:rPr>
          <w:rFonts w:hint="eastAsia" w:ascii="宋体" w:hAnsi="宋体"/>
          <w:bCs/>
          <w:color w:val="auto"/>
          <w:sz w:val="52"/>
          <w:szCs w:val="52"/>
          <w:highlight w:val="none"/>
        </w:rPr>
        <w:t>文</w:t>
      </w:r>
    </w:p>
    <w:p w14:paraId="2D9527BD">
      <w:pPr>
        <w:jc w:val="center"/>
        <w:rPr>
          <w:rFonts w:ascii="宋体" w:hAnsi="宋体"/>
          <w:bCs/>
          <w:color w:val="auto"/>
          <w:sz w:val="52"/>
          <w:szCs w:val="52"/>
          <w:highlight w:val="none"/>
        </w:rPr>
      </w:pPr>
    </w:p>
    <w:p w14:paraId="1A765682">
      <w:pPr>
        <w:jc w:val="center"/>
        <w:rPr>
          <w:rFonts w:ascii="宋体" w:hAnsi="宋体"/>
          <w:bCs/>
          <w:color w:val="auto"/>
          <w:sz w:val="52"/>
          <w:szCs w:val="52"/>
          <w:highlight w:val="none"/>
        </w:rPr>
      </w:pPr>
      <w:r>
        <w:rPr>
          <w:rFonts w:hint="eastAsia" w:ascii="宋体" w:hAnsi="宋体"/>
          <w:bCs/>
          <w:color w:val="auto"/>
          <w:sz w:val="52"/>
          <w:szCs w:val="52"/>
          <w:highlight w:val="none"/>
        </w:rPr>
        <w:t>件</w:t>
      </w:r>
    </w:p>
    <w:p w14:paraId="4336A9BF">
      <w:pPr>
        <w:rPr>
          <w:rFonts w:ascii="宋体" w:hAnsi="宋体"/>
          <w:bCs/>
          <w:color w:val="auto"/>
          <w:sz w:val="72"/>
          <w:highlight w:val="none"/>
        </w:rPr>
      </w:pPr>
    </w:p>
    <w:p w14:paraId="6307411D">
      <w:pPr>
        <w:rPr>
          <w:rFonts w:ascii="宋体" w:hAnsi="宋体"/>
          <w:bCs/>
          <w:color w:val="auto"/>
          <w:sz w:val="28"/>
          <w:highlight w:val="none"/>
        </w:rPr>
      </w:pPr>
    </w:p>
    <w:p w14:paraId="5EE58439">
      <w:pPr>
        <w:ind w:firstLine="2715"/>
        <w:rPr>
          <w:rFonts w:ascii="宋体" w:hAnsi="宋体"/>
          <w:bCs/>
          <w:color w:val="auto"/>
          <w:sz w:val="28"/>
          <w:szCs w:val="28"/>
          <w:highlight w:val="none"/>
        </w:rPr>
      </w:pPr>
      <w:r>
        <w:rPr>
          <w:rFonts w:hint="eastAsia" w:ascii="宋体" w:hAnsi="宋体"/>
          <w:bCs/>
          <w:color w:val="auto"/>
          <w:sz w:val="28"/>
          <w:szCs w:val="28"/>
          <w:highlight w:val="none"/>
        </w:rPr>
        <w:t>政府采购编号：</w:t>
      </w:r>
    </w:p>
    <w:p w14:paraId="3373A661">
      <w:pPr>
        <w:ind w:firstLine="2703"/>
        <w:rPr>
          <w:rFonts w:ascii="宋体" w:hAnsi="宋体"/>
          <w:bCs/>
          <w:color w:val="auto"/>
          <w:sz w:val="28"/>
          <w:szCs w:val="28"/>
          <w:highlight w:val="none"/>
        </w:rPr>
      </w:pPr>
      <w:r>
        <w:rPr>
          <w:rFonts w:hint="eastAsia" w:ascii="宋体" w:hAnsi="宋体"/>
          <w:bCs/>
          <w:color w:val="auto"/>
          <w:sz w:val="28"/>
          <w:szCs w:val="28"/>
          <w:highlight w:val="none"/>
        </w:rPr>
        <w:t>采购项目名称：</w:t>
      </w:r>
    </w:p>
    <w:p w14:paraId="21A492C4">
      <w:pPr>
        <w:ind w:firstLine="2703"/>
        <w:rPr>
          <w:rFonts w:ascii="宋体" w:hAnsi="宋体"/>
          <w:bCs/>
          <w:color w:val="auto"/>
          <w:sz w:val="28"/>
          <w:szCs w:val="28"/>
          <w:highlight w:val="none"/>
        </w:rPr>
      </w:pPr>
      <w:r>
        <w:rPr>
          <w:rFonts w:hint="eastAsia" w:ascii="宋体" w:hAnsi="宋体"/>
          <w:bCs/>
          <w:color w:val="auto"/>
          <w:sz w:val="28"/>
          <w:szCs w:val="28"/>
          <w:highlight w:val="none"/>
        </w:rPr>
        <w:t>投标人：</w:t>
      </w:r>
    </w:p>
    <w:p w14:paraId="7000A169">
      <w:pPr>
        <w:rPr>
          <w:rFonts w:ascii="宋体" w:hAnsi="宋体"/>
          <w:bCs/>
          <w:color w:val="auto"/>
          <w:sz w:val="32"/>
          <w:highlight w:val="none"/>
        </w:rPr>
      </w:pPr>
    </w:p>
    <w:p w14:paraId="6E5511BC">
      <w:pPr>
        <w:jc w:val="center"/>
        <w:rPr>
          <w:rFonts w:ascii="宋体" w:hAnsi="宋体"/>
          <w:bCs/>
          <w:color w:val="auto"/>
          <w:sz w:val="36"/>
          <w:szCs w:val="36"/>
          <w:highlight w:val="none"/>
        </w:rPr>
      </w:pPr>
      <w:r>
        <w:rPr>
          <w:rFonts w:hint="eastAsia" w:ascii="宋体" w:hAnsi="宋体"/>
          <w:bCs/>
          <w:color w:val="auto"/>
          <w:sz w:val="36"/>
          <w:szCs w:val="36"/>
          <w:highlight w:val="none"/>
          <w:lang w:eastAsia="zh-CN"/>
        </w:rPr>
        <w:t>二〇二六</w:t>
      </w:r>
      <w:r>
        <w:rPr>
          <w:rFonts w:hint="eastAsia" w:ascii="宋体" w:hAnsi="宋体"/>
          <w:bCs/>
          <w:color w:val="auto"/>
          <w:sz w:val="36"/>
          <w:szCs w:val="36"/>
          <w:highlight w:val="none"/>
        </w:rPr>
        <w:t>年  月  日</w:t>
      </w:r>
    </w:p>
    <w:p w14:paraId="41815E74">
      <w:pPr>
        <w:rPr>
          <w:rFonts w:ascii="宋体" w:hAnsi="宋体"/>
          <w:bCs/>
          <w:color w:val="auto"/>
          <w:sz w:val="24"/>
          <w:szCs w:val="24"/>
          <w:highlight w:val="none"/>
        </w:rPr>
      </w:pPr>
      <w:bookmarkStart w:id="46" w:name="一．报价函（格式）"/>
      <w:bookmarkEnd w:id="46"/>
    </w:p>
    <w:p w14:paraId="7712B676">
      <w:pPr>
        <w:ind w:firstLine="480"/>
        <w:rPr>
          <w:rFonts w:ascii="宋体" w:hAnsi="宋体"/>
          <w:bCs/>
          <w:color w:val="auto"/>
          <w:sz w:val="24"/>
          <w:szCs w:val="24"/>
          <w:highlight w:val="none"/>
        </w:rPr>
      </w:pPr>
    </w:p>
    <w:p w14:paraId="579176F1">
      <w:pPr>
        <w:spacing w:after="0" w:line="240" w:lineRule="auto"/>
        <w:outlineLvl w:val="0"/>
        <w:rPr>
          <w:rFonts w:ascii="黑体" w:hAnsi="黑体" w:eastAsia="黑体" w:cs="Times New Roman"/>
          <w:bCs/>
          <w:color w:val="auto"/>
          <w:sz w:val="28"/>
          <w:szCs w:val="28"/>
          <w:highlight w:val="none"/>
        </w:rPr>
      </w:pPr>
      <w:bookmarkStart w:id="47" w:name="_Toc1545"/>
      <w:r>
        <w:rPr>
          <w:rFonts w:hint="eastAsia" w:ascii="黑体" w:hAnsi="黑体" w:eastAsia="黑体" w:cs="Times New Roman"/>
          <w:bCs/>
          <w:color w:val="auto"/>
          <w:sz w:val="28"/>
          <w:szCs w:val="28"/>
          <w:highlight w:val="none"/>
        </w:rPr>
        <w:br w:type="page" w:clear="all"/>
      </w:r>
      <w:r>
        <w:rPr>
          <w:rFonts w:hint="eastAsia" w:ascii="黑体" w:hAnsi="黑体" w:eastAsia="黑体" w:cs="黑体"/>
          <w:bCs/>
          <w:color w:val="auto"/>
          <w:sz w:val="28"/>
          <w:szCs w:val="28"/>
          <w:highlight w:val="none"/>
        </w:rPr>
        <w:t>（一）投标函（格式）：</w:t>
      </w:r>
      <w:bookmarkEnd w:id="47"/>
    </w:p>
    <w:p w14:paraId="69DC0879">
      <w:pPr>
        <w:spacing w:line="360" w:lineRule="auto"/>
        <w:ind w:firstLine="560"/>
        <w:jc w:val="center"/>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投标函</w:t>
      </w:r>
    </w:p>
    <w:p w14:paraId="46272657">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致江苏宏翔工程造价咨询有限公司：   </w:t>
      </w:r>
    </w:p>
    <w:p w14:paraId="09EF8186">
      <w:pPr>
        <w:widowControl w:val="0"/>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我们收到你们编号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招标文件，经仔细阅读和研究，我们决定参加此次</w:t>
      </w:r>
      <w:r>
        <w:rPr>
          <w:rFonts w:hint="eastAsia" w:ascii="宋体" w:hAnsi="宋体"/>
          <w:bCs/>
          <w:color w:val="auto"/>
          <w:sz w:val="24"/>
          <w:szCs w:val="24"/>
          <w:highlight w:val="none"/>
          <w:u w:val="single"/>
        </w:rPr>
        <w:t xml:space="preserve">   （采购项目名称） </w:t>
      </w:r>
      <w:r>
        <w:rPr>
          <w:rFonts w:hint="eastAsia" w:ascii="宋体" w:hAnsi="宋体"/>
          <w:bCs/>
          <w:color w:val="auto"/>
          <w:sz w:val="24"/>
          <w:szCs w:val="24"/>
          <w:highlight w:val="none"/>
        </w:rPr>
        <w:t>项目投标。</w:t>
      </w:r>
    </w:p>
    <w:p w14:paraId="286EBF6D">
      <w:pPr>
        <w:widowControl w:val="0"/>
        <w:tabs>
          <w:tab w:val="left" w:pos="0"/>
          <w:tab w:val="left" w:pos="315"/>
          <w:tab w:val="left" w:pos="945"/>
          <w:tab w:val="left" w:pos="1155"/>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一、</w:t>
      </w:r>
      <w:r>
        <w:rPr>
          <w:rFonts w:hint="eastAsia" w:ascii="宋体" w:hAnsi="宋体"/>
          <w:color w:val="auto"/>
          <w:sz w:val="24"/>
          <w:highlight w:val="none"/>
        </w:rPr>
        <w:t>根据已收到的采购编号为</w:t>
      </w:r>
      <w:r>
        <w:rPr>
          <w:rFonts w:hint="eastAsia" w:ascii="宋体" w:hAnsi="宋体"/>
          <w:color w:val="auto"/>
          <w:sz w:val="24"/>
          <w:highlight w:val="none"/>
          <w:u w:val="single"/>
        </w:rPr>
        <w:t xml:space="preserve">             </w:t>
      </w:r>
      <w:r>
        <w:rPr>
          <w:rFonts w:hint="eastAsia" w:ascii="宋体" w:hAnsi="宋体"/>
          <w:color w:val="auto"/>
          <w:sz w:val="24"/>
          <w:highlight w:val="none"/>
        </w:rPr>
        <w:t>的</w:t>
      </w:r>
      <w:r>
        <w:rPr>
          <w:rFonts w:hint="eastAsia" w:ascii="宋体" w:hAnsi="宋体"/>
          <w:color w:val="auto"/>
          <w:sz w:val="24"/>
          <w:highlight w:val="none"/>
          <w:u w:val="single"/>
        </w:rPr>
        <w:t xml:space="preserve">            </w:t>
      </w:r>
      <w:r>
        <w:rPr>
          <w:rFonts w:hint="eastAsia" w:ascii="宋体" w:hAnsi="宋体"/>
          <w:color w:val="auto"/>
          <w:sz w:val="24"/>
          <w:highlight w:val="none"/>
        </w:rPr>
        <w:t>项目的公开采购招标文件，遵照国家法律、法规和规章的有关规定，我方经过踏勘现场和对公开采购招标文件等所有文件的研究后，我方愿以人民币（大写）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元，（小写：¥</w:t>
      </w:r>
      <w:r>
        <w:rPr>
          <w:rFonts w:hint="eastAsia" w:ascii="宋体" w:hAnsi="宋体"/>
          <w:color w:val="auto"/>
          <w:sz w:val="24"/>
          <w:highlight w:val="none"/>
          <w:u w:val="single"/>
        </w:rPr>
        <w:t xml:space="preserve">      </w:t>
      </w:r>
      <w:r>
        <w:rPr>
          <w:rFonts w:hint="eastAsia" w:ascii="宋体" w:hAnsi="宋体"/>
          <w:color w:val="auto"/>
          <w:sz w:val="24"/>
          <w:highlight w:val="none"/>
        </w:rPr>
        <w:t>元人民币）的总价，按公开采购招标文件中的要求、技术规范等条件完成本项目的供货、售后服务、培训和保修。</w:t>
      </w:r>
    </w:p>
    <w:p w14:paraId="229301FE">
      <w:pPr>
        <w:widowControl w:val="0"/>
        <w:tabs>
          <w:tab w:val="left" w:pos="525"/>
          <w:tab w:val="left" w:pos="1050"/>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二、</w:t>
      </w:r>
      <w:r>
        <w:rPr>
          <w:rFonts w:hint="eastAsia" w:ascii="宋体" w:hAnsi="宋体"/>
          <w:bCs/>
          <w:color w:val="auto"/>
          <w:sz w:val="24"/>
          <w:szCs w:val="24"/>
          <w:highlight w:val="none"/>
        </w:rPr>
        <w:t>我们愿意提供江苏宏翔工程造价咨询有限公司在招标文件中要求的文件、资料。</w:t>
      </w:r>
    </w:p>
    <w:p w14:paraId="6193B084">
      <w:pPr>
        <w:widowControl w:val="0"/>
        <w:tabs>
          <w:tab w:val="left" w:pos="0"/>
          <w:tab w:val="left" w:pos="945"/>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三、</w:t>
      </w:r>
      <w:r>
        <w:rPr>
          <w:rFonts w:hint="eastAsia" w:ascii="宋体" w:hAnsi="宋体"/>
          <w:bCs/>
          <w:color w:val="auto"/>
          <w:sz w:val="24"/>
          <w:szCs w:val="24"/>
          <w:highlight w:val="none"/>
        </w:rPr>
        <w:t>我们同意按招标文件中的规定，本投标文件投标的有效期限为中标通知书发出之日起90天。</w:t>
      </w:r>
    </w:p>
    <w:p w14:paraId="65B75279">
      <w:pPr>
        <w:widowControl w:val="0"/>
        <w:tabs>
          <w:tab w:val="left" w:pos="0"/>
          <w:tab w:val="left" w:pos="945"/>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四、</w:t>
      </w:r>
      <w:r>
        <w:rPr>
          <w:rFonts w:hint="eastAsia" w:ascii="宋体" w:hAnsi="宋体"/>
          <w:bCs/>
          <w:color w:val="auto"/>
          <w:sz w:val="24"/>
          <w:szCs w:val="24"/>
          <w:highlight w:val="none"/>
        </w:rPr>
        <w:t>如果我们的投标文件被接受，我们将履行招标文件中规定的每一项要求，按期、按质、按量，完成交货任务。</w:t>
      </w:r>
    </w:p>
    <w:p w14:paraId="03AC4278">
      <w:pPr>
        <w:widowControl w:val="0"/>
        <w:tabs>
          <w:tab w:val="left" w:pos="0"/>
          <w:tab w:val="left" w:pos="945"/>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五、</w:t>
      </w:r>
      <w:r>
        <w:rPr>
          <w:rFonts w:hint="eastAsia" w:ascii="宋体" w:hAnsi="宋体"/>
          <w:bCs/>
          <w:color w:val="auto"/>
          <w:sz w:val="24"/>
          <w:szCs w:val="24"/>
          <w:highlight w:val="none"/>
        </w:rPr>
        <w:t>我们认为你们有权决定中标者。</w:t>
      </w:r>
    </w:p>
    <w:p w14:paraId="56AFE691">
      <w:pPr>
        <w:widowControl w:val="0"/>
        <w:tabs>
          <w:tab w:val="left" w:pos="0"/>
          <w:tab w:val="left" w:pos="945"/>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六、</w:t>
      </w: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和合同条款履行自己的全部责任。在合同履行过程中，双方如有争议，同意由无锡市江苏宏翔工程造价咨询有限公司协调解决，并按相关法规和有关文件规定处理。</w:t>
      </w:r>
    </w:p>
    <w:p w14:paraId="625ACB47">
      <w:pPr>
        <w:widowControl w:val="0"/>
        <w:tabs>
          <w:tab w:val="left" w:pos="0"/>
          <w:tab w:val="left" w:pos="945"/>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七、</w:t>
      </w:r>
      <w:r>
        <w:rPr>
          <w:rFonts w:hint="eastAsia" w:ascii="宋体" w:hAnsi="宋体"/>
          <w:bCs/>
          <w:color w:val="auto"/>
          <w:sz w:val="24"/>
          <w:szCs w:val="24"/>
          <w:highlight w:val="none"/>
        </w:rPr>
        <w:t>我们认可并遵守招标文件的所有规定，放弃对招标文件提出质疑的权利。</w:t>
      </w:r>
    </w:p>
    <w:p w14:paraId="7AAE482D">
      <w:pPr>
        <w:widowControl w:val="0"/>
        <w:tabs>
          <w:tab w:val="left" w:pos="0"/>
          <w:tab w:val="left" w:pos="945"/>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八、</w:t>
      </w:r>
      <w:r>
        <w:rPr>
          <w:rFonts w:hint="eastAsia" w:ascii="宋体" w:hAnsi="宋体"/>
          <w:bCs/>
          <w:color w:val="auto"/>
          <w:sz w:val="24"/>
          <w:szCs w:val="24"/>
          <w:highlight w:val="none"/>
        </w:rPr>
        <w:t>我们愿意按招标文件的规定交纳投标保证金。如我们在投标截止期后撤回投标及中标后拒绝遵守投标承诺或拒绝在规定的时间内与采购方签订合同，则投标保证金将被贵方没收。</w:t>
      </w:r>
    </w:p>
    <w:p w14:paraId="75EFA4EA">
      <w:pPr>
        <w:widowControl w:val="0"/>
        <w:tabs>
          <w:tab w:val="left" w:pos="0"/>
          <w:tab w:val="left" w:pos="945"/>
        </w:tabs>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九、</w:t>
      </w:r>
      <w:r>
        <w:rPr>
          <w:rFonts w:hint="eastAsia" w:ascii="宋体" w:hAnsi="宋体"/>
          <w:bCs/>
          <w:color w:val="auto"/>
          <w:sz w:val="24"/>
          <w:szCs w:val="24"/>
          <w:highlight w:val="none"/>
        </w:rPr>
        <w:t>如果我方被确定为中标单位，我方愿意在签订合同时按招标文件的规定缴纳履约保证金。且我方如无不可抗力，又未履行招标文件、投标文件和合同条款的，一经查实，我方愿意赔偿由此而造成的一切损失，并同意接受按招标文件的相关要求对我方进行的处理。</w:t>
      </w:r>
    </w:p>
    <w:p w14:paraId="6D93DBDD">
      <w:pPr>
        <w:spacing w:after="0" w:line="360" w:lineRule="auto"/>
        <w:rPr>
          <w:rFonts w:ascii="宋体" w:hAnsi="宋体"/>
          <w:bCs/>
          <w:color w:val="auto"/>
          <w:sz w:val="24"/>
          <w:szCs w:val="24"/>
          <w:highlight w:val="none"/>
        </w:rPr>
      </w:pPr>
    </w:p>
    <w:p w14:paraId="2CFF0B7F">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投标人（盖章）：     </w:t>
      </w:r>
    </w:p>
    <w:p w14:paraId="5E12D7A7">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39D7B8F7">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电话：                              传真：</w:t>
      </w:r>
    </w:p>
    <w:p w14:paraId="64A49955">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地址：                              邮编：                             </w:t>
      </w:r>
    </w:p>
    <w:p w14:paraId="0758B1D3">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开户名称：</w:t>
      </w:r>
    </w:p>
    <w:p w14:paraId="46F77BAA">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p>
    <w:p w14:paraId="22987030">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开户账号：</w:t>
      </w:r>
      <w:bookmarkStart w:id="48" w:name="（报价人）法定代表人授权书（格式）"/>
      <w:bookmarkEnd w:id="48"/>
      <w:bookmarkStart w:id="49" w:name="校园网系统报价和服务承诺表（格式）"/>
      <w:bookmarkEnd w:id="49"/>
    </w:p>
    <w:p w14:paraId="3303BF38">
      <w:pPr>
        <w:rPr>
          <w:rFonts w:ascii="宋体" w:hAnsi="宋体"/>
          <w:bCs/>
          <w:color w:val="auto"/>
          <w:sz w:val="24"/>
          <w:szCs w:val="24"/>
          <w:highlight w:val="none"/>
        </w:rPr>
      </w:pPr>
    </w:p>
    <w:p w14:paraId="36A8EA9C">
      <w:pPr>
        <w:rPr>
          <w:rFonts w:ascii="宋体" w:hAnsi="宋体"/>
          <w:bCs/>
          <w:color w:val="auto"/>
          <w:sz w:val="24"/>
          <w:szCs w:val="24"/>
          <w:highlight w:val="none"/>
        </w:rPr>
      </w:pPr>
    </w:p>
    <w:p w14:paraId="5EC082D0">
      <w:pPr>
        <w:rPr>
          <w:rFonts w:ascii="宋体" w:hAnsi="宋体"/>
          <w:bCs/>
          <w:color w:val="auto"/>
          <w:sz w:val="24"/>
          <w:szCs w:val="24"/>
          <w:highlight w:val="none"/>
        </w:rPr>
      </w:pPr>
    </w:p>
    <w:p w14:paraId="43C8E3BD">
      <w:pPr>
        <w:rPr>
          <w:rFonts w:ascii="宋体" w:hAnsi="宋体"/>
          <w:bCs/>
          <w:color w:val="auto"/>
          <w:sz w:val="24"/>
          <w:szCs w:val="24"/>
          <w:highlight w:val="none"/>
        </w:rPr>
      </w:pPr>
    </w:p>
    <w:p w14:paraId="37785489">
      <w:pPr>
        <w:pStyle w:val="262"/>
        <w:rPr>
          <w:rFonts w:ascii="宋体" w:hAnsi="宋体"/>
          <w:bCs w:val="0"/>
          <w:color w:val="auto"/>
          <w:sz w:val="24"/>
          <w:szCs w:val="24"/>
          <w:highlight w:val="none"/>
        </w:rPr>
      </w:pPr>
    </w:p>
    <w:p w14:paraId="5A881238">
      <w:pPr>
        <w:pStyle w:val="308"/>
        <w:rPr>
          <w:rFonts w:ascii="宋体" w:hAnsi="宋体" w:cs="宋体"/>
          <w:bCs/>
          <w:color w:val="auto"/>
          <w:sz w:val="24"/>
          <w:szCs w:val="24"/>
          <w:highlight w:val="none"/>
        </w:rPr>
      </w:pPr>
    </w:p>
    <w:p w14:paraId="4D02CC98">
      <w:pPr>
        <w:rPr>
          <w:color w:val="auto"/>
          <w:highlight w:val="none"/>
        </w:rPr>
      </w:pPr>
    </w:p>
    <w:p w14:paraId="56E05F0E">
      <w:pPr>
        <w:rPr>
          <w:rFonts w:ascii="宋体" w:hAnsi="宋体"/>
          <w:bCs/>
          <w:color w:val="auto"/>
          <w:sz w:val="24"/>
          <w:szCs w:val="24"/>
          <w:highlight w:val="none"/>
        </w:rPr>
      </w:pPr>
    </w:p>
    <w:p w14:paraId="3EA2232D">
      <w:pPr>
        <w:spacing w:after="0" w:line="240" w:lineRule="auto"/>
        <w:outlineLvl w:val="0"/>
        <w:rPr>
          <w:rFonts w:ascii="宋体" w:hAnsi="宋体"/>
          <w:bCs/>
          <w:color w:val="auto"/>
          <w:sz w:val="28"/>
          <w:szCs w:val="28"/>
          <w:highlight w:val="none"/>
        </w:rPr>
      </w:pPr>
      <w:bookmarkStart w:id="50" w:name="_Toc9186"/>
      <w:r>
        <w:rPr>
          <w:rFonts w:hint="eastAsia" w:ascii="宋体" w:hAnsi="宋体"/>
          <w:bCs/>
          <w:color w:val="auto"/>
          <w:sz w:val="28"/>
          <w:szCs w:val="28"/>
          <w:highlight w:val="none"/>
        </w:rPr>
        <w:br w:type="page" w:clear="all"/>
      </w:r>
      <w:r>
        <w:rPr>
          <w:rFonts w:hint="eastAsia" w:ascii="黑体" w:hAnsi="黑体" w:eastAsia="黑体" w:cs="黑体"/>
          <w:bCs/>
          <w:color w:val="auto"/>
          <w:sz w:val="28"/>
          <w:szCs w:val="28"/>
          <w:highlight w:val="none"/>
        </w:rPr>
        <w:t>（二）承诺书（格式）：</w:t>
      </w:r>
      <w:bookmarkEnd w:id="50"/>
    </w:p>
    <w:p w14:paraId="40192A64">
      <w:pPr>
        <w:spacing w:line="360" w:lineRule="auto"/>
        <w:ind w:firstLine="560"/>
        <w:jc w:val="center"/>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承诺书</w:t>
      </w:r>
    </w:p>
    <w:p w14:paraId="72E8259C">
      <w:pPr>
        <w:jc w:val="center"/>
        <w:rPr>
          <w:rFonts w:ascii="宋体" w:hAnsi="宋体"/>
          <w:bCs/>
          <w:color w:val="auto"/>
          <w:sz w:val="28"/>
          <w:szCs w:val="28"/>
          <w:highlight w:val="none"/>
        </w:rPr>
      </w:pPr>
    </w:p>
    <w:p w14:paraId="1EE71964">
      <w:pPr>
        <w:spacing w:after="0"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56F8FCAD">
      <w:pPr>
        <w:spacing w:after="0" w:line="360" w:lineRule="auto"/>
        <w:ind w:firstLine="480"/>
        <w:rPr>
          <w:rFonts w:ascii="宋体" w:hAnsi="宋体"/>
          <w:color w:val="auto"/>
          <w:sz w:val="24"/>
          <w:szCs w:val="24"/>
          <w:highlight w:val="none"/>
        </w:rPr>
      </w:pPr>
    </w:p>
    <w:p w14:paraId="33A1AB62">
      <w:pPr>
        <w:tabs>
          <w:tab w:val="left" w:pos="945"/>
        </w:tabs>
        <w:spacing w:after="0" w:line="360" w:lineRule="auto"/>
        <w:ind w:firstLine="480"/>
        <w:rPr>
          <w:rFonts w:ascii="宋体" w:hAnsi="宋体"/>
          <w:b/>
          <w:bCs/>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本公司（单位）参加本次政府采购活动前三年内，在经营活动中没有重大违法记录；</w:t>
      </w:r>
    </w:p>
    <w:p w14:paraId="1B73B6C8">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14:paraId="00D93200">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bCs/>
          <w:color w:val="auto"/>
          <w:sz w:val="24"/>
          <w:szCs w:val="24"/>
          <w:highlight w:val="none"/>
        </w:rPr>
        <w:t>本公司（单位）对本项目（</w:t>
      </w:r>
      <w:r>
        <w:rPr>
          <w:rFonts w:hint="eastAsia" w:ascii="宋体" w:hAnsi="宋体"/>
          <w:bCs/>
          <w:color w:val="auto"/>
          <w:sz w:val="24"/>
          <w:szCs w:val="24"/>
          <w:highlight w:val="none"/>
          <w:lang w:eastAsia="zh-CN"/>
        </w:rPr>
        <w:t>JSZC-320200-HXZX-G2026-0014</w:t>
      </w:r>
      <w:r>
        <w:rPr>
          <w:rFonts w:hint="eastAsia" w:ascii="宋体" w:hAnsi="宋体"/>
          <w:bCs/>
          <w:color w:val="auto"/>
          <w:sz w:val="24"/>
          <w:szCs w:val="24"/>
          <w:highlight w:val="none"/>
        </w:rPr>
        <w:t>）所提供的货物均为原厂全新合格品。</w:t>
      </w:r>
    </w:p>
    <w:p w14:paraId="78B1895D">
      <w:pPr>
        <w:tabs>
          <w:tab w:val="left" w:pos="945"/>
        </w:tabs>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eastAsia="zh-CN"/>
        </w:rPr>
        <w:t>.</w:t>
      </w:r>
    </w:p>
    <w:p w14:paraId="372E2744">
      <w:pPr>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eastAsia="zh-CN"/>
        </w:rPr>
        <w:t>.</w:t>
      </w:r>
    </w:p>
    <w:p w14:paraId="0CF57762">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1A6F30CC">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E06ACA0">
      <w:pPr>
        <w:spacing w:after="0" w:line="360" w:lineRule="auto"/>
        <w:ind w:firstLine="480"/>
        <w:rPr>
          <w:rFonts w:ascii="宋体" w:hAnsi="宋体"/>
          <w:bCs/>
          <w:color w:val="auto"/>
          <w:sz w:val="24"/>
          <w:szCs w:val="24"/>
          <w:highlight w:val="none"/>
        </w:rPr>
      </w:pPr>
    </w:p>
    <w:p w14:paraId="776B319D">
      <w:pPr>
        <w:spacing w:after="0"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投标人（盖章）：</w:t>
      </w:r>
    </w:p>
    <w:p w14:paraId="7156106A">
      <w:pPr>
        <w:spacing w:after="0"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3984D1D6">
      <w:pPr>
        <w:spacing w:after="0" w:line="360" w:lineRule="auto"/>
        <w:ind w:firstLine="480"/>
        <w:rPr>
          <w:rFonts w:ascii="宋体" w:hAnsi="宋体"/>
          <w:bCs/>
          <w:color w:val="auto"/>
          <w:sz w:val="24"/>
          <w:szCs w:val="24"/>
          <w:highlight w:val="none"/>
        </w:rPr>
      </w:pPr>
    </w:p>
    <w:p w14:paraId="0F6BD397">
      <w:pPr>
        <w:spacing w:after="0"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注：以上内容由报价单位自行完善。</w:t>
      </w:r>
    </w:p>
    <w:p w14:paraId="531D3DF6">
      <w:pPr>
        <w:rPr>
          <w:rFonts w:ascii="宋体" w:hAnsi="宋体"/>
          <w:bCs/>
          <w:color w:val="auto"/>
          <w:sz w:val="24"/>
          <w:szCs w:val="24"/>
          <w:highlight w:val="none"/>
        </w:rPr>
      </w:pPr>
    </w:p>
    <w:p w14:paraId="441C159F">
      <w:pPr>
        <w:rPr>
          <w:rFonts w:ascii="宋体" w:hAnsi="宋体"/>
          <w:bCs/>
          <w:color w:val="auto"/>
          <w:sz w:val="24"/>
          <w:szCs w:val="24"/>
          <w:highlight w:val="none"/>
        </w:rPr>
      </w:pPr>
    </w:p>
    <w:p w14:paraId="67B479B2">
      <w:pPr>
        <w:rPr>
          <w:rFonts w:ascii="宋体" w:hAnsi="宋体"/>
          <w:bCs/>
          <w:color w:val="auto"/>
          <w:sz w:val="24"/>
          <w:szCs w:val="24"/>
          <w:highlight w:val="none"/>
        </w:rPr>
      </w:pPr>
    </w:p>
    <w:p w14:paraId="29272F35">
      <w:pPr>
        <w:rPr>
          <w:rFonts w:ascii="黑体" w:hAnsi="黑体" w:eastAsia="黑体" w:cs="Times New Roman"/>
          <w:bCs/>
          <w:color w:val="auto"/>
          <w:sz w:val="28"/>
          <w:szCs w:val="28"/>
          <w:highlight w:val="none"/>
        </w:rPr>
      </w:pPr>
      <w:bookmarkStart w:id="51" w:name="_Toc2730"/>
      <w:r>
        <w:rPr>
          <w:rFonts w:hint="eastAsia" w:ascii="黑体" w:hAnsi="黑体" w:eastAsia="黑体" w:cs="Times New Roman"/>
          <w:bCs/>
          <w:color w:val="auto"/>
          <w:sz w:val="28"/>
          <w:szCs w:val="28"/>
          <w:highlight w:val="none"/>
        </w:rPr>
        <w:br w:type="page" w:clear="all"/>
      </w:r>
    </w:p>
    <w:p w14:paraId="73354091">
      <w:pPr>
        <w:spacing w:after="0" w:line="240" w:lineRule="auto"/>
        <w:rPr>
          <w:rFonts w:ascii="Arial" w:hAnsi="Arial"/>
          <w:b/>
          <w:color w:val="auto"/>
          <w:sz w:val="24"/>
          <w:highlight w:val="none"/>
        </w:rPr>
      </w:pPr>
      <w:r>
        <w:rPr>
          <w:rFonts w:hint="eastAsia" w:ascii="黑体" w:hAnsi="黑体" w:eastAsia="黑体" w:cs="黑体"/>
          <w:bCs/>
          <w:color w:val="auto"/>
          <w:sz w:val="28"/>
          <w:szCs w:val="28"/>
          <w:highlight w:val="none"/>
        </w:rPr>
        <w:t>（三）开标一览表（格式）：</w:t>
      </w:r>
      <w:bookmarkEnd w:id="51"/>
    </w:p>
    <w:p w14:paraId="471F5854">
      <w:pPr>
        <w:spacing w:line="360" w:lineRule="auto"/>
        <w:ind w:firstLine="560"/>
        <w:jc w:val="center"/>
        <w:rPr>
          <w:rFonts w:ascii="黑体" w:eastAsia="黑体"/>
          <w:bCs/>
          <w:color w:val="auto"/>
          <w:sz w:val="28"/>
          <w:szCs w:val="28"/>
          <w:highlight w:val="none"/>
        </w:rPr>
      </w:pPr>
      <w:r>
        <w:rPr>
          <w:rFonts w:hint="eastAsia" w:ascii="黑体" w:hAnsi="Times New Roman" w:eastAsia="黑体" w:cs="黑体"/>
          <w:color w:val="auto"/>
          <w:sz w:val="28"/>
          <w:szCs w:val="28"/>
          <w:highlight w:val="none"/>
        </w:rPr>
        <w:t>开标一览表</w:t>
      </w:r>
    </w:p>
    <w:p w14:paraId="2EBF5121">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政府采购编号：</w:t>
      </w:r>
    </w:p>
    <w:tbl>
      <w:tblPr>
        <w:tblStyle w:val="36"/>
        <w:tblW w:w="919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98"/>
        <w:gridCol w:w="3795"/>
      </w:tblGrid>
      <w:tr w14:paraId="0EEE1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398" w:type="dxa"/>
            <w:noWrap w:val="0"/>
            <w:vAlign w:val="center"/>
          </w:tcPr>
          <w:p w14:paraId="6ACCCC1E">
            <w:pPr>
              <w:keepNext w:val="0"/>
              <w:keepLines w:val="0"/>
              <w:pageBreakBefore w:val="0"/>
              <w:widowControl/>
              <w:spacing w:after="0" w:line="460" w:lineRule="exact"/>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795" w:type="dxa"/>
            <w:noWrap w:val="0"/>
            <w:vAlign w:val="center"/>
          </w:tcPr>
          <w:p w14:paraId="1E90DDD7">
            <w:pPr>
              <w:keepNext w:val="0"/>
              <w:keepLines w:val="0"/>
              <w:pageBreakBefore w:val="0"/>
              <w:widowControl/>
              <w:spacing w:after="0" w:line="460" w:lineRule="exact"/>
              <w:jc w:val="center"/>
              <w:rPr>
                <w:rFonts w:ascii="宋体"/>
                <w:b/>
                <w:bCs/>
                <w:color w:val="auto"/>
                <w:sz w:val="24"/>
                <w:szCs w:val="24"/>
                <w:highlight w:val="none"/>
              </w:rPr>
            </w:pPr>
            <w:r>
              <w:rPr>
                <w:rFonts w:hint="eastAsia" w:ascii="宋体" w:hAnsi="宋体"/>
                <w:b/>
                <w:bCs/>
                <w:color w:val="auto"/>
                <w:sz w:val="24"/>
                <w:szCs w:val="24"/>
                <w:highlight w:val="none"/>
              </w:rPr>
              <w:t>投标总报价（小写）</w:t>
            </w:r>
          </w:p>
        </w:tc>
      </w:tr>
      <w:tr w14:paraId="388D9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398" w:type="dxa"/>
            <w:noWrap w:val="0"/>
            <w:vAlign w:val="center"/>
          </w:tcPr>
          <w:p w14:paraId="3FC51AB3">
            <w:pPr>
              <w:pStyle w:val="368"/>
              <w:keepNext w:val="0"/>
              <w:keepLines w:val="0"/>
              <w:pageBreakBefore w:val="0"/>
              <w:widowControl/>
              <w:spacing w:after="0" w:line="460" w:lineRule="exact"/>
              <w:jc w:val="left"/>
              <w:rPr>
                <w:rFonts w:hAnsi="宋体"/>
                <w:bCs/>
                <w:color w:val="auto"/>
                <w:szCs w:val="24"/>
                <w:highlight w:val="none"/>
              </w:rPr>
            </w:pPr>
          </w:p>
        </w:tc>
        <w:tc>
          <w:tcPr>
            <w:tcW w:w="3795" w:type="dxa"/>
            <w:noWrap w:val="0"/>
            <w:vAlign w:val="center"/>
          </w:tcPr>
          <w:p w14:paraId="66729F84">
            <w:pPr>
              <w:pStyle w:val="368"/>
              <w:keepNext w:val="0"/>
              <w:keepLines w:val="0"/>
              <w:pageBreakBefore w:val="0"/>
              <w:widowControl/>
              <w:spacing w:after="0" w:line="460" w:lineRule="exact"/>
              <w:jc w:val="left"/>
              <w:rPr>
                <w:rFonts w:hAnsi="宋体"/>
                <w:b/>
                <w:color w:val="auto"/>
                <w:szCs w:val="24"/>
                <w:highlight w:val="none"/>
              </w:rPr>
            </w:pPr>
          </w:p>
        </w:tc>
      </w:tr>
      <w:tr w14:paraId="2AF13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193" w:type="dxa"/>
            <w:gridSpan w:val="2"/>
            <w:noWrap w:val="0"/>
            <w:vAlign w:val="center"/>
          </w:tcPr>
          <w:p w14:paraId="4D807CDF">
            <w:pPr>
              <w:keepNext w:val="0"/>
              <w:keepLines w:val="0"/>
              <w:pageBreakBefore w:val="0"/>
              <w:widowControl/>
              <w:spacing w:after="0" w:line="460" w:lineRule="exact"/>
              <w:jc w:val="left"/>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w:t>
            </w:r>
          </w:p>
        </w:tc>
      </w:tr>
    </w:tbl>
    <w:p w14:paraId="1F8134F0">
      <w:pPr>
        <w:rPr>
          <w:rFonts w:ascii="宋体" w:hAnsi="宋体"/>
          <w:color w:val="auto"/>
          <w:sz w:val="24"/>
          <w:szCs w:val="24"/>
          <w:highlight w:val="none"/>
        </w:rPr>
      </w:pPr>
    </w:p>
    <w:p w14:paraId="0337A92E">
      <w:pPr>
        <w:widowControl w:val="0"/>
        <w:ind w:firstLine="480"/>
        <w:rPr>
          <w:rFonts w:ascii="宋体" w:hAnsi="宋体"/>
          <w:color w:val="auto"/>
          <w:sz w:val="24"/>
          <w:szCs w:val="24"/>
          <w:highlight w:val="none"/>
        </w:rPr>
      </w:pPr>
      <w:r>
        <w:rPr>
          <w:rFonts w:hint="eastAsia" w:ascii="宋体" w:hAnsi="宋体"/>
          <w:color w:val="auto"/>
          <w:sz w:val="24"/>
          <w:szCs w:val="24"/>
          <w:highlight w:val="none"/>
        </w:rPr>
        <w:t>填写说明：</w:t>
      </w:r>
    </w:p>
    <w:p w14:paraId="076419B2">
      <w:pPr>
        <w:widowControl w:val="0"/>
        <w:spacing w:line="500" w:lineRule="exact"/>
        <w:ind w:firstLine="480"/>
        <w:rPr>
          <w:rFonts w:ascii="宋体" w:hAnsi="宋体"/>
          <w:bCs/>
          <w:color w:val="auto"/>
          <w:sz w:val="24"/>
          <w:szCs w:val="24"/>
          <w:highlight w:val="none"/>
        </w:rPr>
      </w:pPr>
      <w:r>
        <w:rPr>
          <w:rFonts w:hint="eastAsia" w:ascii="宋体" w:hAnsi="宋体"/>
          <w:color w:val="auto"/>
          <w:sz w:val="24"/>
          <w:szCs w:val="24"/>
          <w:highlight w:val="none"/>
        </w:rPr>
        <w:t>投标函附录的内容应与投标函内容一致，否则评标时一律按投标函附录中内容为准，投标函附录中必须盖章或签字。</w:t>
      </w:r>
    </w:p>
    <w:p w14:paraId="338BDDB2">
      <w:pPr>
        <w:rPr>
          <w:color w:val="auto"/>
          <w:highlight w:val="none"/>
        </w:rPr>
      </w:pPr>
    </w:p>
    <w:p w14:paraId="11A92F25">
      <w:pPr>
        <w:spacing w:after="0" w:line="240" w:lineRule="auto"/>
        <w:rPr>
          <w:rFonts w:ascii="黑体" w:hAnsi="宋体" w:eastAsia="黑体"/>
          <w:bCs/>
          <w:color w:val="auto"/>
          <w:sz w:val="28"/>
          <w:szCs w:val="28"/>
          <w:highlight w:val="none"/>
        </w:rPr>
      </w:pPr>
      <w:bookmarkStart w:id="52" w:name="_Toc10132"/>
      <w:r>
        <w:rPr>
          <w:rFonts w:hint="eastAsia" w:ascii="宋体" w:hAnsi="宋体"/>
          <w:bCs/>
          <w:color w:val="auto"/>
          <w:sz w:val="28"/>
          <w:szCs w:val="28"/>
          <w:highlight w:val="none"/>
        </w:rPr>
        <w:br w:type="page" w:clear="all"/>
      </w:r>
      <w:r>
        <w:rPr>
          <w:rFonts w:hint="eastAsia" w:ascii="黑体" w:hAnsi="黑体" w:eastAsia="黑体" w:cs="黑体"/>
          <w:bCs/>
          <w:color w:val="auto"/>
          <w:sz w:val="28"/>
          <w:szCs w:val="28"/>
          <w:highlight w:val="none"/>
        </w:rPr>
        <w:t>（四）分项报价表（格式）：</w:t>
      </w:r>
    </w:p>
    <w:p w14:paraId="4E3C8F38">
      <w:pPr>
        <w:widowControl w:val="0"/>
        <w:spacing w:after="0" w:line="360" w:lineRule="auto"/>
        <w:ind w:firstLine="560"/>
        <w:jc w:val="center"/>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分项报价表</w:t>
      </w:r>
    </w:p>
    <w:tbl>
      <w:tblPr>
        <w:tblStyle w:val="36"/>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1"/>
        <w:gridCol w:w="1785"/>
        <w:gridCol w:w="720"/>
        <w:gridCol w:w="1440"/>
        <w:gridCol w:w="720"/>
        <w:gridCol w:w="720"/>
        <w:gridCol w:w="720"/>
        <w:gridCol w:w="900"/>
        <w:gridCol w:w="1034"/>
      </w:tblGrid>
      <w:tr w14:paraId="71A66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11" w:type="dxa"/>
            <w:noWrap w:val="0"/>
            <w:vAlign w:val="center"/>
          </w:tcPr>
          <w:p w14:paraId="557C2296">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785" w:type="dxa"/>
            <w:noWrap w:val="0"/>
            <w:vAlign w:val="center"/>
          </w:tcPr>
          <w:p w14:paraId="5671C960">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标的物名称</w:t>
            </w:r>
          </w:p>
        </w:tc>
        <w:tc>
          <w:tcPr>
            <w:tcW w:w="720" w:type="dxa"/>
            <w:noWrap w:val="0"/>
            <w:vAlign w:val="center"/>
          </w:tcPr>
          <w:p w14:paraId="78E7452A">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品牌</w:t>
            </w:r>
          </w:p>
        </w:tc>
        <w:tc>
          <w:tcPr>
            <w:tcW w:w="1440" w:type="dxa"/>
            <w:noWrap w:val="0"/>
            <w:vAlign w:val="center"/>
          </w:tcPr>
          <w:p w14:paraId="4FAB15A9">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型号、规格</w:t>
            </w:r>
          </w:p>
        </w:tc>
        <w:tc>
          <w:tcPr>
            <w:tcW w:w="720" w:type="dxa"/>
            <w:noWrap w:val="0"/>
            <w:vAlign w:val="center"/>
          </w:tcPr>
          <w:p w14:paraId="02E1036E">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单位</w:t>
            </w:r>
          </w:p>
        </w:tc>
        <w:tc>
          <w:tcPr>
            <w:tcW w:w="720" w:type="dxa"/>
            <w:noWrap w:val="0"/>
            <w:vAlign w:val="center"/>
          </w:tcPr>
          <w:p w14:paraId="341F72B3">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720" w:type="dxa"/>
            <w:noWrap w:val="0"/>
            <w:vAlign w:val="center"/>
          </w:tcPr>
          <w:p w14:paraId="5FB87E1E">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单价</w:t>
            </w:r>
          </w:p>
        </w:tc>
        <w:tc>
          <w:tcPr>
            <w:tcW w:w="900" w:type="dxa"/>
            <w:noWrap w:val="0"/>
            <w:vAlign w:val="center"/>
          </w:tcPr>
          <w:p w14:paraId="1905654B">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总价</w:t>
            </w:r>
          </w:p>
        </w:tc>
        <w:tc>
          <w:tcPr>
            <w:tcW w:w="1034" w:type="dxa"/>
            <w:noWrap w:val="0"/>
            <w:vAlign w:val="center"/>
          </w:tcPr>
          <w:p w14:paraId="099E2E51">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备注</w:t>
            </w:r>
          </w:p>
        </w:tc>
      </w:tr>
      <w:tr w14:paraId="69756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11" w:type="dxa"/>
            <w:noWrap w:val="0"/>
            <w:vAlign w:val="center"/>
          </w:tcPr>
          <w:p w14:paraId="08015C10">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785" w:type="dxa"/>
            <w:noWrap w:val="0"/>
            <w:vAlign w:val="center"/>
          </w:tcPr>
          <w:p w14:paraId="60F7EA2D">
            <w:pPr>
              <w:spacing w:line="400" w:lineRule="exact"/>
              <w:jc w:val="center"/>
              <w:rPr>
                <w:rFonts w:ascii="宋体" w:hAnsi="宋体"/>
                <w:color w:val="auto"/>
                <w:sz w:val="24"/>
                <w:szCs w:val="24"/>
                <w:highlight w:val="none"/>
              </w:rPr>
            </w:pPr>
          </w:p>
        </w:tc>
        <w:tc>
          <w:tcPr>
            <w:tcW w:w="720" w:type="dxa"/>
            <w:noWrap w:val="0"/>
            <w:vAlign w:val="center"/>
          </w:tcPr>
          <w:p w14:paraId="2D36C1CD">
            <w:pPr>
              <w:spacing w:line="400" w:lineRule="exact"/>
              <w:jc w:val="center"/>
              <w:rPr>
                <w:rFonts w:ascii="宋体" w:hAnsi="宋体"/>
                <w:color w:val="auto"/>
                <w:sz w:val="24"/>
                <w:szCs w:val="24"/>
                <w:highlight w:val="none"/>
              </w:rPr>
            </w:pPr>
          </w:p>
        </w:tc>
        <w:tc>
          <w:tcPr>
            <w:tcW w:w="1440" w:type="dxa"/>
            <w:noWrap w:val="0"/>
            <w:vAlign w:val="center"/>
          </w:tcPr>
          <w:p w14:paraId="5BB569F8">
            <w:pPr>
              <w:spacing w:line="400" w:lineRule="exact"/>
              <w:jc w:val="center"/>
              <w:rPr>
                <w:rFonts w:ascii="宋体" w:hAnsi="宋体"/>
                <w:color w:val="auto"/>
                <w:sz w:val="24"/>
                <w:szCs w:val="24"/>
                <w:highlight w:val="none"/>
              </w:rPr>
            </w:pPr>
          </w:p>
        </w:tc>
        <w:tc>
          <w:tcPr>
            <w:tcW w:w="720" w:type="dxa"/>
            <w:noWrap w:val="0"/>
            <w:vAlign w:val="center"/>
          </w:tcPr>
          <w:p w14:paraId="79515EE2">
            <w:pPr>
              <w:spacing w:line="400" w:lineRule="exact"/>
              <w:jc w:val="center"/>
              <w:rPr>
                <w:rFonts w:ascii="宋体" w:hAnsi="宋体"/>
                <w:color w:val="auto"/>
                <w:sz w:val="24"/>
                <w:szCs w:val="24"/>
                <w:highlight w:val="none"/>
              </w:rPr>
            </w:pPr>
          </w:p>
        </w:tc>
        <w:tc>
          <w:tcPr>
            <w:tcW w:w="720" w:type="dxa"/>
            <w:noWrap w:val="0"/>
            <w:vAlign w:val="center"/>
          </w:tcPr>
          <w:p w14:paraId="593B7B90">
            <w:pPr>
              <w:spacing w:line="400" w:lineRule="exact"/>
              <w:jc w:val="center"/>
              <w:rPr>
                <w:rFonts w:ascii="宋体" w:hAnsi="宋体"/>
                <w:color w:val="auto"/>
                <w:sz w:val="24"/>
                <w:szCs w:val="24"/>
                <w:highlight w:val="none"/>
              </w:rPr>
            </w:pPr>
          </w:p>
        </w:tc>
        <w:tc>
          <w:tcPr>
            <w:tcW w:w="720" w:type="dxa"/>
            <w:noWrap w:val="0"/>
            <w:vAlign w:val="center"/>
          </w:tcPr>
          <w:p w14:paraId="5502C0EC">
            <w:pPr>
              <w:spacing w:line="400" w:lineRule="exact"/>
              <w:jc w:val="center"/>
              <w:rPr>
                <w:rFonts w:ascii="宋体" w:hAnsi="宋体"/>
                <w:color w:val="auto"/>
                <w:sz w:val="24"/>
                <w:szCs w:val="24"/>
                <w:highlight w:val="none"/>
              </w:rPr>
            </w:pPr>
          </w:p>
        </w:tc>
        <w:tc>
          <w:tcPr>
            <w:tcW w:w="900" w:type="dxa"/>
            <w:noWrap w:val="0"/>
            <w:vAlign w:val="center"/>
          </w:tcPr>
          <w:p w14:paraId="0A7CEF49">
            <w:pPr>
              <w:spacing w:line="400" w:lineRule="exact"/>
              <w:jc w:val="center"/>
              <w:rPr>
                <w:rFonts w:ascii="宋体" w:hAnsi="宋体"/>
                <w:color w:val="auto"/>
                <w:sz w:val="24"/>
                <w:szCs w:val="24"/>
                <w:highlight w:val="none"/>
              </w:rPr>
            </w:pPr>
          </w:p>
        </w:tc>
        <w:tc>
          <w:tcPr>
            <w:tcW w:w="1034" w:type="dxa"/>
            <w:noWrap w:val="0"/>
            <w:vAlign w:val="center"/>
          </w:tcPr>
          <w:p w14:paraId="14F9E8A1">
            <w:pPr>
              <w:spacing w:line="400" w:lineRule="exact"/>
              <w:jc w:val="center"/>
              <w:rPr>
                <w:rFonts w:ascii="宋体" w:hAnsi="宋体"/>
                <w:color w:val="auto"/>
                <w:sz w:val="24"/>
                <w:szCs w:val="24"/>
                <w:highlight w:val="none"/>
              </w:rPr>
            </w:pPr>
          </w:p>
        </w:tc>
      </w:tr>
      <w:tr w14:paraId="116C4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11" w:type="dxa"/>
            <w:noWrap w:val="0"/>
            <w:vAlign w:val="center"/>
          </w:tcPr>
          <w:p w14:paraId="1A18D6F5">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785" w:type="dxa"/>
            <w:noWrap w:val="0"/>
            <w:vAlign w:val="center"/>
          </w:tcPr>
          <w:p w14:paraId="5CDB0876">
            <w:pPr>
              <w:spacing w:line="400" w:lineRule="exact"/>
              <w:jc w:val="center"/>
              <w:rPr>
                <w:rFonts w:ascii="宋体" w:hAnsi="宋体"/>
                <w:color w:val="auto"/>
                <w:sz w:val="24"/>
                <w:szCs w:val="24"/>
                <w:highlight w:val="none"/>
              </w:rPr>
            </w:pPr>
          </w:p>
        </w:tc>
        <w:tc>
          <w:tcPr>
            <w:tcW w:w="720" w:type="dxa"/>
            <w:noWrap w:val="0"/>
            <w:vAlign w:val="center"/>
          </w:tcPr>
          <w:p w14:paraId="12F591D6">
            <w:pPr>
              <w:spacing w:line="400" w:lineRule="exact"/>
              <w:jc w:val="center"/>
              <w:rPr>
                <w:rFonts w:ascii="宋体" w:hAnsi="宋体"/>
                <w:color w:val="auto"/>
                <w:sz w:val="24"/>
                <w:szCs w:val="24"/>
                <w:highlight w:val="none"/>
              </w:rPr>
            </w:pPr>
          </w:p>
        </w:tc>
        <w:tc>
          <w:tcPr>
            <w:tcW w:w="1440" w:type="dxa"/>
            <w:noWrap w:val="0"/>
            <w:vAlign w:val="center"/>
          </w:tcPr>
          <w:p w14:paraId="68303149">
            <w:pPr>
              <w:spacing w:line="400" w:lineRule="exact"/>
              <w:jc w:val="center"/>
              <w:rPr>
                <w:rFonts w:ascii="宋体" w:hAnsi="宋体"/>
                <w:color w:val="auto"/>
                <w:sz w:val="24"/>
                <w:szCs w:val="24"/>
                <w:highlight w:val="none"/>
              </w:rPr>
            </w:pPr>
          </w:p>
        </w:tc>
        <w:tc>
          <w:tcPr>
            <w:tcW w:w="720" w:type="dxa"/>
            <w:noWrap w:val="0"/>
            <w:vAlign w:val="center"/>
          </w:tcPr>
          <w:p w14:paraId="724686E5">
            <w:pPr>
              <w:spacing w:line="400" w:lineRule="exact"/>
              <w:jc w:val="center"/>
              <w:rPr>
                <w:rFonts w:ascii="宋体" w:hAnsi="宋体"/>
                <w:color w:val="auto"/>
                <w:sz w:val="24"/>
                <w:szCs w:val="24"/>
                <w:highlight w:val="none"/>
              </w:rPr>
            </w:pPr>
          </w:p>
        </w:tc>
        <w:tc>
          <w:tcPr>
            <w:tcW w:w="720" w:type="dxa"/>
            <w:noWrap w:val="0"/>
            <w:vAlign w:val="center"/>
          </w:tcPr>
          <w:p w14:paraId="4E84B8BF">
            <w:pPr>
              <w:spacing w:line="400" w:lineRule="exact"/>
              <w:jc w:val="center"/>
              <w:rPr>
                <w:rFonts w:ascii="宋体" w:hAnsi="宋体"/>
                <w:color w:val="auto"/>
                <w:sz w:val="24"/>
                <w:szCs w:val="24"/>
                <w:highlight w:val="none"/>
              </w:rPr>
            </w:pPr>
          </w:p>
        </w:tc>
        <w:tc>
          <w:tcPr>
            <w:tcW w:w="720" w:type="dxa"/>
            <w:noWrap w:val="0"/>
            <w:vAlign w:val="center"/>
          </w:tcPr>
          <w:p w14:paraId="5C372A8A">
            <w:pPr>
              <w:spacing w:line="400" w:lineRule="exact"/>
              <w:jc w:val="center"/>
              <w:rPr>
                <w:rFonts w:ascii="宋体" w:hAnsi="宋体"/>
                <w:color w:val="auto"/>
                <w:sz w:val="24"/>
                <w:szCs w:val="24"/>
                <w:highlight w:val="none"/>
              </w:rPr>
            </w:pPr>
          </w:p>
        </w:tc>
        <w:tc>
          <w:tcPr>
            <w:tcW w:w="900" w:type="dxa"/>
            <w:noWrap w:val="0"/>
            <w:vAlign w:val="center"/>
          </w:tcPr>
          <w:p w14:paraId="5BF542E2">
            <w:pPr>
              <w:spacing w:line="400" w:lineRule="exact"/>
              <w:jc w:val="center"/>
              <w:rPr>
                <w:rFonts w:ascii="宋体" w:hAnsi="宋体"/>
                <w:color w:val="auto"/>
                <w:sz w:val="24"/>
                <w:szCs w:val="24"/>
                <w:highlight w:val="none"/>
              </w:rPr>
            </w:pPr>
          </w:p>
        </w:tc>
        <w:tc>
          <w:tcPr>
            <w:tcW w:w="1034" w:type="dxa"/>
            <w:noWrap w:val="0"/>
            <w:vAlign w:val="center"/>
          </w:tcPr>
          <w:p w14:paraId="18DCBC75">
            <w:pPr>
              <w:spacing w:line="400" w:lineRule="exact"/>
              <w:jc w:val="center"/>
              <w:rPr>
                <w:rFonts w:ascii="宋体" w:hAnsi="宋体"/>
                <w:color w:val="auto"/>
                <w:sz w:val="24"/>
                <w:szCs w:val="24"/>
                <w:highlight w:val="none"/>
              </w:rPr>
            </w:pPr>
          </w:p>
        </w:tc>
      </w:tr>
      <w:tr w14:paraId="7C4B2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11" w:type="dxa"/>
            <w:noWrap w:val="0"/>
            <w:vAlign w:val="center"/>
          </w:tcPr>
          <w:p w14:paraId="7B11038A">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785" w:type="dxa"/>
            <w:noWrap w:val="0"/>
            <w:vAlign w:val="center"/>
          </w:tcPr>
          <w:p w14:paraId="4C3BC3BF">
            <w:pPr>
              <w:spacing w:line="400" w:lineRule="exact"/>
              <w:jc w:val="center"/>
              <w:rPr>
                <w:rFonts w:ascii="宋体" w:hAnsi="宋体"/>
                <w:color w:val="auto"/>
                <w:sz w:val="24"/>
                <w:szCs w:val="24"/>
                <w:highlight w:val="none"/>
              </w:rPr>
            </w:pPr>
          </w:p>
        </w:tc>
        <w:tc>
          <w:tcPr>
            <w:tcW w:w="720" w:type="dxa"/>
            <w:noWrap w:val="0"/>
            <w:vAlign w:val="center"/>
          </w:tcPr>
          <w:p w14:paraId="3CB548CB">
            <w:pPr>
              <w:spacing w:line="400" w:lineRule="exact"/>
              <w:jc w:val="center"/>
              <w:rPr>
                <w:rFonts w:ascii="宋体" w:hAnsi="宋体"/>
                <w:color w:val="auto"/>
                <w:sz w:val="24"/>
                <w:szCs w:val="24"/>
                <w:highlight w:val="none"/>
              </w:rPr>
            </w:pPr>
          </w:p>
        </w:tc>
        <w:tc>
          <w:tcPr>
            <w:tcW w:w="1440" w:type="dxa"/>
            <w:noWrap w:val="0"/>
            <w:vAlign w:val="center"/>
          </w:tcPr>
          <w:p w14:paraId="61973DFB">
            <w:pPr>
              <w:spacing w:line="400" w:lineRule="exact"/>
              <w:jc w:val="center"/>
              <w:rPr>
                <w:rFonts w:ascii="宋体" w:hAnsi="宋体"/>
                <w:color w:val="auto"/>
                <w:sz w:val="24"/>
                <w:szCs w:val="24"/>
                <w:highlight w:val="none"/>
              </w:rPr>
            </w:pPr>
          </w:p>
        </w:tc>
        <w:tc>
          <w:tcPr>
            <w:tcW w:w="720" w:type="dxa"/>
            <w:noWrap w:val="0"/>
            <w:vAlign w:val="center"/>
          </w:tcPr>
          <w:p w14:paraId="31677DF5">
            <w:pPr>
              <w:spacing w:line="400" w:lineRule="exact"/>
              <w:jc w:val="center"/>
              <w:rPr>
                <w:rFonts w:ascii="宋体" w:hAnsi="宋体"/>
                <w:color w:val="auto"/>
                <w:sz w:val="24"/>
                <w:szCs w:val="24"/>
                <w:highlight w:val="none"/>
              </w:rPr>
            </w:pPr>
          </w:p>
        </w:tc>
        <w:tc>
          <w:tcPr>
            <w:tcW w:w="720" w:type="dxa"/>
            <w:noWrap w:val="0"/>
            <w:vAlign w:val="center"/>
          </w:tcPr>
          <w:p w14:paraId="745F4901">
            <w:pPr>
              <w:spacing w:line="400" w:lineRule="exact"/>
              <w:jc w:val="center"/>
              <w:rPr>
                <w:rFonts w:ascii="宋体" w:hAnsi="宋体"/>
                <w:color w:val="auto"/>
                <w:sz w:val="24"/>
                <w:szCs w:val="24"/>
                <w:highlight w:val="none"/>
              </w:rPr>
            </w:pPr>
          </w:p>
        </w:tc>
        <w:tc>
          <w:tcPr>
            <w:tcW w:w="720" w:type="dxa"/>
            <w:noWrap w:val="0"/>
            <w:vAlign w:val="center"/>
          </w:tcPr>
          <w:p w14:paraId="5C1D617A">
            <w:pPr>
              <w:spacing w:line="400" w:lineRule="exact"/>
              <w:jc w:val="center"/>
              <w:rPr>
                <w:rFonts w:ascii="宋体" w:hAnsi="宋体"/>
                <w:color w:val="auto"/>
                <w:sz w:val="24"/>
                <w:szCs w:val="24"/>
                <w:highlight w:val="none"/>
              </w:rPr>
            </w:pPr>
          </w:p>
        </w:tc>
        <w:tc>
          <w:tcPr>
            <w:tcW w:w="900" w:type="dxa"/>
            <w:noWrap w:val="0"/>
            <w:vAlign w:val="center"/>
          </w:tcPr>
          <w:p w14:paraId="4B85F8DC">
            <w:pPr>
              <w:spacing w:line="400" w:lineRule="exact"/>
              <w:jc w:val="center"/>
              <w:rPr>
                <w:rFonts w:ascii="宋体" w:hAnsi="宋体"/>
                <w:color w:val="auto"/>
                <w:sz w:val="24"/>
                <w:szCs w:val="24"/>
                <w:highlight w:val="none"/>
              </w:rPr>
            </w:pPr>
          </w:p>
        </w:tc>
        <w:tc>
          <w:tcPr>
            <w:tcW w:w="1034" w:type="dxa"/>
            <w:noWrap w:val="0"/>
            <w:vAlign w:val="center"/>
          </w:tcPr>
          <w:p w14:paraId="099B5BEB">
            <w:pPr>
              <w:spacing w:line="400" w:lineRule="exact"/>
              <w:jc w:val="center"/>
              <w:rPr>
                <w:rFonts w:ascii="宋体" w:hAnsi="宋体"/>
                <w:color w:val="auto"/>
                <w:sz w:val="24"/>
                <w:szCs w:val="24"/>
                <w:highlight w:val="none"/>
              </w:rPr>
            </w:pPr>
          </w:p>
        </w:tc>
      </w:tr>
      <w:tr w14:paraId="2615A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11" w:type="dxa"/>
            <w:noWrap w:val="0"/>
            <w:vAlign w:val="center"/>
          </w:tcPr>
          <w:p w14:paraId="2F46C4DE">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1785" w:type="dxa"/>
            <w:noWrap w:val="0"/>
            <w:vAlign w:val="center"/>
          </w:tcPr>
          <w:p w14:paraId="0C737700">
            <w:pPr>
              <w:spacing w:line="400" w:lineRule="exact"/>
              <w:jc w:val="center"/>
              <w:rPr>
                <w:rFonts w:ascii="宋体" w:hAnsi="宋体"/>
                <w:color w:val="auto"/>
                <w:sz w:val="24"/>
                <w:szCs w:val="24"/>
                <w:highlight w:val="none"/>
              </w:rPr>
            </w:pPr>
          </w:p>
        </w:tc>
        <w:tc>
          <w:tcPr>
            <w:tcW w:w="720" w:type="dxa"/>
            <w:noWrap w:val="0"/>
            <w:vAlign w:val="center"/>
          </w:tcPr>
          <w:p w14:paraId="13085A25">
            <w:pPr>
              <w:spacing w:line="400" w:lineRule="exact"/>
              <w:jc w:val="center"/>
              <w:rPr>
                <w:rFonts w:ascii="宋体" w:hAnsi="宋体"/>
                <w:color w:val="auto"/>
                <w:sz w:val="24"/>
                <w:szCs w:val="24"/>
                <w:highlight w:val="none"/>
              </w:rPr>
            </w:pPr>
          </w:p>
        </w:tc>
        <w:tc>
          <w:tcPr>
            <w:tcW w:w="1440" w:type="dxa"/>
            <w:noWrap w:val="0"/>
            <w:vAlign w:val="center"/>
          </w:tcPr>
          <w:p w14:paraId="69D7D224">
            <w:pPr>
              <w:spacing w:line="400" w:lineRule="exact"/>
              <w:jc w:val="center"/>
              <w:rPr>
                <w:rFonts w:ascii="宋体" w:hAnsi="宋体"/>
                <w:color w:val="auto"/>
                <w:sz w:val="24"/>
                <w:szCs w:val="24"/>
                <w:highlight w:val="none"/>
              </w:rPr>
            </w:pPr>
          </w:p>
        </w:tc>
        <w:tc>
          <w:tcPr>
            <w:tcW w:w="720" w:type="dxa"/>
            <w:noWrap w:val="0"/>
            <w:vAlign w:val="center"/>
          </w:tcPr>
          <w:p w14:paraId="18813F3D">
            <w:pPr>
              <w:spacing w:line="400" w:lineRule="exact"/>
              <w:jc w:val="center"/>
              <w:rPr>
                <w:rFonts w:ascii="宋体" w:hAnsi="宋体"/>
                <w:color w:val="auto"/>
                <w:sz w:val="24"/>
                <w:szCs w:val="24"/>
                <w:highlight w:val="none"/>
              </w:rPr>
            </w:pPr>
          </w:p>
        </w:tc>
        <w:tc>
          <w:tcPr>
            <w:tcW w:w="720" w:type="dxa"/>
            <w:noWrap w:val="0"/>
            <w:vAlign w:val="center"/>
          </w:tcPr>
          <w:p w14:paraId="3F38DA15">
            <w:pPr>
              <w:spacing w:line="400" w:lineRule="exact"/>
              <w:jc w:val="center"/>
              <w:rPr>
                <w:rFonts w:ascii="宋体" w:hAnsi="宋体"/>
                <w:color w:val="auto"/>
                <w:sz w:val="24"/>
                <w:szCs w:val="24"/>
                <w:highlight w:val="none"/>
              </w:rPr>
            </w:pPr>
          </w:p>
        </w:tc>
        <w:tc>
          <w:tcPr>
            <w:tcW w:w="720" w:type="dxa"/>
            <w:noWrap w:val="0"/>
            <w:vAlign w:val="center"/>
          </w:tcPr>
          <w:p w14:paraId="30C1B9F2">
            <w:pPr>
              <w:spacing w:line="400" w:lineRule="exact"/>
              <w:jc w:val="center"/>
              <w:rPr>
                <w:rFonts w:ascii="宋体" w:hAnsi="宋体"/>
                <w:color w:val="auto"/>
                <w:sz w:val="24"/>
                <w:szCs w:val="24"/>
                <w:highlight w:val="none"/>
              </w:rPr>
            </w:pPr>
          </w:p>
        </w:tc>
        <w:tc>
          <w:tcPr>
            <w:tcW w:w="900" w:type="dxa"/>
            <w:noWrap w:val="0"/>
            <w:vAlign w:val="center"/>
          </w:tcPr>
          <w:p w14:paraId="030985FA">
            <w:pPr>
              <w:spacing w:line="400" w:lineRule="exact"/>
              <w:jc w:val="center"/>
              <w:rPr>
                <w:rFonts w:ascii="宋体" w:hAnsi="宋体"/>
                <w:color w:val="auto"/>
                <w:sz w:val="24"/>
                <w:szCs w:val="24"/>
                <w:highlight w:val="none"/>
              </w:rPr>
            </w:pPr>
          </w:p>
        </w:tc>
        <w:tc>
          <w:tcPr>
            <w:tcW w:w="1034" w:type="dxa"/>
            <w:noWrap w:val="0"/>
            <w:vAlign w:val="center"/>
          </w:tcPr>
          <w:p w14:paraId="0F53EC0A">
            <w:pPr>
              <w:spacing w:line="400" w:lineRule="exact"/>
              <w:jc w:val="center"/>
              <w:rPr>
                <w:rFonts w:ascii="宋体" w:hAnsi="宋体"/>
                <w:color w:val="auto"/>
                <w:sz w:val="24"/>
                <w:szCs w:val="24"/>
                <w:highlight w:val="none"/>
              </w:rPr>
            </w:pPr>
          </w:p>
        </w:tc>
      </w:tr>
      <w:tr w14:paraId="3F9BE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11" w:type="dxa"/>
            <w:noWrap w:val="0"/>
            <w:vAlign w:val="center"/>
          </w:tcPr>
          <w:p w14:paraId="3E2AD37D">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5</w:t>
            </w:r>
          </w:p>
        </w:tc>
        <w:tc>
          <w:tcPr>
            <w:tcW w:w="1785" w:type="dxa"/>
            <w:noWrap w:val="0"/>
            <w:vAlign w:val="center"/>
          </w:tcPr>
          <w:p w14:paraId="78E1A7AE">
            <w:pPr>
              <w:spacing w:line="400" w:lineRule="exact"/>
              <w:jc w:val="center"/>
              <w:rPr>
                <w:rFonts w:ascii="宋体" w:hAnsi="宋体"/>
                <w:color w:val="auto"/>
                <w:sz w:val="24"/>
                <w:szCs w:val="24"/>
                <w:highlight w:val="none"/>
              </w:rPr>
            </w:pPr>
          </w:p>
        </w:tc>
        <w:tc>
          <w:tcPr>
            <w:tcW w:w="720" w:type="dxa"/>
            <w:noWrap w:val="0"/>
            <w:vAlign w:val="center"/>
          </w:tcPr>
          <w:p w14:paraId="2EB99667">
            <w:pPr>
              <w:spacing w:line="400" w:lineRule="exact"/>
              <w:jc w:val="center"/>
              <w:rPr>
                <w:rFonts w:ascii="宋体" w:hAnsi="宋体"/>
                <w:color w:val="auto"/>
                <w:sz w:val="24"/>
                <w:szCs w:val="24"/>
                <w:highlight w:val="none"/>
              </w:rPr>
            </w:pPr>
          </w:p>
        </w:tc>
        <w:tc>
          <w:tcPr>
            <w:tcW w:w="1440" w:type="dxa"/>
            <w:noWrap w:val="0"/>
            <w:vAlign w:val="center"/>
          </w:tcPr>
          <w:p w14:paraId="4315A9B9">
            <w:pPr>
              <w:spacing w:line="400" w:lineRule="exact"/>
              <w:jc w:val="center"/>
              <w:rPr>
                <w:rFonts w:ascii="宋体" w:hAnsi="宋体"/>
                <w:color w:val="auto"/>
                <w:sz w:val="24"/>
                <w:szCs w:val="24"/>
                <w:highlight w:val="none"/>
              </w:rPr>
            </w:pPr>
          </w:p>
        </w:tc>
        <w:tc>
          <w:tcPr>
            <w:tcW w:w="720" w:type="dxa"/>
            <w:noWrap w:val="0"/>
            <w:vAlign w:val="center"/>
          </w:tcPr>
          <w:p w14:paraId="6BCF77C9">
            <w:pPr>
              <w:spacing w:line="400" w:lineRule="exact"/>
              <w:jc w:val="center"/>
              <w:rPr>
                <w:rFonts w:ascii="宋体" w:hAnsi="宋体"/>
                <w:color w:val="auto"/>
                <w:sz w:val="24"/>
                <w:szCs w:val="24"/>
                <w:highlight w:val="none"/>
              </w:rPr>
            </w:pPr>
          </w:p>
        </w:tc>
        <w:tc>
          <w:tcPr>
            <w:tcW w:w="720" w:type="dxa"/>
            <w:noWrap w:val="0"/>
            <w:vAlign w:val="center"/>
          </w:tcPr>
          <w:p w14:paraId="047103B7">
            <w:pPr>
              <w:spacing w:line="400" w:lineRule="exact"/>
              <w:jc w:val="center"/>
              <w:rPr>
                <w:rFonts w:ascii="宋体" w:hAnsi="宋体"/>
                <w:color w:val="auto"/>
                <w:sz w:val="24"/>
                <w:szCs w:val="24"/>
                <w:highlight w:val="none"/>
              </w:rPr>
            </w:pPr>
          </w:p>
        </w:tc>
        <w:tc>
          <w:tcPr>
            <w:tcW w:w="720" w:type="dxa"/>
            <w:noWrap w:val="0"/>
            <w:vAlign w:val="center"/>
          </w:tcPr>
          <w:p w14:paraId="11A15540">
            <w:pPr>
              <w:spacing w:line="400" w:lineRule="exact"/>
              <w:jc w:val="center"/>
              <w:rPr>
                <w:rFonts w:ascii="宋体" w:hAnsi="宋体"/>
                <w:color w:val="auto"/>
                <w:sz w:val="24"/>
                <w:szCs w:val="24"/>
                <w:highlight w:val="none"/>
              </w:rPr>
            </w:pPr>
          </w:p>
        </w:tc>
        <w:tc>
          <w:tcPr>
            <w:tcW w:w="900" w:type="dxa"/>
            <w:noWrap w:val="0"/>
            <w:vAlign w:val="center"/>
          </w:tcPr>
          <w:p w14:paraId="7FA600D3">
            <w:pPr>
              <w:spacing w:line="400" w:lineRule="exact"/>
              <w:jc w:val="center"/>
              <w:rPr>
                <w:rFonts w:ascii="宋体" w:hAnsi="宋体"/>
                <w:color w:val="auto"/>
                <w:sz w:val="24"/>
                <w:szCs w:val="24"/>
                <w:highlight w:val="none"/>
              </w:rPr>
            </w:pPr>
          </w:p>
        </w:tc>
        <w:tc>
          <w:tcPr>
            <w:tcW w:w="1034" w:type="dxa"/>
            <w:noWrap w:val="0"/>
            <w:vAlign w:val="center"/>
          </w:tcPr>
          <w:p w14:paraId="1718BB33">
            <w:pPr>
              <w:spacing w:line="400" w:lineRule="exact"/>
              <w:jc w:val="center"/>
              <w:rPr>
                <w:rFonts w:ascii="宋体" w:hAnsi="宋体"/>
                <w:color w:val="auto"/>
                <w:sz w:val="24"/>
                <w:szCs w:val="24"/>
                <w:highlight w:val="none"/>
              </w:rPr>
            </w:pPr>
          </w:p>
        </w:tc>
      </w:tr>
      <w:tr w14:paraId="04174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11" w:type="dxa"/>
            <w:noWrap w:val="0"/>
            <w:vAlign w:val="center"/>
          </w:tcPr>
          <w:p w14:paraId="13431C67">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最终报价</w:t>
            </w:r>
          </w:p>
        </w:tc>
        <w:tc>
          <w:tcPr>
            <w:tcW w:w="8039" w:type="dxa"/>
            <w:gridSpan w:val="8"/>
            <w:noWrap w:val="0"/>
            <w:vAlign w:val="center"/>
          </w:tcPr>
          <w:p w14:paraId="2E872990">
            <w:pPr>
              <w:spacing w:line="400" w:lineRule="exact"/>
              <w:rPr>
                <w:rFonts w:ascii="宋体" w:hAnsi="宋体"/>
                <w:color w:val="auto"/>
                <w:sz w:val="24"/>
                <w:szCs w:val="24"/>
                <w:highlight w:val="none"/>
              </w:rPr>
            </w:pPr>
            <w:r>
              <w:rPr>
                <w:rFonts w:hint="eastAsia" w:ascii="宋体" w:hAnsi="宋体"/>
                <w:color w:val="auto"/>
                <w:sz w:val="24"/>
                <w:szCs w:val="24"/>
                <w:highlight w:val="none"/>
              </w:rPr>
              <w:t>金额大写         元</w:t>
            </w:r>
          </w:p>
        </w:tc>
      </w:tr>
    </w:tbl>
    <w:p w14:paraId="7B874C7F">
      <w:pPr>
        <w:spacing w:line="400" w:lineRule="exact"/>
        <w:ind w:firstLine="360"/>
        <w:rPr>
          <w:rFonts w:ascii="宋体" w:hAnsi="宋体"/>
          <w:color w:val="auto"/>
          <w:sz w:val="24"/>
          <w:szCs w:val="24"/>
          <w:highlight w:val="none"/>
        </w:rPr>
      </w:pPr>
      <w:r>
        <w:rPr>
          <w:rFonts w:hint="eastAsia" w:ascii="宋体" w:hAnsi="宋体"/>
          <w:color w:val="auto"/>
          <w:sz w:val="24"/>
          <w:szCs w:val="24"/>
          <w:highlight w:val="none"/>
        </w:rPr>
        <w:t>注：投标人可根据本单位实际情况具体细化本表格，但表格已列内容需全部体现，表格不够可自行延长。</w:t>
      </w:r>
    </w:p>
    <w:p w14:paraId="346324C2">
      <w:pPr>
        <w:spacing w:line="400" w:lineRule="exact"/>
        <w:ind w:firstLine="360"/>
        <w:rPr>
          <w:rFonts w:ascii="宋体" w:hAnsi="宋体"/>
          <w:color w:val="auto"/>
          <w:sz w:val="24"/>
          <w:szCs w:val="24"/>
          <w:highlight w:val="none"/>
        </w:rPr>
      </w:pPr>
    </w:p>
    <w:p w14:paraId="1261FF8E">
      <w:pPr>
        <w:spacing w:line="480" w:lineRule="auto"/>
        <w:ind w:firstLine="360"/>
        <w:jc w:val="right"/>
        <w:rPr>
          <w:rFonts w:ascii="宋体" w:hAnsi="宋体"/>
          <w:color w:val="auto"/>
          <w:sz w:val="24"/>
          <w:szCs w:val="24"/>
          <w:highlight w:val="none"/>
        </w:rPr>
      </w:pPr>
      <w:r>
        <w:rPr>
          <w:rFonts w:hint="eastAsia" w:ascii="宋体" w:hAnsi="宋体"/>
          <w:color w:val="auto"/>
          <w:sz w:val="24"/>
          <w:szCs w:val="24"/>
          <w:highlight w:val="none"/>
        </w:rPr>
        <w:t>投标人：（单位盖章）</w:t>
      </w:r>
    </w:p>
    <w:p w14:paraId="40A6EB4A">
      <w:pPr>
        <w:spacing w:line="480" w:lineRule="auto"/>
        <w:ind w:firstLine="360"/>
        <w:jc w:val="right"/>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  </w:t>
      </w:r>
    </w:p>
    <w:p w14:paraId="0DC9DD46">
      <w:pPr>
        <w:spacing w:line="480" w:lineRule="auto"/>
        <w:ind w:firstLine="360"/>
        <w:jc w:val="right"/>
        <w:rPr>
          <w:rFonts w:ascii="宋体" w:hAnsi="宋体"/>
          <w:color w:val="auto"/>
          <w:sz w:val="24"/>
          <w:szCs w:val="24"/>
          <w:highlight w:val="none"/>
        </w:rPr>
      </w:pPr>
      <w:r>
        <w:rPr>
          <w:rFonts w:hint="eastAsia" w:ascii="宋体" w:hAnsi="宋体"/>
          <w:color w:val="auto"/>
          <w:sz w:val="24"/>
          <w:szCs w:val="24"/>
          <w:highlight w:val="none"/>
        </w:rPr>
        <w:t>日期：        年    月    日</w:t>
      </w:r>
    </w:p>
    <w:p w14:paraId="103118DA">
      <w:pPr>
        <w:spacing w:after="0" w:line="360" w:lineRule="auto"/>
        <w:rPr>
          <w:rFonts w:ascii="黑体" w:hAnsi="宋体" w:eastAsia="黑体" w:cs="Times New Roman"/>
          <w:bCs/>
          <w:color w:val="auto"/>
          <w:sz w:val="28"/>
          <w:szCs w:val="28"/>
          <w:highlight w:val="none"/>
        </w:rPr>
      </w:pPr>
      <w:r>
        <w:rPr>
          <w:rFonts w:hint="eastAsia" w:ascii="黑体" w:hAnsi="宋体" w:eastAsia="黑体" w:cs="Times New Roman"/>
          <w:bCs/>
          <w:color w:val="auto"/>
          <w:sz w:val="28"/>
          <w:szCs w:val="28"/>
          <w:highlight w:val="none"/>
        </w:rPr>
        <w:br w:type="page" w:clear="all"/>
      </w:r>
      <w:bookmarkEnd w:id="52"/>
      <w:bookmarkStart w:id="53" w:name="_Toc31058"/>
      <w:r>
        <w:rPr>
          <w:rFonts w:hint="eastAsia" w:ascii="黑体" w:hAnsi="宋体" w:eastAsia="黑体"/>
          <w:bCs/>
          <w:color w:val="auto"/>
          <w:sz w:val="28"/>
          <w:szCs w:val="24"/>
          <w:highlight w:val="none"/>
        </w:rPr>
        <w:t>（五）细目报价表（格式）：</w:t>
      </w:r>
    </w:p>
    <w:p w14:paraId="2809CC57">
      <w:pPr>
        <w:spacing w:line="360" w:lineRule="auto"/>
        <w:jc w:val="center"/>
        <w:rPr>
          <w:rFonts w:ascii="黑体" w:hAnsi="宋体" w:eastAsia="黑体"/>
          <w:bCs/>
          <w:color w:val="auto"/>
          <w:sz w:val="24"/>
          <w:highlight w:val="none"/>
        </w:rPr>
      </w:pPr>
      <w:bookmarkStart w:id="54" w:name="_Toc6467"/>
      <w:r>
        <w:rPr>
          <w:rFonts w:hint="eastAsia" w:ascii="黑体" w:hAnsi="宋体" w:eastAsia="黑体"/>
          <w:bCs/>
          <w:color w:val="auto"/>
          <w:sz w:val="24"/>
          <w:highlight w:val="none"/>
        </w:rPr>
        <w:t>细目报价表（属于小、微型企业/残疾人福利企业/监狱企业产品</w:t>
      </w:r>
      <w:r>
        <w:rPr>
          <w:rFonts w:hint="eastAsia" w:ascii="黑体" w:hAnsi="宋体" w:eastAsia="黑体"/>
          <w:bCs/>
          <w:color w:val="auto"/>
          <w:sz w:val="24"/>
          <w:highlight w:val="none"/>
          <w:lang w:val="en-US" w:eastAsia="zh-CN"/>
        </w:rPr>
        <w:t>及本国产品</w:t>
      </w:r>
      <w:r>
        <w:rPr>
          <w:rFonts w:hint="eastAsia" w:ascii="黑体" w:hAnsi="宋体" w:eastAsia="黑体"/>
          <w:bCs/>
          <w:color w:val="auto"/>
          <w:sz w:val="24"/>
          <w:highlight w:val="none"/>
        </w:rPr>
        <w:t>需填写）</w:t>
      </w:r>
    </w:p>
    <w:p w14:paraId="7CB5437C">
      <w:pPr>
        <w:widowControl w:val="0"/>
        <w:spacing w:after="0" w:line="360" w:lineRule="auto"/>
        <w:ind w:firstLine="560"/>
        <w:jc w:val="center"/>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细目报价表</w:t>
      </w:r>
    </w:p>
    <w:p w14:paraId="72FDD23F">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投标人名称（盖章）</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 xml:space="preserve">                                政府采购编号：</w:t>
      </w:r>
    </w:p>
    <w:tbl>
      <w:tblPr>
        <w:tblStyle w:val="36"/>
        <w:tblW w:w="10208" w:type="dxa"/>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41"/>
        <w:gridCol w:w="1263"/>
        <w:gridCol w:w="1173"/>
        <w:gridCol w:w="1816"/>
        <w:gridCol w:w="1376"/>
        <w:gridCol w:w="605"/>
        <w:gridCol w:w="600"/>
        <w:gridCol w:w="934"/>
        <w:gridCol w:w="816"/>
        <w:gridCol w:w="1084"/>
      </w:tblGrid>
      <w:tr w14:paraId="67B3B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541" w:type="dxa"/>
            <w:noWrap/>
            <w:tcMar>
              <w:top w:w="15" w:type="dxa"/>
              <w:left w:w="15" w:type="dxa"/>
              <w:bottom w:w="0" w:type="dxa"/>
              <w:right w:w="15" w:type="dxa"/>
            </w:tcMar>
            <w:vAlign w:val="center"/>
          </w:tcPr>
          <w:p w14:paraId="4ECEC1F1">
            <w:pPr>
              <w:spacing w:after="0" w:line="460" w:lineRule="exact"/>
              <w:jc w:val="center"/>
              <w:rPr>
                <w:rFonts w:ascii="宋体" w:hAnsi="宋体"/>
                <w:color w:val="auto"/>
                <w:sz w:val="18"/>
                <w:highlight w:val="none"/>
              </w:rPr>
            </w:pPr>
            <w:r>
              <w:rPr>
                <w:rFonts w:hint="eastAsia" w:ascii="宋体" w:hAnsi="宋体"/>
                <w:color w:val="auto"/>
                <w:sz w:val="18"/>
                <w:highlight w:val="none"/>
              </w:rPr>
              <w:t>序号</w:t>
            </w:r>
          </w:p>
        </w:tc>
        <w:tc>
          <w:tcPr>
            <w:tcW w:w="1263" w:type="dxa"/>
            <w:noWrap/>
            <w:tcMar>
              <w:top w:w="15" w:type="dxa"/>
              <w:left w:w="15" w:type="dxa"/>
              <w:bottom w:w="0" w:type="dxa"/>
              <w:right w:w="15" w:type="dxa"/>
            </w:tcMar>
            <w:vAlign w:val="center"/>
          </w:tcPr>
          <w:p w14:paraId="72D98535">
            <w:pPr>
              <w:spacing w:after="0" w:line="460" w:lineRule="exact"/>
              <w:jc w:val="center"/>
              <w:rPr>
                <w:rFonts w:ascii="宋体" w:hAnsi="宋体"/>
                <w:color w:val="auto"/>
                <w:sz w:val="18"/>
                <w:highlight w:val="none"/>
              </w:rPr>
            </w:pPr>
            <w:r>
              <w:rPr>
                <w:rFonts w:hint="eastAsia" w:ascii="宋体" w:hAnsi="宋体"/>
                <w:color w:val="auto"/>
                <w:sz w:val="18"/>
                <w:highlight w:val="none"/>
              </w:rPr>
              <w:t>名称</w:t>
            </w:r>
          </w:p>
        </w:tc>
        <w:tc>
          <w:tcPr>
            <w:tcW w:w="1173" w:type="dxa"/>
            <w:noWrap/>
            <w:tcMar>
              <w:top w:w="15" w:type="dxa"/>
              <w:left w:w="15" w:type="dxa"/>
              <w:bottom w:w="0" w:type="dxa"/>
              <w:right w:w="15" w:type="dxa"/>
            </w:tcMar>
            <w:vAlign w:val="center"/>
          </w:tcPr>
          <w:p w14:paraId="7CB12425">
            <w:pPr>
              <w:spacing w:after="0" w:line="460" w:lineRule="exact"/>
              <w:jc w:val="center"/>
              <w:rPr>
                <w:rFonts w:ascii="宋体" w:hAnsi="宋体"/>
                <w:color w:val="auto"/>
                <w:sz w:val="18"/>
                <w:highlight w:val="none"/>
              </w:rPr>
            </w:pPr>
            <w:r>
              <w:rPr>
                <w:rFonts w:hint="eastAsia" w:ascii="宋体" w:hAnsi="宋体"/>
                <w:color w:val="auto"/>
                <w:sz w:val="18"/>
                <w:highlight w:val="none"/>
              </w:rPr>
              <w:t>品牌型号</w:t>
            </w:r>
          </w:p>
        </w:tc>
        <w:tc>
          <w:tcPr>
            <w:tcW w:w="1816" w:type="dxa"/>
            <w:noWrap/>
            <w:tcMar>
              <w:top w:w="15" w:type="dxa"/>
              <w:left w:w="15" w:type="dxa"/>
              <w:bottom w:w="0" w:type="dxa"/>
              <w:right w:w="15" w:type="dxa"/>
            </w:tcMar>
            <w:vAlign w:val="center"/>
          </w:tcPr>
          <w:p w14:paraId="3477D7ED">
            <w:pPr>
              <w:spacing w:after="0" w:line="460" w:lineRule="exact"/>
              <w:jc w:val="center"/>
              <w:rPr>
                <w:rFonts w:hint="eastAsia" w:ascii="宋体" w:hAnsi="宋体" w:eastAsia="宋体" w:cs="Times New Roman"/>
                <w:color w:val="auto"/>
                <w:sz w:val="18"/>
                <w:szCs w:val="18"/>
                <w:highlight w:val="none"/>
              </w:rPr>
            </w:pPr>
            <w:r>
              <w:rPr>
                <w:rFonts w:hint="eastAsia" w:ascii="宋体" w:hAnsi="宋体"/>
                <w:color w:val="auto"/>
                <w:sz w:val="18"/>
                <w:highlight w:val="none"/>
              </w:rPr>
              <w:t>性能指标</w:t>
            </w:r>
          </w:p>
        </w:tc>
        <w:tc>
          <w:tcPr>
            <w:tcW w:w="1376" w:type="dxa"/>
            <w:noWrap w:val="0"/>
            <w:tcMar>
              <w:top w:w="15" w:type="dxa"/>
              <w:left w:w="15" w:type="dxa"/>
              <w:bottom w:w="0" w:type="dxa"/>
              <w:right w:w="15" w:type="dxa"/>
            </w:tcMar>
            <w:vAlign w:val="center"/>
          </w:tcPr>
          <w:p w14:paraId="1189DCC8">
            <w:pPr>
              <w:keepNext w:val="0"/>
              <w:keepLines w:val="0"/>
              <w:pageBreakBefore w:val="0"/>
              <w:widowControl/>
              <w:spacing w:after="0" w:line="400" w:lineRule="exact"/>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是否为</w:t>
            </w:r>
            <w:r>
              <w:rPr>
                <w:rFonts w:hint="eastAsia" w:ascii="宋体" w:hAnsi="宋体" w:eastAsia="宋体" w:cs="Times New Roman"/>
                <w:color w:val="auto"/>
                <w:sz w:val="18"/>
                <w:szCs w:val="18"/>
                <w:highlight w:val="none"/>
                <w:lang w:val="en-US" w:eastAsia="zh-CN"/>
              </w:rPr>
              <w:t>本国</w:t>
            </w:r>
            <w:r>
              <w:rPr>
                <w:rFonts w:hint="eastAsia" w:ascii="宋体" w:hAnsi="宋体" w:eastAsia="宋体" w:cs="Times New Roman"/>
                <w:color w:val="auto"/>
                <w:sz w:val="18"/>
                <w:szCs w:val="18"/>
                <w:highlight w:val="none"/>
              </w:rPr>
              <w:t>产品</w:t>
            </w:r>
          </w:p>
          <w:p w14:paraId="388C9532">
            <w:pPr>
              <w:keepNext w:val="0"/>
              <w:keepLines w:val="0"/>
              <w:pageBreakBefore w:val="0"/>
              <w:widowControl/>
              <w:spacing w:after="0" w:line="400" w:lineRule="exact"/>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（是/否）</w:t>
            </w:r>
          </w:p>
        </w:tc>
        <w:tc>
          <w:tcPr>
            <w:tcW w:w="605" w:type="dxa"/>
            <w:noWrap w:val="0"/>
            <w:tcMar>
              <w:top w:w="15" w:type="dxa"/>
              <w:left w:w="15" w:type="dxa"/>
              <w:bottom w:w="0" w:type="dxa"/>
              <w:right w:w="15" w:type="dxa"/>
            </w:tcMar>
            <w:vAlign w:val="center"/>
          </w:tcPr>
          <w:p w14:paraId="57EE07F1">
            <w:pPr>
              <w:spacing w:after="0" w:line="460" w:lineRule="exact"/>
              <w:jc w:val="center"/>
              <w:rPr>
                <w:rFonts w:ascii="宋体" w:hAnsi="宋体"/>
                <w:color w:val="auto"/>
                <w:sz w:val="18"/>
                <w:highlight w:val="none"/>
              </w:rPr>
            </w:pPr>
            <w:r>
              <w:rPr>
                <w:rFonts w:hint="eastAsia" w:ascii="宋体" w:hAnsi="宋体"/>
                <w:color w:val="auto"/>
                <w:sz w:val="18"/>
                <w:highlight w:val="none"/>
              </w:rPr>
              <w:t>数量</w:t>
            </w:r>
          </w:p>
        </w:tc>
        <w:tc>
          <w:tcPr>
            <w:tcW w:w="600" w:type="dxa"/>
            <w:noWrap/>
            <w:tcMar>
              <w:top w:w="15" w:type="dxa"/>
              <w:left w:w="15" w:type="dxa"/>
              <w:bottom w:w="0" w:type="dxa"/>
              <w:right w:w="15" w:type="dxa"/>
            </w:tcMar>
            <w:vAlign w:val="center"/>
          </w:tcPr>
          <w:p w14:paraId="55860F25">
            <w:pPr>
              <w:spacing w:after="0" w:line="460" w:lineRule="exact"/>
              <w:jc w:val="center"/>
              <w:rPr>
                <w:rFonts w:ascii="宋体" w:hAnsi="宋体"/>
                <w:color w:val="auto"/>
                <w:sz w:val="18"/>
                <w:highlight w:val="none"/>
              </w:rPr>
            </w:pPr>
            <w:r>
              <w:rPr>
                <w:rFonts w:hint="eastAsia" w:ascii="宋体" w:hAnsi="宋体"/>
                <w:color w:val="auto"/>
                <w:sz w:val="18"/>
                <w:highlight w:val="none"/>
              </w:rPr>
              <w:t>产地</w:t>
            </w:r>
          </w:p>
        </w:tc>
        <w:tc>
          <w:tcPr>
            <w:tcW w:w="934" w:type="dxa"/>
            <w:noWrap w:val="0"/>
            <w:vAlign w:val="center"/>
          </w:tcPr>
          <w:p w14:paraId="45FEA18A">
            <w:pPr>
              <w:spacing w:after="0" w:line="460" w:lineRule="exact"/>
              <w:jc w:val="center"/>
              <w:rPr>
                <w:rFonts w:ascii="宋体" w:hAnsi="宋体"/>
                <w:color w:val="auto"/>
                <w:sz w:val="18"/>
                <w:highlight w:val="none"/>
              </w:rPr>
            </w:pPr>
            <w:r>
              <w:rPr>
                <w:rFonts w:hint="eastAsia" w:ascii="宋体" w:hAnsi="宋体"/>
                <w:color w:val="auto"/>
                <w:sz w:val="18"/>
                <w:highlight w:val="none"/>
              </w:rPr>
              <w:t>免费质保期</w:t>
            </w:r>
          </w:p>
        </w:tc>
        <w:tc>
          <w:tcPr>
            <w:tcW w:w="816" w:type="dxa"/>
            <w:noWrap w:val="0"/>
            <w:vAlign w:val="center"/>
          </w:tcPr>
          <w:p w14:paraId="48023A71">
            <w:pPr>
              <w:spacing w:after="0" w:line="460" w:lineRule="exact"/>
              <w:jc w:val="center"/>
              <w:rPr>
                <w:rFonts w:ascii="宋体" w:hAnsi="宋体"/>
                <w:color w:val="auto"/>
                <w:sz w:val="18"/>
                <w:highlight w:val="none"/>
              </w:rPr>
            </w:pPr>
            <w:r>
              <w:rPr>
                <w:rFonts w:hint="eastAsia" w:ascii="宋体" w:hAnsi="宋体"/>
                <w:color w:val="auto"/>
                <w:sz w:val="18"/>
                <w:highlight w:val="none"/>
              </w:rPr>
              <w:t>单报价</w:t>
            </w:r>
          </w:p>
        </w:tc>
        <w:tc>
          <w:tcPr>
            <w:tcW w:w="1084" w:type="dxa"/>
            <w:noWrap w:val="0"/>
            <w:vAlign w:val="center"/>
          </w:tcPr>
          <w:p w14:paraId="6B3D26D9">
            <w:pPr>
              <w:spacing w:after="0" w:line="460" w:lineRule="exact"/>
              <w:jc w:val="center"/>
              <w:rPr>
                <w:rFonts w:ascii="宋体" w:hAnsi="宋体"/>
                <w:color w:val="auto"/>
                <w:sz w:val="18"/>
                <w:highlight w:val="none"/>
              </w:rPr>
            </w:pPr>
            <w:r>
              <w:rPr>
                <w:rFonts w:hint="eastAsia" w:ascii="宋体" w:hAnsi="宋体"/>
                <w:color w:val="auto"/>
                <w:sz w:val="18"/>
                <w:highlight w:val="none"/>
              </w:rPr>
              <w:t>分项总报价</w:t>
            </w:r>
          </w:p>
        </w:tc>
      </w:tr>
      <w:tr w14:paraId="68E32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541" w:type="dxa"/>
            <w:noWrap/>
            <w:tcMar>
              <w:top w:w="15" w:type="dxa"/>
              <w:left w:w="15" w:type="dxa"/>
              <w:bottom w:w="0" w:type="dxa"/>
              <w:right w:w="15" w:type="dxa"/>
            </w:tcMar>
            <w:vAlign w:val="center"/>
          </w:tcPr>
          <w:p w14:paraId="2F3A9E98">
            <w:pPr>
              <w:pStyle w:val="276"/>
              <w:pBdr>
                <w:bottom w:val="none" w:color="000000" w:sz="0" w:space="0"/>
              </w:pBdr>
              <w:tabs>
                <w:tab w:val="clear" w:pos="4153"/>
                <w:tab w:val="clear" w:pos="8306"/>
              </w:tabs>
              <w:spacing w:before="5"/>
              <w:rPr>
                <w:rFonts w:ascii="宋体" w:hAnsi="宋体"/>
                <w:color w:val="auto"/>
                <w:highlight w:val="none"/>
              </w:rPr>
            </w:pPr>
          </w:p>
        </w:tc>
        <w:tc>
          <w:tcPr>
            <w:tcW w:w="1263" w:type="dxa"/>
            <w:noWrap/>
            <w:tcMar>
              <w:top w:w="15" w:type="dxa"/>
              <w:left w:w="15" w:type="dxa"/>
              <w:bottom w:w="0" w:type="dxa"/>
              <w:right w:w="15" w:type="dxa"/>
            </w:tcMar>
            <w:vAlign w:val="center"/>
          </w:tcPr>
          <w:p w14:paraId="545B4093">
            <w:pPr>
              <w:pStyle w:val="276"/>
              <w:pBdr>
                <w:bottom w:val="none" w:color="000000" w:sz="0" w:space="0"/>
              </w:pBdr>
              <w:tabs>
                <w:tab w:val="clear" w:pos="4153"/>
                <w:tab w:val="clear" w:pos="8306"/>
              </w:tabs>
              <w:rPr>
                <w:rFonts w:ascii="宋体" w:hAnsi="宋体"/>
                <w:bCs/>
                <w:color w:val="auto"/>
                <w:highlight w:val="none"/>
              </w:rPr>
            </w:pPr>
          </w:p>
        </w:tc>
        <w:tc>
          <w:tcPr>
            <w:tcW w:w="1173" w:type="dxa"/>
            <w:noWrap w:val="0"/>
            <w:tcMar>
              <w:top w:w="15" w:type="dxa"/>
              <w:left w:w="15" w:type="dxa"/>
              <w:bottom w:w="0" w:type="dxa"/>
              <w:right w:w="15" w:type="dxa"/>
            </w:tcMar>
            <w:vAlign w:val="center"/>
          </w:tcPr>
          <w:p w14:paraId="21A3E7C1">
            <w:pPr>
              <w:pStyle w:val="276"/>
              <w:pBdr>
                <w:bottom w:val="none" w:color="000000" w:sz="0" w:space="0"/>
              </w:pBdr>
              <w:tabs>
                <w:tab w:val="clear" w:pos="4153"/>
                <w:tab w:val="clear" w:pos="8306"/>
              </w:tabs>
              <w:rPr>
                <w:rFonts w:ascii="宋体" w:hAnsi="宋体"/>
                <w:bCs/>
                <w:color w:val="auto"/>
                <w:highlight w:val="none"/>
              </w:rPr>
            </w:pPr>
          </w:p>
        </w:tc>
        <w:tc>
          <w:tcPr>
            <w:tcW w:w="1816" w:type="dxa"/>
            <w:noWrap w:val="0"/>
            <w:tcMar>
              <w:top w:w="15" w:type="dxa"/>
              <w:left w:w="15" w:type="dxa"/>
              <w:bottom w:w="0" w:type="dxa"/>
              <w:right w:w="15" w:type="dxa"/>
            </w:tcMar>
          </w:tcPr>
          <w:p w14:paraId="5009C784">
            <w:pPr>
              <w:jc w:val="center"/>
              <w:rPr>
                <w:rFonts w:ascii="宋体" w:hAnsi="宋体"/>
                <w:bCs/>
                <w:color w:val="auto"/>
                <w:sz w:val="18"/>
                <w:highlight w:val="none"/>
              </w:rPr>
            </w:pPr>
          </w:p>
        </w:tc>
        <w:tc>
          <w:tcPr>
            <w:tcW w:w="1376" w:type="dxa"/>
            <w:noWrap w:val="0"/>
            <w:tcMar>
              <w:top w:w="15" w:type="dxa"/>
              <w:left w:w="15" w:type="dxa"/>
              <w:bottom w:w="0" w:type="dxa"/>
              <w:right w:w="15" w:type="dxa"/>
            </w:tcMar>
            <w:vAlign w:val="center"/>
          </w:tcPr>
          <w:p w14:paraId="18F8694E">
            <w:pPr>
              <w:jc w:val="center"/>
              <w:rPr>
                <w:rFonts w:ascii="宋体" w:hAnsi="宋体"/>
                <w:bCs/>
                <w:color w:val="auto"/>
                <w:sz w:val="18"/>
                <w:highlight w:val="none"/>
              </w:rPr>
            </w:pPr>
          </w:p>
        </w:tc>
        <w:tc>
          <w:tcPr>
            <w:tcW w:w="605" w:type="dxa"/>
            <w:noWrap w:val="0"/>
            <w:tcMar>
              <w:top w:w="15" w:type="dxa"/>
              <w:left w:w="15" w:type="dxa"/>
              <w:bottom w:w="0" w:type="dxa"/>
              <w:right w:w="15" w:type="dxa"/>
            </w:tcMar>
            <w:vAlign w:val="center"/>
          </w:tcPr>
          <w:p w14:paraId="07D348C4">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13AAB250">
            <w:pPr>
              <w:jc w:val="center"/>
              <w:rPr>
                <w:rFonts w:ascii="宋体" w:hAnsi="宋体"/>
                <w:b/>
                <w:bCs/>
                <w:color w:val="auto"/>
                <w:sz w:val="24"/>
                <w:szCs w:val="24"/>
                <w:highlight w:val="none"/>
              </w:rPr>
            </w:pPr>
            <w:r>
              <w:rPr>
                <w:rFonts w:hint="eastAsia" w:ascii="宋体" w:hAnsi="宋体"/>
                <w:b/>
                <w:bCs/>
                <w:color w:val="auto"/>
                <w:highlight w:val="none"/>
              </w:rPr>
              <w:t>　</w:t>
            </w:r>
          </w:p>
        </w:tc>
        <w:tc>
          <w:tcPr>
            <w:tcW w:w="934" w:type="dxa"/>
            <w:noWrap w:val="0"/>
            <w:vAlign w:val="center"/>
          </w:tcPr>
          <w:p w14:paraId="2192F1BD">
            <w:pPr>
              <w:jc w:val="center"/>
              <w:rPr>
                <w:rFonts w:ascii="宋体" w:hAnsi="宋体"/>
                <w:b/>
                <w:bCs/>
                <w:color w:val="auto"/>
                <w:sz w:val="24"/>
                <w:szCs w:val="24"/>
                <w:highlight w:val="none"/>
              </w:rPr>
            </w:pPr>
            <w:r>
              <w:rPr>
                <w:rFonts w:hint="eastAsia" w:ascii="宋体" w:hAnsi="宋体"/>
                <w:b/>
                <w:bCs/>
                <w:color w:val="auto"/>
                <w:highlight w:val="none"/>
              </w:rPr>
              <w:t>　</w:t>
            </w:r>
          </w:p>
        </w:tc>
        <w:tc>
          <w:tcPr>
            <w:tcW w:w="816" w:type="dxa"/>
            <w:noWrap w:val="0"/>
            <w:vAlign w:val="center"/>
          </w:tcPr>
          <w:p w14:paraId="664344BE">
            <w:pPr>
              <w:jc w:val="center"/>
              <w:rPr>
                <w:rFonts w:ascii="宋体" w:hAnsi="宋体"/>
                <w:b/>
                <w:bCs/>
                <w:color w:val="auto"/>
                <w:sz w:val="24"/>
                <w:szCs w:val="24"/>
                <w:highlight w:val="none"/>
              </w:rPr>
            </w:pPr>
          </w:p>
        </w:tc>
        <w:tc>
          <w:tcPr>
            <w:tcW w:w="1084" w:type="dxa"/>
            <w:noWrap w:val="0"/>
            <w:vAlign w:val="center"/>
          </w:tcPr>
          <w:p w14:paraId="76CCC945">
            <w:pPr>
              <w:jc w:val="center"/>
              <w:rPr>
                <w:rFonts w:ascii="宋体" w:hAnsi="宋体"/>
                <w:b/>
                <w:bCs/>
                <w:color w:val="auto"/>
                <w:sz w:val="24"/>
                <w:szCs w:val="24"/>
                <w:highlight w:val="none"/>
              </w:rPr>
            </w:pPr>
          </w:p>
        </w:tc>
      </w:tr>
      <w:tr w14:paraId="7D633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541" w:type="dxa"/>
            <w:noWrap/>
            <w:tcMar>
              <w:top w:w="15" w:type="dxa"/>
              <w:left w:w="15" w:type="dxa"/>
              <w:bottom w:w="0" w:type="dxa"/>
              <w:right w:w="15" w:type="dxa"/>
            </w:tcMar>
            <w:vAlign w:val="center"/>
          </w:tcPr>
          <w:p w14:paraId="42168A41">
            <w:pPr>
              <w:pStyle w:val="276"/>
              <w:pBdr>
                <w:bottom w:val="none" w:color="000000" w:sz="0" w:space="0"/>
              </w:pBdr>
              <w:tabs>
                <w:tab w:val="clear" w:pos="4153"/>
                <w:tab w:val="clear" w:pos="8306"/>
              </w:tabs>
              <w:spacing w:before="5"/>
              <w:rPr>
                <w:rFonts w:ascii="宋体" w:hAnsi="宋体"/>
                <w:color w:val="auto"/>
                <w:highlight w:val="none"/>
              </w:rPr>
            </w:pPr>
          </w:p>
        </w:tc>
        <w:tc>
          <w:tcPr>
            <w:tcW w:w="1263" w:type="dxa"/>
            <w:noWrap/>
            <w:tcMar>
              <w:top w:w="15" w:type="dxa"/>
              <w:left w:w="15" w:type="dxa"/>
              <w:bottom w:w="0" w:type="dxa"/>
              <w:right w:w="15" w:type="dxa"/>
            </w:tcMar>
            <w:vAlign w:val="center"/>
          </w:tcPr>
          <w:p w14:paraId="5F748C54">
            <w:pPr>
              <w:pStyle w:val="276"/>
              <w:pBdr>
                <w:bottom w:val="none" w:color="000000" w:sz="0" w:space="0"/>
              </w:pBdr>
              <w:tabs>
                <w:tab w:val="clear" w:pos="4153"/>
                <w:tab w:val="clear" w:pos="8306"/>
              </w:tabs>
              <w:rPr>
                <w:rFonts w:ascii="宋体" w:hAnsi="宋体"/>
                <w:bCs/>
                <w:color w:val="auto"/>
                <w:highlight w:val="none"/>
              </w:rPr>
            </w:pPr>
          </w:p>
        </w:tc>
        <w:tc>
          <w:tcPr>
            <w:tcW w:w="1173" w:type="dxa"/>
            <w:noWrap w:val="0"/>
            <w:tcMar>
              <w:top w:w="15" w:type="dxa"/>
              <w:left w:w="15" w:type="dxa"/>
              <w:bottom w:w="0" w:type="dxa"/>
              <w:right w:w="15" w:type="dxa"/>
            </w:tcMar>
            <w:vAlign w:val="center"/>
          </w:tcPr>
          <w:p w14:paraId="08E59260">
            <w:pPr>
              <w:pStyle w:val="276"/>
              <w:pBdr>
                <w:bottom w:val="none" w:color="000000" w:sz="0" w:space="0"/>
              </w:pBdr>
              <w:tabs>
                <w:tab w:val="clear" w:pos="4153"/>
                <w:tab w:val="clear" w:pos="8306"/>
              </w:tabs>
              <w:rPr>
                <w:rFonts w:ascii="宋体" w:hAnsi="宋体"/>
                <w:bCs/>
                <w:color w:val="auto"/>
                <w:highlight w:val="none"/>
              </w:rPr>
            </w:pPr>
          </w:p>
        </w:tc>
        <w:tc>
          <w:tcPr>
            <w:tcW w:w="1816" w:type="dxa"/>
            <w:noWrap w:val="0"/>
            <w:tcMar>
              <w:top w:w="15" w:type="dxa"/>
              <w:left w:w="15" w:type="dxa"/>
              <w:bottom w:w="0" w:type="dxa"/>
              <w:right w:w="15" w:type="dxa"/>
            </w:tcMar>
          </w:tcPr>
          <w:p w14:paraId="6E027126">
            <w:pPr>
              <w:jc w:val="center"/>
              <w:rPr>
                <w:rFonts w:ascii="宋体" w:hAnsi="宋体"/>
                <w:bCs/>
                <w:color w:val="auto"/>
                <w:sz w:val="18"/>
                <w:highlight w:val="none"/>
              </w:rPr>
            </w:pPr>
          </w:p>
        </w:tc>
        <w:tc>
          <w:tcPr>
            <w:tcW w:w="1376" w:type="dxa"/>
            <w:noWrap w:val="0"/>
            <w:tcMar>
              <w:top w:w="15" w:type="dxa"/>
              <w:left w:w="15" w:type="dxa"/>
              <w:bottom w:w="0" w:type="dxa"/>
              <w:right w:w="15" w:type="dxa"/>
            </w:tcMar>
            <w:vAlign w:val="center"/>
          </w:tcPr>
          <w:p w14:paraId="7207DD7F">
            <w:pPr>
              <w:jc w:val="center"/>
              <w:rPr>
                <w:rFonts w:ascii="宋体" w:hAnsi="宋体"/>
                <w:bCs/>
                <w:color w:val="auto"/>
                <w:sz w:val="18"/>
                <w:highlight w:val="none"/>
              </w:rPr>
            </w:pPr>
          </w:p>
        </w:tc>
        <w:tc>
          <w:tcPr>
            <w:tcW w:w="605" w:type="dxa"/>
            <w:noWrap w:val="0"/>
            <w:tcMar>
              <w:top w:w="15" w:type="dxa"/>
              <w:left w:w="15" w:type="dxa"/>
              <w:bottom w:w="0" w:type="dxa"/>
              <w:right w:w="15" w:type="dxa"/>
            </w:tcMar>
            <w:vAlign w:val="center"/>
          </w:tcPr>
          <w:p w14:paraId="2ADBB46E">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1533BE83">
            <w:pPr>
              <w:jc w:val="center"/>
              <w:rPr>
                <w:rFonts w:ascii="宋体" w:hAnsi="宋体"/>
                <w:b/>
                <w:bCs/>
                <w:color w:val="auto"/>
                <w:highlight w:val="none"/>
              </w:rPr>
            </w:pPr>
          </w:p>
        </w:tc>
        <w:tc>
          <w:tcPr>
            <w:tcW w:w="934" w:type="dxa"/>
            <w:noWrap w:val="0"/>
            <w:vAlign w:val="center"/>
          </w:tcPr>
          <w:p w14:paraId="3F739DA7">
            <w:pPr>
              <w:jc w:val="center"/>
              <w:rPr>
                <w:rFonts w:ascii="宋体" w:hAnsi="宋体"/>
                <w:b/>
                <w:bCs/>
                <w:color w:val="auto"/>
                <w:highlight w:val="none"/>
              </w:rPr>
            </w:pPr>
          </w:p>
        </w:tc>
        <w:tc>
          <w:tcPr>
            <w:tcW w:w="816" w:type="dxa"/>
            <w:noWrap w:val="0"/>
            <w:vAlign w:val="center"/>
          </w:tcPr>
          <w:p w14:paraId="23291F34">
            <w:pPr>
              <w:jc w:val="center"/>
              <w:rPr>
                <w:rFonts w:ascii="宋体" w:hAnsi="宋体"/>
                <w:b/>
                <w:bCs/>
                <w:color w:val="auto"/>
                <w:sz w:val="24"/>
                <w:szCs w:val="24"/>
                <w:highlight w:val="none"/>
              </w:rPr>
            </w:pPr>
          </w:p>
        </w:tc>
        <w:tc>
          <w:tcPr>
            <w:tcW w:w="1084" w:type="dxa"/>
            <w:noWrap w:val="0"/>
            <w:vAlign w:val="center"/>
          </w:tcPr>
          <w:p w14:paraId="580226E3">
            <w:pPr>
              <w:jc w:val="center"/>
              <w:rPr>
                <w:rFonts w:ascii="宋体" w:hAnsi="宋体"/>
                <w:b/>
                <w:bCs/>
                <w:color w:val="auto"/>
                <w:sz w:val="24"/>
                <w:szCs w:val="24"/>
                <w:highlight w:val="none"/>
              </w:rPr>
            </w:pPr>
          </w:p>
        </w:tc>
      </w:tr>
      <w:tr w14:paraId="03156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541" w:type="dxa"/>
            <w:noWrap/>
            <w:tcMar>
              <w:top w:w="15" w:type="dxa"/>
              <w:left w:w="15" w:type="dxa"/>
              <w:bottom w:w="0" w:type="dxa"/>
              <w:right w:w="15" w:type="dxa"/>
            </w:tcMar>
            <w:vAlign w:val="center"/>
          </w:tcPr>
          <w:p w14:paraId="63ADF280">
            <w:pPr>
              <w:pStyle w:val="276"/>
              <w:pBdr>
                <w:bottom w:val="none" w:color="000000" w:sz="0" w:space="0"/>
              </w:pBdr>
              <w:tabs>
                <w:tab w:val="clear" w:pos="4153"/>
                <w:tab w:val="clear" w:pos="8306"/>
              </w:tabs>
              <w:spacing w:before="5"/>
              <w:rPr>
                <w:rFonts w:ascii="宋体" w:hAnsi="宋体"/>
                <w:color w:val="auto"/>
                <w:highlight w:val="none"/>
              </w:rPr>
            </w:pPr>
          </w:p>
        </w:tc>
        <w:tc>
          <w:tcPr>
            <w:tcW w:w="1263" w:type="dxa"/>
            <w:noWrap/>
            <w:tcMar>
              <w:top w:w="15" w:type="dxa"/>
              <w:left w:w="15" w:type="dxa"/>
              <w:bottom w:w="0" w:type="dxa"/>
              <w:right w:w="15" w:type="dxa"/>
            </w:tcMar>
            <w:vAlign w:val="center"/>
          </w:tcPr>
          <w:p w14:paraId="34978427">
            <w:pPr>
              <w:pStyle w:val="276"/>
              <w:pBdr>
                <w:bottom w:val="none" w:color="000000" w:sz="0" w:space="0"/>
              </w:pBdr>
              <w:tabs>
                <w:tab w:val="clear" w:pos="4153"/>
                <w:tab w:val="clear" w:pos="8306"/>
              </w:tabs>
              <w:rPr>
                <w:rFonts w:ascii="宋体" w:hAnsi="宋体"/>
                <w:bCs/>
                <w:color w:val="auto"/>
                <w:highlight w:val="none"/>
              </w:rPr>
            </w:pPr>
          </w:p>
        </w:tc>
        <w:tc>
          <w:tcPr>
            <w:tcW w:w="1173" w:type="dxa"/>
            <w:noWrap w:val="0"/>
            <w:tcMar>
              <w:top w:w="15" w:type="dxa"/>
              <w:left w:w="15" w:type="dxa"/>
              <w:bottom w:w="0" w:type="dxa"/>
              <w:right w:w="15" w:type="dxa"/>
            </w:tcMar>
            <w:vAlign w:val="center"/>
          </w:tcPr>
          <w:p w14:paraId="47B088FE">
            <w:pPr>
              <w:pStyle w:val="276"/>
              <w:pBdr>
                <w:bottom w:val="none" w:color="000000" w:sz="0" w:space="0"/>
              </w:pBdr>
              <w:tabs>
                <w:tab w:val="clear" w:pos="4153"/>
                <w:tab w:val="clear" w:pos="8306"/>
              </w:tabs>
              <w:rPr>
                <w:rFonts w:ascii="宋体" w:hAnsi="宋体"/>
                <w:bCs/>
                <w:color w:val="auto"/>
                <w:highlight w:val="none"/>
              </w:rPr>
            </w:pPr>
          </w:p>
        </w:tc>
        <w:tc>
          <w:tcPr>
            <w:tcW w:w="1816" w:type="dxa"/>
            <w:noWrap w:val="0"/>
            <w:tcMar>
              <w:top w:w="15" w:type="dxa"/>
              <w:left w:w="15" w:type="dxa"/>
              <w:bottom w:w="0" w:type="dxa"/>
              <w:right w:w="15" w:type="dxa"/>
            </w:tcMar>
          </w:tcPr>
          <w:p w14:paraId="761B67E0">
            <w:pPr>
              <w:jc w:val="center"/>
              <w:rPr>
                <w:rFonts w:ascii="宋体" w:hAnsi="宋体"/>
                <w:bCs/>
                <w:color w:val="auto"/>
                <w:sz w:val="18"/>
                <w:highlight w:val="none"/>
              </w:rPr>
            </w:pPr>
          </w:p>
        </w:tc>
        <w:tc>
          <w:tcPr>
            <w:tcW w:w="1376" w:type="dxa"/>
            <w:noWrap w:val="0"/>
            <w:tcMar>
              <w:top w:w="15" w:type="dxa"/>
              <w:left w:w="15" w:type="dxa"/>
              <w:bottom w:w="0" w:type="dxa"/>
              <w:right w:w="15" w:type="dxa"/>
            </w:tcMar>
            <w:vAlign w:val="center"/>
          </w:tcPr>
          <w:p w14:paraId="605216A7">
            <w:pPr>
              <w:jc w:val="center"/>
              <w:rPr>
                <w:rFonts w:ascii="宋体" w:hAnsi="宋体"/>
                <w:bCs/>
                <w:color w:val="auto"/>
                <w:sz w:val="18"/>
                <w:highlight w:val="none"/>
              </w:rPr>
            </w:pPr>
          </w:p>
        </w:tc>
        <w:tc>
          <w:tcPr>
            <w:tcW w:w="605" w:type="dxa"/>
            <w:noWrap w:val="0"/>
            <w:tcMar>
              <w:top w:w="15" w:type="dxa"/>
              <w:left w:w="15" w:type="dxa"/>
              <w:bottom w:w="0" w:type="dxa"/>
              <w:right w:w="15" w:type="dxa"/>
            </w:tcMar>
            <w:vAlign w:val="center"/>
          </w:tcPr>
          <w:p w14:paraId="6C77C13E">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0BDD8C68">
            <w:pPr>
              <w:jc w:val="center"/>
              <w:rPr>
                <w:rFonts w:ascii="宋体" w:hAnsi="宋体"/>
                <w:b/>
                <w:bCs/>
                <w:color w:val="auto"/>
                <w:highlight w:val="none"/>
              </w:rPr>
            </w:pPr>
          </w:p>
        </w:tc>
        <w:tc>
          <w:tcPr>
            <w:tcW w:w="934" w:type="dxa"/>
            <w:noWrap w:val="0"/>
            <w:vAlign w:val="center"/>
          </w:tcPr>
          <w:p w14:paraId="23565811">
            <w:pPr>
              <w:jc w:val="center"/>
              <w:rPr>
                <w:rFonts w:ascii="宋体" w:hAnsi="宋体"/>
                <w:b/>
                <w:bCs/>
                <w:color w:val="auto"/>
                <w:highlight w:val="none"/>
              </w:rPr>
            </w:pPr>
          </w:p>
        </w:tc>
        <w:tc>
          <w:tcPr>
            <w:tcW w:w="816" w:type="dxa"/>
            <w:noWrap w:val="0"/>
            <w:vAlign w:val="center"/>
          </w:tcPr>
          <w:p w14:paraId="2A8A0C6F">
            <w:pPr>
              <w:jc w:val="center"/>
              <w:rPr>
                <w:rFonts w:ascii="宋体" w:hAnsi="宋体"/>
                <w:b/>
                <w:bCs/>
                <w:color w:val="auto"/>
                <w:sz w:val="24"/>
                <w:szCs w:val="24"/>
                <w:highlight w:val="none"/>
              </w:rPr>
            </w:pPr>
          </w:p>
        </w:tc>
        <w:tc>
          <w:tcPr>
            <w:tcW w:w="1084" w:type="dxa"/>
            <w:noWrap w:val="0"/>
            <w:vAlign w:val="center"/>
          </w:tcPr>
          <w:p w14:paraId="6AE80410">
            <w:pPr>
              <w:jc w:val="center"/>
              <w:rPr>
                <w:rFonts w:ascii="宋体" w:hAnsi="宋体"/>
                <w:b/>
                <w:bCs/>
                <w:color w:val="auto"/>
                <w:sz w:val="24"/>
                <w:szCs w:val="24"/>
                <w:highlight w:val="none"/>
              </w:rPr>
            </w:pPr>
          </w:p>
        </w:tc>
      </w:tr>
      <w:tr w14:paraId="7BAA6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44" w:hRule="atLeast"/>
        </w:trPr>
        <w:tc>
          <w:tcPr>
            <w:tcW w:w="541" w:type="dxa"/>
            <w:noWrap/>
            <w:tcMar>
              <w:top w:w="15" w:type="dxa"/>
              <w:left w:w="15" w:type="dxa"/>
              <w:bottom w:w="0" w:type="dxa"/>
              <w:right w:w="15" w:type="dxa"/>
            </w:tcMar>
            <w:vAlign w:val="center"/>
          </w:tcPr>
          <w:p w14:paraId="51BEC7E6">
            <w:pPr>
              <w:jc w:val="center"/>
              <w:rPr>
                <w:rFonts w:ascii="宋体" w:hAnsi="宋体"/>
                <w:color w:val="auto"/>
                <w:sz w:val="18"/>
                <w:highlight w:val="none"/>
              </w:rPr>
            </w:pPr>
          </w:p>
        </w:tc>
        <w:tc>
          <w:tcPr>
            <w:tcW w:w="1263" w:type="dxa"/>
            <w:noWrap/>
            <w:tcMar>
              <w:top w:w="15" w:type="dxa"/>
              <w:left w:w="15" w:type="dxa"/>
              <w:bottom w:w="0" w:type="dxa"/>
              <w:right w:w="15" w:type="dxa"/>
            </w:tcMar>
            <w:vAlign w:val="center"/>
          </w:tcPr>
          <w:p w14:paraId="200F0D92">
            <w:pPr>
              <w:jc w:val="center"/>
              <w:rPr>
                <w:rFonts w:ascii="宋体" w:hAnsi="宋体"/>
                <w:color w:val="auto"/>
                <w:highlight w:val="none"/>
              </w:rPr>
            </w:pPr>
          </w:p>
        </w:tc>
        <w:tc>
          <w:tcPr>
            <w:tcW w:w="1173" w:type="dxa"/>
            <w:noWrap w:val="0"/>
            <w:tcMar>
              <w:top w:w="15" w:type="dxa"/>
              <w:left w:w="15" w:type="dxa"/>
              <w:bottom w:w="0" w:type="dxa"/>
              <w:right w:w="15" w:type="dxa"/>
            </w:tcMar>
            <w:vAlign w:val="center"/>
          </w:tcPr>
          <w:p w14:paraId="15366CC5">
            <w:pPr>
              <w:pStyle w:val="276"/>
              <w:pBdr>
                <w:bottom w:val="none" w:color="000000" w:sz="0" w:space="0"/>
              </w:pBdr>
              <w:tabs>
                <w:tab w:val="clear" w:pos="4153"/>
                <w:tab w:val="clear" w:pos="8306"/>
              </w:tabs>
              <w:rPr>
                <w:rFonts w:ascii="宋体" w:hAnsi="宋体"/>
                <w:bCs/>
                <w:color w:val="auto"/>
                <w:highlight w:val="none"/>
              </w:rPr>
            </w:pPr>
          </w:p>
        </w:tc>
        <w:tc>
          <w:tcPr>
            <w:tcW w:w="1816" w:type="dxa"/>
            <w:noWrap w:val="0"/>
            <w:tcMar>
              <w:top w:w="15" w:type="dxa"/>
              <w:left w:w="15" w:type="dxa"/>
              <w:bottom w:w="0" w:type="dxa"/>
              <w:right w:w="15" w:type="dxa"/>
            </w:tcMar>
            <w:vAlign w:val="center"/>
          </w:tcPr>
          <w:p w14:paraId="5FBAB3E4">
            <w:pPr>
              <w:jc w:val="center"/>
              <w:rPr>
                <w:rFonts w:ascii="宋体" w:hAnsi="宋体"/>
                <w:bCs/>
                <w:color w:val="auto"/>
                <w:sz w:val="18"/>
                <w:highlight w:val="none"/>
              </w:rPr>
            </w:pPr>
          </w:p>
        </w:tc>
        <w:tc>
          <w:tcPr>
            <w:tcW w:w="1376" w:type="dxa"/>
            <w:noWrap w:val="0"/>
            <w:tcMar>
              <w:top w:w="15" w:type="dxa"/>
              <w:left w:w="15" w:type="dxa"/>
              <w:bottom w:w="0" w:type="dxa"/>
              <w:right w:w="15" w:type="dxa"/>
            </w:tcMar>
            <w:vAlign w:val="center"/>
          </w:tcPr>
          <w:p w14:paraId="138591FF">
            <w:pPr>
              <w:jc w:val="center"/>
              <w:rPr>
                <w:rFonts w:ascii="宋体" w:hAnsi="宋体"/>
                <w:bCs/>
                <w:color w:val="auto"/>
                <w:sz w:val="18"/>
                <w:highlight w:val="none"/>
              </w:rPr>
            </w:pPr>
          </w:p>
        </w:tc>
        <w:tc>
          <w:tcPr>
            <w:tcW w:w="605" w:type="dxa"/>
            <w:noWrap w:val="0"/>
            <w:tcMar>
              <w:top w:w="15" w:type="dxa"/>
              <w:left w:w="15" w:type="dxa"/>
              <w:bottom w:w="0" w:type="dxa"/>
              <w:right w:w="15" w:type="dxa"/>
            </w:tcMar>
            <w:vAlign w:val="center"/>
          </w:tcPr>
          <w:p w14:paraId="5630F47A">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540F8C8D">
            <w:pPr>
              <w:jc w:val="center"/>
              <w:rPr>
                <w:rFonts w:ascii="宋体" w:hAnsi="宋体"/>
                <w:b/>
                <w:bCs/>
                <w:color w:val="auto"/>
                <w:sz w:val="24"/>
                <w:szCs w:val="24"/>
                <w:highlight w:val="none"/>
              </w:rPr>
            </w:pPr>
            <w:r>
              <w:rPr>
                <w:rFonts w:hint="eastAsia" w:ascii="宋体" w:hAnsi="宋体"/>
                <w:b/>
                <w:bCs/>
                <w:color w:val="auto"/>
                <w:highlight w:val="none"/>
              </w:rPr>
              <w:t>　</w:t>
            </w:r>
          </w:p>
        </w:tc>
        <w:tc>
          <w:tcPr>
            <w:tcW w:w="934" w:type="dxa"/>
            <w:noWrap w:val="0"/>
            <w:vAlign w:val="center"/>
          </w:tcPr>
          <w:p w14:paraId="3272D631">
            <w:pPr>
              <w:jc w:val="center"/>
              <w:rPr>
                <w:rFonts w:ascii="宋体" w:hAnsi="宋体"/>
                <w:b/>
                <w:bCs/>
                <w:color w:val="auto"/>
                <w:sz w:val="24"/>
                <w:szCs w:val="24"/>
                <w:highlight w:val="none"/>
              </w:rPr>
            </w:pPr>
            <w:r>
              <w:rPr>
                <w:rFonts w:hint="eastAsia" w:ascii="宋体" w:hAnsi="宋体"/>
                <w:b/>
                <w:bCs/>
                <w:color w:val="auto"/>
                <w:highlight w:val="none"/>
              </w:rPr>
              <w:t>　</w:t>
            </w:r>
          </w:p>
        </w:tc>
        <w:tc>
          <w:tcPr>
            <w:tcW w:w="816" w:type="dxa"/>
            <w:noWrap w:val="0"/>
            <w:vAlign w:val="center"/>
          </w:tcPr>
          <w:p w14:paraId="3CF31A85">
            <w:pPr>
              <w:jc w:val="center"/>
              <w:rPr>
                <w:rFonts w:ascii="宋体" w:hAnsi="宋体"/>
                <w:b/>
                <w:bCs/>
                <w:color w:val="auto"/>
                <w:sz w:val="24"/>
                <w:szCs w:val="24"/>
                <w:highlight w:val="none"/>
              </w:rPr>
            </w:pPr>
          </w:p>
        </w:tc>
        <w:tc>
          <w:tcPr>
            <w:tcW w:w="1084" w:type="dxa"/>
            <w:noWrap w:val="0"/>
            <w:vAlign w:val="center"/>
          </w:tcPr>
          <w:p w14:paraId="42D2F97F">
            <w:pPr>
              <w:jc w:val="center"/>
              <w:rPr>
                <w:rFonts w:ascii="宋体" w:hAnsi="宋体"/>
                <w:b/>
                <w:bCs/>
                <w:color w:val="auto"/>
                <w:sz w:val="24"/>
                <w:szCs w:val="24"/>
                <w:highlight w:val="none"/>
              </w:rPr>
            </w:pPr>
          </w:p>
        </w:tc>
      </w:tr>
      <w:tr w14:paraId="6049F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83" w:hRule="atLeast"/>
        </w:trPr>
        <w:tc>
          <w:tcPr>
            <w:tcW w:w="2977" w:type="dxa"/>
            <w:gridSpan w:val="3"/>
            <w:noWrap/>
            <w:tcMar>
              <w:top w:w="15" w:type="dxa"/>
              <w:left w:w="15" w:type="dxa"/>
              <w:bottom w:w="0" w:type="dxa"/>
              <w:right w:w="15" w:type="dxa"/>
            </w:tcMar>
            <w:vAlign w:val="center"/>
          </w:tcPr>
          <w:p w14:paraId="2EB8569B">
            <w:pPr>
              <w:pStyle w:val="276"/>
              <w:keepNext w:val="0"/>
              <w:keepLines w:val="0"/>
              <w:pageBreakBefore w:val="0"/>
              <w:widowControl/>
              <w:pBdr>
                <w:bottom w:val="none" w:color="000000" w:sz="0" w:space="0"/>
              </w:pBdr>
              <w:tabs>
                <w:tab w:val="clear" w:pos="4153"/>
                <w:tab w:val="clear" w:pos="8306"/>
              </w:tabs>
              <w:spacing w:after="0" w:line="400" w:lineRule="exact"/>
              <w:jc w:val="center"/>
              <w:rPr>
                <w:rFonts w:ascii="宋体" w:hAnsi="宋体"/>
                <w:b/>
                <w:bCs/>
                <w:color w:val="auto"/>
                <w:sz w:val="24"/>
                <w:highlight w:val="none"/>
              </w:rPr>
            </w:pPr>
            <w:r>
              <w:rPr>
                <w:rFonts w:hint="eastAsia" w:ascii="宋体" w:hAnsi="宋体"/>
                <w:b/>
                <w:bCs/>
                <w:color w:val="auto"/>
                <w:sz w:val="24"/>
                <w:highlight w:val="none"/>
              </w:rPr>
              <w:t>供货期</w:t>
            </w:r>
          </w:p>
        </w:tc>
        <w:tc>
          <w:tcPr>
            <w:tcW w:w="7231" w:type="dxa"/>
            <w:gridSpan w:val="7"/>
            <w:noWrap w:val="0"/>
            <w:tcMar>
              <w:top w:w="15" w:type="dxa"/>
              <w:left w:w="15" w:type="dxa"/>
              <w:bottom w:w="0" w:type="dxa"/>
              <w:right w:w="15" w:type="dxa"/>
            </w:tcMar>
            <w:vAlign w:val="center"/>
          </w:tcPr>
          <w:p w14:paraId="5EC5038D">
            <w:pPr>
              <w:rPr>
                <w:rFonts w:ascii="宋体" w:hAnsi="宋体"/>
                <w:bCs/>
                <w:color w:val="auto"/>
                <w:sz w:val="24"/>
                <w:szCs w:val="24"/>
                <w:highlight w:val="none"/>
              </w:rPr>
            </w:pPr>
          </w:p>
        </w:tc>
      </w:tr>
      <w:tr w14:paraId="218CF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83" w:hRule="atLeast"/>
        </w:trPr>
        <w:tc>
          <w:tcPr>
            <w:tcW w:w="2977" w:type="dxa"/>
            <w:gridSpan w:val="3"/>
            <w:noWrap/>
            <w:tcMar>
              <w:top w:w="15" w:type="dxa"/>
              <w:left w:w="15" w:type="dxa"/>
              <w:bottom w:w="0" w:type="dxa"/>
              <w:right w:w="15" w:type="dxa"/>
            </w:tcMar>
            <w:vAlign w:val="center"/>
          </w:tcPr>
          <w:p w14:paraId="386C4B50">
            <w:pPr>
              <w:pStyle w:val="276"/>
              <w:keepNext w:val="0"/>
              <w:keepLines w:val="0"/>
              <w:pageBreakBefore w:val="0"/>
              <w:widowControl/>
              <w:pBdr>
                <w:bottom w:val="none" w:color="000000" w:sz="0" w:space="0"/>
              </w:pBdr>
              <w:tabs>
                <w:tab w:val="clear" w:pos="4153"/>
                <w:tab w:val="clear" w:pos="8306"/>
              </w:tabs>
              <w:spacing w:after="0" w:line="400" w:lineRule="exact"/>
              <w:jc w:val="center"/>
              <w:rPr>
                <w:rFonts w:ascii="宋体" w:hAnsi="宋体"/>
                <w:b/>
                <w:bCs/>
                <w:color w:val="auto"/>
                <w:sz w:val="24"/>
                <w:highlight w:val="none"/>
              </w:rPr>
            </w:pPr>
            <w:r>
              <w:rPr>
                <w:rFonts w:hint="eastAsia" w:ascii="宋体" w:hAnsi="宋体"/>
                <w:b/>
                <w:bCs/>
                <w:color w:val="auto"/>
                <w:sz w:val="24"/>
                <w:highlight w:val="none"/>
              </w:rPr>
              <w:t>项目整体免费质保期</w:t>
            </w:r>
          </w:p>
        </w:tc>
        <w:tc>
          <w:tcPr>
            <w:tcW w:w="7231" w:type="dxa"/>
            <w:gridSpan w:val="7"/>
            <w:noWrap w:val="0"/>
            <w:tcMar>
              <w:top w:w="15" w:type="dxa"/>
              <w:left w:w="15" w:type="dxa"/>
              <w:bottom w:w="0" w:type="dxa"/>
              <w:right w:w="15" w:type="dxa"/>
            </w:tcMar>
            <w:vAlign w:val="center"/>
          </w:tcPr>
          <w:p w14:paraId="0D03C823">
            <w:pPr>
              <w:rPr>
                <w:rFonts w:ascii="宋体" w:hAnsi="宋体"/>
                <w:b/>
                <w:bCs/>
                <w:color w:val="auto"/>
                <w:sz w:val="24"/>
                <w:szCs w:val="24"/>
                <w:highlight w:val="none"/>
              </w:rPr>
            </w:pPr>
          </w:p>
        </w:tc>
      </w:tr>
      <w:tr w14:paraId="6F8A3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trPr>
        <w:tc>
          <w:tcPr>
            <w:tcW w:w="541" w:type="dxa"/>
            <w:vMerge w:val="restart"/>
            <w:noWrap w:val="0"/>
            <w:vAlign w:val="center"/>
          </w:tcPr>
          <w:p w14:paraId="6ED18138">
            <w:pPr>
              <w:pStyle w:val="290"/>
              <w:keepNext w:val="0"/>
              <w:keepLines w:val="0"/>
              <w:pageBreakBefore w:val="0"/>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服</w:t>
            </w:r>
          </w:p>
          <w:p w14:paraId="154F3DD0">
            <w:pPr>
              <w:pStyle w:val="290"/>
              <w:keepNext w:val="0"/>
              <w:keepLines w:val="0"/>
              <w:pageBreakBefore w:val="0"/>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务</w:t>
            </w:r>
          </w:p>
          <w:p w14:paraId="77E24FFF">
            <w:pPr>
              <w:pStyle w:val="290"/>
              <w:keepNext w:val="0"/>
              <w:keepLines w:val="0"/>
              <w:pageBreakBefore w:val="0"/>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承</w:t>
            </w:r>
          </w:p>
          <w:p w14:paraId="28C73166">
            <w:pPr>
              <w:pStyle w:val="290"/>
              <w:keepNext w:val="0"/>
              <w:keepLines w:val="0"/>
              <w:pageBreakBefore w:val="0"/>
              <w:widowControl/>
              <w:tabs>
                <w:tab w:val="left" w:pos="540"/>
              </w:tabs>
              <w:spacing w:after="0" w:line="400" w:lineRule="exact"/>
              <w:ind w:firstLine="119"/>
              <w:rPr>
                <w:rFonts w:ascii="宋体" w:hAnsi="宋体"/>
                <w:bCs/>
                <w:color w:val="auto"/>
                <w:sz w:val="24"/>
                <w:szCs w:val="24"/>
                <w:highlight w:val="none"/>
              </w:rPr>
            </w:pPr>
            <w:r>
              <w:rPr>
                <w:rFonts w:hint="eastAsia" w:ascii="宋体" w:hAnsi="宋体"/>
                <w:b/>
                <w:bCs/>
                <w:color w:val="auto"/>
                <w:sz w:val="24"/>
                <w:szCs w:val="24"/>
                <w:highlight w:val="none"/>
              </w:rPr>
              <w:t>诺</w:t>
            </w:r>
          </w:p>
        </w:tc>
        <w:tc>
          <w:tcPr>
            <w:tcW w:w="9667" w:type="dxa"/>
            <w:gridSpan w:val="9"/>
            <w:noWrap w:val="0"/>
            <w:vAlign w:val="center"/>
          </w:tcPr>
          <w:p w14:paraId="3516FE2C">
            <w:pPr>
              <w:widowControl w:val="0"/>
              <w:spacing w:after="0" w:line="240" w:lineRule="auto"/>
              <w:jc w:val="both"/>
              <w:rPr>
                <w:rFonts w:ascii="宋体" w:hAnsi="宋体"/>
                <w:bCs/>
                <w:color w:val="auto"/>
                <w:sz w:val="24"/>
                <w:szCs w:val="24"/>
                <w:highlight w:val="none"/>
              </w:rPr>
            </w:pPr>
            <w:r>
              <w:rPr>
                <w:rFonts w:hint="eastAsia" w:ascii="宋体" w:hAnsi="宋体"/>
                <w:bCs/>
                <w:color w:val="auto"/>
                <w:sz w:val="24"/>
                <w:szCs w:val="24"/>
                <w:highlight w:val="none"/>
              </w:rPr>
              <w:t>1.质量 2.安装 3.“三包”（包修、包退、包换）4.其他承诺</w:t>
            </w:r>
          </w:p>
          <w:p w14:paraId="6957F7DF">
            <w:pPr>
              <w:widowControl w:val="0"/>
              <w:spacing w:after="0" w:line="240" w:lineRule="auto"/>
              <w:jc w:val="both"/>
              <w:rPr>
                <w:rFonts w:hint="eastAsia" w:ascii="宋体" w:hAnsi="宋体"/>
                <w:bCs/>
                <w:color w:val="auto"/>
                <w:sz w:val="24"/>
                <w:szCs w:val="24"/>
                <w:highlight w:val="none"/>
              </w:rPr>
            </w:pPr>
            <w:r>
              <w:rPr>
                <w:rFonts w:hint="eastAsia" w:ascii="宋体" w:hAnsi="宋体"/>
                <w:bCs/>
                <w:color w:val="auto"/>
                <w:sz w:val="24"/>
                <w:szCs w:val="24"/>
                <w:highlight w:val="none"/>
              </w:rPr>
              <w:t>（以上是主要承诺，供投标人参考，投标人应在满足招标文件要求的基础上，根据自己单位的情况作出具体承诺）</w:t>
            </w:r>
          </w:p>
        </w:tc>
      </w:tr>
      <w:tr w14:paraId="200EC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52" w:hRule="atLeast"/>
        </w:trPr>
        <w:tc>
          <w:tcPr>
            <w:tcW w:w="541" w:type="dxa"/>
            <w:vMerge w:val="continue"/>
            <w:noWrap w:val="0"/>
            <w:vAlign w:val="center"/>
          </w:tcPr>
          <w:p w14:paraId="19759546">
            <w:pPr>
              <w:pStyle w:val="290"/>
              <w:tabs>
                <w:tab w:val="left" w:pos="540"/>
              </w:tabs>
              <w:spacing w:line="400" w:lineRule="exact"/>
              <w:rPr>
                <w:rFonts w:ascii="宋体" w:hAnsi="宋体"/>
                <w:bCs/>
                <w:color w:val="auto"/>
                <w:sz w:val="24"/>
                <w:szCs w:val="24"/>
                <w:highlight w:val="none"/>
              </w:rPr>
            </w:pPr>
          </w:p>
        </w:tc>
        <w:tc>
          <w:tcPr>
            <w:tcW w:w="9667" w:type="dxa"/>
            <w:gridSpan w:val="9"/>
            <w:noWrap w:val="0"/>
            <w:vAlign w:val="center"/>
          </w:tcPr>
          <w:p w14:paraId="4393BF0F">
            <w:pPr>
              <w:rPr>
                <w:rFonts w:ascii="宋体" w:hAnsi="宋体"/>
                <w:bCs/>
                <w:color w:val="auto"/>
                <w:sz w:val="24"/>
                <w:szCs w:val="24"/>
                <w:highlight w:val="none"/>
              </w:rPr>
            </w:pPr>
          </w:p>
        </w:tc>
      </w:tr>
    </w:tbl>
    <w:p w14:paraId="5D274BBF">
      <w:pPr>
        <w:widowControl w:val="0"/>
        <w:spacing w:before="5" w:after="0" w:line="560" w:lineRule="atLeast"/>
        <w:jc w:val="both"/>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4C37BC7A">
      <w:pPr>
        <w:widowControl w:val="0"/>
        <w:spacing w:before="5" w:after="0" w:line="560" w:lineRule="atLeast"/>
        <w:jc w:val="both"/>
        <w:rPr>
          <w:rFonts w:ascii="宋体" w:hAnsi="宋体"/>
          <w:b/>
          <w:bCs/>
          <w:color w:val="auto"/>
          <w:sz w:val="24"/>
          <w:szCs w:val="24"/>
          <w:highlight w:val="none"/>
          <w:lang w:val="zh-CN"/>
        </w:rPr>
      </w:pPr>
      <w:r>
        <w:rPr>
          <w:rFonts w:hint="eastAsia" w:ascii="宋体" w:hAnsi="宋体"/>
          <w:b/>
          <w:bCs/>
          <w:color w:val="auto"/>
          <w:sz w:val="24"/>
          <w:szCs w:val="24"/>
          <w:highlight w:val="none"/>
        </w:rPr>
        <w:t>注：</w:t>
      </w:r>
      <w:bookmarkEnd w:id="54"/>
    </w:p>
    <w:p w14:paraId="1B44874C">
      <w:pPr>
        <w:keepNext w:val="0"/>
        <w:keepLines w:val="0"/>
        <w:pageBreakBefore w:val="0"/>
        <w:widowControl w:val="0"/>
        <w:spacing w:after="0" w:line="400" w:lineRule="exact"/>
        <w:ind w:firstLine="420"/>
        <w:jc w:val="both"/>
        <w:outlineLvl w:val="0"/>
        <w:rPr>
          <w:rFonts w:ascii="宋体" w:hAnsi="宋体" w:cs="Times New Roman"/>
          <w:bCs/>
          <w:color w:val="auto"/>
          <w:sz w:val="21"/>
          <w:szCs w:val="21"/>
          <w:highlight w:val="none"/>
        </w:rPr>
      </w:pPr>
      <w:bookmarkStart w:id="55" w:name="_Toc30305"/>
      <w:r>
        <w:rPr>
          <w:rFonts w:hint="eastAsia" w:ascii="宋体" w:hAnsi="宋体" w:cs="Times New Roman"/>
          <w:bCs/>
          <w:color w:val="auto"/>
          <w:sz w:val="21"/>
          <w:szCs w:val="21"/>
          <w:highlight w:val="none"/>
          <w:lang w:eastAsia="zh-CN"/>
        </w:rPr>
        <w:t>（1）</w:t>
      </w:r>
      <w:bookmarkEnd w:id="55"/>
      <w:bookmarkStart w:id="56" w:name="_Toc26165"/>
      <w:r>
        <w:rPr>
          <w:rFonts w:hint="eastAsia" w:ascii="宋体" w:hAnsi="宋体" w:cs="Times New Roman"/>
          <w:bCs/>
          <w:color w:val="auto"/>
          <w:sz w:val="21"/>
          <w:szCs w:val="21"/>
          <w:highlight w:val="none"/>
          <w:lang w:eastAsia="zh-CN"/>
        </w:rPr>
        <w:t>供应商应当根据“项目技术要求和有关说明”的内容在上表中详细填写；</w:t>
      </w:r>
      <w:bookmarkEnd w:id="56"/>
    </w:p>
    <w:p w14:paraId="60CDB1DA">
      <w:pPr>
        <w:keepNext w:val="0"/>
        <w:keepLines w:val="0"/>
        <w:pageBreakBefore w:val="0"/>
        <w:widowControl w:val="0"/>
        <w:spacing w:after="0" w:line="400" w:lineRule="exact"/>
        <w:ind w:firstLine="420"/>
        <w:jc w:val="both"/>
        <w:outlineLvl w:val="0"/>
        <w:rPr>
          <w:rFonts w:ascii="宋体" w:hAnsi="宋体" w:cs="Times New Roman"/>
          <w:bCs/>
          <w:color w:val="auto"/>
          <w:sz w:val="21"/>
          <w:szCs w:val="21"/>
          <w:highlight w:val="none"/>
        </w:rPr>
      </w:pPr>
      <w:bookmarkStart w:id="57" w:name="_Toc26657"/>
      <w:r>
        <w:rPr>
          <w:rFonts w:hint="eastAsia" w:ascii="宋体" w:hAnsi="宋体" w:cs="Times New Roman"/>
          <w:bCs/>
          <w:color w:val="auto"/>
          <w:sz w:val="21"/>
          <w:szCs w:val="21"/>
          <w:highlight w:val="none"/>
          <w:lang w:eastAsia="zh-CN"/>
        </w:rPr>
        <w:t>（</w:t>
      </w:r>
      <w:r>
        <w:rPr>
          <w:rFonts w:hint="eastAsia" w:ascii="宋体" w:hAnsi="宋体" w:cs="Times New Roman"/>
          <w:bCs/>
          <w:color w:val="auto"/>
          <w:sz w:val="21"/>
          <w:szCs w:val="21"/>
          <w:highlight w:val="none"/>
          <w:lang w:val="en-US" w:eastAsia="zh-CN"/>
        </w:rPr>
        <w:t>2</w:t>
      </w:r>
      <w:r>
        <w:rPr>
          <w:rFonts w:hint="eastAsia" w:ascii="宋体" w:hAnsi="宋体" w:cs="Times New Roman"/>
          <w:bCs/>
          <w:color w:val="auto"/>
          <w:sz w:val="21"/>
          <w:szCs w:val="21"/>
          <w:highlight w:val="none"/>
          <w:lang w:eastAsia="zh-CN"/>
        </w:rPr>
        <w:t>）</w:t>
      </w:r>
      <w:r>
        <w:rPr>
          <w:rFonts w:hint="eastAsia" w:ascii="宋体" w:hAnsi="宋体" w:cs="Times New Roman"/>
          <w:bCs/>
          <w:color w:val="auto"/>
          <w:sz w:val="21"/>
          <w:szCs w:val="21"/>
          <w:highlight w:val="none"/>
        </w:rPr>
        <w:t>表格不够可自行延长。</w:t>
      </w:r>
      <w:bookmarkEnd w:id="57"/>
    </w:p>
    <w:p w14:paraId="7609E17B">
      <w:pPr>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p>
    <w:p w14:paraId="131A73A7">
      <w:pPr>
        <w:spacing w:after="0" w:line="360" w:lineRule="auto"/>
        <w:outlineLvl w:val="0"/>
        <w:rPr>
          <w:rFonts w:ascii="宋体" w:hAnsi="宋体"/>
          <w:bCs/>
          <w:color w:val="auto"/>
          <w:sz w:val="24"/>
          <w:szCs w:val="24"/>
          <w:highlight w:val="none"/>
        </w:rPr>
      </w:pPr>
      <w:r>
        <w:rPr>
          <w:rFonts w:hint="eastAsia" w:ascii="黑体" w:hAnsi="黑体" w:eastAsia="黑体" w:cs="黑体"/>
          <w:bCs/>
          <w:color w:val="auto"/>
          <w:sz w:val="28"/>
          <w:szCs w:val="28"/>
          <w:highlight w:val="none"/>
        </w:rPr>
        <w:t>（六）</w:t>
      </w:r>
      <w:bookmarkEnd w:id="53"/>
      <w:r>
        <w:rPr>
          <w:rFonts w:hint="eastAsia" w:ascii="黑体" w:hAnsi="黑体" w:eastAsia="黑体" w:cs="黑体"/>
          <w:bCs/>
          <w:color w:val="auto"/>
          <w:sz w:val="28"/>
          <w:szCs w:val="28"/>
          <w:highlight w:val="none"/>
        </w:rPr>
        <w:t>投标偏离表（格式）：</w:t>
      </w:r>
    </w:p>
    <w:p w14:paraId="7477A0E1">
      <w:pPr>
        <w:widowControl w:val="0"/>
        <w:spacing w:after="0" w:line="360" w:lineRule="auto"/>
        <w:ind w:firstLine="560"/>
        <w:jc w:val="center"/>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投标偏离表</w:t>
      </w:r>
    </w:p>
    <w:p w14:paraId="44B7B651">
      <w:pPr>
        <w:spacing w:line="400" w:lineRule="exact"/>
        <w:rPr>
          <w:rFonts w:ascii="宋体" w:hAnsi="宋体"/>
          <w:b/>
          <w:bCs/>
          <w:color w:val="auto"/>
          <w:spacing w:val="20"/>
          <w:sz w:val="24"/>
          <w:szCs w:val="24"/>
          <w:highlight w:val="none"/>
        </w:rPr>
      </w:pPr>
      <w:r>
        <w:rPr>
          <w:rFonts w:hint="eastAsia" w:ascii="宋体" w:hAnsi="宋体"/>
          <w:bCs/>
          <w:color w:val="auto"/>
          <w:sz w:val="24"/>
          <w:szCs w:val="24"/>
          <w:highlight w:val="none"/>
        </w:rPr>
        <w:t xml:space="preserve"> 投标人名称（盖章）                     政府采购编号：</w:t>
      </w:r>
    </w:p>
    <w:tbl>
      <w:tblPr>
        <w:tblStyle w:val="36"/>
        <w:tblW w:w="9480"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2040"/>
        <w:gridCol w:w="1950"/>
        <w:gridCol w:w="2145"/>
        <w:gridCol w:w="2475"/>
      </w:tblGrid>
      <w:tr w14:paraId="1AC2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870" w:type="dxa"/>
            <w:noWrap w:val="0"/>
            <w:vAlign w:val="center"/>
          </w:tcPr>
          <w:p w14:paraId="36A55425">
            <w:pPr>
              <w:spacing w:after="0" w:line="400" w:lineRule="exact"/>
              <w:jc w:val="center"/>
              <w:rPr>
                <w:rFonts w:ascii="宋体" w:hAnsi="宋体"/>
                <w:b/>
                <w:color w:val="auto"/>
                <w:spacing w:val="20"/>
                <w:sz w:val="24"/>
                <w:szCs w:val="24"/>
                <w:highlight w:val="none"/>
              </w:rPr>
            </w:pPr>
            <w:r>
              <w:rPr>
                <w:rFonts w:hint="eastAsia" w:ascii="宋体" w:hAnsi="宋体"/>
                <w:b/>
                <w:color w:val="auto"/>
                <w:spacing w:val="20"/>
                <w:sz w:val="24"/>
                <w:szCs w:val="24"/>
                <w:highlight w:val="none"/>
              </w:rPr>
              <w:t>序号</w:t>
            </w:r>
          </w:p>
        </w:tc>
        <w:tc>
          <w:tcPr>
            <w:tcW w:w="2040" w:type="dxa"/>
            <w:noWrap w:val="0"/>
            <w:vAlign w:val="center"/>
          </w:tcPr>
          <w:p w14:paraId="127DF1E8">
            <w:pPr>
              <w:spacing w:after="0" w:line="400" w:lineRule="exact"/>
              <w:jc w:val="center"/>
              <w:rPr>
                <w:rFonts w:ascii="宋体" w:hAnsi="宋体"/>
                <w:b/>
                <w:color w:val="auto"/>
                <w:spacing w:val="20"/>
                <w:sz w:val="24"/>
                <w:szCs w:val="24"/>
                <w:highlight w:val="none"/>
              </w:rPr>
            </w:pPr>
            <w:r>
              <w:rPr>
                <w:rFonts w:hint="eastAsia" w:ascii="宋体" w:hAnsi="宋体"/>
                <w:b/>
                <w:color w:val="auto"/>
                <w:spacing w:val="20"/>
                <w:sz w:val="24"/>
                <w:szCs w:val="24"/>
                <w:highlight w:val="none"/>
              </w:rPr>
              <w:t>投标货物名称</w:t>
            </w:r>
          </w:p>
        </w:tc>
        <w:tc>
          <w:tcPr>
            <w:tcW w:w="1950" w:type="dxa"/>
            <w:noWrap w:val="0"/>
            <w:vAlign w:val="center"/>
          </w:tcPr>
          <w:p w14:paraId="3D2A34B4">
            <w:pPr>
              <w:spacing w:after="0" w:line="400" w:lineRule="exact"/>
              <w:jc w:val="center"/>
              <w:rPr>
                <w:rFonts w:ascii="宋体" w:hAnsi="宋体"/>
                <w:b/>
                <w:color w:val="auto"/>
                <w:spacing w:val="20"/>
                <w:sz w:val="24"/>
                <w:szCs w:val="24"/>
                <w:highlight w:val="none"/>
              </w:rPr>
            </w:pPr>
            <w:r>
              <w:rPr>
                <w:rFonts w:hint="eastAsia" w:ascii="宋体" w:hAnsi="宋体"/>
                <w:b/>
                <w:color w:val="auto"/>
                <w:spacing w:val="20"/>
                <w:sz w:val="24"/>
                <w:szCs w:val="24"/>
                <w:highlight w:val="none"/>
              </w:rPr>
              <w:t>招标技术要求</w:t>
            </w:r>
          </w:p>
        </w:tc>
        <w:tc>
          <w:tcPr>
            <w:tcW w:w="2145" w:type="dxa"/>
            <w:noWrap w:val="0"/>
            <w:vAlign w:val="center"/>
          </w:tcPr>
          <w:p w14:paraId="660EFFE5">
            <w:pPr>
              <w:spacing w:after="0" w:line="400" w:lineRule="exact"/>
              <w:jc w:val="center"/>
              <w:rPr>
                <w:rFonts w:ascii="宋体" w:hAnsi="宋体"/>
                <w:b/>
                <w:color w:val="auto"/>
                <w:spacing w:val="20"/>
                <w:sz w:val="24"/>
                <w:szCs w:val="24"/>
                <w:highlight w:val="none"/>
              </w:rPr>
            </w:pPr>
            <w:r>
              <w:rPr>
                <w:rFonts w:hint="eastAsia" w:ascii="宋体" w:hAnsi="宋体"/>
                <w:b/>
                <w:color w:val="auto"/>
                <w:spacing w:val="20"/>
                <w:sz w:val="24"/>
                <w:szCs w:val="24"/>
                <w:highlight w:val="none"/>
              </w:rPr>
              <w:t>投标货物技术指标描述</w:t>
            </w:r>
          </w:p>
        </w:tc>
        <w:tc>
          <w:tcPr>
            <w:tcW w:w="2475" w:type="dxa"/>
            <w:noWrap w:val="0"/>
            <w:vAlign w:val="center"/>
          </w:tcPr>
          <w:p w14:paraId="12D3F211">
            <w:pPr>
              <w:pStyle w:val="24"/>
              <w:tabs>
                <w:tab w:val="clear" w:pos="7143"/>
                <w:tab w:val="clear" w:pos="14287"/>
              </w:tabs>
              <w:spacing w:line="400" w:lineRule="exact"/>
              <w:jc w:val="center"/>
              <w:rPr>
                <w:rFonts w:ascii="宋体" w:hAnsi="宋体"/>
                <w:b/>
                <w:color w:val="auto"/>
                <w:spacing w:val="20"/>
                <w:sz w:val="24"/>
                <w:szCs w:val="24"/>
                <w:highlight w:val="none"/>
              </w:rPr>
            </w:pPr>
            <w:r>
              <w:rPr>
                <w:rFonts w:hint="eastAsia" w:ascii="宋体" w:hAnsi="宋体"/>
                <w:b/>
                <w:color w:val="auto"/>
                <w:spacing w:val="20"/>
                <w:sz w:val="24"/>
                <w:szCs w:val="24"/>
                <w:highlight w:val="none"/>
              </w:rPr>
              <w:t>选择项（正偏离、负偏离或符合）</w:t>
            </w:r>
          </w:p>
        </w:tc>
      </w:tr>
      <w:tr w14:paraId="7B3A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234ED2DC">
            <w:pPr>
              <w:spacing w:line="400" w:lineRule="exact"/>
              <w:jc w:val="center"/>
              <w:rPr>
                <w:rFonts w:ascii="宋体" w:hAnsi="宋体"/>
                <w:color w:val="auto"/>
                <w:spacing w:val="20"/>
                <w:sz w:val="24"/>
                <w:szCs w:val="24"/>
                <w:highlight w:val="none"/>
              </w:rPr>
            </w:pPr>
          </w:p>
        </w:tc>
        <w:tc>
          <w:tcPr>
            <w:tcW w:w="2040" w:type="dxa"/>
            <w:noWrap w:val="0"/>
          </w:tcPr>
          <w:p w14:paraId="212FAF67">
            <w:pPr>
              <w:spacing w:line="400" w:lineRule="exact"/>
              <w:jc w:val="center"/>
              <w:rPr>
                <w:rFonts w:ascii="宋体" w:hAnsi="宋体"/>
                <w:color w:val="auto"/>
                <w:spacing w:val="20"/>
                <w:sz w:val="24"/>
                <w:szCs w:val="24"/>
                <w:highlight w:val="none"/>
              </w:rPr>
            </w:pPr>
          </w:p>
        </w:tc>
        <w:tc>
          <w:tcPr>
            <w:tcW w:w="1950" w:type="dxa"/>
            <w:noWrap w:val="0"/>
          </w:tcPr>
          <w:p w14:paraId="31C46825">
            <w:pPr>
              <w:ind w:firstLine="560"/>
              <w:rPr>
                <w:rFonts w:ascii="宋体" w:hAnsi="宋体"/>
                <w:color w:val="auto"/>
                <w:spacing w:val="20"/>
                <w:sz w:val="24"/>
                <w:szCs w:val="24"/>
                <w:highlight w:val="none"/>
              </w:rPr>
            </w:pPr>
          </w:p>
        </w:tc>
        <w:tc>
          <w:tcPr>
            <w:tcW w:w="2145" w:type="dxa"/>
            <w:noWrap w:val="0"/>
            <w:vAlign w:val="center"/>
          </w:tcPr>
          <w:p w14:paraId="2BCA1A7C">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76DDC103">
            <w:pPr>
              <w:spacing w:line="400" w:lineRule="exact"/>
              <w:ind w:firstLine="560"/>
              <w:jc w:val="center"/>
              <w:rPr>
                <w:rFonts w:ascii="宋体" w:hAnsi="宋体"/>
                <w:color w:val="auto"/>
                <w:spacing w:val="20"/>
                <w:sz w:val="24"/>
                <w:szCs w:val="24"/>
                <w:highlight w:val="none"/>
              </w:rPr>
            </w:pPr>
          </w:p>
        </w:tc>
      </w:tr>
      <w:tr w14:paraId="1C67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56D584A9">
            <w:pPr>
              <w:spacing w:line="400" w:lineRule="exact"/>
              <w:jc w:val="center"/>
              <w:rPr>
                <w:rFonts w:ascii="宋体" w:hAnsi="宋体"/>
                <w:color w:val="auto"/>
                <w:spacing w:val="20"/>
                <w:sz w:val="24"/>
                <w:szCs w:val="24"/>
                <w:highlight w:val="none"/>
              </w:rPr>
            </w:pPr>
          </w:p>
        </w:tc>
        <w:tc>
          <w:tcPr>
            <w:tcW w:w="2040" w:type="dxa"/>
            <w:noWrap w:val="0"/>
            <w:vAlign w:val="center"/>
          </w:tcPr>
          <w:p w14:paraId="6720A0BC">
            <w:pPr>
              <w:spacing w:line="400" w:lineRule="exact"/>
              <w:jc w:val="center"/>
              <w:rPr>
                <w:rFonts w:ascii="宋体" w:hAnsi="宋体"/>
                <w:color w:val="auto"/>
                <w:spacing w:val="20"/>
                <w:sz w:val="24"/>
                <w:szCs w:val="24"/>
                <w:highlight w:val="none"/>
              </w:rPr>
            </w:pPr>
          </w:p>
        </w:tc>
        <w:tc>
          <w:tcPr>
            <w:tcW w:w="1950" w:type="dxa"/>
            <w:noWrap w:val="0"/>
            <w:vAlign w:val="center"/>
          </w:tcPr>
          <w:p w14:paraId="102F0B65">
            <w:pPr>
              <w:ind w:firstLine="560"/>
              <w:rPr>
                <w:rFonts w:ascii="宋体" w:hAnsi="宋体"/>
                <w:color w:val="auto"/>
                <w:spacing w:val="20"/>
                <w:sz w:val="24"/>
                <w:szCs w:val="24"/>
                <w:highlight w:val="none"/>
              </w:rPr>
            </w:pPr>
          </w:p>
        </w:tc>
        <w:tc>
          <w:tcPr>
            <w:tcW w:w="2145" w:type="dxa"/>
            <w:noWrap w:val="0"/>
            <w:vAlign w:val="center"/>
          </w:tcPr>
          <w:p w14:paraId="79D2D752">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3CE2CFE6">
            <w:pPr>
              <w:spacing w:line="400" w:lineRule="exact"/>
              <w:ind w:firstLine="560"/>
              <w:jc w:val="center"/>
              <w:rPr>
                <w:rFonts w:ascii="宋体" w:hAnsi="宋体"/>
                <w:color w:val="auto"/>
                <w:spacing w:val="20"/>
                <w:sz w:val="24"/>
                <w:szCs w:val="24"/>
                <w:highlight w:val="none"/>
              </w:rPr>
            </w:pPr>
          </w:p>
        </w:tc>
      </w:tr>
      <w:tr w14:paraId="559C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04163E63">
            <w:pPr>
              <w:spacing w:line="400" w:lineRule="exact"/>
              <w:jc w:val="center"/>
              <w:rPr>
                <w:rFonts w:ascii="宋体" w:hAnsi="宋体"/>
                <w:color w:val="auto"/>
                <w:spacing w:val="20"/>
                <w:sz w:val="24"/>
                <w:szCs w:val="24"/>
                <w:highlight w:val="none"/>
              </w:rPr>
            </w:pPr>
          </w:p>
        </w:tc>
        <w:tc>
          <w:tcPr>
            <w:tcW w:w="2040" w:type="dxa"/>
            <w:noWrap w:val="0"/>
            <w:vAlign w:val="center"/>
          </w:tcPr>
          <w:p w14:paraId="583C0BDC">
            <w:pPr>
              <w:spacing w:line="400" w:lineRule="exact"/>
              <w:jc w:val="center"/>
              <w:rPr>
                <w:rFonts w:ascii="宋体" w:hAnsi="宋体"/>
                <w:color w:val="auto"/>
                <w:spacing w:val="20"/>
                <w:sz w:val="24"/>
                <w:szCs w:val="24"/>
                <w:highlight w:val="none"/>
              </w:rPr>
            </w:pPr>
          </w:p>
        </w:tc>
        <w:tc>
          <w:tcPr>
            <w:tcW w:w="1950" w:type="dxa"/>
            <w:noWrap w:val="0"/>
            <w:vAlign w:val="center"/>
          </w:tcPr>
          <w:p w14:paraId="56ABC347">
            <w:pPr>
              <w:spacing w:line="400" w:lineRule="exact"/>
              <w:jc w:val="center"/>
              <w:rPr>
                <w:rFonts w:ascii="宋体" w:hAnsi="宋体"/>
                <w:color w:val="auto"/>
                <w:spacing w:val="20"/>
                <w:sz w:val="24"/>
                <w:szCs w:val="24"/>
                <w:highlight w:val="none"/>
              </w:rPr>
            </w:pPr>
          </w:p>
        </w:tc>
        <w:tc>
          <w:tcPr>
            <w:tcW w:w="2145" w:type="dxa"/>
            <w:noWrap w:val="0"/>
            <w:vAlign w:val="center"/>
          </w:tcPr>
          <w:p w14:paraId="5E5466E0">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54D971B9">
            <w:pPr>
              <w:spacing w:line="400" w:lineRule="exact"/>
              <w:ind w:firstLine="560"/>
              <w:jc w:val="center"/>
              <w:rPr>
                <w:rFonts w:ascii="宋体" w:hAnsi="宋体"/>
                <w:color w:val="auto"/>
                <w:spacing w:val="20"/>
                <w:sz w:val="24"/>
                <w:szCs w:val="24"/>
                <w:highlight w:val="none"/>
              </w:rPr>
            </w:pPr>
          </w:p>
        </w:tc>
      </w:tr>
      <w:tr w14:paraId="7148B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2B7F6283">
            <w:pPr>
              <w:spacing w:line="400" w:lineRule="exact"/>
              <w:jc w:val="center"/>
              <w:rPr>
                <w:rFonts w:ascii="宋体" w:hAnsi="宋体"/>
                <w:color w:val="auto"/>
                <w:spacing w:val="20"/>
                <w:sz w:val="24"/>
                <w:szCs w:val="24"/>
                <w:highlight w:val="none"/>
              </w:rPr>
            </w:pPr>
          </w:p>
        </w:tc>
        <w:tc>
          <w:tcPr>
            <w:tcW w:w="2040" w:type="dxa"/>
            <w:noWrap w:val="0"/>
            <w:vAlign w:val="center"/>
          </w:tcPr>
          <w:p w14:paraId="7605CDAB">
            <w:pPr>
              <w:spacing w:line="400" w:lineRule="exact"/>
              <w:jc w:val="center"/>
              <w:rPr>
                <w:rFonts w:ascii="宋体" w:hAnsi="宋体"/>
                <w:color w:val="auto"/>
                <w:spacing w:val="20"/>
                <w:sz w:val="24"/>
                <w:szCs w:val="24"/>
                <w:highlight w:val="none"/>
              </w:rPr>
            </w:pPr>
          </w:p>
        </w:tc>
        <w:tc>
          <w:tcPr>
            <w:tcW w:w="1950" w:type="dxa"/>
            <w:noWrap w:val="0"/>
            <w:vAlign w:val="center"/>
          </w:tcPr>
          <w:p w14:paraId="7D3DA947">
            <w:pPr>
              <w:spacing w:line="400" w:lineRule="exact"/>
              <w:jc w:val="center"/>
              <w:rPr>
                <w:rFonts w:ascii="宋体" w:hAnsi="宋体"/>
                <w:color w:val="auto"/>
                <w:spacing w:val="20"/>
                <w:sz w:val="24"/>
                <w:szCs w:val="24"/>
                <w:highlight w:val="none"/>
              </w:rPr>
            </w:pPr>
          </w:p>
        </w:tc>
        <w:tc>
          <w:tcPr>
            <w:tcW w:w="2145" w:type="dxa"/>
            <w:noWrap w:val="0"/>
            <w:vAlign w:val="center"/>
          </w:tcPr>
          <w:p w14:paraId="4EEFC34B">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01A59267">
            <w:pPr>
              <w:spacing w:line="400" w:lineRule="exact"/>
              <w:ind w:firstLine="560"/>
              <w:jc w:val="center"/>
              <w:rPr>
                <w:rFonts w:ascii="宋体" w:hAnsi="宋体"/>
                <w:color w:val="auto"/>
                <w:spacing w:val="20"/>
                <w:sz w:val="24"/>
                <w:szCs w:val="24"/>
                <w:highlight w:val="none"/>
              </w:rPr>
            </w:pPr>
          </w:p>
        </w:tc>
      </w:tr>
      <w:tr w14:paraId="6605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5D4C6D4F">
            <w:pPr>
              <w:spacing w:line="400" w:lineRule="exact"/>
              <w:jc w:val="center"/>
              <w:rPr>
                <w:rFonts w:ascii="宋体" w:hAnsi="宋体"/>
                <w:color w:val="auto"/>
                <w:spacing w:val="20"/>
                <w:sz w:val="24"/>
                <w:szCs w:val="24"/>
                <w:highlight w:val="none"/>
              </w:rPr>
            </w:pPr>
          </w:p>
        </w:tc>
        <w:tc>
          <w:tcPr>
            <w:tcW w:w="2040" w:type="dxa"/>
            <w:noWrap w:val="0"/>
            <w:vAlign w:val="center"/>
          </w:tcPr>
          <w:p w14:paraId="120F2EDF">
            <w:pPr>
              <w:spacing w:line="400" w:lineRule="exact"/>
              <w:jc w:val="center"/>
              <w:rPr>
                <w:rFonts w:ascii="宋体" w:hAnsi="宋体"/>
                <w:color w:val="auto"/>
                <w:spacing w:val="20"/>
                <w:sz w:val="24"/>
                <w:szCs w:val="24"/>
                <w:highlight w:val="none"/>
              </w:rPr>
            </w:pPr>
          </w:p>
        </w:tc>
        <w:tc>
          <w:tcPr>
            <w:tcW w:w="1950" w:type="dxa"/>
            <w:noWrap w:val="0"/>
            <w:vAlign w:val="center"/>
          </w:tcPr>
          <w:p w14:paraId="3EFEAE67">
            <w:pPr>
              <w:spacing w:line="400" w:lineRule="exact"/>
              <w:jc w:val="center"/>
              <w:rPr>
                <w:rFonts w:ascii="宋体" w:hAnsi="宋体"/>
                <w:color w:val="auto"/>
                <w:spacing w:val="20"/>
                <w:sz w:val="24"/>
                <w:szCs w:val="24"/>
                <w:highlight w:val="none"/>
              </w:rPr>
            </w:pPr>
          </w:p>
        </w:tc>
        <w:tc>
          <w:tcPr>
            <w:tcW w:w="2145" w:type="dxa"/>
            <w:noWrap w:val="0"/>
            <w:vAlign w:val="center"/>
          </w:tcPr>
          <w:p w14:paraId="30D1901A">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0D64EED2">
            <w:pPr>
              <w:spacing w:line="400" w:lineRule="exact"/>
              <w:ind w:firstLine="560"/>
              <w:jc w:val="center"/>
              <w:rPr>
                <w:rFonts w:ascii="宋体" w:hAnsi="宋体"/>
                <w:color w:val="auto"/>
                <w:spacing w:val="20"/>
                <w:sz w:val="24"/>
                <w:szCs w:val="24"/>
                <w:highlight w:val="none"/>
              </w:rPr>
            </w:pPr>
          </w:p>
        </w:tc>
      </w:tr>
      <w:tr w14:paraId="0C6CC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2806F937">
            <w:pPr>
              <w:spacing w:line="400" w:lineRule="exact"/>
              <w:jc w:val="center"/>
              <w:rPr>
                <w:rFonts w:ascii="宋体" w:hAnsi="宋体"/>
                <w:color w:val="auto"/>
                <w:spacing w:val="20"/>
                <w:sz w:val="24"/>
                <w:szCs w:val="24"/>
                <w:highlight w:val="none"/>
              </w:rPr>
            </w:pPr>
          </w:p>
        </w:tc>
        <w:tc>
          <w:tcPr>
            <w:tcW w:w="2040" w:type="dxa"/>
            <w:noWrap w:val="0"/>
            <w:vAlign w:val="center"/>
          </w:tcPr>
          <w:p w14:paraId="1329C1F9">
            <w:pPr>
              <w:spacing w:line="400" w:lineRule="exact"/>
              <w:jc w:val="center"/>
              <w:rPr>
                <w:rFonts w:ascii="宋体" w:hAnsi="宋体"/>
                <w:color w:val="auto"/>
                <w:spacing w:val="20"/>
                <w:sz w:val="24"/>
                <w:szCs w:val="24"/>
                <w:highlight w:val="none"/>
              </w:rPr>
            </w:pPr>
          </w:p>
        </w:tc>
        <w:tc>
          <w:tcPr>
            <w:tcW w:w="1950" w:type="dxa"/>
            <w:noWrap w:val="0"/>
            <w:vAlign w:val="center"/>
          </w:tcPr>
          <w:p w14:paraId="695C0F5A">
            <w:pPr>
              <w:spacing w:line="400" w:lineRule="exact"/>
              <w:jc w:val="center"/>
              <w:rPr>
                <w:rFonts w:ascii="宋体" w:hAnsi="宋体"/>
                <w:color w:val="auto"/>
                <w:spacing w:val="20"/>
                <w:sz w:val="24"/>
                <w:szCs w:val="24"/>
                <w:highlight w:val="none"/>
              </w:rPr>
            </w:pPr>
          </w:p>
        </w:tc>
        <w:tc>
          <w:tcPr>
            <w:tcW w:w="2145" w:type="dxa"/>
            <w:noWrap w:val="0"/>
            <w:vAlign w:val="center"/>
          </w:tcPr>
          <w:p w14:paraId="3BE53C61">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28937CDF">
            <w:pPr>
              <w:spacing w:line="400" w:lineRule="exact"/>
              <w:ind w:firstLine="560"/>
              <w:jc w:val="center"/>
              <w:rPr>
                <w:rFonts w:ascii="宋体" w:hAnsi="宋体"/>
                <w:color w:val="auto"/>
                <w:spacing w:val="20"/>
                <w:sz w:val="24"/>
                <w:szCs w:val="24"/>
                <w:highlight w:val="none"/>
              </w:rPr>
            </w:pPr>
          </w:p>
        </w:tc>
      </w:tr>
      <w:tr w14:paraId="05FA8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2A243DCD">
            <w:pPr>
              <w:spacing w:line="400" w:lineRule="exact"/>
              <w:jc w:val="center"/>
              <w:rPr>
                <w:rFonts w:ascii="宋体" w:hAnsi="宋体"/>
                <w:color w:val="auto"/>
                <w:spacing w:val="20"/>
                <w:sz w:val="24"/>
                <w:szCs w:val="24"/>
                <w:highlight w:val="none"/>
              </w:rPr>
            </w:pPr>
          </w:p>
        </w:tc>
        <w:tc>
          <w:tcPr>
            <w:tcW w:w="2040" w:type="dxa"/>
            <w:noWrap w:val="0"/>
            <w:vAlign w:val="center"/>
          </w:tcPr>
          <w:p w14:paraId="3C42573A">
            <w:pPr>
              <w:spacing w:line="400" w:lineRule="exact"/>
              <w:jc w:val="center"/>
              <w:rPr>
                <w:rFonts w:ascii="宋体" w:hAnsi="宋体"/>
                <w:color w:val="auto"/>
                <w:spacing w:val="20"/>
                <w:sz w:val="24"/>
                <w:szCs w:val="24"/>
                <w:highlight w:val="none"/>
              </w:rPr>
            </w:pPr>
          </w:p>
        </w:tc>
        <w:tc>
          <w:tcPr>
            <w:tcW w:w="1950" w:type="dxa"/>
            <w:noWrap w:val="0"/>
            <w:vAlign w:val="center"/>
          </w:tcPr>
          <w:p w14:paraId="6E6C834B">
            <w:pPr>
              <w:spacing w:line="400" w:lineRule="exact"/>
              <w:jc w:val="center"/>
              <w:rPr>
                <w:rFonts w:ascii="宋体" w:hAnsi="宋体"/>
                <w:color w:val="auto"/>
                <w:spacing w:val="20"/>
                <w:sz w:val="24"/>
                <w:szCs w:val="24"/>
                <w:highlight w:val="none"/>
              </w:rPr>
            </w:pPr>
          </w:p>
        </w:tc>
        <w:tc>
          <w:tcPr>
            <w:tcW w:w="2145" w:type="dxa"/>
            <w:noWrap w:val="0"/>
            <w:vAlign w:val="center"/>
          </w:tcPr>
          <w:p w14:paraId="6D30455B">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7432B6B8">
            <w:pPr>
              <w:spacing w:line="400" w:lineRule="exact"/>
              <w:ind w:firstLine="560"/>
              <w:jc w:val="center"/>
              <w:rPr>
                <w:rFonts w:ascii="宋体" w:hAnsi="宋体"/>
                <w:color w:val="auto"/>
                <w:spacing w:val="20"/>
                <w:sz w:val="24"/>
                <w:szCs w:val="24"/>
                <w:highlight w:val="none"/>
              </w:rPr>
            </w:pPr>
          </w:p>
        </w:tc>
      </w:tr>
      <w:tr w14:paraId="4E54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700ED4FA">
            <w:pPr>
              <w:spacing w:line="400" w:lineRule="exact"/>
              <w:jc w:val="center"/>
              <w:rPr>
                <w:rFonts w:ascii="宋体" w:hAnsi="宋体"/>
                <w:color w:val="auto"/>
                <w:spacing w:val="20"/>
                <w:sz w:val="24"/>
                <w:szCs w:val="24"/>
                <w:highlight w:val="none"/>
              </w:rPr>
            </w:pPr>
          </w:p>
        </w:tc>
        <w:tc>
          <w:tcPr>
            <w:tcW w:w="2040" w:type="dxa"/>
            <w:noWrap w:val="0"/>
            <w:vAlign w:val="center"/>
          </w:tcPr>
          <w:p w14:paraId="6B447B0F">
            <w:pPr>
              <w:spacing w:line="400" w:lineRule="exact"/>
              <w:jc w:val="center"/>
              <w:rPr>
                <w:rFonts w:ascii="宋体" w:hAnsi="宋体"/>
                <w:color w:val="auto"/>
                <w:spacing w:val="20"/>
                <w:sz w:val="24"/>
                <w:szCs w:val="24"/>
                <w:highlight w:val="none"/>
              </w:rPr>
            </w:pPr>
          </w:p>
        </w:tc>
        <w:tc>
          <w:tcPr>
            <w:tcW w:w="1950" w:type="dxa"/>
            <w:noWrap w:val="0"/>
            <w:vAlign w:val="center"/>
          </w:tcPr>
          <w:p w14:paraId="5C813A65">
            <w:pPr>
              <w:spacing w:line="400" w:lineRule="exact"/>
              <w:jc w:val="center"/>
              <w:rPr>
                <w:rFonts w:ascii="宋体" w:hAnsi="宋体"/>
                <w:color w:val="auto"/>
                <w:spacing w:val="20"/>
                <w:sz w:val="24"/>
                <w:szCs w:val="24"/>
                <w:highlight w:val="none"/>
              </w:rPr>
            </w:pPr>
          </w:p>
        </w:tc>
        <w:tc>
          <w:tcPr>
            <w:tcW w:w="2145" w:type="dxa"/>
            <w:noWrap w:val="0"/>
            <w:vAlign w:val="center"/>
          </w:tcPr>
          <w:p w14:paraId="3D577F6B">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2C0E2079">
            <w:pPr>
              <w:spacing w:line="400" w:lineRule="exact"/>
              <w:ind w:firstLine="560"/>
              <w:jc w:val="center"/>
              <w:rPr>
                <w:rFonts w:ascii="宋体" w:hAnsi="宋体"/>
                <w:color w:val="auto"/>
                <w:spacing w:val="20"/>
                <w:sz w:val="24"/>
                <w:szCs w:val="24"/>
                <w:highlight w:val="none"/>
              </w:rPr>
            </w:pPr>
          </w:p>
        </w:tc>
      </w:tr>
      <w:tr w14:paraId="3985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10A8A6AD">
            <w:pPr>
              <w:spacing w:line="400" w:lineRule="exact"/>
              <w:jc w:val="center"/>
              <w:rPr>
                <w:rFonts w:ascii="宋体" w:hAnsi="宋体"/>
                <w:color w:val="auto"/>
                <w:spacing w:val="20"/>
                <w:sz w:val="24"/>
                <w:szCs w:val="24"/>
                <w:highlight w:val="none"/>
              </w:rPr>
            </w:pPr>
          </w:p>
        </w:tc>
        <w:tc>
          <w:tcPr>
            <w:tcW w:w="2040" w:type="dxa"/>
            <w:noWrap w:val="0"/>
            <w:vAlign w:val="center"/>
          </w:tcPr>
          <w:p w14:paraId="4387D2AC">
            <w:pPr>
              <w:spacing w:line="400" w:lineRule="exact"/>
              <w:jc w:val="center"/>
              <w:rPr>
                <w:rFonts w:ascii="宋体" w:hAnsi="宋体"/>
                <w:color w:val="auto"/>
                <w:spacing w:val="20"/>
                <w:sz w:val="24"/>
                <w:szCs w:val="24"/>
                <w:highlight w:val="none"/>
              </w:rPr>
            </w:pPr>
          </w:p>
        </w:tc>
        <w:tc>
          <w:tcPr>
            <w:tcW w:w="1950" w:type="dxa"/>
            <w:noWrap w:val="0"/>
            <w:vAlign w:val="center"/>
          </w:tcPr>
          <w:p w14:paraId="4C1412D8">
            <w:pPr>
              <w:spacing w:line="400" w:lineRule="exact"/>
              <w:jc w:val="center"/>
              <w:rPr>
                <w:rFonts w:ascii="宋体" w:hAnsi="宋体"/>
                <w:color w:val="auto"/>
                <w:spacing w:val="20"/>
                <w:sz w:val="24"/>
                <w:szCs w:val="24"/>
                <w:highlight w:val="none"/>
              </w:rPr>
            </w:pPr>
          </w:p>
        </w:tc>
        <w:tc>
          <w:tcPr>
            <w:tcW w:w="2145" w:type="dxa"/>
            <w:noWrap w:val="0"/>
            <w:vAlign w:val="center"/>
          </w:tcPr>
          <w:p w14:paraId="2905C7F0">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32AE126F">
            <w:pPr>
              <w:spacing w:line="400" w:lineRule="exact"/>
              <w:ind w:firstLine="560"/>
              <w:jc w:val="center"/>
              <w:rPr>
                <w:rFonts w:ascii="宋体" w:hAnsi="宋体"/>
                <w:color w:val="auto"/>
                <w:spacing w:val="20"/>
                <w:sz w:val="24"/>
                <w:szCs w:val="24"/>
                <w:highlight w:val="none"/>
              </w:rPr>
            </w:pPr>
          </w:p>
        </w:tc>
      </w:tr>
      <w:tr w14:paraId="674A6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4CFCE76F">
            <w:pPr>
              <w:spacing w:line="400" w:lineRule="exact"/>
              <w:jc w:val="center"/>
              <w:rPr>
                <w:rFonts w:ascii="宋体" w:hAnsi="宋体"/>
                <w:color w:val="auto"/>
                <w:spacing w:val="20"/>
                <w:sz w:val="24"/>
                <w:szCs w:val="24"/>
                <w:highlight w:val="none"/>
              </w:rPr>
            </w:pPr>
          </w:p>
        </w:tc>
        <w:tc>
          <w:tcPr>
            <w:tcW w:w="2040" w:type="dxa"/>
            <w:noWrap w:val="0"/>
            <w:vAlign w:val="center"/>
          </w:tcPr>
          <w:p w14:paraId="1D521EE5">
            <w:pPr>
              <w:spacing w:line="400" w:lineRule="exact"/>
              <w:jc w:val="center"/>
              <w:rPr>
                <w:rFonts w:ascii="宋体" w:hAnsi="宋体"/>
                <w:color w:val="auto"/>
                <w:spacing w:val="20"/>
                <w:sz w:val="24"/>
                <w:szCs w:val="24"/>
                <w:highlight w:val="none"/>
              </w:rPr>
            </w:pPr>
          </w:p>
        </w:tc>
        <w:tc>
          <w:tcPr>
            <w:tcW w:w="1950" w:type="dxa"/>
            <w:noWrap w:val="0"/>
            <w:vAlign w:val="center"/>
          </w:tcPr>
          <w:p w14:paraId="751ECB98">
            <w:pPr>
              <w:spacing w:line="400" w:lineRule="exact"/>
              <w:jc w:val="center"/>
              <w:rPr>
                <w:rFonts w:ascii="宋体" w:hAnsi="宋体"/>
                <w:color w:val="auto"/>
                <w:spacing w:val="20"/>
                <w:sz w:val="24"/>
                <w:szCs w:val="24"/>
                <w:highlight w:val="none"/>
              </w:rPr>
            </w:pPr>
          </w:p>
        </w:tc>
        <w:tc>
          <w:tcPr>
            <w:tcW w:w="2145" w:type="dxa"/>
            <w:noWrap w:val="0"/>
            <w:vAlign w:val="center"/>
          </w:tcPr>
          <w:p w14:paraId="75B5F932">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77551D34">
            <w:pPr>
              <w:spacing w:line="400" w:lineRule="exact"/>
              <w:ind w:firstLine="560"/>
              <w:jc w:val="center"/>
              <w:rPr>
                <w:rFonts w:ascii="宋体" w:hAnsi="宋体"/>
                <w:color w:val="auto"/>
                <w:spacing w:val="20"/>
                <w:sz w:val="24"/>
                <w:szCs w:val="24"/>
                <w:highlight w:val="none"/>
              </w:rPr>
            </w:pPr>
          </w:p>
        </w:tc>
      </w:tr>
      <w:tr w14:paraId="1C3C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6B5D5AAC">
            <w:pPr>
              <w:spacing w:line="400" w:lineRule="exact"/>
              <w:jc w:val="center"/>
              <w:rPr>
                <w:rFonts w:ascii="宋体" w:hAnsi="宋体"/>
                <w:color w:val="auto"/>
                <w:spacing w:val="20"/>
                <w:sz w:val="24"/>
                <w:szCs w:val="24"/>
                <w:highlight w:val="none"/>
              </w:rPr>
            </w:pPr>
          </w:p>
        </w:tc>
        <w:tc>
          <w:tcPr>
            <w:tcW w:w="2040" w:type="dxa"/>
            <w:noWrap w:val="0"/>
            <w:vAlign w:val="center"/>
          </w:tcPr>
          <w:p w14:paraId="2FF79641">
            <w:pPr>
              <w:spacing w:line="400" w:lineRule="exact"/>
              <w:jc w:val="center"/>
              <w:rPr>
                <w:rFonts w:ascii="宋体" w:hAnsi="宋体"/>
                <w:color w:val="auto"/>
                <w:spacing w:val="20"/>
                <w:sz w:val="24"/>
                <w:szCs w:val="24"/>
                <w:highlight w:val="none"/>
              </w:rPr>
            </w:pPr>
          </w:p>
        </w:tc>
        <w:tc>
          <w:tcPr>
            <w:tcW w:w="1950" w:type="dxa"/>
            <w:noWrap w:val="0"/>
            <w:vAlign w:val="center"/>
          </w:tcPr>
          <w:p w14:paraId="7FB4BAFE">
            <w:pPr>
              <w:spacing w:line="400" w:lineRule="exact"/>
              <w:jc w:val="center"/>
              <w:rPr>
                <w:rFonts w:ascii="宋体" w:hAnsi="宋体"/>
                <w:color w:val="auto"/>
                <w:spacing w:val="20"/>
                <w:sz w:val="24"/>
                <w:szCs w:val="24"/>
                <w:highlight w:val="none"/>
              </w:rPr>
            </w:pPr>
          </w:p>
        </w:tc>
        <w:tc>
          <w:tcPr>
            <w:tcW w:w="2145" w:type="dxa"/>
            <w:noWrap w:val="0"/>
            <w:vAlign w:val="center"/>
          </w:tcPr>
          <w:p w14:paraId="16EEE706">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12BCD457">
            <w:pPr>
              <w:spacing w:line="400" w:lineRule="exact"/>
              <w:ind w:firstLine="560"/>
              <w:jc w:val="center"/>
              <w:rPr>
                <w:rFonts w:ascii="宋体" w:hAnsi="宋体"/>
                <w:color w:val="auto"/>
                <w:spacing w:val="20"/>
                <w:sz w:val="24"/>
                <w:szCs w:val="24"/>
                <w:highlight w:val="none"/>
              </w:rPr>
            </w:pPr>
          </w:p>
        </w:tc>
      </w:tr>
      <w:tr w14:paraId="0DCE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3FEB9664">
            <w:pPr>
              <w:spacing w:line="400" w:lineRule="exact"/>
              <w:jc w:val="center"/>
              <w:rPr>
                <w:rFonts w:ascii="宋体" w:hAnsi="宋体"/>
                <w:color w:val="auto"/>
                <w:spacing w:val="20"/>
                <w:sz w:val="24"/>
                <w:szCs w:val="24"/>
                <w:highlight w:val="none"/>
              </w:rPr>
            </w:pPr>
          </w:p>
        </w:tc>
        <w:tc>
          <w:tcPr>
            <w:tcW w:w="2040" w:type="dxa"/>
            <w:noWrap w:val="0"/>
            <w:vAlign w:val="center"/>
          </w:tcPr>
          <w:p w14:paraId="5F375D6B">
            <w:pPr>
              <w:spacing w:line="400" w:lineRule="exact"/>
              <w:jc w:val="center"/>
              <w:rPr>
                <w:rFonts w:ascii="宋体" w:hAnsi="宋体"/>
                <w:color w:val="auto"/>
                <w:spacing w:val="20"/>
                <w:sz w:val="24"/>
                <w:szCs w:val="24"/>
                <w:highlight w:val="none"/>
              </w:rPr>
            </w:pPr>
          </w:p>
        </w:tc>
        <w:tc>
          <w:tcPr>
            <w:tcW w:w="1950" w:type="dxa"/>
            <w:noWrap w:val="0"/>
            <w:vAlign w:val="center"/>
          </w:tcPr>
          <w:p w14:paraId="1D8CE343">
            <w:pPr>
              <w:spacing w:line="400" w:lineRule="exact"/>
              <w:jc w:val="center"/>
              <w:rPr>
                <w:rFonts w:ascii="宋体" w:hAnsi="宋体"/>
                <w:color w:val="auto"/>
                <w:spacing w:val="20"/>
                <w:sz w:val="24"/>
                <w:szCs w:val="24"/>
                <w:highlight w:val="none"/>
              </w:rPr>
            </w:pPr>
          </w:p>
        </w:tc>
        <w:tc>
          <w:tcPr>
            <w:tcW w:w="2145" w:type="dxa"/>
            <w:noWrap w:val="0"/>
            <w:vAlign w:val="center"/>
          </w:tcPr>
          <w:p w14:paraId="4428522E">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1ABE247F">
            <w:pPr>
              <w:spacing w:line="400" w:lineRule="exact"/>
              <w:ind w:firstLine="560"/>
              <w:jc w:val="center"/>
              <w:rPr>
                <w:rFonts w:ascii="宋体" w:hAnsi="宋体"/>
                <w:color w:val="auto"/>
                <w:spacing w:val="20"/>
                <w:sz w:val="24"/>
                <w:szCs w:val="24"/>
                <w:highlight w:val="none"/>
              </w:rPr>
            </w:pPr>
          </w:p>
        </w:tc>
      </w:tr>
      <w:tr w14:paraId="5FA72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3CFFE34D">
            <w:pPr>
              <w:spacing w:line="400" w:lineRule="exact"/>
              <w:jc w:val="center"/>
              <w:rPr>
                <w:rFonts w:ascii="宋体" w:hAnsi="宋体"/>
                <w:color w:val="auto"/>
                <w:spacing w:val="20"/>
                <w:sz w:val="24"/>
                <w:szCs w:val="24"/>
                <w:highlight w:val="none"/>
              </w:rPr>
            </w:pPr>
          </w:p>
        </w:tc>
        <w:tc>
          <w:tcPr>
            <w:tcW w:w="2040" w:type="dxa"/>
            <w:noWrap w:val="0"/>
            <w:vAlign w:val="center"/>
          </w:tcPr>
          <w:p w14:paraId="68E8AB61">
            <w:pPr>
              <w:spacing w:line="400" w:lineRule="exact"/>
              <w:jc w:val="center"/>
              <w:rPr>
                <w:rFonts w:ascii="宋体" w:hAnsi="宋体"/>
                <w:color w:val="auto"/>
                <w:spacing w:val="20"/>
                <w:sz w:val="24"/>
                <w:szCs w:val="24"/>
                <w:highlight w:val="none"/>
              </w:rPr>
            </w:pPr>
          </w:p>
        </w:tc>
        <w:tc>
          <w:tcPr>
            <w:tcW w:w="1950" w:type="dxa"/>
            <w:noWrap w:val="0"/>
            <w:vAlign w:val="center"/>
          </w:tcPr>
          <w:p w14:paraId="10655D0B">
            <w:pPr>
              <w:spacing w:line="400" w:lineRule="exact"/>
              <w:jc w:val="center"/>
              <w:rPr>
                <w:rFonts w:ascii="宋体" w:hAnsi="宋体"/>
                <w:color w:val="auto"/>
                <w:spacing w:val="20"/>
                <w:sz w:val="24"/>
                <w:szCs w:val="24"/>
                <w:highlight w:val="none"/>
              </w:rPr>
            </w:pPr>
          </w:p>
        </w:tc>
        <w:tc>
          <w:tcPr>
            <w:tcW w:w="2145" w:type="dxa"/>
            <w:noWrap w:val="0"/>
            <w:vAlign w:val="center"/>
          </w:tcPr>
          <w:p w14:paraId="75451C00">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1861E4D4">
            <w:pPr>
              <w:spacing w:line="400" w:lineRule="exact"/>
              <w:ind w:firstLine="560"/>
              <w:jc w:val="center"/>
              <w:rPr>
                <w:rFonts w:ascii="宋体" w:hAnsi="宋体"/>
                <w:color w:val="auto"/>
                <w:spacing w:val="20"/>
                <w:sz w:val="24"/>
                <w:szCs w:val="24"/>
                <w:highlight w:val="none"/>
              </w:rPr>
            </w:pPr>
          </w:p>
        </w:tc>
      </w:tr>
      <w:tr w14:paraId="5414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70" w:type="dxa"/>
            <w:noWrap w:val="0"/>
          </w:tcPr>
          <w:p w14:paraId="1B5E557D">
            <w:pPr>
              <w:spacing w:line="400" w:lineRule="exact"/>
              <w:jc w:val="center"/>
              <w:rPr>
                <w:rFonts w:ascii="宋体" w:hAnsi="宋体"/>
                <w:color w:val="auto"/>
                <w:spacing w:val="20"/>
                <w:sz w:val="24"/>
                <w:szCs w:val="24"/>
                <w:highlight w:val="none"/>
              </w:rPr>
            </w:pPr>
          </w:p>
        </w:tc>
        <w:tc>
          <w:tcPr>
            <w:tcW w:w="2040" w:type="dxa"/>
            <w:noWrap w:val="0"/>
            <w:vAlign w:val="center"/>
          </w:tcPr>
          <w:p w14:paraId="76ED339B">
            <w:pPr>
              <w:spacing w:line="400" w:lineRule="exact"/>
              <w:jc w:val="center"/>
              <w:rPr>
                <w:rFonts w:ascii="宋体" w:hAnsi="宋体"/>
                <w:color w:val="auto"/>
                <w:spacing w:val="20"/>
                <w:sz w:val="24"/>
                <w:szCs w:val="24"/>
                <w:highlight w:val="none"/>
              </w:rPr>
            </w:pPr>
          </w:p>
        </w:tc>
        <w:tc>
          <w:tcPr>
            <w:tcW w:w="1950" w:type="dxa"/>
            <w:noWrap w:val="0"/>
            <w:vAlign w:val="center"/>
          </w:tcPr>
          <w:p w14:paraId="59986584">
            <w:pPr>
              <w:spacing w:line="400" w:lineRule="exact"/>
              <w:jc w:val="center"/>
              <w:rPr>
                <w:rFonts w:ascii="宋体" w:hAnsi="宋体"/>
                <w:color w:val="auto"/>
                <w:spacing w:val="20"/>
                <w:sz w:val="24"/>
                <w:szCs w:val="24"/>
                <w:highlight w:val="none"/>
              </w:rPr>
            </w:pPr>
          </w:p>
        </w:tc>
        <w:tc>
          <w:tcPr>
            <w:tcW w:w="2145" w:type="dxa"/>
            <w:noWrap w:val="0"/>
            <w:vAlign w:val="center"/>
          </w:tcPr>
          <w:p w14:paraId="6ED05A2C">
            <w:pPr>
              <w:spacing w:line="400" w:lineRule="exact"/>
              <w:ind w:firstLine="560"/>
              <w:jc w:val="center"/>
              <w:rPr>
                <w:rFonts w:ascii="宋体" w:hAnsi="宋体"/>
                <w:color w:val="auto"/>
                <w:spacing w:val="20"/>
                <w:sz w:val="24"/>
                <w:szCs w:val="24"/>
                <w:highlight w:val="none"/>
              </w:rPr>
            </w:pPr>
          </w:p>
        </w:tc>
        <w:tc>
          <w:tcPr>
            <w:tcW w:w="2475" w:type="dxa"/>
            <w:noWrap w:val="0"/>
            <w:vAlign w:val="center"/>
          </w:tcPr>
          <w:p w14:paraId="6B435219">
            <w:pPr>
              <w:spacing w:line="400" w:lineRule="exact"/>
              <w:ind w:firstLine="560"/>
              <w:jc w:val="center"/>
              <w:rPr>
                <w:rFonts w:ascii="宋体" w:hAnsi="宋体"/>
                <w:color w:val="auto"/>
                <w:spacing w:val="20"/>
                <w:sz w:val="24"/>
                <w:szCs w:val="24"/>
                <w:highlight w:val="none"/>
              </w:rPr>
            </w:pPr>
          </w:p>
        </w:tc>
      </w:tr>
    </w:tbl>
    <w:p w14:paraId="040DC128">
      <w:pPr>
        <w:keepNext w:val="0"/>
        <w:keepLines w:val="0"/>
        <w:pageBreakBefore w:val="0"/>
        <w:widowControl w:val="0"/>
        <w:spacing w:after="0" w:line="400" w:lineRule="exact"/>
        <w:jc w:val="both"/>
        <w:outlineLvl w:val="9"/>
        <w:rPr>
          <w:rFonts w:ascii="宋体" w:hAnsi="宋体" w:cs="Times New Roman"/>
          <w:bCs/>
          <w:color w:val="auto"/>
          <w:sz w:val="21"/>
          <w:szCs w:val="21"/>
          <w:highlight w:val="none"/>
        </w:rPr>
      </w:pPr>
      <w:bookmarkStart w:id="58" w:name="_Toc8018"/>
      <w:r>
        <w:rPr>
          <w:rFonts w:hint="eastAsia" w:ascii="宋体" w:hAnsi="宋体" w:cs="Times New Roman"/>
          <w:bCs/>
          <w:color w:val="auto"/>
          <w:sz w:val="21"/>
          <w:szCs w:val="21"/>
          <w:highlight w:val="none"/>
        </w:rPr>
        <w:t>注：</w:t>
      </w:r>
      <w:bookmarkEnd w:id="58"/>
    </w:p>
    <w:p w14:paraId="3D6CDE79">
      <w:pPr>
        <w:keepNext w:val="0"/>
        <w:keepLines w:val="0"/>
        <w:pageBreakBefore w:val="0"/>
        <w:widowControl w:val="0"/>
        <w:spacing w:after="0" w:line="400" w:lineRule="exact"/>
        <w:jc w:val="both"/>
        <w:outlineLvl w:val="9"/>
        <w:rPr>
          <w:rFonts w:ascii="宋体" w:hAnsi="宋体" w:cs="Times New Roman"/>
          <w:bCs/>
          <w:color w:val="auto"/>
          <w:sz w:val="21"/>
          <w:szCs w:val="21"/>
          <w:highlight w:val="none"/>
        </w:rPr>
      </w:pPr>
      <w:bookmarkStart w:id="59" w:name="_Toc1358"/>
      <w:r>
        <w:rPr>
          <w:rFonts w:hint="eastAsia" w:ascii="宋体" w:hAnsi="宋体" w:cs="Times New Roman"/>
          <w:bCs/>
          <w:color w:val="auto"/>
          <w:sz w:val="21"/>
          <w:szCs w:val="21"/>
          <w:highlight w:val="none"/>
        </w:rPr>
        <w:t>（1）本表不得删除；</w:t>
      </w:r>
      <w:bookmarkEnd w:id="59"/>
    </w:p>
    <w:p w14:paraId="60F3B053">
      <w:pPr>
        <w:keepNext w:val="0"/>
        <w:keepLines w:val="0"/>
        <w:pageBreakBefore w:val="0"/>
        <w:widowControl w:val="0"/>
        <w:spacing w:after="0" w:line="400" w:lineRule="exact"/>
        <w:jc w:val="both"/>
        <w:outlineLvl w:val="9"/>
        <w:rPr>
          <w:rFonts w:ascii="宋体" w:hAnsi="宋体" w:cs="Times New Roman"/>
          <w:bCs/>
          <w:color w:val="auto"/>
          <w:sz w:val="21"/>
          <w:szCs w:val="21"/>
          <w:highlight w:val="none"/>
        </w:rPr>
      </w:pPr>
      <w:bookmarkStart w:id="60" w:name="_Toc23895"/>
      <w:r>
        <w:rPr>
          <w:rFonts w:hint="eastAsia" w:ascii="宋体" w:hAnsi="宋体" w:cs="Times New Roman"/>
          <w:bCs/>
          <w:color w:val="auto"/>
          <w:sz w:val="21"/>
          <w:szCs w:val="21"/>
          <w:highlight w:val="none"/>
        </w:rPr>
        <w:t>（2）投标人须对照招标技术参数要求逐条列出并对比，其中“投标货物技术指标描述”一栏须详细说明投标产品的具体量化参数，如照抄招标文件要求或只写“完全响应”等字样的均不得分，并注明“正偏离”或“负偏离”，具体偏离以评委会认定为准。</w:t>
      </w:r>
      <w:bookmarkEnd w:id="60"/>
    </w:p>
    <w:p w14:paraId="278F7803">
      <w:pPr>
        <w:keepNext w:val="0"/>
        <w:keepLines w:val="0"/>
        <w:pageBreakBefore w:val="0"/>
        <w:widowControl w:val="0"/>
        <w:spacing w:after="0" w:line="400" w:lineRule="exact"/>
        <w:jc w:val="both"/>
        <w:outlineLvl w:val="9"/>
        <w:rPr>
          <w:rFonts w:ascii="宋体" w:hAnsi="宋体" w:cs="Times New Roman"/>
          <w:bCs/>
          <w:color w:val="auto"/>
          <w:sz w:val="21"/>
          <w:szCs w:val="21"/>
          <w:highlight w:val="none"/>
        </w:rPr>
      </w:pPr>
      <w:bookmarkStart w:id="61" w:name="_Toc16757"/>
      <w:r>
        <w:rPr>
          <w:rFonts w:hint="eastAsia" w:ascii="宋体" w:hAnsi="宋体" w:cs="Times New Roman"/>
          <w:bCs/>
          <w:color w:val="auto"/>
          <w:sz w:val="21"/>
          <w:szCs w:val="21"/>
          <w:highlight w:val="none"/>
        </w:rPr>
        <w:t>（3）本表如需要可自行延长。</w:t>
      </w:r>
      <w:bookmarkEnd w:id="61"/>
    </w:p>
    <w:p w14:paraId="3066DAD1">
      <w:pPr>
        <w:keepNext w:val="0"/>
        <w:keepLines w:val="0"/>
        <w:pageBreakBefore w:val="0"/>
        <w:widowControl w:val="0"/>
        <w:spacing w:after="0" w:line="400" w:lineRule="exact"/>
        <w:jc w:val="both"/>
        <w:outlineLvl w:val="9"/>
        <w:rPr>
          <w:rFonts w:ascii="宋体" w:hAnsi="宋体"/>
          <w:bCs/>
          <w:color w:val="auto"/>
          <w:sz w:val="24"/>
          <w:szCs w:val="24"/>
          <w:highlight w:val="none"/>
        </w:rPr>
      </w:pPr>
      <w:r>
        <w:rPr>
          <w:rFonts w:hint="eastAsia" w:ascii="宋体" w:hAnsi="宋体" w:cs="Times New Roman"/>
          <w:bCs/>
          <w:color w:val="auto"/>
          <w:sz w:val="21"/>
          <w:szCs w:val="21"/>
          <w:highlight w:val="none"/>
        </w:rPr>
        <w:t>后附：相关证明资料</w:t>
      </w:r>
    </w:p>
    <w:p w14:paraId="0B9D432D">
      <w:pPr>
        <w:spacing w:after="0" w:line="360" w:lineRule="auto"/>
        <w:outlineLvl w:val="0"/>
        <w:rPr>
          <w:rFonts w:ascii="黑体" w:hAnsi="黑体" w:eastAsia="黑体" w:cs="黑体"/>
          <w:bCs/>
          <w:color w:val="auto"/>
          <w:sz w:val="28"/>
          <w:szCs w:val="28"/>
          <w:highlight w:val="none"/>
        </w:rPr>
      </w:pPr>
      <w:bookmarkStart w:id="62" w:name="_Toc29150"/>
      <w:r>
        <w:rPr>
          <w:rFonts w:hint="eastAsia" w:ascii="黑体" w:hAnsi="黑体" w:eastAsia="黑体" w:cs="黑体"/>
          <w:bCs/>
          <w:color w:val="auto"/>
          <w:sz w:val="28"/>
          <w:szCs w:val="28"/>
          <w:highlight w:val="none"/>
        </w:rPr>
        <w:t>（七）（投标人）法定代表人授权委托书（格式）：</w:t>
      </w:r>
      <w:bookmarkEnd w:id="62"/>
    </w:p>
    <w:p w14:paraId="07C3616F">
      <w:pPr>
        <w:spacing w:line="360" w:lineRule="auto"/>
        <w:jc w:val="center"/>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法定代表人授权委托书</w:t>
      </w:r>
    </w:p>
    <w:p w14:paraId="1A20F3C6">
      <w:pPr>
        <w:spacing w:after="0" w:line="360" w:lineRule="auto"/>
        <w:jc w:val="center"/>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政府采购编号：</w:t>
      </w:r>
      <w:r>
        <w:rPr>
          <w:rFonts w:hint="eastAsia" w:ascii="宋体" w:hAnsi="宋体"/>
          <w:b/>
          <w:color w:val="auto"/>
          <w:sz w:val="24"/>
          <w:szCs w:val="24"/>
          <w:highlight w:val="none"/>
          <w:lang w:eastAsia="zh-CN"/>
        </w:rPr>
        <w:t>JSZC-320200-HXZX-G2026-0014</w:t>
      </w:r>
    </w:p>
    <w:p w14:paraId="3BCCD276">
      <w:pPr>
        <w:spacing w:after="0"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日期：</w:t>
      </w:r>
    </w:p>
    <w:p w14:paraId="715FFFB3">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江苏宏翔工程造价咨询有限公司：</w:t>
      </w:r>
    </w:p>
    <w:p w14:paraId="7873E2E1">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系中华人民共和国合法企业，特授权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代表我公司（单位）全权办理针对本项目（</w:t>
      </w:r>
      <w:r>
        <w:rPr>
          <w:rFonts w:hint="eastAsia" w:ascii="宋体" w:hAnsi="宋体"/>
          <w:b/>
          <w:bCs/>
          <w:color w:val="auto"/>
          <w:sz w:val="24"/>
          <w:szCs w:val="24"/>
          <w:highlight w:val="none"/>
          <w:lang w:eastAsia="zh-CN"/>
        </w:rPr>
        <w:t>JSZC-320200-HXZX-G2026-0014</w:t>
      </w:r>
      <w:r>
        <w:rPr>
          <w:rFonts w:hint="eastAsia" w:ascii="宋体" w:hAnsi="宋体"/>
          <w:bCs/>
          <w:color w:val="auto"/>
          <w:sz w:val="24"/>
          <w:szCs w:val="24"/>
          <w:highlight w:val="none"/>
        </w:rPr>
        <w:t>）的投标，参与开标、评标、签约等具体工作，并签署全部有关的文件、协议及合同。</w:t>
      </w:r>
    </w:p>
    <w:p w14:paraId="4CB844A0">
      <w:pPr>
        <w:spacing w:after="0"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我公司（单位）对被授权人的签名负全部责任。</w:t>
      </w:r>
    </w:p>
    <w:p w14:paraId="0C15E142">
      <w:pPr>
        <w:spacing w:after="0"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在撤销授权的书面通知送达你处以前，本授权书一直有效，被授权人签署的所有文件（在授权书有效期内签署的）不因授权的撤销而失效。</w:t>
      </w:r>
    </w:p>
    <w:p w14:paraId="1EC7CBB4">
      <w:pPr>
        <w:spacing w:after="0"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被授权人情况：</w:t>
      </w:r>
    </w:p>
    <w:p w14:paraId="73F406F2">
      <w:pPr>
        <w:spacing w:after="0"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p>
    <w:p w14:paraId="38D8CFDB">
      <w:pPr>
        <w:spacing w:after="0"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身份证件号码：                电话：</w:t>
      </w:r>
    </w:p>
    <w:p w14:paraId="1008B74B">
      <w:pPr>
        <w:spacing w:after="0"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通讯地址：</w:t>
      </w:r>
    </w:p>
    <w:p w14:paraId="4BF07883">
      <w:pPr>
        <w:spacing w:after="0"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被授权人签名：                单位名称（盖章）：</w:t>
      </w:r>
    </w:p>
    <w:p w14:paraId="5078146E">
      <w:pPr>
        <w:spacing w:after="0" w:line="360" w:lineRule="auto"/>
        <w:ind w:firstLine="420"/>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p>
    <w:p w14:paraId="1C63FCA0">
      <w:pPr>
        <w:spacing w:line="480" w:lineRule="auto"/>
        <w:ind w:firstLine="420"/>
        <w:rPr>
          <w:rFonts w:ascii="宋体" w:hAnsi="宋体"/>
          <w:bCs/>
          <w:color w:val="auto"/>
          <w:sz w:val="24"/>
          <w:szCs w:val="24"/>
          <w:highlight w:val="none"/>
        </w:rPr>
      </w:pPr>
      <w:r>
        <w:rPr>
          <w:rFonts w:hint="eastAsia" w:ascii="宋体" w:hAnsi="宋体"/>
          <w:bCs/>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6D2BB730">
                            <w:pPr>
                              <w:jc w:val="center"/>
                              <w:rPr>
                                <w:rFonts w:ascii="黑体" w:eastAsia="黑体"/>
                                <w:sz w:val="32"/>
                                <w:szCs w:val="32"/>
                              </w:rPr>
                            </w:pPr>
                          </w:p>
                          <w:p w14:paraId="792F850B">
                            <w:pPr>
                              <w:jc w:val="center"/>
                              <w:rPr>
                                <w:rFonts w:ascii="黑体" w:eastAsia="黑体"/>
                                <w:sz w:val="32"/>
                                <w:szCs w:val="32"/>
                              </w:rPr>
                            </w:pPr>
                            <w:r>
                              <w:rPr>
                                <w:rFonts w:hint="eastAsia" w:ascii="黑体" w:eastAsia="黑体"/>
                                <w:sz w:val="32"/>
                                <w:szCs w:val="32"/>
                              </w:rPr>
                              <w:t>授权代表身份证复印件</w:t>
                            </w:r>
                          </w:p>
                          <w:p w14:paraId="3D483889"/>
                        </w:txbxContent>
                      </wps:txbx>
                      <wps:bodyPr wrap="square" upright="1"/>
                    </wps:wsp>
                  </a:graphicData>
                </a:graphic>
              </wp:anchor>
            </w:drawing>
          </mc:Choice>
          <mc:Fallback>
            <w:pict>
              <v:shape id="_x0000_s1026" o:spid="_x0000_s1026" o:spt="202" type="#_x0000_t202" style="position:absolute;left:0pt;margin-left:257.25pt;margin-top:11.9pt;height:124.8pt;width:225.75pt;z-index:251661312;mso-width-relative:page;mso-height-relative:page;" fillcolor="#FFFFFF" filled="t" stroked="t" coordsize="21600,21600" o:gfxdata="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iwjBbdkAAAAKAQAADwAA&#10;AAAAAAABACAAAAAiAAAAZHJzL2Rvd25yZXYueG1sUEsBAhQAFAAAAAgAh07iQPHH90/cAQAAvQMA&#10;AA4AAAAAAAAAAQAgAAAAKAEAAGRycy9lMm9Eb2MueG1sUEsFBgAAAAAGAAYAWQEAAHYFAAAAAA==&#10;">
                <v:fill on="t" focussize="0,0"/>
                <v:stroke color="#000000" joinstyle="round"/>
                <v:imagedata o:title=""/>
                <o:lock v:ext="edit" aspectratio="f"/>
                <v:textbox>
                  <w:txbxContent>
                    <w:p w14:paraId="6D2BB730">
                      <w:pPr>
                        <w:jc w:val="center"/>
                        <w:rPr>
                          <w:rFonts w:ascii="黑体" w:eastAsia="黑体"/>
                          <w:sz w:val="32"/>
                          <w:szCs w:val="32"/>
                        </w:rPr>
                      </w:pPr>
                    </w:p>
                    <w:p w14:paraId="792F850B">
                      <w:pPr>
                        <w:jc w:val="center"/>
                        <w:rPr>
                          <w:rFonts w:ascii="黑体" w:eastAsia="黑体"/>
                          <w:sz w:val="32"/>
                          <w:szCs w:val="32"/>
                        </w:rPr>
                      </w:pPr>
                      <w:r>
                        <w:rPr>
                          <w:rFonts w:hint="eastAsia" w:ascii="黑体" w:eastAsia="黑体"/>
                          <w:sz w:val="32"/>
                          <w:szCs w:val="32"/>
                        </w:rPr>
                        <w:t>授权代表身份证复印件</w:t>
                      </w:r>
                    </w:p>
                    <w:p w14:paraId="3D483889"/>
                  </w:txbxContent>
                </v:textbox>
              </v:shape>
            </w:pict>
          </mc:Fallback>
        </mc:AlternateContent>
      </w:r>
      <w:r>
        <w:rPr>
          <w:rFonts w:hint="eastAsia" w:ascii="宋体" w:hAnsi="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460D7AF7">
                            <w:pPr>
                              <w:jc w:val="center"/>
                              <w:rPr>
                                <w:rFonts w:ascii="黑体" w:eastAsia="黑体"/>
                                <w:sz w:val="32"/>
                                <w:szCs w:val="32"/>
                              </w:rPr>
                            </w:pPr>
                          </w:p>
                          <w:p w14:paraId="539495BC">
                            <w:pPr>
                              <w:jc w:val="center"/>
                              <w:rPr>
                                <w:rFonts w:ascii="黑体" w:eastAsia="黑体"/>
                                <w:sz w:val="32"/>
                                <w:szCs w:val="32"/>
                              </w:rPr>
                            </w:pPr>
                            <w:r>
                              <w:rPr>
                                <w:rFonts w:hint="eastAsia" w:ascii="黑体" w:eastAsia="黑体"/>
                                <w:sz w:val="32"/>
                                <w:szCs w:val="32"/>
                              </w:rPr>
                              <w:t>法定代表人身份证复印件</w:t>
                            </w:r>
                          </w:p>
                          <w:p w14:paraId="7C2912D5"/>
                        </w:txbxContent>
                      </wps:txbx>
                      <wps:bodyPr wrap="square" upright="1"/>
                    </wps:wsp>
                  </a:graphicData>
                </a:graphic>
              </wp:anchor>
            </w:drawing>
          </mc:Choice>
          <mc:Fallback>
            <w:pict>
              <v:shape id="_x0000_s1026" o:spid="_x0000_s1026" o:spt="202" type="#_x0000_t202" style="position:absolute;left:0pt;margin-left:0pt;margin-top:11.9pt;height:124.8pt;width:225.75pt;z-index:251660288;mso-width-relative:page;mso-height-relative:page;" fillcolor="#FFFFFF" filled="t" stroked="t" coordsize="21600,21600" o:gfxdata="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DwRgTXAAAABwEAAA8AAAAA&#10;AAAAAQAgAAAAIgAAAGRycy9kb3ducmV2LnhtbFBLAQIUABQAAAAIAIdO4kBBw1t23AEAAL0DAAAO&#10;AAAAAAAAAAEAIAAAACYBAABkcnMvZTJvRG9jLnhtbFBLBQYAAAAABgAGAFkBAAB0BQAAAAA=&#10;">
                <v:fill on="t" focussize="0,0"/>
                <v:stroke color="#000000" joinstyle="round"/>
                <v:imagedata o:title=""/>
                <o:lock v:ext="edit" aspectratio="f"/>
                <v:textbox>
                  <w:txbxContent>
                    <w:p w14:paraId="460D7AF7">
                      <w:pPr>
                        <w:jc w:val="center"/>
                        <w:rPr>
                          <w:rFonts w:ascii="黑体" w:eastAsia="黑体"/>
                          <w:sz w:val="32"/>
                          <w:szCs w:val="32"/>
                        </w:rPr>
                      </w:pPr>
                    </w:p>
                    <w:p w14:paraId="539495BC">
                      <w:pPr>
                        <w:jc w:val="center"/>
                        <w:rPr>
                          <w:rFonts w:ascii="黑体" w:eastAsia="黑体"/>
                          <w:sz w:val="32"/>
                          <w:szCs w:val="32"/>
                        </w:rPr>
                      </w:pPr>
                      <w:r>
                        <w:rPr>
                          <w:rFonts w:hint="eastAsia" w:ascii="黑体" w:eastAsia="黑体"/>
                          <w:sz w:val="32"/>
                          <w:szCs w:val="32"/>
                        </w:rPr>
                        <w:t>法定代表人身份证复印件</w:t>
                      </w:r>
                    </w:p>
                    <w:p w14:paraId="7C2912D5"/>
                  </w:txbxContent>
                </v:textbox>
              </v:shape>
            </w:pict>
          </mc:Fallback>
        </mc:AlternateContent>
      </w:r>
    </w:p>
    <w:p w14:paraId="4104FF95">
      <w:pPr>
        <w:spacing w:line="360" w:lineRule="auto"/>
        <w:ind w:firstLine="420"/>
        <w:rPr>
          <w:rFonts w:ascii="宋体" w:hAnsi="宋体"/>
          <w:bCs/>
          <w:color w:val="auto"/>
          <w:sz w:val="24"/>
          <w:szCs w:val="24"/>
          <w:highlight w:val="none"/>
        </w:rPr>
      </w:pPr>
    </w:p>
    <w:p w14:paraId="059295CC">
      <w:pPr>
        <w:spacing w:line="360" w:lineRule="auto"/>
        <w:rPr>
          <w:rFonts w:ascii="宋体" w:hAnsi="宋体"/>
          <w:bCs/>
          <w:color w:val="auto"/>
          <w:sz w:val="24"/>
          <w:szCs w:val="24"/>
          <w:highlight w:val="none"/>
        </w:rPr>
      </w:pPr>
    </w:p>
    <w:p w14:paraId="1F2A491F">
      <w:pPr>
        <w:spacing w:line="360" w:lineRule="auto"/>
        <w:rPr>
          <w:rFonts w:ascii="宋体" w:hAnsi="宋体"/>
          <w:bCs/>
          <w:color w:val="auto"/>
          <w:sz w:val="24"/>
          <w:szCs w:val="24"/>
          <w:highlight w:val="none"/>
        </w:rPr>
      </w:pPr>
    </w:p>
    <w:p w14:paraId="7DA485C4">
      <w:pPr>
        <w:rPr>
          <w:rFonts w:ascii="宋体" w:hAnsi="宋体"/>
          <w:bCs/>
          <w:color w:val="auto"/>
          <w:sz w:val="24"/>
          <w:szCs w:val="24"/>
          <w:highlight w:val="none"/>
        </w:rPr>
      </w:pPr>
    </w:p>
    <w:p w14:paraId="5ED8503F">
      <w:pPr>
        <w:rPr>
          <w:rFonts w:ascii="宋体" w:hAnsi="宋体"/>
          <w:bCs/>
          <w:color w:val="auto"/>
          <w:sz w:val="24"/>
          <w:szCs w:val="24"/>
          <w:highlight w:val="none"/>
        </w:rPr>
      </w:pPr>
    </w:p>
    <w:p w14:paraId="534CD8B6">
      <w:pPr>
        <w:outlineLvl w:val="0"/>
        <w:rPr>
          <w:rFonts w:ascii="宋体" w:hAnsi="宋体"/>
          <w:bCs/>
          <w:color w:val="auto"/>
          <w:sz w:val="24"/>
          <w:szCs w:val="24"/>
          <w:highlight w:val="none"/>
        </w:rPr>
      </w:pPr>
      <w:bookmarkStart w:id="63" w:name="_Toc9738"/>
      <w:r>
        <w:rPr>
          <w:rFonts w:hint="eastAsia" w:ascii="宋体" w:hAnsi="宋体"/>
          <w:bCs/>
          <w:color w:val="auto"/>
          <w:sz w:val="28"/>
          <w:szCs w:val="28"/>
          <w:highlight w:val="none"/>
        </w:rPr>
        <w:br w:type="page" w:clear="all"/>
      </w:r>
      <w:r>
        <w:rPr>
          <w:rFonts w:hint="eastAsia" w:ascii="黑体" w:hAnsi="黑体" w:eastAsia="黑体" w:cs="黑体"/>
          <w:bCs/>
          <w:color w:val="auto"/>
          <w:sz w:val="28"/>
          <w:szCs w:val="28"/>
          <w:highlight w:val="none"/>
        </w:rPr>
        <w:t>（八）（投标人）关于资格的声明函（格式）：</w:t>
      </w:r>
      <w:bookmarkEnd w:id="63"/>
    </w:p>
    <w:p w14:paraId="7B3F168F">
      <w:pPr>
        <w:spacing w:line="360" w:lineRule="auto"/>
        <w:jc w:val="center"/>
        <w:rPr>
          <w:rFonts w:ascii="宋体" w:hAnsi="宋体"/>
          <w:bCs/>
          <w:color w:val="auto"/>
          <w:sz w:val="24"/>
          <w:szCs w:val="24"/>
          <w:highlight w:val="none"/>
        </w:rPr>
      </w:pPr>
      <w:bookmarkStart w:id="64" w:name="报价方关于资格的声明函（格式）"/>
      <w:bookmarkEnd w:id="64"/>
      <w:r>
        <w:rPr>
          <w:rFonts w:hint="eastAsia" w:ascii="黑体" w:hAnsi="Times New Roman" w:eastAsia="黑体" w:cs="黑体"/>
          <w:color w:val="auto"/>
          <w:sz w:val="28"/>
          <w:szCs w:val="28"/>
          <w:highlight w:val="none"/>
        </w:rPr>
        <w:t>关于资格的声明函</w:t>
      </w:r>
    </w:p>
    <w:p w14:paraId="449CDD73">
      <w:pPr>
        <w:spacing w:after="0" w:line="360" w:lineRule="auto"/>
        <w:jc w:val="center"/>
        <w:rPr>
          <w:rFonts w:hint="eastAsia" w:ascii="宋体" w:hAnsi="宋体" w:eastAsia="宋体"/>
          <w:b/>
          <w:color w:val="auto"/>
          <w:sz w:val="24"/>
          <w:szCs w:val="24"/>
          <w:highlight w:val="none"/>
          <w:lang w:eastAsia="zh-CN"/>
        </w:rPr>
      </w:pPr>
      <w:r>
        <w:rPr>
          <w:rFonts w:hint="eastAsia" w:ascii="宋体" w:hAnsi="宋体"/>
          <w:bCs/>
          <w:color w:val="auto"/>
          <w:sz w:val="24"/>
          <w:szCs w:val="24"/>
          <w:highlight w:val="none"/>
        </w:rPr>
        <w:t xml:space="preserve">    政府采购编号：</w:t>
      </w:r>
      <w:r>
        <w:rPr>
          <w:rFonts w:hint="eastAsia" w:ascii="宋体" w:hAnsi="宋体"/>
          <w:b/>
          <w:color w:val="auto"/>
          <w:sz w:val="24"/>
          <w:szCs w:val="24"/>
          <w:highlight w:val="none"/>
          <w:lang w:eastAsia="zh-CN"/>
        </w:rPr>
        <w:t>JSZC-320200-HXZX-G2026-0014</w:t>
      </w:r>
    </w:p>
    <w:p w14:paraId="1B3DCB7F">
      <w:pPr>
        <w:spacing w:after="0"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 xml:space="preserve">            日期：</w:t>
      </w:r>
    </w:p>
    <w:p w14:paraId="54F9ABC3">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江苏宏翔工程造价咨询有限公司：</w:t>
      </w:r>
    </w:p>
    <w:p w14:paraId="482C3519">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
          <w:bCs/>
          <w:color w:val="auto"/>
          <w:sz w:val="24"/>
          <w:szCs w:val="24"/>
          <w:highlight w:val="none"/>
          <w:lang w:eastAsia="zh-CN"/>
        </w:rPr>
        <w:t>JSZC-320200-HXZX-G2026-0014</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
          <w:bCs/>
          <w:color w:val="auto"/>
          <w:sz w:val="24"/>
          <w:szCs w:val="24"/>
          <w:highlight w:val="none"/>
          <w:lang w:eastAsia="zh-CN"/>
        </w:rPr>
        <w:t>JSZC-320200-HXZX-G2026-0014</w:t>
      </w:r>
      <w:r>
        <w:rPr>
          <w:rFonts w:hint="eastAsia" w:ascii="宋体" w:hAnsi="宋体"/>
          <w:bCs/>
          <w:color w:val="auto"/>
          <w:sz w:val="24"/>
          <w:szCs w:val="24"/>
          <w:highlight w:val="none"/>
        </w:rPr>
        <w:t>）进行投标，投标文件中所有关于投标资格的文件、证明、陈述均是真实的、准确的。若有违背，我公司（单位）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愿意承担由此而产生的一切后果。</w:t>
      </w:r>
    </w:p>
    <w:p w14:paraId="0F545E8C">
      <w:pPr>
        <w:spacing w:line="480" w:lineRule="auto"/>
        <w:rPr>
          <w:rFonts w:ascii="宋体" w:hAnsi="宋体"/>
          <w:bCs/>
          <w:color w:val="auto"/>
          <w:sz w:val="24"/>
          <w:szCs w:val="24"/>
          <w:highlight w:val="none"/>
        </w:rPr>
      </w:pPr>
    </w:p>
    <w:p w14:paraId="14314677">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投标人（盖章）：</w:t>
      </w:r>
    </w:p>
    <w:p w14:paraId="190B1497">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法定代表人或法定代表人授权代表（签字或盖章）：</w:t>
      </w:r>
    </w:p>
    <w:p w14:paraId="69AAC571">
      <w:pPr>
        <w:spacing w:line="480" w:lineRule="auto"/>
        <w:rPr>
          <w:rFonts w:ascii="宋体" w:hAnsi="宋体"/>
          <w:bCs/>
          <w:color w:val="auto"/>
          <w:sz w:val="24"/>
          <w:szCs w:val="24"/>
          <w:highlight w:val="none"/>
        </w:rPr>
      </w:pPr>
    </w:p>
    <w:p w14:paraId="7E8D54B9">
      <w:pPr>
        <w:spacing w:line="480" w:lineRule="auto"/>
        <w:rPr>
          <w:rFonts w:ascii="宋体" w:hAnsi="宋体"/>
          <w:bCs/>
          <w:color w:val="auto"/>
          <w:sz w:val="24"/>
          <w:szCs w:val="24"/>
          <w:highlight w:val="none"/>
        </w:rPr>
      </w:pPr>
    </w:p>
    <w:p w14:paraId="48AC649E">
      <w:pPr>
        <w:spacing w:line="480" w:lineRule="auto"/>
        <w:rPr>
          <w:rFonts w:ascii="宋体" w:hAnsi="宋体"/>
          <w:bCs/>
          <w:color w:val="auto"/>
          <w:sz w:val="24"/>
          <w:szCs w:val="24"/>
          <w:highlight w:val="none"/>
        </w:rPr>
      </w:pPr>
    </w:p>
    <w:p w14:paraId="1F7F06B8">
      <w:pPr>
        <w:spacing w:line="480" w:lineRule="auto"/>
        <w:rPr>
          <w:rFonts w:ascii="宋体" w:hAnsi="宋体"/>
          <w:bCs/>
          <w:color w:val="auto"/>
          <w:sz w:val="24"/>
          <w:szCs w:val="24"/>
          <w:highlight w:val="none"/>
        </w:rPr>
      </w:pPr>
    </w:p>
    <w:p w14:paraId="75701C67">
      <w:pPr>
        <w:spacing w:line="480" w:lineRule="auto"/>
        <w:rPr>
          <w:rFonts w:ascii="宋体" w:hAnsi="宋体"/>
          <w:bCs/>
          <w:color w:val="auto"/>
          <w:sz w:val="24"/>
          <w:szCs w:val="24"/>
          <w:highlight w:val="none"/>
        </w:rPr>
      </w:pPr>
    </w:p>
    <w:p w14:paraId="070549D1">
      <w:pPr>
        <w:rPr>
          <w:rFonts w:ascii="黑体" w:hAnsi="黑体" w:eastAsia="黑体" w:cs="黑体"/>
          <w:bCs/>
          <w:color w:val="auto"/>
          <w:sz w:val="28"/>
          <w:szCs w:val="28"/>
          <w:highlight w:val="none"/>
        </w:rPr>
      </w:pPr>
      <w:bookmarkStart w:id="65" w:name="_Toc26178"/>
      <w:r>
        <w:rPr>
          <w:rFonts w:hint="eastAsia" w:ascii="黑体" w:hAnsi="黑体" w:eastAsia="黑体" w:cs="黑体"/>
          <w:bCs/>
          <w:color w:val="auto"/>
          <w:sz w:val="28"/>
          <w:szCs w:val="28"/>
          <w:highlight w:val="none"/>
        </w:rPr>
        <w:br w:type="page" w:clear="all"/>
      </w:r>
    </w:p>
    <w:p w14:paraId="7896EFA3">
      <w:pPr>
        <w:outlineLvl w:val="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（九）（投标人）中小企业声明函（格式）：</w:t>
      </w:r>
      <w:bookmarkEnd w:id="65"/>
    </w:p>
    <w:p w14:paraId="37F5EB30">
      <w:pPr>
        <w:spacing w:line="360" w:lineRule="auto"/>
        <w:ind w:firstLine="560"/>
        <w:jc w:val="center"/>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中小企业声明函（货物）</w:t>
      </w:r>
    </w:p>
    <w:p w14:paraId="2861CAA5">
      <w:pPr>
        <w:spacing w:line="360" w:lineRule="auto"/>
        <w:ind w:firstLine="56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采购活动，提供的货物全部由符合政策要求的中小企业制造。相关企业 （含联合体中的中小企业、签订分包意向协议的中小企业）的具体情况如下：</w:t>
      </w:r>
    </w:p>
    <w:p w14:paraId="48CAB6AC">
      <w:pPr>
        <w:spacing w:after="0"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57D856B6">
      <w:pPr>
        <w:spacing w:after="0"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64A6B322">
      <w:pPr>
        <w:spacing w:after="0"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28D93ED2">
      <w:pPr>
        <w:spacing w:after="0"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68C3BA2C">
      <w:pPr>
        <w:spacing w:line="360" w:lineRule="auto"/>
        <w:rPr>
          <w:rFonts w:ascii="宋体" w:hAnsi="宋体"/>
          <w:bCs/>
          <w:color w:val="auto"/>
          <w:sz w:val="24"/>
          <w:szCs w:val="24"/>
          <w:highlight w:val="none"/>
        </w:rPr>
      </w:pPr>
    </w:p>
    <w:p w14:paraId="4868059E">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3FD415ED">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27E1644C">
      <w:pPr>
        <w:spacing w:after="0" w:line="360" w:lineRule="auto"/>
        <w:rPr>
          <w:color w:val="auto"/>
          <w:highlight w:val="none"/>
        </w:rPr>
      </w:pPr>
      <w:r>
        <w:rPr>
          <w:rFonts w:hint="eastAsia"/>
          <w:color w:val="auto"/>
          <w:highlight w:val="none"/>
        </w:rPr>
        <w:t>注：</w:t>
      </w:r>
    </w:p>
    <w:p w14:paraId="76CDBFA7">
      <w:pPr>
        <w:spacing w:after="0" w:line="360" w:lineRule="auto"/>
        <w:ind w:firstLine="420"/>
        <w:rPr>
          <w:color w:val="auto"/>
          <w:highlight w:val="none"/>
        </w:rPr>
      </w:pPr>
      <w:r>
        <w:rPr>
          <w:color w:val="auto"/>
          <w:highlight w:val="none"/>
        </w:rPr>
        <w:t>1.</w:t>
      </w:r>
      <w:r>
        <w:rPr>
          <w:rFonts w:hint="eastAsia"/>
          <w:color w:val="auto"/>
          <w:highlight w:val="none"/>
        </w:rPr>
        <w:t>从业人员、营业收入、资产总额填报上一年度数据，无上一年度数据的新成立企业可不填报。</w:t>
      </w:r>
    </w:p>
    <w:p w14:paraId="4637F513">
      <w:pPr>
        <w:spacing w:after="0" w:line="360" w:lineRule="auto"/>
        <w:ind w:firstLine="420"/>
        <w:rPr>
          <w:color w:val="auto"/>
          <w:highlight w:val="none"/>
        </w:rPr>
      </w:pPr>
      <w:r>
        <w:rPr>
          <w:color w:val="auto"/>
          <w:highlight w:val="none"/>
        </w:rPr>
        <w:t>2.</w:t>
      </w:r>
      <w:r>
        <w:rPr>
          <w:rFonts w:hint="eastAsia"/>
          <w:color w:val="auto"/>
          <w:highlight w:val="none"/>
        </w:rPr>
        <w:t>在货物采购项目中，供应商提供的货物既有中小企业制造货物，也有大型企业制造货物的，不享受本办法规定的中小企业扶持政策。</w:t>
      </w:r>
    </w:p>
    <w:p w14:paraId="72950DD5">
      <w:pPr>
        <w:spacing w:after="0" w:line="360" w:lineRule="auto"/>
        <w:ind w:firstLine="420"/>
        <w:rPr>
          <w:color w:val="auto"/>
          <w:highlight w:val="none"/>
        </w:rPr>
      </w:pPr>
      <w:r>
        <w:rPr>
          <w:rFonts w:hint="eastAsia"/>
          <w:color w:val="auto"/>
          <w:highlight w:val="none"/>
        </w:rPr>
        <w:t>3. 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bookmarkStart w:id="66" w:name="_Toc245033583"/>
    </w:p>
    <w:p w14:paraId="6179C6B7">
      <w:pPr>
        <w:rPr>
          <w:rFonts w:ascii="黑体" w:hAnsi="宋体" w:eastAsia="黑体" w:cs="Times New Roman"/>
          <w:bCs/>
          <w:color w:val="auto"/>
          <w:sz w:val="28"/>
          <w:szCs w:val="28"/>
          <w:highlight w:val="none"/>
        </w:rPr>
      </w:pPr>
      <w:bookmarkStart w:id="67" w:name="_Toc18579"/>
      <w:r>
        <w:rPr>
          <w:rFonts w:hint="eastAsia" w:ascii="黑体" w:hAnsi="宋体" w:eastAsia="黑体" w:cs="Times New Roman"/>
          <w:bCs/>
          <w:color w:val="auto"/>
          <w:sz w:val="28"/>
          <w:szCs w:val="28"/>
          <w:highlight w:val="none"/>
        </w:rPr>
        <w:br w:type="page" w:clear="all"/>
      </w:r>
    </w:p>
    <w:p w14:paraId="2D90BB56">
      <w:pPr>
        <w:outlineLvl w:val="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（十）（投标人）残疾人福利性单位声明函（格式）：</w:t>
      </w:r>
      <w:bookmarkEnd w:id="67"/>
    </w:p>
    <w:p w14:paraId="7CFAD042">
      <w:pPr>
        <w:spacing w:line="360" w:lineRule="auto"/>
        <w:ind w:firstLine="560"/>
        <w:jc w:val="center"/>
        <w:rPr>
          <w:rFonts w:ascii="黑体" w:hAnsi="Times New Roman" w:eastAsia="黑体" w:cs="黑体"/>
          <w:color w:val="auto"/>
          <w:sz w:val="28"/>
          <w:szCs w:val="28"/>
          <w:highlight w:val="none"/>
        </w:rPr>
      </w:pPr>
      <w:bookmarkStart w:id="68" w:name="OLE_LINK13"/>
      <w:bookmarkStart w:id="69" w:name="OLE_LINK14"/>
      <w:r>
        <w:rPr>
          <w:rFonts w:hint="eastAsia" w:ascii="黑体" w:hAnsi="Times New Roman" w:eastAsia="黑体" w:cs="黑体"/>
          <w:color w:val="auto"/>
          <w:sz w:val="28"/>
          <w:szCs w:val="28"/>
          <w:highlight w:val="none"/>
        </w:rPr>
        <w:t>残疾人福利性单位声明函</w:t>
      </w:r>
      <w:bookmarkEnd w:id="68"/>
      <w:bookmarkEnd w:id="69"/>
    </w:p>
    <w:p w14:paraId="6DE592AF">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单位的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05577C9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7CD1FDA1">
      <w:pPr>
        <w:spacing w:line="580" w:lineRule="exact"/>
        <w:ind w:firstLine="480"/>
        <w:rPr>
          <w:rFonts w:ascii="宋体" w:hAnsi="宋体"/>
          <w:bCs/>
          <w:color w:val="auto"/>
          <w:sz w:val="24"/>
          <w:szCs w:val="24"/>
          <w:highlight w:val="none"/>
        </w:rPr>
      </w:pPr>
    </w:p>
    <w:p w14:paraId="1C1C85D2">
      <w:pPr>
        <w:spacing w:line="580" w:lineRule="exact"/>
        <w:ind w:firstLine="480"/>
        <w:rPr>
          <w:rFonts w:ascii="宋体" w:hAnsi="宋体"/>
          <w:bCs/>
          <w:color w:val="auto"/>
          <w:sz w:val="24"/>
          <w:szCs w:val="24"/>
          <w:highlight w:val="none"/>
        </w:rPr>
      </w:pPr>
    </w:p>
    <w:p w14:paraId="0EC43A26">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投标人名称（盖章）：</w:t>
      </w:r>
    </w:p>
    <w:p w14:paraId="557076C3">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日  期：</w:t>
      </w:r>
    </w:p>
    <w:p w14:paraId="1B27AED0">
      <w:pPr>
        <w:spacing w:line="360" w:lineRule="auto"/>
        <w:rPr>
          <w:rFonts w:ascii="宋体" w:hAnsi="宋体"/>
          <w:bCs/>
          <w:color w:val="auto"/>
          <w:sz w:val="24"/>
          <w:szCs w:val="24"/>
          <w:highlight w:val="none"/>
        </w:rPr>
      </w:pPr>
    </w:p>
    <w:p w14:paraId="483282DC">
      <w:pPr>
        <w:spacing w:line="480" w:lineRule="auto"/>
        <w:rPr>
          <w:rFonts w:ascii="宋体" w:hAnsi="宋体"/>
          <w:bCs/>
          <w:color w:val="auto"/>
          <w:sz w:val="24"/>
          <w:szCs w:val="24"/>
          <w:highlight w:val="none"/>
        </w:rPr>
      </w:pPr>
    </w:p>
    <w:p w14:paraId="06753404">
      <w:pPr>
        <w:spacing w:line="480" w:lineRule="auto"/>
        <w:rPr>
          <w:rFonts w:ascii="宋体" w:hAnsi="宋体"/>
          <w:bCs/>
          <w:color w:val="auto"/>
          <w:sz w:val="24"/>
          <w:szCs w:val="24"/>
          <w:highlight w:val="none"/>
        </w:rPr>
      </w:pPr>
    </w:p>
    <w:p w14:paraId="188E11FE">
      <w:pPr>
        <w:rPr>
          <w:rFonts w:ascii="宋体" w:hAnsi="宋体"/>
          <w:color w:val="auto"/>
          <w:sz w:val="24"/>
          <w:szCs w:val="24"/>
          <w:highlight w:val="none"/>
        </w:rPr>
      </w:pPr>
    </w:p>
    <w:p w14:paraId="303356B7">
      <w:pPr>
        <w:rPr>
          <w:rFonts w:ascii="宋体" w:hAnsi="宋体"/>
          <w:color w:val="auto"/>
          <w:sz w:val="24"/>
          <w:szCs w:val="24"/>
          <w:highlight w:val="none"/>
        </w:rPr>
      </w:pPr>
    </w:p>
    <w:p w14:paraId="494A777D">
      <w:pPr>
        <w:rPr>
          <w:rFonts w:ascii="宋体" w:hAnsi="宋体"/>
          <w:color w:val="auto"/>
          <w:sz w:val="24"/>
          <w:szCs w:val="24"/>
          <w:highlight w:val="none"/>
        </w:rPr>
      </w:pPr>
      <w:r>
        <w:rPr>
          <w:rFonts w:ascii="宋体" w:hAnsi="宋体"/>
          <w:color w:val="auto"/>
          <w:sz w:val="24"/>
          <w:szCs w:val="24"/>
          <w:highlight w:val="none"/>
        </w:rPr>
        <w:br w:type="page" w:clear="all"/>
      </w:r>
    </w:p>
    <w:p w14:paraId="4E2709F1">
      <w:pPr>
        <w:spacing w:line="360" w:lineRule="auto"/>
        <w:jc w:val="both"/>
        <w:rPr>
          <w:rFonts w:hint="eastAsia" w:ascii="黑体" w:hAnsi="Times New Roman" w:eastAsia="黑体" w:cs="黑体"/>
          <w:color w:val="auto"/>
          <w:sz w:val="28"/>
          <w:szCs w:val="28"/>
          <w:highlight w:val="none"/>
          <w:lang w:eastAsia="zh-CN"/>
        </w:rPr>
      </w:pPr>
      <w:r>
        <w:rPr>
          <w:rFonts w:hint="eastAsia" w:ascii="黑体" w:hAnsi="Times New Roman" w:eastAsia="黑体" w:cs="黑体"/>
          <w:color w:val="auto"/>
          <w:sz w:val="28"/>
          <w:szCs w:val="28"/>
          <w:highlight w:val="none"/>
          <w:lang w:eastAsia="zh-CN"/>
        </w:rPr>
        <w:t>（十一）关于符合本国产品标准的声明函（</w:t>
      </w:r>
      <w:r>
        <w:rPr>
          <w:rFonts w:hint="eastAsia" w:ascii="黑体" w:hAnsi="Times New Roman" w:eastAsia="黑体" w:cs="黑体"/>
          <w:color w:val="auto"/>
          <w:sz w:val="28"/>
          <w:szCs w:val="28"/>
          <w:highlight w:val="none"/>
          <w:lang w:val="en-US" w:eastAsia="zh-CN"/>
        </w:rPr>
        <w:t>格式）：</w:t>
      </w:r>
    </w:p>
    <w:p w14:paraId="2FBD7F80">
      <w:pPr>
        <w:spacing w:line="360" w:lineRule="auto"/>
        <w:ind w:firstLine="560"/>
        <w:jc w:val="center"/>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lang w:eastAsia="zh-CN"/>
        </w:rPr>
        <w:t>关于符合本国产品标准的声明函</w:t>
      </w:r>
    </w:p>
    <w:p w14:paraId="4CFD966E">
      <w:pPr>
        <w:spacing w:line="360" w:lineRule="auto"/>
        <w:ind w:firstLine="56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9BEBCFA">
      <w:pPr>
        <w:spacing w:line="360" w:lineRule="auto"/>
        <w:ind w:firstLine="56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u w:val="single"/>
        </w:rPr>
        <w:t>（产品名称1）</w:t>
      </w:r>
      <w:r>
        <w:rPr>
          <w:rFonts w:hint="eastAsia" w:ascii="宋体" w:hAnsi="宋体"/>
          <w:b/>
          <w:bCs w:val="0"/>
          <w:color w:val="auto"/>
          <w:sz w:val="24"/>
          <w:szCs w:val="24"/>
          <w:highlight w:val="none"/>
          <w:u w:val="single"/>
          <w:vertAlign w:val="superscript"/>
          <w:lang w:val="en-US" w:eastAsia="zh-CN"/>
        </w:rPr>
        <w:t>1</w:t>
      </w:r>
      <w:r>
        <w:rPr>
          <w:rFonts w:hint="eastAsia" w:ascii="宋体" w:hAnsi="宋体"/>
          <w:bCs/>
          <w:color w:val="auto"/>
          <w:sz w:val="24"/>
          <w:szCs w:val="24"/>
          <w:highlight w:val="none"/>
        </w:rPr>
        <w:t>，生产厂为</w:t>
      </w:r>
      <w:r>
        <w:rPr>
          <w:rFonts w:hint="eastAsia" w:ascii="宋体" w:hAnsi="宋体"/>
          <w:bCs/>
          <w:color w:val="auto"/>
          <w:sz w:val="24"/>
          <w:szCs w:val="24"/>
          <w:highlight w:val="none"/>
          <w:u w:val="single"/>
        </w:rPr>
        <w:t>（厂名）</w:t>
      </w:r>
      <w:r>
        <w:rPr>
          <w:rFonts w:hint="eastAsia" w:ascii="宋体" w:hAnsi="宋体"/>
          <w:b/>
          <w:bCs w:val="0"/>
          <w:color w:val="auto"/>
          <w:sz w:val="24"/>
          <w:szCs w:val="24"/>
          <w:highlight w:val="none"/>
          <w:u w:val="single"/>
          <w:vertAlign w:val="superscript"/>
        </w:rPr>
        <w:t>2</w:t>
      </w:r>
      <w:r>
        <w:rPr>
          <w:rFonts w:hint="eastAsia" w:ascii="宋体" w:hAnsi="宋体"/>
          <w:bCs/>
          <w:color w:val="auto"/>
          <w:sz w:val="24"/>
          <w:szCs w:val="24"/>
          <w:highlight w:val="none"/>
        </w:rPr>
        <w:t>，厂址为</w:t>
      </w:r>
      <w:r>
        <w:rPr>
          <w:rFonts w:hint="eastAsia" w:ascii="宋体" w:hAnsi="宋体"/>
          <w:bCs/>
          <w:color w:val="auto"/>
          <w:sz w:val="24"/>
          <w:szCs w:val="24"/>
          <w:highlight w:val="none"/>
          <w:u w:val="single"/>
        </w:rPr>
        <w:t>（生产厂址）</w:t>
      </w:r>
      <w:r>
        <w:rPr>
          <w:rFonts w:hint="eastAsia" w:ascii="宋体" w:hAnsi="宋体"/>
          <w:bCs/>
          <w:color w:val="auto"/>
          <w:sz w:val="24"/>
          <w:szCs w:val="24"/>
          <w:highlight w:val="none"/>
        </w:rPr>
        <w:t>。</w:t>
      </w:r>
      <w:r>
        <w:rPr>
          <w:rFonts w:hint="eastAsia" w:ascii="宋体" w:hAnsi="宋体"/>
          <w:bCs/>
          <w:color w:val="auto"/>
          <w:sz w:val="24"/>
          <w:szCs w:val="24"/>
          <w:highlight w:val="none"/>
          <w:u w:val="single"/>
        </w:rPr>
        <w:t>（产品名称1）</w:t>
      </w:r>
      <w:r>
        <w:rPr>
          <w:rFonts w:hint="eastAsia" w:ascii="宋体" w:hAnsi="宋体"/>
          <w:bCs/>
          <w:color w:val="auto"/>
          <w:sz w:val="24"/>
          <w:szCs w:val="24"/>
          <w:highlight w:val="none"/>
        </w:rPr>
        <w:t>的中国境内生产的组件成本占比≥</w:t>
      </w:r>
      <w:r>
        <w:rPr>
          <w:rFonts w:hint="eastAsia" w:ascii="宋体" w:hAnsi="宋体"/>
          <w:bCs/>
          <w:color w:val="auto"/>
          <w:sz w:val="24"/>
          <w:szCs w:val="24"/>
          <w:highlight w:val="none"/>
          <w:u w:val="single"/>
        </w:rPr>
        <w:t>（规定比例）</w:t>
      </w:r>
      <w:r>
        <w:rPr>
          <w:rFonts w:hint="eastAsia" w:ascii="宋体" w:hAnsi="宋体"/>
          <w:b/>
          <w:bCs w:val="0"/>
          <w:color w:val="auto"/>
          <w:sz w:val="24"/>
          <w:szCs w:val="24"/>
          <w:highlight w:val="none"/>
          <w:u w:val="single"/>
          <w:vertAlign w:val="superscript"/>
        </w:rPr>
        <w:t>3</w:t>
      </w:r>
      <w:r>
        <w:rPr>
          <w:rFonts w:hint="eastAsia" w:ascii="宋体" w:hAnsi="宋体"/>
          <w:bCs/>
          <w:color w:val="auto"/>
          <w:sz w:val="24"/>
          <w:szCs w:val="24"/>
          <w:highlight w:val="none"/>
        </w:rPr>
        <w:t>。</w:t>
      </w:r>
      <w:r>
        <w:rPr>
          <w:rFonts w:hint="eastAsia" w:ascii="宋体" w:hAnsi="宋体"/>
          <w:bCs/>
          <w:color w:val="auto"/>
          <w:sz w:val="24"/>
          <w:szCs w:val="24"/>
          <w:highlight w:val="none"/>
          <w:u w:val="single"/>
        </w:rPr>
        <w:t>（产品名称1）</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（关键组件）</w:t>
      </w:r>
      <w:r>
        <w:rPr>
          <w:rFonts w:hint="eastAsia" w:ascii="宋体" w:hAnsi="宋体"/>
          <w:b/>
          <w:bCs w:val="0"/>
          <w:color w:val="auto"/>
          <w:sz w:val="24"/>
          <w:szCs w:val="24"/>
          <w:highlight w:val="none"/>
          <w:u w:val="single"/>
          <w:vertAlign w:val="superscript"/>
        </w:rPr>
        <w:t>4</w:t>
      </w:r>
      <w:r>
        <w:rPr>
          <w:rFonts w:hint="eastAsia" w:ascii="宋体" w:hAnsi="宋体"/>
          <w:bCs/>
          <w:color w:val="auto"/>
          <w:sz w:val="24"/>
          <w:szCs w:val="24"/>
          <w:highlight w:val="none"/>
        </w:rPr>
        <w:t>在中国境内生产。</w:t>
      </w:r>
      <w:r>
        <w:rPr>
          <w:rFonts w:hint="eastAsia" w:ascii="宋体" w:hAnsi="宋体"/>
          <w:bCs/>
          <w:color w:val="auto"/>
          <w:sz w:val="24"/>
          <w:szCs w:val="24"/>
          <w:highlight w:val="none"/>
          <w:u w:val="single"/>
        </w:rPr>
        <w:t>（产品名称1）</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（关键工序）</w:t>
      </w:r>
      <w:r>
        <w:rPr>
          <w:rFonts w:hint="eastAsia" w:ascii="宋体" w:hAnsi="宋体"/>
          <w:b/>
          <w:bCs w:val="0"/>
          <w:color w:val="auto"/>
          <w:sz w:val="24"/>
          <w:szCs w:val="24"/>
          <w:highlight w:val="none"/>
          <w:u w:val="single"/>
          <w:vertAlign w:val="superscript"/>
        </w:rPr>
        <w:t>5</w:t>
      </w:r>
      <w:r>
        <w:rPr>
          <w:rFonts w:hint="eastAsia" w:ascii="宋体" w:hAnsi="宋体"/>
          <w:bCs/>
          <w:color w:val="auto"/>
          <w:sz w:val="24"/>
          <w:szCs w:val="24"/>
          <w:highlight w:val="none"/>
        </w:rPr>
        <w:t>在中国境内完成。</w:t>
      </w:r>
    </w:p>
    <w:p w14:paraId="66B2E325">
      <w:pPr>
        <w:spacing w:line="360" w:lineRule="auto"/>
        <w:ind w:firstLine="56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u w:val="single"/>
        </w:rPr>
        <w:t>（产品名称2）</w:t>
      </w:r>
      <w:r>
        <w:rPr>
          <w:rFonts w:hint="eastAsia" w:ascii="宋体" w:hAnsi="宋体"/>
          <w:bCs/>
          <w:color w:val="auto"/>
          <w:sz w:val="24"/>
          <w:szCs w:val="24"/>
          <w:highlight w:val="none"/>
        </w:rPr>
        <w:t>，生产厂为</w:t>
      </w:r>
      <w:r>
        <w:rPr>
          <w:rFonts w:hint="eastAsia" w:ascii="宋体" w:hAnsi="宋体"/>
          <w:bCs/>
          <w:color w:val="auto"/>
          <w:sz w:val="24"/>
          <w:szCs w:val="24"/>
          <w:highlight w:val="none"/>
          <w:u w:val="single"/>
        </w:rPr>
        <w:t>（厂名）</w:t>
      </w:r>
      <w:r>
        <w:rPr>
          <w:rFonts w:hint="eastAsia" w:ascii="宋体" w:hAnsi="宋体"/>
          <w:bCs/>
          <w:color w:val="auto"/>
          <w:sz w:val="24"/>
          <w:szCs w:val="24"/>
          <w:highlight w:val="none"/>
        </w:rPr>
        <w:t>，厂址为</w:t>
      </w:r>
      <w:r>
        <w:rPr>
          <w:rFonts w:hint="eastAsia" w:ascii="宋体" w:hAnsi="宋体"/>
          <w:bCs/>
          <w:color w:val="auto"/>
          <w:sz w:val="24"/>
          <w:szCs w:val="24"/>
          <w:highlight w:val="none"/>
          <w:u w:val="single"/>
        </w:rPr>
        <w:t>（生产厂址）</w:t>
      </w:r>
      <w:r>
        <w:rPr>
          <w:rFonts w:hint="eastAsia" w:ascii="宋体" w:hAnsi="宋体"/>
          <w:bCs/>
          <w:color w:val="auto"/>
          <w:sz w:val="24"/>
          <w:szCs w:val="24"/>
          <w:highlight w:val="none"/>
        </w:rPr>
        <w:t>。</w:t>
      </w:r>
      <w:r>
        <w:rPr>
          <w:rFonts w:hint="eastAsia" w:ascii="宋体" w:hAnsi="宋体"/>
          <w:bCs/>
          <w:color w:val="auto"/>
          <w:sz w:val="24"/>
          <w:szCs w:val="24"/>
          <w:highlight w:val="none"/>
          <w:u w:val="single"/>
        </w:rPr>
        <w:t>（产品名称2）</w:t>
      </w:r>
      <w:r>
        <w:rPr>
          <w:rFonts w:hint="eastAsia" w:ascii="宋体" w:hAnsi="宋体"/>
          <w:bCs/>
          <w:color w:val="auto"/>
          <w:sz w:val="24"/>
          <w:szCs w:val="24"/>
          <w:highlight w:val="none"/>
        </w:rPr>
        <w:t>的中国境内生产的组件成本占比≥</w:t>
      </w:r>
      <w:r>
        <w:rPr>
          <w:rFonts w:hint="eastAsia" w:ascii="宋体" w:hAnsi="宋体"/>
          <w:bCs/>
          <w:color w:val="auto"/>
          <w:sz w:val="24"/>
          <w:szCs w:val="24"/>
          <w:highlight w:val="none"/>
          <w:u w:val="singl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u w:val="single"/>
        </w:rPr>
        <w:t>（产品名称2）</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（关键组件）</w:t>
      </w:r>
      <w:r>
        <w:rPr>
          <w:rFonts w:hint="eastAsia" w:ascii="宋体" w:hAnsi="宋体"/>
          <w:bCs/>
          <w:color w:val="auto"/>
          <w:sz w:val="24"/>
          <w:szCs w:val="24"/>
          <w:highlight w:val="none"/>
        </w:rPr>
        <w:t>在中国境内生产。</w:t>
      </w:r>
      <w:r>
        <w:rPr>
          <w:rFonts w:hint="eastAsia" w:ascii="宋体" w:hAnsi="宋体"/>
          <w:bCs/>
          <w:color w:val="auto"/>
          <w:sz w:val="24"/>
          <w:szCs w:val="24"/>
          <w:highlight w:val="none"/>
          <w:u w:val="single"/>
        </w:rPr>
        <w:t>（产品名称2）</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（关键工序）</w:t>
      </w:r>
      <w:r>
        <w:rPr>
          <w:rFonts w:hint="eastAsia" w:ascii="宋体" w:hAnsi="宋体"/>
          <w:bCs/>
          <w:color w:val="auto"/>
          <w:sz w:val="24"/>
          <w:szCs w:val="24"/>
          <w:highlight w:val="none"/>
        </w:rPr>
        <w:t>在中国境内完成。</w:t>
      </w:r>
    </w:p>
    <w:p w14:paraId="556DBDB9">
      <w:pPr>
        <w:spacing w:line="360" w:lineRule="auto"/>
        <w:ind w:firstLine="560"/>
        <w:rPr>
          <w:rFonts w:hint="eastAsia" w:ascii="宋体" w:hAnsi="宋体"/>
          <w:bCs/>
          <w:color w:val="auto"/>
          <w:sz w:val="24"/>
          <w:szCs w:val="24"/>
          <w:highlight w:val="none"/>
        </w:rPr>
      </w:pPr>
      <w:r>
        <w:rPr>
          <w:rFonts w:hint="eastAsia" w:ascii="宋体" w:hAnsi="宋体"/>
          <w:bCs/>
          <w:color w:val="auto"/>
          <w:sz w:val="24"/>
          <w:szCs w:val="24"/>
          <w:highlight w:val="none"/>
        </w:rPr>
        <w:t>……</w:t>
      </w:r>
    </w:p>
    <w:p w14:paraId="30C9BD60">
      <w:pPr>
        <w:spacing w:line="360" w:lineRule="auto"/>
        <w:ind w:firstLine="56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14B6F88A">
      <w:pPr>
        <w:keepNext w:val="0"/>
        <w:keepLines w:val="0"/>
        <w:pageBreakBefore w:val="0"/>
        <w:widowControl/>
        <w:spacing w:after="0" w:line="360" w:lineRule="auto"/>
        <w:ind w:firstLine="48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公司（单位）名称（盖章）：      </w:t>
      </w:r>
    </w:p>
    <w:p w14:paraId="6F17D921">
      <w:pPr>
        <w:keepNext w:val="0"/>
        <w:keepLines w:val="0"/>
        <w:pageBreakBefore w:val="0"/>
        <w:widowControl/>
        <w:spacing w:after="0"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日期：　　　　　年　　月　日    </w:t>
      </w:r>
    </w:p>
    <w:p w14:paraId="76FFEE06">
      <w:pPr>
        <w:spacing w:line="360" w:lineRule="auto"/>
        <w:ind w:firstLine="560"/>
        <w:rPr>
          <w:rFonts w:hint="eastAsia" w:ascii="宋体" w:hAnsi="宋体"/>
          <w:bCs/>
          <w:color w:val="auto"/>
          <w:sz w:val="24"/>
          <w:szCs w:val="24"/>
          <w:highlight w:val="none"/>
        </w:rPr>
      </w:pPr>
    </w:p>
    <w:p w14:paraId="4DB97EB3">
      <w:pPr>
        <w:spacing w:line="360" w:lineRule="auto"/>
        <w:ind w:firstLine="560"/>
        <w:rPr>
          <w:rFonts w:hint="eastAsia" w:ascii="宋体" w:hAnsi="宋体"/>
          <w:bCs/>
          <w:color w:val="auto"/>
          <w:sz w:val="24"/>
          <w:szCs w:val="24"/>
          <w:highlight w:val="none"/>
        </w:rPr>
      </w:pPr>
      <w:r>
        <w:rPr>
          <w:rFonts w:hint="eastAsia" w:ascii="宋体" w:hAnsi="宋体"/>
          <w:bCs/>
          <w:color w:val="auto"/>
          <w:sz w:val="24"/>
          <w:szCs w:val="24"/>
          <w:highlight w:val="none"/>
        </w:rPr>
        <w:t>_____________________________</w:t>
      </w:r>
    </w:p>
    <w:p w14:paraId="2720BED4">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240" w:lineRule="auto"/>
        <w:ind w:left="0" w:right="0" w:firstLine="420"/>
        <w:jc w:val="left"/>
        <w:rPr>
          <w:rFonts w:hint="eastAsia" w:ascii="楷体" w:hAnsi="楷体" w:eastAsia="楷体" w:cs="楷体"/>
          <w:i w:val="0"/>
          <w:iCs w:val="0"/>
          <w:caps w:val="0"/>
          <w:color w:val="auto"/>
          <w:spacing w:val="0"/>
          <w:sz w:val="24"/>
          <w:szCs w:val="24"/>
          <w:highlight w:val="none"/>
          <w:shd w:val="clear" w:color="auto" w:fill="FFFFFF"/>
        </w:rPr>
      </w:pPr>
      <w:r>
        <w:rPr>
          <w:rFonts w:hint="eastAsia" w:ascii="楷体" w:hAnsi="楷体" w:eastAsia="楷体" w:cs="楷体"/>
          <w:i w:val="0"/>
          <w:iCs w:val="0"/>
          <w:caps w:val="0"/>
          <w:color w:val="auto"/>
          <w:spacing w:val="0"/>
          <w:sz w:val="24"/>
          <w:szCs w:val="24"/>
          <w:highlight w:val="none"/>
          <w:shd w:val="clear" w:color="auto" w:fill="FFFFFF"/>
        </w:rPr>
        <w:t>1.产品如有型号，请在“产品名称”栏一并填写。</w:t>
      </w:r>
    </w:p>
    <w:p w14:paraId="20A4DE3F">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240" w:lineRule="auto"/>
        <w:ind w:left="0" w:right="0" w:firstLine="420"/>
        <w:jc w:val="left"/>
        <w:rPr>
          <w:rFonts w:hint="eastAsia" w:ascii="楷体" w:hAnsi="楷体" w:eastAsia="楷体" w:cs="楷体"/>
          <w:i w:val="0"/>
          <w:iCs w:val="0"/>
          <w:caps w:val="0"/>
          <w:color w:val="auto"/>
          <w:spacing w:val="0"/>
          <w:sz w:val="24"/>
          <w:szCs w:val="24"/>
          <w:highlight w:val="none"/>
          <w:shd w:val="clear" w:color="auto" w:fill="FFFFFF"/>
        </w:rPr>
      </w:pPr>
      <w:r>
        <w:rPr>
          <w:rFonts w:hint="eastAsia" w:ascii="楷体" w:hAnsi="楷体" w:eastAsia="楷体" w:cs="楷体"/>
          <w:i w:val="0"/>
          <w:iCs w:val="0"/>
          <w:caps w:val="0"/>
          <w:color w:val="auto"/>
          <w:spacing w:val="0"/>
          <w:sz w:val="24"/>
          <w:szCs w:val="24"/>
          <w:highlight w:val="none"/>
          <w:shd w:val="clear" w:color="auto" w:fill="FFFFFF"/>
        </w:rPr>
        <w:t>2.生产厂名与厂址应与生产厂营业执照载明的相关信息保持一致。</w:t>
      </w:r>
    </w:p>
    <w:p w14:paraId="7B7A56DB">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240" w:lineRule="auto"/>
        <w:ind w:left="0" w:right="0" w:firstLine="420"/>
        <w:jc w:val="left"/>
        <w:rPr>
          <w:rFonts w:hint="eastAsia" w:ascii="楷体" w:hAnsi="楷体" w:eastAsia="楷体" w:cs="楷体"/>
          <w:i w:val="0"/>
          <w:iCs w:val="0"/>
          <w:caps w:val="0"/>
          <w:color w:val="auto"/>
          <w:spacing w:val="0"/>
          <w:sz w:val="24"/>
          <w:szCs w:val="24"/>
          <w:highlight w:val="none"/>
          <w:shd w:val="clear" w:color="auto" w:fill="FFFFFF"/>
        </w:rPr>
      </w:pPr>
      <w:r>
        <w:rPr>
          <w:rFonts w:hint="eastAsia" w:ascii="楷体" w:hAnsi="楷体" w:eastAsia="楷体" w:cs="楷体"/>
          <w:i w:val="0"/>
          <w:iCs w:val="0"/>
          <w:caps w:val="0"/>
          <w:color w:val="auto"/>
          <w:spacing w:val="0"/>
          <w:sz w:val="24"/>
          <w:szCs w:val="24"/>
          <w:highlight w:val="none"/>
          <w:shd w:val="clear" w:color="auto" w:fill="FFFFFF"/>
        </w:rPr>
        <w:t>3.该产品的中国境内生产的组件成本占比相关要求实施前，“规定比例”栏可不填，下同。</w:t>
      </w:r>
    </w:p>
    <w:p w14:paraId="27E4D144">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240" w:lineRule="auto"/>
        <w:ind w:left="0" w:right="0" w:firstLine="420"/>
        <w:jc w:val="left"/>
        <w:rPr>
          <w:rFonts w:hint="eastAsia" w:ascii="楷体" w:hAnsi="楷体" w:eastAsia="楷体" w:cs="楷体"/>
          <w:i w:val="0"/>
          <w:iCs w:val="0"/>
          <w:caps w:val="0"/>
          <w:color w:val="auto"/>
          <w:spacing w:val="0"/>
          <w:sz w:val="24"/>
          <w:szCs w:val="24"/>
          <w:highlight w:val="none"/>
          <w:shd w:val="clear" w:color="auto" w:fill="FFFFFF"/>
        </w:rPr>
      </w:pPr>
      <w:r>
        <w:rPr>
          <w:rFonts w:hint="eastAsia" w:ascii="楷体" w:hAnsi="楷体" w:eastAsia="楷体" w:cs="楷体"/>
          <w:i w:val="0"/>
          <w:iCs w:val="0"/>
          <w:caps w:val="0"/>
          <w:color w:val="auto"/>
          <w:spacing w:val="0"/>
          <w:sz w:val="24"/>
          <w:szCs w:val="24"/>
          <w:highlight w:val="none"/>
          <w:shd w:val="clear" w:color="auto" w:fill="FFFFFF"/>
        </w:rPr>
        <w:t>4.该产品的关键组件要求实施前，“关键组件”栏可不填，下同。</w:t>
      </w:r>
    </w:p>
    <w:p w14:paraId="08AF59C5">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240" w:lineRule="auto"/>
        <w:ind w:left="0" w:right="0" w:firstLine="420"/>
        <w:jc w:val="left"/>
        <w:rPr>
          <w:rFonts w:hint="eastAsia" w:ascii="楷体" w:hAnsi="楷体" w:eastAsia="楷体" w:cs="楷体"/>
          <w:i w:val="0"/>
          <w:iCs w:val="0"/>
          <w:caps w:val="0"/>
          <w:color w:val="auto"/>
          <w:spacing w:val="0"/>
          <w:sz w:val="24"/>
          <w:szCs w:val="24"/>
          <w:highlight w:val="none"/>
          <w:shd w:val="clear" w:color="auto" w:fill="FFFFFF"/>
        </w:rPr>
      </w:pPr>
      <w:r>
        <w:rPr>
          <w:rFonts w:hint="eastAsia" w:ascii="楷体" w:hAnsi="楷体" w:eastAsia="楷体" w:cs="楷体"/>
          <w:i w:val="0"/>
          <w:iCs w:val="0"/>
          <w:caps w:val="0"/>
          <w:color w:val="auto"/>
          <w:spacing w:val="0"/>
          <w:sz w:val="24"/>
          <w:szCs w:val="24"/>
          <w:highlight w:val="none"/>
          <w:shd w:val="clear" w:color="auto" w:fill="FFFFFF"/>
        </w:rPr>
        <w:t>5.该产品的关键工序要求实施前，“关键工序”栏可不填，下同。</w:t>
      </w:r>
    </w:p>
    <w:p w14:paraId="4CC57C62">
      <w:pPr>
        <w:spacing w:line="360" w:lineRule="auto"/>
        <w:ind w:firstLine="560"/>
        <w:rPr>
          <w:rFonts w:hint="eastAsia" w:ascii="宋体" w:hAnsi="宋体"/>
          <w:bCs/>
          <w:color w:val="auto"/>
          <w:sz w:val="24"/>
          <w:szCs w:val="24"/>
          <w:highlight w:val="none"/>
        </w:rPr>
      </w:pPr>
    </w:p>
    <w:p w14:paraId="7B185266">
      <w:pPr>
        <w:rPr>
          <w:rFonts w:ascii="宋体" w:hAnsi="宋体"/>
          <w:color w:val="auto"/>
          <w:sz w:val="24"/>
          <w:szCs w:val="24"/>
          <w:highlight w:val="none"/>
        </w:rPr>
      </w:pPr>
    </w:p>
    <w:p w14:paraId="7B4D880F">
      <w:pPr>
        <w:rPr>
          <w:rFonts w:ascii="宋体" w:hAnsi="宋体"/>
          <w:color w:val="auto"/>
          <w:sz w:val="24"/>
          <w:szCs w:val="24"/>
          <w:highlight w:val="none"/>
        </w:rPr>
      </w:pPr>
    </w:p>
    <w:p w14:paraId="264DEFEA">
      <w:pPr>
        <w:outlineLvl w:val="0"/>
        <w:rPr>
          <w:rFonts w:ascii="黑体" w:hAnsi="黑体" w:eastAsia="黑体" w:cs="黑体"/>
          <w:bCs/>
          <w:color w:val="auto"/>
          <w:sz w:val="28"/>
          <w:szCs w:val="28"/>
          <w:highlight w:val="none"/>
        </w:rPr>
      </w:pPr>
      <w:bookmarkStart w:id="70" w:name="_Toc19745"/>
      <w:r>
        <w:rPr>
          <w:rFonts w:hint="eastAsia" w:ascii="黑体" w:hAnsi="黑体" w:eastAsia="黑体" w:cs="黑体"/>
          <w:bCs/>
          <w:color w:val="auto"/>
          <w:sz w:val="28"/>
          <w:szCs w:val="28"/>
          <w:highlight w:val="none"/>
        </w:rPr>
        <w:t>（十</w:t>
      </w:r>
      <w:r>
        <w:rPr>
          <w:rFonts w:hint="eastAsia" w:ascii="黑体" w:hAnsi="黑体" w:eastAsia="黑体" w:cs="黑体"/>
          <w:bCs/>
          <w:color w:val="auto"/>
          <w:sz w:val="28"/>
          <w:szCs w:val="28"/>
          <w:highlight w:val="none"/>
          <w:lang w:val="en-US" w:eastAsia="zh-CN"/>
        </w:rPr>
        <w:t>二</w:t>
      </w:r>
      <w:r>
        <w:rPr>
          <w:rFonts w:hint="eastAsia" w:ascii="黑体" w:hAnsi="黑体" w:eastAsia="黑体" w:cs="黑体"/>
          <w:bCs/>
          <w:color w:val="auto"/>
          <w:sz w:val="28"/>
          <w:szCs w:val="28"/>
          <w:highlight w:val="none"/>
        </w:rPr>
        <w:t>）技术服务方案</w:t>
      </w:r>
      <w:bookmarkEnd w:id="70"/>
    </w:p>
    <w:p w14:paraId="3E3DF34F">
      <w:pPr>
        <w:keepNext w:val="0"/>
        <w:keepLines w:val="0"/>
        <w:pageBreakBefore w:val="0"/>
        <w:widowControl/>
        <w:outlineLvl w:val="9"/>
        <w:rPr>
          <w:rFonts w:ascii="黑体" w:hAnsi="宋体" w:eastAsia="黑体" w:cs="Times New Roman"/>
          <w:bCs/>
          <w:color w:val="auto"/>
          <w:sz w:val="28"/>
          <w:szCs w:val="28"/>
          <w:highlight w:val="none"/>
        </w:rPr>
      </w:pPr>
      <w:bookmarkStart w:id="71" w:name="_Toc16294"/>
      <w:r>
        <w:rPr>
          <w:rFonts w:hint="eastAsia" w:ascii="黑体" w:hAnsi="宋体" w:eastAsia="黑体" w:cs="Times New Roman"/>
          <w:bCs/>
          <w:color w:val="auto"/>
          <w:sz w:val="28"/>
          <w:szCs w:val="28"/>
          <w:highlight w:val="none"/>
        </w:rPr>
        <w:t>注：格式自拟。</w:t>
      </w:r>
      <w:bookmarkEnd w:id="71"/>
    </w:p>
    <w:p w14:paraId="6D529BEE">
      <w:pPr>
        <w:spacing w:line="320" w:lineRule="exact"/>
        <w:rPr>
          <w:rFonts w:ascii="宋体" w:hAnsi="宋体"/>
          <w:color w:val="auto"/>
          <w:sz w:val="24"/>
          <w:szCs w:val="24"/>
          <w:highlight w:val="none"/>
        </w:rPr>
      </w:pPr>
    </w:p>
    <w:p w14:paraId="2766982A">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bookmarkEnd w:id="66"/>
    </w:p>
    <w:p w14:paraId="7198E2D7">
      <w:pPr>
        <w:spacing w:line="360" w:lineRule="auto"/>
        <w:jc w:val="center"/>
        <w:rPr>
          <w:rFonts w:ascii="宋体" w:hAnsi="宋体"/>
          <w:b/>
          <w:color w:val="auto"/>
          <w:sz w:val="24"/>
          <w:szCs w:val="24"/>
          <w:highlight w:val="none"/>
        </w:rPr>
      </w:pPr>
    </w:p>
    <w:p w14:paraId="30F4E457">
      <w:pPr>
        <w:jc w:val="center"/>
        <w:rPr>
          <w:rFonts w:ascii="宋体" w:hAnsi="宋体"/>
          <w:b/>
          <w:bCs/>
          <w:color w:val="auto"/>
          <w:sz w:val="24"/>
          <w:szCs w:val="24"/>
          <w:highlight w:val="none"/>
        </w:rPr>
      </w:pPr>
    </w:p>
    <w:p w14:paraId="62982474">
      <w:pPr>
        <w:rPr>
          <w:rFonts w:ascii="宋体" w:hAnsi="宋体"/>
          <w:color w:val="auto"/>
          <w:sz w:val="24"/>
          <w:szCs w:val="24"/>
          <w:highlight w:val="none"/>
        </w:rPr>
      </w:pPr>
    </w:p>
    <w:p w14:paraId="1F71468C">
      <w:pPr>
        <w:rPr>
          <w:rFonts w:ascii="宋体" w:hAnsi="宋体"/>
          <w:color w:val="auto"/>
          <w:sz w:val="24"/>
          <w:szCs w:val="24"/>
          <w:highlight w:val="none"/>
        </w:rPr>
      </w:pPr>
    </w:p>
    <w:p w14:paraId="46214987">
      <w:pPr>
        <w:rPr>
          <w:rFonts w:ascii="宋体" w:hAnsi="宋体"/>
          <w:color w:val="auto"/>
          <w:sz w:val="24"/>
          <w:szCs w:val="24"/>
          <w:highlight w:val="none"/>
        </w:rPr>
      </w:pPr>
    </w:p>
    <w:p w14:paraId="42DAC834">
      <w:pPr>
        <w:rPr>
          <w:rFonts w:ascii="宋体" w:hAnsi="宋体"/>
          <w:color w:val="auto"/>
          <w:sz w:val="24"/>
          <w:szCs w:val="24"/>
          <w:highlight w:val="none"/>
        </w:rPr>
      </w:pPr>
    </w:p>
    <w:p w14:paraId="2387712D">
      <w:pPr>
        <w:rPr>
          <w:rFonts w:ascii="宋体" w:hAnsi="宋体"/>
          <w:color w:val="auto"/>
          <w:sz w:val="24"/>
          <w:szCs w:val="24"/>
          <w:highlight w:val="none"/>
        </w:rPr>
      </w:pPr>
    </w:p>
    <w:p w14:paraId="41C7F4F9">
      <w:pPr>
        <w:rPr>
          <w:rFonts w:ascii="宋体" w:hAnsi="宋体"/>
          <w:color w:val="auto"/>
          <w:sz w:val="24"/>
          <w:szCs w:val="24"/>
          <w:highlight w:val="none"/>
        </w:rPr>
      </w:pPr>
    </w:p>
    <w:p w14:paraId="043F2163">
      <w:pPr>
        <w:rPr>
          <w:rFonts w:ascii="宋体" w:hAnsi="宋体"/>
          <w:color w:val="auto"/>
          <w:sz w:val="24"/>
          <w:szCs w:val="24"/>
          <w:highlight w:val="none"/>
        </w:rPr>
      </w:pPr>
    </w:p>
    <w:p w14:paraId="5FC8AA15">
      <w:pPr>
        <w:rPr>
          <w:rFonts w:ascii="宋体" w:hAnsi="宋体"/>
          <w:color w:val="auto"/>
          <w:sz w:val="24"/>
          <w:szCs w:val="24"/>
          <w:highlight w:val="none"/>
        </w:rPr>
      </w:pPr>
    </w:p>
    <w:p w14:paraId="3BC26F22">
      <w:pPr>
        <w:rPr>
          <w:rFonts w:ascii="宋体" w:hAnsi="宋体"/>
          <w:color w:val="auto"/>
          <w:sz w:val="24"/>
          <w:szCs w:val="24"/>
          <w:highlight w:val="none"/>
        </w:rPr>
      </w:pPr>
    </w:p>
    <w:p w14:paraId="031E30A1">
      <w:pPr>
        <w:rPr>
          <w:rFonts w:ascii="宋体" w:hAnsi="宋体"/>
          <w:color w:val="auto"/>
          <w:sz w:val="24"/>
          <w:szCs w:val="24"/>
          <w:highlight w:val="none"/>
        </w:rPr>
      </w:pPr>
    </w:p>
    <w:p w14:paraId="1DE487AB">
      <w:pPr>
        <w:rPr>
          <w:rFonts w:ascii="宋体" w:hAnsi="宋体"/>
          <w:color w:val="auto"/>
          <w:sz w:val="24"/>
          <w:szCs w:val="24"/>
          <w:highlight w:val="none"/>
        </w:rPr>
      </w:pPr>
    </w:p>
    <w:p w14:paraId="3AA94EF9">
      <w:pPr>
        <w:rPr>
          <w:rFonts w:ascii="宋体" w:hAnsi="宋体"/>
          <w:color w:val="auto"/>
          <w:sz w:val="24"/>
          <w:szCs w:val="24"/>
          <w:highlight w:val="none"/>
        </w:rPr>
      </w:pPr>
    </w:p>
    <w:p w14:paraId="59C273CB">
      <w:pPr>
        <w:rPr>
          <w:rFonts w:ascii="宋体" w:hAnsi="宋体"/>
          <w:color w:val="auto"/>
          <w:sz w:val="24"/>
          <w:szCs w:val="24"/>
          <w:highlight w:val="none"/>
        </w:rPr>
      </w:pPr>
    </w:p>
    <w:sectPr>
      <w:headerReference r:id="rId5" w:type="default"/>
      <w:footerReference r:id="rId6" w:type="default"/>
      <w:pgSz w:w="11906" w:h="16838"/>
      <w:pgMar w:top="1440" w:right="1440" w:bottom="1440" w:left="1287" w:header="850" w:footer="992"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Narrow">
    <w:altName w:val="Arial"/>
    <w:panose1 w:val="020B0606020202030204"/>
    <w:charset w:val="00"/>
    <w:family w:val="auto"/>
    <w:pitch w:val="default"/>
    <w:sig w:usb0="00000000"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幼圆">
    <w:altName w:val="宋体"/>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E173F">
    <w:pPr>
      <w:pStyle w:val="25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23C58">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2C223C58">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5E482">
    <w:pPr>
      <w:pStyle w:val="276"/>
      <w:pBdr>
        <w:bottom w:val="none" w:color="000000" w:sz="0" w:space="1"/>
      </w:pBdr>
      <w:jc w:val="both"/>
      <w:rPr>
        <w:rFonts w:eastAsia="华文新魏"/>
        <w:sz w:val="21"/>
      </w:rPr>
    </w:pPr>
    <w:r>
      <w:rPr>
        <w:rFonts w:hint="eastAsia" w:eastAsia="华文新魏"/>
        <w:sz w:val="21"/>
      </w:rPr>
      <w:t xml:space="preserve">  </w:t>
    </w:r>
    <w:r>
      <w:rPr>
        <w:rFonts w:hint="eastAsia"/>
      </w:rPr>
      <w:t xml:space="preserve">          </w:t>
    </w:r>
    <w:r>
      <w:rPr>
        <w:rFonts w:hint="eastAsia" w:eastAsia="华文新魏"/>
        <w:sz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85"/>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pPr>
        <w:ind w:left="0" w:firstLine="0"/>
      </w:pPr>
      <w:rPr>
        <w:rFonts w:hint="eastAsia"/>
      </w:rPr>
    </w:lvl>
    <w:lvl w:ilvl="1" w:tentative="0">
      <w:start w:val="1"/>
      <w:numFmt w:val="decimal"/>
      <w:pStyle w:val="366"/>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pStyle w:val="373"/>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CF092B84"/>
    <w:multiLevelType w:val="multilevel"/>
    <w:tmpl w:val="CF092B84"/>
    <w:lvl w:ilvl="0" w:tentative="0">
      <w:start w:val="1"/>
      <w:numFmt w:val="decimal"/>
      <w:pStyle w:val="313"/>
      <w:lvlText w:val="%1、"/>
      <w:lvlJc w:val="left"/>
      <w:pPr>
        <w:tabs>
          <w:tab w:val="left" w:pos="1140"/>
        </w:tabs>
        <w:ind w:left="1140" w:hanging="720"/>
      </w:pPr>
    </w:lvl>
    <w:lvl w:ilvl="1" w:tentative="0">
      <w:start w:val="1"/>
      <w:numFmt w:val="lowerLetter"/>
      <w:pStyle w:val="315"/>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upperLetter"/>
      <w:pStyle w:val="248"/>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5B654F3"/>
    <w:multiLevelType w:val="multilevel"/>
    <w:tmpl w:val="25B654F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9ADCABA"/>
    <w:multiLevelType w:val="multilevel"/>
    <w:tmpl w:val="59ADCABA"/>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pStyle w:val="353"/>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72183CF9"/>
    <w:multiLevelType w:val="multilevel"/>
    <w:tmpl w:val="72183CF9"/>
    <w:lvl w:ilvl="0" w:tentative="0">
      <w:start w:val="5"/>
      <w:numFmt w:val="japaneseCounting"/>
      <w:lvlText w:val="（%1）"/>
      <w:lvlJc w:val="left"/>
      <w:pPr>
        <w:ind w:left="720" w:hanging="720"/>
      </w:pPr>
      <w:rPr>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5"/>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718FC"/>
    <w:rsid w:val="06D3098D"/>
    <w:rsid w:val="06F53E71"/>
    <w:rsid w:val="0AF40AD6"/>
    <w:rsid w:val="163E7689"/>
    <w:rsid w:val="2A3B3236"/>
    <w:rsid w:val="40022293"/>
    <w:rsid w:val="52EE281C"/>
    <w:rsid w:val="55DD0C9B"/>
    <w:rsid w:val="606C785B"/>
    <w:rsid w:val="64545255"/>
    <w:rsid w:val="666A68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00" w:lineRule="atLeast"/>
    </w:pPr>
    <w:rPr>
      <w:rFonts w:hint="default" w:ascii="Calibri" w:hAnsi="Calibri" w:eastAsia="宋体" w:cs="宋体"/>
      <w:sz w:val="22"/>
      <w:szCs w:val="22"/>
      <w:lang w:val="en-US" w:eastAsia="zh-CN" w:bidi="ar-SA"/>
    </w:rPr>
  </w:style>
  <w:style w:type="paragraph" w:styleId="2">
    <w:name w:val="heading 1"/>
    <w:basedOn w:val="1"/>
    <w:next w:val="1"/>
    <w:link w:val="116"/>
    <w:qFormat/>
    <w:uiPriority w:val="9"/>
    <w:pPr>
      <w:keepNext/>
      <w:keepLines/>
      <w:spacing w:before="480"/>
      <w:outlineLvl w:val="0"/>
    </w:pPr>
    <w:rPr>
      <w:rFonts w:ascii="Arial" w:hAnsi="Arial" w:eastAsia="Arial" w:cs="Arial"/>
      <w:sz w:val="40"/>
      <w:szCs w:val="40"/>
    </w:rPr>
  </w:style>
  <w:style w:type="paragraph" w:styleId="3">
    <w:name w:val="heading 2"/>
    <w:basedOn w:val="1"/>
    <w:next w:val="1"/>
    <w:link w:val="117"/>
    <w:unhideWhenUsed/>
    <w:qFormat/>
    <w:uiPriority w:val="9"/>
    <w:pPr>
      <w:keepNext/>
      <w:keepLines/>
      <w:spacing w:before="360"/>
      <w:outlineLvl w:val="1"/>
    </w:pPr>
    <w:rPr>
      <w:rFonts w:ascii="Arial" w:hAnsi="Arial" w:eastAsia="Arial" w:cs="Arial"/>
      <w:sz w:val="34"/>
    </w:rPr>
  </w:style>
  <w:style w:type="paragraph" w:styleId="4">
    <w:name w:val="heading 3"/>
    <w:basedOn w:val="1"/>
    <w:next w:val="1"/>
    <w:link w:val="118"/>
    <w:unhideWhenUsed/>
    <w:qFormat/>
    <w:uiPriority w:val="9"/>
    <w:pPr>
      <w:keepNext/>
      <w:keepLines/>
      <w:spacing w:before="320"/>
      <w:outlineLvl w:val="2"/>
    </w:pPr>
    <w:rPr>
      <w:rFonts w:ascii="Arial" w:hAnsi="Arial" w:eastAsia="Arial" w:cs="Arial"/>
      <w:sz w:val="30"/>
      <w:szCs w:val="30"/>
    </w:rPr>
  </w:style>
  <w:style w:type="paragraph" w:styleId="5">
    <w:name w:val="heading 4"/>
    <w:basedOn w:val="1"/>
    <w:next w:val="1"/>
    <w:link w:val="119"/>
    <w:unhideWhenUsed/>
    <w:qFormat/>
    <w:uiPriority w:val="9"/>
    <w:pPr>
      <w:keepNext/>
      <w:keepLines/>
      <w:spacing w:before="320"/>
      <w:outlineLvl w:val="3"/>
    </w:pPr>
    <w:rPr>
      <w:rFonts w:ascii="Arial" w:hAnsi="Arial" w:eastAsia="Arial" w:cs="Arial"/>
      <w:b/>
      <w:bCs/>
      <w:sz w:val="26"/>
      <w:szCs w:val="26"/>
    </w:rPr>
  </w:style>
  <w:style w:type="paragraph" w:styleId="6">
    <w:name w:val="heading 5"/>
    <w:basedOn w:val="1"/>
    <w:next w:val="1"/>
    <w:link w:val="120"/>
    <w:unhideWhenUsed/>
    <w:qFormat/>
    <w:uiPriority w:val="9"/>
    <w:pPr>
      <w:keepNext/>
      <w:keepLines/>
      <w:spacing w:before="320"/>
      <w:outlineLvl w:val="4"/>
    </w:pPr>
    <w:rPr>
      <w:rFonts w:ascii="Arial" w:hAnsi="Arial" w:eastAsia="Arial" w:cs="Arial"/>
      <w:b/>
      <w:bCs/>
      <w:sz w:val="24"/>
      <w:szCs w:val="24"/>
    </w:rPr>
  </w:style>
  <w:style w:type="paragraph" w:styleId="7">
    <w:name w:val="heading 6"/>
    <w:basedOn w:val="1"/>
    <w:next w:val="1"/>
    <w:link w:val="121"/>
    <w:unhideWhenUsed/>
    <w:qFormat/>
    <w:uiPriority w:val="9"/>
    <w:pPr>
      <w:keepNext/>
      <w:keepLines/>
      <w:spacing w:before="320"/>
      <w:outlineLvl w:val="5"/>
    </w:pPr>
    <w:rPr>
      <w:rFonts w:ascii="Arial" w:hAnsi="Arial" w:eastAsia="Arial" w:cs="Arial"/>
      <w:b/>
      <w:bCs/>
    </w:rPr>
  </w:style>
  <w:style w:type="paragraph" w:styleId="8">
    <w:name w:val="heading 7"/>
    <w:basedOn w:val="1"/>
    <w:next w:val="1"/>
    <w:link w:val="122"/>
    <w:unhideWhenUsed/>
    <w:qFormat/>
    <w:uiPriority w:val="9"/>
    <w:pPr>
      <w:keepNext/>
      <w:keepLines/>
      <w:spacing w:before="320"/>
      <w:outlineLvl w:val="6"/>
    </w:pPr>
    <w:rPr>
      <w:rFonts w:ascii="Arial" w:hAnsi="Arial" w:eastAsia="Arial" w:cs="Arial"/>
      <w:b/>
      <w:bCs/>
      <w:i/>
      <w:iCs/>
    </w:rPr>
  </w:style>
  <w:style w:type="paragraph" w:styleId="9">
    <w:name w:val="heading 8"/>
    <w:basedOn w:val="1"/>
    <w:next w:val="1"/>
    <w:link w:val="123"/>
    <w:unhideWhenUsed/>
    <w:qFormat/>
    <w:uiPriority w:val="9"/>
    <w:pPr>
      <w:keepNext/>
      <w:keepLines/>
      <w:spacing w:before="320"/>
      <w:outlineLvl w:val="7"/>
    </w:pPr>
    <w:rPr>
      <w:rFonts w:ascii="Arial" w:hAnsi="Arial" w:eastAsia="Arial" w:cs="Arial"/>
      <w:i/>
      <w:iCs/>
    </w:rPr>
  </w:style>
  <w:style w:type="paragraph" w:styleId="10">
    <w:name w:val="heading 9"/>
    <w:basedOn w:val="1"/>
    <w:next w:val="1"/>
    <w:link w:val="124"/>
    <w:unhideWhenUsed/>
    <w:qFormat/>
    <w:uiPriority w:val="9"/>
    <w:pPr>
      <w:keepNext/>
      <w:keepLines/>
      <w:spacing w:before="32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407"/>
    <w:semiHidden/>
    <w:unhideWhenUsed/>
    <w:qFormat/>
    <w:uiPriority w:val="99"/>
  </w:style>
  <w:style w:type="paragraph" w:styleId="14">
    <w:name w:val="Body Text"/>
    <w:basedOn w:val="1"/>
    <w:next w:val="15"/>
    <w:qFormat/>
    <w:uiPriority w:val="0"/>
    <w:rPr>
      <w:rFonts w:ascii="华文中宋" w:eastAsia="华文中宋"/>
      <w:bCs/>
      <w:sz w:val="28"/>
    </w:rPr>
  </w:style>
  <w:style w:type="paragraph" w:styleId="15">
    <w:name w:val="Body Text First Indent"/>
    <w:basedOn w:val="14"/>
    <w:unhideWhenUsed/>
    <w:qFormat/>
    <w:uiPriority w:val="99"/>
    <w:pPr>
      <w:ind w:firstLine="420"/>
    </w:pPr>
  </w:style>
  <w:style w:type="paragraph" w:styleId="16">
    <w:name w:val="Body Text Indent"/>
    <w:basedOn w:val="1"/>
    <w:qFormat/>
    <w:uiPriority w:val="0"/>
    <w:pPr>
      <w:ind w:firstLine="576"/>
    </w:pPr>
    <w:rPr>
      <w:b/>
      <w:sz w:val="3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eastAsia="楷体_GB2312"/>
      <w:sz w:val="26"/>
    </w:rPr>
  </w:style>
  <w:style w:type="paragraph" w:styleId="20">
    <w:name w:val="toc 8"/>
    <w:basedOn w:val="1"/>
    <w:next w:val="1"/>
    <w:unhideWhenUsed/>
    <w:qFormat/>
    <w:uiPriority w:val="39"/>
    <w:pPr>
      <w:spacing w:after="57"/>
      <w:ind w:left="1984"/>
    </w:pPr>
  </w:style>
  <w:style w:type="paragraph" w:styleId="21">
    <w:name w:val="endnote text"/>
    <w:basedOn w:val="1"/>
    <w:link w:val="242"/>
    <w:semiHidden/>
    <w:unhideWhenUsed/>
    <w:qFormat/>
    <w:uiPriority w:val="99"/>
    <w:pPr>
      <w:spacing w:after="0" w:line="240" w:lineRule="auto"/>
    </w:pPr>
    <w:rPr>
      <w:sz w:val="20"/>
    </w:rPr>
  </w:style>
  <w:style w:type="paragraph" w:styleId="22">
    <w:name w:val="Balloon Text"/>
    <w:basedOn w:val="1"/>
    <w:link w:val="405"/>
    <w:semiHidden/>
    <w:unhideWhenUsed/>
    <w:qFormat/>
    <w:uiPriority w:val="99"/>
    <w:pPr>
      <w:spacing w:after="0" w:line="240" w:lineRule="auto"/>
    </w:pPr>
    <w:rPr>
      <w:rFonts w:ascii="宋体"/>
      <w:sz w:val="18"/>
      <w:szCs w:val="18"/>
    </w:rPr>
  </w:style>
  <w:style w:type="paragraph" w:styleId="23">
    <w:name w:val="footer"/>
    <w:basedOn w:val="1"/>
    <w:link w:val="134"/>
    <w:unhideWhenUsed/>
    <w:qFormat/>
    <w:uiPriority w:val="99"/>
    <w:pPr>
      <w:tabs>
        <w:tab w:val="center" w:pos="7143"/>
        <w:tab w:val="right" w:pos="14287"/>
      </w:tabs>
      <w:spacing w:after="0" w:line="240" w:lineRule="auto"/>
    </w:pPr>
  </w:style>
  <w:style w:type="paragraph" w:styleId="24">
    <w:name w:val="header"/>
    <w:basedOn w:val="1"/>
    <w:link w:val="132"/>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27"/>
    <w:qFormat/>
    <w:uiPriority w:val="11"/>
    <w:pPr>
      <w:spacing w:before="200"/>
    </w:pPr>
    <w:rPr>
      <w:sz w:val="24"/>
      <w:szCs w:val="24"/>
    </w:rPr>
  </w:style>
  <w:style w:type="paragraph" w:styleId="28">
    <w:name w:val="footnote text"/>
    <w:basedOn w:val="1"/>
    <w:link w:val="24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pPr>
      <w:spacing w:after="0"/>
    </w:pPr>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00" w:beforeAutospacing="1" w:after="100" w:afterAutospacing="1"/>
    </w:pPr>
    <w:rPr>
      <w:rFonts w:ascii="宋体" w:hAnsi="宋体"/>
      <w:sz w:val="24"/>
      <w:szCs w:val="24"/>
    </w:rPr>
  </w:style>
  <w:style w:type="paragraph" w:styleId="34">
    <w:name w:val="Title"/>
    <w:basedOn w:val="1"/>
    <w:next w:val="1"/>
    <w:link w:val="126"/>
    <w:qFormat/>
    <w:uiPriority w:val="10"/>
    <w:pPr>
      <w:spacing w:before="300"/>
      <w:contextualSpacing/>
    </w:pPr>
    <w:rPr>
      <w:sz w:val="48"/>
      <w:szCs w:val="48"/>
    </w:rPr>
  </w:style>
  <w:style w:type="paragraph" w:styleId="35">
    <w:name w:val="annotation subject"/>
    <w:basedOn w:val="13"/>
    <w:next w:val="13"/>
    <w:link w:val="408"/>
    <w:semiHidden/>
    <w:unhideWhenUsed/>
    <w:qFormat/>
    <w:uiPriority w:val="99"/>
    <w:rPr>
      <w:b/>
      <w:bC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8"/>
    <w:semiHidden/>
    <w:unhideWhenUsed/>
    <w:qFormat/>
    <w:uiPriority w:val="99"/>
    <w:rPr>
      <w:sz w:val="21"/>
      <w:szCs w:val="21"/>
    </w:rPr>
  </w:style>
  <w:style w:type="character" w:styleId="42">
    <w:name w:val="footnote reference"/>
    <w:unhideWhenUsed/>
    <w:qFormat/>
    <w:uiPriority w:val="99"/>
    <w:rPr>
      <w:vertAlign w:val="superscript"/>
    </w:rPr>
  </w:style>
  <w:style w:type="table" w:customStyle="1" w:styleId="43">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4">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5">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6">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9">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0">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3">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4">
    <w:name w:val="Grid Table 7 Colorful"/>
    <w:basedOn w:val="3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6">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7">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8">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0">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1">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2">
    <w:name w:val="TOC Heading"/>
    <w:unhideWhenUsed/>
    <w:qFormat/>
    <w:uiPriority w:val="39"/>
    <w:rPr>
      <w:rFonts w:hint="default" w:ascii="Times New Roman" w:hAnsi="Times New Roman" w:eastAsia="宋体" w:cs="Times New Roman"/>
    </w:rPr>
  </w:style>
  <w:style w:type="paragraph" w:customStyle="1" w:styleId="63">
    <w:name w:val="页脚11"/>
    <w:basedOn w:val="1"/>
    <w:unhideWhenUsed/>
    <w:qFormat/>
    <w:uiPriority w:val="99"/>
    <w:pPr>
      <w:tabs>
        <w:tab w:val="center" w:pos="7143"/>
        <w:tab w:val="right" w:pos="14287"/>
      </w:tabs>
      <w:spacing w:after="0" w:line="240" w:lineRule="auto"/>
    </w:pPr>
  </w:style>
  <w:style w:type="table" w:customStyle="1" w:styleId="64">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basedOn w:val="36"/>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basedOn w:val="36"/>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basedOn w:val="36"/>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清单表 1 浅色1"/>
    <w:basedOn w:val="36"/>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清单表 6 彩色1"/>
    <w:basedOn w:val="36"/>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清单表 7 彩色1"/>
    <w:basedOn w:val="36"/>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3">
    <w:name w:val="TOC 标题1"/>
    <w:unhideWhenUsed/>
    <w:qFormat/>
    <w:uiPriority w:val="39"/>
    <w:rPr>
      <w:rFonts w:hint="default" w:ascii="Times New Roman" w:hAnsi="Times New Roman" w:eastAsia="宋体" w:cs="Times New Roman"/>
      <w:lang w:val="en-US" w:eastAsia="zh-CN" w:bidi="ar-SA"/>
    </w:rPr>
  </w:style>
  <w:style w:type="paragraph" w:styleId="84">
    <w:name w:val="List Paragraph"/>
    <w:basedOn w:val="1"/>
    <w:qFormat/>
    <w:uiPriority w:val="0"/>
    <w:pPr>
      <w:ind w:firstLine="420"/>
    </w:pPr>
  </w:style>
  <w:style w:type="paragraph" w:customStyle="1" w:styleId="85">
    <w:name w:val="TOC 标题111"/>
    <w:unhideWhenUsed/>
    <w:qFormat/>
    <w:uiPriority w:val="39"/>
    <w:rPr>
      <w:rFonts w:hint="default" w:ascii="Times New Roman" w:hAnsi="Times New Roman" w:eastAsia="宋体" w:cs="Times New Roman"/>
      <w:lang w:val="en-US" w:eastAsia="zh-CN" w:bidi="ar-SA"/>
    </w:rPr>
  </w:style>
  <w:style w:type="character" w:customStyle="1" w:styleId="86">
    <w:name w:val="Heading 1 Char"/>
    <w:basedOn w:val="38"/>
    <w:qFormat/>
    <w:uiPriority w:val="9"/>
    <w:rPr>
      <w:rFonts w:ascii="Arial" w:hAnsi="Arial" w:eastAsia="Arial" w:cs="Arial"/>
      <w:sz w:val="40"/>
      <w:szCs w:val="40"/>
    </w:rPr>
  </w:style>
  <w:style w:type="character" w:customStyle="1" w:styleId="87">
    <w:name w:val="Heading 2 Char"/>
    <w:basedOn w:val="38"/>
    <w:qFormat/>
    <w:uiPriority w:val="9"/>
    <w:rPr>
      <w:rFonts w:ascii="Arial" w:hAnsi="Arial" w:eastAsia="Arial" w:cs="Arial"/>
      <w:sz w:val="34"/>
    </w:rPr>
  </w:style>
  <w:style w:type="character" w:customStyle="1" w:styleId="88">
    <w:name w:val="Heading 3 Char"/>
    <w:basedOn w:val="38"/>
    <w:qFormat/>
    <w:uiPriority w:val="9"/>
    <w:rPr>
      <w:rFonts w:ascii="Arial" w:hAnsi="Arial" w:eastAsia="Arial" w:cs="Arial"/>
      <w:sz w:val="30"/>
      <w:szCs w:val="30"/>
    </w:rPr>
  </w:style>
  <w:style w:type="character" w:customStyle="1" w:styleId="89">
    <w:name w:val="Heading 4 Char"/>
    <w:basedOn w:val="38"/>
    <w:qFormat/>
    <w:uiPriority w:val="9"/>
    <w:rPr>
      <w:rFonts w:ascii="Arial" w:hAnsi="Arial" w:eastAsia="Arial" w:cs="Arial"/>
      <w:b/>
      <w:bCs/>
      <w:sz w:val="26"/>
      <w:szCs w:val="26"/>
    </w:rPr>
  </w:style>
  <w:style w:type="character" w:customStyle="1" w:styleId="90">
    <w:name w:val="Heading 5 Char"/>
    <w:basedOn w:val="38"/>
    <w:qFormat/>
    <w:uiPriority w:val="9"/>
    <w:rPr>
      <w:rFonts w:ascii="Arial" w:hAnsi="Arial" w:eastAsia="Arial" w:cs="Arial"/>
      <w:b/>
      <w:bCs/>
      <w:sz w:val="24"/>
      <w:szCs w:val="24"/>
    </w:rPr>
  </w:style>
  <w:style w:type="character" w:customStyle="1" w:styleId="91">
    <w:name w:val="Heading 6 Char"/>
    <w:basedOn w:val="38"/>
    <w:qFormat/>
    <w:uiPriority w:val="9"/>
    <w:rPr>
      <w:rFonts w:ascii="Arial" w:hAnsi="Arial" w:eastAsia="Arial" w:cs="Arial"/>
      <w:b/>
      <w:bCs/>
      <w:sz w:val="22"/>
      <w:szCs w:val="22"/>
    </w:rPr>
  </w:style>
  <w:style w:type="character" w:customStyle="1" w:styleId="92">
    <w:name w:val="Heading 7 Char"/>
    <w:basedOn w:val="38"/>
    <w:qFormat/>
    <w:uiPriority w:val="9"/>
    <w:rPr>
      <w:rFonts w:ascii="Arial" w:hAnsi="Arial" w:eastAsia="Arial" w:cs="Arial"/>
      <w:b/>
      <w:bCs/>
      <w:i/>
      <w:iCs/>
      <w:sz w:val="22"/>
      <w:szCs w:val="22"/>
    </w:rPr>
  </w:style>
  <w:style w:type="character" w:customStyle="1" w:styleId="93">
    <w:name w:val="Heading 8 Char"/>
    <w:basedOn w:val="38"/>
    <w:qFormat/>
    <w:uiPriority w:val="9"/>
    <w:rPr>
      <w:rFonts w:ascii="Arial" w:hAnsi="Arial" w:eastAsia="Arial" w:cs="Arial"/>
      <w:i/>
      <w:iCs/>
      <w:sz w:val="22"/>
      <w:szCs w:val="22"/>
    </w:rPr>
  </w:style>
  <w:style w:type="character" w:customStyle="1" w:styleId="94">
    <w:name w:val="Heading 9 Char"/>
    <w:basedOn w:val="38"/>
    <w:qFormat/>
    <w:uiPriority w:val="9"/>
    <w:rPr>
      <w:rFonts w:ascii="Arial" w:hAnsi="Arial" w:eastAsia="Arial" w:cs="Arial"/>
      <w:i/>
      <w:iCs/>
      <w:sz w:val="21"/>
      <w:szCs w:val="21"/>
    </w:rPr>
  </w:style>
  <w:style w:type="character" w:customStyle="1" w:styleId="95">
    <w:name w:val="Title Char"/>
    <w:basedOn w:val="38"/>
    <w:qFormat/>
    <w:uiPriority w:val="10"/>
    <w:rPr>
      <w:sz w:val="48"/>
      <w:szCs w:val="48"/>
    </w:rPr>
  </w:style>
  <w:style w:type="character" w:customStyle="1" w:styleId="96">
    <w:name w:val="Subtitle Char"/>
    <w:basedOn w:val="38"/>
    <w:qFormat/>
    <w:uiPriority w:val="11"/>
    <w:rPr>
      <w:sz w:val="24"/>
      <w:szCs w:val="24"/>
    </w:rPr>
  </w:style>
  <w:style w:type="character" w:customStyle="1" w:styleId="97">
    <w:name w:val="Quote Char"/>
    <w:qFormat/>
    <w:uiPriority w:val="29"/>
    <w:rPr>
      <w:i/>
    </w:rPr>
  </w:style>
  <w:style w:type="character" w:customStyle="1" w:styleId="98">
    <w:name w:val="Intense Quote Char"/>
    <w:qFormat/>
    <w:uiPriority w:val="30"/>
    <w:rPr>
      <w:i/>
    </w:rPr>
  </w:style>
  <w:style w:type="character" w:customStyle="1" w:styleId="99">
    <w:name w:val="Header Char"/>
    <w:basedOn w:val="38"/>
    <w:qFormat/>
    <w:uiPriority w:val="99"/>
  </w:style>
  <w:style w:type="character" w:customStyle="1" w:styleId="100">
    <w:name w:val="Caption Char"/>
    <w:qFormat/>
    <w:uiPriority w:val="99"/>
  </w:style>
  <w:style w:type="table" w:customStyle="1" w:styleId="101">
    <w:name w:val="普通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普通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普通表格 31"/>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普通表格 41"/>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普通表格 51"/>
    <w:basedOn w:val="3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列表 1 浅色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7">
    <w:name w:val="列表表格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8">
    <w:name w:val="列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列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列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1">
    <w:name w:val="列表 6 彩色1"/>
    <w:basedOn w:val="3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2">
    <w:name w:val="列表 7 彩色1"/>
    <w:basedOn w:val="3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13">
    <w:name w:val="Footnote Text Char"/>
    <w:qFormat/>
    <w:uiPriority w:val="99"/>
    <w:rPr>
      <w:sz w:val="18"/>
    </w:rPr>
  </w:style>
  <w:style w:type="character" w:customStyle="1" w:styleId="114">
    <w:name w:val="Endnote Text Char"/>
    <w:qFormat/>
    <w:uiPriority w:val="99"/>
    <w:rPr>
      <w:sz w:val="20"/>
    </w:rPr>
  </w:style>
  <w:style w:type="paragraph" w:customStyle="1" w:styleId="115">
    <w:name w:val="目录标题1"/>
    <w:unhideWhenUsed/>
    <w:qFormat/>
    <w:uiPriority w:val="39"/>
    <w:rPr>
      <w:rFonts w:hint="default" w:ascii="Times New Roman" w:hAnsi="Times New Roman" w:eastAsia="宋体" w:cs="Times New Roman"/>
      <w:lang w:val="en-US" w:eastAsia="zh-CN" w:bidi="ar-SA"/>
    </w:rPr>
  </w:style>
  <w:style w:type="character" w:customStyle="1" w:styleId="116">
    <w:name w:val="标题 1 Char"/>
    <w:link w:val="2"/>
    <w:qFormat/>
    <w:uiPriority w:val="9"/>
    <w:rPr>
      <w:rFonts w:ascii="Arial" w:hAnsi="Arial" w:eastAsia="Arial" w:cs="Arial"/>
      <w:sz w:val="40"/>
      <w:szCs w:val="40"/>
    </w:rPr>
  </w:style>
  <w:style w:type="character" w:customStyle="1" w:styleId="117">
    <w:name w:val="标题 2 Char1"/>
    <w:link w:val="3"/>
    <w:qFormat/>
    <w:uiPriority w:val="9"/>
    <w:rPr>
      <w:rFonts w:ascii="Arial" w:hAnsi="Arial" w:eastAsia="Arial" w:cs="Arial"/>
      <w:sz w:val="34"/>
    </w:rPr>
  </w:style>
  <w:style w:type="character" w:customStyle="1" w:styleId="118">
    <w:name w:val="标题 3 Char"/>
    <w:link w:val="4"/>
    <w:qFormat/>
    <w:uiPriority w:val="9"/>
    <w:rPr>
      <w:rFonts w:ascii="Arial" w:hAnsi="Arial" w:eastAsia="Arial" w:cs="Arial"/>
      <w:sz w:val="30"/>
      <w:szCs w:val="30"/>
    </w:rPr>
  </w:style>
  <w:style w:type="character" w:customStyle="1" w:styleId="119">
    <w:name w:val="标题 4 Char"/>
    <w:link w:val="5"/>
    <w:qFormat/>
    <w:uiPriority w:val="9"/>
    <w:rPr>
      <w:rFonts w:ascii="Arial" w:hAnsi="Arial" w:eastAsia="Arial" w:cs="Arial"/>
      <w:b/>
      <w:bCs/>
      <w:sz w:val="26"/>
      <w:szCs w:val="26"/>
    </w:rPr>
  </w:style>
  <w:style w:type="character" w:customStyle="1" w:styleId="120">
    <w:name w:val="标题 5 Char"/>
    <w:link w:val="6"/>
    <w:qFormat/>
    <w:uiPriority w:val="9"/>
    <w:rPr>
      <w:rFonts w:ascii="Arial" w:hAnsi="Arial" w:eastAsia="Arial" w:cs="Arial"/>
      <w:b/>
      <w:bCs/>
      <w:sz w:val="24"/>
      <w:szCs w:val="24"/>
    </w:rPr>
  </w:style>
  <w:style w:type="character" w:customStyle="1" w:styleId="121">
    <w:name w:val="标题 6 Char"/>
    <w:link w:val="7"/>
    <w:qFormat/>
    <w:uiPriority w:val="9"/>
    <w:rPr>
      <w:rFonts w:ascii="Arial" w:hAnsi="Arial" w:eastAsia="Arial" w:cs="Arial"/>
      <w:b/>
      <w:bCs/>
      <w:sz w:val="22"/>
      <w:szCs w:val="22"/>
    </w:rPr>
  </w:style>
  <w:style w:type="character" w:customStyle="1" w:styleId="122">
    <w:name w:val="标题 7 Char"/>
    <w:link w:val="8"/>
    <w:qFormat/>
    <w:uiPriority w:val="9"/>
    <w:rPr>
      <w:rFonts w:ascii="Arial" w:hAnsi="Arial" w:eastAsia="Arial" w:cs="Arial"/>
      <w:b/>
      <w:bCs/>
      <w:i/>
      <w:iCs/>
      <w:sz w:val="22"/>
      <w:szCs w:val="22"/>
    </w:rPr>
  </w:style>
  <w:style w:type="character" w:customStyle="1" w:styleId="123">
    <w:name w:val="标题 8 Char"/>
    <w:link w:val="9"/>
    <w:qFormat/>
    <w:uiPriority w:val="9"/>
    <w:rPr>
      <w:rFonts w:ascii="Arial" w:hAnsi="Arial" w:eastAsia="Arial" w:cs="Arial"/>
      <w:i/>
      <w:iCs/>
      <w:sz w:val="22"/>
      <w:szCs w:val="22"/>
    </w:rPr>
  </w:style>
  <w:style w:type="character" w:customStyle="1" w:styleId="124">
    <w:name w:val="标题 9 Char"/>
    <w:link w:val="10"/>
    <w:qFormat/>
    <w:uiPriority w:val="9"/>
    <w:rPr>
      <w:rFonts w:ascii="Arial" w:hAnsi="Arial" w:eastAsia="Arial" w:cs="Arial"/>
      <w:i/>
      <w:iCs/>
      <w:sz w:val="21"/>
      <w:szCs w:val="21"/>
    </w:rPr>
  </w:style>
  <w:style w:type="paragraph" w:styleId="125">
    <w:name w:val="No Spacing"/>
    <w:qFormat/>
    <w:uiPriority w:val="1"/>
    <w:rPr>
      <w:rFonts w:hint="default" w:ascii="Times New Roman" w:hAnsi="Times New Roman" w:eastAsia="宋体" w:cs="Times New Roman"/>
      <w:lang w:val="en-US" w:eastAsia="zh-CN" w:bidi="ar-SA"/>
    </w:rPr>
  </w:style>
  <w:style w:type="character" w:customStyle="1" w:styleId="126">
    <w:name w:val="标题 Char2"/>
    <w:link w:val="34"/>
    <w:qFormat/>
    <w:uiPriority w:val="10"/>
    <w:rPr>
      <w:sz w:val="48"/>
      <w:szCs w:val="48"/>
    </w:rPr>
  </w:style>
  <w:style w:type="character" w:customStyle="1" w:styleId="127">
    <w:name w:val="副标题 Char"/>
    <w:link w:val="27"/>
    <w:qFormat/>
    <w:uiPriority w:val="11"/>
    <w:rPr>
      <w:sz w:val="24"/>
      <w:szCs w:val="24"/>
    </w:rPr>
  </w:style>
  <w:style w:type="paragraph" w:styleId="128">
    <w:name w:val="Quote"/>
    <w:basedOn w:val="1"/>
    <w:next w:val="1"/>
    <w:link w:val="129"/>
    <w:qFormat/>
    <w:uiPriority w:val="29"/>
    <w:pPr>
      <w:ind w:left="720" w:right="720"/>
    </w:pPr>
    <w:rPr>
      <w:i/>
    </w:rPr>
  </w:style>
  <w:style w:type="character" w:customStyle="1" w:styleId="129">
    <w:name w:val="引用 Char"/>
    <w:link w:val="128"/>
    <w:qFormat/>
    <w:uiPriority w:val="29"/>
    <w:rPr>
      <w:i/>
    </w:rPr>
  </w:style>
  <w:style w:type="paragraph" w:styleId="130">
    <w:name w:val="Intense Quote"/>
    <w:basedOn w:val="1"/>
    <w:next w:val="1"/>
    <w:link w:val="1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1">
    <w:name w:val="明显引用 Char"/>
    <w:link w:val="130"/>
    <w:qFormat/>
    <w:uiPriority w:val="30"/>
    <w:rPr>
      <w:i/>
    </w:rPr>
  </w:style>
  <w:style w:type="character" w:customStyle="1" w:styleId="132">
    <w:name w:val="页眉 Char1"/>
    <w:link w:val="24"/>
    <w:qFormat/>
    <w:uiPriority w:val="99"/>
  </w:style>
  <w:style w:type="character" w:customStyle="1" w:styleId="133">
    <w:name w:val="Footer Char"/>
    <w:qFormat/>
    <w:uiPriority w:val="99"/>
  </w:style>
  <w:style w:type="character" w:customStyle="1" w:styleId="134">
    <w:name w:val="页脚 Char"/>
    <w:link w:val="23"/>
    <w:qFormat/>
    <w:uiPriority w:val="99"/>
  </w:style>
  <w:style w:type="table" w:customStyle="1" w:styleId="13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1">
    <w:name w:val="脚注文本 Char"/>
    <w:link w:val="28"/>
    <w:qFormat/>
    <w:uiPriority w:val="99"/>
    <w:rPr>
      <w:sz w:val="18"/>
    </w:rPr>
  </w:style>
  <w:style w:type="character" w:customStyle="1" w:styleId="242">
    <w:name w:val="尾注文本 Char"/>
    <w:link w:val="21"/>
    <w:qFormat/>
    <w:uiPriority w:val="99"/>
    <w:rPr>
      <w:sz w:val="20"/>
    </w:rPr>
  </w:style>
  <w:style w:type="paragraph" w:customStyle="1" w:styleId="243">
    <w:name w:val="TOC 标题11"/>
    <w:unhideWhenUsed/>
    <w:qFormat/>
    <w:uiPriority w:val="39"/>
    <w:rPr>
      <w:rFonts w:hint="default" w:ascii="Times New Roman" w:hAnsi="Times New Roman" w:eastAsia="宋体" w:cs="Times New Roman"/>
      <w:lang w:val="en-US" w:eastAsia="zh-CN" w:bidi="ar-SA"/>
    </w:rPr>
  </w:style>
  <w:style w:type="paragraph" w:customStyle="1" w:styleId="244">
    <w:name w:val="标题 11"/>
    <w:basedOn w:val="1"/>
    <w:next w:val="1"/>
    <w:qFormat/>
    <w:uiPriority w:val="0"/>
    <w:pPr>
      <w:keepNext/>
      <w:jc w:val="center"/>
      <w:outlineLvl w:val="0"/>
    </w:pPr>
    <w:rPr>
      <w:rFonts w:ascii="楷体_GB2312" w:eastAsia="楷体_GB2312"/>
      <w:b/>
      <w:sz w:val="28"/>
    </w:rPr>
  </w:style>
  <w:style w:type="paragraph" w:customStyle="1" w:styleId="245">
    <w:name w:val="标题 21"/>
    <w:basedOn w:val="1"/>
    <w:next w:val="1"/>
    <w:link w:val="253"/>
    <w:qFormat/>
    <w:uiPriority w:val="0"/>
    <w:pPr>
      <w:keepNext/>
      <w:jc w:val="center"/>
      <w:outlineLvl w:val="1"/>
    </w:pPr>
    <w:rPr>
      <w:rFonts w:ascii="楷体_GB2312" w:eastAsia="楷体_GB2312"/>
      <w:b/>
      <w:bCs/>
      <w:sz w:val="18"/>
    </w:rPr>
  </w:style>
  <w:style w:type="paragraph" w:customStyle="1" w:styleId="246">
    <w:name w:val="标题 31"/>
    <w:basedOn w:val="1"/>
    <w:next w:val="1"/>
    <w:qFormat/>
    <w:uiPriority w:val="0"/>
    <w:pPr>
      <w:keepNext/>
      <w:jc w:val="center"/>
      <w:outlineLvl w:val="2"/>
    </w:pPr>
    <w:rPr>
      <w:rFonts w:eastAsia="楷体_GB2312"/>
      <w:b/>
      <w:bCs/>
      <w:sz w:val="15"/>
    </w:rPr>
  </w:style>
  <w:style w:type="paragraph" w:customStyle="1" w:styleId="247">
    <w:name w:val="标题 41"/>
    <w:basedOn w:val="1"/>
    <w:next w:val="1"/>
    <w:qFormat/>
    <w:uiPriority w:val="0"/>
    <w:pPr>
      <w:keepNext/>
      <w:jc w:val="center"/>
      <w:outlineLvl w:val="3"/>
    </w:pPr>
    <w:rPr>
      <w:rFonts w:eastAsia="楷体_GB2312"/>
      <w:b/>
      <w:bCs/>
      <w:sz w:val="13"/>
    </w:rPr>
  </w:style>
  <w:style w:type="paragraph" w:customStyle="1" w:styleId="248">
    <w:name w:val="标题 51"/>
    <w:basedOn w:val="1"/>
    <w:next w:val="1"/>
    <w:qFormat/>
    <w:uiPriority w:val="0"/>
    <w:pPr>
      <w:keepNext/>
      <w:numPr>
        <w:ilvl w:val="0"/>
        <w:numId w:val="1"/>
      </w:numPr>
      <w:outlineLvl w:val="4"/>
    </w:pPr>
    <w:rPr>
      <w:rFonts w:ascii="楷体_GB2312" w:eastAsia="楷体_GB2312"/>
      <w:bCs/>
      <w:sz w:val="28"/>
    </w:rPr>
  </w:style>
  <w:style w:type="paragraph" w:customStyle="1" w:styleId="249">
    <w:name w:val="标题 71"/>
    <w:basedOn w:val="1"/>
    <w:next w:val="1"/>
    <w:qFormat/>
    <w:uiPriority w:val="1"/>
    <w:pPr>
      <w:ind w:left="562"/>
      <w:outlineLvl w:val="6"/>
    </w:pPr>
    <w:rPr>
      <w:rFonts w:ascii="宋体" w:hAnsi="宋体"/>
      <w:b/>
      <w:bCs/>
      <w:sz w:val="24"/>
      <w:szCs w:val="24"/>
      <w:lang w:val="zh-CN" w:bidi="zh-CN"/>
    </w:rPr>
  </w:style>
  <w:style w:type="character" w:customStyle="1" w:styleId="250">
    <w:name w:val="默认段落字体1"/>
    <w:semiHidden/>
    <w:qFormat/>
    <w:uiPriority w:val="0"/>
    <w:rPr>
      <w:rFonts w:ascii="Tahoma" w:hAnsi="Tahoma"/>
      <w:szCs w:val="24"/>
    </w:rPr>
  </w:style>
  <w:style w:type="table" w:customStyle="1" w:styleId="251">
    <w:name w:val="普通表格1"/>
    <w:semiHidden/>
    <w:qFormat/>
    <w:uiPriority w:val="0"/>
    <w:rPr>
      <w:rFonts w:eastAsia="Times New Roman"/>
    </w:rPr>
    <w:tblPr>
      <w:tblCellMar>
        <w:top w:w="0" w:type="dxa"/>
        <w:left w:w="0" w:type="dxa"/>
        <w:bottom w:w="0" w:type="dxa"/>
        <w:right w:w="0" w:type="dxa"/>
      </w:tblCellMar>
    </w:tblPr>
  </w:style>
  <w:style w:type="paragraph" w:customStyle="1" w:styleId="252">
    <w:name w:val="页脚1"/>
    <w:basedOn w:val="1"/>
    <w:qFormat/>
    <w:uiPriority w:val="0"/>
    <w:pPr>
      <w:tabs>
        <w:tab w:val="center" w:pos="4153"/>
        <w:tab w:val="right" w:pos="8306"/>
      </w:tabs>
    </w:pPr>
    <w:rPr>
      <w:sz w:val="18"/>
    </w:rPr>
  </w:style>
  <w:style w:type="character" w:customStyle="1" w:styleId="253">
    <w:name w:val="标题 2 Char"/>
    <w:link w:val="245"/>
    <w:qFormat/>
    <w:uiPriority w:val="0"/>
    <w:rPr>
      <w:rFonts w:ascii="楷体_GB2312" w:eastAsia="楷体_GB2312"/>
      <w:b/>
      <w:bCs/>
      <w:sz w:val="18"/>
    </w:rPr>
  </w:style>
  <w:style w:type="paragraph" w:customStyle="1" w:styleId="254">
    <w:name w:val="目录 71"/>
    <w:basedOn w:val="1"/>
    <w:next w:val="1"/>
    <w:semiHidden/>
    <w:qFormat/>
    <w:uiPriority w:val="0"/>
    <w:pPr>
      <w:ind w:left="2520"/>
    </w:pPr>
    <w:rPr>
      <w:rFonts w:eastAsia="楷体_GB2312"/>
      <w:sz w:val="26"/>
    </w:rPr>
  </w:style>
  <w:style w:type="paragraph" w:customStyle="1" w:styleId="255">
    <w:name w:val="索引 81"/>
    <w:basedOn w:val="1"/>
    <w:next w:val="1"/>
    <w:semiHidden/>
    <w:qFormat/>
    <w:uiPriority w:val="0"/>
    <w:pPr>
      <w:ind w:left="2940"/>
    </w:pPr>
    <w:rPr>
      <w:rFonts w:eastAsia="楷体_GB2312"/>
      <w:sz w:val="26"/>
    </w:rPr>
  </w:style>
  <w:style w:type="paragraph" w:customStyle="1" w:styleId="256">
    <w:name w:val="正文缩进1"/>
    <w:basedOn w:val="1"/>
    <w:qFormat/>
    <w:uiPriority w:val="0"/>
    <w:pPr>
      <w:ind w:firstLine="420"/>
    </w:pPr>
  </w:style>
  <w:style w:type="paragraph" w:customStyle="1" w:styleId="257">
    <w:name w:val="索引 51"/>
    <w:basedOn w:val="1"/>
    <w:next w:val="1"/>
    <w:semiHidden/>
    <w:qFormat/>
    <w:uiPriority w:val="0"/>
    <w:pPr>
      <w:ind w:left="1680"/>
    </w:pPr>
    <w:rPr>
      <w:rFonts w:eastAsia="楷体_GB2312"/>
      <w:sz w:val="26"/>
    </w:rPr>
  </w:style>
  <w:style w:type="paragraph" w:customStyle="1" w:styleId="258">
    <w:name w:val="文档结构图1"/>
    <w:basedOn w:val="1"/>
    <w:semiHidden/>
    <w:qFormat/>
    <w:uiPriority w:val="0"/>
    <w:pPr>
      <w:shd w:val="clear" w:color="auto" w:fill="000080"/>
    </w:pPr>
  </w:style>
  <w:style w:type="paragraph" w:customStyle="1" w:styleId="259">
    <w:name w:val="批注文字1"/>
    <w:basedOn w:val="1"/>
    <w:link w:val="260"/>
    <w:qFormat/>
    <w:uiPriority w:val="0"/>
  </w:style>
  <w:style w:type="character" w:customStyle="1" w:styleId="260">
    <w:name w:val="批注文字 Char"/>
    <w:link w:val="259"/>
    <w:qFormat/>
    <w:uiPriority w:val="0"/>
    <w:rPr>
      <w:sz w:val="21"/>
    </w:rPr>
  </w:style>
  <w:style w:type="paragraph" w:customStyle="1" w:styleId="261">
    <w:name w:val="索引 61"/>
    <w:basedOn w:val="1"/>
    <w:next w:val="1"/>
    <w:semiHidden/>
    <w:qFormat/>
    <w:uiPriority w:val="0"/>
    <w:pPr>
      <w:ind w:left="2100"/>
    </w:pPr>
    <w:rPr>
      <w:rFonts w:eastAsia="楷体_GB2312"/>
      <w:sz w:val="26"/>
    </w:rPr>
  </w:style>
  <w:style w:type="paragraph" w:customStyle="1" w:styleId="262">
    <w:name w:val="正文文本1"/>
    <w:basedOn w:val="1"/>
    <w:link w:val="263"/>
    <w:qFormat/>
    <w:uiPriority w:val="0"/>
    <w:rPr>
      <w:rFonts w:ascii="华文中宋" w:eastAsia="华文中宋"/>
      <w:bCs/>
      <w:sz w:val="28"/>
    </w:rPr>
  </w:style>
  <w:style w:type="character" w:customStyle="1" w:styleId="263">
    <w:name w:val="正文文本 Char"/>
    <w:link w:val="262"/>
    <w:qFormat/>
    <w:uiPriority w:val="0"/>
    <w:rPr>
      <w:rFonts w:ascii="华文中宋" w:eastAsia="华文中宋"/>
      <w:bCs/>
      <w:sz w:val="28"/>
    </w:rPr>
  </w:style>
  <w:style w:type="paragraph" w:customStyle="1" w:styleId="264">
    <w:name w:val="正文文本缩进1"/>
    <w:basedOn w:val="1"/>
    <w:qFormat/>
    <w:uiPriority w:val="0"/>
    <w:pPr>
      <w:ind w:firstLine="576"/>
    </w:pPr>
    <w:rPr>
      <w:b/>
      <w:sz w:val="30"/>
    </w:rPr>
  </w:style>
  <w:style w:type="paragraph" w:customStyle="1" w:styleId="265">
    <w:name w:val="文本块1"/>
    <w:basedOn w:val="1"/>
    <w:qFormat/>
    <w:uiPriority w:val="0"/>
    <w:pPr>
      <w:spacing w:line="360" w:lineRule="auto"/>
      <w:ind w:left="420" w:right="33"/>
    </w:pPr>
    <w:rPr>
      <w:rFonts w:ascii="宋体"/>
      <w:sz w:val="24"/>
    </w:rPr>
  </w:style>
  <w:style w:type="paragraph" w:customStyle="1" w:styleId="266">
    <w:name w:val="索引 41"/>
    <w:basedOn w:val="1"/>
    <w:next w:val="1"/>
    <w:semiHidden/>
    <w:qFormat/>
    <w:uiPriority w:val="0"/>
    <w:pPr>
      <w:ind w:left="1260"/>
    </w:pPr>
    <w:rPr>
      <w:rFonts w:eastAsia="楷体_GB2312"/>
      <w:sz w:val="26"/>
    </w:rPr>
  </w:style>
  <w:style w:type="paragraph" w:customStyle="1" w:styleId="267">
    <w:name w:val="目录 51"/>
    <w:basedOn w:val="1"/>
    <w:next w:val="1"/>
    <w:semiHidden/>
    <w:qFormat/>
    <w:uiPriority w:val="0"/>
    <w:pPr>
      <w:ind w:left="1680"/>
    </w:pPr>
    <w:rPr>
      <w:rFonts w:eastAsia="楷体_GB2312"/>
      <w:sz w:val="26"/>
    </w:rPr>
  </w:style>
  <w:style w:type="paragraph" w:customStyle="1" w:styleId="268">
    <w:name w:val="目录 31"/>
    <w:basedOn w:val="1"/>
    <w:next w:val="1"/>
    <w:semiHidden/>
    <w:qFormat/>
    <w:uiPriority w:val="0"/>
    <w:pPr>
      <w:ind w:left="840"/>
    </w:pPr>
    <w:rPr>
      <w:rFonts w:eastAsia="楷体_GB2312"/>
      <w:sz w:val="26"/>
    </w:rPr>
  </w:style>
  <w:style w:type="paragraph" w:customStyle="1" w:styleId="269">
    <w:name w:val="纯文本1"/>
    <w:basedOn w:val="1"/>
    <w:next w:val="1"/>
    <w:link w:val="270"/>
    <w:qFormat/>
    <w:uiPriority w:val="99"/>
    <w:rPr>
      <w:rFonts w:ascii="宋体" w:hAnsi="Courier New" w:eastAsia="楷体_GB2312"/>
      <w:sz w:val="26"/>
    </w:rPr>
  </w:style>
  <w:style w:type="character" w:customStyle="1" w:styleId="270">
    <w:name w:val="纯文本 Char"/>
    <w:link w:val="269"/>
    <w:qFormat/>
    <w:uiPriority w:val="99"/>
    <w:rPr>
      <w:rFonts w:ascii="宋体" w:hAnsi="Courier New" w:eastAsia="楷体_GB2312"/>
      <w:sz w:val="26"/>
    </w:rPr>
  </w:style>
  <w:style w:type="paragraph" w:customStyle="1" w:styleId="271">
    <w:name w:val="目录 81"/>
    <w:basedOn w:val="1"/>
    <w:next w:val="1"/>
    <w:semiHidden/>
    <w:qFormat/>
    <w:uiPriority w:val="0"/>
    <w:pPr>
      <w:ind w:left="2940"/>
    </w:pPr>
    <w:rPr>
      <w:rFonts w:eastAsia="楷体_GB2312"/>
      <w:sz w:val="26"/>
    </w:rPr>
  </w:style>
  <w:style w:type="paragraph" w:customStyle="1" w:styleId="272">
    <w:name w:val="索引 31"/>
    <w:basedOn w:val="1"/>
    <w:next w:val="1"/>
    <w:semiHidden/>
    <w:qFormat/>
    <w:uiPriority w:val="0"/>
    <w:pPr>
      <w:ind w:left="840"/>
    </w:pPr>
    <w:rPr>
      <w:rFonts w:eastAsia="楷体_GB2312"/>
      <w:sz w:val="26"/>
    </w:rPr>
  </w:style>
  <w:style w:type="paragraph" w:customStyle="1" w:styleId="273">
    <w:name w:val="日期1"/>
    <w:basedOn w:val="1"/>
    <w:next w:val="1"/>
    <w:qFormat/>
    <w:uiPriority w:val="0"/>
    <w:rPr>
      <w:rFonts w:eastAsia="黑体"/>
      <w:b/>
      <w:sz w:val="36"/>
    </w:rPr>
  </w:style>
  <w:style w:type="paragraph" w:customStyle="1" w:styleId="274">
    <w:name w:val="正文文本缩进 21"/>
    <w:basedOn w:val="1"/>
    <w:qFormat/>
    <w:uiPriority w:val="0"/>
    <w:pPr>
      <w:ind w:left="900"/>
    </w:pPr>
    <w:rPr>
      <w:rFonts w:ascii="楷体_GB2312" w:eastAsia="楷体_GB2312"/>
      <w:b/>
      <w:sz w:val="28"/>
    </w:rPr>
  </w:style>
  <w:style w:type="paragraph" w:customStyle="1" w:styleId="275">
    <w:name w:val="批注框文本1"/>
    <w:basedOn w:val="1"/>
    <w:semiHidden/>
    <w:qFormat/>
    <w:uiPriority w:val="0"/>
    <w:rPr>
      <w:sz w:val="18"/>
      <w:szCs w:val="18"/>
    </w:rPr>
  </w:style>
  <w:style w:type="paragraph" w:customStyle="1" w:styleId="276">
    <w:name w:val="页眉1"/>
    <w:basedOn w:val="1"/>
    <w:link w:val="277"/>
    <w:qFormat/>
    <w:uiPriority w:val="0"/>
    <w:pPr>
      <w:pBdr>
        <w:bottom w:val="single" w:color="000000" w:sz="6" w:space="1"/>
      </w:pBdr>
      <w:tabs>
        <w:tab w:val="center" w:pos="4153"/>
        <w:tab w:val="right" w:pos="8306"/>
      </w:tabs>
      <w:jc w:val="center"/>
    </w:pPr>
    <w:rPr>
      <w:sz w:val="18"/>
    </w:rPr>
  </w:style>
  <w:style w:type="character" w:customStyle="1" w:styleId="277">
    <w:name w:val="页眉 Char"/>
    <w:link w:val="276"/>
    <w:qFormat/>
    <w:uiPriority w:val="0"/>
    <w:rPr>
      <w:sz w:val="18"/>
    </w:rPr>
  </w:style>
  <w:style w:type="paragraph" w:customStyle="1" w:styleId="278">
    <w:name w:val="目录 11"/>
    <w:basedOn w:val="1"/>
    <w:next w:val="1"/>
    <w:semiHidden/>
    <w:qFormat/>
    <w:uiPriority w:val="0"/>
    <w:rPr>
      <w:rFonts w:eastAsia="楷体_GB2312"/>
      <w:sz w:val="24"/>
    </w:rPr>
  </w:style>
  <w:style w:type="paragraph" w:customStyle="1" w:styleId="279">
    <w:name w:val="目录 41"/>
    <w:basedOn w:val="1"/>
    <w:next w:val="1"/>
    <w:semiHidden/>
    <w:qFormat/>
    <w:uiPriority w:val="0"/>
    <w:pPr>
      <w:ind w:left="1260"/>
    </w:pPr>
    <w:rPr>
      <w:rFonts w:eastAsia="楷体_GB2312"/>
      <w:sz w:val="26"/>
    </w:rPr>
  </w:style>
  <w:style w:type="paragraph" w:customStyle="1" w:styleId="280">
    <w:name w:val="索引标题1"/>
    <w:basedOn w:val="1"/>
    <w:next w:val="281"/>
    <w:semiHidden/>
    <w:qFormat/>
    <w:uiPriority w:val="0"/>
    <w:rPr>
      <w:rFonts w:eastAsia="楷体_GB2312"/>
      <w:sz w:val="26"/>
    </w:rPr>
  </w:style>
  <w:style w:type="paragraph" w:customStyle="1" w:styleId="281">
    <w:name w:val="索引 11"/>
    <w:basedOn w:val="1"/>
    <w:next w:val="1"/>
    <w:semiHidden/>
    <w:qFormat/>
    <w:uiPriority w:val="0"/>
    <w:rPr>
      <w:rFonts w:eastAsia="楷体_GB2312"/>
      <w:sz w:val="26"/>
    </w:rPr>
  </w:style>
  <w:style w:type="paragraph" w:customStyle="1" w:styleId="282">
    <w:name w:val="脚注文本1"/>
    <w:basedOn w:val="1"/>
    <w:semiHidden/>
    <w:qFormat/>
    <w:uiPriority w:val="0"/>
    <w:rPr>
      <w:rFonts w:eastAsia="楷体_GB2312"/>
      <w:sz w:val="18"/>
    </w:rPr>
  </w:style>
  <w:style w:type="paragraph" w:customStyle="1" w:styleId="283">
    <w:name w:val="目录 61"/>
    <w:basedOn w:val="1"/>
    <w:next w:val="1"/>
    <w:semiHidden/>
    <w:qFormat/>
    <w:uiPriority w:val="0"/>
    <w:pPr>
      <w:ind w:left="2100"/>
    </w:pPr>
    <w:rPr>
      <w:rFonts w:eastAsia="楷体_GB2312"/>
      <w:sz w:val="26"/>
    </w:rPr>
  </w:style>
  <w:style w:type="paragraph" w:customStyle="1" w:styleId="284">
    <w:name w:val="正文文本缩进 31"/>
    <w:basedOn w:val="1"/>
    <w:qFormat/>
    <w:uiPriority w:val="0"/>
    <w:pPr>
      <w:ind w:left="359" w:firstLine="359"/>
    </w:pPr>
  </w:style>
  <w:style w:type="paragraph" w:customStyle="1" w:styleId="285">
    <w:name w:val="索引 71"/>
    <w:basedOn w:val="1"/>
    <w:next w:val="1"/>
    <w:semiHidden/>
    <w:qFormat/>
    <w:uiPriority w:val="0"/>
    <w:pPr>
      <w:ind w:left="2520"/>
    </w:pPr>
    <w:rPr>
      <w:rFonts w:eastAsia="楷体_GB2312"/>
      <w:sz w:val="26"/>
    </w:rPr>
  </w:style>
  <w:style w:type="paragraph" w:customStyle="1" w:styleId="286">
    <w:name w:val="索引 91"/>
    <w:basedOn w:val="1"/>
    <w:next w:val="1"/>
    <w:semiHidden/>
    <w:qFormat/>
    <w:uiPriority w:val="0"/>
    <w:pPr>
      <w:ind w:left="3360"/>
    </w:pPr>
    <w:rPr>
      <w:rFonts w:eastAsia="楷体_GB2312"/>
      <w:sz w:val="26"/>
    </w:rPr>
  </w:style>
  <w:style w:type="paragraph" w:customStyle="1" w:styleId="287">
    <w:name w:val="图表目录1"/>
    <w:basedOn w:val="1"/>
    <w:next w:val="1"/>
    <w:semiHidden/>
    <w:qFormat/>
    <w:uiPriority w:val="0"/>
    <w:pPr>
      <w:ind w:left="420" w:hanging="420"/>
    </w:pPr>
    <w:rPr>
      <w:rFonts w:eastAsia="楷体_GB2312"/>
      <w:smallCaps/>
      <w:sz w:val="24"/>
    </w:rPr>
  </w:style>
  <w:style w:type="paragraph" w:customStyle="1" w:styleId="288">
    <w:name w:val="目录 21"/>
    <w:basedOn w:val="1"/>
    <w:next w:val="1"/>
    <w:semiHidden/>
    <w:qFormat/>
    <w:uiPriority w:val="0"/>
    <w:pPr>
      <w:ind w:left="420"/>
    </w:pPr>
    <w:rPr>
      <w:rFonts w:eastAsia="楷体_GB2312"/>
      <w:sz w:val="26"/>
    </w:rPr>
  </w:style>
  <w:style w:type="paragraph" w:customStyle="1" w:styleId="289">
    <w:name w:val="目录 91"/>
    <w:basedOn w:val="1"/>
    <w:next w:val="1"/>
    <w:semiHidden/>
    <w:qFormat/>
    <w:uiPriority w:val="0"/>
    <w:pPr>
      <w:ind w:left="3360"/>
    </w:pPr>
    <w:rPr>
      <w:rFonts w:eastAsia="楷体_GB2312"/>
      <w:sz w:val="26"/>
    </w:rPr>
  </w:style>
  <w:style w:type="paragraph" w:customStyle="1" w:styleId="290">
    <w:name w:val="正文文本 21"/>
    <w:basedOn w:val="1"/>
    <w:qFormat/>
    <w:uiPriority w:val="0"/>
    <w:pPr>
      <w:spacing w:after="120" w:line="480" w:lineRule="auto"/>
    </w:pPr>
  </w:style>
  <w:style w:type="paragraph" w:customStyle="1" w:styleId="291">
    <w:name w:val="HTML 预设格式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hAnsi="Courier New" w:eastAsia="黑体" w:cs="楷体_GB2312"/>
      <w:sz w:val="20"/>
    </w:rPr>
  </w:style>
  <w:style w:type="paragraph" w:customStyle="1" w:styleId="292">
    <w:name w:val="普通(网站)1"/>
    <w:basedOn w:val="1"/>
    <w:qFormat/>
    <w:uiPriority w:val="99"/>
    <w:pPr>
      <w:spacing w:before="100" w:beforeAutospacing="1" w:after="100" w:afterAutospacing="1"/>
    </w:pPr>
    <w:rPr>
      <w:rFonts w:ascii="宋体" w:hAnsi="宋体"/>
      <w:sz w:val="24"/>
      <w:szCs w:val="24"/>
    </w:rPr>
  </w:style>
  <w:style w:type="paragraph" w:customStyle="1" w:styleId="293">
    <w:name w:val="索引 21"/>
    <w:basedOn w:val="1"/>
    <w:next w:val="1"/>
    <w:semiHidden/>
    <w:qFormat/>
    <w:uiPriority w:val="0"/>
    <w:pPr>
      <w:ind w:left="420"/>
    </w:pPr>
    <w:rPr>
      <w:rFonts w:eastAsia="楷体_GB2312"/>
      <w:sz w:val="26"/>
    </w:rPr>
  </w:style>
  <w:style w:type="paragraph" w:customStyle="1" w:styleId="294">
    <w:name w:val="标题1"/>
    <w:basedOn w:val="1"/>
    <w:link w:val="295"/>
    <w:qFormat/>
    <w:uiPriority w:val="0"/>
    <w:pPr>
      <w:jc w:val="center"/>
    </w:pPr>
    <w:rPr>
      <w:sz w:val="30"/>
      <w:szCs w:val="24"/>
    </w:rPr>
  </w:style>
  <w:style w:type="character" w:customStyle="1" w:styleId="295">
    <w:name w:val="标题 Char1"/>
    <w:link w:val="294"/>
    <w:qFormat/>
    <w:uiPriority w:val="0"/>
    <w:rPr>
      <w:sz w:val="30"/>
      <w:szCs w:val="24"/>
    </w:rPr>
  </w:style>
  <w:style w:type="paragraph" w:customStyle="1" w:styleId="296">
    <w:name w:val="批注主题1"/>
    <w:basedOn w:val="259"/>
    <w:next w:val="259"/>
    <w:semiHidden/>
    <w:qFormat/>
    <w:uiPriority w:val="0"/>
    <w:rPr>
      <w:b/>
      <w:bCs/>
    </w:rPr>
  </w:style>
  <w:style w:type="paragraph" w:customStyle="1" w:styleId="297">
    <w:name w:val="正文首行缩进 21"/>
    <w:basedOn w:val="264"/>
    <w:qFormat/>
    <w:uiPriority w:val="0"/>
    <w:pPr>
      <w:ind w:firstLine="420"/>
    </w:pPr>
    <w:rPr>
      <w:rFonts w:cs="Times New Roman"/>
    </w:rPr>
  </w:style>
  <w:style w:type="table" w:customStyle="1" w:styleId="298">
    <w:name w:val="网格型1"/>
    <w:basedOn w:val="251"/>
    <w:qFormat/>
    <w:uiPriority w:val="59"/>
    <w:pPr>
      <w:widowControl w:val="0"/>
      <w:jc w:val="both"/>
    </w:pPr>
    <w:tblPr>
      <w:tblCellMar>
        <w:top w:w="0" w:type="dxa"/>
        <w:left w:w="0" w:type="dxa"/>
        <w:bottom w:w="0" w:type="dxa"/>
        <w:right w:w="0" w:type="dxa"/>
      </w:tblCellMar>
    </w:tblPr>
  </w:style>
  <w:style w:type="character" w:customStyle="1" w:styleId="299">
    <w:name w:val="要点1"/>
    <w:qFormat/>
    <w:uiPriority w:val="0"/>
    <w:rPr>
      <w:rFonts w:ascii="Tahoma" w:hAnsi="Tahoma"/>
      <w:b/>
      <w:bCs/>
      <w:szCs w:val="24"/>
    </w:rPr>
  </w:style>
  <w:style w:type="character" w:customStyle="1" w:styleId="300">
    <w:name w:val="页码1"/>
    <w:basedOn w:val="250"/>
    <w:qFormat/>
    <w:uiPriority w:val="0"/>
    <w:rPr>
      <w:rFonts w:ascii="Tahoma" w:hAnsi="Tahoma"/>
      <w:szCs w:val="24"/>
    </w:rPr>
  </w:style>
  <w:style w:type="character" w:customStyle="1" w:styleId="301">
    <w:name w:val="已访问的超链接11"/>
    <w:qFormat/>
    <w:uiPriority w:val="0"/>
    <w:rPr>
      <w:rFonts w:ascii="Tahoma" w:hAnsi="Tahoma"/>
      <w:color w:val="000000"/>
      <w:szCs w:val="24"/>
      <w:u w:val="none"/>
    </w:rPr>
  </w:style>
  <w:style w:type="character" w:customStyle="1" w:styleId="302">
    <w:name w:val="强调1"/>
    <w:qFormat/>
    <w:uiPriority w:val="0"/>
    <w:rPr>
      <w:rFonts w:ascii="Tahoma" w:hAnsi="Tahoma"/>
      <w:szCs w:val="24"/>
    </w:rPr>
  </w:style>
  <w:style w:type="character" w:customStyle="1" w:styleId="303">
    <w:name w:val="HTML 打字机1"/>
    <w:qFormat/>
    <w:uiPriority w:val="0"/>
    <w:rPr>
      <w:rFonts w:ascii="宋体" w:hAnsi="宋体" w:eastAsia="宋体" w:cs="宋体"/>
      <w:sz w:val="24"/>
      <w:szCs w:val="24"/>
    </w:rPr>
  </w:style>
  <w:style w:type="character" w:customStyle="1" w:styleId="304">
    <w:name w:val="超链接1"/>
    <w:qFormat/>
    <w:uiPriority w:val="0"/>
    <w:rPr>
      <w:rFonts w:ascii="Tahoma" w:hAnsi="Tahoma"/>
      <w:color w:val="000000"/>
      <w:szCs w:val="24"/>
      <w:u w:val="none"/>
    </w:rPr>
  </w:style>
  <w:style w:type="character" w:customStyle="1" w:styleId="305">
    <w:name w:val="HTML 代码1"/>
    <w:qFormat/>
    <w:uiPriority w:val="0"/>
    <w:rPr>
      <w:rFonts w:ascii="Courier New" w:hAnsi="Courier New"/>
      <w:sz w:val="20"/>
      <w:szCs w:val="24"/>
    </w:rPr>
  </w:style>
  <w:style w:type="character" w:customStyle="1" w:styleId="306">
    <w:name w:val="批注引用1"/>
    <w:semiHidden/>
    <w:qFormat/>
    <w:uiPriority w:val="0"/>
    <w:rPr>
      <w:rFonts w:ascii="Tahoma" w:hAnsi="Tahoma"/>
      <w:sz w:val="21"/>
      <w:szCs w:val="21"/>
    </w:rPr>
  </w:style>
  <w:style w:type="character" w:customStyle="1" w:styleId="307">
    <w:name w:val="已访问的超链接1"/>
    <w:qFormat/>
    <w:uiPriority w:val="0"/>
    <w:rPr>
      <w:sz w:val="21"/>
      <w:lang w:val="en-US" w:eastAsia="zh-CN" w:bidi="ar-SA"/>
    </w:rPr>
  </w:style>
  <w:style w:type="paragraph" w:customStyle="1" w:styleId="308">
    <w:name w:val="引用1"/>
    <w:next w:val="1"/>
    <w:qFormat/>
    <w:uiPriority w:val="0"/>
    <w:pPr>
      <w:spacing w:before="200" w:after="160"/>
      <w:ind w:left="864" w:right="864"/>
      <w:jc w:val="center"/>
    </w:pPr>
    <w:rPr>
      <w:rFonts w:hint="default" w:ascii="Times New Roman" w:hAnsi="Times New Roman" w:eastAsia="宋体" w:cs="Times New Roman"/>
      <w:i/>
      <w:sz w:val="21"/>
      <w:lang w:val="en-US" w:eastAsia="zh-CN" w:bidi="ar-SA"/>
    </w:rPr>
  </w:style>
  <w:style w:type="character" w:customStyle="1" w:styleId="309">
    <w:name w:val="无间隔 Char"/>
    <w:link w:val="310"/>
    <w:qFormat/>
    <w:uiPriority w:val="1"/>
    <w:rPr>
      <w:sz w:val="22"/>
      <w:szCs w:val="22"/>
      <w:lang w:val="en-US" w:eastAsia="zh-CN" w:bidi="ar-SA"/>
    </w:rPr>
  </w:style>
  <w:style w:type="paragraph" w:customStyle="1" w:styleId="310">
    <w:name w:val="无间隔1"/>
    <w:link w:val="309"/>
    <w:qFormat/>
    <w:uiPriority w:val="1"/>
    <w:rPr>
      <w:rFonts w:hint="default" w:ascii="Times New Roman" w:hAnsi="Times New Roman" w:eastAsia="宋体" w:cs="Times New Roman"/>
      <w:sz w:val="22"/>
      <w:szCs w:val="22"/>
      <w:lang w:val="en-US" w:eastAsia="zh-CN" w:bidi="ar-SA"/>
    </w:rPr>
  </w:style>
  <w:style w:type="character" w:customStyle="1" w:styleId="311">
    <w:name w:val="font21"/>
    <w:basedOn w:val="250"/>
    <w:qFormat/>
    <w:uiPriority w:val="0"/>
    <w:rPr>
      <w:rFonts w:hint="eastAsia" w:ascii="宋体" w:hAnsi="宋体" w:eastAsia="宋体" w:cs="宋体"/>
      <w:color w:val="000000"/>
      <w:sz w:val="20"/>
      <w:szCs w:val="20"/>
      <w:u w:val="none"/>
    </w:rPr>
  </w:style>
  <w:style w:type="character" w:customStyle="1" w:styleId="312">
    <w:name w:val="标1 Char Char"/>
    <w:link w:val="313"/>
    <w:qFormat/>
    <w:uiPriority w:val="0"/>
    <w:rPr>
      <w:rFonts w:ascii="Arial Narrow" w:hAnsi="Arial Narrow" w:eastAsia="仿宋"/>
      <w:b/>
      <w:spacing w:val="20"/>
      <w:sz w:val="24"/>
      <w:szCs w:val="24"/>
    </w:rPr>
  </w:style>
  <w:style w:type="paragraph" w:customStyle="1" w:styleId="313">
    <w:name w:val="标1"/>
    <w:basedOn w:val="1"/>
    <w:link w:val="312"/>
    <w:qFormat/>
    <w:uiPriority w:val="0"/>
    <w:pPr>
      <w:numPr>
        <w:ilvl w:val="0"/>
        <w:numId w:val="2"/>
      </w:numPr>
      <w:spacing w:before="312" w:line="360" w:lineRule="auto"/>
      <w:outlineLvl w:val="0"/>
    </w:pPr>
    <w:rPr>
      <w:rFonts w:ascii="Arial Narrow" w:hAnsi="Arial Narrow" w:eastAsia="仿宋"/>
      <w:b/>
      <w:spacing w:val="20"/>
      <w:sz w:val="24"/>
      <w:szCs w:val="24"/>
    </w:rPr>
  </w:style>
  <w:style w:type="character" w:customStyle="1" w:styleId="314">
    <w:name w:val="标2 Char"/>
    <w:link w:val="315"/>
    <w:qFormat/>
    <w:uiPriority w:val="0"/>
    <w:rPr>
      <w:rFonts w:ascii="Arial Narrow" w:hAnsi="Arial Narrow" w:eastAsia="仿宋"/>
      <w:b/>
      <w:sz w:val="21"/>
      <w:szCs w:val="21"/>
    </w:rPr>
  </w:style>
  <w:style w:type="paragraph" w:customStyle="1" w:styleId="315">
    <w:name w:val="标2"/>
    <w:basedOn w:val="1"/>
    <w:link w:val="314"/>
    <w:qFormat/>
    <w:uiPriority w:val="0"/>
    <w:pPr>
      <w:numPr>
        <w:ilvl w:val="1"/>
        <w:numId w:val="2"/>
      </w:numPr>
      <w:spacing w:after="100" w:afterAutospacing="1" w:line="240" w:lineRule="exact"/>
      <w:outlineLvl w:val="1"/>
    </w:pPr>
    <w:rPr>
      <w:rFonts w:ascii="Arial Narrow" w:hAnsi="Arial Narrow" w:eastAsia="仿宋"/>
      <w:b/>
      <w:szCs w:val="21"/>
    </w:rPr>
  </w:style>
  <w:style w:type="character" w:customStyle="1" w:styleId="316">
    <w:name w:val="NormalCharacter1"/>
    <w:qFormat/>
    <w:uiPriority w:val="99"/>
  </w:style>
  <w:style w:type="paragraph" w:customStyle="1" w:styleId="317">
    <w:name w:val="UserStyle_4"/>
    <w:basedOn w:val="1"/>
    <w:link w:val="318"/>
    <w:qFormat/>
    <w:uiPriority w:val="99"/>
    <w:rPr>
      <w:sz w:val="20"/>
    </w:rPr>
  </w:style>
  <w:style w:type="character" w:customStyle="1" w:styleId="318">
    <w:name w:val="NormalCharacter11"/>
    <w:link w:val="317"/>
    <w:qFormat/>
    <w:uiPriority w:val="99"/>
  </w:style>
  <w:style w:type="character" w:customStyle="1" w:styleId="319">
    <w:name w:val="font41"/>
    <w:basedOn w:val="250"/>
    <w:qFormat/>
    <w:uiPriority w:val="0"/>
    <w:rPr>
      <w:rFonts w:ascii="Times New Roman" w:hAnsi="Times New Roman" w:cs="Times New Roman"/>
      <w:color w:val="000000"/>
      <w:sz w:val="20"/>
      <w:szCs w:val="20"/>
      <w:u w:val="none"/>
    </w:rPr>
  </w:style>
  <w:style w:type="character" w:customStyle="1" w:styleId="320">
    <w:name w:val="标题 Char"/>
    <w:qFormat/>
    <w:uiPriority w:val="0"/>
    <w:rPr>
      <w:rFonts w:ascii="Cambria" w:hAnsi="Cambria" w:cs="Times New Roman"/>
      <w:b/>
      <w:bCs/>
      <w:sz w:val="32"/>
      <w:szCs w:val="32"/>
    </w:rPr>
  </w:style>
  <w:style w:type="character" w:customStyle="1" w:styleId="321">
    <w:name w:val="font01"/>
    <w:qFormat/>
    <w:uiPriority w:val="0"/>
    <w:rPr>
      <w:rFonts w:hint="eastAsia" w:ascii="幼圆" w:hAnsi="幼圆" w:eastAsia="幼圆" w:cs="幼圆"/>
      <w:color w:val="000000"/>
      <w:sz w:val="24"/>
      <w:szCs w:val="24"/>
      <w:u w:val="none"/>
    </w:rPr>
  </w:style>
  <w:style w:type="character" w:customStyle="1" w:styleId="322">
    <w:name w:val="bold1"/>
    <w:qFormat/>
    <w:uiPriority w:val="0"/>
    <w:rPr>
      <w:b/>
      <w:bCs/>
    </w:rPr>
  </w:style>
  <w:style w:type="character" w:customStyle="1" w:styleId="323">
    <w:name w:val="文档-正文 Char"/>
    <w:link w:val="324"/>
    <w:qFormat/>
    <w:uiPriority w:val="0"/>
    <w:rPr>
      <w:rFonts w:ascii="Arial" w:hAnsi="Arial" w:eastAsia="宋体" w:cs="Arial"/>
      <w:sz w:val="24"/>
      <w:szCs w:val="24"/>
      <w:lang w:val="en-US" w:eastAsia="zh-CN" w:bidi="ar-SA"/>
    </w:rPr>
  </w:style>
  <w:style w:type="paragraph" w:customStyle="1" w:styleId="324">
    <w:name w:val="文档-正文"/>
    <w:basedOn w:val="1"/>
    <w:link w:val="323"/>
    <w:qFormat/>
    <w:uiPriority w:val="0"/>
    <w:pPr>
      <w:spacing w:line="360" w:lineRule="auto"/>
      <w:ind w:firstLine="200"/>
    </w:pPr>
    <w:rPr>
      <w:rFonts w:ascii="Arial" w:hAnsi="Arial" w:cs="Arial"/>
      <w:sz w:val="24"/>
      <w:szCs w:val="24"/>
    </w:rPr>
  </w:style>
  <w:style w:type="character" w:customStyle="1" w:styleId="325">
    <w:name w:val="more6"/>
    <w:basedOn w:val="250"/>
    <w:qFormat/>
    <w:uiPriority w:val="0"/>
    <w:rPr>
      <w:rFonts w:ascii="Tahoma" w:hAnsi="Tahoma"/>
      <w:szCs w:val="24"/>
    </w:rPr>
  </w:style>
  <w:style w:type="character" w:customStyle="1" w:styleId="326">
    <w:name w:val="font61"/>
    <w:qFormat/>
    <w:uiPriority w:val="0"/>
    <w:rPr>
      <w:rFonts w:hint="eastAsia" w:ascii="幼圆" w:hAnsi="幼圆" w:eastAsia="幼圆" w:cs="幼圆"/>
      <w:b/>
      <w:color w:val="000000"/>
      <w:sz w:val="24"/>
      <w:szCs w:val="24"/>
      <w:u w:val="none"/>
    </w:rPr>
  </w:style>
  <w:style w:type="character" w:customStyle="1" w:styleId="327">
    <w:name w:val="case31"/>
    <w:qFormat/>
    <w:uiPriority w:val="0"/>
    <w:rPr>
      <w:sz w:val="21"/>
      <w:szCs w:val="21"/>
    </w:rPr>
  </w:style>
  <w:style w:type="character" w:customStyle="1" w:styleId="328">
    <w:name w:val="tit12"/>
    <w:qFormat/>
    <w:uiPriority w:val="0"/>
    <w:rPr>
      <w:rFonts w:ascii="Tahoma" w:hAnsi="Tahoma"/>
      <w:color w:val="DB2200"/>
      <w:szCs w:val="24"/>
    </w:rPr>
  </w:style>
  <w:style w:type="character" w:customStyle="1" w:styleId="329">
    <w:name w:val="列出段落 Char"/>
    <w:link w:val="330"/>
    <w:qFormat/>
    <w:uiPriority w:val="34"/>
    <w:rPr>
      <w:rFonts w:ascii="Calibri" w:hAnsi="Calibri"/>
      <w:sz w:val="21"/>
      <w:szCs w:val="22"/>
    </w:rPr>
  </w:style>
  <w:style w:type="paragraph" w:customStyle="1" w:styleId="330">
    <w:name w:val="列出段落1"/>
    <w:basedOn w:val="1"/>
    <w:link w:val="329"/>
    <w:qFormat/>
    <w:uiPriority w:val="34"/>
    <w:pPr>
      <w:ind w:firstLine="420"/>
    </w:pPr>
  </w:style>
  <w:style w:type="character" w:customStyle="1" w:styleId="331">
    <w:name w:val="正文文本 Char1"/>
    <w:qFormat/>
    <w:uiPriority w:val="0"/>
    <w:rPr>
      <w:rFonts w:ascii="华文中宋" w:eastAsia="华文中宋"/>
      <w:bCs/>
      <w:sz w:val="28"/>
    </w:rPr>
  </w:style>
  <w:style w:type="paragraph" w:customStyle="1" w:styleId="332">
    <w:name w:val="xl2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3">
    <w:name w:val="xl3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i/>
      <w:iCs/>
      <w:sz w:val="20"/>
    </w:rPr>
  </w:style>
  <w:style w:type="paragraph" w:customStyle="1" w:styleId="334">
    <w:name w:val="_Style 11"/>
    <w:basedOn w:val="1"/>
    <w:next w:val="330"/>
    <w:qFormat/>
    <w:uiPriority w:val="34"/>
    <w:pPr>
      <w:ind w:firstLine="420"/>
    </w:pPr>
    <w:rPr>
      <w:rFonts w:eastAsia="微软雅黑"/>
    </w:rPr>
  </w:style>
  <w:style w:type="paragraph" w:customStyle="1" w:styleId="335">
    <w:name w:val="xl56"/>
    <w:basedOn w:val="1"/>
    <w:qFormat/>
    <w:uiPriority w:val="0"/>
    <w:pPr>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336">
    <w:name w:val="xl3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sz w:val="24"/>
      <w:szCs w:val="24"/>
    </w:rPr>
  </w:style>
  <w:style w:type="paragraph" w:customStyle="1" w:styleId="337">
    <w:name w:val="样式 标题 2 + 首行缩进:  2 字符"/>
    <w:basedOn w:val="245"/>
    <w:unhideWhenUsed/>
    <w:qFormat/>
    <w:uiPriority w:val="0"/>
    <w:pPr>
      <w:tabs>
        <w:tab w:val="left" w:pos="900"/>
      </w:tabs>
      <w:spacing w:after="240"/>
    </w:pPr>
    <w:rPr>
      <w:rFonts w:hint="eastAsia" w:ascii="宋体" w:hAnsi="宋体"/>
      <w:sz w:val="28"/>
    </w:rPr>
  </w:style>
  <w:style w:type="paragraph" w:customStyle="1" w:styleId="338">
    <w:name w:val="xl3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i/>
      <w:iCs/>
      <w:sz w:val="20"/>
    </w:rPr>
  </w:style>
  <w:style w:type="paragraph" w:customStyle="1" w:styleId="339">
    <w:name w:val="font9"/>
    <w:basedOn w:val="1"/>
    <w:qFormat/>
    <w:uiPriority w:val="0"/>
    <w:pPr>
      <w:spacing w:before="100" w:beforeAutospacing="1" w:after="100" w:afterAutospacing="1"/>
    </w:pPr>
    <w:rPr>
      <w:b/>
      <w:bCs/>
      <w:sz w:val="20"/>
    </w:rPr>
  </w:style>
  <w:style w:type="paragraph" w:customStyle="1" w:styleId="340">
    <w:name w:val="xl3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b/>
      <w:bCs/>
      <w:sz w:val="20"/>
    </w:rPr>
  </w:style>
  <w:style w:type="paragraph" w:customStyle="1" w:styleId="341">
    <w:name w:val="xl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42">
    <w:name w:val="font13"/>
    <w:basedOn w:val="1"/>
    <w:qFormat/>
    <w:uiPriority w:val="0"/>
    <w:pPr>
      <w:spacing w:before="100" w:beforeAutospacing="1" w:after="100" w:afterAutospacing="1"/>
    </w:pPr>
    <w:rPr>
      <w:i/>
      <w:iCs/>
      <w:sz w:val="36"/>
      <w:szCs w:val="36"/>
    </w:rPr>
  </w:style>
  <w:style w:type="paragraph" w:customStyle="1" w:styleId="343">
    <w:name w:val="xl2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44">
    <w:name w:val="xl52"/>
    <w:basedOn w:val="1"/>
    <w:qFormat/>
    <w:uiPriority w:val="0"/>
    <w:pPr>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45">
    <w:name w:val="xl47"/>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46">
    <w:name w:val="Char Char Char Char Char Char Char Char Char Char Char Char Char Char Char Char"/>
    <w:basedOn w:val="1"/>
    <w:qFormat/>
    <w:uiPriority w:val="0"/>
    <w:rPr>
      <w:rFonts w:ascii="Tahoma" w:hAnsi="Tahoma"/>
      <w:szCs w:val="24"/>
    </w:rPr>
  </w:style>
  <w:style w:type="paragraph" w:customStyle="1" w:styleId="347">
    <w:name w:val="WPSOffice手动目录 1"/>
    <w:qFormat/>
    <w:uiPriority w:val="0"/>
    <w:rPr>
      <w:rFonts w:hint="default" w:ascii="Times New Roman" w:hAnsi="Times New Roman" w:eastAsia="宋体" w:cs="Times New Roman"/>
      <w:lang w:val="en-US" w:eastAsia="zh-CN" w:bidi="ar-SA"/>
    </w:rPr>
  </w:style>
  <w:style w:type="paragraph" w:customStyle="1" w:styleId="348">
    <w:name w:val="xl3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49">
    <w:name w:val="font7"/>
    <w:basedOn w:val="1"/>
    <w:qFormat/>
    <w:uiPriority w:val="0"/>
    <w:pPr>
      <w:spacing w:before="100" w:beforeAutospacing="1" w:after="100" w:afterAutospacing="1"/>
    </w:pPr>
    <w:rPr>
      <w:b/>
      <w:bCs/>
      <w:i/>
      <w:iCs/>
      <w:sz w:val="20"/>
    </w:rPr>
  </w:style>
  <w:style w:type="paragraph" w:customStyle="1" w:styleId="350">
    <w:name w:val="xl49"/>
    <w:basedOn w:val="1"/>
    <w:qFormat/>
    <w:uiPriority w:val="0"/>
    <w:pPr>
      <w:pBdr>
        <w:left w:val="single" w:color="000000" w:sz="4" w:space="0"/>
        <w:right w:val="single" w:color="000000" w:sz="4" w:space="0"/>
      </w:pBdr>
      <w:spacing w:before="100" w:beforeAutospacing="1" w:after="100" w:afterAutospacing="1"/>
      <w:jc w:val="center"/>
    </w:pPr>
    <w:rPr>
      <w:b/>
      <w:bCs/>
      <w:sz w:val="20"/>
    </w:rPr>
  </w:style>
  <w:style w:type="paragraph" w:customStyle="1" w:styleId="351">
    <w:name w:val="xl3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b/>
      <w:bCs/>
      <w:i/>
      <w:iCs/>
      <w:sz w:val="20"/>
    </w:rPr>
  </w:style>
  <w:style w:type="paragraph" w:customStyle="1" w:styleId="352">
    <w:name w:val="font14"/>
    <w:basedOn w:val="1"/>
    <w:qFormat/>
    <w:uiPriority w:val="0"/>
    <w:pPr>
      <w:spacing w:before="100" w:beforeAutospacing="1" w:after="100" w:afterAutospacing="1"/>
    </w:pPr>
    <w:rPr>
      <w:sz w:val="36"/>
      <w:szCs w:val="36"/>
    </w:rPr>
  </w:style>
  <w:style w:type="paragraph" w:customStyle="1" w:styleId="353">
    <w:name w:val="标3"/>
    <w:basedOn w:val="1"/>
    <w:qFormat/>
    <w:uiPriority w:val="0"/>
    <w:pPr>
      <w:numPr>
        <w:ilvl w:val="2"/>
        <w:numId w:val="3"/>
      </w:numPr>
      <w:tabs>
        <w:tab w:val="left" w:pos="1740"/>
      </w:tabs>
      <w:spacing w:before="50"/>
      <w:outlineLvl w:val="2"/>
    </w:pPr>
    <w:rPr>
      <w:rFonts w:ascii="Arial Narrow" w:hAnsi="Arial Narrow" w:eastAsia="仿宋_GB2312"/>
      <w:sz w:val="28"/>
    </w:rPr>
  </w:style>
  <w:style w:type="paragraph" w:customStyle="1" w:styleId="354">
    <w:name w:val="xl6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rPr>
  </w:style>
  <w:style w:type="paragraph" w:customStyle="1" w:styleId="355">
    <w:name w:val="font12"/>
    <w:basedOn w:val="1"/>
    <w:qFormat/>
    <w:uiPriority w:val="0"/>
    <w:pPr>
      <w:spacing w:before="100" w:beforeAutospacing="1" w:after="100" w:afterAutospacing="1"/>
    </w:pPr>
    <w:rPr>
      <w:rFonts w:hint="eastAsia" w:ascii="宋体" w:hAnsi="宋体"/>
      <w:sz w:val="36"/>
      <w:szCs w:val="36"/>
    </w:rPr>
  </w:style>
  <w:style w:type="paragraph" w:customStyle="1" w:styleId="356">
    <w:name w:val="xl54"/>
    <w:basedOn w:val="1"/>
    <w:qFormat/>
    <w:uiPriority w:val="0"/>
    <w:pPr>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357">
    <w:name w:val="xl2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58">
    <w:name w:val="font11"/>
    <w:basedOn w:val="1"/>
    <w:qFormat/>
    <w:uiPriority w:val="0"/>
    <w:pPr>
      <w:spacing w:before="100" w:beforeAutospacing="1" w:after="100" w:afterAutospacing="1"/>
    </w:pPr>
    <w:rPr>
      <w:b/>
      <w:bCs/>
      <w:sz w:val="18"/>
      <w:szCs w:val="18"/>
    </w:rPr>
  </w:style>
  <w:style w:type="paragraph" w:customStyle="1" w:styleId="359">
    <w:name w:val="_Style 115"/>
    <w:basedOn w:val="1"/>
    <w:next w:val="330"/>
    <w:qFormat/>
    <w:uiPriority w:val="34"/>
    <w:pPr>
      <w:ind w:firstLine="420"/>
    </w:pPr>
  </w:style>
  <w:style w:type="paragraph" w:customStyle="1" w:styleId="360">
    <w:name w:val="xl3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b/>
      <w:bCs/>
      <w:i/>
      <w:iCs/>
      <w:sz w:val="20"/>
    </w:rPr>
  </w:style>
  <w:style w:type="paragraph" w:customStyle="1" w:styleId="361">
    <w:name w:val="Char Char Char Char"/>
    <w:basedOn w:val="258"/>
    <w:qFormat/>
    <w:uiPriority w:val="0"/>
    <w:pPr>
      <w:spacing w:line="360" w:lineRule="auto"/>
    </w:pPr>
    <w:rPr>
      <w:rFonts w:ascii="Tahoma" w:hAnsi="Tahoma"/>
      <w:sz w:val="24"/>
      <w:szCs w:val="24"/>
    </w:rPr>
  </w:style>
  <w:style w:type="paragraph" w:customStyle="1" w:styleId="362">
    <w:name w:val="xl45"/>
    <w:basedOn w:val="1"/>
    <w:qFormat/>
    <w:uiPriority w:val="0"/>
    <w:pPr>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63">
    <w:name w:val="p0"/>
    <w:basedOn w:val="1"/>
    <w:qFormat/>
    <w:uiPriority w:val="0"/>
    <w:pPr>
      <w:spacing w:line="276" w:lineRule="auto"/>
    </w:pPr>
  </w:style>
  <w:style w:type="paragraph" w:customStyle="1" w:styleId="364">
    <w:name w:val="xl3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65">
    <w:name w:val="Table Paragraph"/>
    <w:basedOn w:val="1"/>
    <w:qFormat/>
    <w:uiPriority w:val="1"/>
    <w:rPr>
      <w:rFonts w:ascii="宋体" w:hAnsi="宋体"/>
      <w:lang w:val="zh-CN" w:bidi="zh-CN"/>
    </w:rPr>
  </w:style>
  <w:style w:type="paragraph" w:customStyle="1" w:styleId="366">
    <w:name w:val="文档-标题2"/>
    <w:basedOn w:val="1"/>
    <w:next w:val="1"/>
    <w:qFormat/>
    <w:uiPriority w:val="0"/>
    <w:pPr>
      <w:keepNext/>
      <w:keepLines/>
      <w:numPr>
        <w:ilvl w:val="1"/>
        <w:numId w:val="4"/>
      </w:numPr>
      <w:spacing w:before="260" w:after="260" w:line="416" w:lineRule="auto"/>
      <w:outlineLvl w:val="1"/>
    </w:pPr>
    <w:rPr>
      <w:rFonts w:ascii="Cambria" w:hAnsi="Cambria"/>
      <w:b/>
      <w:bCs/>
      <w:color w:val="7030A0"/>
      <w:sz w:val="32"/>
      <w:szCs w:val="32"/>
    </w:rPr>
  </w:style>
  <w:style w:type="paragraph" w:customStyle="1" w:styleId="367">
    <w:name w:val="xl4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b/>
      <w:bCs/>
      <w:sz w:val="20"/>
    </w:rPr>
  </w:style>
  <w:style w:type="paragraph" w:customStyle="1" w:styleId="368">
    <w:name w:val="普通文字"/>
    <w:basedOn w:val="1"/>
    <w:next w:val="1"/>
    <w:qFormat/>
    <w:uiPriority w:val="0"/>
    <w:rPr>
      <w:rFonts w:ascii="宋体"/>
      <w:sz w:val="24"/>
    </w:rPr>
  </w:style>
  <w:style w:type="paragraph" w:customStyle="1" w:styleId="369">
    <w:name w:val="xl2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i/>
      <w:iCs/>
      <w:sz w:val="20"/>
    </w:rPr>
  </w:style>
  <w:style w:type="paragraph" w:customStyle="1" w:styleId="370">
    <w:name w:val="xl55"/>
    <w:basedOn w:val="1"/>
    <w:qFormat/>
    <w:uiPriority w:val="0"/>
    <w:pPr>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71">
    <w:name w:val="xl46"/>
    <w:basedOn w:val="1"/>
    <w:qFormat/>
    <w:uiPriority w:val="0"/>
    <w:pPr>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72">
    <w:name w:val="Char"/>
    <w:basedOn w:val="1"/>
    <w:qFormat/>
    <w:uiPriority w:val="0"/>
    <w:rPr>
      <w:rFonts w:ascii="Tahoma" w:hAnsi="Tahoma"/>
      <w:sz w:val="24"/>
    </w:rPr>
  </w:style>
  <w:style w:type="paragraph" w:customStyle="1" w:styleId="373">
    <w:name w:val="文档-标题3"/>
    <w:basedOn w:val="1"/>
    <w:next w:val="1"/>
    <w:qFormat/>
    <w:uiPriority w:val="0"/>
    <w:pPr>
      <w:keepNext/>
      <w:keepLines/>
      <w:numPr>
        <w:ilvl w:val="3"/>
        <w:numId w:val="4"/>
      </w:numPr>
      <w:spacing w:before="260" w:after="260" w:line="416" w:lineRule="auto"/>
      <w:outlineLvl w:val="2"/>
    </w:pPr>
    <w:rPr>
      <w:b/>
      <w:bCs/>
      <w:color w:val="7030A0"/>
      <w:sz w:val="32"/>
      <w:szCs w:val="32"/>
    </w:rPr>
  </w:style>
  <w:style w:type="paragraph" w:customStyle="1" w:styleId="374">
    <w:name w:val="xl48"/>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375">
    <w:name w:val="xl60"/>
    <w:basedOn w:val="1"/>
    <w:qFormat/>
    <w:uiPriority w:val="0"/>
    <w:pPr>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76">
    <w:name w:val="xl63"/>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377">
    <w:name w:val="正文1"/>
    <w:basedOn w:val="1"/>
    <w:qFormat/>
    <w:uiPriority w:val="0"/>
    <w:pPr>
      <w:ind w:firstLine="540"/>
    </w:pPr>
    <w:rPr>
      <w:sz w:val="24"/>
    </w:rPr>
  </w:style>
  <w:style w:type="paragraph" w:customStyle="1" w:styleId="378">
    <w:name w:val="xl58"/>
    <w:basedOn w:val="1"/>
    <w:qFormat/>
    <w:uiPriority w:val="0"/>
    <w:pPr>
      <w:pBdr>
        <w:left w:val="single" w:color="000000" w:sz="4" w:space="0"/>
        <w:right w:val="single" w:color="000000" w:sz="4" w:space="0"/>
      </w:pBdr>
      <w:spacing w:before="100" w:beforeAutospacing="1" w:after="100" w:afterAutospacing="1"/>
      <w:jc w:val="center"/>
    </w:pPr>
    <w:rPr>
      <w:b/>
      <w:bCs/>
      <w:i/>
      <w:iCs/>
      <w:sz w:val="20"/>
    </w:rPr>
  </w:style>
  <w:style w:type="paragraph" w:customStyle="1" w:styleId="379">
    <w:name w:val="xl62"/>
    <w:basedOn w:val="1"/>
    <w:qFormat/>
    <w:uiPriority w:val="0"/>
    <w:pPr>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380">
    <w:name w:val="font5"/>
    <w:basedOn w:val="1"/>
    <w:qFormat/>
    <w:uiPriority w:val="0"/>
    <w:pPr>
      <w:spacing w:before="100" w:beforeAutospacing="1" w:after="100" w:afterAutospacing="1"/>
    </w:pPr>
    <w:rPr>
      <w:rFonts w:hint="eastAsia" w:ascii="宋体" w:hAnsi="宋体"/>
      <w:sz w:val="18"/>
      <w:szCs w:val="18"/>
    </w:rPr>
  </w:style>
  <w:style w:type="paragraph" w:customStyle="1" w:styleId="381">
    <w:name w:val="xl57"/>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82">
    <w:name w:val="xl50"/>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83">
    <w:name w:val="xl43"/>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84">
    <w:name w:val="font8"/>
    <w:basedOn w:val="1"/>
    <w:qFormat/>
    <w:uiPriority w:val="0"/>
    <w:pPr>
      <w:spacing w:before="100" w:beforeAutospacing="1" w:after="100" w:afterAutospacing="1"/>
    </w:pPr>
    <w:rPr>
      <w:rFonts w:hint="eastAsia" w:ascii="宋体" w:hAnsi="宋体"/>
      <w:b/>
      <w:bCs/>
      <w:i/>
      <w:iCs/>
      <w:sz w:val="20"/>
    </w:rPr>
  </w:style>
  <w:style w:type="paragraph" w:customStyle="1" w:styleId="385">
    <w:name w:val="默认段落字体 Para Char"/>
    <w:basedOn w:val="1"/>
    <w:qFormat/>
    <w:uiPriority w:val="0"/>
    <w:pPr>
      <w:numPr>
        <w:ilvl w:val="0"/>
        <w:numId w:val="5"/>
      </w:numPr>
    </w:pPr>
    <w:rPr>
      <w:sz w:val="24"/>
      <w:szCs w:val="24"/>
    </w:rPr>
  </w:style>
  <w:style w:type="paragraph" w:customStyle="1" w:styleId="386">
    <w:name w:val="xl3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87">
    <w:name w:val="xl53"/>
    <w:basedOn w:val="1"/>
    <w:qFormat/>
    <w:uiPriority w:val="0"/>
    <w:pPr>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388">
    <w:name w:val="xl4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89">
    <w:name w:val="xl59"/>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90">
    <w:name w:val="font10"/>
    <w:basedOn w:val="1"/>
    <w:qFormat/>
    <w:uiPriority w:val="0"/>
    <w:pPr>
      <w:spacing w:before="100" w:beforeAutospacing="1" w:after="100" w:afterAutospacing="1"/>
    </w:pPr>
    <w:rPr>
      <w:rFonts w:hint="eastAsia" w:ascii="楷体_GB2312" w:hAnsi="宋体" w:eastAsia="楷体_GB2312"/>
      <w:b/>
      <w:bCs/>
      <w:sz w:val="18"/>
      <w:szCs w:val="18"/>
    </w:rPr>
  </w:style>
  <w:style w:type="paragraph" w:customStyle="1" w:styleId="391">
    <w:name w:val="xl4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sz w:val="20"/>
    </w:rPr>
  </w:style>
  <w:style w:type="paragraph" w:customStyle="1" w:styleId="392">
    <w:name w:val="Plain Text*"/>
    <w:basedOn w:val="1"/>
    <w:qFormat/>
    <w:uiPriority w:val="0"/>
    <w:rPr>
      <w:rFonts w:ascii="宋体" w:hAnsi="宋体" w:eastAsia="楷体_GB2312" w:cs="Courier New"/>
      <w:color w:val="000000"/>
      <w:sz w:val="26"/>
    </w:rPr>
  </w:style>
  <w:style w:type="paragraph" w:customStyle="1" w:styleId="393">
    <w:name w:val="xl51"/>
    <w:basedOn w:val="1"/>
    <w:qFormat/>
    <w:uiPriority w:val="0"/>
    <w:pPr>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94">
    <w:name w:val="xl2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i/>
      <w:iCs/>
      <w:sz w:val="20"/>
    </w:rPr>
  </w:style>
  <w:style w:type="paragraph" w:customStyle="1" w:styleId="395">
    <w:name w:val="xl61"/>
    <w:basedOn w:val="1"/>
    <w:qFormat/>
    <w:uiPriority w:val="0"/>
    <w:pPr>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96">
    <w:name w:val="font6"/>
    <w:basedOn w:val="1"/>
    <w:qFormat/>
    <w:uiPriority w:val="0"/>
    <w:pPr>
      <w:spacing w:before="100" w:beforeAutospacing="1" w:after="100" w:afterAutospacing="1"/>
    </w:pPr>
    <w:rPr>
      <w:rFonts w:hint="eastAsia" w:ascii="宋体" w:hAnsi="宋体"/>
      <w:b/>
      <w:bCs/>
      <w:sz w:val="20"/>
    </w:rPr>
  </w:style>
  <w:style w:type="paragraph" w:customStyle="1" w:styleId="397">
    <w:name w:val="列出段落11"/>
    <w:basedOn w:val="1"/>
    <w:qFormat/>
    <w:uiPriority w:val="99"/>
    <w:pPr>
      <w:ind w:firstLine="420"/>
    </w:pPr>
    <w:rPr>
      <w:rFonts w:cs="Calibri"/>
      <w:szCs w:val="21"/>
    </w:rPr>
  </w:style>
  <w:style w:type="paragraph" w:customStyle="1" w:styleId="398">
    <w:name w:val="xl44"/>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99">
    <w:name w:val="xl3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b/>
      <w:bCs/>
      <w:sz w:val="20"/>
    </w:rPr>
  </w:style>
  <w:style w:type="paragraph" w:customStyle="1" w:styleId="400">
    <w:name w:val="TOC Heading1"/>
    <w:next w:val="1"/>
    <w:qFormat/>
    <w:uiPriority w:val="0"/>
    <w:rPr>
      <w:rFonts w:hint="default" w:ascii="Times New Roman" w:hAnsi="Times New Roman" w:eastAsia="宋体" w:cs="Times New Roman"/>
      <w:sz w:val="32"/>
      <w:lang w:val="en-US" w:eastAsia="zh-CN" w:bidi="ar-SA"/>
    </w:rPr>
  </w:style>
  <w:style w:type="paragraph" w:customStyle="1" w:styleId="401">
    <w:name w:val="正文文本11"/>
    <w:basedOn w:val="1"/>
    <w:qFormat/>
    <w:uiPriority w:val="0"/>
    <w:rPr>
      <w:rFonts w:ascii="仿宋_GB2312" w:eastAsia="仿宋_GB2312"/>
      <w:sz w:val="28"/>
      <w:szCs w:val="20"/>
      <w:lang w:eastAsia="en-US"/>
    </w:rPr>
  </w:style>
  <w:style w:type="paragraph" w:customStyle="1" w:styleId="402">
    <w:name w:val="页眉11"/>
    <w:basedOn w:val="1"/>
    <w:qFormat/>
    <w:uiPriority w:val="99"/>
    <w:pPr>
      <w:pBdr>
        <w:bottom w:val="single" w:color="000000" w:sz="6" w:space="1"/>
      </w:pBdr>
      <w:tabs>
        <w:tab w:val="center" w:pos="4153"/>
        <w:tab w:val="right" w:pos="8306"/>
      </w:tabs>
      <w:jc w:val="center"/>
    </w:pPr>
    <w:rPr>
      <w:sz w:val="18"/>
      <w:szCs w:val="18"/>
      <w:lang w:eastAsia="en-US"/>
    </w:rPr>
  </w:style>
  <w:style w:type="paragraph" w:customStyle="1" w:styleId="403">
    <w:name w:val="List Paragraph1"/>
    <w:basedOn w:val="1"/>
    <w:qFormat/>
    <w:uiPriority w:val="34"/>
    <w:pPr>
      <w:ind w:firstLine="420"/>
    </w:pPr>
  </w:style>
  <w:style w:type="paragraph" w:customStyle="1" w:styleId="404">
    <w:name w:val="正文缩进11"/>
    <w:basedOn w:val="1"/>
    <w:qFormat/>
    <w:uiPriority w:val="0"/>
    <w:pPr>
      <w:ind w:firstLine="420"/>
    </w:pPr>
  </w:style>
  <w:style w:type="character" w:customStyle="1" w:styleId="405">
    <w:name w:val="批注框文本 Char"/>
    <w:basedOn w:val="38"/>
    <w:link w:val="22"/>
    <w:semiHidden/>
    <w:qFormat/>
    <w:uiPriority w:val="99"/>
    <w:rPr>
      <w:rFonts w:ascii="宋体" w:hAnsi="Calibri" w:cs="宋体"/>
      <w:sz w:val="18"/>
      <w:szCs w:val="18"/>
    </w:rPr>
  </w:style>
  <w:style w:type="paragraph" w:customStyle="1" w:styleId="406">
    <w:name w:val="_Style 1"/>
    <w:basedOn w:val="1"/>
    <w:qFormat/>
    <w:uiPriority w:val="99"/>
    <w:pPr>
      <w:ind w:firstLine="420"/>
    </w:pPr>
  </w:style>
  <w:style w:type="character" w:customStyle="1" w:styleId="407">
    <w:name w:val="批注文字 Char1"/>
    <w:basedOn w:val="38"/>
    <w:link w:val="13"/>
    <w:semiHidden/>
    <w:qFormat/>
    <w:uiPriority w:val="99"/>
    <w:rPr>
      <w:rFonts w:ascii="Calibri" w:hAnsi="Calibri" w:cs="宋体"/>
      <w:sz w:val="22"/>
      <w:szCs w:val="22"/>
    </w:rPr>
  </w:style>
  <w:style w:type="character" w:customStyle="1" w:styleId="408">
    <w:name w:val="批注主题 Char"/>
    <w:basedOn w:val="407"/>
    <w:link w:val="35"/>
    <w:semiHidden/>
    <w:qFormat/>
    <w:uiPriority w:val="99"/>
    <w:rPr>
      <w:rFonts w:ascii="Calibri" w:hAnsi="Calibri" w:cs="宋体"/>
      <w:b/>
      <w:bCs/>
      <w:sz w:val="22"/>
      <w:szCs w:val="22"/>
    </w:rPr>
  </w:style>
  <w:style w:type="paragraph" w:customStyle="1" w:styleId="409">
    <w:name w:val="表格居中"/>
    <w:basedOn w:val="410"/>
    <w:qFormat/>
    <w:uiPriority w:val="0"/>
  </w:style>
  <w:style w:type="paragraph" w:customStyle="1" w:styleId="410">
    <w:name w:val="图片居中"/>
    <w:basedOn w:val="1"/>
    <w:qFormat/>
    <w:uiPriority w:val="0"/>
    <w:pPr>
      <w:jc w:val="center"/>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4389be03-4fd2-4b8b-9b26-ecb641e52cd4</errorID>
      <errorWord>.</errorWord>
      <group>L1_Format</group>
      <groupName>格式问题</groupName>
      <ability>L2_HalfPunc_CN</ability>
      <abilityName>全半角问题</abilityName>
      <candidateList>
        <item>。</item>
      </candidateList>
      <explain>文本全半角错误。</explain>
      <paraID>71AA87B6</paraID>
      <start>5</start>
      <end>6</end>
      <status>unmodified</status>
      <modifiedWord/>
      <trackRevisions>false</trackRevisions>
    </reviewItem>
    <reviewItem>
      <errorID>55e43fba-d327-472f-a7b2-24ac65d7c1c6</errorID>
      <errorWord>日至2026年</errorWord>
      <group>L1_Word</group>
      <groupName>字词问题</groupName>
      <ability>L2_Typo</ability>
      <abilityName>字词错误</abilityName>
      <candidateList>
        <item>日起至2026年</item>
      </candidateList>
      <explain/>
      <paraID>3675E441</paraID>
      <start>19</start>
      <end>26</end>
      <status>unmodified</status>
      <modifiedWord/>
      <trackRevisions>false</trackRevisions>
    </reviewItem>
    <reviewItem>
      <errorID>091b4a63-24af-4fb7-8f75-d695939ac73e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57F6FB5E</paraID>
      <start>73</start>
      <end>74</end>
      <status>unmodified</status>
      <modifiedWord/>
      <trackRevisions>false</trackRevisions>
    </reviewItem>
    <reviewItem>
      <errorID>c35987a5-c8b8-44ad-8b5c-29ac199008b6</errorID>
      <errorWord>-</errorWord>
      <group>L1_Format</group>
      <groupName>格式问题</groupName>
      <ability>L2_HalfPunc_CN</ability>
      <abilityName>全半角问题</abilityName>
      <candidateList>
        <item>－</item>
      </candidateList>
      <explain>文本全半角错误。</explain>
      <paraID>57F6FB5E</paraID>
      <start>80</start>
      <end>81</end>
      <status>unmodified</status>
      <modifiedWord/>
      <trackRevisions>false</trackRevisions>
    </reviewItem>
    <reviewItem>
      <errorID>6a97a5fe-23fc-442d-860b-44ff2cc50f85</errorID>
      <errorWord>-</errorWord>
      <group>L1_Format</group>
      <groupName>格式问题</groupName>
      <ability>L2_HalfPunc_CN</ability>
      <abilityName>全半角问题</abilityName>
      <candidateList>
        <item>－</item>
      </candidateList>
      <explain>文本全半角错误。</explain>
      <paraID>57F6FB5E</paraID>
      <start>109</start>
      <end>110</end>
      <status>unmodified</status>
      <modifiedWord/>
      <trackRevisions>false</trackRevisions>
    </reviewItem>
    <reviewItem>
      <errorID>278106f6-40d2-4bf5-a9fb-73a6a81737b3</errorID>
      <errorWord>-</errorWord>
      <group>L1_Format</group>
      <groupName>格式问题</groupName>
      <ability>L2_HalfPunc_CN</ability>
      <abilityName>全半角问题</abilityName>
      <candidateList>
        <item>－</item>
      </candidateList>
      <explain>文本全半角错误。</explain>
      <paraID>57F6FB5E</paraID>
      <start>116</start>
      <end>117</end>
      <status>unmodified</status>
      <modifiedWord/>
      <trackRevisions>false</trackRevisions>
    </reviewItem>
    <reviewItem>
      <errorID>4b57f430-36f4-4d2f-8b5d-ba9f12cf7d49</errorID>
      <errorWord>“.</errorWord>
      <group>L1_Punc</group>
      <groupName>标点问题</groupName>
      <ability>L2_Punc_CN</ability>
      <abilityName>标点符号问题</abilityName>
      <candidateList>
        <item>“</item>
      </candidateList>
      <explain/>
      <paraID>57F6FB5E</paraID>
      <start>150</start>
      <end>152</end>
      <status>unmodified</status>
      <modifiedWord/>
      <trackRevisions>false</trackRevisions>
    </reviewItem>
    <reviewItem>
      <errorID>da2fb5fd-0eca-4722-8833-08d0507e7aad</errorID>
      <errorWord>-</errorWord>
      <group>L1_Format</group>
      <groupName>格式问题</groupName>
      <ability>L2_HalfPunc_CN</ability>
      <abilityName>全半角问题</abilityName>
      <candidateList>
        <item>－</item>
      </candidateList>
      <explain>文本全半角错误。</explain>
      <paraID>624AC02E</paraID>
      <start>37</start>
      <end>38</end>
      <status>unmodified</status>
      <modifiedWord/>
      <trackRevisions>false</trackRevisions>
    </reviewItem>
    <reviewItem>
      <errorID>5f5ff328-d090-47ac-97e4-1896e15e51db</errorID>
      <errorWord>-</errorWord>
      <group>L1_Format</group>
      <groupName>格式问题</groupName>
      <ability>L2_HalfPunc_CN</ability>
      <abilityName>全半角问题</abilityName>
      <candidateList>
        <item>－</item>
      </candidateList>
      <explain>文本全半角错误。</explain>
      <paraID>624AC02E</paraID>
      <start>38</start>
      <end>39</end>
      <status>unmodified</status>
      <modifiedWord/>
      <trackRevisions>false</trackRevisions>
    </reviewItem>
    <reviewItem>
      <errorID>77db3407-c3e5-44b7-95d1-4b5372c2fdf6</errorID>
      <errorWord>-</errorWord>
      <group>L1_Format</group>
      <groupName>格式问题</groupName>
      <ability>L2_HalfPunc_CN</ability>
      <abilityName>全半角问题</abilityName>
      <candidateList>
        <item>－</item>
      </candidateList>
      <explain>文本全半角错误。</explain>
      <paraID>624AC02E</paraID>
      <start>73</start>
      <end>74</end>
      <status>unmodified</status>
      <modifiedWord/>
      <trackRevisions>false</trackRevisions>
    </reviewItem>
    <reviewItem>
      <errorID>776e381c-0214-4a55-876b-fc3dc1a5a808</errorID>
      <errorWord>-</errorWord>
      <group>L1_Format</group>
      <groupName>格式问题</groupName>
      <ability>L2_HalfPunc_CN</ability>
      <abilityName>全半角问题</abilityName>
      <candidateList>
        <item>－</item>
      </candidateList>
      <explain>文本全半角错误。</explain>
      <paraID>624AC02E</paraID>
      <start>90</start>
      <end>91</end>
      <status>unmodified</status>
      <modifiedWord/>
      <trackRevisions>false</trackRevisions>
    </reviewItem>
    <reviewItem>
      <errorID>e51f7c0c-5c87-46a8-8d0e-3d17870cb0df</errorID>
      <errorWord>-</errorWord>
      <group>L1_Format</group>
      <groupName>格式问题</groupName>
      <ability>L2_HalfPunc_CN</ability>
      <abilityName>全半角问题</abilityName>
      <candidateList>
        <item>－</item>
      </candidateList>
      <explain>文本全半角错误。</explain>
      <paraID>624AC02E</paraID>
      <start>91</start>
      <end>92</end>
      <status>unmodified</status>
      <modifiedWord/>
      <trackRevisions>false</trackRevisions>
    </reviewItem>
    <reviewItem>
      <errorID>6d230cef-9452-4e21-9c3c-2931d5857e1f</errorID>
      <errorWord>-</errorWord>
      <group>L1_Format</group>
      <groupName>格式问题</groupName>
      <ability>L2_HalfPunc_CN</ability>
      <abilityName>全半角问题</abilityName>
      <candidateList>
        <item>－</item>
      </candidateList>
      <explain>文本全半角错误。</explain>
      <paraID>624AC02E</paraID>
      <start>98</start>
      <end>99</end>
      <status>unmodified</status>
      <modifiedWord/>
      <trackRevisions>false</trackRevisions>
    </reviewItem>
    <reviewItem>
      <errorID>9062e660-322c-4f7f-b224-6169bc31497b</errorID>
      <errorWord>-</errorWord>
      <group>L1_Format</group>
      <groupName>格式问题</groupName>
      <ability>L2_HalfPunc_CN</ability>
      <abilityName>全半角问题</abilityName>
      <candidateList>
        <item>－</item>
      </candidateList>
      <explain>文本全半角错误。</explain>
      <paraID>624AC02E</paraID>
      <start>99</start>
      <end>100</end>
      <status>unmodified</status>
      <modifiedWord/>
      <trackRevisions>false</trackRevisions>
    </reviewItem>
    <reviewItem>
      <errorID>7dc3794e-a240-41f1-a6ab-5a05399a40db</errorID>
      <errorWord>-</errorWord>
      <group>L1_Format</group>
      <groupName>格式问题</groupName>
      <ability>L2_HalfPunc_CN</ability>
      <abilityName>全半角问题</abilityName>
      <candidateList>
        <item>－</item>
      </candidateList>
      <explain>文本全半角错误。</explain>
      <paraID>1B87953A</paraID>
      <start>35</start>
      <end>36</end>
      <status>unmodified</status>
      <modifiedWord/>
      <trackRevisions>false</trackRevisions>
    </reviewItem>
    <reviewItem>
      <errorID>f03d18d4-c193-4f78-8ebe-e4bac2b2fd38</errorID>
      <errorWord>-</errorWord>
      <group>L1_Format</group>
      <groupName>格式问题</groupName>
      <ability>L2_HalfPunc_CN</ability>
      <abilityName>全半角问题</abilityName>
      <candidateList>
        <item>－</item>
      </candidateList>
      <explain>文本全半角错误。</explain>
      <paraID>1B87953A</paraID>
      <start>36</start>
      <end>37</end>
      <status>unmodified</status>
      <modifiedWord/>
      <trackRevisions>false</trackRevisions>
    </reviewItem>
    <reviewItem>
      <errorID>74e06552-6563-497e-85ae-9f96ee2e2268</errorID>
      <errorWord>-</errorWord>
      <group>L1_Format</group>
      <groupName>格式问题</groupName>
      <ability>L2_HalfPunc_CN</ability>
      <abilityName>全半角问题</abilityName>
      <candidateList>
        <item>－</item>
      </candidateList>
      <explain>文本全半角错误。</explain>
      <paraID>5E90FDA1</paraID>
      <start>38</start>
      <end>39</end>
      <status>unmodified</status>
      <modifiedWord/>
      <trackRevisions>false</trackRevisions>
    </reviewItem>
    <reviewItem>
      <errorID>4dee955f-08c5-4d29-9175-b9f0d0675d26</errorID>
      <errorWord>-</errorWord>
      <group>L1_Format</group>
      <groupName>格式问题</groupName>
      <ability>L2_HalfPunc_CN</ability>
      <abilityName>全半角问题</abilityName>
      <candidateList>
        <item>－</item>
      </candidateList>
      <explain>文本全半角错误。</explain>
      <paraID>5E90FDA1</paraID>
      <start>92</start>
      <end>93</end>
      <status>unmodified</status>
      <modifiedWord/>
      <trackRevisions>false</trackRevisions>
    </reviewItem>
    <reviewItem>
      <errorID>7f7480f8-ae70-4462-8701-84114404c038</errorID>
      <errorWord>.</errorWord>
      <group>L1_Format</group>
      <groupName>格式问题</groupName>
      <ability>L2_HalfPunc_CN</ability>
      <abilityName>全半角问题</abilityName>
      <candidateList>
        <item>。</item>
      </candidateList>
      <explain>文本全半角错误。</explain>
      <paraID>3A0F31E7</paraID>
      <start>5</start>
      <end>6</end>
      <status>unmodified</status>
      <modifiedWord/>
      <trackRevisions>false</trackRevisions>
    </reviewItem>
    <reviewItem>
      <errorID>53165a07-db4e-43d1-bcfa-70793a201e6b</errorID>
      <errorWord>如是</errorWord>
      <group>L1_Word</group>
      <groupName>字词问题</groupName>
      <ability>L2_Typo</ability>
      <abilityName>字词错误</abilityName>
      <candidateList>
        <item>如</item>
      </candidateList>
      <explain/>
      <paraID>5A1B2C31</paraID>
      <start>54</start>
      <end>56</end>
      <status>unmodified</status>
      <modifiedWord/>
      <trackRevisions>false</trackRevisions>
    </reviewItem>
    <reviewItem>
      <errorID>9179daf8-c434-4b84-bc3d-3f4d61e8429c</errorID>
      <errorWord>如是</errorWord>
      <group>L1_Word</group>
      <groupName>字词问题</groupName>
      <ability>L2_Typo</ability>
      <abilityName>字词错误</abilityName>
      <candidateList>
        <item>如</item>
      </candidateList>
      <explain/>
      <paraID>16981D09</paraID>
      <start>42</start>
      <end>44</end>
      <status>unmodified</status>
      <modifiedWord/>
      <trackRevisions>false</trackRevisions>
    </reviewItem>
    <reviewItem>
      <errorID>b491bf5d-ecb7-42b2-83a7-bd5dc09e5560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16981D09</paraID>
      <start>86</start>
      <end>89</end>
      <status>unmodified</status>
      <modifiedWord/>
      <trackRevisions>false</trackRevisions>
    </reviewItem>
    <reviewItem>
      <errorID>2df525c6-7363-43c7-9506-11d523ccb3ee</errorID>
      <errorWord>*</errorWord>
      <group>L1_Punc</group>
      <groupName>标点问题</groupName>
      <ability>L2_Punc_CN</ability>
      <abilityName>标点符号问题</abilityName>
      <candidateList/>
      <explain/>
      <paraID>54B1C24F</paraID>
      <start>0</start>
      <end>1</end>
      <status>unmodified</status>
      <modifiedWord/>
      <trackRevisions>false</trackRevisions>
    </reviewItem>
    <reviewItem>
      <errorID>2caf42b5-5851-422d-9517-941aab40ff7f</errorID>
      <errorWord>页</errorWord>
      <group>L1_Word</group>
      <groupName>字词问题</groupName>
      <ability>L2_Typo</ability>
      <abilityName>字词错误</abilityName>
      <candidateList>
        <item>页面</item>
      </candidateList>
      <explain/>
      <paraID>6471D89F</paraID>
      <start>25</start>
      <end>26</end>
      <status>unmodified</status>
      <modifiedWord/>
      <trackRevisions>false</trackRevisions>
    </reviewItem>
    <reviewItem>
      <errorID>2800d763-4ab3-4551-b0cf-ffda832bf337</errorID>
      <errorWord>-</errorWord>
      <group>L1_Format</group>
      <groupName>格式问题</groupName>
      <ability>L2_HalfPunc_CN</ability>
      <abilityName>全半角问题</abilityName>
      <candidateList>
        <item>－</item>
      </candidateList>
      <explain>文本全半角错误。</explain>
      <paraID>228EDB6D</paraID>
      <start>31</start>
      <end>32</end>
      <status>unmodified</status>
      <modifiedWord/>
      <trackRevisions>false</trackRevisions>
    </reviewItem>
    <reviewItem>
      <errorID>200c22a1-296e-4eb3-bf30-fb2a5e9a3127</errorID>
      <errorWord>有</errorWord>
      <group>L1_Word</group>
      <groupName>字词问题</groupName>
      <ability>L2_Typo</ability>
      <abilityName>字词错误</abilityName>
      <candidateList>
        <item>由</item>
      </candidateList>
      <explain>存在发音相同字词的误用。</explain>
      <paraID>6480E64F</paraID>
      <start>63</start>
      <end>64</end>
      <status>unmodified</status>
      <modifiedWord/>
      <trackRevisions>false</trackRevisions>
    </reviewItem>
    <reviewItem>
      <errorID>5735a8df-e281-4c36-8a9e-d80e30f3517d</errorID>
      <errorWord>不</errorWord>
      <group>L1_Word</group>
      <groupName>字词问题</groupName>
      <ability>L2_Typo</ability>
      <abilityName>字词错误</abilityName>
      <candidateList>
        <item>不符</item>
      </candidateList>
      <explain/>
      <paraID>403BEA70</paraID>
      <start>52</start>
      <end>53</end>
      <status>unmodified</status>
      <modifiedWord/>
      <trackRevisions>false</trackRevisions>
    </reviewItem>
    <reviewItem>
      <errorID>660147dc-9fd0-4861-8365-96b2a09f4fdb</errorID>
      <errorWord>属</errorWord>
      <group>L1_Word</group>
      <groupName>字词问题</groupName>
      <ability>L2_Typo</ability>
      <abilityName>字词错误</abilityName>
      <candidateList>
        <item>属于</item>
      </candidateList>
      <explain/>
      <paraID>1264681F</paraID>
      <start>224</start>
      <end>225</end>
      <status>unmodified</status>
      <modifiedWord/>
      <trackRevisions>false</trackRevisions>
    </reviewItem>
    <reviewItem>
      <errorID>9a264573-acf6-48a0-ab39-c940c71ecb43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48CEF422</paraID>
      <start>8</start>
      <end>11</end>
      <status>unmodified</status>
      <modifiedWord/>
      <trackRevisions>false</trackRevisions>
    </reviewItem>
    <reviewItem>
      <errorID>27a91a30-6d07-4852-9e7d-9b075d34b0a1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4B99143</paraID>
      <start>8</start>
      <end>11</end>
      <status>unmodified</status>
      <modifiedWord/>
      <trackRevisions>false</trackRevisions>
    </reviewItem>
    <reviewItem>
      <errorID>5cf5e30e-375f-4534-849c-aec4bd111fdc</errorID>
      <errorWord>（</errorWord>
      <group>L1_Format</group>
      <groupName>格式问题</groupName>
      <ability>L2_HalfPunc_CN</ability>
      <abilityName>全半角问题</abilityName>
      <candidateList>
        <item>(</item>
      </candidateList>
      <explain>文本全半角错误。</explain>
      <paraID>15DD6949</paraID>
      <start>0</start>
      <end>1</end>
      <status>unmodified</status>
      <modifiedWord/>
      <trackRevisions>false</trackRevisions>
    </reviewItem>
    <reviewItem>
      <errorID>54bc9d6c-4882-4327-95cb-adf237e7ddb1</errorID>
      <errorWord>）</errorWord>
      <group>L1_Format</group>
      <groupName>格式问题</groupName>
      <ability>L2_HalfPunc_CN</ability>
      <abilityName>全半角问题</abilityName>
      <candidateList>
        <item>)</item>
      </candidateList>
      <explain>文本全半角错误。</explain>
      <paraID>15DD6949</paraID>
      <start>2</start>
      <end>3</end>
      <status>unmodified</status>
      <modifiedWord/>
      <trackRevisions>false</trackRevisions>
    </reviewItem>
    <reviewItem>
      <errorID>f5eda424-b2d5-43d9-9d8b-25a4007f395a</errorID>
      <errorWord>。</errorWord>
      <group>L1_Format</group>
      <groupName>格式问题</groupName>
      <ability>L2_HalfPunc_CN</ability>
      <abilityName>全半角问题</abilityName>
      <candidateList>
        <item>.</item>
      </candidateList>
      <explain>文本全半角错误。</explain>
      <paraID>15DD6949</paraID>
      <start>58</start>
      <end>59</end>
      <status>unmodified</status>
      <modifiedWord/>
      <trackRevisions>false</trackRevisions>
    </reviewItem>
    <reviewItem>
      <errorID>6014edea-b2dc-47aa-bdbb-f6fdc423b8b3</errorID>
      <errorWord>格</errorWord>
      <group>L1_Word</group>
      <groupName>字词问题</groupName>
      <ability>L2_Typo</ability>
      <abilityName>字词错误</abilityName>
      <candidateList>
        <item>格之</item>
      </candidateList>
      <explain/>
      <paraID>3DD83B46</paraID>
      <start>80</start>
      <end>81</end>
      <status>unmodified</status>
      <modifiedWord/>
      <trackRevisions>false</trackRevisions>
    </reviewItem>
    <reviewItem>
      <errorID>5ccc00ae-0f4d-43ba-bb60-f748e83637b3</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339ECD04</paraID>
      <start>24</start>
      <end>29</end>
      <status>modified</status>
      <modifiedWord>其他情形的</modifiedWord>
      <trackRevisions>false</trackRevisions>
    </reviewItem>
    <reviewItem>
      <errorID>c3efc00f-3603-47d1-8df5-92bb3326a6c3</errorID>
      <errorWord>.</errorWord>
      <group>L1_Format</group>
      <groupName>格式问题</groupName>
      <ability>L2_HalfPunc_CN</ability>
      <abilityName>全半角问题</abilityName>
      <candidateList>
        <item>。</item>
      </candidateList>
      <explain>文本全半角错误。</explain>
      <paraID>1139CF97</paraID>
      <start>4</start>
      <end>5</end>
      <status>unmodified</status>
      <modifiedWord/>
      <trackRevisions>false</trackRevisions>
    </reviewItem>
    <reviewItem>
      <errorID>6bb8fdda-dd26-45d2-9a47-9d2451f28d53</errorID>
      <errorWord>.</errorWord>
      <group>L1_Format</group>
      <groupName>格式问题</groupName>
      <ability>L2_HalfPunc_CN</ability>
      <abilityName>全半角问题</abilityName>
      <candidateList>
        <item>。</item>
      </candidateList>
      <explain>文本全半角错误。</explain>
      <paraID>523CA693</paraID>
      <start>4</start>
      <end>5</end>
      <status>unmodified</status>
      <modifiedWord/>
      <trackRevisions>false</trackRevisions>
    </reviewItem>
    <reviewItem>
      <errorID>d8464d56-5e3b-4293-bd7d-342486d9e2c8</errorID>
      <errorWord>.</errorWord>
      <group>L1_Format</group>
      <groupName>格式问题</groupName>
      <ability>L2_HalfPunc_CN</ability>
      <abilityName>全半角问题</abilityName>
      <candidateList>
        <item>。</item>
      </candidateList>
      <explain>文本全半角错误。</explain>
      <paraID>66084F73</paraID>
      <start>1</start>
      <end>2</end>
      <status>unmodified</status>
      <modifiedWord/>
      <trackRevisions>false</trackRevisions>
    </reviewItem>
    <reviewItem>
      <errorID>3560029d-3134-45e0-947e-416bdb4419f6</errorID>
      <errorWord>符</errorWord>
      <group>L1_Word</group>
      <groupName>字词问题</groupName>
      <ability>L2_Typo</ability>
      <abilityName>字词错误</abilityName>
      <candidateList>
        <item>符合</item>
      </candidateList>
      <explain>〈动〉（数量、形状、情节等）相合：～事实｜这些产品不～质量标准。</explain>
      <paraID>  7B9505</paraID>
      <start>22</start>
      <end>23</end>
      <status>unmodified</status>
      <modifiedWord/>
      <trackRevisions>false</trackRevisions>
    </reviewItem>
    <reviewItem>
      <errorID>a6ac4e76-7253-4c53-9041-2c35f05ca920</errorID>
      <errorWord>胶粘剂</errorWord>
      <group>L1_Word</group>
      <groupName>字词问题</groupName>
      <ability>L2_Typo</ability>
      <abilityName>字词错误</abilityName>
      <candidateList>
        <item>胶黏剂</item>
      </candidateList>
      <explain/>
      <paraID>4A13CA6F</paraID>
      <start>14</start>
      <end>17</end>
      <status>unmodified</status>
      <modifiedWord/>
      <trackRevisions>false</trackRevisions>
    </reviewItem>
    <reviewItem>
      <errorID>d3b29e80-307a-413c-9f7f-f5f913f8c635</errorID>
      <errorWord>.</errorWord>
      <group>L1_Format</group>
      <groupName>格式问题</groupName>
      <ability>L2_HalfPunc_CN</ability>
      <abilityName>全半角问题</abilityName>
      <candidateList>
        <item>。</item>
      </candidateList>
      <explain>文本全半角错误。</explain>
      <paraID>7AB5A4B7</paraID>
      <start>5</start>
      <end>6</end>
      <status>unmodified</status>
      <modifiedWord/>
      <trackRevisions>false</trackRevisions>
    </reviewItem>
    <reviewItem>
      <errorID>eab07d84-4014-4878-a6cb-3865a453629c</errorID>
      <errorWord>法律、法规</errorWord>
      <group>L1_Word</group>
      <groupName>字词问题</groupName>
      <ability>L2_Typo</ability>
      <abilityName>字词错误</abilityName>
      <candidateList>
        <item>法律法规</item>
      </candidateList>
      <explain/>
      <paraID>14DBF780</paraID>
      <start>55</start>
      <end>60</end>
      <status>unmodified</status>
      <modifiedWord/>
      <trackRevisions>false</trackRevisions>
    </reviewItem>
    <reviewItem>
      <errorID>dd2151e2-4588-43fd-bfc6-8020fe0c6d51</errorID>
      <errorWord>按《中华人民共和国</errorWord>
      <group>L1_Political</group>
      <groupName>政治性问题</groupName>
      <ability>L2_Unpolitical</ability>
      <abilityName>政治敏感错误</abilityName>
      <candidateList>
        <item>按照《中华人民共和国</item>
      </candidateList>
      <explain/>
      <paraID>5E517DF6</paraID>
      <start>24</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2F7822-3919-4422-A283-85BFAA099B3C}">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59</Pages>
  <Words>111</Words>
  <Characters>137</Characters>
  <TotalTime>2</TotalTime>
  <ScaleCrop>false</ScaleCrop>
  <LinksUpToDate>false</LinksUpToDate>
  <CharactersWithSpaces>157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2025-04-18T01:24:00Z</dcterms:created>
  <dc:creator>Adminis</dc:creator>
  <cp:lastModifiedBy>Laurus</cp:lastModifiedBy>
  <dcterms:modified xsi:type="dcterms:W3CDTF">2026-10-21T07:34:21Z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93D998C8312E4D14B49656B502DDE6E3_13</vt:lpwstr>
  </property>
  <property fmtid="{D5CDD505-2E9C-101B-9397-08002B2CF9AE}" pid="4" name="KSOTemplateDocerSaveRecord">
    <vt:lpwstr>eyJoZGlkIjoiMmM3ZjE0ZWM5MzI5YjU5MDhmMGIwYzdjODBlMTRlNTUiLCJ1c2VySWQiOiI4MzUyNDQxNzgifQ==</vt:lpwstr>
  </property>
</Properties>
</file>