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8"/>
        <w:jc w:val="left"/>
        <w:rPr>
          <w:highlight w:val="none"/>
        </w:rPr>
      </w:pPr>
      <w:r>
        <w:rPr>
          <w:highlight w:val="none"/>
        </w:rPr>
      </w:r>
      <w:r/>
    </w:p>
    <w:p>
      <w:pPr>
        <w:pStyle w:val="768"/>
        <w:rPr>
          <w:highlight w:val="none"/>
        </w:rPr>
      </w:pPr>
      <w:r/>
      <w:bookmarkStart w:id="0" w:name="EB3ace3d43b98b41779337deb808be6fa3"/>
      <w:r>
        <w:rPr>
          <w:rFonts w:hint="eastAsia"/>
          <w:sz w:val="20"/>
          <w:highlight w:val="none"/>
        </w:rPr>
        <w:t xml:space="preserve"> </w:t>
      </w:r>
      <w:bookmarkEnd w:id="0"/>
      <w:r/>
      <w:bookmarkStart w:id="1" w:name="EB57dd2a69e2b54b0cb3f5c2f03a1ab7bf"/>
      <w:r>
        <w:rPr>
          <w:rFonts w:hint="eastAsia"/>
          <w:sz w:val="20"/>
          <w:highlight w:val="none"/>
        </w:rPr>
        <w:t xml:space="preserve"> </w:t>
      </w:r>
      <w:bookmarkEnd w:id="1"/>
      <w:r>
        <w:rPr>
          <w:highlight w:val="none"/>
        </w:rPr>
      </w:r>
      <w:r/>
    </w:p>
    <w:p>
      <w:pPr>
        <w:pStyle w:val="768"/>
        <w:rPr>
          <w:highlight w:val="none"/>
        </w:rPr>
      </w:pPr>
      <w:r>
        <w:rPr>
          <w:highlight w:val="none"/>
        </w:rPr>
      </w:r>
      <w:r/>
    </w:p>
    <w:p>
      <w:pPr>
        <w:pStyle w:val="768"/>
        <w:jc w:val="center"/>
        <w:spacing w:before="120" w:after="120" w:line="360" w:lineRule="auto"/>
        <w:rPr>
          <w:rFonts w:hint="eastAsia" w:ascii="Arial" w:hAnsi="Arial" w:eastAsia="黑体" w:cs="黑体"/>
          <w:b/>
          <w:sz w:val="84"/>
          <w:szCs w:val="24"/>
          <w:highlight w:val="none"/>
          <w:lang w:bidi="ar"/>
        </w:rPr>
      </w:pPr>
      <w:r>
        <w:rPr>
          <w:rFonts w:hint="eastAsia" w:ascii="Arial" w:hAnsi="Arial" w:eastAsia="黑体" w:cs="黑体"/>
          <w:b/>
          <w:sz w:val="84"/>
          <w:szCs w:val="24"/>
          <w:highlight w:val="none"/>
          <w:lang w:bidi="ar"/>
        </w:rPr>
        <w:t xml:space="preserve">招　标　文　件</w:t>
      </w:r>
      <w:r>
        <w:rPr>
          <w:rFonts w:hint="eastAsia" w:ascii="Arial" w:hAnsi="Arial" w:eastAsia="黑体" w:cs="黑体"/>
          <w:b/>
          <w:sz w:val="84"/>
          <w:szCs w:val="24"/>
          <w:highlight w:val="none"/>
          <w:lang w:bidi="ar"/>
        </w:rPr>
      </w:r>
      <w:r/>
    </w:p>
    <w:p>
      <w:pPr>
        <w:pStyle w:val="768"/>
        <w:rPr>
          <w:rFonts w:hint="eastAsia" w:ascii="Times New Roman" w:hAnsi="Times New Roman" w:cs="宋体"/>
          <w:b/>
          <w:sz w:val="30"/>
          <w:szCs w:val="30"/>
          <w:highlight w:val="none"/>
          <w:lang w:bidi="ar"/>
        </w:rPr>
      </w:pPr>
      <w:r>
        <w:rPr>
          <w:rFonts w:hint="eastAsia" w:ascii="Times New Roman" w:hAnsi="Times New Roman" w:cs="宋体"/>
          <w:b/>
          <w:sz w:val="30"/>
          <w:szCs w:val="30"/>
          <w:highlight w:val="none"/>
          <w:lang w:bidi="ar"/>
        </w:rPr>
      </w:r>
      <w:r/>
    </w:p>
    <w:p>
      <w:pPr>
        <w:pStyle w:val="768"/>
        <w:rPr>
          <w:rFonts w:hint="eastAsia" w:ascii="Times New Roman" w:hAnsi="Times New Roman" w:cs="宋体"/>
          <w:b/>
          <w:sz w:val="30"/>
          <w:szCs w:val="30"/>
          <w:highlight w:val="none"/>
          <w:lang w:bidi="ar"/>
        </w:rPr>
      </w:pPr>
      <w:r>
        <w:rPr>
          <w:rFonts w:hint="eastAsia" w:ascii="Times New Roman" w:hAnsi="Times New Roman" w:cs="宋体"/>
          <w:b/>
          <w:sz w:val="30"/>
          <w:szCs w:val="30"/>
          <w:highlight w:val="none"/>
          <w:lang w:bidi="ar"/>
        </w:rPr>
      </w:r>
      <w:r/>
    </w:p>
    <w:p>
      <w:pPr>
        <w:pStyle w:val="768"/>
        <w:ind w:firstLine="1506"/>
        <w:rPr>
          <w:rFonts w:hint="eastAsia"/>
          <w:b/>
          <w:sz w:val="30"/>
          <w:szCs w:val="30"/>
          <w:highlight w:val="none"/>
        </w:rPr>
      </w:pPr>
      <w:r>
        <w:rPr>
          <w:rFonts w:hint="eastAsia" w:ascii="Times New Roman" w:hAnsi="Times New Roman" w:cs="宋体"/>
          <w:b/>
          <w:sz w:val="30"/>
          <w:szCs w:val="30"/>
          <w:highlight w:val="none"/>
          <w:lang w:bidi="ar"/>
        </w:rPr>
        <w:t xml:space="preserve">项目名称：</w:t>
      </w:r>
      <w:r>
        <w:rPr>
          <w:rFonts w:hint="eastAsia" w:ascii="Times New Roman" w:hAnsi="Times New Roman"/>
          <w:b/>
          <w:sz w:val="30"/>
          <w:szCs w:val="30"/>
          <w:highlight w:val="none"/>
          <w:lang w:eastAsia="zh-CN" w:bidi="ar"/>
        </w:rPr>
        <w:t xml:space="preserve">泗洪县太平实验学校体育设施改造项目</w:t>
      </w:r>
      <w:r>
        <w:rPr>
          <w:rFonts w:hint="eastAsia" w:ascii="Times New Roman" w:hAnsi="Times New Roman" w:cs="宋体"/>
          <w:b/>
          <w:sz w:val="30"/>
          <w:szCs w:val="30"/>
          <w:highlight w:val="none"/>
          <w:lang w:bidi="ar"/>
        </w:rPr>
        <w:t xml:space="preserve"> </w:t>
      </w:r>
      <w:r>
        <w:rPr>
          <w:rFonts w:hint="eastAsia"/>
          <w:b/>
          <w:sz w:val="30"/>
          <w:szCs w:val="30"/>
          <w:highlight w:val="none"/>
        </w:rPr>
      </w:r>
      <w:r/>
    </w:p>
    <w:p>
      <w:pPr>
        <w:pStyle w:val="768"/>
        <w:ind w:firstLine="1506"/>
        <w:rPr>
          <w:rFonts w:hint="eastAsia" w:ascii="Times New Roman" w:hAnsi="Times New Roman" w:cs="宋体"/>
          <w:b/>
          <w:sz w:val="30"/>
          <w:szCs w:val="30"/>
          <w:highlight w:val="none"/>
          <w:lang w:bidi="ar"/>
        </w:rPr>
      </w:pPr>
      <w:r>
        <w:rPr>
          <w:rFonts w:hint="eastAsia" w:ascii="Times New Roman" w:hAnsi="Times New Roman" w:cs="宋体"/>
          <w:b/>
          <w:sz w:val="30"/>
          <w:szCs w:val="30"/>
          <w:highlight w:val="none"/>
          <w:lang w:bidi="ar"/>
        </w:rPr>
      </w:r>
      <w:r/>
    </w:p>
    <w:p>
      <w:pPr>
        <w:pStyle w:val="768"/>
        <w:ind w:firstLine="1506"/>
        <w:rPr>
          <w:rFonts w:hint="eastAsia" w:ascii="Times New Roman" w:hAnsi="Times New Roman" w:eastAsia="宋体" w:cs="宋体"/>
          <w:b/>
          <w:sz w:val="30"/>
          <w:szCs w:val="30"/>
          <w:highlight w:val="none"/>
          <w:lang w:eastAsia="zh-CN" w:bidi="ar"/>
        </w:rPr>
      </w:pPr>
      <w:r>
        <w:rPr>
          <w:rFonts w:hint="eastAsia" w:ascii="Times New Roman" w:hAnsi="Times New Roman" w:cs="宋体"/>
          <w:b/>
          <w:sz w:val="30"/>
          <w:szCs w:val="30"/>
          <w:highlight w:val="none"/>
          <w:lang w:bidi="ar"/>
        </w:rPr>
        <w:t xml:space="preserve">项目编号：</w:t>
      </w:r>
      <w:r>
        <w:rPr>
          <w:rFonts w:hint="eastAsia" w:ascii="Times New Roman" w:hAnsi="Times New Roman" w:cs="宋体"/>
          <w:b/>
          <w:sz w:val="30"/>
          <w:szCs w:val="30"/>
          <w:highlight w:val="none"/>
          <w:lang w:val="en-US" w:eastAsia="zh-CN" w:bidi="ar"/>
        </w:rPr>
        <w:t xml:space="preserve"> JSZC-321324-JSSL-G2026-0007</w:t>
      </w:r>
      <w:r>
        <w:rPr>
          <w:rFonts w:hint="eastAsia" w:ascii="Times New Roman" w:hAnsi="Times New Roman" w:eastAsia="宋体" w:cs="宋体"/>
          <w:b/>
          <w:sz w:val="30"/>
          <w:szCs w:val="30"/>
          <w:highlight w:val="none"/>
          <w:lang w:eastAsia="zh-CN" w:bidi="ar"/>
        </w:rPr>
      </w:r>
      <w:r/>
    </w:p>
    <w:p>
      <w:pPr>
        <w:pStyle w:val="768"/>
        <w:ind w:left="2800" w:hanging="2800"/>
        <w:rPr>
          <w:rFonts w:ascii="Times New Roman" w:hAnsi="Times New Roman"/>
          <w:sz w:val="28"/>
          <w:szCs w:val="28"/>
          <w:highlight w:val="none"/>
          <w:lang w:bidi="ar"/>
        </w:rPr>
      </w:pPr>
      <w:r>
        <w:rPr>
          <w:rFonts w:ascii="Times New Roman" w:hAnsi="Times New Roman"/>
          <w:sz w:val="28"/>
          <w:szCs w:val="28"/>
          <w:highlight w:val="none"/>
          <w:lang w:bidi="ar"/>
        </w:rPr>
      </w:r>
      <w:r/>
    </w:p>
    <w:p>
      <w:pPr>
        <w:pStyle w:val="768"/>
        <w:ind w:left="2800" w:hanging="2800"/>
        <w:rPr>
          <w:b/>
          <w:sz w:val="28"/>
          <w:szCs w:val="28"/>
          <w:highlight w:val="none"/>
        </w:rPr>
      </w:pPr>
      <w:r>
        <w:rPr>
          <w:rFonts w:ascii="Times New Roman" w:hAnsi="Times New Roman"/>
          <w:sz w:val="28"/>
          <w:szCs w:val="28"/>
          <w:highlight w:val="none"/>
          <w:lang w:bidi="ar"/>
        </w:rPr>
        <w:t xml:space="preserve">       </w:t>
      </w:r>
      <w:r>
        <w:rPr>
          <w:rFonts w:hint="eastAsia" w:ascii="Times New Roman" w:hAnsi="Times New Roman"/>
          <w:sz w:val="28"/>
          <w:szCs w:val="28"/>
          <w:highlight w:val="none"/>
          <w:lang w:bidi="ar"/>
        </w:rPr>
        <w:t xml:space="preserve">   </w:t>
      </w:r>
      <w:r>
        <w:rPr>
          <w:rFonts w:ascii="Times New Roman" w:hAnsi="Times New Roman"/>
          <w:b/>
          <w:sz w:val="28"/>
          <w:szCs w:val="28"/>
          <w:highlight w:val="none"/>
          <w:lang w:bidi="ar"/>
        </w:rPr>
        <w:t xml:space="preserve"> </w:t>
      </w:r>
      <w:r>
        <w:rPr>
          <w:b/>
          <w:sz w:val="28"/>
          <w:szCs w:val="28"/>
          <w:highlight w:val="none"/>
        </w:rPr>
      </w:r>
      <w:r/>
    </w:p>
    <w:p>
      <w:pPr>
        <w:pStyle w:val="768"/>
        <w:jc w:val="left"/>
        <w:spacing w:line="360" w:lineRule="auto"/>
        <w:rPr>
          <w:rFonts w:ascii="宋体" w:hAnsi="宋体" w:cs="宋体"/>
          <w:sz w:val="24"/>
          <w:szCs w:val="24"/>
          <w:highlight w:val="none"/>
        </w:rPr>
      </w:pPr>
      <w:r>
        <w:rPr>
          <w:rFonts w:ascii="宋体" w:hAnsi="宋体" w:cs="宋体"/>
          <w:sz w:val="24"/>
          <w:szCs w:val="24"/>
          <w:highlight w:val="none"/>
        </w:rPr>
      </w:r>
      <w:r/>
    </w:p>
    <w:p>
      <w:pPr>
        <w:pStyle w:val="768"/>
        <w:jc w:val="left"/>
        <w:spacing w:line="360" w:lineRule="auto"/>
        <w:rPr>
          <w:rFonts w:ascii="宋体" w:hAnsi="宋体" w:cs="宋体"/>
          <w:sz w:val="24"/>
          <w:szCs w:val="24"/>
          <w:highlight w:val="none"/>
        </w:rPr>
      </w:pPr>
      <w:r>
        <w:rPr>
          <w:rFonts w:ascii="宋体" w:hAnsi="宋体" w:cs="宋体"/>
          <w:sz w:val="24"/>
          <w:szCs w:val="24"/>
          <w:highlight w:val="none"/>
        </w:rPr>
      </w:r>
      <w:r/>
    </w:p>
    <w:p>
      <w:pPr>
        <w:pStyle w:val="768"/>
        <w:jc w:val="left"/>
        <w:spacing w:line="360" w:lineRule="auto"/>
        <w:rPr>
          <w:rFonts w:ascii="宋体" w:hAnsi="宋体" w:cs="宋体"/>
          <w:sz w:val="24"/>
          <w:szCs w:val="24"/>
          <w:highlight w:val="none"/>
        </w:rPr>
      </w:pPr>
      <w:r>
        <w:rPr>
          <w:rFonts w:ascii="宋体" w:hAnsi="宋体" w:cs="宋体"/>
          <w:sz w:val="24"/>
          <w:szCs w:val="24"/>
          <w:highlight w:val="none"/>
        </w:rPr>
      </w:r>
      <w:r/>
    </w:p>
    <w:p>
      <w:pPr>
        <w:pStyle w:val="768"/>
        <w:jc w:val="left"/>
        <w:spacing w:line="360" w:lineRule="auto"/>
        <w:rPr>
          <w:rFonts w:ascii="宋体" w:hAnsi="宋体" w:cs="宋体"/>
          <w:sz w:val="24"/>
          <w:szCs w:val="24"/>
          <w:highlight w:val="none"/>
        </w:rPr>
      </w:pPr>
      <w:r>
        <w:rPr>
          <w:rFonts w:ascii="宋体" w:hAnsi="宋体" w:cs="宋体"/>
          <w:sz w:val="24"/>
          <w:szCs w:val="24"/>
          <w:highlight w:val="none"/>
        </w:rPr>
      </w:r>
      <w:r/>
    </w:p>
    <w:p>
      <w:pPr>
        <w:pStyle w:val="768"/>
        <w:jc w:val="left"/>
        <w:spacing w:line="360" w:lineRule="auto"/>
        <w:rPr>
          <w:rFonts w:ascii="宋体" w:hAnsi="宋体" w:cs="宋体"/>
          <w:sz w:val="24"/>
          <w:szCs w:val="24"/>
          <w:highlight w:val="none"/>
        </w:rPr>
      </w:pPr>
      <w:r>
        <w:rPr>
          <w:rFonts w:ascii="宋体" w:hAnsi="宋体" w:cs="宋体"/>
          <w:sz w:val="24"/>
          <w:szCs w:val="24"/>
          <w:highlight w:val="none"/>
        </w:rPr>
      </w:r>
      <w:r/>
    </w:p>
    <w:p>
      <w:pPr>
        <w:pStyle w:val="768"/>
        <w:jc w:val="left"/>
        <w:spacing w:line="360" w:lineRule="auto"/>
        <w:rPr>
          <w:rFonts w:ascii="宋体" w:hAnsi="宋体" w:cs="宋体"/>
          <w:sz w:val="24"/>
          <w:szCs w:val="24"/>
          <w:highlight w:val="none"/>
        </w:rPr>
      </w:pPr>
      <w:r>
        <w:rPr>
          <w:rFonts w:ascii="宋体" w:hAnsi="宋体" w:cs="宋体"/>
          <w:sz w:val="24"/>
          <w:szCs w:val="24"/>
          <w:highlight w:val="none"/>
        </w:rPr>
      </w:r>
      <w:r/>
    </w:p>
    <w:tbl>
      <w:tblPr>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768"/>
              <w:jc w:val="left"/>
              <w:spacing w:line="500" w:lineRule="exact"/>
              <w:rPr>
                <w:rFonts w:ascii="仿宋" w:hAnsi="仿宋" w:eastAsia="仿宋" w:cs="仿宋"/>
                <w:sz w:val="24"/>
                <w:szCs w:val="24"/>
                <w:highlight w:val="none"/>
              </w:rPr>
              <w:framePr w:vAnchor="text" w:hAnchor="page" w:x="2413" w:y="466"/>
            </w:pPr>
            <w:r>
              <w:rPr>
                <w:rFonts w:hint="eastAsia" w:ascii="Times New Roman" w:hAnsi="Times New Roman"/>
                <w:b/>
                <w:bCs/>
                <w:spacing w:val="45"/>
                <w:sz w:val="32"/>
                <w:szCs w:val="24"/>
                <w:highlight w:val="none"/>
              </w:rPr>
              <w:t xml:space="preserve">采  购 人</w:t>
            </w:r>
            <w:r>
              <w:rPr>
                <w:rFonts w:hint="eastAsia" w:ascii="Times New Roman" w:hAnsi="Times New Roman"/>
                <w:b/>
                <w:bCs/>
                <w:spacing w:val="1"/>
                <w:sz w:val="32"/>
                <w:szCs w:val="24"/>
                <w:highlight w:val="none"/>
              </w:rPr>
              <w:t xml:space="preserve">：</w:t>
            </w:r>
            <w:r>
              <w:rPr>
                <w:rFonts w:ascii="仿宋" w:hAnsi="仿宋" w:eastAsia="仿宋" w:cs="仿宋"/>
                <w:sz w:val="24"/>
                <w:szCs w:val="24"/>
                <w:highlight w:val="none"/>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768"/>
              <w:jc w:val="left"/>
              <w:spacing w:line="500" w:lineRule="exact"/>
              <w:rPr>
                <w:rFonts w:hint="eastAsia" w:ascii="仿宋" w:hAnsi="仿宋" w:eastAsia="宋体" w:cs="仿宋"/>
                <w:sz w:val="24"/>
                <w:szCs w:val="24"/>
                <w:highlight w:val="none"/>
                <w:lang w:eastAsia="zh-CN"/>
              </w:rPr>
              <w:framePr w:vAnchor="text" w:hAnchor="page" w:x="2413" w:y="466"/>
            </w:pPr>
            <w:r>
              <w:rPr>
                <w:rFonts w:hint="eastAsia" w:ascii="Times New Roman" w:hAnsi="Times New Roman"/>
                <w:b/>
                <w:bCs/>
                <w:spacing w:val="45"/>
                <w:sz w:val="32"/>
                <w:szCs w:val="24"/>
                <w:highlight w:val="none"/>
                <w:lang w:eastAsia="zh-CN"/>
              </w:rPr>
              <w:t xml:space="preserve">泗洪县太平实验学校</w:t>
            </w:r>
            <w:r>
              <w:rPr>
                <w:rFonts w:hint="eastAsia" w:ascii="仿宋" w:hAnsi="仿宋" w:eastAsia="宋体" w:cs="仿宋"/>
                <w:sz w:val="24"/>
                <w:szCs w:val="24"/>
                <w:highlight w:val="none"/>
                <w:lang w:eastAsia="zh-CN"/>
              </w:rPr>
            </w:r>
            <w:r/>
          </w:p>
        </w:tc>
      </w:tr>
      <w:tr>
        <w:trPr>
          <w:trHeight w:val="617"/>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768"/>
              <w:jc w:val="left"/>
              <w:spacing w:line="500" w:lineRule="exact"/>
              <w:rPr>
                <w:rFonts w:hint="eastAsia" w:ascii="Times New Roman" w:hAnsi="Times New Roman"/>
                <w:b/>
                <w:bCs/>
                <w:spacing w:val="45"/>
                <w:sz w:val="32"/>
                <w:szCs w:val="24"/>
                <w:highlight w:val="none"/>
              </w:rPr>
              <w:framePr w:vAnchor="text" w:hAnchor="page" w:x="2413" w:y="466"/>
            </w:pPr>
            <w:r>
              <w:rPr>
                <w:rFonts w:hint="eastAsia" w:ascii="Times New Roman" w:hAnsi="Times New Roman"/>
                <w:b/>
                <w:bCs/>
                <w:sz w:val="32"/>
                <w:szCs w:val="24"/>
                <w:highlight w:val="none"/>
              </w:rPr>
              <w:t xml:space="preserve">采购代理机构：</w:t>
            </w:r>
            <w:r>
              <w:rPr>
                <w:rFonts w:hint="eastAsia" w:ascii="Times New Roman" w:hAnsi="Times New Roman"/>
                <w:b/>
                <w:bCs/>
                <w:spacing w:val="45"/>
                <w:sz w:val="32"/>
                <w:szCs w:val="24"/>
                <w:highlight w:val="none"/>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768"/>
              <w:jc w:val="left"/>
              <w:spacing w:line="500" w:lineRule="exact"/>
              <w:rPr>
                <w:rFonts w:hint="eastAsia" w:ascii="Times New Roman" w:hAnsi="Times New Roman"/>
                <w:b/>
                <w:bCs/>
                <w:spacing w:val="45"/>
                <w:sz w:val="32"/>
                <w:szCs w:val="24"/>
                <w:highlight w:val="none"/>
              </w:rPr>
              <w:framePr w:vAnchor="text" w:hAnchor="page" w:x="2413" w:y="466"/>
            </w:pPr>
            <w:r>
              <w:rPr>
                <w:rFonts w:hint="eastAsia" w:ascii="Times New Roman" w:hAnsi="Times New Roman"/>
                <w:b/>
                <w:bCs/>
                <w:spacing w:val="45"/>
                <w:sz w:val="32"/>
                <w:szCs w:val="24"/>
                <w:highlight w:val="none"/>
              </w:rPr>
              <w:t xml:space="preserve">江苏盛力项目管理有限</w:t>
            </w:r>
            <w:r>
              <w:rPr>
                <w:rFonts w:hint="eastAsia" w:ascii="Times New Roman" w:hAnsi="Times New Roman"/>
                <w:b/>
                <w:bCs/>
                <w:spacing w:val="45"/>
                <w:sz w:val="32"/>
                <w:szCs w:val="24"/>
                <w:highlight w:val="none"/>
              </w:rPr>
            </w:r>
            <w:r/>
          </w:p>
          <w:p>
            <w:pPr>
              <w:pStyle w:val="768"/>
              <w:jc w:val="left"/>
              <w:spacing w:line="500" w:lineRule="exact"/>
              <w:rPr>
                <w:rFonts w:hint="eastAsia" w:ascii="Times New Roman" w:hAnsi="Times New Roman"/>
                <w:b/>
                <w:bCs/>
                <w:spacing w:val="45"/>
                <w:sz w:val="32"/>
                <w:szCs w:val="24"/>
                <w:highlight w:val="none"/>
              </w:rPr>
              <w:framePr w:vAnchor="text" w:hAnchor="page" w:x="2413" w:y="466"/>
            </w:pPr>
            <w:r>
              <w:rPr>
                <w:rFonts w:hint="eastAsia" w:ascii="Times New Roman" w:hAnsi="Times New Roman"/>
                <w:b/>
                <w:bCs/>
                <w:spacing w:val="45"/>
                <w:sz w:val="32"/>
                <w:szCs w:val="24"/>
                <w:highlight w:val="none"/>
              </w:rPr>
              <w:t xml:space="preserve">公司</w:t>
            </w:r>
            <w:r>
              <w:rPr>
                <w:rFonts w:hint="eastAsia" w:ascii="Times New Roman" w:hAnsi="Times New Roman"/>
                <w:b/>
                <w:bCs/>
                <w:spacing w:val="45"/>
                <w:sz w:val="32"/>
                <w:szCs w:val="24"/>
                <w:highlight w:val="none"/>
              </w:rPr>
            </w:r>
            <w:r/>
          </w:p>
        </w:tc>
      </w:tr>
    </w:tbl>
    <w:p>
      <w:pPr>
        <w:pStyle w:val="768"/>
        <w:jc w:val="left"/>
        <w:spacing w:line="360" w:lineRule="auto"/>
        <w:rPr>
          <w:rFonts w:ascii="宋体" w:hAnsi="宋体" w:cs="宋体"/>
          <w:sz w:val="24"/>
          <w:szCs w:val="24"/>
          <w:highlight w:val="none"/>
        </w:rPr>
      </w:pPr>
      <w:r>
        <w:rPr>
          <w:rFonts w:ascii="宋体" w:hAnsi="宋体" w:cs="宋体"/>
          <w:sz w:val="24"/>
          <w:szCs w:val="24"/>
          <w:highlight w:val="none"/>
        </w:rPr>
      </w:r>
      <w:r/>
    </w:p>
    <w:p>
      <w:pPr>
        <w:pStyle w:val="768"/>
        <w:ind w:firstLine="964"/>
        <w:jc w:val="left"/>
        <w:spacing w:before="120" w:after="120" w:line="360" w:lineRule="auto"/>
        <w:rPr>
          <w:rFonts w:ascii="Arial" w:hAnsi="Arial"/>
          <w:b/>
          <w:sz w:val="32"/>
          <w:szCs w:val="24"/>
          <w:highlight w:val="none"/>
        </w:rPr>
      </w:pPr>
      <w:r>
        <w:rPr>
          <w:rFonts w:hint="eastAsia" w:ascii="Times New Roman" w:hAnsi="Times New Roman"/>
          <w:b/>
          <w:bCs/>
          <w:sz w:val="32"/>
          <w:szCs w:val="24"/>
          <w:highlight w:val="none"/>
        </w:rPr>
        <w:t xml:space="preserve"> </w:t>
      </w:r>
      <w:r>
        <w:rPr>
          <w:rFonts w:ascii="Arial" w:hAnsi="Arial"/>
          <w:b/>
          <w:sz w:val="32"/>
          <w:szCs w:val="24"/>
          <w:highlight w:val="none"/>
        </w:rPr>
      </w:r>
      <w:r/>
    </w:p>
    <w:p>
      <w:pPr>
        <w:pStyle w:val="768"/>
        <w:jc w:val="center"/>
        <w:spacing w:before="120" w:after="120" w:line="360" w:lineRule="auto"/>
        <w:rPr>
          <w:rFonts w:ascii="Arial" w:hAnsi="Arial"/>
          <w:b/>
          <w:sz w:val="32"/>
          <w:szCs w:val="24"/>
          <w:highlight w:val="none"/>
        </w:rPr>
      </w:pPr>
      <w:r>
        <w:rPr>
          <w:rFonts w:ascii="Arial" w:hAnsi="Arial"/>
          <w:b/>
          <w:sz w:val="32"/>
          <w:szCs w:val="24"/>
          <w:highlight w:val="none"/>
          <w:lang w:bidi="ar"/>
        </w:rPr>
        <w:t xml:space="preserve">202</w:t>
      </w:r>
      <w:r>
        <w:rPr>
          <w:rFonts w:hint="eastAsia" w:ascii="Arial" w:hAnsi="Arial"/>
          <w:b/>
          <w:sz w:val="32"/>
          <w:szCs w:val="24"/>
          <w:highlight w:val="none"/>
          <w:lang w:val="en-US" w:eastAsia="zh-CN" w:bidi="ar"/>
        </w:rPr>
        <w:t xml:space="preserve">6</w:t>
      </w:r>
      <w:r>
        <w:rPr>
          <w:rFonts w:hint="eastAsia" w:ascii="Arial" w:hAnsi="Arial" w:cs="宋体"/>
          <w:b/>
          <w:sz w:val="32"/>
          <w:szCs w:val="24"/>
          <w:highlight w:val="none"/>
          <w:lang w:bidi="ar"/>
        </w:rPr>
        <w:t xml:space="preserve">年</w:t>
      </w:r>
      <w:r>
        <w:rPr>
          <w:rFonts w:hint="eastAsia" w:ascii="Arial" w:hAnsi="Arial" w:cs="宋体"/>
          <w:b/>
          <w:sz w:val="32"/>
          <w:szCs w:val="24"/>
          <w:highlight w:val="none"/>
          <w:lang w:val="en-US" w:eastAsia="zh-CN" w:bidi="ar"/>
        </w:rPr>
        <w:t xml:space="preserve">1</w:t>
      </w:r>
      <w:r>
        <w:rPr>
          <w:rFonts w:hint="eastAsia" w:ascii="Arial" w:hAnsi="Arial" w:cs="宋体"/>
          <w:b/>
          <w:sz w:val="32"/>
          <w:szCs w:val="24"/>
          <w:highlight w:val="none"/>
          <w:lang w:val="en-US" w:eastAsia="zh-CN" w:bidi="ar"/>
        </w:rPr>
        <w:t xml:space="preserve">0</w:t>
      </w:r>
      <w:r>
        <w:rPr>
          <w:rFonts w:hint="eastAsia" w:ascii="Arial" w:hAnsi="Arial" w:cs="宋体"/>
          <w:b/>
          <w:sz w:val="32"/>
          <w:szCs w:val="24"/>
          <w:highlight w:val="none"/>
          <w:lang w:bidi="ar"/>
        </w:rPr>
        <w:t xml:space="preserve">月</w:t>
      </w:r>
      <w:r>
        <w:rPr>
          <w:rFonts w:hint="eastAsia" w:ascii="Arial" w:hAnsi="Arial" w:cs="宋体"/>
          <w:b/>
          <w:sz w:val="32"/>
          <w:szCs w:val="24"/>
          <w:highlight w:val="none"/>
          <w:lang w:val="en-US" w:eastAsia="zh-CN" w:bidi="ar"/>
        </w:rPr>
        <w:t xml:space="preserve">3</w:t>
      </w:r>
      <w:r>
        <w:rPr>
          <w:rFonts w:hint="eastAsia" w:ascii="Arial" w:hAnsi="Arial" w:cs="宋体"/>
          <w:b/>
          <w:sz w:val="32"/>
          <w:szCs w:val="24"/>
          <w:highlight w:val="none"/>
          <w:lang w:val="en-US" w:eastAsia="zh-CN" w:bidi="ar"/>
        </w:rPr>
        <w:t xml:space="preserve">0</w:t>
      </w:r>
      <w:r>
        <w:rPr>
          <w:rFonts w:hint="eastAsia" w:ascii="Arial" w:hAnsi="Arial" w:cs="宋体"/>
          <w:b/>
          <w:sz w:val="32"/>
          <w:szCs w:val="24"/>
          <w:highlight w:val="none"/>
          <w:lang w:bidi="ar"/>
        </w:rPr>
        <w:t xml:space="preserve">日</w:t>
      </w:r>
      <w:r>
        <w:rPr>
          <w:rFonts w:ascii="Arial" w:hAnsi="Arial"/>
          <w:b/>
          <w:sz w:val="32"/>
          <w:szCs w:val="24"/>
          <w:highlight w:val="none"/>
        </w:rPr>
      </w:r>
      <w:r/>
    </w:p>
    <w:p>
      <w:pPr>
        <w:pStyle w:val="768"/>
        <w:jc w:val="center"/>
        <w:spacing w:before="120" w:after="120" w:line="360" w:lineRule="auto"/>
        <w:rPr>
          <w:rFonts w:ascii="Arial" w:hAnsi="Arial"/>
          <w:b/>
          <w:sz w:val="32"/>
          <w:szCs w:val="24"/>
          <w:highlight w:val="none"/>
        </w:rPr>
      </w:pPr>
      <w:r>
        <w:rPr>
          <w:rFonts w:ascii="Arial" w:hAnsi="Arial"/>
          <w:b/>
          <w:sz w:val="32"/>
          <w:szCs w:val="24"/>
          <w:highlight w:val="none"/>
        </w:rPr>
      </w:r>
      <w:r/>
    </w:p>
    <w:p>
      <w:pPr>
        <w:pStyle w:val="768"/>
        <w:jc w:val="center"/>
        <w:keepLines/>
        <w:keepNext/>
        <w:pageBreakBefore/>
        <w:rPr>
          <w:b/>
          <w:sz w:val="44"/>
          <w:szCs w:val="44"/>
          <w:highlight w:val="none"/>
        </w:rPr>
      </w:pPr>
      <w:r>
        <w:rPr>
          <w:rFonts w:hint="eastAsia"/>
          <w:b/>
          <w:sz w:val="44"/>
          <w:szCs w:val="44"/>
          <w:highlight w:val="none"/>
        </w:rPr>
        <w:t xml:space="preserve">目 录</w:t>
      </w:r>
      <w:r>
        <w:rPr>
          <w:b/>
          <w:sz w:val="44"/>
          <w:szCs w:val="44"/>
          <w:highlight w:val="none"/>
        </w:rPr>
      </w:r>
      <w:r/>
    </w:p>
    <w:p>
      <w:pPr>
        <w:pStyle w:val="827"/>
        <w:spacing w:line="600" w:lineRule="exact"/>
        <w:tabs>
          <w:tab w:val="right" w:pos="9185" w:leader="dot"/>
        </w:tabs>
        <w:rPr>
          <w:rFonts w:ascii="Times New Roman" w:hAnsi="Times New Roman" w:eastAsia="黑体"/>
          <w:b w:val="0"/>
          <w:bCs w:val="0"/>
          <w:sz w:val="32"/>
          <w:highlight w:val="none"/>
        </w:rPr>
      </w:pPr>
      <w:r>
        <w:rPr>
          <w:highlight w:val="none"/>
        </w:rPr>
        <w:fldChar w:fldCharType="begin"/>
      </w:r>
      <w:r>
        <w:rPr>
          <w:highlight w:val="none"/>
        </w:rPr>
        <w:instrText xml:space="preserve">TOC \o "1-1" \h \u </w:instrText>
      </w:r>
      <w:r>
        <w:rPr>
          <w:highlight w:val="none"/>
        </w:rPr>
        <w:fldChar w:fldCharType="separate"/>
      </w: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HYPERLINK \l _Toc10813 </w:instrText>
      </w:r>
      <w:r>
        <w:rPr>
          <w:rFonts w:ascii="Times New Roman" w:hAnsi="Times New Roman" w:eastAsia="黑体"/>
          <w:b w:val="0"/>
          <w:bCs w:val="0"/>
          <w:sz w:val="32"/>
          <w:highlight w:val="none"/>
        </w:rPr>
        <w:fldChar w:fldCharType="separate"/>
      </w:r>
      <w:r>
        <w:rPr>
          <w:rFonts w:hint="eastAsia" w:ascii="Times New Roman" w:hAnsi="Times New Roman" w:eastAsia="黑体"/>
          <w:b w:val="0"/>
          <w:bCs w:val="0"/>
          <w:sz w:val="32"/>
          <w:highlight w:val="none"/>
        </w:rPr>
        <w:t xml:space="preserve">第一章  投标邀请</w:t>
      </w:r>
      <w:r>
        <w:rPr>
          <w:rFonts w:ascii="Times New Roman" w:hAnsi="Times New Roman" w:eastAsia="黑体"/>
          <w:b w:val="0"/>
          <w:bCs w:val="0"/>
          <w:sz w:val="32"/>
          <w:highlight w:val="none"/>
        </w:rPr>
        <w:tab/>
      </w: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PAGEREF _Toc10813 \h </w:instrText>
      </w:r>
      <w:r>
        <w:rPr>
          <w:rFonts w:ascii="Times New Roman" w:hAnsi="Times New Roman" w:eastAsia="黑体"/>
          <w:b w:val="0"/>
          <w:bCs w:val="0"/>
          <w:sz w:val="32"/>
          <w:highlight w:val="none"/>
        </w:rPr>
        <w:fldChar w:fldCharType="separate"/>
      </w:r>
      <w:r>
        <w:rPr>
          <w:rFonts w:ascii="Times New Roman" w:hAnsi="Times New Roman" w:eastAsia="黑体"/>
          <w:b w:val="0"/>
          <w:bCs w:val="0"/>
          <w:sz w:val="32"/>
          <w:highlight w:val="none"/>
        </w:rPr>
        <w:t xml:space="preserve">3</w:t>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r>
      <w:r/>
    </w:p>
    <w:p>
      <w:pPr>
        <w:pStyle w:val="827"/>
        <w:spacing w:line="600" w:lineRule="exact"/>
        <w:tabs>
          <w:tab w:val="right" w:pos="9185" w:leader="dot"/>
        </w:tabs>
        <w:rPr>
          <w:rFonts w:ascii="Times New Roman" w:hAnsi="Times New Roman" w:eastAsia="黑体"/>
          <w:b w:val="0"/>
          <w:bCs w:val="0"/>
          <w:sz w:val="32"/>
          <w:highlight w:val="none"/>
        </w:rPr>
      </w:pP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HYPERLINK \l _Toc9425 </w:instrText>
      </w:r>
      <w:r>
        <w:rPr>
          <w:rFonts w:ascii="Times New Roman" w:hAnsi="Times New Roman" w:eastAsia="黑体"/>
          <w:b w:val="0"/>
          <w:bCs w:val="0"/>
          <w:sz w:val="32"/>
          <w:highlight w:val="none"/>
        </w:rPr>
        <w:fldChar w:fldCharType="separate"/>
      </w:r>
      <w:r>
        <w:rPr>
          <w:rFonts w:hint="eastAsia" w:ascii="Times New Roman" w:hAnsi="Times New Roman" w:eastAsia="黑体"/>
          <w:b w:val="0"/>
          <w:bCs w:val="0"/>
          <w:sz w:val="32"/>
          <w:highlight w:val="none"/>
        </w:rPr>
        <w:t xml:space="preserve">第二章  投标人须知</w:t>
      </w:r>
      <w:r>
        <w:rPr>
          <w:rFonts w:ascii="Times New Roman" w:hAnsi="Times New Roman" w:eastAsia="黑体"/>
          <w:b w:val="0"/>
          <w:bCs w:val="0"/>
          <w:sz w:val="32"/>
          <w:highlight w:val="none"/>
        </w:rPr>
        <w:tab/>
      </w: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PAGEREF _Toc9425 \h </w:instrText>
      </w:r>
      <w:r>
        <w:rPr>
          <w:rFonts w:ascii="Times New Roman" w:hAnsi="Times New Roman" w:eastAsia="黑体"/>
          <w:b w:val="0"/>
          <w:bCs w:val="0"/>
          <w:sz w:val="32"/>
          <w:highlight w:val="none"/>
        </w:rPr>
        <w:fldChar w:fldCharType="separate"/>
      </w:r>
      <w:r>
        <w:rPr>
          <w:rFonts w:ascii="Times New Roman" w:hAnsi="Times New Roman" w:eastAsia="黑体"/>
          <w:b w:val="0"/>
          <w:bCs w:val="0"/>
          <w:sz w:val="32"/>
          <w:highlight w:val="none"/>
        </w:rPr>
        <w:t xml:space="preserve">6</w:t>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r>
      <w:r/>
    </w:p>
    <w:p>
      <w:pPr>
        <w:pStyle w:val="827"/>
        <w:spacing w:line="600" w:lineRule="exact"/>
        <w:tabs>
          <w:tab w:val="right" w:pos="9185" w:leader="dot"/>
        </w:tabs>
        <w:rPr>
          <w:rFonts w:ascii="Times New Roman" w:hAnsi="Times New Roman" w:eastAsia="黑体"/>
          <w:b w:val="0"/>
          <w:bCs w:val="0"/>
          <w:sz w:val="32"/>
          <w:highlight w:val="none"/>
        </w:rPr>
      </w:pP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HYPERLINK \l _Toc17996 </w:instrText>
      </w:r>
      <w:r>
        <w:rPr>
          <w:rFonts w:ascii="Times New Roman" w:hAnsi="Times New Roman" w:eastAsia="黑体"/>
          <w:b w:val="0"/>
          <w:bCs w:val="0"/>
          <w:sz w:val="32"/>
          <w:highlight w:val="none"/>
        </w:rPr>
        <w:fldChar w:fldCharType="separate"/>
      </w:r>
      <w:r>
        <w:rPr>
          <w:rFonts w:hint="eastAsia" w:ascii="Times New Roman" w:hAnsi="Times New Roman" w:eastAsia="黑体" w:cs="Times New Roman"/>
          <w:b w:val="0"/>
          <w:bCs w:val="0"/>
          <w:sz w:val="32"/>
          <w:szCs w:val="44"/>
          <w:highlight w:val="none"/>
        </w:rPr>
        <w:t xml:space="preserve">第三章  资格审查及评标办法</w:t>
      </w:r>
      <w:r>
        <w:rPr>
          <w:rFonts w:ascii="Times New Roman" w:hAnsi="Times New Roman" w:eastAsia="黑体"/>
          <w:b w:val="0"/>
          <w:bCs w:val="0"/>
          <w:sz w:val="32"/>
          <w:highlight w:val="none"/>
        </w:rPr>
        <w:tab/>
      </w: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PAGEREF _Toc17996 \h </w:instrText>
      </w:r>
      <w:r>
        <w:rPr>
          <w:rFonts w:ascii="Times New Roman" w:hAnsi="Times New Roman" w:eastAsia="黑体"/>
          <w:b w:val="0"/>
          <w:bCs w:val="0"/>
          <w:sz w:val="32"/>
          <w:highlight w:val="none"/>
        </w:rPr>
        <w:fldChar w:fldCharType="separate"/>
      </w:r>
      <w:r>
        <w:rPr>
          <w:rFonts w:ascii="Times New Roman" w:hAnsi="Times New Roman" w:eastAsia="黑体"/>
          <w:b w:val="0"/>
          <w:bCs w:val="0"/>
          <w:sz w:val="32"/>
          <w:highlight w:val="none"/>
        </w:rPr>
        <w:t xml:space="preserve">23</w:t>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r>
      <w:r/>
    </w:p>
    <w:p>
      <w:pPr>
        <w:pStyle w:val="827"/>
        <w:spacing w:line="600" w:lineRule="exact"/>
        <w:tabs>
          <w:tab w:val="right" w:pos="9185" w:leader="dot"/>
        </w:tabs>
        <w:rPr>
          <w:rFonts w:hint="eastAsia" w:ascii="Times New Roman" w:hAnsi="Times New Roman" w:eastAsia="黑体"/>
          <w:b w:val="0"/>
          <w:bCs w:val="0"/>
          <w:sz w:val="32"/>
          <w:highlight w:val="none"/>
        </w:rPr>
      </w:pP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HYPERLINK \l _Toc22314 </w:instrText>
      </w:r>
      <w:r>
        <w:rPr>
          <w:rFonts w:ascii="Times New Roman" w:hAnsi="Times New Roman" w:eastAsia="黑体"/>
          <w:b w:val="0"/>
          <w:bCs w:val="0"/>
          <w:sz w:val="32"/>
          <w:highlight w:val="none"/>
        </w:rPr>
        <w:fldChar w:fldCharType="separate"/>
      </w:r>
      <w:r>
        <w:rPr>
          <w:rFonts w:hint="eastAsia" w:ascii="Times New Roman" w:hAnsi="Times New Roman" w:eastAsia="黑体"/>
          <w:b w:val="0"/>
          <w:bCs w:val="0"/>
          <w:sz w:val="32"/>
          <w:szCs w:val="44"/>
          <w:highlight w:val="none"/>
        </w:rPr>
        <w:t xml:space="preserve">第四章</w:t>
      </w:r>
      <w:r>
        <w:rPr>
          <w:rFonts w:ascii="Times New Roman" w:hAnsi="Times New Roman" w:eastAsia="黑体"/>
          <w:b w:val="0"/>
          <w:bCs w:val="0"/>
          <w:sz w:val="32"/>
          <w:szCs w:val="44"/>
          <w:highlight w:val="none"/>
        </w:rPr>
        <w:t xml:space="preserve">  </w:t>
      </w:r>
      <w:r>
        <w:rPr>
          <w:rFonts w:hint="eastAsia" w:ascii="Times New Roman" w:hAnsi="Times New Roman" w:eastAsia="黑体"/>
          <w:b w:val="0"/>
          <w:bCs w:val="0"/>
          <w:sz w:val="32"/>
          <w:szCs w:val="44"/>
          <w:highlight w:val="none"/>
        </w:rPr>
        <w:t xml:space="preserve">采购需求</w:t>
      </w:r>
      <w:r>
        <w:rPr>
          <w:rFonts w:ascii="Times New Roman" w:hAnsi="Times New Roman" w:eastAsia="黑体"/>
          <w:b w:val="0"/>
          <w:bCs w:val="0"/>
          <w:sz w:val="32"/>
          <w:highlight w:val="none"/>
        </w:rPr>
        <w:tab/>
      </w:r>
      <w:r>
        <w:rPr>
          <w:rFonts w:hint="eastAsia" w:ascii="Times New Roman" w:hAnsi="Times New Roman" w:eastAsia="黑体"/>
          <w:b w:val="0"/>
          <w:bCs w:val="0"/>
          <w:sz w:val="32"/>
          <w:highlight w:val="none"/>
        </w:rPr>
        <w:t xml:space="preserve">2</w:t>
      </w:r>
      <w:r>
        <w:rPr>
          <w:rFonts w:hint="eastAsia" w:ascii="Times New Roman" w:hAnsi="Times New Roman" w:eastAsia="黑体"/>
          <w:b w:val="0"/>
          <w:bCs w:val="0"/>
          <w:sz w:val="32"/>
          <w:highlight w:val="none"/>
          <w:lang w:val="en-US" w:eastAsia="zh-CN"/>
        </w:rPr>
        <w:t xml:space="preserve">9</w:t>
      </w:r>
      <w:r>
        <w:rPr>
          <w:rFonts w:ascii="Times New Roman" w:hAnsi="Times New Roman" w:eastAsia="黑体"/>
          <w:b w:val="0"/>
          <w:bCs w:val="0"/>
          <w:sz w:val="32"/>
          <w:highlight w:val="none"/>
        </w:rPr>
        <w:fldChar w:fldCharType="end"/>
      </w:r>
      <w:r>
        <w:rPr>
          <w:rFonts w:hint="eastAsia" w:ascii="Times New Roman" w:hAnsi="Times New Roman" w:eastAsia="黑体"/>
          <w:b w:val="0"/>
          <w:bCs w:val="0"/>
          <w:sz w:val="32"/>
          <w:highlight w:val="none"/>
        </w:rPr>
      </w:r>
      <w:r/>
    </w:p>
    <w:p>
      <w:pPr>
        <w:pStyle w:val="827"/>
        <w:spacing w:line="600" w:lineRule="exact"/>
        <w:tabs>
          <w:tab w:val="right" w:pos="9185" w:leader="dot"/>
        </w:tabs>
        <w:rPr>
          <w:rFonts w:ascii="Times New Roman" w:hAnsi="Times New Roman" w:eastAsia="黑体"/>
          <w:b w:val="0"/>
          <w:bCs w:val="0"/>
          <w:sz w:val="32"/>
          <w:highlight w:val="none"/>
        </w:rPr>
      </w:pP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HYPERLINK \l _Toc2513 </w:instrText>
      </w:r>
      <w:r>
        <w:rPr>
          <w:rFonts w:ascii="Times New Roman" w:hAnsi="Times New Roman" w:eastAsia="黑体"/>
          <w:b w:val="0"/>
          <w:bCs w:val="0"/>
          <w:sz w:val="32"/>
          <w:highlight w:val="none"/>
        </w:rPr>
        <w:fldChar w:fldCharType="separate"/>
      </w:r>
      <w:r>
        <w:rPr>
          <w:rFonts w:hint="eastAsia" w:ascii="Times New Roman" w:hAnsi="Times New Roman" w:eastAsia="黑体"/>
          <w:b w:val="0"/>
          <w:bCs w:val="0"/>
          <w:sz w:val="32"/>
          <w:szCs w:val="44"/>
          <w:highlight w:val="none"/>
        </w:rPr>
        <w:t xml:space="preserve">第五章</w:t>
      </w:r>
      <w:r>
        <w:rPr>
          <w:rFonts w:ascii="Times New Roman" w:hAnsi="Times New Roman" w:eastAsia="黑体"/>
          <w:b w:val="0"/>
          <w:bCs w:val="0"/>
          <w:sz w:val="32"/>
          <w:szCs w:val="44"/>
          <w:highlight w:val="none"/>
        </w:rPr>
        <w:t xml:space="preserve">  </w:t>
      </w:r>
      <w:r>
        <w:rPr>
          <w:rFonts w:hint="eastAsia" w:ascii="Times New Roman" w:hAnsi="Times New Roman" w:eastAsia="黑体"/>
          <w:b w:val="0"/>
          <w:bCs w:val="0"/>
          <w:sz w:val="32"/>
          <w:szCs w:val="44"/>
          <w:highlight w:val="none"/>
        </w:rPr>
        <w:t xml:space="preserve">合同文本</w:t>
      </w:r>
      <w:r>
        <w:rPr>
          <w:rFonts w:ascii="Times New Roman" w:hAnsi="Times New Roman" w:eastAsia="黑体"/>
          <w:b w:val="0"/>
          <w:bCs w:val="0"/>
          <w:sz w:val="32"/>
          <w:highlight w:val="none"/>
        </w:rPr>
        <w:tab/>
      </w: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PAGEREF _Toc2513 \h </w:instrText>
      </w:r>
      <w:r>
        <w:rPr>
          <w:rFonts w:ascii="Times New Roman" w:hAnsi="Times New Roman" w:eastAsia="黑体"/>
          <w:b w:val="0"/>
          <w:bCs w:val="0"/>
          <w:sz w:val="32"/>
          <w:highlight w:val="none"/>
        </w:rPr>
        <w:fldChar w:fldCharType="separate"/>
      </w:r>
      <w:r>
        <w:rPr>
          <w:rFonts w:ascii="Times New Roman" w:hAnsi="Times New Roman" w:eastAsia="黑体"/>
          <w:b w:val="0"/>
          <w:bCs w:val="0"/>
          <w:sz w:val="32"/>
          <w:highlight w:val="none"/>
        </w:rPr>
        <w:t xml:space="preserve">84</w:t>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fldChar w:fldCharType="end"/>
      </w:r>
      <w:r>
        <w:rPr>
          <w:rFonts w:ascii="Times New Roman" w:hAnsi="Times New Roman" w:eastAsia="黑体"/>
          <w:b w:val="0"/>
          <w:bCs w:val="0"/>
          <w:sz w:val="32"/>
          <w:highlight w:val="none"/>
        </w:rPr>
      </w:r>
      <w:r/>
    </w:p>
    <w:p>
      <w:pPr>
        <w:pStyle w:val="827"/>
        <w:spacing w:line="600" w:lineRule="exact"/>
        <w:tabs>
          <w:tab w:val="right" w:pos="9185" w:leader="dot"/>
        </w:tabs>
        <w:rPr>
          <w:rFonts w:eastAsia="黑体"/>
          <w:highlight w:val="none"/>
          <w:lang w:val="en-US" w:eastAsia="zh-CN"/>
        </w:rPr>
      </w:pPr>
      <w:r>
        <w:rPr>
          <w:rFonts w:ascii="Times New Roman" w:hAnsi="Times New Roman" w:eastAsia="黑体"/>
          <w:b w:val="0"/>
          <w:bCs w:val="0"/>
          <w:sz w:val="32"/>
          <w:highlight w:val="none"/>
        </w:rPr>
        <w:fldChar w:fldCharType="begin"/>
      </w:r>
      <w:r>
        <w:rPr>
          <w:rFonts w:ascii="Times New Roman" w:hAnsi="Times New Roman" w:eastAsia="黑体"/>
          <w:b w:val="0"/>
          <w:bCs w:val="0"/>
          <w:sz w:val="32"/>
          <w:highlight w:val="none"/>
        </w:rPr>
        <w:instrText xml:space="preserve"> HYPERLINK \l _Toc12937 </w:instrText>
      </w:r>
      <w:r>
        <w:rPr>
          <w:rFonts w:ascii="Times New Roman" w:hAnsi="Times New Roman" w:eastAsia="黑体"/>
          <w:b w:val="0"/>
          <w:bCs w:val="0"/>
          <w:sz w:val="32"/>
          <w:highlight w:val="none"/>
        </w:rPr>
        <w:fldChar w:fldCharType="separate"/>
      </w:r>
      <w:r>
        <w:rPr>
          <w:rFonts w:hint="eastAsia" w:ascii="Times New Roman" w:hAnsi="Times New Roman" w:eastAsia="黑体"/>
          <w:b w:val="0"/>
          <w:bCs w:val="0"/>
          <w:sz w:val="32"/>
          <w:szCs w:val="44"/>
          <w:highlight w:val="none"/>
        </w:rPr>
        <w:t xml:space="preserve">第六章  投标文件格式</w:t>
      </w:r>
      <w:r>
        <w:rPr>
          <w:rFonts w:ascii="Times New Roman" w:hAnsi="Times New Roman" w:eastAsia="黑体"/>
          <w:b w:val="0"/>
          <w:bCs w:val="0"/>
          <w:sz w:val="32"/>
          <w:highlight w:val="none"/>
        </w:rPr>
        <w:tab/>
      </w:r>
      <w:r>
        <w:rPr>
          <w:rFonts w:hint="eastAsia" w:ascii="Times New Roman" w:hAnsi="Times New Roman" w:eastAsia="黑体"/>
          <w:b w:val="0"/>
          <w:bCs w:val="0"/>
          <w:sz w:val="32"/>
          <w:highlight w:val="none"/>
          <w:lang w:val="en-US" w:eastAsia="zh-CN"/>
        </w:rPr>
        <w:t xml:space="preserve">1</w:t>
      </w:r>
      <w:r>
        <w:rPr>
          <w:rFonts w:ascii="Times New Roman" w:hAnsi="Times New Roman" w:eastAsia="黑体"/>
          <w:b w:val="0"/>
          <w:bCs w:val="0"/>
          <w:sz w:val="32"/>
          <w:highlight w:val="none"/>
        </w:rPr>
        <w:fldChar w:fldCharType="end"/>
      </w:r>
      <w:r>
        <w:rPr>
          <w:rFonts w:hint="eastAsia" w:ascii="Times New Roman" w:hAnsi="Times New Roman" w:eastAsia="黑体"/>
          <w:b w:val="0"/>
          <w:bCs w:val="0"/>
          <w:sz w:val="32"/>
          <w:highlight w:val="none"/>
          <w:lang w:val="en-US" w:eastAsia="zh-CN"/>
        </w:rPr>
        <w:t xml:space="preserve">01</w:t>
      </w:r>
      <w:r>
        <w:rPr>
          <w:rFonts w:eastAsia="黑体"/>
          <w:highlight w:val="none"/>
          <w:lang w:val="en-US" w:eastAsia="zh-CN"/>
        </w:rPr>
      </w:r>
      <w:r/>
    </w:p>
    <w:p>
      <w:pPr>
        <w:pStyle w:val="768"/>
        <w:rPr>
          <w:highlight w:val="none"/>
        </w:rPr>
      </w:pPr>
      <w:r>
        <w:rPr>
          <w:highlight w:val="none"/>
        </w:rPr>
        <w:fldChar w:fldCharType="end"/>
      </w:r>
      <w:r>
        <w:rPr>
          <w:highlight w:val="none"/>
        </w:rPr>
      </w:r>
      <w:r/>
    </w:p>
    <w:p>
      <w:pPr>
        <w:pStyle w:val="768"/>
        <w:keepLines/>
        <w:keepNext/>
        <w:pageBreakBefore/>
        <w:rPr>
          <w:b/>
          <w:sz w:val="44"/>
          <w:szCs w:val="44"/>
          <w:highlight w:val="none"/>
        </w:rPr>
        <w:sectPr>
          <w:headerReference w:type="default" r:id="rId9"/>
          <w:footerReference w:type="default" r:id="rId11"/>
          <w:footerReference w:type="first" r:id="rId12"/>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Pr>
          <w:b/>
          <w:sz w:val="44"/>
          <w:szCs w:val="44"/>
          <w:highlight w:val="none"/>
        </w:rPr>
      </w:r>
      <w:r/>
    </w:p>
    <w:p>
      <w:pPr>
        <w:pStyle w:val="769"/>
        <w:jc w:val="center"/>
        <w:spacing w:before="200"/>
        <w:rPr>
          <w:rFonts w:hint="eastAsia" w:eastAsia="黑体"/>
          <w:sz w:val="44"/>
          <w:highlight w:val="none"/>
        </w:rPr>
      </w:pPr>
      <w:r/>
      <w:bookmarkStart w:id="4" w:name="_Toc30943"/>
      <w:r/>
      <w:bookmarkStart w:id="5" w:name="_Toc10813"/>
      <w:r/>
      <w:bookmarkStart w:id="6" w:name="_Toc25722"/>
      <w:r>
        <w:rPr>
          <w:rFonts w:hint="eastAsia" w:eastAsia="黑体"/>
          <w:sz w:val="44"/>
          <w:highlight w:val="none"/>
        </w:rPr>
        <w:t xml:space="preserve">第一部分</w:t>
      </w:r>
      <w:r>
        <w:rPr>
          <w:rFonts w:hint="eastAsia" w:eastAsia="黑体"/>
          <w:sz w:val="44"/>
          <w:highlight w:val="none"/>
          <w:lang w:eastAsia="zh-CN"/>
        </w:rPr>
        <w:t xml:space="preserve"> </w:t>
      </w:r>
      <w:r>
        <w:rPr>
          <w:rFonts w:hint="eastAsia" w:eastAsia="黑体"/>
          <w:sz w:val="44"/>
          <w:highlight w:val="none"/>
        </w:rPr>
        <w:t xml:space="preserve">投标邀请</w:t>
      </w:r>
      <w:bookmarkEnd w:id="2"/>
      <w:r/>
      <w:bookmarkEnd w:id="3"/>
      <w:r/>
      <w:bookmarkEnd w:id="4"/>
      <w:r/>
      <w:bookmarkEnd w:id="5"/>
      <w:r/>
      <w:bookmarkEnd w:id="6"/>
      <w:r>
        <w:rPr>
          <w:rFonts w:hint="eastAsia" w:eastAsia="黑体"/>
          <w:sz w:val="44"/>
          <w:highlight w:val="none"/>
        </w:rPr>
      </w:r>
      <w:r/>
    </w:p>
    <w:p>
      <w:pPr>
        <w:pStyle w:val="768"/>
        <w:ind w:firstLine="480"/>
        <w:spacing w:line="480" w:lineRule="exact"/>
        <w:rPr>
          <w:rFonts w:ascii="Times New Roman" w:hAnsi="Times New Roman" w:cs="方正仿宋_GBK"/>
          <w:sz w:val="24"/>
          <w:szCs w:val="24"/>
          <w:highlight w:val="none"/>
        </w:rPr>
      </w:pPr>
      <w:r>
        <w:rPr>
          <w:rFonts w:hint="eastAsia" w:ascii="宋体" w:hAnsi="宋体"/>
          <w:sz w:val="24"/>
          <w:szCs w:val="24"/>
          <w:highlight w:val="none"/>
        </w:rPr>
        <w:t xml:space="preserve">受</w:t>
      </w:r>
      <w:r>
        <w:rPr>
          <w:rFonts w:hint="eastAsia" w:ascii="宋体" w:hAnsi="宋体"/>
          <w:sz w:val="24"/>
          <w:szCs w:val="24"/>
          <w:highlight w:val="none"/>
          <w:u w:val="single"/>
          <w:lang w:eastAsia="zh-CN"/>
        </w:rPr>
        <w:t xml:space="preserve">泗洪县太平实验学校</w:t>
      </w:r>
      <w:r>
        <w:rPr>
          <w:rFonts w:hint="eastAsia" w:ascii="宋体" w:hAnsi="宋体"/>
          <w:sz w:val="24"/>
          <w:szCs w:val="24"/>
          <w:highlight w:val="none"/>
        </w:rPr>
        <w:t xml:space="preserve">的委托，</w:t>
      </w:r>
      <w:r>
        <w:rPr>
          <w:rFonts w:hint="eastAsia" w:ascii="Times New Roman" w:hAnsi="Times New Roman" w:cs="方正仿宋_GBK"/>
          <w:sz w:val="24"/>
          <w:szCs w:val="24"/>
          <w:highlight w:val="none"/>
          <w:u w:val="single"/>
        </w:rPr>
        <w:t xml:space="preserve">（江苏盛力项目管理有限公司）</w:t>
      </w:r>
      <w:r>
        <w:rPr>
          <w:rFonts w:hint="eastAsia" w:ascii="Times New Roman" w:hAnsi="Times New Roman" w:cs="方正仿宋_GBK"/>
          <w:sz w:val="24"/>
          <w:szCs w:val="24"/>
          <w:highlight w:val="none"/>
        </w:rPr>
        <w:t xml:space="preserve">就</w:t>
      </w:r>
      <w:r>
        <w:rPr>
          <w:rFonts w:hint="eastAsia" w:ascii="宋体" w:hAnsi="宋体"/>
          <w:sz w:val="24"/>
          <w:szCs w:val="24"/>
          <w:highlight w:val="none"/>
          <w:u w:val="single"/>
          <w:lang w:eastAsia="zh-CN"/>
        </w:rPr>
        <w:t xml:space="preserve">泗洪县太平实验学校体育设施改造项目</w:t>
      </w:r>
      <w:r>
        <w:rPr>
          <w:rFonts w:hint="eastAsia" w:ascii="宋体" w:hAnsi="宋体"/>
          <w:sz w:val="24"/>
          <w:szCs w:val="24"/>
          <w:highlight w:val="none"/>
        </w:rPr>
        <w:t xml:space="preserve">(</w:t>
      </w:r>
      <w:r>
        <w:rPr>
          <w:rFonts w:hint="eastAsia" w:ascii="宋体" w:hAnsi="宋体"/>
          <w:sz w:val="24"/>
          <w:szCs w:val="24"/>
          <w:highlight w:val="none"/>
          <w:u w:val="single"/>
        </w:rPr>
        <w:t xml:space="preserve">JSZC-321324-JSSL-G2026-0007</w:t>
      </w:r>
      <w:r>
        <w:rPr>
          <w:rFonts w:hint="eastAsia" w:ascii="宋体" w:hAnsi="宋体"/>
          <w:sz w:val="24"/>
          <w:szCs w:val="24"/>
          <w:highlight w:val="none"/>
        </w:rPr>
        <w:t xml:space="preserve">)</w:t>
      </w:r>
      <w:r>
        <w:rPr>
          <w:rFonts w:hint="eastAsia" w:ascii="Times New Roman" w:hAnsi="Times New Roman" w:cs="方正仿宋_GBK"/>
          <w:sz w:val="24"/>
          <w:szCs w:val="24"/>
          <w:highlight w:val="none"/>
        </w:rPr>
        <w:t xml:space="preserve">进行公开招标采购，欢迎符合条件的投标人投标。</w:t>
      </w:r>
      <w:r>
        <w:rPr>
          <w:rFonts w:ascii="Times New Roman" w:hAnsi="Times New Roman" w:cs="方正仿宋_GBK"/>
          <w:sz w:val="24"/>
          <w:szCs w:val="24"/>
          <w:highlight w:val="none"/>
        </w:rPr>
      </w:r>
      <w:r/>
    </w:p>
    <w:p>
      <w:pPr>
        <w:pStyle w:val="768"/>
        <w:ind w:firstLine="480"/>
        <w:spacing w:line="480" w:lineRule="exact"/>
        <w:rPr>
          <w:rFonts w:ascii="Times New Roman" w:hAnsi="Times New Roman" w:cs="方正仿宋_GBK"/>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highlight w:val="none"/>
        </w:rPr>
        <w:t xml:space="preserve">项目概况</w:t>
      </w:r>
      <w:r>
        <w:rPr>
          <w:rFonts w:ascii="Times New Roman" w:hAnsi="Times New Roman" w:cs="方正仿宋_GBK"/>
          <w:sz w:val="24"/>
          <w:szCs w:val="24"/>
          <w:highlight w:val="none"/>
        </w:rPr>
      </w:r>
      <w:r/>
    </w:p>
    <w:p>
      <w:pPr>
        <w:pStyle w:val="768"/>
        <w:ind w:firstLine="480"/>
        <w:spacing w:line="480" w:lineRule="exact"/>
        <w:rPr>
          <w:rFonts w:ascii="方正仿宋_GBK" w:hAnsi="方正仿宋_GBK" w:eastAsia="方正仿宋_GBK" w:cs="方正仿宋_GBK"/>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lang w:eastAsia="zh-CN"/>
        </w:rPr>
        <w:t xml:space="preserve">泗洪县太平实验学校体育设施改造项目</w:t>
      </w:r>
      <w:r>
        <w:rPr>
          <w:rFonts w:hint="eastAsia" w:ascii="Times New Roman" w:hAnsi="Times New Roman" w:cs="方正仿宋_GBK"/>
          <w:sz w:val="24"/>
          <w:szCs w:val="24"/>
          <w:highlight w:val="none"/>
        </w:rPr>
        <w:t xml:space="preserve">招标项目的潜在投标人可在“江苏政府采购网”、</w:t>
      </w:r>
      <w:r>
        <w:rPr>
          <w:rFonts w:hint="eastAsia" w:ascii="Times New Roman" w:hAnsi="Times New Roman" w:cs="方正仿宋_GBK"/>
          <w:sz w:val="24"/>
          <w:szCs w:val="24"/>
          <w:highlight w:val="none"/>
          <w:u w:val="single"/>
        </w:rPr>
        <w:t xml:space="preserve">“宿迁市政府采购网”自行免费</w:t>
      </w:r>
      <w:r>
        <w:rPr>
          <w:rFonts w:hint="eastAsia" w:ascii="Times New Roman" w:hAnsi="Times New Roman" w:cs="方正仿宋_GBK"/>
          <w:sz w:val="24"/>
          <w:szCs w:val="24"/>
          <w:highlight w:val="none"/>
        </w:rPr>
        <w:t xml:space="preserve">获取招标文件，并于</w:t>
      </w:r>
      <w:r>
        <w:rPr>
          <w:rFonts w:hint="eastAsia" w:ascii="宋体" w:hAnsi="宋体"/>
          <w:sz w:val="24"/>
          <w:szCs w:val="24"/>
          <w:highlight w:val="none"/>
          <w:u w:val="single"/>
        </w:rPr>
        <w:t xml:space="preserve">202</w:t>
      </w:r>
      <w:r>
        <w:rPr>
          <w:rFonts w:hint="eastAsia" w:ascii="宋体" w:hAnsi="宋体"/>
          <w:sz w:val="24"/>
          <w:szCs w:val="24"/>
          <w:highlight w:val="none"/>
          <w:u w:val="single"/>
          <w:lang w:val="en-US" w:eastAsia="zh-CN"/>
        </w:rPr>
        <w:t xml:space="preserve">6</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1</w:t>
      </w:r>
      <w:r>
        <w:rPr>
          <w:rFonts w:hint="eastAsia" w:ascii="宋体" w:hAnsi="宋体"/>
          <w:bCs/>
          <w:sz w:val="24"/>
          <w:szCs w:val="24"/>
          <w:highlight w:val="none"/>
          <w:u w:val="single"/>
          <w:lang w:val="en-US" w:eastAsia="zh-CN"/>
        </w:rPr>
        <w:t xml:space="preserve">1</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1</w:t>
      </w:r>
      <w:r>
        <w:rPr>
          <w:rFonts w:hint="eastAsia" w:ascii="宋体" w:hAnsi="宋体"/>
          <w:bCs/>
          <w:sz w:val="24"/>
          <w:szCs w:val="24"/>
          <w:highlight w:val="none"/>
          <w:u w:val="single"/>
          <w:lang w:val="en-US" w:eastAsia="zh-CN"/>
        </w:rPr>
        <w:t xml:space="preserve">7</w:t>
      </w:r>
      <w:r>
        <w:rPr>
          <w:rFonts w:hint="eastAsia" w:ascii="宋体" w:hAnsi="宋体"/>
          <w:bCs/>
          <w:sz w:val="24"/>
          <w:szCs w:val="24"/>
          <w:highlight w:val="none"/>
          <w:u w:val="single"/>
        </w:rPr>
        <w:t xml:space="preserve">日09点00分（</w:t>
      </w:r>
      <w:r>
        <w:rPr>
          <w:rFonts w:hint="eastAsia" w:ascii="宋体" w:hAnsi="宋体"/>
          <w:bCs/>
          <w:sz w:val="24"/>
          <w:szCs w:val="24"/>
          <w:highlight w:val="none"/>
        </w:rPr>
        <w:t xml:space="preserve">北京时间）</w:t>
      </w:r>
      <w:r>
        <w:rPr>
          <w:rFonts w:hint="eastAsia" w:ascii="Times New Roman" w:hAnsi="Times New Roman" w:cs="方正仿宋_GBK"/>
          <w:bCs/>
          <w:sz w:val="24"/>
          <w:szCs w:val="24"/>
          <w:highlight w:val="none"/>
        </w:rPr>
        <w:t xml:space="preserve">前递交投标文件</w:t>
      </w:r>
      <w:r>
        <w:rPr>
          <w:rFonts w:hint="eastAsia" w:ascii="Times New Roman" w:hAnsi="Times New Roman" w:cs="方正仿宋_GBK"/>
          <w:sz w:val="24"/>
          <w:szCs w:val="24"/>
          <w:highlight w:val="none"/>
        </w:rPr>
        <w:t xml:space="preserve">。</w:t>
      </w:r>
      <w:r>
        <w:rPr>
          <w:rFonts w:ascii="方正仿宋_GBK" w:hAnsi="方正仿宋_GBK" w:eastAsia="方正仿宋_GBK" w:cs="方正仿宋_GBK"/>
          <w:sz w:val="24"/>
          <w:szCs w:val="24"/>
          <w:highlight w:val="none"/>
        </w:rPr>
      </w:r>
      <w:r/>
    </w:p>
    <w:p>
      <w:pPr>
        <w:pStyle w:val="770"/>
        <w:ind w:firstLine="680"/>
        <w:spacing w:before="0" w:after="0" w:line="480" w:lineRule="exact"/>
        <w:rPr>
          <w:rFonts w:hint="eastAsia" w:eastAsia="宋体" w:cs="Arial"/>
          <w:bCs/>
          <w:szCs w:val="22"/>
          <w:highlight w:val="none"/>
        </w:rPr>
      </w:pPr>
      <w:r/>
      <w:bookmarkStart w:id="7" w:name="_Toc38985263"/>
      <w:r/>
      <w:bookmarkStart w:id="8" w:name="_Toc2584"/>
      <w:r/>
      <w:bookmarkStart w:id="9" w:name="_Toc28359079"/>
      <w:r/>
      <w:bookmarkStart w:id="10" w:name="_Toc35393790"/>
      <w:r/>
      <w:bookmarkStart w:id="11" w:name="_Toc35393621"/>
      <w:r/>
      <w:bookmarkStart w:id="12" w:name="_Toc28359002"/>
      <w:r/>
      <w:bookmarkStart w:id="13" w:name="_Hlk24379207"/>
      <w:r>
        <w:rPr>
          <w:rFonts w:hint="eastAsia" w:eastAsia="宋体" w:cs="Arial"/>
          <w:bCs/>
          <w:szCs w:val="22"/>
          <w:highlight w:val="none"/>
        </w:rPr>
        <w:t xml:space="preserve">一、项目基本情况</w:t>
      </w:r>
      <w:bookmarkEnd w:id="7"/>
      <w:r/>
      <w:bookmarkEnd w:id="8"/>
      <w:r/>
      <w:bookmarkEnd w:id="9"/>
      <w:r/>
      <w:bookmarkEnd w:id="10"/>
      <w:r/>
      <w:bookmarkEnd w:id="11"/>
      <w:r/>
      <w:bookmarkEnd w:id="12"/>
      <w:r>
        <w:rPr>
          <w:rFonts w:hint="eastAsia" w:eastAsia="宋体" w:cs="Arial"/>
          <w:bCs/>
          <w:szCs w:val="22"/>
          <w:highlight w:val="none"/>
        </w:rPr>
      </w:r>
      <w:r/>
    </w:p>
    <w:p>
      <w:pPr>
        <w:pStyle w:val="768"/>
        <w:ind w:firstLine="480"/>
        <w:spacing w:line="480" w:lineRule="exact"/>
        <w:rPr>
          <w:rFonts w:hint="eastAsia" w:ascii="Times New Roman" w:hAnsi="Times New Roman" w:eastAsia="宋体" w:cs="仿宋"/>
          <w:sz w:val="24"/>
          <w:szCs w:val="24"/>
          <w:highlight w:val="none"/>
          <w:lang w:eastAsia="zh-CN"/>
        </w:rPr>
      </w:pPr>
      <w:r>
        <w:rPr>
          <w:rFonts w:hint="eastAsia" w:ascii="Times New Roman" w:hAnsi="Times New Roman" w:cs="仿宋"/>
          <w:sz w:val="24"/>
          <w:szCs w:val="24"/>
          <w:highlight w:val="none"/>
        </w:rPr>
        <w:t xml:space="preserve">1.项目编号：JSZC-321324-JSSL-G2026-0007</w:t>
      </w:r>
      <w:r>
        <w:rPr>
          <w:rFonts w:hint="eastAsia" w:ascii="Times New Roman" w:hAnsi="Times New Roman" w:cs="仿宋"/>
          <w:sz w:val="24"/>
          <w:szCs w:val="24"/>
          <w:highlight w:val="none"/>
          <w:lang w:val="en-US" w:eastAsia="zh-CN"/>
        </w:rPr>
        <w:t xml:space="preserve"> </w:t>
      </w:r>
      <w:r>
        <w:rPr>
          <w:rFonts w:hint="eastAsia" w:ascii="Times New Roman" w:hAnsi="Times New Roman" w:eastAsia="宋体" w:cs="仿宋"/>
          <w:sz w:val="24"/>
          <w:szCs w:val="24"/>
          <w:highlight w:val="none"/>
          <w:lang w:eastAsia="zh-CN"/>
        </w:rPr>
      </w:r>
      <w:r/>
    </w:p>
    <w:p>
      <w:pPr>
        <w:pStyle w:val="768"/>
        <w:ind w:firstLine="480"/>
        <w:spacing w:line="480" w:lineRule="exact"/>
        <w:rPr>
          <w:rFonts w:hint="eastAsia" w:ascii="Times New Roman" w:hAnsi="Times New Roman" w:eastAsia="宋体" w:cs="仿宋"/>
          <w:sz w:val="24"/>
          <w:szCs w:val="24"/>
          <w:highlight w:val="none"/>
          <w:lang w:eastAsia="zh-CN"/>
        </w:rPr>
      </w:pPr>
      <w:r>
        <w:rPr>
          <w:rFonts w:hint="eastAsia" w:ascii="Times New Roman" w:hAnsi="Times New Roman" w:cs="仿宋"/>
          <w:sz w:val="24"/>
          <w:szCs w:val="24"/>
          <w:highlight w:val="none"/>
        </w:rPr>
        <w:t xml:space="preserve">2.项目名称：</w:t>
      </w:r>
      <w:bookmarkEnd w:id="13"/>
      <w:r>
        <w:rPr>
          <w:rFonts w:hint="eastAsia" w:ascii="Times New Roman" w:hAnsi="Times New Roman" w:cs="仿宋"/>
          <w:sz w:val="24"/>
          <w:szCs w:val="24"/>
          <w:highlight w:val="none"/>
          <w:lang w:eastAsia="zh-CN"/>
        </w:rPr>
        <w:t xml:space="preserve">泗洪县太平实验学校体育设施改造项目</w:t>
      </w:r>
      <w:r>
        <w:rPr>
          <w:rFonts w:hint="eastAsia" w:ascii="Times New Roman" w:hAnsi="Times New Roman" w:eastAsia="宋体" w:cs="仿宋"/>
          <w:sz w:val="24"/>
          <w:szCs w:val="24"/>
          <w:highlight w:val="none"/>
          <w:lang w:eastAsia="zh-CN"/>
        </w:rPr>
      </w:r>
      <w:r/>
    </w:p>
    <w:p>
      <w:pPr>
        <w:pStyle w:val="768"/>
        <w:ind w:firstLine="480"/>
        <w:spacing w:line="480" w:lineRule="exact"/>
        <w:rPr>
          <w:rFonts w:hint="eastAsia" w:ascii="仿宋" w:hAnsi="仿宋"/>
          <w:sz w:val="24"/>
          <w:szCs w:val="24"/>
          <w:highlight w:val="none"/>
        </w:rPr>
      </w:pPr>
      <w:r>
        <w:rPr>
          <w:rFonts w:hint="eastAsia" w:ascii="Times New Roman" w:hAnsi="Times New Roman" w:cs="仿宋"/>
          <w:sz w:val="24"/>
          <w:szCs w:val="24"/>
          <w:highlight w:val="none"/>
        </w:rPr>
        <w:t xml:space="preserve">3.预算金额：</w:t>
      </w:r>
      <w:r>
        <w:rPr>
          <w:rFonts w:hint="eastAsia" w:ascii="Times New Roman" w:hAnsi="Times New Roman" w:cs="仿宋"/>
          <w:sz w:val="24"/>
          <w:szCs w:val="24"/>
          <w:highlight w:val="none"/>
          <w:lang w:val="en-US" w:eastAsia="zh-CN"/>
        </w:rPr>
        <w:t xml:space="preserve">331.566</w:t>
      </w:r>
      <w:r>
        <w:rPr>
          <w:rFonts w:hint="eastAsia" w:ascii="Times New Roman" w:hAnsi="Times New Roman" w:cs="仿宋"/>
          <w:sz w:val="24"/>
          <w:szCs w:val="24"/>
          <w:highlight w:val="none"/>
        </w:rPr>
        <w:t xml:space="preserve">万元</w:t>
      </w:r>
      <w:r>
        <w:rPr>
          <w:rFonts w:hint="eastAsia" w:ascii="仿宋" w:hAnsi="仿宋"/>
          <w:sz w:val="24"/>
          <w:szCs w:val="24"/>
          <w:highlight w:val="none"/>
        </w:rPr>
      </w:r>
      <w:r/>
    </w:p>
    <w:p>
      <w:pPr>
        <w:pStyle w:val="768"/>
        <w:ind w:firstLine="480"/>
        <w:spacing w:line="480" w:lineRule="exact"/>
        <w:rPr>
          <w:rFonts w:hint="eastAsia" w:ascii="仿宋" w:hAnsi="仿宋"/>
          <w:sz w:val="24"/>
          <w:szCs w:val="24"/>
          <w:highlight w:val="none"/>
        </w:rPr>
      </w:pPr>
      <w:r>
        <w:rPr>
          <w:rFonts w:hint="eastAsia" w:ascii="Times New Roman" w:hAnsi="Times New Roman" w:cs="仿宋"/>
          <w:sz w:val="24"/>
          <w:szCs w:val="24"/>
          <w:highlight w:val="none"/>
        </w:rPr>
        <w:t xml:space="preserve">4.</w:t>
      </w:r>
      <w:bookmarkStart w:id="14" w:name="OLE_LINK39"/>
      <w:r/>
      <w:bookmarkStart w:id="15" w:name="OLE_LINK40"/>
      <w:r>
        <w:rPr>
          <w:rFonts w:hint="eastAsia" w:ascii="Times New Roman" w:hAnsi="Times New Roman" w:cs="仿宋"/>
          <w:sz w:val="24"/>
          <w:szCs w:val="24"/>
          <w:highlight w:val="none"/>
        </w:rPr>
        <w:t xml:space="preserve">最高限价（如有）：本项目设定最高限价，最高限价为</w:t>
      </w:r>
      <w:r>
        <w:rPr>
          <w:rFonts w:hint="eastAsia" w:ascii="仿宋_GB2312"/>
          <w:sz w:val="24"/>
          <w:highlight w:val="none"/>
        </w:rPr>
        <w:t xml:space="preserve">：</w:t>
      </w:r>
      <w:bookmarkStart w:id="16" w:name="EB6c1f3d39c6914ae1bada8ccaa777b37a"/>
      <w:r>
        <w:rPr>
          <w:rFonts w:hint="eastAsia" w:ascii="仿宋_GB2312"/>
          <w:sz w:val="24"/>
          <w:highlight w:val="none"/>
          <w:lang w:val="en-US" w:eastAsia="zh-CN"/>
        </w:rPr>
        <w:t xml:space="preserve">331.566</w:t>
      </w:r>
      <w:r>
        <w:rPr>
          <w:rFonts w:hint="eastAsia" w:ascii="仿宋_GB2312"/>
          <w:sz w:val="24"/>
          <w:highlight w:val="none"/>
        </w:rPr>
        <w:t xml:space="preserve">万元</w:t>
      </w:r>
      <w:r>
        <w:rPr>
          <w:rFonts w:hint="eastAsia" w:ascii="仿宋" w:hAnsi="仿宋"/>
          <w:sz w:val="24"/>
          <w:szCs w:val="24"/>
          <w:highlight w:val="none"/>
        </w:rPr>
      </w:r>
      <w:r/>
    </w:p>
    <w:p>
      <w:pPr>
        <w:pStyle w:val="768"/>
        <w:ind w:firstLine="480"/>
        <w:spacing w:line="480" w:lineRule="exact"/>
        <w:rPr>
          <w:rFonts w:hint="eastAsia" w:ascii="Times New Roman" w:hAnsi="Times New Roman" w:cs="仿宋"/>
          <w:sz w:val="24"/>
          <w:szCs w:val="24"/>
          <w:highlight w:val="none"/>
        </w:rPr>
      </w:pPr>
      <w:r/>
      <w:bookmarkEnd w:id="14"/>
      <w:r/>
      <w:bookmarkEnd w:id="15"/>
      <w:r/>
      <w:bookmarkEnd w:id="16"/>
      <w:r>
        <w:rPr>
          <w:rFonts w:hint="eastAsia" w:ascii="Times New Roman" w:hAnsi="Times New Roman" w:cs="仿宋"/>
          <w:sz w:val="24"/>
          <w:szCs w:val="24"/>
          <w:highlight w:val="none"/>
        </w:rPr>
        <w:t xml:space="preserve">5.采购需求（简介）：</w:t>
      </w:r>
      <w:bookmarkStart w:id="17" w:name="OLE_LINK34"/>
      <w:r/>
      <w:bookmarkStart w:id="18" w:name="OLE_LINK35"/>
      <w:r>
        <w:rPr>
          <w:rFonts w:hint="eastAsia" w:ascii="Times New Roman" w:hAnsi="Times New Roman" w:cs="仿宋"/>
          <w:sz w:val="24"/>
          <w:szCs w:val="24"/>
          <w:highlight w:val="none"/>
        </w:rPr>
        <w:t xml:space="preserve">本项目为泗洪县太平实验学校体育设施改造项目，主要内容为拟采购一批传统体育器材、智慧体育产品、科技与体育相结合产品、校园监控设备等。</w:t>
      </w:r>
      <w:r>
        <w:rPr>
          <w:rFonts w:hint="eastAsia" w:cs="宋体"/>
          <w:sz w:val="24"/>
          <w:szCs w:val="24"/>
          <w:highlight w:val="none"/>
        </w:rPr>
        <w:t xml:space="preserve">（详细内容见本招标文件第四章）</w:t>
      </w:r>
      <w:bookmarkEnd w:id="17"/>
      <w:r/>
      <w:bookmarkEnd w:id="18"/>
      <w:r>
        <w:rPr>
          <w:rFonts w:hint="eastAsia" w:ascii="Times New Roman" w:hAnsi="Times New Roman" w:cs="仿宋"/>
          <w:sz w:val="24"/>
          <w:szCs w:val="24"/>
          <w:highlight w:val="none"/>
        </w:rPr>
      </w:r>
      <w:r/>
    </w:p>
    <w:p>
      <w:pPr>
        <w:pStyle w:val="768"/>
        <w:ind w:firstLine="480"/>
        <w:spacing w:line="560" w:lineRule="exact"/>
        <w:rPr>
          <w:rFonts w:hint="eastAsia"/>
          <w:sz w:val="24"/>
          <w:szCs w:val="24"/>
          <w:highlight w:val="none"/>
        </w:rPr>
      </w:pPr>
      <w:r>
        <w:rPr>
          <w:rFonts w:hint="eastAsia" w:ascii="Times New Roman" w:hAnsi="Times New Roman" w:cs="仿宋"/>
          <w:sz w:val="24"/>
          <w:szCs w:val="24"/>
          <w:highlight w:val="none"/>
        </w:rPr>
        <w:t xml:space="preserve">6.</w:t>
      </w:r>
      <w:r>
        <w:rPr>
          <w:rFonts w:hint="eastAsia" w:ascii="Times New Roman" w:hAnsi="Times New Roman" w:cs="仿宋"/>
          <w:sz w:val="24"/>
          <w:szCs w:val="24"/>
          <w:highlight w:val="none"/>
          <w:lang w:val="en-US" w:eastAsia="zh-CN"/>
        </w:rPr>
        <w:t xml:space="preserve">合同履约期限：45日历天完成供货并安装调试完毕</w:t>
      </w:r>
      <w:r>
        <w:rPr>
          <w:rFonts w:hint="eastAsia" w:ascii="Times New Roman" w:hAnsi="Times New Roman" w:cs="仿宋"/>
          <w:sz w:val="24"/>
          <w:szCs w:val="24"/>
          <w:highlight w:val="none"/>
        </w:rPr>
        <w:t xml:space="preserve">（自合同</w:t>
      </w:r>
      <w:r>
        <w:rPr>
          <w:rFonts w:hint="eastAsia" w:ascii="Times New Roman" w:hAnsi="Times New Roman" w:cs="仿宋"/>
          <w:sz w:val="24"/>
          <w:szCs w:val="24"/>
          <w:highlight w:val="none"/>
          <w:lang w:val="en-US" w:eastAsia="zh-CN"/>
        </w:rPr>
        <w:t xml:space="preserve">签订之日起算</w:t>
      </w:r>
      <w:r>
        <w:rPr>
          <w:rFonts w:hint="eastAsia" w:ascii="Times New Roman" w:hAnsi="Times New Roman" w:cs="仿宋"/>
          <w:sz w:val="24"/>
          <w:szCs w:val="24"/>
          <w:highlight w:val="none"/>
        </w:rPr>
        <w:t xml:space="preserve">）</w:t>
      </w:r>
      <w:r>
        <w:rPr>
          <w:rFonts w:hint="eastAsia"/>
          <w:sz w:val="24"/>
          <w:szCs w:val="24"/>
          <w:highlight w:val="none"/>
        </w:rPr>
      </w:r>
      <w:r/>
    </w:p>
    <w:p>
      <w:pPr>
        <w:pStyle w:val="768"/>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7.本项目</w:t>
      </w:r>
      <w:r>
        <w:rPr>
          <w:rFonts w:hint="eastAsia" w:ascii="Times New Roman" w:hAnsi="Times New Roman" w:cs="仿宋"/>
          <w:sz w:val="24"/>
          <w:szCs w:val="24"/>
          <w:highlight w:val="none"/>
          <w:u w:val="single"/>
        </w:rPr>
        <w:t xml:space="preserve"> 不接受 </w:t>
      </w:r>
      <w:r>
        <w:rPr>
          <w:rFonts w:hint="eastAsia" w:ascii="Times New Roman" w:hAnsi="Times New Roman" w:cs="仿宋"/>
          <w:sz w:val="24"/>
          <w:szCs w:val="24"/>
          <w:highlight w:val="none"/>
        </w:rPr>
        <w:t xml:space="preserve">联合体投标。</w:t>
      </w:r>
      <w:r>
        <w:rPr>
          <w:rFonts w:hint="eastAsia" w:ascii="Times New Roman" w:hAnsi="Times New Roman" w:cs="仿宋"/>
          <w:sz w:val="24"/>
          <w:szCs w:val="24"/>
          <w:highlight w:val="none"/>
        </w:rPr>
      </w:r>
      <w:r/>
    </w:p>
    <w:p>
      <w:pPr>
        <w:pStyle w:val="770"/>
        <w:ind w:firstLine="680"/>
        <w:spacing w:before="0" w:after="0" w:line="480" w:lineRule="exact"/>
        <w:rPr>
          <w:rFonts w:hint="eastAsia" w:eastAsia="宋体" w:cs="Arial"/>
          <w:bCs/>
          <w:szCs w:val="22"/>
          <w:highlight w:val="none"/>
        </w:rPr>
      </w:pPr>
      <w:r/>
      <w:bookmarkStart w:id="19" w:name="_Toc28359080"/>
      <w:r/>
      <w:bookmarkStart w:id="20" w:name="_Toc28359003"/>
      <w:r/>
      <w:bookmarkStart w:id="21" w:name="_Toc38985264"/>
      <w:r/>
      <w:bookmarkStart w:id="22" w:name="_Toc27291"/>
      <w:r/>
      <w:bookmarkStart w:id="23" w:name="_Toc35393791"/>
      <w:r/>
      <w:bookmarkStart w:id="24" w:name="_Toc35393622"/>
      <w:r>
        <w:rPr>
          <w:rFonts w:hint="eastAsia" w:eastAsia="宋体" w:cs="Arial"/>
          <w:bCs/>
          <w:szCs w:val="22"/>
          <w:highlight w:val="none"/>
        </w:rPr>
        <w:t xml:space="preserve">二、申请人的资格要求</w:t>
      </w:r>
      <w:bookmarkEnd w:id="19"/>
      <w:r/>
      <w:bookmarkEnd w:id="20"/>
      <w:r/>
      <w:bookmarkEnd w:id="21"/>
      <w:r/>
      <w:bookmarkEnd w:id="22"/>
      <w:r/>
      <w:bookmarkEnd w:id="23"/>
      <w:r/>
      <w:bookmarkEnd w:id="24"/>
      <w:r>
        <w:rPr>
          <w:rFonts w:hint="eastAsia" w:eastAsia="宋体" w:cs="Arial"/>
          <w:bCs/>
          <w:szCs w:val="22"/>
          <w:highlight w:val="none"/>
        </w:rPr>
      </w:r>
      <w:r/>
    </w:p>
    <w:p>
      <w:pPr>
        <w:pStyle w:val="768"/>
        <w:ind w:firstLine="480"/>
        <w:spacing w:line="480" w:lineRule="exact"/>
        <w:rPr>
          <w:rFonts w:hint="eastAsia" w:ascii="Times New Roman" w:hAnsi="Times New Roman" w:cs="仿宋"/>
          <w:sz w:val="24"/>
          <w:szCs w:val="24"/>
          <w:highlight w:val="none"/>
        </w:rPr>
      </w:pPr>
      <w:r/>
      <w:bookmarkStart w:id="25" w:name="_Toc38985265"/>
      <w:r/>
      <w:bookmarkStart w:id="26" w:name="_Toc35393792"/>
      <w:r/>
      <w:bookmarkStart w:id="27" w:name="_Toc28359004"/>
      <w:r/>
      <w:bookmarkStart w:id="28" w:name="_Toc35393623"/>
      <w:r/>
      <w:bookmarkStart w:id="29" w:name="_Toc28359081"/>
      <w:r>
        <w:rPr>
          <w:rFonts w:hint="eastAsia" w:ascii="Times New Roman" w:hAnsi="Times New Roman" w:cs="仿宋"/>
          <w:sz w:val="24"/>
          <w:szCs w:val="24"/>
          <w:highlight w:val="none"/>
        </w:rPr>
        <w:t xml:space="preserve">（一）通用资格要求</w:t>
      </w:r>
      <w:r>
        <w:rPr>
          <w:rFonts w:hint="eastAsia" w:ascii="Times New Roman" w:hAnsi="Times New Roman" w:cs="仿宋"/>
          <w:sz w:val="24"/>
          <w:szCs w:val="24"/>
          <w:highlight w:val="none"/>
        </w:rPr>
      </w:r>
      <w:r/>
    </w:p>
    <w:p>
      <w:pPr>
        <w:pStyle w:val="768"/>
        <w:ind w:firstLine="480"/>
        <w:spacing w:line="480" w:lineRule="exact"/>
        <w:rPr>
          <w:rFonts w:hint="eastAsia" w:ascii="Times New Roman" w:hAnsi="Times New Roman" w:cs="仿宋"/>
          <w:sz w:val="24"/>
          <w:szCs w:val="24"/>
          <w:highlight w:val="none"/>
        </w:rPr>
      </w:pPr>
      <w:r/>
      <w:bookmarkStart w:id="30" w:name="OLE_LINK11"/>
      <w:r>
        <w:rPr>
          <w:rFonts w:hint="eastAsia" w:ascii="Times New Roman" w:hAnsi="Times New Roman" w:cs="仿宋"/>
          <w:sz w:val="24"/>
          <w:szCs w:val="24"/>
          <w:highlight w:val="none"/>
        </w:rPr>
        <w:t xml:space="preserve">1.具备《中华人民共和国政府采购法》第二十二条第一款规定的6项条件（按要求提供投标函）。</w:t>
      </w:r>
      <w:r>
        <w:rPr>
          <w:rFonts w:hint="eastAsia" w:ascii="Times New Roman" w:hAnsi="Times New Roman" w:cs="仿宋"/>
          <w:sz w:val="24"/>
          <w:szCs w:val="24"/>
          <w:highlight w:val="none"/>
        </w:rPr>
      </w:r>
      <w:r/>
    </w:p>
    <w:p>
      <w:pPr>
        <w:pStyle w:val="768"/>
        <w:ind w:firstLine="480"/>
        <w:spacing w:line="480" w:lineRule="exact"/>
        <w:rPr>
          <w:rFonts w:hint="eastAsia" w:ascii="Times New Roman" w:hAnsi="Times New Roman" w:cs="仿宋"/>
          <w:sz w:val="24"/>
          <w:szCs w:val="24"/>
          <w:highlight w:val="none"/>
        </w:rPr>
      </w:pPr>
      <w:r/>
      <w:bookmarkEnd w:id="30"/>
      <w:r>
        <w:rPr>
          <w:rFonts w:hint="eastAsia" w:ascii="Times New Roman" w:hAnsi="Times New Roman" w:cs="仿宋"/>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hint="eastAsia" w:ascii="Times New Roman" w:hAnsi="Times New Roman" w:cs="仿宋"/>
          <w:sz w:val="24"/>
          <w:szCs w:val="24"/>
          <w:highlight w:val="none"/>
        </w:rPr>
      </w:r>
      <w:r/>
    </w:p>
    <w:p>
      <w:pPr>
        <w:pStyle w:val="768"/>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3.投标人代理人(授权委托人)必须为本单位正式员工，并在投标文件中提供投标截止日前6个月内由本单位为其缴纳的任意1个月社会养老保险证明资料电子件。</w:t>
      </w:r>
      <w:r>
        <w:rPr>
          <w:rFonts w:hint="eastAsia" w:ascii="Times New Roman" w:hAnsi="Times New Roman" w:cs="仿宋"/>
          <w:sz w:val="24"/>
          <w:szCs w:val="24"/>
          <w:highlight w:val="none"/>
        </w:rPr>
      </w:r>
      <w:r/>
    </w:p>
    <w:p>
      <w:pPr>
        <w:pStyle w:val="768"/>
        <w:ind w:firstLine="480"/>
        <w:spacing w:line="480" w:lineRule="exact"/>
        <w:rPr>
          <w:rFonts w:ascii="宋体" w:hAnsi="宋体" w:cs="宋体"/>
          <w:color w:val="000000"/>
          <w:sz w:val="24"/>
          <w:szCs w:val="24"/>
          <w:highlight w:val="none"/>
        </w:rPr>
      </w:pPr>
      <w:r/>
      <w:bookmarkStart w:id="31" w:name="_Toc22204"/>
      <w:r>
        <w:rPr>
          <w:rFonts w:hint="eastAsia" w:ascii="宋体" w:hAnsi="宋体" w:cs="宋体"/>
          <w:color w:val="000000"/>
          <w:sz w:val="24"/>
          <w:szCs w:val="24"/>
          <w:highlight w:val="none"/>
        </w:rPr>
        <w:t xml:space="preserve">（二）落实政府采购政策需满足的资格要求：本项目专门面向中小企业（含监狱企业、残疾人福利企业）采购的项目，所投</w:t>
      </w:r>
      <w:r>
        <w:rPr>
          <w:rFonts w:hint="eastAsia" w:ascii="宋体" w:hAnsi="宋体" w:cs="宋体"/>
          <w:color w:val="000000"/>
          <w:sz w:val="24"/>
          <w:szCs w:val="24"/>
          <w:highlight w:val="none"/>
          <w:lang w:val="en-US" w:eastAsia="zh-CN"/>
        </w:rPr>
        <w:t xml:space="preserve">货物类</w:t>
      </w:r>
      <w:r>
        <w:rPr>
          <w:rFonts w:hint="eastAsia" w:ascii="宋体" w:hAnsi="宋体" w:cs="宋体"/>
          <w:color w:val="000000"/>
          <w:sz w:val="24"/>
          <w:szCs w:val="24"/>
          <w:highlight w:val="none"/>
        </w:rPr>
        <w:t xml:space="preserve">产品制造商</w:t>
      </w:r>
      <w:r>
        <w:rPr>
          <w:rFonts w:hint="eastAsia" w:ascii="宋体" w:hAnsi="宋体" w:cs="宋体"/>
          <w:color w:val="000000"/>
          <w:sz w:val="24"/>
          <w:szCs w:val="24"/>
          <w:highlight w:val="none"/>
          <w:lang w:val="en-US" w:eastAsia="zh-CN"/>
        </w:rPr>
        <w:t xml:space="preserve">和工程类承接商</w:t>
      </w:r>
      <w:r>
        <w:rPr>
          <w:rFonts w:hint="eastAsia" w:ascii="宋体" w:hAnsi="宋体" w:cs="宋体"/>
          <w:color w:val="000000"/>
          <w:sz w:val="24"/>
          <w:szCs w:val="24"/>
          <w:highlight w:val="none"/>
        </w:rPr>
        <w:t xml:space="preserve">应为中小企业（含监狱企业、残疾人福利企业）（须提供《中小企业或残疾人福利性单位声明函》）。所投货物类产品制造商和工程类承接商为非中小企业（含监狱企业、残疾人福利企业）参与本项目投标，将作无效投标处理。</w:t>
      </w:r>
      <w:r>
        <w:rPr>
          <w:rFonts w:ascii="宋体" w:hAnsi="宋体" w:cs="宋体"/>
          <w:color w:val="000000"/>
          <w:sz w:val="24"/>
          <w:szCs w:val="24"/>
          <w:highlight w:val="none"/>
        </w:rPr>
      </w:r>
      <w:r/>
    </w:p>
    <w:p>
      <w:pPr>
        <w:pStyle w:val="768"/>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（三）本项目的特定资格要求：无。</w:t>
      </w:r>
      <w:r>
        <w:rPr>
          <w:rFonts w:ascii="宋体" w:hAnsi="宋体" w:cs="宋体"/>
          <w:color w:val="000000"/>
          <w:sz w:val="24"/>
          <w:szCs w:val="24"/>
          <w:highlight w:val="none"/>
        </w:rPr>
      </w:r>
      <w:r/>
    </w:p>
    <w:p>
      <w:pPr>
        <w:pStyle w:val="768"/>
        <w:ind w:firstLine="480"/>
        <w:spacing w:line="48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注：单位负责人为同一人或者存在直接控股、管理关系的不同供应商，不得参加同一合同项下的政府采购活动。否则，相关投标均无效。</w:t>
      </w:r>
      <w:r>
        <w:rPr>
          <w:rFonts w:ascii="宋体" w:hAnsi="宋体" w:cs="宋体"/>
          <w:color w:val="000000"/>
          <w:sz w:val="24"/>
          <w:szCs w:val="24"/>
          <w:highlight w:val="none"/>
        </w:rPr>
      </w:r>
      <w:r/>
    </w:p>
    <w:p>
      <w:pPr>
        <w:pStyle w:val="770"/>
        <w:ind w:firstLine="680"/>
        <w:spacing w:before="0" w:after="0" w:line="480" w:lineRule="exact"/>
        <w:rPr>
          <w:rFonts w:hint="eastAsia" w:eastAsia="宋体" w:cs="Arial"/>
          <w:bCs/>
          <w:szCs w:val="22"/>
          <w:highlight w:val="none"/>
        </w:rPr>
      </w:pPr>
      <w:r>
        <w:rPr>
          <w:rFonts w:hint="eastAsia" w:eastAsia="宋体" w:cs="Arial"/>
          <w:bCs/>
          <w:szCs w:val="22"/>
          <w:highlight w:val="none"/>
        </w:rPr>
        <w:t xml:space="preserve">三、获取招标文件</w:t>
      </w:r>
      <w:bookmarkEnd w:id="25"/>
      <w:r/>
      <w:bookmarkEnd w:id="26"/>
      <w:r/>
      <w:bookmarkEnd w:id="27"/>
      <w:r/>
      <w:bookmarkEnd w:id="28"/>
      <w:r/>
      <w:bookmarkEnd w:id="29"/>
      <w:r/>
      <w:bookmarkEnd w:id="31"/>
      <w:r>
        <w:rPr>
          <w:rFonts w:hint="eastAsia" w:eastAsia="宋体" w:cs="Arial"/>
          <w:bCs/>
          <w:szCs w:val="22"/>
          <w:highlight w:val="none"/>
        </w:rPr>
      </w:r>
      <w:r/>
    </w:p>
    <w:p>
      <w:pPr>
        <w:pStyle w:val="768"/>
        <w:ind w:firstLine="480"/>
        <w:spacing w:line="480" w:lineRule="exact"/>
        <w:rPr>
          <w:rFonts w:ascii="Times New Roman" w:hAnsi="Times New Roman" w:cs="仿宋"/>
          <w:color w:val="000000"/>
          <w:sz w:val="24"/>
          <w:szCs w:val="24"/>
          <w:highlight w:val="none"/>
        </w:rPr>
      </w:pPr>
      <w:r/>
      <w:bookmarkStart w:id="32" w:name="_Toc28359082"/>
      <w:r/>
      <w:bookmarkStart w:id="33" w:name="_Toc28359005"/>
      <w:r/>
      <w:bookmarkStart w:id="34" w:name="_Toc38985266"/>
      <w:r/>
      <w:bookmarkStart w:id="35" w:name="_Toc35393624"/>
      <w:r/>
      <w:bookmarkStart w:id="36" w:name="_Toc35393793"/>
      <w:r>
        <w:rPr>
          <w:rFonts w:hint="eastAsia" w:ascii="Times New Roman" w:hAnsi="Times New Roman" w:cs="仿宋"/>
          <w:color w:val="000000"/>
          <w:sz w:val="24"/>
          <w:szCs w:val="24"/>
          <w:highlight w:val="none"/>
        </w:rPr>
        <w:t xml:space="preserve">1.时间：招标公告发布之日起5个工作日。</w:t>
      </w:r>
      <w:r>
        <w:rPr>
          <w:rFonts w:ascii="Times New Roman" w:hAnsi="Times New Roman" w:cs="仿宋"/>
          <w:color w:val="000000"/>
          <w:sz w:val="24"/>
          <w:szCs w:val="24"/>
          <w:highlight w:val="none"/>
        </w:rPr>
      </w:r>
      <w:r/>
    </w:p>
    <w:p>
      <w:pPr>
        <w:pStyle w:val="768"/>
        <w:ind w:firstLine="480"/>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2.方式：投标人应在招标文件提供的时间内，通过“苏采云”系统（网址： http://jszfcg.jsczt.cn/），使用CA锁登录系统后，找到本项目获取招标文件（后缀名为“.kedt”）。</w:t>
      </w:r>
      <w:r>
        <w:rPr>
          <w:rFonts w:ascii="Times New Roman" w:hAnsi="Times New Roman" w:cs="仿宋"/>
          <w:color w:val="000000"/>
          <w:sz w:val="24"/>
          <w:szCs w:val="24"/>
          <w:highlight w:val="none"/>
        </w:rPr>
      </w:r>
      <w:r/>
    </w:p>
    <w:p>
      <w:pPr>
        <w:pStyle w:val="768"/>
        <w:ind w:firstLine="480"/>
        <w:spacing w:line="480" w:lineRule="exact"/>
        <w:rPr>
          <w:rFonts w:ascii="Times New Roman" w:hAnsi="Times New Roman" w:cs="仿宋"/>
          <w:color w:val="000000"/>
          <w:sz w:val="24"/>
          <w:szCs w:val="24"/>
          <w:highlight w:val="none"/>
        </w:rPr>
      </w:pPr>
      <w:r/>
      <w:bookmarkStart w:id="37" w:name="EB0c44ff4da61f4af989d119fe214be450"/>
      <w:r>
        <w:rPr>
          <w:rFonts w:hint="eastAsia" w:ascii="Times New Roman" w:hAnsi="Times New Roman" w:cs="仿宋"/>
          <w:color w:val="000000"/>
          <w:sz w:val="24"/>
          <w:szCs w:val="24"/>
          <w:highlight w:val="none"/>
        </w:rPr>
        <w:t xml:space="preserve">3.</w:t>
      </w:r>
      <w:r>
        <w:rPr>
          <w:rFonts w:hint="eastAsia" w:ascii="仿宋" w:hAnsi="仿宋" w:eastAsia="仿宋" w:cs="仿宋"/>
          <w:color w:val="000000"/>
          <w:sz w:val="24"/>
          <w:szCs w:val="24"/>
          <w:highlight w:val="none"/>
        </w:rPr>
        <w:t xml:space="preserve"> </w:t>
      </w:r>
      <w:r>
        <w:rPr>
          <w:rFonts w:hint="eastAsia" w:ascii="Times New Roman" w:hAnsi="Times New Roman" w:cs="仿宋"/>
          <w:color w:val="000000"/>
          <w:sz w:val="24"/>
          <w:szCs w:val="24"/>
          <w:highlight w:val="none"/>
        </w:rPr>
        <w:t xml:space="preserve">地点：“苏采云”系统（网址： http://jszfcg.jsczt.cn/）或宿迁市政府采购网点击“政府采购管理交易系统（苏采云）”，使用CA锁进入系统从“项目参与”--“采购项目”菜单中，找到本项目获取采购文件（后缀名为“.kedt”）。</w:t>
      </w:r>
      <w:r>
        <w:rPr>
          <w:rFonts w:ascii="Times New Roman" w:hAnsi="Times New Roman" w:cs="仿宋"/>
          <w:color w:val="000000"/>
          <w:sz w:val="24"/>
          <w:szCs w:val="24"/>
          <w:highlight w:val="none"/>
        </w:rPr>
      </w:r>
      <w:r/>
    </w:p>
    <w:p>
      <w:pPr>
        <w:pStyle w:val="768"/>
        <w:ind w:firstLine="480"/>
        <w:spacing w:line="480" w:lineRule="exact"/>
        <w:rPr>
          <w:rFonts w:hint="eastAsia" w:ascii="Times New Roman" w:hAnsi="Times New Roman" w:cs="仿宋"/>
          <w:sz w:val="24"/>
          <w:szCs w:val="24"/>
          <w:highlight w:val="none"/>
        </w:rPr>
      </w:pPr>
      <w:r>
        <w:rPr>
          <w:rFonts w:hint="eastAsia" w:ascii="Times New Roman" w:hAnsi="Times New Roman" w:cs="仿宋"/>
          <w:color w:val="000000"/>
          <w:sz w:val="24"/>
          <w:szCs w:val="24"/>
          <w:highlight w:val="none"/>
        </w:rPr>
        <w:t xml:space="preserve">4.本项目共分一个采购包。投标人参与多个采购包投标的，应按采购包分别获取招标文件。投标人未按要求获取招标文件，后果自负（其投标文件不予接受）。</w:t>
      </w:r>
      <w:bookmarkEnd w:id="37"/>
      <w:r>
        <w:rPr>
          <w:rFonts w:hint="eastAsia" w:ascii="Times New Roman" w:hAnsi="Times New Roman" w:cs="仿宋"/>
          <w:sz w:val="24"/>
          <w:szCs w:val="24"/>
          <w:highlight w:val="none"/>
        </w:rPr>
      </w:r>
      <w:r/>
    </w:p>
    <w:p>
      <w:pPr>
        <w:pStyle w:val="770"/>
        <w:ind w:firstLine="680"/>
        <w:spacing w:before="0" w:after="0" w:line="480" w:lineRule="exact"/>
        <w:rPr>
          <w:rFonts w:hint="eastAsia" w:eastAsia="宋体" w:cs="Arial"/>
          <w:bCs/>
          <w:szCs w:val="22"/>
          <w:highlight w:val="none"/>
        </w:rPr>
      </w:pPr>
      <w:r/>
      <w:bookmarkStart w:id="38" w:name="_Toc19148"/>
      <w:r>
        <w:rPr>
          <w:rFonts w:hint="eastAsia" w:eastAsia="宋体" w:cs="Arial"/>
          <w:bCs/>
          <w:szCs w:val="22"/>
          <w:highlight w:val="none"/>
        </w:rPr>
        <w:t xml:space="preserve">四、提交投标文件</w:t>
      </w:r>
      <w:bookmarkEnd w:id="32"/>
      <w:r/>
      <w:bookmarkEnd w:id="33"/>
      <w:r>
        <w:rPr>
          <w:rFonts w:hint="eastAsia" w:eastAsia="宋体" w:cs="Arial"/>
          <w:bCs/>
          <w:szCs w:val="22"/>
          <w:highlight w:val="none"/>
        </w:rPr>
        <w:t xml:space="preserve">截止时间、开标时间和地点</w:t>
      </w:r>
      <w:bookmarkEnd w:id="34"/>
      <w:r/>
      <w:bookmarkEnd w:id="35"/>
      <w:r/>
      <w:bookmarkEnd w:id="36"/>
      <w:r/>
      <w:bookmarkEnd w:id="38"/>
      <w:r>
        <w:rPr>
          <w:rFonts w:hint="eastAsia" w:eastAsia="宋体" w:cs="Arial"/>
          <w:bCs/>
          <w:szCs w:val="22"/>
          <w:highlight w:val="none"/>
        </w:rPr>
      </w:r>
      <w:r/>
    </w:p>
    <w:p>
      <w:pPr>
        <w:pStyle w:val="768"/>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1.提交投标文件截止时间、开标时间：202</w:t>
      </w:r>
      <w:r>
        <w:rPr>
          <w:rFonts w:hint="eastAsia" w:ascii="Times New Roman" w:hAnsi="Times New Roman" w:cs="仿宋"/>
          <w:sz w:val="24"/>
          <w:szCs w:val="24"/>
          <w:highlight w:val="none"/>
          <w:lang w:val="en-US" w:eastAsia="zh-CN"/>
        </w:rPr>
        <w:t xml:space="preserve">6</w:t>
      </w:r>
      <w:r>
        <w:rPr>
          <w:rFonts w:hint="eastAsia" w:ascii="Times New Roman" w:hAnsi="Times New Roman" w:cs="仿宋"/>
          <w:sz w:val="24"/>
          <w:szCs w:val="24"/>
          <w:highlight w:val="none"/>
        </w:rPr>
        <w:t xml:space="preserve">年</w:t>
      </w:r>
      <w:r>
        <w:rPr>
          <w:rFonts w:hint="eastAsia" w:ascii="Times New Roman" w:hAnsi="Times New Roman" w:cs="仿宋"/>
          <w:sz w:val="24"/>
          <w:szCs w:val="24"/>
          <w:highlight w:val="none"/>
          <w:lang w:val="en-US" w:eastAsia="zh-CN"/>
        </w:rPr>
        <w:t xml:space="preserve">11</w:t>
      </w:r>
      <w:r>
        <w:rPr>
          <w:rFonts w:hint="eastAsia" w:ascii="Times New Roman" w:hAnsi="Times New Roman" w:cs="仿宋"/>
          <w:sz w:val="24"/>
          <w:szCs w:val="24"/>
          <w:highlight w:val="none"/>
        </w:rPr>
        <w:t xml:space="preserve">月</w:t>
      </w:r>
      <w:r>
        <w:rPr>
          <w:rFonts w:hint="eastAsia" w:ascii="Times New Roman" w:hAnsi="Times New Roman" w:cs="仿宋"/>
          <w:sz w:val="24"/>
          <w:szCs w:val="24"/>
          <w:highlight w:val="none"/>
          <w:lang w:val="en-US" w:eastAsia="zh-CN"/>
        </w:rPr>
        <w:t xml:space="preserve">17</w:t>
      </w:r>
      <w:r>
        <w:rPr>
          <w:rFonts w:hint="eastAsia" w:ascii="Times New Roman" w:hAnsi="Times New Roman" w:cs="仿宋"/>
          <w:sz w:val="24"/>
          <w:szCs w:val="24"/>
          <w:highlight w:val="none"/>
        </w:rPr>
        <w:t xml:space="preserve">日09点00分（北京时间）</w:t>
      </w:r>
      <w:r>
        <w:rPr>
          <w:rFonts w:hint="eastAsia" w:ascii="Times New Roman" w:hAnsi="Times New Roman" w:cs="仿宋"/>
          <w:sz w:val="24"/>
          <w:szCs w:val="24"/>
          <w:highlight w:val="none"/>
        </w:rPr>
      </w:r>
      <w:r/>
    </w:p>
    <w:p>
      <w:pPr>
        <w:pStyle w:val="768"/>
        <w:ind w:firstLine="480"/>
        <w:spacing w:line="480" w:lineRule="exact"/>
        <w:rPr>
          <w:rFonts w:hint="eastAsia" w:ascii="Times New Roman" w:hAnsi="Times New Roman" w:cs="仿宋"/>
          <w:sz w:val="24"/>
          <w:szCs w:val="24"/>
          <w:highlight w:val="none"/>
        </w:rPr>
      </w:pPr>
      <w:r>
        <w:rPr>
          <w:rFonts w:hint="eastAsia" w:ascii="Times New Roman" w:hAnsi="Times New Roman" w:cs="仿宋"/>
          <w:sz w:val="24"/>
          <w:szCs w:val="24"/>
          <w:highlight w:val="none"/>
        </w:rPr>
        <w:t xml:space="preserve">2.地点：“苏采云”政府采购交易系统网上开标大厅。</w:t>
      </w:r>
      <w:r>
        <w:rPr>
          <w:rFonts w:hint="eastAsia" w:ascii="Times New Roman" w:hAnsi="Times New Roman" w:cs="仿宋"/>
          <w:sz w:val="24"/>
          <w:szCs w:val="24"/>
          <w:highlight w:val="none"/>
        </w:rPr>
      </w:r>
      <w:r/>
    </w:p>
    <w:p>
      <w:pPr>
        <w:pStyle w:val="770"/>
        <w:ind w:firstLine="680"/>
        <w:spacing w:before="0" w:after="0" w:line="480" w:lineRule="exact"/>
        <w:rPr>
          <w:rFonts w:hint="eastAsia" w:eastAsia="宋体" w:cs="Arial"/>
          <w:bCs/>
          <w:szCs w:val="22"/>
          <w:highlight w:val="none"/>
        </w:rPr>
      </w:pPr>
      <w:r/>
      <w:bookmarkStart w:id="39" w:name="_Toc24820"/>
      <w:r/>
      <w:bookmarkStart w:id="40" w:name="_Toc28359084"/>
      <w:r/>
      <w:bookmarkStart w:id="41" w:name="_Toc35393625"/>
      <w:r/>
      <w:bookmarkStart w:id="42" w:name="_Toc35393794"/>
      <w:r/>
      <w:bookmarkStart w:id="43" w:name="_Toc38985267"/>
      <w:r/>
      <w:bookmarkStart w:id="44" w:name="_Toc28359007"/>
      <w:r>
        <w:rPr>
          <w:rFonts w:hint="eastAsia" w:eastAsia="宋体" w:cs="Arial"/>
          <w:bCs/>
          <w:szCs w:val="22"/>
          <w:highlight w:val="none"/>
        </w:rPr>
        <w:t xml:space="preserve">五、公告期限</w:t>
      </w:r>
      <w:bookmarkEnd w:id="39"/>
      <w:r/>
      <w:bookmarkEnd w:id="40"/>
      <w:r/>
      <w:bookmarkEnd w:id="41"/>
      <w:r/>
      <w:bookmarkEnd w:id="42"/>
      <w:r/>
      <w:bookmarkEnd w:id="43"/>
      <w:r/>
      <w:bookmarkEnd w:id="44"/>
      <w:r>
        <w:rPr>
          <w:rFonts w:hint="eastAsia" w:eastAsia="宋体" w:cs="Arial"/>
          <w:bCs/>
          <w:szCs w:val="22"/>
          <w:highlight w:val="none"/>
        </w:rPr>
      </w:r>
      <w:r/>
    </w:p>
    <w:p>
      <w:pPr>
        <w:pStyle w:val="768"/>
        <w:ind w:firstLine="480"/>
        <w:spacing w:line="480" w:lineRule="exact"/>
        <w:rPr>
          <w:rFonts w:hint="eastAsia" w:ascii="Times New Roman" w:hAnsi="Times New Roman" w:cs="仿宋"/>
          <w:sz w:val="24"/>
          <w:szCs w:val="24"/>
          <w:highlight w:val="none"/>
        </w:rPr>
      </w:pPr>
      <w:r/>
      <w:bookmarkStart w:id="45" w:name="_Toc35393795"/>
      <w:r/>
      <w:bookmarkStart w:id="46" w:name="_Toc38985268"/>
      <w:r/>
      <w:bookmarkStart w:id="47" w:name="_Toc35393626"/>
      <w:r>
        <w:rPr>
          <w:rFonts w:hint="eastAsia" w:ascii="Times New Roman" w:hAnsi="Times New Roman" w:cs="仿宋"/>
          <w:sz w:val="24"/>
          <w:szCs w:val="24"/>
          <w:highlight w:val="none"/>
        </w:rPr>
        <w:t xml:space="preserve">招标公告及招标文件公告期限为自本公告发布之日起5个工作日。</w:t>
      </w:r>
      <w:r>
        <w:rPr>
          <w:rFonts w:hint="eastAsia" w:ascii="Times New Roman" w:hAnsi="Times New Roman" w:cs="仿宋"/>
          <w:sz w:val="24"/>
          <w:szCs w:val="24"/>
          <w:highlight w:val="none"/>
        </w:rPr>
      </w:r>
      <w:r/>
    </w:p>
    <w:p>
      <w:pPr>
        <w:pStyle w:val="770"/>
        <w:ind w:firstLine="680"/>
        <w:spacing w:before="0" w:after="0" w:line="480" w:lineRule="exact"/>
        <w:rPr>
          <w:rFonts w:hint="eastAsia" w:eastAsia="宋体" w:cs="Arial"/>
          <w:bCs/>
          <w:szCs w:val="22"/>
          <w:highlight w:val="none"/>
        </w:rPr>
      </w:pPr>
      <w:r/>
      <w:bookmarkStart w:id="48" w:name="_Toc13415"/>
      <w:r>
        <w:rPr>
          <w:rFonts w:hint="eastAsia" w:eastAsia="宋体" w:cs="Arial"/>
          <w:bCs/>
          <w:szCs w:val="22"/>
          <w:highlight w:val="none"/>
        </w:rPr>
        <w:t xml:space="preserve">六、其他补充事宜</w:t>
      </w:r>
      <w:bookmarkEnd w:id="45"/>
      <w:r/>
      <w:bookmarkEnd w:id="46"/>
      <w:r/>
      <w:bookmarkEnd w:id="47"/>
      <w:r/>
      <w:bookmarkEnd w:id="48"/>
      <w:r>
        <w:rPr>
          <w:rFonts w:hint="eastAsia" w:eastAsia="宋体" w:cs="Arial"/>
          <w:bCs/>
          <w:szCs w:val="22"/>
          <w:highlight w:val="none"/>
        </w:rPr>
      </w:r>
      <w:r/>
    </w:p>
    <w:p>
      <w:pPr>
        <w:pStyle w:val="768"/>
        <w:ind w:firstLine="480"/>
        <w:spacing w:line="480" w:lineRule="exact"/>
        <w:rPr>
          <w:rFonts w:hint="eastAsia" w:ascii="Times New Roman" w:hAnsi="Times New Roman" w:cs="仿宋"/>
          <w:color w:val="000000"/>
          <w:sz w:val="24"/>
          <w:szCs w:val="24"/>
          <w:highlight w:val="none"/>
        </w:rPr>
      </w:pPr>
      <w:r/>
      <w:bookmarkStart w:id="49" w:name="EB64e1f522fd8c43fcb4d3ba471386b3e7"/>
      <w:r/>
      <w:bookmarkStart w:id="50" w:name="_Toc28359085"/>
      <w:r/>
      <w:bookmarkStart w:id="51" w:name="_Toc38985269"/>
      <w:r/>
      <w:bookmarkStart w:id="52" w:name="_Toc28359008"/>
      <w:r/>
      <w:bookmarkStart w:id="53" w:name="_Toc35393627"/>
      <w:r/>
      <w:bookmarkStart w:id="54" w:name="_Toc29049"/>
      <w:r/>
      <w:bookmarkStart w:id="55" w:name="_Toc35393796"/>
      <w:r>
        <w:rPr>
          <w:rFonts w:hint="eastAsia" w:ascii="Times New Roman" w:hAnsi="Times New Roman" w:cs="仿宋"/>
          <w:color w:val="000000"/>
          <w:sz w:val="24"/>
          <w:szCs w:val="24"/>
          <w:highlight w:val="none"/>
        </w:rPr>
        <w:t xml:space="preserve">1.招标公告发布媒体：</w:t>
      </w:r>
      <w:bookmarkStart w:id="56" w:name="OLE_LINK3"/>
      <w:r>
        <w:rPr>
          <w:rFonts w:hint="eastAsia" w:ascii="Times New Roman" w:hAnsi="Times New Roman" w:cs="仿宋"/>
          <w:color w:val="000000"/>
          <w:sz w:val="24"/>
          <w:szCs w:val="24"/>
          <w:highlight w:val="none"/>
        </w:rPr>
        <w:t xml:space="preserve">江苏政府采购网</w:t>
      </w:r>
      <w:bookmarkEnd w:id="56"/>
      <w:r>
        <w:rPr>
          <w:rFonts w:hint="eastAsia" w:ascii="Times New Roman" w:hAnsi="Times New Roman" w:cs="仿宋"/>
          <w:color w:val="000000"/>
          <w:sz w:val="24"/>
          <w:szCs w:val="24"/>
          <w:highlight w:val="none"/>
        </w:rPr>
        <w:t xml:space="preserve">、宿迁市政府采购网等。</w:t>
      </w:r>
      <w:r>
        <w:rPr>
          <w:rFonts w:hint="eastAsia" w:ascii="Times New Roman" w:hAnsi="Times New Roman" w:cs="仿宋"/>
          <w:color w:val="000000"/>
          <w:sz w:val="24"/>
          <w:szCs w:val="24"/>
          <w:highlight w:val="none"/>
        </w:rPr>
      </w:r>
      <w:r/>
    </w:p>
    <w:p>
      <w:pPr>
        <w:pStyle w:val="768"/>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2.“CA”数字证书办理：“苏采云”系统目前仅支持“苏采云”系统下的意源CA。省内各地区办理的“苏采云”系统下的意源CA全省通用。宿迁地区CA数字证书办理联系方式：18351098172。</w:t>
      </w:r>
      <w:r>
        <w:rPr>
          <w:rFonts w:hint="eastAsia" w:ascii="Times New Roman" w:hAnsi="Times New Roman" w:cs="仿宋"/>
          <w:color w:val="000000"/>
          <w:sz w:val="24"/>
          <w:szCs w:val="24"/>
          <w:highlight w:val="none"/>
        </w:rPr>
      </w:r>
      <w:r/>
    </w:p>
    <w:p>
      <w:pPr>
        <w:pStyle w:val="768"/>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3.宿迁地区“苏采云”系统技术支持客服电话：0527-84363067、0519-86722806。</w:t>
      </w:r>
      <w:bookmarkEnd w:id="49"/>
      <w:r>
        <w:rPr>
          <w:rFonts w:hint="eastAsia" w:ascii="Times New Roman" w:hAnsi="Times New Roman" w:cs="仿宋"/>
          <w:color w:val="000000"/>
          <w:sz w:val="24"/>
          <w:szCs w:val="24"/>
          <w:highlight w:val="none"/>
        </w:rPr>
      </w:r>
      <w:r/>
    </w:p>
    <w:p>
      <w:pPr>
        <w:pStyle w:val="768"/>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4.如果投标人通过苏采云系统参与政府采购项目，相关操作手册详见链接：http://www.ccgp-jiangsu.gov.cn/jiangsu/zlxz/ee/ee3a4bc5a3454aa2b0d9312230633ce9.html。</w:t>
      </w:r>
      <w:r>
        <w:rPr>
          <w:rFonts w:hint="eastAsia" w:ascii="Times New Roman" w:hAnsi="Times New Roman" w:cs="仿宋"/>
          <w:color w:val="000000"/>
          <w:sz w:val="24"/>
          <w:szCs w:val="24"/>
          <w:highlight w:val="none"/>
        </w:rPr>
      </w:r>
      <w:r/>
    </w:p>
    <w:p>
      <w:pPr>
        <w:pStyle w:val="768"/>
        <w:numPr>
          <w:ilvl w:val="0"/>
          <w:numId w:val="0"/>
        </w:num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lang w:val="en-US" w:eastAsia="zh-CN" w:bidi="ar-SA"/>
        </w:rPr>
        <w:t xml:space="preserve">5.</w:t>
      </w:r>
      <w:r>
        <w:rPr>
          <w:rFonts w:hint="eastAsia" w:ascii="Times New Roman" w:hAnsi="Times New Roman" w:cs="仿宋"/>
          <w:color w:val="000000"/>
          <w:sz w:val="24"/>
          <w:szCs w:val="24"/>
          <w:highlight w:val="none"/>
        </w:rPr>
        <w:t xml:space="preserve">现场勘察及答疑：本项目不组织集中勘察及答疑，投标人如对采购需求有疑问，请咨询采购单位联系人。</w:t>
      </w:r>
      <w:r>
        <w:rPr>
          <w:rFonts w:hint="eastAsia" w:ascii="Times New Roman" w:hAnsi="Times New Roman" w:cs="仿宋"/>
          <w:color w:val="000000"/>
          <w:sz w:val="24"/>
          <w:szCs w:val="24"/>
          <w:highlight w:val="none"/>
        </w:rPr>
      </w:r>
      <w:r/>
    </w:p>
    <w:p>
      <w:pPr>
        <w:pStyle w:val="768"/>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2"/>
          <w:highlight w:val="none"/>
          <w:lang w:val="en-US" w:eastAsia="zh-CN" w:bidi="ar-SA"/>
        </w:rPr>
        <w:t xml:space="preserve">6.</w:t>
      </w:r>
      <w:r>
        <w:rPr>
          <w:rFonts w:hint="eastAsia" w:ascii="宋体" w:hAnsi="宋体" w:eastAsia="宋体" w:cs="宋体"/>
          <w:color w:val="000000"/>
          <w:sz w:val="24"/>
          <w:szCs w:val="24"/>
          <w:highlight w:val="none"/>
        </w:rPr>
        <w:t xml:space="preserve">有关本次招标的事项若存在变动或修改，敬请及时关注“宿迁市政府采购网”等平台更正公告</w:t>
      </w:r>
      <w:r>
        <w:rPr>
          <w:rFonts w:hint="eastAsia" w:ascii="Times New Roman" w:hAnsi="Times New Roman" w:cs="仿宋"/>
          <w:color w:val="000000"/>
          <w:sz w:val="24"/>
          <w:szCs w:val="24"/>
          <w:highlight w:val="none"/>
        </w:rPr>
        <w:t xml:space="preserve">。</w:t>
      </w:r>
      <w:r>
        <w:rPr>
          <w:rFonts w:hint="eastAsia" w:ascii="Times New Roman" w:hAnsi="Times New Roman" w:cs="仿宋"/>
          <w:color w:val="000000"/>
          <w:sz w:val="24"/>
          <w:szCs w:val="24"/>
          <w:highlight w:val="none"/>
        </w:rPr>
      </w:r>
      <w:r/>
    </w:p>
    <w:p>
      <w:pPr>
        <w:pStyle w:val="768"/>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szCs w:val="24"/>
          <w:highlight w:val="none"/>
          <w:lang w:val="en-US" w:eastAsia="zh-CN"/>
        </w:rPr>
        <w:t xml:space="preserve">7.</w:t>
      </w:r>
      <w:r>
        <w:rPr>
          <w:rFonts w:hint="eastAsia" w:ascii="Times New Roman" w:hAnsi="Times New Roman" w:cs="仿宋"/>
          <w:color w:val="000000"/>
          <w:sz w:val="24"/>
          <w:szCs w:val="24"/>
          <w:highlight w:val="none"/>
        </w:rPr>
        <w:t xml:space="preserve">财政部门监督电话：0527-88359233。</w:t>
      </w:r>
      <w:r>
        <w:rPr>
          <w:rFonts w:hint="eastAsia" w:ascii="Times New Roman" w:hAnsi="Times New Roman" w:cs="仿宋"/>
          <w:color w:val="000000"/>
          <w:sz w:val="24"/>
          <w:highlight w:val="none"/>
        </w:rPr>
      </w:r>
      <w:r/>
    </w:p>
    <w:p>
      <w:pPr>
        <w:pStyle w:val="770"/>
        <w:ind w:firstLine="680"/>
        <w:spacing w:before="0" w:after="0" w:line="480" w:lineRule="exact"/>
        <w:rPr>
          <w:rFonts w:hint="eastAsia" w:eastAsia="宋体" w:cs="Arial"/>
          <w:bCs/>
          <w:szCs w:val="22"/>
          <w:highlight w:val="none"/>
        </w:rPr>
      </w:pPr>
      <w:r>
        <w:rPr>
          <w:rFonts w:hint="eastAsia" w:eastAsia="宋体" w:cs="Arial"/>
          <w:bCs/>
          <w:szCs w:val="22"/>
          <w:highlight w:val="none"/>
        </w:rPr>
        <w:t xml:space="preserve">七、本次招标联系方式</w:t>
      </w:r>
      <w:bookmarkEnd w:id="50"/>
      <w:r/>
      <w:bookmarkEnd w:id="51"/>
      <w:r/>
      <w:bookmarkEnd w:id="52"/>
      <w:r/>
      <w:bookmarkEnd w:id="53"/>
      <w:r/>
      <w:bookmarkEnd w:id="54"/>
      <w:r/>
      <w:bookmarkEnd w:id="55"/>
      <w:r>
        <w:rPr>
          <w:rFonts w:hint="eastAsia" w:eastAsia="宋体" w:cs="Arial"/>
          <w:bCs/>
          <w:szCs w:val="22"/>
          <w:highlight w:val="none"/>
        </w:rPr>
      </w:r>
      <w:r/>
    </w:p>
    <w:p>
      <w:pPr>
        <w:pStyle w:val="768"/>
        <w:ind w:firstLine="480"/>
        <w:jc w:val="left"/>
        <w:spacing w:line="480" w:lineRule="exact"/>
        <w:widowControl/>
        <w:rPr>
          <w:rFonts w:ascii="宋体" w:hAnsi="宋体"/>
          <w:sz w:val="24"/>
          <w:szCs w:val="24"/>
          <w:highlight w:val="none"/>
        </w:rPr>
      </w:pPr>
      <w:r>
        <w:rPr>
          <w:rFonts w:hint="eastAsia" w:ascii="宋体" w:hAnsi="宋体" w:cs="宋体"/>
          <w:sz w:val="24"/>
          <w:szCs w:val="24"/>
          <w:highlight w:val="none"/>
        </w:rPr>
        <w:t xml:space="preserve">1.采购人信息</w:t>
      </w:r>
      <w:r>
        <w:rPr>
          <w:rFonts w:ascii="宋体" w:hAnsi="宋体"/>
          <w:sz w:val="24"/>
          <w:szCs w:val="24"/>
          <w:highlight w:val="none"/>
        </w:rPr>
      </w:r>
      <w:r/>
    </w:p>
    <w:p>
      <w:pPr>
        <w:pStyle w:val="768"/>
        <w:ind w:firstLine="480"/>
        <w:jc w:val="left"/>
        <w:spacing w:line="480" w:lineRule="exact"/>
        <w:rPr>
          <w:rFonts w:ascii="宋体" w:hAnsi="宋体" w:eastAsia="宋体"/>
          <w:sz w:val="24"/>
          <w:szCs w:val="24"/>
          <w:highlight w:val="none"/>
          <w:lang w:val="en-US" w:eastAsia="zh-CN"/>
        </w:rPr>
      </w:pPr>
      <w:r>
        <w:rPr>
          <w:rFonts w:hint="eastAsia" w:ascii="宋体" w:hAnsi="宋体"/>
          <w:sz w:val="24"/>
          <w:szCs w:val="24"/>
          <w:highlight w:val="none"/>
        </w:rPr>
        <w:t xml:space="preserve">名   称：</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lang w:eastAsia="zh-CN"/>
        </w:rPr>
        <w:t xml:space="preserve">泗洪县太平实验学校</w:t>
      </w:r>
      <w:r>
        <w:rPr>
          <w:rFonts w:hint="eastAsia" w:ascii="宋体" w:hAnsi="宋体"/>
          <w:sz w:val="24"/>
          <w:szCs w:val="24"/>
          <w:highlight w:val="none"/>
          <w:u w:val="single"/>
          <w:lang w:val="en-US" w:eastAsia="zh-CN"/>
        </w:rPr>
        <w:t xml:space="preserve"> </w:t>
      </w:r>
      <w:r>
        <w:rPr>
          <w:rFonts w:ascii="宋体" w:hAnsi="宋体" w:eastAsia="宋体"/>
          <w:sz w:val="24"/>
          <w:szCs w:val="24"/>
          <w:highlight w:val="none"/>
          <w:lang w:val="en-US" w:eastAsia="zh-CN"/>
        </w:rPr>
      </w:r>
      <w:r/>
    </w:p>
    <w:p>
      <w:pPr>
        <w:pStyle w:val="768"/>
        <w:ind w:firstLine="480"/>
        <w:jc w:val="left"/>
        <w:spacing w:line="480" w:lineRule="exact"/>
        <w:rPr>
          <w:rFonts w:hint="eastAsia" w:ascii="宋体" w:hAnsi="宋体" w:eastAsia="宋体"/>
          <w:sz w:val="24"/>
          <w:szCs w:val="24"/>
          <w:highlight w:val="none"/>
          <w:lang w:val="en-US" w:eastAsia="zh-CN"/>
        </w:rPr>
      </w:pPr>
      <w:r>
        <w:rPr>
          <w:rFonts w:hint="eastAsia" w:ascii="宋体" w:hAnsi="宋体"/>
          <w:sz w:val="24"/>
          <w:szCs w:val="24"/>
          <w:highlight w:val="none"/>
        </w:rPr>
        <w:t xml:space="preserve">地   址：</w:t>
      </w:r>
      <w:r>
        <w:rPr>
          <w:rFonts w:hint="eastAsia" w:ascii="宋体" w:hAnsi="宋体"/>
          <w:sz w:val="24"/>
          <w:szCs w:val="24"/>
          <w:highlight w:val="none"/>
          <w:u w:val="single"/>
          <w:lang w:val="en-US" w:eastAsia="zh-CN"/>
        </w:rPr>
        <w:t xml:space="preserve"> </w:t>
      </w:r>
      <w:r>
        <w:rPr>
          <w:rFonts w:hint="eastAsia" w:ascii="宋体" w:hAnsi="宋体" w:eastAsia="宋体" w:cs="Times New Roman"/>
          <w:sz w:val="24"/>
          <w:szCs w:val="24"/>
          <w:highlight w:val="none"/>
          <w:u w:val="single"/>
          <w:lang w:val="en-US" w:eastAsia="zh-CN"/>
        </w:rPr>
        <w:t xml:space="preserve">泗洪县太平镇太平街</w:t>
      </w:r>
      <w:r>
        <w:rPr>
          <w:rFonts w:hint="eastAsia" w:ascii="宋体" w:hAnsi="宋体" w:eastAsia="宋体"/>
          <w:sz w:val="24"/>
          <w:szCs w:val="24"/>
          <w:highlight w:val="none"/>
          <w:lang w:val="en-US" w:eastAsia="zh-CN"/>
        </w:rPr>
      </w:r>
      <w:r/>
    </w:p>
    <w:p>
      <w:pPr>
        <w:pStyle w:val="768"/>
        <w:ind w:firstLine="480"/>
        <w:jc w:val="left"/>
        <w:spacing w:line="480" w:lineRule="exact"/>
        <w:rPr>
          <w:rFonts w:hint="eastAsia" w:ascii="宋体" w:hAnsi="宋体"/>
          <w:sz w:val="24"/>
          <w:szCs w:val="24"/>
          <w:highlight w:val="none"/>
          <w:u w:val="single"/>
        </w:rPr>
      </w:pPr>
      <w:r>
        <w:rPr>
          <w:rFonts w:hint="eastAsia" w:ascii="宋体" w:hAnsi="宋体"/>
          <w:sz w:val="24"/>
          <w:szCs w:val="24"/>
          <w:highlight w:val="none"/>
        </w:rPr>
        <w:t xml:space="preserve">联 系 人</w:t>
      </w:r>
      <w:r>
        <w:rPr>
          <w:rFonts w:hint="eastAsia" w:ascii="宋体" w:hAnsi="宋体" w:eastAsia="宋体" w:cs="Times New Roman"/>
          <w:sz w:val="24"/>
          <w:szCs w:val="24"/>
          <w:highlight w:val="none"/>
          <w:u w:val="none"/>
          <w:lang w:val="en-US" w:eastAsia="zh-CN"/>
        </w:rPr>
        <w:t xml:space="preserve">：</w:t>
      </w:r>
      <w:r>
        <w:rPr>
          <w:rFonts w:hint="eastAsia" w:ascii="宋体" w:hAnsi="宋体" w:eastAsia="宋体" w:cs="Times New Roman"/>
          <w:sz w:val="24"/>
          <w:szCs w:val="24"/>
          <w:highlight w:val="none"/>
          <w:u w:val="single"/>
          <w:lang w:val="en-US" w:eastAsia="zh-CN"/>
        </w:rPr>
        <w:t xml:space="preserve"> 项威 </w:t>
      </w:r>
      <w:r>
        <w:rPr>
          <w:rFonts w:hint="eastAsia" w:ascii="宋体" w:hAnsi="宋体"/>
          <w:sz w:val="24"/>
          <w:szCs w:val="24"/>
          <w:highlight w:val="none"/>
          <w:u w:val="single"/>
        </w:rPr>
      </w:r>
      <w:r/>
    </w:p>
    <w:p>
      <w:pPr>
        <w:pStyle w:val="768"/>
        <w:ind w:firstLine="480"/>
        <w:jc w:val="left"/>
        <w:spacing w:line="480" w:lineRule="exact"/>
        <w:rPr>
          <w:rFonts w:ascii="宋体" w:hAnsi="宋体"/>
          <w:sz w:val="24"/>
          <w:szCs w:val="24"/>
          <w:highlight w:val="none"/>
          <w:u w:val="single"/>
        </w:rPr>
      </w:pPr>
      <w:r>
        <w:rPr>
          <w:rFonts w:hint="eastAsia" w:ascii="宋体" w:hAnsi="宋体"/>
          <w:sz w:val="24"/>
          <w:szCs w:val="24"/>
          <w:highlight w:val="none"/>
        </w:rPr>
        <w:t xml:space="preserve">联系方式：</w:t>
      </w:r>
      <w:bookmarkStart w:id="57" w:name="_Toc28359086"/>
      <w:r/>
      <w:bookmarkStart w:id="58" w:name="_Toc28359009"/>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13951299198 </w:t>
      </w:r>
      <w:r>
        <w:rPr>
          <w:rFonts w:ascii="宋体" w:hAnsi="宋体"/>
          <w:sz w:val="24"/>
          <w:szCs w:val="24"/>
          <w:highlight w:val="none"/>
          <w:u w:val="single"/>
        </w:rPr>
      </w:r>
      <w:r/>
    </w:p>
    <w:p>
      <w:pPr>
        <w:pStyle w:val="768"/>
        <w:ind w:firstLine="480"/>
        <w:jc w:val="left"/>
        <w:spacing w:line="480" w:lineRule="exact"/>
        <w:rPr>
          <w:rFonts w:ascii="宋体" w:hAnsi="宋体"/>
          <w:sz w:val="24"/>
          <w:szCs w:val="24"/>
          <w:highlight w:val="none"/>
        </w:rPr>
      </w:pPr>
      <w:r>
        <w:rPr>
          <w:rFonts w:hint="eastAsia" w:ascii="宋体" w:hAnsi="宋体" w:cs="宋体"/>
          <w:sz w:val="24"/>
          <w:szCs w:val="24"/>
          <w:highlight w:val="none"/>
        </w:rPr>
        <w:t xml:space="preserve">2.</w:t>
      </w:r>
      <w:bookmarkEnd w:id="57"/>
      <w:r/>
      <w:bookmarkEnd w:id="58"/>
      <w:r>
        <w:rPr>
          <w:rFonts w:hint="eastAsia" w:ascii="宋体" w:hAnsi="宋体" w:cs="宋体"/>
          <w:sz w:val="24"/>
          <w:szCs w:val="24"/>
          <w:highlight w:val="none"/>
        </w:rPr>
        <w:t xml:space="preserve">采购代理机构信息</w:t>
      </w:r>
      <w:r>
        <w:rPr>
          <w:rFonts w:ascii="宋体" w:hAnsi="宋体"/>
          <w:sz w:val="24"/>
          <w:szCs w:val="24"/>
          <w:highlight w:val="none"/>
        </w:rPr>
      </w:r>
      <w:r/>
    </w:p>
    <w:p>
      <w:pPr>
        <w:pStyle w:val="768"/>
        <w:ind w:firstLine="480"/>
        <w:spacing w:line="480" w:lineRule="exact"/>
        <w:rPr>
          <w:rFonts w:hint="eastAsia" w:ascii="宋体" w:hAnsi="宋体" w:eastAsia="宋体"/>
          <w:sz w:val="24"/>
          <w:szCs w:val="24"/>
          <w:highlight w:val="none"/>
          <w:lang w:val="en-US" w:eastAsia="zh-CN"/>
        </w:rPr>
      </w:pPr>
      <w:r>
        <w:rPr>
          <w:rFonts w:hint="eastAsia" w:ascii="宋体" w:hAnsi="宋体"/>
          <w:sz w:val="24"/>
          <w:szCs w:val="24"/>
          <w:highlight w:val="none"/>
        </w:rPr>
        <w:t xml:space="preserve">名 称：</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江苏盛力项目管理有限公司</w:t>
      </w:r>
      <w:r>
        <w:rPr>
          <w:rFonts w:hint="eastAsia" w:ascii="宋体" w:hAnsi="宋体"/>
          <w:sz w:val="24"/>
          <w:szCs w:val="24"/>
          <w:highlight w:val="none"/>
          <w:u w:val="single"/>
          <w:lang w:val="en-US" w:eastAsia="zh-CN"/>
        </w:rPr>
        <w:t xml:space="preserve"> </w:t>
      </w:r>
      <w:r>
        <w:rPr>
          <w:rFonts w:hint="eastAsia" w:ascii="宋体" w:hAnsi="宋体" w:eastAsia="宋体"/>
          <w:sz w:val="24"/>
          <w:szCs w:val="24"/>
          <w:highlight w:val="none"/>
          <w:lang w:val="en-US" w:eastAsia="zh-CN"/>
        </w:rPr>
      </w:r>
      <w:r/>
    </w:p>
    <w:p>
      <w:pPr>
        <w:pStyle w:val="768"/>
        <w:ind w:firstLine="480"/>
        <w:spacing w:line="480" w:lineRule="exact"/>
        <w:rPr>
          <w:rFonts w:hint="eastAsia" w:ascii="宋体" w:hAnsi="宋体" w:eastAsia="宋体"/>
          <w:sz w:val="24"/>
          <w:szCs w:val="24"/>
          <w:highlight w:val="none"/>
          <w:lang w:val="en-US" w:eastAsia="zh-CN"/>
        </w:rPr>
      </w:pPr>
      <w:r>
        <w:rPr>
          <w:rFonts w:hint="eastAsia" w:ascii="宋体" w:hAnsi="宋体"/>
          <w:sz w:val="24"/>
          <w:szCs w:val="24"/>
          <w:highlight w:val="none"/>
        </w:rPr>
        <w:t xml:space="preserve">地　址：</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泗洪县金港湾东门南侧第一间二楼</w:t>
      </w:r>
      <w:r>
        <w:rPr>
          <w:rFonts w:hint="eastAsia" w:ascii="宋体" w:hAnsi="宋体"/>
          <w:sz w:val="24"/>
          <w:szCs w:val="24"/>
          <w:highlight w:val="none"/>
          <w:u w:val="single"/>
          <w:lang w:val="en-US" w:eastAsia="zh-CN"/>
        </w:rPr>
        <w:t xml:space="preserve"> </w:t>
      </w:r>
      <w:r>
        <w:rPr>
          <w:rFonts w:hint="eastAsia" w:ascii="宋体" w:hAnsi="宋体" w:eastAsia="宋体"/>
          <w:sz w:val="24"/>
          <w:szCs w:val="24"/>
          <w:highlight w:val="none"/>
          <w:lang w:val="en-US" w:eastAsia="zh-CN"/>
        </w:rPr>
      </w:r>
      <w:r/>
    </w:p>
    <w:p>
      <w:pPr>
        <w:pStyle w:val="768"/>
        <w:ind w:firstLine="480"/>
        <w:spacing w:line="480" w:lineRule="exact"/>
        <w:rPr>
          <w:rFonts w:ascii="宋体" w:hAnsi="宋体"/>
          <w:sz w:val="24"/>
          <w:szCs w:val="24"/>
          <w:highlight w:val="non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江娟</w:t>
      </w:r>
      <w:r>
        <w:rPr>
          <w:rFonts w:hint="eastAsia" w:ascii="宋体" w:hAnsi="宋体"/>
          <w:sz w:val="24"/>
          <w:szCs w:val="24"/>
          <w:highlight w:val="none"/>
          <w:u w:val="single"/>
        </w:rPr>
        <w:t xml:space="preserve"> </w:t>
      </w:r>
      <w:r>
        <w:rPr>
          <w:rFonts w:ascii="宋体" w:hAnsi="宋体"/>
          <w:sz w:val="24"/>
          <w:szCs w:val="24"/>
          <w:highlight w:val="none"/>
        </w:rPr>
      </w:r>
      <w:r/>
    </w:p>
    <w:p>
      <w:pPr>
        <w:pStyle w:val="768"/>
        <w:ind w:firstLine="480"/>
        <w:spacing w:line="480" w:lineRule="exact"/>
        <w:rPr>
          <w:rFonts w:ascii="仿宋_GB2312"/>
          <w:sz w:val="24"/>
          <w:highlight w:val="none"/>
        </w:rPr>
      </w:pPr>
      <w:r>
        <w:rPr>
          <w:rFonts w:hint="eastAsia" w:ascii="宋体" w:hAnsi="宋体"/>
          <w:sz w:val="24"/>
          <w:szCs w:val="24"/>
          <w:highlight w:val="none"/>
        </w:rPr>
        <w:t xml:space="preserve">联系方式：</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18071686767 </w:t>
      </w:r>
      <w:r>
        <w:rPr>
          <w:rFonts w:ascii="仿宋_GB2312"/>
          <w:sz w:val="24"/>
          <w:highlight w:val="none"/>
        </w:rPr>
      </w:r>
      <w:r/>
    </w:p>
    <w:p>
      <w:pPr>
        <w:pStyle w:val="768"/>
        <w:ind w:firstLine="480"/>
        <w:spacing w:line="480" w:lineRule="exact"/>
        <w:rPr>
          <w:rFonts w:ascii="仿宋_GB2312" w:eastAsia="仿宋_GB2312"/>
          <w:sz w:val="24"/>
          <w:highlight w:val="none"/>
        </w:rPr>
      </w:pPr>
      <w:r>
        <w:rPr>
          <w:rFonts w:ascii="仿宋_GB2312" w:eastAsia="仿宋_GB2312"/>
          <w:sz w:val="24"/>
          <w:highlight w:val="none"/>
        </w:rPr>
      </w:r>
      <w:r/>
    </w:p>
    <w:p>
      <w:pPr>
        <w:pStyle w:val="768"/>
        <w:ind w:firstLine="480"/>
        <w:jc w:val="center"/>
        <w:spacing w:line="480" w:lineRule="exact"/>
        <w:rPr>
          <w:rFonts w:hint="eastAsia" w:eastAsia="黑体"/>
          <w:sz w:val="44"/>
          <w:highlight w:val="none"/>
        </w:rPr>
        <w:outlineLvl w:val="0"/>
      </w:pPr>
      <w:r>
        <w:rPr>
          <w:rFonts w:hint="eastAsia" w:ascii="仿宋_GB2312" w:eastAsia="仿宋_GB2312"/>
          <w:sz w:val="24"/>
          <w:highlight w:val="none"/>
        </w:rPr>
        <w:br w:type="page" w:clear="all"/>
      </w:r>
      <w:bookmarkStart w:id="59" w:name="_Toc9425"/>
      <w:r/>
      <w:bookmarkStart w:id="60" w:name="_Toc81575190"/>
      <w:r/>
      <w:bookmarkStart w:id="61" w:name="_Toc11687"/>
      <w:r/>
      <w:bookmarkStart w:id="62" w:name="_Toc15265"/>
      <w:r/>
      <w:bookmarkStart w:id="63" w:name="_Toc81575153"/>
      <w:r>
        <w:rPr>
          <w:rFonts w:hint="eastAsia" w:eastAsia="黑体"/>
          <w:sz w:val="44"/>
          <w:highlight w:val="none"/>
        </w:rPr>
        <w:t xml:space="preserve">第二章  投标人须知</w:t>
      </w:r>
      <w:bookmarkEnd w:id="59"/>
      <w:r/>
      <w:bookmarkEnd w:id="60"/>
      <w:r/>
      <w:bookmarkEnd w:id="61"/>
      <w:r/>
      <w:bookmarkEnd w:id="62"/>
      <w:r/>
      <w:bookmarkEnd w:id="63"/>
      <w:r>
        <w:rPr>
          <w:rFonts w:hint="eastAsia" w:eastAsia="黑体"/>
          <w:sz w:val="44"/>
          <w:highlight w:val="none"/>
        </w:rPr>
      </w:r>
      <w:r/>
    </w:p>
    <w:p>
      <w:pPr>
        <w:pStyle w:val="770"/>
        <w:spacing w:before="0" w:after="120" w:line="520" w:lineRule="exact"/>
        <w:rPr>
          <w:rFonts w:hint="eastAsia" w:eastAsia="宋体" w:cs="Arial"/>
          <w:bCs/>
          <w:szCs w:val="22"/>
          <w:highlight w:val="none"/>
        </w:rPr>
      </w:pPr>
      <w:r/>
      <w:bookmarkStart w:id="64" w:name="_Toc4529"/>
      <w:r>
        <w:rPr>
          <w:rFonts w:hint="eastAsia" w:eastAsia="宋体" w:cs="Arial"/>
          <w:bCs/>
          <w:szCs w:val="22"/>
          <w:highlight w:val="none"/>
        </w:rPr>
        <w:t xml:space="preserve">投标人须知前附表：</w:t>
      </w:r>
      <w:bookmarkEnd w:id="64"/>
      <w:r>
        <w:rPr>
          <w:rFonts w:hint="eastAsia" w:eastAsia="宋体" w:cs="Arial"/>
          <w:bCs/>
          <w:szCs w:val="22"/>
          <w:highlight w:val="none"/>
        </w:rPr>
      </w:r>
      <w:r/>
    </w:p>
    <w:tbl>
      <w:tblPr>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pStyle w:val="768"/>
              <w:jc w:val="center"/>
              <w:rPr>
                <w:rFonts w:hint="eastAsia" w:ascii="仿宋_GB2312" w:hAnsi="仿宋"/>
                <w:b/>
                <w:sz w:val="24"/>
                <w:szCs w:val="24"/>
                <w:highlight w:val="none"/>
              </w:rPr>
              <w:framePr w:vAnchor="text" w:hAnchor="page" w:x="1530" w:y="228"/>
            </w:pPr>
            <w:r/>
            <w:bookmarkStart w:id="65" w:name="_Toc29262"/>
            <w:r/>
            <w:bookmarkStart w:id="66" w:name="_Toc81575191"/>
            <w:r/>
            <w:bookmarkStart w:id="67" w:name="_Toc81575154"/>
            <w:r>
              <w:rPr>
                <w:rFonts w:hint="eastAsia" w:ascii="仿宋_GB2312" w:hAnsi="仿宋"/>
                <w:b/>
                <w:sz w:val="24"/>
                <w:szCs w:val="24"/>
                <w:highlight w:val="none"/>
              </w:rPr>
              <w:t xml:space="preserve">序号</w:t>
            </w:r>
            <w:r>
              <w:rPr>
                <w:rFonts w:hint="eastAsia" w:ascii="仿宋_GB2312" w:hAnsi="仿宋"/>
                <w:b/>
                <w:sz w:val="24"/>
                <w:szCs w:val="24"/>
                <w:highlight w:val="none"/>
              </w:rPr>
            </w:r>
            <w:r/>
          </w:p>
        </w:tc>
        <w:tc>
          <w:tcPr>
            <w:tcW w:w="1772" w:type="dxa"/>
            <w:vAlign w:val="center"/>
            <w:textDirection w:val="lrTb"/>
            <w:noWrap w:val="false"/>
          </w:tcPr>
          <w:p>
            <w:pPr>
              <w:pStyle w:val="768"/>
              <w:jc w:val="center"/>
              <w:rPr>
                <w:rFonts w:hint="eastAsia" w:ascii="仿宋_GB2312" w:hAnsi="仿宋"/>
                <w:b/>
                <w:sz w:val="24"/>
                <w:szCs w:val="24"/>
                <w:highlight w:val="none"/>
              </w:rPr>
              <w:framePr w:vAnchor="text" w:hAnchor="page" w:x="1530" w:y="228"/>
            </w:pPr>
            <w:r>
              <w:rPr>
                <w:rFonts w:hint="eastAsia" w:ascii="仿宋_GB2312" w:hAnsi="仿宋"/>
                <w:b/>
                <w:sz w:val="24"/>
                <w:szCs w:val="24"/>
                <w:highlight w:val="none"/>
              </w:rPr>
              <w:t xml:space="preserve">内容</w:t>
            </w:r>
            <w:r>
              <w:rPr>
                <w:rFonts w:hint="eastAsia" w:ascii="仿宋_GB2312" w:hAnsi="仿宋"/>
                <w:b/>
                <w:sz w:val="24"/>
                <w:szCs w:val="24"/>
                <w:highlight w:val="none"/>
              </w:rPr>
            </w:r>
            <w:r/>
          </w:p>
        </w:tc>
        <w:tc>
          <w:tcPr>
            <w:tcW w:w="6579" w:type="dxa"/>
            <w:vAlign w:val="center"/>
            <w:textDirection w:val="lrTb"/>
            <w:noWrap w:val="false"/>
          </w:tcPr>
          <w:p>
            <w:pPr>
              <w:pStyle w:val="768"/>
              <w:jc w:val="center"/>
              <w:rPr>
                <w:rFonts w:hint="eastAsia" w:ascii="仿宋_GB2312" w:hAnsi="仿宋"/>
                <w:b/>
                <w:sz w:val="24"/>
                <w:szCs w:val="24"/>
                <w:highlight w:val="none"/>
              </w:rPr>
              <w:framePr w:vAnchor="text" w:hAnchor="page" w:x="1530" w:y="228"/>
            </w:pPr>
            <w:r>
              <w:rPr>
                <w:rFonts w:hint="eastAsia" w:ascii="仿宋_GB2312" w:hAnsi="仿宋"/>
                <w:b/>
                <w:sz w:val="24"/>
                <w:szCs w:val="24"/>
                <w:highlight w:val="none"/>
              </w:rPr>
              <w:t xml:space="preserve">说明及要求</w:t>
            </w:r>
            <w:r>
              <w:rPr>
                <w:rFonts w:hint="eastAsia" w:ascii="仿宋_GB2312" w:hAnsi="仿宋"/>
                <w:b/>
                <w:sz w:val="24"/>
                <w:szCs w:val="24"/>
                <w:highlight w:val="none"/>
              </w:rPr>
            </w:r>
            <w:r/>
          </w:p>
        </w:tc>
      </w:tr>
      <w:tr>
        <w:trPr/>
        <w:tc>
          <w:tcPr>
            <w:tcW w:w="858"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1</w:t>
            </w:r>
            <w:r>
              <w:rPr>
                <w:rFonts w:hint="eastAsia" w:ascii="Times New Roman" w:hAnsi="Times New Roman" w:cs="仿宋"/>
                <w:sz w:val="24"/>
                <w:szCs w:val="24"/>
                <w:highlight w:val="none"/>
              </w:rPr>
            </w:r>
            <w:r/>
          </w:p>
        </w:tc>
        <w:tc>
          <w:tcPr>
            <w:tcW w:w="1772"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项目属性</w:t>
            </w:r>
            <w:r>
              <w:rPr>
                <w:rFonts w:hint="eastAsia" w:ascii="Times New Roman" w:hAnsi="Times New Roman" w:cs="仿宋"/>
                <w:sz w:val="24"/>
                <w:szCs w:val="24"/>
                <w:highlight w:val="none"/>
              </w:rPr>
            </w:r>
            <w:r/>
          </w:p>
        </w:tc>
        <w:tc>
          <w:tcPr>
            <w:tcW w:w="6579" w:type="dxa"/>
            <w:vAlign w:val="center"/>
            <w:textDirection w:val="lrTb"/>
            <w:noWrap w:val="false"/>
          </w:tcPr>
          <w:p>
            <w:pPr>
              <w:pStyle w:val="768"/>
              <w:jc w:val="left"/>
              <w:spacing w:line="400" w:lineRule="exact"/>
              <w:rPr>
                <w:rFonts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本项目</w:t>
            </w:r>
            <w:bookmarkStart w:id="68" w:name="EB9a5853ee094f4f0ea6ec3169265f6f2c"/>
            <w:r>
              <w:rPr>
                <w:rFonts w:hint="eastAsia" w:ascii="Times New Roman" w:hAnsi="Times New Roman" w:cs="仿宋"/>
                <w:sz w:val="24"/>
                <w:szCs w:val="24"/>
                <w:highlight w:val="none"/>
              </w:rPr>
              <w:t xml:space="preserve">属性按以下第</w:t>
            </w:r>
            <w:bookmarkEnd w:id="68"/>
            <w:r>
              <w:rPr>
                <w:rFonts w:hint="eastAsia" w:ascii="Times New Roman" w:hAnsi="Times New Roman" w:cs="仿宋"/>
                <w:sz w:val="24"/>
                <w:szCs w:val="24"/>
                <w:highlight w:val="none"/>
                <w:u w:val="single"/>
              </w:rPr>
              <w:t xml:space="preserve"> 1 </w:t>
            </w:r>
            <w:r>
              <w:rPr>
                <w:rFonts w:hint="eastAsia" w:ascii="Times New Roman" w:hAnsi="Times New Roman" w:cs="仿宋"/>
                <w:sz w:val="24"/>
                <w:szCs w:val="24"/>
                <w:highlight w:val="none"/>
              </w:rPr>
              <w:t xml:space="preserve">种确定：</w:t>
            </w:r>
            <w:r>
              <w:rPr>
                <w:rFonts w:ascii="Times New Roman" w:hAnsi="Times New Roman" w:cs="仿宋"/>
                <w:sz w:val="24"/>
                <w:szCs w:val="24"/>
                <w:highlight w:val="none"/>
              </w:rPr>
            </w:r>
            <w:r/>
          </w:p>
          <w:p>
            <w:pPr>
              <w:pStyle w:val="768"/>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1.货物</w:t>
            </w:r>
            <w:bookmarkStart w:id="69" w:name="EBd5c6c026f9674c39b21b31ecd0c1e7fa"/>
            <w:r>
              <w:rPr>
                <w:rFonts w:hint="eastAsia" w:ascii="Times New Roman" w:hAnsi="Times New Roman" w:cs="仿宋"/>
                <w:sz w:val="24"/>
                <w:szCs w:val="24"/>
                <w:highlight w:val="none"/>
              </w:rPr>
              <w:t xml:space="preserve">采购；2.</w:t>
            </w:r>
            <w:bookmarkEnd w:id="69"/>
            <w:r>
              <w:rPr>
                <w:rFonts w:hint="eastAsia" w:ascii="Times New Roman" w:hAnsi="Times New Roman" w:cs="仿宋"/>
                <w:sz w:val="24"/>
                <w:szCs w:val="24"/>
                <w:highlight w:val="none"/>
              </w:rPr>
              <w:t xml:space="preserve">服务</w:t>
            </w:r>
            <w:bookmarkStart w:id="70" w:name="EBf7d2a4f44ecb4166a93ea852e73be69f"/>
            <w:r>
              <w:rPr>
                <w:rFonts w:hint="eastAsia" w:ascii="Times New Roman" w:hAnsi="Times New Roman" w:cs="仿宋"/>
                <w:sz w:val="24"/>
                <w:szCs w:val="24"/>
                <w:highlight w:val="none"/>
              </w:rPr>
              <w:t xml:space="preserve">采购；3.</w:t>
            </w:r>
            <w:bookmarkEnd w:id="70"/>
            <w:r>
              <w:rPr>
                <w:rFonts w:hint="eastAsia" w:ascii="Times New Roman" w:hAnsi="Times New Roman" w:cs="仿宋"/>
                <w:sz w:val="24"/>
                <w:szCs w:val="24"/>
                <w:highlight w:val="none"/>
              </w:rPr>
              <w:t xml:space="preserve">工程采购。</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2</w:t>
            </w:r>
            <w:r>
              <w:rPr>
                <w:rFonts w:hint="eastAsia" w:ascii="Times New Roman" w:hAnsi="Times New Roman" w:cs="仿宋"/>
                <w:sz w:val="24"/>
                <w:szCs w:val="24"/>
                <w:highlight w:val="none"/>
              </w:rPr>
            </w:r>
            <w:r/>
          </w:p>
        </w:tc>
        <w:tc>
          <w:tcPr>
            <w:tcW w:w="1772"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投标有效期</w:t>
            </w:r>
            <w:r>
              <w:rPr>
                <w:rFonts w:hint="eastAsia" w:ascii="Times New Roman" w:hAnsi="Times New Roman" w:cs="仿宋"/>
                <w:sz w:val="24"/>
                <w:szCs w:val="24"/>
                <w:highlight w:val="none"/>
              </w:rPr>
            </w:r>
            <w:r/>
          </w:p>
        </w:tc>
        <w:tc>
          <w:tcPr>
            <w:tcW w:w="6579" w:type="dxa"/>
            <w:vAlign w:val="center"/>
            <w:textDirection w:val="lrTb"/>
            <w:noWrap w:val="false"/>
          </w:tcPr>
          <w:p>
            <w:pPr>
              <w:pStyle w:val="768"/>
              <w:jc w:val="left"/>
              <w:spacing w:line="400" w:lineRule="exact"/>
              <w:rPr>
                <w:rFonts w:hint="eastAsia" w:ascii="Times New Roman" w:hAnsi="Times New Roman" w:cs="仿宋"/>
                <w:sz w:val="24"/>
                <w:szCs w:val="24"/>
                <w:highlight w:val="none"/>
              </w:rPr>
              <w:framePr w:vAnchor="text" w:hAnchor="page" w:x="1530" w:y="228"/>
            </w:pPr>
            <w:r/>
            <w:bookmarkStart w:id="71" w:name="EBd40b5fb42f2944a3b45e579ce3941f02"/>
            <w:r/>
            <w:bookmarkEnd w:id="71"/>
            <w:r>
              <w:rPr>
                <w:rFonts w:hint="eastAsia" w:ascii="Times New Roman" w:hAnsi="Times New Roman" w:cs="仿宋"/>
                <w:sz w:val="24"/>
                <w:szCs w:val="24"/>
                <w:highlight w:val="none"/>
              </w:rPr>
              <w:t xml:space="preserve">60日（从提交投标文件截止之日起算）</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3</w:t>
            </w:r>
            <w:r>
              <w:rPr>
                <w:rFonts w:hint="eastAsia" w:ascii="Times New Roman" w:hAnsi="Times New Roman" w:cs="仿宋"/>
                <w:sz w:val="24"/>
                <w:szCs w:val="24"/>
                <w:highlight w:val="none"/>
              </w:rPr>
            </w:r>
            <w:r/>
          </w:p>
        </w:tc>
        <w:tc>
          <w:tcPr>
            <w:tcW w:w="1772"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投标文件份数</w:t>
            </w:r>
            <w:r>
              <w:rPr>
                <w:rFonts w:hint="eastAsia" w:ascii="Times New Roman" w:hAnsi="Times New Roman" w:cs="仿宋"/>
                <w:sz w:val="24"/>
                <w:szCs w:val="24"/>
                <w:highlight w:val="none"/>
              </w:rPr>
            </w:r>
            <w:r/>
          </w:p>
        </w:tc>
        <w:tc>
          <w:tcPr>
            <w:tcW w:w="6579" w:type="dxa"/>
            <w:vAlign w:val="center"/>
            <w:textDirection w:val="lrTb"/>
            <w:noWrap w:val="false"/>
          </w:tcPr>
          <w:p>
            <w:pPr>
              <w:pStyle w:val="768"/>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提交加密电子投标文件</w:t>
            </w:r>
            <w:r>
              <w:rPr>
                <w:rFonts w:hint="eastAsia" w:ascii="Times New Roman" w:hAnsi="Times New Roman" w:cs="仿宋"/>
                <w:sz w:val="24"/>
                <w:szCs w:val="24"/>
                <w:highlight w:val="none"/>
                <w:u w:val="single"/>
              </w:rPr>
              <w:t xml:space="preserve">1</w:t>
            </w:r>
            <w:r>
              <w:rPr>
                <w:rFonts w:hint="eastAsia" w:ascii="Times New Roman" w:hAnsi="Times New Roman" w:cs="仿宋"/>
                <w:sz w:val="24"/>
                <w:szCs w:val="24"/>
                <w:highlight w:val="none"/>
              </w:rPr>
              <w:t xml:space="preserve">份。</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4</w:t>
            </w:r>
            <w:r>
              <w:rPr>
                <w:rFonts w:hint="eastAsia" w:ascii="Times New Roman" w:hAnsi="Times New Roman" w:cs="仿宋"/>
                <w:sz w:val="24"/>
                <w:szCs w:val="24"/>
                <w:highlight w:val="none"/>
              </w:rPr>
            </w:r>
            <w:r/>
          </w:p>
        </w:tc>
        <w:tc>
          <w:tcPr>
            <w:tcW w:w="1772"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开标</w:t>
            </w:r>
            <w:r>
              <w:rPr>
                <w:rFonts w:hint="eastAsia" w:ascii="Times New Roman" w:hAnsi="Times New Roman" w:cs="仿宋"/>
                <w:sz w:val="24"/>
                <w:szCs w:val="24"/>
                <w:highlight w:val="none"/>
              </w:rPr>
            </w:r>
            <w:r/>
          </w:p>
        </w:tc>
        <w:tc>
          <w:tcPr>
            <w:tcW w:w="6579" w:type="dxa"/>
            <w:vAlign w:val="center"/>
            <w:textDirection w:val="lrTb"/>
            <w:noWrap w:val="false"/>
          </w:tcPr>
          <w:p>
            <w:pPr>
              <w:pStyle w:val="768"/>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“苏采云”政府采购交易系统网上开标大厅进行不见面开标。</w:t>
            </w:r>
            <w:r>
              <w:rPr>
                <w:rFonts w:hint="eastAsia" w:ascii="Times New Roman" w:hAnsi="Times New Roman" w:cs="仿宋"/>
                <w:sz w:val="24"/>
                <w:szCs w:val="24"/>
                <w:highlight w:val="none"/>
              </w:rPr>
            </w:r>
            <w:r/>
          </w:p>
        </w:tc>
      </w:tr>
      <w:tr>
        <w:trPr>
          <w:trHeight w:val="90"/>
        </w:trPr>
        <w:tc>
          <w:tcPr>
            <w:tcW w:w="858"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5</w:t>
            </w:r>
            <w:r>
              <w:rPr>
                <w:rFonts w:hint="eastAsia" w:ascii="Times New Roman" w:hAnsi="Times New Roman" w:cs="仿宋"/>
                <w:sz w:val="24"/>
                <w:szCs w:val="24"/>
                <w:highlight w:val="none"/>
              </w:rPr>
            </w:r>
            <w:r/>
          </w:p>
        </w:tc>
        <w:tc>
          <w:tcPr>
            <w:tcW w:w="1772"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进口产品</w:t>
            </w:r>
            <w:r>
              <w:rPr>
                <w:rFonts w:hint="eastAsia" w:ascii="Times New Roman" w:hAnsi="Times New Roman" w:cs="仿宋"/>
                <w:sz w:val="24"/>
                <w:szCs w:val="24"/>
                <w:highlight w:val="none"/>
              </w:rPr>
            </w:r>
            <w:r/>
          </w:p>
        </w:tc>
        <w:tc>
          <w:tcPr>
            <w:tcW w:w="6579" w:type="dxa"/>
            <w:vAlign w:val="center"/>
            <w:textDirection w:val="lrTb"/>
            <w:noWrap w:val="false"/>
          </w:tcPr>
          <w:p>
            <w:pPr>
              <w:pStyle w:val="768"/>
              <w:jc w:val="left"/>
              <w:spacing w:line="400" w:lineRule="exact"/>
              <w:rPr>
                <w:rFonts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按以下第</w:t>
            </w:r>
            <w:r>
              <w:rPr>
                <w:rFonts w:hint="eastAsia" w:ascii="Times New Roman" w:hAnsi="Times New Roman" w:cs="仿宋"/>
                <w:sz w:val="24"/>
                <w:szCs w:val="24"/>
                <w:highlight w:val="none"/>
                <w:u w:val="single"/>
              </w:rPr>
              <w:t xml:space="preserve">2</w:t>
            </w:r>
            <w:r>
              <w:rPr>
                <w:rFonts w:hint="eastAsia" w:ascii="Times New Roman" w:hAnsi="Times New Roman" w:cs="仿宋"/>
                <w:sz w:val="24"/>
                <w:szCs w:val="24"/>
                <w:highlight w:val="none"/>
              </w:rPr>
              <w:t xml:space="preserve">种方式确定：</w:t>
            </w:r>
            <w:r>
              <w:rPr>
                <w:rFonts w:ascii="Times New Roman" w:hAnsi="Times New Roman" w:cs="仿宋"/>
                <w:sz w:val="24"/>
                <w:szCs w:val="24"/>
                <w:highlight w:val="none"/>
              </w:rPr>
            </w:r>
            <w:r/>
          </w:p>
          <w:p>
            <w:pPr>
              <w:pStyle w:val="768"/>
              <w:jc w:val="left"/>
              <w:spacing w:line="360" w:lineRule="exact"/>
              <w:widowControl/>
              <w:rPr>
                <w:rFonts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1.接受进口产品。</w:t>
            </w:r>
            <w:r>
              <w:rPr>
                <w:rFonts w:hint="eastAsia" w:ascii="Times New Roman" w:hAnsi="Times New Roman" w:cs="仿宋"/>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highlight w:val="none"/>
              </w:rPr>
              <w:t xml:space="preserve">；</w:t>
            </w:r>
            <w:r>
              <w:rPr>
                <w:rFonts w:ascii="Times New Roman" w:hAnsi="Times New Roman" w:cs="仿宋"/>
                <w:sz w:val="24"/>
                <w:szCs w:val="24"/>
                <w:highlight w:val="none"/>
              </w:rPr>
            </w:r>
            <w:r/>
          </w:p>
          <w:p>
            <w:pPr>
              <w:pStyle w:val="768"/>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2.不接受进口产品。</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6</w:t>
            </w:r>
            <w:r>
              <w:rPr>
                <w:rFonts w:hint="eastAsia" w:ascii="Times New Roman" w:hAnsi="Times New Roman" w:cs="仿宋"/>
                <w:sz w:val="24"/>
                <w:szCs w:val="24"/>
                <w:highlight w:val="none"/>
              </w:rPr>
            </w:r>
            <w:r/>
          </w:p>
        </w:tc>
        <w:tc>
          <w:tcPr>
            <w:tcW w:w="1772"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评标办法</w:t>
            </w:r>
            <w:r>
              <w:rPr>
                <w:rFonts w:hint="eastAsia" w:ascii="Times New Roman" w:hAnsi="Times New Roman" w:cs="仿宋"/>
                <w:sz w:val="24"/>
                <w:szCs w:val="24"/>
                <w:highlight w:val="none"/>
              </w:rPr>
            </w:r>
            <w:r/>
          </w:p>
        </w:tc>
        <w:tc>
          <w:tcPr>
            <w:tcW w:w="6579" w:type="dxa"/>
            <w:vAlign w:val="center"/>
            <w:textDirection w:val="lrTb"/>
            <w:noWrap w:val="false"/>
          </w:tcPr>
          <w:p>
            <w:pPr>
              <w:pStyle w:val="768"/>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具体评标办法详见招标文件第三章。</w:t>
            </w:r>
            <w:r>
              <w:rPr>
                <w:rFonts w:hint="eastAsia" w:ascii="Times New Roman" w:hAnsi="Times New Roman" w:cs="仿宋"/>
                <w:sz w:val="24"/>
                <w:szCs w:val="24"/>
                <w:highlight w:val="none"/>
              </w:rPr>
            </w:r>
            <w:r/>
          </w:p>
          <w:p>
            <w:pPr>
              <w:pStyle w:val="768"/>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评标委员会依据招标文件规定的评标办法和标准推荐</w:t>
            </w:r>
            <w:r>
              <w:rPr>
                <w:rFonts w:hint="eastAsia" w:ascii="Times New Roman" w:hAnsi="Times New Roman" w:cs="仿宋"/>
                <w:sz w:val="24"/>
                <w:szCs w:val="24"/>
                <w:highlight w:val="none"/>
                <w:u w:val="single"/>
              </w:rPr>
              <w:t xml:space="preserve">3</w:t>
            </w:r>
            <w:r>
              <w:rPr>
                <w:rFonts w:hint="eastAsia" w:ascii="Times New Roman" w:hAnsi="Times New Roman" w:cs="仿宋"/>
                <w:sz w:val="24"/>
                <w:szCs w:val="24"/>
                <w:highlight w:val="none"/>
              </w:rPr>
              <w:t xml:space="preserve">名中标候选人。</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7</w:t>
            </w:r>
            <w:r>
              <w:rPr>
                <w:rFonts w:hint="eastAsia" w:ascii="Times New Roman" w:hAnsi="Times New Roman" w:cs="仿宋"/>
                <w:sz w:val="24"/>
                <w:szCs w:val="24"/>
                <w:highlight w:val="none"/>
              </w:rPr>
            </w:r>
            <w:r/>
          </w:p>
        </w:tc>
        <w:tc>
          <w:tcPr>
            <w:tcW w:w="1772"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确定中标人</w:t>
            </w:r>
            <w:r>
              <w:rPr>
                <w:rFonts w:hint="eastAsia" w:ascii="Times New Roman" w:hAnsi="Times New Roman" w:cs="仿宋"/>
                <w:sz w:val="24"/>
                <w:szCs w:val="24"/>
                <w:highlight w:val="none"/>
              </w:rPr>
            </w:r>
            <w:r/>
          </w:p>
        </w:tc>
        <w:tc>
          <w:tcPr>
            <w:tcW w:w="6579" w:type="dxa"/>
            <w:vAlign w:val="center"/>
            <w:textDirection w:val="lrTb"/>
            <w:noWrap w:val="false"/>
          </w:tcPr>
          <w:p>
            <w:pPr>
              <w:pStyle w:val="768"/>
              <w:jc w:val="left"/>
              <w:spacing w:line="400" w:lineRule="exact"/>
              <w:rPr>
                <w:rFonts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种方式确定中标人：</w:t>
            </w:r>
            <w:r>
              <w:rPr>
                <w:rFonts w:ascii="Times New Roman" w:hAnsi="Times New Roman" w:cs="仿宋"/>
                <w:color w:val="000000"/>
                <w:sz w:val="24"/>
                <w:szCs w:val="24"/>
                <w:highlight w:val="none"/>
              </w:rPr>
            </w:r>
            <w:r/>
          </w:p>
          <w:p>
            <w:pPr>
              <w:pStyle w:val="768"/>
              <w:jc w:val="left"/>
              <w:spacing w:line="400" w:lineRule="exact"/>
              <w:rPr>
                <w:rFonts w:ascii="Times New Roman" w:hAnsi="Times New Roman" w:cs="仿宋"/>
                <w:color w:val="000000"/>
                <w:sz w:val="24"/>
                <w:szCs w:val="24"/>
                <w:highlight w:val="none"/>
              </w:rPr>
              <w:framePr w:vAnchor="text" w:hAnchor="page" w:x="1530" w:y="228"/>
            </w:pPr>
            <w:r>
              <w:rPr>
                <w:rFonts w:hint="eastAsia" w:ascii="Times New Roman" w:hAnsi="Times New Roman" w:cs="仿宋"/>
                <w:color w:val="000000"/>
                <w:sz w:val="24"/>
                <w:szCs w:val="24"/>
                <w:highlight w:val="none"/>
              </w:rPr>
              <w:t xml:space="preserve">1.采购人按规定在评标委员会推荐的中标候选人中确定中标人；</w:t>
            </w:r>
            <w:r>
              <w:rPr>
                <w:rFonts w:ascii="Times New Roman" w:hAnsi="Times New Roman" w:cs="仿宋"/>
                <w:color w:val="000000"/>
                <w:sz w:val="24"/>
                <w:szCs w:val="24"/>
                <w:highlight w:val="none"/>
              </w:rPr>
            </w:r>
            <w:r/>
          </w:p>
          <w:p>
            <w:pPr>
              <w:pStyle w:val="768"/>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color w:val="000000"/>
                <w:sz w:val="24"/>
                <w:szCs w:val="24"/>
                <w:highlight w:val="none"/>
              </w:rPr>
              <w:t xml:space="preserve">2.采购人授权评标委员会直接确定中标人。</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8</w:t>
            </w:r>
            <w:r>
              <w:rPr>
                <w:rFonts w:hint="eastAsia" w:ascii="Times New Roman" w:hAnsi="Times New Roman" w:cs="仿宋"/>
                <w:sz w:val="24"/>
                <w:szCs w:val="24"/>
                <w:highlight w:val="none"/>
              </w:rPr>
            </w:r>
            <w:r/>
          </w:p>
        </w:tc>
        <w:tc>
          <w:tcPr>
            <w:tcW w:w="1772"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分包要求</w:t>
            </w:r>
            <w:r>
              <w:rPr>
                <w:rFonts w:hint="eastAsia" w:ascii="Times New Roman" w:hAnsi="Times New Roman" w:cs="仿宋"/>
                <w:sz w:val="24"/>
                <w:szCs w:val="24"/>
                <w:highlight w:val="none"/>
              </w:rPr>
            </w:r>
            <w:r/>
          </w:p>
        </w:tc>
        <w:tc>
          <w:tcPr>
            <w:tcW w:w="6579" w:type="dxa"/>
            <w:vAlign w:val="center"/>
            <w:textDirection w:val="lrTb"/>
            <w:noWrap w:val="false"/>
          </w:tcPr>
          <w:p>
            <w:pPr>
              <w:pStyle w:val="768"/>
              <w:jc w:val="left"/>
              <w:spacing w:line="400" w:lineRule="exact"/>
              <w:rPr>
                <w:rFonts w:hint="eastAsia" w:ascii="Times New Roman" w:hAnsi="Times New Roman" w:eastAsia="宋体" w:cs="仿宋"/>
                <w:color w:val="000000"/>
                <w:sz w:val="24"/>
                <w:szCs w:val="24"/>
                <w:highlight w:val="none"/>
              </w:rPr>
              <w:framePr w:vAnchor="text" w:hAnchor="page" w:x="1530" w:y="228"/>
            </w:pPr>
            <w:r>
              <w:rPr>
                <w:rFonts w:hint="eastAsia" w:ascii="Times New Roman" w:hAnsi="Times New Roman" w:eastAsia="宋体" w:cs="仿宋"/>
                <w:color w:val="000000"/>
                <w:sz w:val="24"/>
                <w:szCs w:val="24"/>
                <w:highlight w:val="none"/>
              </w:rPr>
              <w:t xml:space="preserve">本项目的非主体、非关键性工作是否允许分包按以下第1种方式确定：</w:t>
            </w:r>
            <w:r>
              <w:rPr>
                <w:rFonts w:hint="eastAsia" w:ascii="Times New Roman" w:hAnsi="Times New Roman" w:eastAsia="宋体" w:cs="仿宋"/>
                <w:color w:val="000000"/>
                <w:sz w:val="24"/>
                <w:szCs w:val="24"/>
                <w:highlight w:val="none"/>
              </w:rPr>
            </w:r>
            <w:r/>
          </w:p>
          <w:p>
            <w:pPr>
              <w:pStyle w:val="768"/>
              <w:jc w:val="left"/>
              <w:spacing w:line="400" w:lineRule="exact"/>
              <w:rPr>
                <w:rFonts w:hint="eastAsia" w:ascii="Times New Roman" w:hAnsi="Times New Roman" w:eastAsia="宋体" w:cs="仿宋"/>
                <w:color w:val="000000"/>
                <w:sz w:val="24"/>
                <w:szCs w:val="24"/>
                <w:highlight w:val="none"/>
              </w:rPr>
              <w:framePr w:vAnchor="text" w:hAnchor="page" w:x="1530" w:y="228"/>
            </w:pPr>
            <w:r>
              <w:rPr>
                <w:rFonts w:hint="eastAsia" w:ascii="Times New Roman" w:hAnsi="Times New Roman" w:eastAsia="宋体" w:cs="仿宋"/>
                <w:color w:val="000000"/>
                <w:sz w:val="24"/>
                <w:szCs w:val="24"/>
                <w:highlight w:val="none"/>
              </w:rPr>
              <w:t xml:space="preserve">1.允许分包，允许大中型企业向一家或者多家小微企业分包，分包具体内容、金额或比例：施工类。</w:t>
            </w:r>
            <w:r>
              <w:rPr>
                <w:rFonts w:hint="eastAsia" w:ascii="Times New Roman" w:hAnsi="Times New Roman" w:eastAsia="宋体" w:cs="仿宋"/>
                <w:color w:val="000000"/>
                <w:sz w:val="24"/>
                <w:szCs w:val="24"/>
                <w:highlight w:val="none"/>
              </w:rPr>
            </w:r>
            <w:r/>
          </w:p>
          <w:p>
            <w:pPr>
              <w:pStyle w:val="768"/>
              <w:jc w:val="left"/>
              <w:spacing w:line="400" w:lineRule="exact"/>
              <w:rPr>
                <w:rFonts w:hint="eastAsia" w:ascii="Times New Roman" w:hAnsi="Times New Roman" w:eastAsia="宋体" w:cs="仿宋"/>
                <w:color w:val="000000"/>
                <w:sz w:val="24"/>
                <w:szCs w:val="24"/>
                <w:highlight w:val="none"/>
              </w:rPr>
              <w:framePr w:vAnchor="text" w:hAnchor="page" w:x="1530" w:y="228"/>
            </w:pPr>
            <w:r>
              <w:rPr>
                <w:rFonts w:hint="eastAsia" w:ascii="Times New Roman" w:hAnsi="Times New Roman" w:eastAsia="宋体" w:cs="仿宋"/>
                <w:color w:val="000000"/>
                <w:sz w:val="24"/>
                <w:szCs w:val="24"/>
                <w:highlight w:val="none"/>
              </w:rPr>
              <w:t xml:space="preserve">分包企业要求：具有建筑工程施工总承包三级及以上资质或市政公用工程施工总承包三级及以上企业资质。</w:t>
            </w:r>
            <w:r>
              <w:rPr>
                <w:rFonts w:hint="eastAsia" w:ascii="Times New Roman" w:hAnsi="Times New Roman" w:eastAsia="宋体" w:cs="仿宋"/>
                <w:color w:val="000000"/>
                <w:sz w:val="24"/>
                <w:szCs w:val="24"/>
                <w:highlight w:val="none"/>
              </w:rPr>
            </w:r>
            <w:r/>
          </w:p>
          <w:p>
            <w:pPr>
              <w:pStyle w:val="768"/>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eastAsia="宋体" w:cs="仿宋"/>
                <w:color w:val="000000"/>
                <w:sz w:val="24"/>
                <w:szCs w:val="24"/>
                <w:highlight w:val="none"/>
              </w:rPr>
              <w:t xml:space="preserve">2.不允许分包。</w:t>
            </w:r>
            <w:r>
              <w:rPr>
                <w:rFonts w:hint="eastAsia" w:ascii="Times New Roman" w:hAnsi="Times New Roman" w:cs="仿宋"/>
                <w:sz w:val="24"/>
                <w:szCs w:val="24"/>
                <w:highlight w:val="none"/>
              </w:rPr>
            </w:r>
            <w:r/>
          </w:p>
        </w:tc>
      </w:tr>
      <w:tr>
        <w:trPr/>
        <w:tc>
          <w:tcPr>
            <w:tcW w:w="858"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9</w:t>
            </w:r>
            <w:r>
              <w:rPr>
                <w:rFonts w:hint="eastAsia" w:ascii="Times New Roman" w:hAnsi="Times New Roman" w:cs="仿宋"/>
                <w:sz w:val="24"/>
                <w:szCs w:val="24"/>
                <w:highlight w:val="none"/>
              </w:rPr>
            </w:r>
            <w:r/>
          </w:p>
        </w:tc>
        <w:tc>
          <w:tcPr>
            <w:tcW w:w="1772"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代理费用收取方式及标准</w:t>
            </w:r>
            <w:r>
              <w:rPr>
                <w:rFonts w:hint="eastAsia" w:ascii="Times New Roman" w:hAnsi="Times New Roman" w:cs="仿宋"/>
                <w:sz w:val="24"/>
                <w:szCs w:val="24"/>
                <w:highlight w:val="none"/>
              </w:rPr>
            </w:r>
            <w:r/>
          </w:p>
        </w:tc>
        <w:tc>
          <w:tcPr>
            <w:tcW w:w="6579" w:type="dxa"/>
            <w:vAlign w:val="center"/>
            <w:textDirection w:val="lrTb"/>
            <w:noWrap w:val="false"/>
          </w:tcPr>
          <w:p>
            <w:pPr>
              <w:pStyle w:val="768"/>
              <w:jc w:val="left"/>
              <w:spacing w:line="400" w:lineRule="exact"/>
              <w:rPr>
                <w:rFonts w:hint="eastAsia" w:ascii="Times New Roman" w:hAnsi="Times New Roman" w:eastAsia="宋体" w:cs="仿宋"/>
                <w:sz w:val="24"/>
                <w:szCs w:val="24"/>
                <w:highlight w:val="none"/>
                <w:lang w:val="en-US" w:eastAsia="zh-CN"/>
              </w:rPr>
              <w:framePr w:vAnchor="text" w:hAnchor="page" w:x="1530" w:y="228"/>
            </w:pPr>
            <w:r/>
            <w:bookmarkStart w:id="72" w:name="EBfe735bb6fc4d4e5e9e350f940db98c5f"/>
            <w:r/>
            <w:bookmarkEnd w:id="72"/>
            <w:r>
              <w:rPr>
                <w:rFonts w:ascii="Times New Roman" w:hAnsi="Times New Roman" w:cs="仿宋"/>
                <w:sz w:val="24"/>
                <w:szCs w:val="24"/>
                <w:highlight w:val="none"/>
              </w:rPr>
              <w:t xml:space="preserve">代理费根据中标金额按《江苏省政府采购代理服务收费指导意见》苏政采协〔2024〕20号文计算×21% ，可以采用数字人民币支付。</w:t>
            </w:r>
            <w:r>
              <w:rPr>
                <w:rFonts w:hint="eastAsia" w:ascii="宋体" w:hAnsi="宋体" w:cs="宋体"/>
                <w:color w:val="000000"/>
                <w:sz w:val="24"/>
                <w:szCs w:val="24"/>
                <w:highlight w:val="none"/>
                <w:lang w:val="zh-CN"/>
              </w:rPr>
              <w:t xml:space="preserve">由采购人</w:t>
            </w:r>
            <w:r>
              <w:rPr>
                <w:rFonts w:hint="eastAsia" w:ascii="宋体" w:hAnsi="宋体" w:cs="宋体"/>
                <w:color w:val="000000"/>
                <w:sz w:val="24"/>
                <w:szCs w:val="24"/>
                <w:highlight w:val="none"/>
                <w:lang w:val="en-US" w:eastAsia="zh-CN"/>
              </w:rPr>
              <w:t xml:space="preserve">支付。</w:t>
            </w:r>
            <w:r>
              <w:rPr>
                <w:rFonts w:hint="eastAsia" w:ascii="Times New Roman" w:hAnsi="Times New Roman" w:eastAsia="宋体" w:cs="仿宋"/>
                <w:sz w:val="24"/>
                <w:szCs w:val="24"/>
                <w:highlight w:val="none"/>
                <w:lang w:val="en-US" w:eastAsia="zh-CN"/>
              </w:rPr>
            </w:r>
            <w:r/>
          </w:p>
        </w:tc>
      </w:tr>
      <w:tr>
        <w:trPr/>
        <w:tc>
          <w:tcPr>
            <w:tcW w:w="858"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10</w:t>
            </w:r>
            <w:r>
              <w:rPr>
                <w:rFonts w:hint="eastAsia" w:ascii="Times New Roman" w:hAnsi="Times New Roman" w:cs="仿宋"/>
                <w:sz w:val="24"/>
                <w:szCs w:val="24"/>
                <w:highlight w:val="none"/>
              </w:rPr>
            </w:r>
            <w:r/>
          </w:p>
        </w:tc>
        <w:tc>
          <w:tcPr>
            <w:tcW w:w="1772" w:type="dxa"/>
            <w:vAlign w:val="center"/>
            <w:textDirection w:val="lrTb"/>
            <w:noWrap w:val="false"/>
          </w:tcPr>
          <w:p>
            <w:pPr>
              <w:pStyle w:val="768"/>
              <w:jc w:val="center"/>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其他</w:t>
            </w:r>
            <w:bookmarkEnd w:id="65"/>
            <w:r/>
            <w:bookmarkEnd w:id="66"/>
            <w:r/>
            <w:bookmarkEnd w:id="67"/>
            <w:r>
              <w:rPr>
                <w:rFonts w:hint="eastAsia" w:ascii="Times New Roman" w:hAnsi="Times New Roman" w:cs="仿宋"/>
                <w:sz w:val="24"/>
                <w:szCs w:val="24"/>
                <w:highlight w:val="none"/>
              </w:rPr>
            </w:r>
            <w:r/>
          </w:p>
        </w:tc>
        <w:tc>
          <w:tcPr>
            <w:tcW w:w="6579" w:type="dxa"/>
            <w:vAlign w:val="center"/>
            <w:textDirection w:val="lrTb"/>
            <w:noWrap w:val="false"/>
          </w:tcPr>
          <w:p>
            <w:pPr>
              <w:pStyle w:val="768"/>
              <w:jc w:val="left"/>
              <w:spacing w:line="400" w:lineRule="exact"/>
              <w:rPr>
                <w:rFonts w:hint="eastAsia" w:ascii="Times New Roman" w:hAnsi="Times New Roman" w:cs="仿宋"/>
                <w:sz w:val="24"/>
                <w:szCs w:val="24"/>
                <w:highlight w:val="none"/>
              </w:rPr>
              <w:framePr w:vAnchor="text" w:hAnchor="page" w:x="1530" w:y="228"/>
            </w:pPr>
            <w:r>
              <w:rPr>
                <w:rFonts w:hint="eastAsia" w:ascii="Times New Roman" w:hAnsi="Times New Roman" w:cs="仿宋"/>
                <w:sz w:val="24"/>
                <w:szCs w:val="24"/>
                <w:highlight w:val="none"/>
              </w:rPr>
              <w:t xml:space="preserve">信用信息查询截止时间：资格审查结束前。由采购人在资格审查现场查询信用信息，网页截屏打印，查询结果留存并归档。</w:t>
            </w:r>
            <w:r>
              <w:rPr>
                <w:rFonts w:hint="eastAsia" w:ascii="Times New Roman" w:hAnsi="Times New Roman" w:cs="仿宋"/>
                <w:sz w:val="24"/>
                <w:szCs w:val="24"/>
                <w:highlight w:val="none"/>
              </w:rPr>
            </w:r>
            <w:r/>
          </w:p>
        </w:tc>
      </w:tr>
    </w:tbl>
    <w:p>
      <w:pPr>
        <w:pStyle w:val="768"/>
        <w:rPr>
          <w:sz w:val="20"/>
          <w:highlight w:val="none"/>
        </w:rPr>
      </w:pPr>
      <w:r>
        <w:rPr>
          <w:sz w:val="20"/>
          <w:highlight w:val="none"/>
        </w:rPr>
      </w:r>
      <w:r/>
    </w:p>
    <w:p>
      <w:pPr>
        <w:pStyle w:val="770"/>
        <w:ind w:firstLine="340"/>
        <w:spacing w:before="0" w:after="0" w:line="480" w:lineRule="exact"/>
        <w:rPr>
          <w:rFonts w:hint="eastAsia" w:eastAsia="宋体" w:cs="Arial"/>
          <w:bCs/>
          <w:szCs w:val="22"/>
          <w:highlight w:val="none"/>
        </w:rPr>
      </w:pPr>
      <w:r/>
      <w:bookmarkStart w:id="73" w:name="EB6eaaf474639940df900ef4965d71f450"/>
      <w:r/>
      <w:bookmarkEnd w:id="73"/>
      <w:r/>
      <w:bookmarkStart w:id="74" w:name="_Toc81575155"/>
      <w:r/>
      <w:bookmarkStart w:id="75" w:name="_Toc8239"/>
      <w:r/>
      <w:bookmarkStart w:id="76" w:name="_Toc81575192"/>
      <w:r/>
      <w:bookmarkStart w:id="77" w:name="_Toc30953"/>
      <w:r>
        <w:rPr>
          <w:rFonts w:hint="eastAsia" w:eastAsia="宋体" w:cs="Arial"/>
          <w:bCs/>
          <w:szCs w:val="22"/>
          <w:highlight w:val="none"/>
        </w:rPr>
        <w:t xml:space="preserve">一、总 则</w:t>
      </w:r>
      <w:bookmarkEnd w:id="74"/>
      <w:r/>
      <w:bookmarkEnd w:id="75"/>
      <w:r/>
      <w:bookmarkEnd w:id="76"/>
      <w:r/>
      <w:bookmarkEnd w:id="77"/>
      <w:r>
        <w:rPr>
          <w:rFonts w:hint="eastAsia" w:eastAsia="宋体" w:cs="Arial"/>
          <w:bCs/>
          <w:szCs w:val="22"/>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1、招标方式</w:t>
      </w:r>
      <w:r>
        <w:rPr>
          <w:rFonts w:hint="eastAsia"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本次采购采取公开招标方式。</w:t>
      </w:r>
      <w:r>
        <w:rPr>
          <w:rFonts w:hint="eastAsia" w:ascii="Times New Roman" w:hAnsi="Times New Roman" w:cs="仿宋"/>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2、合格的投标人</w:t>
      </w:r>
      <w:r>
        <w:rPr>
          <w:rFonts w:hint="eastAsia" w:ascii="Times New Roman" w:hAnsi="Times New Roman" w:cs="仿宋"/>
          <w:b/>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2.1满足招标公告中投标人的资格要求的规定。</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rPr>
          <w:rFonts w:ascii="Times New Roman" w:hAnsi="Times New Roman" w:cs="仿宋"/>
          <w:color w:val="000000"/>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3、适用法律</w:t>
      </w:r>
      <w:r>
        <w:rPr>
          <w:rFonts w:hint="eastAsia"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本次招标及由招标产生的合同受中华人民共和国的相关法律、法规制约和保护。</w:t>
      </w:r>
      <w:r>
        <w:rPr>
          <w:rFonts w:hint="eastAsia" w:ascii="Times New Roman" w:hAnsi="Times New Roman" w:cs="仿宋"/>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4、投标费用</w:t>
      </w:r>
      <w:r>
        <w:rPr>
          <w:rFonts w:hint="eastAsia" w:ascii="Times New Roman" w:hAnsi="Times New Roman" w:cs="仿宋"/>
          <w:b/>
          <w:sz w:val="24"/>
          <w:highlight w:val="none"/>
        </w:rPr>
      </w:r>
      <w:r/>
    </w:p>
    <w:p>
      <w:pPr>
        <w:pStyle w:val="768"/>
        <w:ind w:firstLine="480"/>
        <w:spacing w:line="48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 投标人应自行承担所有与参加投标有关的费用，无论投标过程中的做法和结果如何，采购代理机构在任何情况下均无义务和责任承担这些费用</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68"/>
        <w:ind w:firstLine="480"/>
        <w:spacing w:line="480" w:lineRule="exact"/>
        <w:rPr>
          <w:rFonts w:ascii="Times New Roman" w:hAnsi="Times New Roman" w:cs="仿宋"/>
          <w:b/>
          <w:bCs/>
          <w:color w:val="000000"/>
          <w:sz w:val="24"/>
          <w:highlight w:val="none"/>
        </w:rPr>
      </w:pPr>
      <w:r/>
      <w:bookmarkStart w:id="78" w:name="_Toc29306"/>
      <w:r/>
      <w:bookmarkStart w:id="79" w:name="_Toc15995"/>
      <w:r/>
      <w:bookmarkStart w:id="80" w:name="_Toc81575193"/>
      <w:r/>
      <w:bookmarkStart w:id="81" w:name="_Toc81575156"/>
      <w:r>
        <w:rPr>
          <w:rFonts w:hint="eastAsia" w:ascii="Times New Roman" w:hAnsi="Times New Roman" w:cs="仿宋"/>
          <w:b/>
          <w:bCs/>
          <w:color w:val="000000"/>
          <w:sz w:val="24"/>
          <w:highlight w:val="none"/>
        </w:rPr>
        <w:t xml:space="preserve">5、招标文件的约束力</w:t>
      </w:r>
      <w:r>
        <w:rPr>
          <w:rFonts w:ascii="Times New Roman" w:hAnsi="Times New Roman" w:cs="仿宋"/>
          <w:b/>
          <w:bCs/>
          <w:color w:val="000000"/>
          <w:sz w:val="24"/>
          <w:highlight w:val="none"/>
        </w:rPr>
      </w:r>
      <w:r/>
    </w:p>
    <w:p>
      <w:pPr>
        <w:pStyle w:val="768"/>
        <w:ind w:firstLine="480"/>
        <w:spacing w:line="480" w:lineRule="exact"/>
        <w:rPr>
          <w:rFonts w:ascii="Times New Roman" w:hAnsi="Times New Roman" w:cs="仿宋"/>
          <w:color w:val="000000"/>
          <w:sz w:val="24"/>
          <w:highlight w:val="none"/>
          <w:u w:val="single"/>
        </w:rPr>
      </w:pPr>
      <w:r>
        <w:rPr>
          <w:rFonts w:hint="eastAsia" w:ascii="Times New Roman" w:hAnsi="Times New Roman" w:cs="仿宋"/>
          <w:color w:val="000000"/>
          <w:sz w:val="24"/>
          <w:highlight w:val="none"/>
        </w:rPr>
        <w:t xml:space="preserve">5.1 投标人一旦参加本项目采购活动，即被认为接受了本招标文件的规定和约束。</w:t>
      </w:r>
      <w:r>
        <w:rPr>
          <w:rFonts w:ascii="Times New Roman" w:hAnsi="Times New Roman" w:cs="仿宋"/>
          <w:color w:val="000000"/>
          <w:sz w:val="24"/>
          <w:highlight w:val="none"/>
          <w:u w:val="single"/>
        </w:rPr>
      </w:r>
      <w:r/>
    </w:p>
    <w:p>
      <w:pPr>
        <w:pStyle w:val="770"/>
        <w:ind w:firstLine="340"/>
        <w:spacing w:before="0" w:after="0" w:line="480" w:lineRule="exact"/>
        <w:rPr>
          <w:rFonts w:hint="eastAsia" w:eastAsia="宋体" w:cs="Arial"/>
          <w:bCs/>
          <w:szCs w:val="22"/>
          <w:highlight w:val="none"/>
        </w:rPr>
      </w:pPr>
      <w:r>
        <w:rPr>
          <w:rFonts w:hint="eastAsia" w:eastAsia="宋体" w:cs="Arial"/>
          <w:bCs/>
          <w:szCs w:val="22"/>
          <w:highlight w:val="none"/>
        </w:rPr>
        <w:t xml:space="preserve">二、招标文件</w:t>
      </w:r>
      <w:bookmarkEnd w:id="78"/>
      <w:r/>
      <w:bookmarkEnd w:id="79"/>
      <w:r/>
      <w:bookmarkEnd w:id="80"/>
      <w:r/>
      <w:bookmarkEnd w:id="81"/>
      <w:r>
        <w:rPr>
          <w:rFonts w:hint="eastAsia" w:eastAsia="宋体" w:cs="Arial"/>
          <w:bCs/>
          <w:szCs w:val="22"/>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lang w:val="en-US" w:eastAsia="zh-CN"/>
        </w:rPr>
        <w:t xml:space="preserve">6</w:t>
      </w:r>
      <w:r>
        <w:rPr>
          <w:rFonts w:hint="eastAsia" w:ascii="Times New Roman" w:hAnsi="Times New Roman" w:cs="仿宋"/>
          <w:b/>
          <w:sz w:val="24"/>
          <w:highlight w:val="none"/>
        </w:rPr>
        <w:t xml:space="preserve">、招标文件构成</w:t>
      </w:r>
      <w:r>
        <w:rPr>
          <w:rFonts w:hint="eastAsia"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6</w:t>
      </w:r>
      <w:r>
        <w:rPr>
          <w:rFonts w:hint="eastAsia" w:ascii="Times New Roman" w:hAnsi="Times New Roman" w:cs="仿宋"/>
          <w:sz w:val="24"/>
          <w:highlight w:val="none"/>
        </w:rPr>
        <w:t xml:space="preserve">.1招标文件由以下部分组成：</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第一章：投标邀请；</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第二章：投标人须知；</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第三章：资格审查及评标办法；</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第四章：采购需求；</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第五章：合同文本；</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第六章：投标文件格式。</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请仔细检查招标文件是否齐全，如有缺漏请立即与代理机构联系解决。</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6</w:t>
      </w:r>
      <w:r>
        <w:rPr>
          <w:rFonts w:hint="eastAsia" w:ascii="Times New Roman" w:hAnsi="Times New Roman" w:cs="仿宋"/>
          <w:sz w:val="24"/>
          <w:highlight w:val="none"/>
        </w:rPr>
        <w:t xml:space="preserve">.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rPr>
          <w:rFonts w:hint="eastAsia" w:ascii="Times New Roman" w:hAnsi="Times New Roman" w:cs="仿宋"/>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lang w:val="en-US" w:eastAsia="zh-CN"/>
        </w:rPr>
        <w:t xml:space="preserve">7</w:t>
      </w:r>
      <w:r>
        <w:rPr>
          <w:rFonts w:hint="eastAsia" w:ascii="Times New Roman" w:hAnsi="Times New Roman" w:cs="仿宋"/>
          <w:b/>
          <w:sz w:val="24"/>
          <w:highlight w:val="none"/>
        </w:rPr>
        <w:t xml:space="preserve">、政府采购政策功能落实</w:t>
      </w:r>
      <w:r>
        <w:rPr>
          <w:rFonts w:hint="eastAsia" w:ascii="Times New Roman" w:hAnsi="Times New Roman" w:cs="仿宋"/>
          <w:b/>
          <w:sz w:val="24"/>
          <w:highlight w:val="none"/>
        </w:rPr>
      </w:r>
      <w:r/>
    </w:p>
    <w:p>
      <w:pPr>
        <w:pStyle w:val="768"/>
        <w:ind w:firstLine="482"/>
        <w:spacing w:line="480" w:lineRule="exact"/>
        <w:rPr>
          <w:rFonts w:ascii="Times New Roman" w:hAnsi="Times New Roman" w:eastAsia="宋体" w:cs="仿宋"/>
          <w:b/>
          <w:bCs/>
          <w:sz w:val="24"/>
          <w:highlight w:val="none"/>
          <w:u w:val="single"/>
          <w:lang w:val="en-US" w:eastAsia="zh-CN"/>
        </w:rPr>
      </w:pPr>
      <w:r>
        <w:rPr>
          <w:rFonts w:hint="eastAsia" w:ascii="Times New Roman" w:hAnsi="Times New Roman" w:cs="仿宋"/>
          <w:b/>
          <w:bCs/>
          <w:sz w:val="24"/>
          <w:highlight w:val="none"/>
        </w:rPr>
        <w:t xml:space="preserve">本项目落实的政府采购政策对应序号为</w:t>
      </w:r>
      <w:r>
        <w:rPr>
          <w:rFonts w:hint="eastAsia" w:ascii="Times New Roman" w:hAnsi="Times New Roman" w:cs="仿宋"/>
          <w:b/>
          <w:bCs/>
          <w:sz w:val="24"/>
          <w:highlight w:val="none"/>
          <w:u w:val="single"/>
        </w:rPr>
        <w:t xml:space="preserve"> </w:t>
      </w:r>
      <w:r>
        <w:rPr>
          <w:rFonts w:hint="eastAsia" w:ascii="Times New Roman" w:hAnsi="Times New Roman" w:cs="仿宋"/>
          <w:b/>
          <w:bCs/>
          <w:sz w:val="24"/>
          <w:highlight w:val="none"/>
          <w:u w:val="single"/>
          <w:lang w:val="en-US" w:eastAsia="zh-CN"/>
        </w:rPr>
        <w:t xml:space="preserve">7</w:t>
      </w:r>
      <w:r>
        <w:rPr>
          <w:rFonts w:hint="eastAsia" w:ascii="Times New Roman" w:hAnsi="Times New Roman" w:cs="仿宋"/>
          <w:b/>
          <w:bCs/>
          <w:sz w:val="24"/>
          <w:highlight w:val="none"/>
          <w:u w:val="single"/>
        </w:rPr>
        <w:t xml:space="preserve">.1、</w:t>
      </w:r>
      <w:r>
        <w:rPr>
          <w:rFonts w:hint="eastAsia" w:ascii="Times New Roman" w:hAnsi="Times New Roman" w:cs="仿宋"/>
          <w:b/>
          <w:bCs/>
          <w:sz w:val="24"/>
          <w:highlight w:val="none"/>
          <w:u w:val="single"/>
          <w:lang w:val="en-US" w:eastAsia="zh-CN"/>
        </w:rPr>
        <w:t xml:space="preserve">7</w:t>
      </w:r>
      <w:r>
        <w:rPr>
          <w:rFonts w:hint="eastAsia" w:ascii="Times New Roman" w:hAnsi="Times New Roman" w:cs="仿宋"/>
          <w:b/>
          <w:bCs/>
          <w:sz w:val="24"/>
          <w:highlight w:val="none"/>
          <w:u w:val="single"/>
        </w:rPr>
        <w:t xml:space="preserve">.2、</w:t>
      </w:r>
      <w:r>
        <w:rPr>
          <w:rFonts w:hint="eastAsia" w:ascii="Times New Roman" w:hAnsi="Times New Roman" w:cs="仿宋"/>
          <w:b/>
          <w:bCs/>
          <w:sz w:val="24"/>
          <w:highlight w:val="none"/>
          <w:u w:val="single"/>
          <w:lang w:val="en-US" w:eastAsia="zh-CN"/>
        </w:rPr>
        <w:t xml:space="preserve">7</w:t>
      </w:r>
      <w:r>
        <w:rPr>
          <w:rFonts w:hint="eastAsia" w:ascii="Times New Roman" w:hAnsi="Times New Roman" w:cs="仿宋"/>
          <w:b/>
          <w:bCs/>
          <w:sz w:val="24"/>
          <w:highlight w:val="none"/>
          <w:u w:val="single"/>
        </w:rPr>
        <w:t xml:space="preserve">.3 、</w:t>
      </w:r>
      <w:r>
        <w:rPr>
          <w:rFonts w:hint="eastAsia" w:ascii="Times New Roman" w:hAnsi="Times New Roman" w:cs="仿宋"/>
          <w:b/>
          <w:bCs/>
          <w:sz w:val="24"/>
          <w:highlight w:val="none"/>
          <w:u w:val="single"/>
          <w:lang w:val="en-US" w:eastAsia="zh-CN"/>
        </w:rPr>
        <w:t xml:space="preserve">7</w:t>
      </w:r>
      <w:r>
        <w:rPr>
          <w:rFonts w:hint="eastAsia" w:ascii="Times New Roman" w:hAnsi="Times New Roman" w:cs="仿宋"/>
          <w:b/>
          <w:bCs/>
          <w:sz w:val="24"/>
          <w:highlight w:val="none"/>
          <w:u w:val="single"/>
        </w:rPr>
        <w:t xml:space="preserve">.4</w:t>
      </w:r>
      <w:r>
        <w:rPr>
          <w:rFonts w:hint="eastAsia" w:ascii="Times New Roman" w:hAnsi="Times New Roman" w:cs="仿宋"/>
          <w:b/>
          <w:bCs/>
          <w:sz w:val="24"/>
          <w:highlight w:val="none"/>
          <w:u w:val="single"/>
          <w:lang w:eastAsia="zh-CN"/>
        </w:rPr>
        <w:t xml:space="preserve">、</w:t>
      </w:r>
      <w:r>
        <w:rPr>
          <w:rFonts w:hint="eastAsia" w:ascii="Times New Roman" w:hAnsi="Times New Roman" w:cs="仿宋"/>
          <w:b/>
          <w:bCs/>
          <w:sz w:val="24"/>
          <w:highlight w:val="none"/>
          <w:u w:val="single"/>
          <w:lang w:val="en-US" w:eastAsia="zh-CN"/>
        </w:rPr>
        <w:t xml:space="preserve">7.5</w:t>
      </w:r>
      <w:r>
        <w:rPr>
          <w:rFonts w:ascii="Times New Roman" w:hAnsi="Times New Roman" w:eastAsia="宋体" w:cs="仿宋"/>
          <w:b/>
          <w:bCs/>
          <w:sz w:val="24"/>
          <w:highlight w:val="none"/>
          <w:u w:val="single"/>
          <w:lang w:val="en-US" w:eastAsia="zh-CN"/>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7</w:t>
      </w:r>
      <w:r>
        <w:rPr>
          <w:rFonts w:hint="eastAsia" w:ascii="Times New Roman" w:hAnsi="Times New Roman" w:cs="仿宋"/>
          <w:sz w:val="24"/>
          <w:highlight w:val="none"/>
        </w:rPr>
        <w:t xml:space="preserve">.1中小企业政策</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本项目按第</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u w:val="single"/>
          <w:lang w:val="en-US" w:eastAsia="zh-CN"/>
        </w:rPr>
        <w:t xml:space="preserve">1</w:t>
      </w:r>
      <w:r>
        <w:rPr>
          <w:rFonts w:hint="eastAsia" w:ascii="Times New Roman" w:hAnsi="Times New Roman" w:cs="仿宋"/>
          <w:color w:val="000000"/>
          <w:sz w:val="24"/>
          <w:highlight w:val="none"/>
          <w:u w:val="single"/>
        </w:rPr>
        <w:t xml:space="preserve">）</w:t>
      </w:r>
      <w:r>
        <w:rPr>
          <w:rFonts w:hint="eastAsia" w:ascii="Times New Roman" w:hAnsi="Times New Roman" w:cs="仿宋"/>
          <w:sz w:val="24"/>
          <w:highlight w:val="none"/>
        </w:rPr>
        <w:t xml:space="preserve">种政策落实：</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（1）本项目专门面向中小企业（含监狱与戒毒企业、残疾人福利企业）采购。</w:t>
      </w:r>
      <w:r>
        <w:rPr>
          <w:rFonts w:hint="eastAsia" w:ascii="Times New Roman" w:hAnsi="Times New Roman" w:cs="仿宋"/>
          <w:sz w:val="24"/>
          <w:highlight w:val="none"/>
        </w:rPr>
      </w:r>
      <w:r/>
    </w:p>
    <w:p>
      <w:pPr>
        <w:pStyle w:val="768"/>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（2）对符合规定情形的小微企业报价给予</w:t>
      </w:r>
      <w:r>
        <w:rPr>
          <w:rFonts w:hint="eastAsia" w:ascii="Times New Roman" w:hAnsi="Times New Roman" w:cs="仿宋"/>
          <w:color w:val="000000"/>
          <w:sz w:val="24"/>
          <w:highlight w:val="none"/>
          <w:u w:val="single"/>
          <w:lang w:val="en-US" w:eastAsia="zh-CN"/>
        </w:rPr>
        <w:t xml:space="preserve"> / </w:t>
      </w:r>
      <w:r>
        <w:rPr>
          <w:rFonts w:hint="eastAsia" w:ascii="Times New Roman" w:hAnsi="Times New Roman" w:cs="仿宋"/>
          <w:sz w:val="24"/>
          <w:highlight w:val="none"/>
        </w:rPr>
        <w:t xml:space="preserve">扣除，用扣除后的价格参加评审。</w:t>
      </w:r>
      <w:r>
        <w:rPr>
          <w:rFonts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在服务采购项目中，服务由中小企业承接，即提供服务的人员为中小企业依照《中华人民共和国劳动合同法》订立劳动合同的从业人员。</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_GB2312"/>
          <w:sz w:val="24"/>
          <w:highlight w:val="none"/>
        </w:rPr>
        <w:t xml:space="preserve">在货物采购项目中，货物由中小企业制造，即货物由中小企业生产且使用该中小企业商号或者注册商标。</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highlight w:val="none"/>
          <w:u w:val="single"/>
        </w:rPr>
        <w:t xml:space="preserve">5</w:t>
      </w:r>
      <w:r>
        <w:rPr>
          <w:rFonts w:hint="eastAsia" w:ascii="Times New Roman" w:hAnsi="Times New Roman" w:cs="仿宋"/>
          <w:sz w:val="24"/>
          <w:highlight w:val="none"/>
        </w:rPr>
        <w:t xml:space="preserve">%（工程项目为</w:t>
      </w:r>
      <w:r>
        <w:rPr>
          <w:rFonts w:hint="eastAsia" w:ascii="Times New Roman" w:hAnsi="Times New Roman" w:cs="仿宋"/>
          <w:sz w:val="24"/>
          <w:highlight w:val="none"/>
          <w:u w:val="single"/>
        </w:rPr>
        <w:t xml:space="preserve">2</w:t>
      </w:r>
      <w:r>
        <w:rPr>
          <w:rFonts w:hint="eastAsia" w:ascii="Times New Roman" w:hAnsi="Times New Roman" w:cs="仿宋"/>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⑤联合体各方均为小型、微型企业（残疾人福利单位、监狱企业）的，联合体享受</w:t>
      </w:r>
      <w:r>
        <w:rPr>
          <w:rFonts w:hint="eastAsia" w:ascii="Times New Roman" w:hAnsi="Times New Roman" w:cs="仿宋"/>
          <w:sz w:val="24"/>
          <w:highlight w:val="none"/>
          <w:lang w:val="en-US" w:eastAsia="zh-CN"/>
        </w:rPr>
        <w:t xml:space="preserve">/</w:t>
      </w:r>
      <w:r>
        <w:rPr>
          <w:rFonts w:hint="eastAsia" w:ascii="Times New Roman" w:hAnsi="Times New Roman" w:cs="仿宋"/>
          <w:sz w:val="24"/>
          <w:highlight w:val="none"/>
        </w:rPr>
        <w:t xml:space="preserve">%价格扣除，用扣除后的价格参与评审。</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7</w:t>
      </w:r>
      <w:r>
        <w:rPr>
          <w:rFonts w:hint="eastAsia" w:ascii="Times New Roman" w:hAnsi="Times New Roman" w:cs="仿宋"/>
          <w:sz w:val="24"/>
          <w:highlight w:val="none"/>
        </w:rPr>
        <w:t xml:space="preserve">.2节能产品、环境标志产品</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7</w:t>
      </w:r>
      <w:r>
        <w:rPr>
          <w:rFonts w:hint="eastAsia" w:ascii="Times New Roman" w:hAnsi="Times New Roman" w:cs="仿宋"/>
          <w:sz w:val="24"/>
          <w:highlight w:val="none"/>
        </w:rPr>
        <w:t xml:space="preserve">.2.1拟采购的产品属于政府强制采购的节能产品品目清单范围的，投标人须提供国家确定的认证机构出具的、处于有效期之内的节能产品认证证书，否则其投标文件作无效标处理。</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7</w:t>
      </w:r>
      <w:r>
        <w:rPr>
          <w:rFonts w:hint="eastAsia" w:ascii="Times New Roman" w:hAnsi="Times New Roman" w:cs="仿宋"/>
          <w:sz w:val="24"/>
          <w:highlight w:val="none"/>
        </w:rPr>
        <w:t xml:space="preserve">.2.2采购人拟采购的产品属于优先采购的节能环保品目清单范围的，按以下条件优先采购：</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采用综合评分法的项目，对提供有效节能环保证书的投标人加分。</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采用最低评标价法的项目，同等条件下优先推荐提供有效节能环保证书多的投标人为中标人。</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7</w:t>
      </w:r>
      <w:r>
        <w:rPr>
          <w:rFonts w:hint="eastAsia" w:ascii="Times New Roman" w:hAnsi="Times New Roman" w:cs="仿宋"/>
          <w:sz w:val="24"/>
          <w:highlight w:val="none"/>
        </w:rPr>
        <w:t xml:space="preserve">.3政府采购需求标准</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7</w:t>
      </w:r>
      <w:r>
        <w:rPr>
          <w:rFonts w:hint="eastAsia" w:ascii="Times New Roman" w:hAnsi="Times New Roman" w:cs="仿宋"/>
          <w:sz w:val="24"/>
          <w:highlight w:val="none"/>
        </w:rPr>
        <w:t xml:space="preserve">.3.1商品包装、快递包装政府采购需求标准（试行）</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按照财政部印发的《商品包装政府采购需求标准（试行）》《快递包装政府采购需求标准（试行）》要求执行，本项目商品包装和快递包装的具体需求详见第四章采购需求。</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7</w:t>
      </w:r>
      <w:r>
        <w:rPr>
          <w:rFonts w:hint="eastAsia" w:ascii="Times New Roman" w:hAnsi="Times New Roman" w:cs="仿宋"/>
          <w:sz w:val="24"/>
          <w:highlight w:val="none"/>
        </w:rPr>
        <w:t xml:space="preserve">.3.2绿色数据中心政府采购需求标准（试行）</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按照财政部 生态环境部 工业和信息化部关于印发《绿色数据中心政府采购需求标准（试行）》的通知）要求执行，本项目绿色数据中心的具体需求详见第四章采购需求。</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7</w:t>
      </w:r>
      <w:r>
        <w:rPr>
          <w:rFonts w:hint="eastAsia" w:ascii="Times New Roman" w:hAnsi="Times New Roman" w:cs="仿宋"/>
          <w:sz w:val="24"/>
          <w:highlight w:val="none"/>
        </w:rPr>
        <w:t xml:space="preserve">.3.3绿色建材政府采购需求标准</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7</w:t>
      </w:r>
      <w:r>
        <w:rPr>
          <w:rFonts w:hint="eastAsia" w:ascii="Times New Roman" w:hAnsi="Times New Roman" w:cs="仿宋"/>
          <w:sz w:val="24"/>
          <w:highlight w:val="none"/>
        </w:rPr>
        <w:t xml:space="preserve">.4采购产品中涉及涂料、胶黏剂、油墨、清洗剂等挥发性有机物产品的，属于强制性标准的，供应商应当提供符合国家和江苏省相关VOCs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Times New Roman" w:hAnsi="Times New Roman" w:cs="仿宋"/>
          <w:sz w:val="24"/>
          <w:highlight w:val="none"/>
        </w:rPr>
      </w:r>
      <w:r/>
    </w:p>
    <w:p>
      <w:pPr>
        <w:pStyle w:val="1153"/>
        <w:ind w:firstLine="480"/>
        <w:spacing w:line="480" w:lineRule="exact"/>
        <w:rPr>
          <w:rFonts w:ascii="宋体" w:hAnsi="宋体" w:cs="宋体"/>
          <w:b/>
          <w:bCs/>
          <w:color w:val="000000"/>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7.5</w:t>
      </w:r>
      <w:r>
        <w:rPr>
          <w:rFonts w:hint="eastAsia" w:ascii="宋体" w:hAnsi="宋体" w:cs="宋体"/>
          <w:b/>
          <w:bCs/>
          <w:color w:val="000000"/>
          <w:szCs w:val="24"/>
          <w:highlight w:val="none"/>
          <w:shd w:val="clear" w:color="auto" w:fill="ffffff"/>
        </w:rPr>
        <w:t xml:space="preserve">采购本国产品的支持政策</w:t>
      </w:r>
      <w:r>
        <w:rPr>
          <w:rFonts w:ascii="宋体" w:hAnsi="宋体" w:cs="宋体"/>
          <w:b/>
          <w:bCs/>
          <w:color w:val="000000"/>
          <w:szCs w:val="24"/>
          <w:highlight w:val="none"/>
          <w:shd w:val="clear" w:color="auto" w:fill="ffffff"/>
        </w:rPr>
      </w:r>
      <w:r/>
    </w:p>
    <w:p>
      <w:pPr>
        <w:pStyle w:val="1153"/>
        <w:ind w:firstLine="480"/>
        <w:spacing w:line="480" w:lineRule="exact"/>
        <w:rPr>
          <w:rFonts w:ascii="宋体" w:hAnsi="宋体" w:cs="宋体"/>
          <w:color w:val="000000"/>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7.5</w:t>
      </w:r>
      <w:r>
        <w:rPr>
          <w:rFonts w:hint="eastAsia" w:ascii="宋体" w:hAnsi="宋体" w:cs="宋体"/>
          <w:color w:val="000000"/>
          <w:szCs w:val="24"/>
          <w:highlight w:val="none"/>
          <w:shd w:val="clear" w:color="auto" w:fill="ffffff"/>
        </w:rPr>
        <w:t xml:space="preserve">.1 本项目政府采购活动中既有本国产品又有非本国产品参与竞争的，依法对本国产品给予价格评审优惠，对本国产品的报价给予</w:t>
      </w:r>
      <w:r>
        <w:rPr>
          <w:rFonts w:hint="eastAsia" w:ascii="宋体" w:hAnsi="宋体" w:cs="宋体"/>
          <w:color w:val="000000"/>
          <w:szCs w:val="24"/>
          <w:highlight w:val="none"/>
          <w:u w:val="single"/>
          <w:shd w:val="clear" w:color="auto" w:fill="ffffff"/>
        </w:rPr>
        <w:t xml:space="preserve">20%</w:t>
      </w:r>
      <w:r>
        <w:rPr>
          <w:rFonts w:hint="eastAsia" w:ascii="宋体" w:hAnsi="宋体" w:cs="宋体"/>
          <w:color w:val="000000"/>
          <w:szCs w:val="24"/>
          <w:highlight w:val="none"/>
          <w:shd w:val="clear" w:color="auto" w:fill="ffffff"/>
        </w:rPr>
        <w:t xml:space="preserve">的价格扣除，用扣除后的价格参与评审。</w:t>
      </w:r>
      <w:r>
        <w:rPr>
          <w:rFonts w:ascii="宋体" w:hAnsi="宋体" w:cs="宋体"/>
          <w:color w:val="000000"/>
          <w:szCs w:val="24"/>
          <w:highlight w:val="none"/>
          <w:shd w:val="clear" w:color="auto" w:fill="ffffff"/>
        </w:rPr>
      </w:r>
      <w:r/>
    </w:p>
    <w:p>
      <w:pPr>
        <w:pStyle w:val="1153"/>
        <w:ind w:firstLine="480"/>
        <w:spacing w:line="480" w:lineRule="exact"/>
        <w:rPr>
          <w:rFonts w:ascii="宋体" w:hAnsi="宋体" w:cs="宋体"/>
          <w:color w:val="000000"/>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7.5</w:t>
      </w:r>
      <w:r>
        <w:rPr>
          <w:rFonts w:hint="eastAsia" w:ascii="宋体" w:hAnsi="宋体" w:cs="宋体"/>
          <w:color w:val="000000"/>
          <w:szCs w:val="24"/>
          <w:highlight w:val="none"/>
          <w:shd w:val="clear" w:color="auto" w:fill="ffffff"/>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color w:val="000000"/>
          <w:szCs w:val="24"/>
          <w:highlight w:val="none"/>
          <w:shd w:val="clear" w:color="auto" w:fill="ffffff"/>
        </w:rPr>
      </w:r>
      <w:r/>
    </w:p>
    <w:p>
      <w:pPr>
        <w:pStyle w:val="1153"/>
        <w:ind w:firstLine="480"/>
        <w:spacing w:line="480" w:lineRule="exact"/>
        <w:rPr>
          <w:rFonts w:ascii="宋体" w:hAnsi="宋体" w:cs="宋体"/>
          <w:color w:val="000000"/>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7.5</w:t>
      </w:r>
      <w:r>
        <w:rPr>
          <w:rFonts w:hint="eastAsia" w:ascii="宋体" w:hAnsi="宋体" w:cs="宋体"/>
          <w:color w:val="000000"/>
          <w:szCs w:val="24"/>
          <w:highlight w:val="none"/>
          <w:shd w:val="clear" w:color="auto" w:fill="ffffff"/>
        </w:rPr>
        <w:t xml:space="preserve">.3 供应商需按照招标文件的要求提供《关于符合本国产品标准的声明函》（以下简称《声明函》），如不提供将不享受本国产品价格评审优惠。</w:t>
      </w:r>
      <w:r>
        <w:rPr>
          <w:rFonts w:ascii="宋体" w:hAnsi="宋体" w:cs="宋体"/>
          <w:color w:val="000000"/>
          <w:szCs w:val="24"/>
          <w:highlight w:val="none"/>
          <w:shd w:val="clear" w:color="auto" w:fill="ffffff"/>
        </w:rPr>
      </w:r>
      <w:r/>
    </w:p>
    <w:p>
      <w:pPr>
        <w:pStyle w:val="1153"/>
        <w:ind w:firstLine="480"/>
        <w:spacing w:line="480" w:lineRule="exact"/>
        <w:rPr>
          <w:rFonts w:ascii="宋体" w:hAnsi="宋体" w:cs="宋体"/>
          <w:color w:val="000000"/>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7.5</w:t>
      </w:r>
      <w:r>
        <w:rPr>
          <w:rFonts w:hint="eastAsia" w:ascii="宋体" w:hAnsi="宋体" w:cs="宋体"/>
          <w:color w:val="000000"/>
          <w:szCs w:val="24"/>
          <w:highlight w:val="none"/>
          <w:shd w:val="clear" w:color="auto" w:fill="ffffff"/>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color w:val="000000"/>
          <w:szCs w:val="24"/>
          <w:highlight w:val="none"/>
          <w:shd w:val="clear" w:color="auto" w:fill="ffffff"/>
        </w:rPr>
      </w:r>
      <w:r/>
    </w:p>
    <w:p>
      <w:pPr>
        <w:pStyle w:val="768"/>
        <w:ind w:firstLine="480"/>
        <w:spacing w:line="480" w:lineRule="exact"/>
        <w:rPr>
          <w:rFonts w:hint="eastAsia" w:ascii="Times New Roman" w:hAnsi="Times New Roman" w:cs="仿宋"/>
          <w:sz w:val="24"/>
          <w:highlight w:val="none"/>
        </w:rPr>
      </w:pPr>
      <w:r>
        <w:rPr>
          <w:rFonts w:hint="eastAsia" w:ascii="宋体" w:hAnsi="宋体" w:cs="宋体"/>
          <w:color w:val="000000"/>
          <w:sz w:val="24"/>
          <w:highlight w:val="none"/>
        </w:rPr>
        <w:t xml:space="preserve">7.5</w:t>
      </w:r>
      <w:r>
        <w:rPr>
          <w:rFonts w:hint="eastAsia" w:ascii="宋体" w:hAnsi="宋体" w:cs="宋体"/>
          <w:color w:val="000000"/>
          <w:sz w:val="24"/>
          <w:szCs w:val="24"/>
          <w:highlight w:val="none"/>
          <w:shd w:val="clear" w:color="auto" w:fill="ffffff"/>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cs="仿宋"/>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lang w:val="en-US" w:eastAsia="zh-CN"/>
        </w:rPr>
        <w:t xml:space="preserve">8</w:t>
      </w:r>
      <w:r>
        <w:rPr>
          <w:rFonts w:hint="eastAsia" w:ascii="Times New Roman" w:hAnsi="Times New Roman" w:cs="仿宋"/>
          <w:b/>
          <w:sz w:val="24"/>
          <w:highlight w:val="none"/>
        </w:rPr>
        <w:t xml:space="preserve">、招标文件的澄清或修改</w:t>
      </w:r>
      <w:r>
        <w:rPr>
          <w:rFonts w:hint="eastAsia"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.2招标文件的澄清、修改将在原公告媒体上发布更正公告，澄清、修改文件均作为招标文件的组成部分，并对投标人具有约束力。</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.3投标人应及时登录“苏采云”系统获取澄清答疑文件（修改后的招标文件），如投标人未能及时下载澄清答疑文件，造成的相关责任由投标人承担。</w:t>
      </w:r>
      <w:r>
        <w:rPr>
          <w:rFonts w:hint="eastAsia" w:ascii="Times New Roman" w:hAnsi="Times New Roman" w:cs="仿宋"/>
          <w:sz w:val="24"/>
          <w:highlight w:val="none"/>
        </w:rPr>
      </w:r>
      <w:r/>
    </w:p>
    <w:p>
      <w:pPr>
        <w:pStyle w:val="770"/>
        <w:ind w:firstLine="340"/>
        <w:spacing w:before="0" w:after="0" w:line="480" w:lineRule="exact"/>
        <w:rPr>
          <w:rFonts w:hint="eastAsia" w:eastAsia="宋体" w:cs="Arial"/>
          <w:bCs/>
          <w:szCs w:val="22"/>
          <w:highlight w:val="none"/>
        </w:rPr>
      </w:pPr>
      <w:r/>
      <w:bookmarkStart w:id="82" w:name="_Toc81575157"/>
      <w:r/>
      <w:bookmarkStart w:id="83" w:name="_Toc11461"/>
      <w:r/>
      <w:bookmarkStart w:id="84" w:name="_Toc81575194"/>
      <w:r/>
      <w:bookmarkStart w:id="85" w:name="_Toc5574"/>
      <w:r>
        <w:rPr>
          <w:rFonts w:hint="eastAsia" w:eastAsia="宋体" w:cs="Arial"/>
          <w:bCs/>
          <w:szCs w:val="22"/>
          <w:highlight w:val="none"/>
        </w:rPr>
        <w:t xml:space="preserve">三、投标文件的编制</w:t>
      </w:r>
      <w:bookmarkEnd w:id="82"/>
      <w:r/>
      <w:bookmarkEnd w:id="83"/>
      <w:r/>
      <w:bookmarkEnd w:id="84"/>
      <w:r/>
      <w:bookmarkEnd w:id="85"/>
      <w:r>
        <w:rPr>
          <w:rFonts w:hint="eastAsia" w:eastAsia="宋体" w:cs="Arial"/>
          <w:bCs/>
          <w:szCs w:val="22"/>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lang w:val="en-US" w:eastAsia="zh-CN"/>
        </w:rPr>
        <w:t xml:space="preserve">9</w:t>
      </w:r>
      <w:r>
        <w:rPr>
          <w:rFonts w:hint="eastAsia" w:ascii="Times New Roman" w:hAnsi="Times New Roman" w:cs="仿宋"/>
          <w:b/>
          <w:sz w:val="24"/>
          <w:highlight w:val="none"/>
        </w:rPr>
        <w:t xml:space="preserve">、投标文件的编制要求</w:t>
      </w:r>
      <w:r>
        <w:rPr>
          <w:rFonts w:hint="eastAsia"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9</w:t>
      </w:r>
      <w:r>
        <w:rPr>
          <w:rFonts w:hint="eastAsia" w:ascii="Times New Roman" w:hAnsi="Times New Roman" w:cs="仿宋"/>
          <w:sz w:val="24"/>
          <w:highlight w:val="none"/>
        </w:rPr>
        <w:t xml:space="preserve">.1投标人应仔细阅读“招标文件”的所有内容，保证所提供的全部资料的真实性、完整性及有效性，以使其投标对“招标文件”作出实质性响应。</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9</w:t>
      </w:r>
      <w:r>
        <w:rPr>
          <w:rFonts w:hint="eastAsia" w:ascii="Times New Roman" w:hAnsi="Times New Roman" w:cs="仿宋"/>
          <w:sz w:val="24"/>
          <w:highlight w:val="none"/>
        </w:rPr>
        <w:t xml:space="preserve">.2投标文件要求加盖电子签章之处，应按要求加盖投标人数字证书的电子签章。其他需要盖章但未明确要求电子签章的，投标人可按要求加盖公章后上传材料电子件或直接加盖电子签章。</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9</w:t>
      </w:r>
      <w:r>
        <w:rPr>
          <w:rFonts w:hint="eastAsia" w:ascii="Times New Roman" w:hAnsi="Times New Roman" w:cs="仿宋"/>
          <w:sz w:val="24"/>
          <w:highlight w:val="none"/>
        </w:rPr>
        <w:t xml:space="preserve">.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rPr>
          <w:rFonts w:hint="eastAsia" w:ascii="Times New Roman" w:hAnsi="Times New Roman" w:cs="仿宋"/>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lang w:val="en-US" w:eastAsia="zh-CN"/>
        </w:rPr>
        <w:t xml:space="preserve">1</w:t>
      </w:r>
      <w:r>
        <w:rPr>
          <w:rFonts w:hint="eastAsia" w:ascii="Times New Roman" w:hAnsi="Times New Roman" w:cs="仿宋"/>
          <w:b/>
          <w:sz w:val="24"/>
          <w:highlight w:val="none"/>
          <w:lang w:val="en-US" w:eastAsia="zh-CN"/>
        </w:rPr>
        <w:t xml:space="preserve">0</w:t>
      </w:r>
      <w:r>
        <w:rPr>
          <w:rFonts w:hint="eastAsia" w:ascii="Times New Roman" w:hAnsi="Times New Roman" w:cs="仿宋"/>
          <w:b/>
          <w:sz w:val="24"/>
          <w:highlight w:val="none"/>
        </w:rPr>
        <w:t xml:space="preserve">、投标文件构成</w:t>
      </w:r>
      <w:r>
        <w:rPr>
          <w:rFonts w:hint="eastAsia" w:ascii="Times New Roman" w:hAnsi="Times New Roman" w:cs="仿宋"/>
          <w:b/>
          <w:sz w:val="24"/>
          <w:highlight w:val="none"/>
        </w:rPr>
      </w:r>
      <w:r/>
    </w:p>
    <w:p>
      <w:pPr>
        <w:pStyle w:val="768"/>
        <w:ind w:firstLine="480"/>
        <w:spacing w:line="480" w:lineRule="exact"/>
        <w:rPr>
          <w:rFonts w:ascii="Times New Roman" w:hAnsi="Times New Roman" w:cs="仿宋"/>
          <w:bCs/>
          <w:sz w:val="24"/>
          <w:highlight w:val="none"/>
        </w:rPr>
      </w:pPr>
      <w:r>
        <w:rPr>
          <w:rFonts w:hint="eastAsia" w:ascii="Times New Roman" w:hAnsi="Times New Roman" w:cs="仿宋"/>
          <w:sz w:val="24"/>
          <w:highlight w:val="none"/>
          <w:lang w:val="en-US" w:eastAsia="zh-CN"/>
        </w:rPr>
        <w:t xml:space="preserve">10</w:t>
      </w:r>
      <w:r>
        <w:rPr>
          <w:rFonts w:hint="eastAsia" w:ascii="Times New Roman" w:hAnsi="Times New Roman" w:cs="仿宋"/>
          <w:sz w:val="24"/>
          <w:highlight w:val="none"/>
        </w:rPr>
        <w:t xml:space="preserve">.1投标文件包括资格证明文件、开标一览表、分项报价表、响应及偏离表、投标函、其他证明文件等部分。</w:t>
      </w:r>
      <w:r>
        <w:rPr>
          <w:rFonts w:hint="eastAsia" w:ascii="Times New Roman" w:hAnsi="Times New Roman" w:cs="仿宋"/>
          <w:bCs/>
          <w:sz w:val="24"/>
          <w:highlight w:val="none"/>
        </w:rPr>
        <w:t xml:space="preserve">投标文件构成资料为非中文时应提供中文译版。</w:t>
      </w:r>
      <w:bookmarkStart w:id="86" w:name="EBc50e2bb832bb43068403b10c1cce6141"/>
      <w:r>
        <w:rPr>
          <w:rFonts w:ascii="Times New Roman" w:hAnsi="Times New Roman" w:cs="仿宋"/>
          <w:bCs/>
          <w:sz w:val="24"/>
          <w:highlight w:val="none"/>
        </w:rPr>
      </w:r>
      <w:r/>
    </w:p>
    <w:p>
      <w:pPr>
        <w:pStyle w:val="768"/>
        <w:ind w:firstLine="482"/>
        <w:spacing w:line="480" w:lineRule="exact"/>
        <w:rPr>
          <w:rFonts w:ascii="Times New Roman" w:hAnsi="Times New Roman" w:cs="仿宋"/>
          <w:bCs/>
          <w:sz w:val="24"/>
          <w:highlight w:val="none"/>
        </w:rPr>
      </w:pPr>
      <w:r>
        <w:rPr>
          <w:rFonts w:hint="eastAsia" w:ascii="Times New Roman" w:hAnsi="Times New Roman" w:cs="仿宋"/>
          <w:b/>
          <w:sz w:val="24"/>
          <w:highlight w:val="none"/>
          <w:lang w:val="en-US" w:eastAsia="zh-CN"/>
        </w:rPr>
        <w:t xml:space="preserve">1</w:t>
      </w:r>
      <w:r>
        <w:rPr>
          <w:rFonts w:hint="eastAsia" w:ascii="Times New Roman" w:hAnsi="Times New Roman" w:cs="仿宋"/>
          <w:b/>
          <w:sz w:val="24"/>
          <w:highlight w:val="none"/>
          <w:lang w:val="en-US" w:eastAsia="zh-CN"/>
        </w:rPr>
        <w:t xml:space="preserve">0</w:t>
      </w:r>
      <w:r>
        <w:rPr>
          <w:rFonts w:hint="eastAsia" w:ascii="Times New Roman" w:hAnsi="Times New Roman" w:cs="仿宋"/>
          <w:b/>
          <w:sz w:val="24"/>
          <w:highlight w:val="none"/>
        </w:rPr>
        <w:t xml:space="preserve">.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6"/>
      <w:r>
        <w:rPr>
          <w:rFonts w:ascii="Times New Roman" w:hAnsi="Times New Roman" w:cs="仿宋"/>
          <w:bCs/>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w:t>
      </w:r>
      <w:r>
        <w:rPr>
          <w:rFonts w:hint="eastAsia" w:ascii="Times New Roman" w:hAnsi="Times New Roman" w:cs="仿宋"/>
          <w:b/>
          <w:sz w:val="24"/>
          <w:highlight w:val="none"/>
          <w:lang w:val="en-US" w:eastAsia="zh-CN"/>
        </w:rPr>
        <w:t xml:space="preserve">1</w:t>
      </w:r>
      <w:r>
        <w:rPr>
          <w:rFonts w:hint="eastAsia" w:ascii="Times New Roman" w:hAnsi="Times New Roman" w:cs="仿宋"/>
          <w:b/>
          <w:sz w:val="24"/>
          <w:highlight w:val="none"/>
        </w:rPr>
        <w:t xml:space="preserve">、投标报价</w:t>
      </w:r>
      <w:r>
        <w:rPr>
          <w:rFonts w:hint="eastAsia" w:ascii="Times New Roman" w:hAnsi="Times New Roman" w:cs="仿宋"/>
          <w:b/>
          <w:sz w:val="24"/>
          <w:highlight w:val="none"/>
        </w:rPr>
      </w:r>
      <w:r/>
    </w:p>
    <w:p>
      <w:pPr>
        <w:pStyle w:val="768"/>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1</w:t>
      </w:r>
      <w:r>
        <w:rPr>
          <w:rFonts w:hint="eastAsia" w:ascii="Times New Roman" w:hAnsi="Times New Roman" w:cs="仿宋"/>
          <w:sz w:val="24"/>
          <w:highlight w:val="none"/>
        </w:rPr>
        <w:t xml:space="preserve">.1报价为一次报价，本项目不接受备选的投标方案或有选择的报价，只允许有一个报价。</w:t>
      </w:r>
      <w:r>
        <w:rPr>
          <w:rFonts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1</w:t>
      </w:r>
      <w:r>
        <w:rPr>
          <w:rFonts w:hint="eastAsia" w:ascii="Times New Roman" w:hAnsi="Times New Roman" w:cs="仿宋"/>
          <w:sz w:val="24"/>
          <w:highlight w:val="none"/>
        </w:rPr>
        <w:t xml:space="preserve">.2报价注意事项：投标价格一律以人民币计算，以元为单位标注，最多保留至小数点后两位，招标文件有规定的按招标文件执行。</w:t>
      </w:r>
      <w:r>
        <w:rPr>
          <w:rFonts w:hint="eastAsia" w:ascii="Times New Roman" w:hAnsi="Times New Roman" w:cs="仿宋"/>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w:t>
      </w:r>
      <w:r>
        <w:rPr>
          <w:rFonts w:hint="eastAsia" w:ascii="Times New Roman" w:hAnsi="Times New Roman" w:cs="仿宋"/>
          <w:b/>
          <w:sz w:val="24"/>
          <w:highlight w:val="none"/>
          <w:lang w:val="en-US" w:eastAsia="zh-CN"/>
        </w:rPr>
        <w:t xml:space="preserve">2</w:t>
      </w:r>
      <w:r>
        <w:rPr>
          <w:rFonts w:hint="eastAsia" w:ascii="Times New Roman" w:hAnsi="Times New Roman" w:cs="仿宋"/>
          <w:b/>
          <w:sz w:val="24"/>
          <w:highlight w:val="none"/>
        </w:rPr>
        <w:t xml:space="preserve">、投标保证金</w:t>
      </w:r>
      <w:bookmarkStart w:id="87" w:name="EB183a0bf075204c54a4ff090f1aecaaa7"/>
      <w:r>
        <w:rPr>
          <w:rFonts w:hint="eastAsia" w:ascii="Times New Roman" w:hAnsi="Times New Roman" w:cs="仿宋"/>
          <w:b/>
          <w:sz w:val="24"/>
          <w:highlight w:val="none"/>
        </w:rPr>
      </w:r>
      <w:r/>
    </w:p>
    <w:p>
      <w:pPr>
        <w:pStyle w:val="768"/>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本项目不收取投标保证金。</w:t>
      </w:r>
      <w:bookmarkEnd w:id="87"/>
      <w:r>
        <w:rPr>
          <w:rFonts w:ascii="Times New Roman" w:hAnsi="Times New Roman" w:cs="仿宋"/>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w:t>
      </w:r>
      <w:r>
        <w:rPr>
          <w:rFonts w:hint="eastAsia" w:ascii="Times New Roman" w:hAnsi="Times New Roman" w:cs="仿宋"/>
          <w:b/>
          <w:sz w:val="24"/>
          <w:highlight w:val="none"/>
          <w:lang w:val="en-US" w:eastAsia="zh-CN"/>
        </w:rPr>
        <w:t xml:space="preserve">3</w:t>
      </w:r>
      <w:r>
        <w:rPr>
          <w:rFonts w:hint="eastAsia" w:ascii="Times New Roman" w:hAnsi="Times New Roman" w:cs="仿宋"/>
          <w:b/>
          <w:sz w:val="24"/>
          <w:highlight w:val="none"/>
        </w:rPr>
        <w:t xml:space="preserve">、投标有效期</w:t>
      </w:r>
      <w:r>
        <w:rPr>
          <w:rFonts w:hint="eastAsia"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3</w:t>
      </w:r>
      <w:r>
        <w:rPr>
          <w:rFonts w:hint="eastAsia" w:ascii="Times New Roman" w:hAnsi="Times New Roman" w:cs="仿宋"/>
          <w:sz w:val="24"/>
          <w:highlight w:val="none"/>
        </w:rPr>
        <w:t xml:space="preserve">.1在投标人须知前附表规定的投标有效期内，投标有效期从提交投标文件的截止之日起算。投标有效期比规定短的将被视为未实质性响应招标文件。</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3</w:t>
      </w:r>
      <w:r>
        <w:rPr>
          <w:rFonts w:hint="eastAsia" w:ascii="Times New Roman" w:hAnsi="Times New Roman" w:cs="仿宋"/>
          <w:sz w:val="24"/>
          <w:highlight w:val="none"/>
        </w:rPr>
        <w:t xml:space="preserve">.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rPr>
          <w:rFonts w:hint="eastAsia" w:ascii="Times New Roman" w:hAnsi="Times New Roman" w:cs="仿宋"/>
          <w:sz w:val="24"/>
          <w:highlight w:val="none"/>
        </w:rPr>
      </w:r>
      <w:r/>
    </w:p>
    <w:p>
      <w:pPr>
        <w:pStyle w:val="770"/>
        <w:ind w:firstLine="340"/>
        <w:spacing w:before="0" w:after="0" w:line="480" w:lineRule="exact"/>
        <w:rPr>
          <w:rFonts w:hint="eastAsia" w:eastAsia="宋体" w:cs="Arial"/>
          <w:bCs/>
          <w:szCs w:val="22"/>
          <w:highlight w:val="none"/>
        </w:rPr>
      </w:pPr>
      <w:r/>
      <w:bookmarkStart w:id="88" w:name="_Toc23443"/>
      <w:r/>
      <w:bookmarkStart w:id="89" w:name="_Toc81575195"/>
      <w:r/>
      <w:bookmarkStart w:id="90" w:name="_Toc2773"/>
      <w:r/>
      <w:bookmarkStart w:id="91" w:name="_Toc81575158"/>
      <w:r>
        <w:rPr>
          <w:rFonts w:hint="eastAsia" w:eastAsia="宋体" w:cs="Arial"/>
          <w:bCs/>
          <w:szCs w:val="22"/>
          <w:highlight w:val="none"/>
        </w:rPr>
        <w:t xml:space="preserve">四、投标文件的提交</w:t>
      </w:r>
      <w:bookmarkEnd w:id="88"/>
      <w:r/>
      <w:bookmarkEnd w:id="89"/>
      <w:r/>
      <w:bookmarkEnd w:id="90"/>
      <w:r/>
      <w:bookmarkEnd w:id="91"/>
      <w:r>
        <w:rPr>
          <w:rFonts w:hint="eastAsia" w:eastAsia="宋体" w:cs="Arial"/>
          <w:bCs/>
          <w:szCs w:val="22"/>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w:t>
      </w:r>
      <w:r>
        <w:rPr>
          <w:rFonts w:hint="eastAsia" w:ascii="Times New Roman" w:hAnsi="Times New Roman" w:cs="仿宋"/>
          <w:b/>
          <w:sz w:val="24"/>
          <w:highlight w:val="none"/>
          <w:lang w:val="en-US" w:eastAsia="zh-CN"/>
        </w:rPr>
        <w:t xml:space="preserve">4</w:t>
      </w:r>
      <w:r>
        <w:rPr>
          <w:rFonts w:hint="eastAsia" w:ascii="Times New Roman" w:hAnsi="Times New Roman" w:cs="仿宋"/>
          <w:b/>
          <w:sz w:val="24"/>
          <w:highlight w:val="none"/>
        </w:rPr>
        <w:t xml:space="preserve">、投标文件的提交</w:t>
      </w:r>
      <w:r>
        <w:rPr>
          <w:rFonts w:hint="eastAsia"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4</w:t>
      </w:r>
      <w:r>
        <w:rPr>
          <w:rFonts w:hint="eastAsia" w:ascii="Times New Roman" w:hAnsi="Times New Roman" w:cs="仿宋"/>
          <w:sz w:val="24"/>
          <w:highlight w:val="none"/>
        </w:rPr>
        <w:t xml:space="preserve">.1投标人应在招标文件规定的投标截止时间前提交投标文件并将电子投标文件上传至“苏采云”系统对应的本次开标采购包中。除招标文件另有规定外，投标人所提交的投标文件不予退还。</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4</w:t>
      </w:r>
      <w:r>
        <w:rPr>
          <w:rFonts w:hint="eastAsia" w:ascii="Times New Roman" w:hAnsi="Times New Roman" w:cs="仿宋"/>
          <w:sz w:val="24"/>
          <w:highlight w:val="none"/>
        </w:rPr>
        <w:t xml:space="preserve">.2投标文件的修改和撤回：在投标截止时间前，投标人可以撤回或重新提交投标文件。投标文件以最终完成上传的为准。</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4</w:t>
      </w:r>
      <w:r>
        <w:rPr>
          <w:rFonts w:hint="eastAsia" w:ascii="Times New Roman" w:hAnsi="Times New Roman" w:cs="仿宋"/>
          <w:sz w:val="24"/>
          <w:highlight w:val="none"/>
        </w:rPr>
        <w:t xml:space="preserve">.3采购人、采购代理机构可以通过修改招标文件酌情延长投标文件接收截止日期，在此情况下，投标人的所有权利和义务以及投标人受制约的截止日期均应以延长后新的截止日期为准。</w:t>
      </w:r>
      <w:r>
        <w:rPr>
          <w:rFonts w:hint="eastAsia" w:ascii="Times New Roman" w:hAnsi="Times New Roman" w:cs="仿宋"/>
          <w:sz w:val="24"/>
          <w:highlight w:val="none"/>
        </w:rPr>
      </w:r>
      <w:r/>
    </w:p>
    <w:p>
      <w:pPr>
        <w:pStyle w:val="768"/>
        <w:ind w:firstLine="482"/>
        <w:spacing w:line="480" w:lineRule="exact"/>
        <w:rPr>
          <w:rFonts w:ascii="Times New Roman" w:hAnsi="Times New Roman" w:cs="仿宋"/>
          <w:b/>
          <w:sz w:val="24"/>
          <w:highlight w:val="none"/>
        </w:rPr>
      </w:pPr>
      <w:r>
        <w:rPr>
          <w:rFonts w:hint="eastAsia" w:ascii="Times New Roman" w:hAnsi="Times New Roman" w:cs="仿宋"/>
          <w:b/>
          <w:sz w:val="24"/>
          <w:highlight w:val="none"/>
        </w:rPr>
        <w:t xml:space="preserve">1</w:t>
      </w:r>
      <w:r>
        <w:rPr>
          <w:rFonts w:hint="eastAsia" w:ascii="Times New Roman" w:hAnsi="Times New Roman" w:cs="仿宋"/>
          <w:b/>
          <w:sz w:val="24"/>
          <w:highlight w:val="none"/>
          <w:lang w:val="en-US" w:eastAsia="zh-CN"/>
        </w:rPr>
        <w:t xml:space="preserve">5</w:t>
      </w:r>
      <w:r>
        <w:rPr>
          <w:rFonts w:hint="eastAsia" w:ascii="Times New Roman" w:hAnsi="Times New Roman" w:cs="仿宋"/>
          <w:b/>
          <w:sz w:val="24"/>
          <w:highlight w:val="none"/>
        </w:rPr>
        <w:t xml:space="preserve">、投标文件被拒绝接收的情形</w:t>
      </w:r>
      <w:r>
        <w:rPr>
          <w:rFonts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在招标文件规定的投标截止时间后上传的投标文件或对投标报价或其他实质性内容修正的文件。</w:t>
      </w:r>
      <w:r>
        <w:rPr>
          <w:rFonts w:hint="eastAsia" w:ascii="Times New Roman" w:hAnsi="Times New Roman" w:cs="仿宋"/>
          <w:sz w:val="24"/>
          <w:highlight w:val="none"/>
        </w:rPr>
      </w:r>
      <w:r/>
    </w:p>
    <w:p>
      <w:pPr>
        <w:pStyle w:val="770"/>
        <w:ind w:firstLine="341"/>
        <w:spacing w:before="0" w:after="0" w:line="520" w:lineRule="exact"/>
        <w:rPr>
          <w:rFonts w:hint="eastAsia" w:eastAsia="宋体" w:cs="Arial"/>
          <w:b/>
          <w:bCs w:val="0"/>
          <w:szCs w:val="22"/>
          <w:highlight w:val="none"/>
        </w:rPr>
      </w:pPr>
      <w:r/>
      <w:bookmarkStart w:id="92" w:name="_Toc959"/>
      <w:r/>
      <w:bookmarkStart w:id="93" w:name="_Toc81575160"/>
      <w:r/>
      <w:bookmarkStart w:id="94" w:name="_Toc81575197"/>
      <w:r/>
      <w:bookmarkStart w:id="95" w:name="_Toc20026"/>
      <w:r>
        <w:rPr>
          <w:rFonts w:hint="eastAsia" w:eastAsia="宋体" w:cs="Arial"/>
          <w:b/>
          <w:bCs w:val="0"/>
          <w:szCs w:val="22"/>
          <w:highlight w:val="none"/>
        </w:rPr>
        <w:t xml:space="preserve">五、开标、评标程序</w:t>
      </w:r>
      <w:bookmarkEnd w:id="92"/>
      <w:r/>
      <w:bookmarkEnd w:id="93"/>
      <w:r/>
      <w:bookmarkEnd w:id="94"/>
      <w:r/>
      <w:bookmarkEnd w:id="95"/>
      <w:r>
        <w:rPr>
          <w:rFonts w:hint="eastAsia" w:eastAsia="宋体" w:cs="Arial"/>
          <w:b/>
          <w:bCs w:val="0"/>
          <w:szCs w:val="22"/>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w:t>
      </w:r>
      <w:r>
        <w:rPr>
          <w:rFonts w:hint="eastAsia" w:ascii="Times New Roman" w:hAnsi="Times New Roman" w:cs="仿宋"/>
          <w:b/>
          <w:sz w:val="24"/>
          <w:highlight w:val="none"/>
          <w:lang w:val="en-US" w:eastAsia="zh-CN"/>
        </w:rPr>
        <w:t xml:space="preserve">6</w:t>
      </w:r>
      <w:r>
        <w:rPr>
          <w:rFonts w:hint="eastAsia" w:ascii="Times New Roman" w:hAnsi="Times New Roman" w:cs="仿宋"/>
          <w:b/>
          <w:sz w:val="24"/>
          <w:highlight w:val="none"/>
        </w:rPr>
        <w:t xml:space="preserve">、开标</w:t>
      </w:r>
      <w:r>
        <w:rPr>
          <w:rFonts w:hint="eastAsia"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6</w:t>
      </w:r>
      <w:r>
        <w:rPr>
          <w:rFonts w:hint="eastAsia" w:ascii="Times New Roman" w:hAnsi="Times New Roman" w:cs="仿宋"/>
          <w:sz w:val="24"/>
          <w:highlight w:val="none"/>
        </w:rPr>
        <w:t xml:space="preserve">.1采购代理机构将在招标公告中规定的时间和地点组织公开开标。投标人应当按照《操作手册》规定，参加开标活动，在“苏采云”系统规定的时间内对投标文件解密。</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6</w:t>
      </w:r>
      <w:r>
        <w:rPr>
          <w:rFonts w:hint="eastAsia" w:ascii="Times New Roman" w:hAnsi="Times New Roman" w:cs="仿宋"/>
          <w:sz w:val="24"/>
          <w:highlight w:val="none"/>
        </w:rPr>
        <w:t xml:space="preserve">.2开标仪式由采购代理机构组织。“苏采云”系统将自动对项目进行开标，并宣布各投标人名称和投标价格。</w:t>
      </w:r>
      <w:r>
        <w:rPr>
          <w:rFonts w:hint="eastAsia" w:ascii="Times New Roman" w:hAnsi="Times New Roman" w:cs="仿宋"/>
          <w:sz w:val="24"/>
          <w:highlight w:val="none"/>
        </w:rPr>
      </w:r>
      <w:r/>
    </w:p>
    <w:p>
      <w:pPr>
        <w:pStyle w:val="768"/>
        <w:ind w:firstLine="482"/>
        <w:spacing w:line="480" w:lineRule="exact"/>
        <w:rPr>
          <w:rFonts w:hint="eastAsia" w:ascii="Times New Roman" w:hAnsi="Times New Roman" w:cs="仿宋"/>
          <w:b/>
          <w:bCs/>
          <w:sz w:val="24"/>
          <w:highlight w:val="none"/>
        </w:rPr>
      </w:pPr>
      <w:r>
        <w:rPr>
          <w:rFonts w:hint="eastAsia" w:ascii="Times New Roman" w:hAnsi="Times New Roman" w:cs="仿宋"/>
          <w:b/>
          <w:bCs/>
          <w:sz w:val="24"/>
          <w:highlight w:val="none"/>
        </w:rPr>
        <w:t xml:space="preserve">1</w:t>
      </w:r>
      <w:r>
        <w:rPr>
          <w:rFonts w:hint="eastAsia" w:ascii="Times New Roman" w:hAnsi="Times New Roman" w:cs="仿宋"/>
          <w:b/>
          <w:bCs/>
          <w:sz w:val="24"/>
          <w:highlight w:val="none"/>
          <w:lang w:val="en-US" w:eastAsia="zh-CN"/>
        </w:rPr>
        <w:t xml:space="preserve">6</w:t>
      </w:r>
      <w:r>
        <w:rPr>
          <w:rFonts w:hint="eastAsia" w:ascii="Times New Roman" w:hAnsi="Times New Roman" w:cs="仿宋"/>
          <w:b/>
          <w:bCs/>
          <w:sz w:val="24"/>
          <w:highlight w:val="none"/>
        </w:rPr>
        <w:t xml:space="preserve">.3投标人用于解密的CA证书应为该投标文件生成加密、上传的同一把CA证书。投标人应登录“苏采云”系统进入“开标大厅”，在系统约定时间内使用CA证书解密，未成功解密的视为放弃投标。</w:t>
      </w:r>
      <w:r>
        <w:rPr>
          <w:rFonts w:hint="eastAsia" w:ascii="Times New Roman" w:hAnsi="Times New Roman" w:cs="仿宋"/>
          <w:b/>
          <w:bCs/>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6</w:t>
      </w:r>
      <w:r>
        <w:rPr>
          <w:rFonts w:hint="eastAsia" w:ascii="Times New Roman" w:hAnsi="Times New Roman" w:cs="仿宋"/>
          <w:sz w:val="24"/>
          <w:highlight w:val="none"/>
        </w:rPr>
        <w:t xml:space="preserve">.4投标人如果对开标过程和开标记录有疑义，应当根据《操作手册》规定提出。如“苏采云”系统中《开标记录表》宣布后5分钟内未提出的，视同认可开标结果。</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6</w:t>
      </w:r>
      <w:r>
        <w:rPr>
          <w:rFonts w:hint="eastAsia" w:ascii="Times New Roman" w:hAnsi="Times New Roman" w:cs="仿宋"/>
          <w:sz w:val="24"/>
          <w:highlight w:val="none"/>
        </w:rPr>
        <w:t xml:space="preserve">.5投标人在开、评标全过程中应保持通讯畅通，及时登录“苏采云”系统查阅、答复相关信息。</w:t>
      </w:r>
      <w:r>
        <w:rPr>
          <w:rFonts w:hint="eastAsia" w:ascii="Times New Roman" w:hAnsi="Times New Roman" w:cs="仿宋"/>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w:t>
      </w:r>
      <w:r>
        <w:rPr>
          <w:rFonts w:hint="eastAsia" w:ascii="Times New Roman" w:hAnsi="Times New Roman" w:cs="仿宋"/>
          <w:b/>
          <w:sz w:val="24"/>
          <w:highlight w:val="none"/>
          <w:lang w:val="en-US" w:eastAsia="zh-CN"/>
        </w:rPr>
        <w:t xml:space="preserve">7</w:t>
      </w:r>
      <w:r>
        <w:rPr>
          <w:rFonts w:hint="eastAsia" w:ascii="Times New Roman" w:hAnsi="Times New Roman" w:cs="仿宋"/>
          <w:b/>
          <w:sz w:val="24"/>
          <w:highlight w:val="none"/>
        </w:rPr>
        <w:t xml:space="preserve">、评标委员会</w:t>
      </w:r>
      <w:r>
        <w:rPr>
          <w:rFonts w:hint="eastAsia"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rPr>
          <w:rFonts w:hint="eastAsia" w:ascii="Times New Roman" w:hAnsi="Times New Roman" w:cs="仿宋"/>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1</w:t>
      </w:r>
      <w:r>
        <w:rPr>
          <w:rFonts w:hint="eastAsia" w:ascii="Times New Roman" w:hAnsi="Times New Roman" w:cs="仿宋"/>
          <w:b/>
          <w:sz w:val="24"/>
          <w:highlight w:val="none"/>
          <w:lang w:val="en-US" w:eastAsia="zh-CN"/>
        </w:rPr>
        <w:t xml:space="preserve">8</w:t>
      </w:r>
      <w:r>
        <w:rPr>
          <w:rFonts w:hint="eastAsia" w:ascii="Times New Roman" w:hAnsi="Times New Roman" w:cs="仿宋"/>
          <w:b/>
          <w:sz w:val="24"/>
          <w:highlight w:val="none"/>
        </w:rPr>
        <w:t xml:space="preserve">、评标程序</w:t>
      </w:r>
      <w:r>
        <w:rPr>
          <w:rFonts w:hint="eastAsia"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.1资格审查</w:t>
      </w:r>
      <w:bookmarkStart w:id="96" w:name="EBa9c0a2c9e523494487594c65b2a92370"/>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开标结束后，采购人依法根据招标文件的规定对投标人的资格证明文件等进行审查。</w:t>
      </w:r>
      <w:bookmarkEnd w:id="96"/>
      <w:r>
        <w:rPr>
          <w:rFonts w:hint="eastAsia" w:ascii="Times New Roman" w:hAnsi="Times New Roman" w:cs="仿宋"/>
          <w:sz w:val="24"/>
          <w:highlight w:val="none"/>
        </w:rPr>
      </w:r>
      <w:r/>
    </w:p>
    <w:p>
      <w:pPr>
        <w:pStyle w:val="768"/>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.2符合性检查</w:t>
      </w:r>
      <w:r>
        <w:rPr>
          <w:rFonts w:ascii="Times New Roman" w:hAnsi="Times New Roman" w:cs="仿宋"/>
          <w:sz w:val="24"/>
          <w:highlight w:val="none"/>
        </w:rPr>
      </w:r>
      <w:r/>
    </w:p>
    <w:p>
      <w:pPr>
        <w:pStyle w:val="768"/>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.2.1依据招标文件的规定，由评标委员会从投标文件的有效性、完整性和对招标文件的响应程度进行审查，以确定是否对招标文件的实质性要求作出响应。</w:t>
      </w:r>
      <w:r>
        <w:rPr>
          <w:rFonts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.2.2在详细评标之前，评标委员会将首先审查每份投标文件是否实质性响应了招标文件的要求。实质性响应的投标应是与招标文件要求的全部条款、条件和规格相符，没有重大偏离的投标。</w:t>
      </w:r>
      <w:bookmarkStart w:id="97" w:name="EB1499356fad43416eb16398733accabf7"/>
      <w:r>
        <w:rPr>
          <w:rFonts w:hint="eastAsia" w:ascii="Times New Roman" w:hAnsi="Times New Roman" w:cs="仿宋"/>
          <w:sz w:val="24"/>
          <w:highlight w:val="none"/>
        </w:rPr>
        <w:t xml:space="preserve">所谓重大偏离是指投标人投标文件中所述设备质量、技术规格、数量、交货期、服务等明显不能满足招标文件要求。</w:t>
      </w:r>
      <w:bookmarkEnd w:id="97"/>
      <w:r>
        <w:rPr>
          <w:rFonts w:hint="eastAsia" w:ascii="Times New Roman" w:hAnsi="Times New Roman" w:cs="仿宋"/>
          <w:sz w:val="24"/>
          <w:highlight w:val="none"/>
        </w:rPr>
        <w:t xml:space="preserve">重大偏离的认定需经过评标委员会以少数服从多数的原则作出结论。</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.3未通过资格审查或符合性审查的投标人，采购代理机构将在“苏采云”系统中告知未通过资格审查或符合性审查的原因，评标结束后，采购代理机构将不再告知未通过资格审查或符合性审查的原因。</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.4评标委员会判断投标文件的响应性，仅基于投标文件本身而不靠外部证据。对非实质性响应的投标文件，投标人不能通过修正或撤销不符之处，而使其成为实质性响应。</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.5相同品牌产品投标</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5.1采用最低评标价法的采购项目，提供相同品牌产品的不同投标人参加同一合同项下投标的，以其中通过资格审查、符合性审查且报价最低的参加评标；报价相同的，由采购人采取随机抽取方式确定，其他投标无效。</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.5.3非单一产品采购项目，采购人确定核心产品，并在招标文件中载明。多家投标人提供的核心产品品牌相同的，按前两款规定处理。</w:t>
      </w:r>
      <w:r>
        <w:rPr>
          <w:rFonts w:hint="eastAsia" w:ascii="Times New Roman" w:hAnsi="Times New Roman" w:cs="仿宋"/>
          <w:sz w:val="24"/>
          <w:highlight w:val="none"/>
        </w:rPr>
      </w:r>
      <w:r/>
    </w:p>
    <w:p>
      <w:pPr>
        <w:pStyle w:val="768"/>
        <w:ind w:firstLine="482"/>
        <w:spacing w:line="480" w:lineRule="exact"/>
        <w:rPr>
          <w:rFonts w:ascii="Times New Roman" w:hAnsi="Times New Roman" w:cs="仿宋"/>
          <w:b/>
          <w:sz w:val="24"/>
          <w:highlight w:val="none"/>
        </w:rPr>
      </w:pPr>
      <w:r>
        <w:rPr>
          <w:rFonts w:hint="eastAsia" w:ascii="Times New Roman" w:hAnsi="Times New Roman" w:cs="仿宋"/>
          <w:b/>
          <w:sz w:val="24"/>
          <w:highlight w:val="none"/>
        </w:rPr>
        <w:t xml:space="preserve">1</w:t>
      </w:r>
      <w:r>
        <w:rPr>
          <w:rFonts w:hint="eastAsia" w:ascii="Times New Roman" w:hAnsi="Times New Roman" w:cs="仿宋"/>
          <w:b/>
          <w:sz w:val="24"/>
          <w:highlight w:val="none"/>
          <w:lang w:val="en-US" w:eastAsia="zh-CN"/>
        </w:rPr>
        <w:t xml:space="preserve">8</w:t>
      </w:r>
      <w:r>
        <w:rPr>
          <w:rFonts w:hint="eastAsia" w:ascii="Times New Roman" w:hAnsi="Times New Roman" w:cs="仿宋"/>
          <w:b/>
          <w:sz w:val="24"/>
          <w:highlight w:val="none"/>
        </w:rPr>
        <w:t xml:space="preserve">.6有关问题的澄清</w:t>
      </w:r>
      <w:r>
        <w:rPr>
          <w:rFonts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.6.2投标文件报价出现前后不一致的，除招标文件另有规定外，按照下列规定修正：</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①投标文件中开标一览表（报价表）内容与投标文件中相应内容不一致的，以开标一览表（报价表）为准；</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②大写金额和小写金额不一致的，以大写金额为准；</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③单价金额小数点或者百分比有明显错位的，以开标一览表的总价为准，并修改单价；</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④总价金额与按单价汇总金额不一致的，以单价金额计算结果为准。</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同时出现两种以上不一致的，按照前款规定的顺序修正。</w:t>
      </w:r>
      <w:r>
        <w:rPr>
          <w:rFonts w:hint="eastAsia" w:ascii="Times New Roman" w:hAnsi="Times New Roman" w:cs="仿宋"/>
          <w:sz w:val="24"/>
          <w:highlight w:val="none"/>
        </w:rPr>
      </w:r>
      <w:r/>
    </w:p>
    <w:p>
      <w:pPr>
        <w:pStyle w:val="768"/>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.6.3评标委员会将按上述修正错误的方法调整投标文件中的投标报价，并通过“苏采云”系统告知投标人，调整后的价格应对投标人具有约束力。投标人不接受修正后的价格，其投标将被拒绝。</w:t>
      </w:r>
      <w:r>
        <w:rPr>
          <w:rFonts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评标过程中，不得去掉报价中的最高报价和最低报价。</w:t>
      </w:r>
      <w:r>
        <w:rPr>
          <w:rFonts w:hint="eastAsia" w:ascii="Times New Roman" w:hAnsi="Times New Roman" w:cs="仿宋"/>
          <w:sz w:val="24"/>
          <w:highlight w:val="none"/>
        </w:rPr>
      </w:r>
      <w:r/>
    </w:p>
    <w:p>
      <w:pPr>
        <w:pStyle w:val="768"/>
        <w:ind w:firstLine="480"/>
        <w:spacing w:line="440" w:lineRule="exact"/>
        <w:rPr>
          <w:rFonts w:ascii="Times New Roman" w:hAnsi="Times New Roman" w:cs="仿宋"/>
          <w:b/>
          <w:bCs/>
          <w:color w:val="000000"/>
          <w:sz w:val="24"/>
          <w:highlight w:val="none"/>
          <w:lang w:bidi="ar-SA"/>
        </w:rPr>
      </w:pPr>
      <w:r>
        <w:rPr>
          <w:rFonts w:hint="eastAsia" w:ascii="Times New Roman" w:hAnsi="Times New Roman" w:cs="仿宋"/>
          <w:sz w:val="24"/>
          <w:highlight w:val="none"/>
          <w:lang w:val="en-US" w:eastAsia="zh-CN"/>
        </w:rPr>
        <w:t xml:space="preserve">18.7</w:t>
      </w:r>
      <w:r>
        <w:rPr>
          <w:rFonts w:hint="eastAsia" w:ascii="Times New Roman" w:hAnsi="Times New Roman" w:cs="仿宋"/>
          <w:b/>
          <w:bCs/>
          <w:color w:val="000000"/>
          <w:sz w:val="24"/>
          <w:highlight w:val="none"/>
          <w:lang w:bidi="ar-SA"/>
        </w:rPr>
        <w:t xml:space="preserve">异常低价投标审查</w:t>
      </w:r>
      <w:r>
        <w:rPr>
          <w:rFonts w:ascii="Times New Roman" w:hAnsi="Times New Roman" w:cs="仿宋"/>
          <w:b/>
          <w:bCs/>
          <w:color w:val="000000"/>
          <w:sz w:val="24"/>
          <w:highlight w:val="none"/>
          <w:lang w:bidi="ar-SA"/>
        </w:rPr>
      </w:r>
      <w:r/>
    </w:p>
    <w:p>
      <w:pPr>
        <w:pStyle w:val="768"/>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18.7.1 评标过程中出现下列情形之一的，评审委员会应当启动异常低价投标（响应）审查程序：</w:t>
      </w:r>
      <w:r>
        <w:rPr>
          <w:rFonts w:hint="eastAsia" w:ascii="宋体" w:cs="宋体"/>
          <w:b/>
          <w:bCs/>
          <w:color w:val="000000"/>
          <w:sz w:val="24"/>
          <w:highlight w:val="none"/>
          <w:lang w:val="en-US" w:eastAsia="zh-CN" w:bidi="ar-SA"/>
        </w:rPr>
      </w:r>
      <w:r/>
    </w:p>
    <w:p>
      <w:pPr>
        <w:pStyle w:val="768"/>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（1）投标(响应)报价低于全部通过符合性审查供应商投标(响应)报价平均值65%的，即投标(响应)报价＜全部通过符合性审查供应商投标(响应)报价平均值×65%;</w:t>
      </w:r>
      <w:r>
        <w:rPr>
          <w:rFonts w:hint="eastAsia" w:ascii="宋体" w:cs="宋体"/>
          <w:b/>
          <w:bCs/>
          <w:color w:val="000000"/>
          <w:sz w:val="24"/>
          <w:highlight w:val="none"/>
          <w:lang w:val="en-US" w:eastAsia="zh-CN" w:bidi="ar-SA"/>
        </w:rPr>
      </w:r>
      <w:r/>
    </w:p>
    <w:p>
      <w:pPr>
        <w:pStyle w:val="768"/>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（2）投标(响应)报价低于通过符合性审查的次低报价供应商投标(响应)报价65%的，即投标(响应)报价＜通过符合性审查的次低报价供应商投标(响应)报价×65%;</w:t>
      </w:r>
      <w:r>
        <w:rPr>
          <w:rFonts w:hint="eastAsia" w:ascii="宋体" w:cs="宋体"/>
          <w:b/>
          <w:bCs/>
          <w:color w:val="000000"/>
          <w:sz w:val="24"/>
          <w:highlight w:val="none"/>
          <w:lang w:val="en-US" w:eastAsia="zh-CN" w:bidi="ar-SA"/>
        </w:rPr>
      </w:r>
      <w:r/>
    </w:p>
    <w:p>
      <w:pPr>
        <w:pStyle w:val="768"/>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（3）投标(响应)报价低于采购项目最高限价65%的，即投标(响应)报价＜采购项目最高限价×65%;</w:t>
      </w:r>
      <w:r>
        <w:rPr>
          <w:rFonts w:hint="eastAsia" w:ascii="宋体" w:cs="宋体"/>
          <w:b/>
          <w:bCs/>
          <w:color w:val="000000"/>
          <w:sz w:val="24"/>
          <w:highlight w:val="none"/>
          <w:lang w:val="en-US" w:eastAsia="zh-CN" w:bidi="ar-SA"/>
        </w:rPr>
      </w:r>
      <w:r/>
    </w:p>
    <w:p>
      <w:pPr>
        <w:pStyle w:val="768"/>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（4）评审委员会基于专业判断，认为供应商报价过低，有可能影响产品质量或者不能诚信履约的其他情形。</w:t>
      </w:r>
      <w:r>
        <w:rPr>
          <w:rFonts w:hint="eastAsia" w:ascii="宋体" w:cs="宋体"/>
          <w:b/>
          <w:bCs/>
          <w:color w:val="000000"/>
          <w:sz w:val="24"/>
          <w:highlight w:val="none"/>
          <w:lang w:val="en-US" w:eastAsia="zh-CN" w:bidi="ar-SA"/>
        </w:rPr>
      </w:r>
      <w:r/>
    </w:p>
    <w:p>
      <w:pPr>
        <w:pStyle w:val="768"/>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相关法律法规对供应商报价有规定的，从其规定。</w:t>
      </w:r>
      <w:r>
        <w:rPr>
          <w:rFonts w:hint="eastAsia" w:ascii="宋体" w:cs="宋体"/>
          <w:b/>
          <w:bCs/>
          <w:color w:val="000000"/>
          <w:sz w:val="24"/>
          <w:highlight w:val="none"/>
          <w:lang w:val="en-US" w:eastAsia="zh-CN" w:bidi="ar-SA"/>
        </w:rPr>
      </w:r>
      <w:r/>
    </w:p>
    <w:p>
      <w:pPr>
        <w:pStyle w:val="768"/>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18.7.2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cs="宋体"/>
          <w:b/>
          <w:bCs/>
          <w:color w:val="000000"/>
          <w:sz w:val="24"/>
          <w:highlight w:val="none"/>
          <w:lang w:val="en-US" w:eastAsia="zh-CN" w:bidi="ar-SA"/>
        </w:rPr>
      </w:r>
      <w:r/>
    </w:p>
    <w:p>
      <w:pPr>
        <w:pStyle w:val="768"/>
        <w:ind w:firstLine="480"/>
        <w:spacing w:line="440" w:lineRule="exact"/>
        <w:rPr>
          <w:rFonts w:hint="eastAsia" w:ascii="Times New Roman" w:hAnsi="Times New Roman" w:cs="仿宋"/>
          <w:sz w:val="24"/>
          <w:highlight w:val="none"/>
          <w:lang w:val="en-US" w:eastAsia="zh-CN"/>
        </w:rPr>
      </w:pPr>
      <w:r>
        <w:rPr>
          <w:rFonts w:hint="eastAsia" w:ascii="宋体" w:cs="宋体"/>
          <w:b/>
          <w:bCs/>
          <w:color w:val="000000"/>
          <w:sz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cs="仿宋"/>
          <w:sz w:val="24"/>
          <w:highlight w:val="none"/>
          <w:lang w:val="en-US" w:eastAsia="zh-CN"/>
        </w:rPr>
      </w:r>
      <w:r/>
    </w:p>
    <w:p>
      <w:pPr>
        <w:pStyle w:val="768"/>
        <w:ind w:firstLine="480"/>
        <w:spacing w:line="480" w:lineRule="exact"/>
        <w:rPr>
          <w:rFonts w:ascii="Times New Roman" w:hAnsi="Times New Roman" w:cs="仿宋"/>
          <w:sz w:val="24"/>
          <w:highlight w:val="none"/>
        </w:rPr>
      </w:pPr>
      <w:r>
        <w:rPr>
          <w:rFonts w:hint="eastAsia" w:ascii="Times New Roman" w:hAnsi="Times New Roman" w:cs="仿宋"/>
          <w:sz w:val="24"/>
          <w:highlight w:val="none"/>
          <w:lang w:val="en-US" w:eastAsia="zh-CN"/>
        </w:rPr>
        <w:t xml:space="preserve">18.8</w:t>
      </w:r>
      <w:r>
        <w:rPr>
          <w:rFonts w:hint="eastAsia" w:ascii="Times New Roman" w:hAnsi="Times New Roman" w:cs="仿宋"/>
          <w:sz w:val="24"/>
          <w:highlight w:val="none"/>
        </w:rPr>
        <w:t xml:space="preserve">比较</w:t>
      </w:r>
      <w:r>
        <w:rPr>
          <w:rFonts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评标委员会将按招标文件中规定的评标方法和标准，对符合性检查合格的投标文件进行商务和技术评比。</w:t>
      </w:r>
      <w:r>
        <w:rPr>
          <w:rFonts w:hint="eastAsia" w:ascii="Times New Roman" w:hAnsi="Times New Roman" w:cs="仿宋"/>
          <w:sz w:val="24"/>
          <w:highlight w:val="none"/>
        </w:rPr>
      </w:r>
      <w:r/>
    </w:p>
    <w:p>
      <w:pPr>
        <w:pStyle w:val="768"/>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1</w:t>
      </w:r>
      <w:r>
        <w:rPr>
          <w:rFonts w:hint="eastAsia" w:ascii="Times New Roman" w:hAnsi="Times New Roman" w:cs="仿宋"/>
          <w:sz w:val="24"/>
          <w:highlight w:val="none"/>
          <w:lang w:val="en-US" w:eastAsia="zh-CN"/>
        </w:rPr>
        <w:t xml:space="preserve">8</w:t>
      </w:r>
      <w:r>
        <w:rPr>
          <w:rFonts w:hint="eastAsia" w:ascii="Times New Roman" w:hAnsi="Times New Roman" w:cs="仿宋"/>
          <w:sz w:val="24"/>
          <w:highlight w:val="none"/>
        </w:rPr>
        <w:t xml:space="preserve">.</w:t>
      </w:r>
      <w:r>
        <w:rPr>
          <w:rFonts w:hint="eastAsia" w:ascii="Times New Roman" w:hAnsi="Times New Roman" w:cs="仿宋"/>
          <w:sz w:val="24"/>
          <w:highlight w:val="none"/>
          <w:lang w:val="en-US" w:eastAsia="zh-CN"/>
        </w:rPr>
        <w:t xml:space="preserve">9</w:t>
      </w:r>
      <w:r>
        <w:rPr>
          <w:rFonts w:hint="eastAsia" w:ascii="Times New Roman" w:hAnsi="Times New Roman" w:cs="仿宋"/>
          <w:sz w:val="24"/>
          <w:highlight w:val="none"/>
        </w:rPr>
        <w:t xml:space="preserve">推荐中标候选人</w:t>
      </w:r>
      <w:r>
        <w:rPr>
          <w:rFonts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评标委员会按照招标文件中规定的评标方法和标准推荐中标候选人。</w:t>
      </w:r>
      <w:r>
        <w:rPr>
          <w:rFonts w:hint="eastAsia" w:ascii="Times New Roman" w:hAnsi="Times New Roman" w:cs="仿宋"/>
          <w:sz w:val="24"/>
          <w:highlight w:val="none"/>
        </w:rPr>
      </w:r>
      <w:r/>
    </w:p>
    <w:p>
      <w:pPr>
        <w:pStyle w:val="770"/>
        <w:ind w:firstLine="340"/>
        <w:spacing w:before="0" w:after="0" w:line="480" w:lineRule="exact"/>
        <w:rPr>
          <w:rFonts w:hint="eastAsia" w:eastAsia="宋体" w:cs="Arial"/>
          <w:bCs/>
          <w:szCs w:val="22"/>
          <w:highlight w:val="none"/>
        </w:rPr>
      </w:pPr>
      <w:r/>
      <w:bookmarkStart w:id="98" w:name="_Toc8712"/>
      <w:r/>
      <w:bookmarkStart w:id="99" w:name="_Toc81575196"/>
      <w:r/>
      <w:bookmarkStart w:id="100" w:name="_Toc8841"/>
      <w:r/>
      <w:bookmarkStart w:id="101" w:name="_Toc81575159"/>
      <w:r>
        <w:rPr>
          <w:rFonts w:hint="eastAsia" w:eastAsia="宋体" w:cs="Arial"/>
          <w:bCs/>
          <w:szCs w:val="22"/>
          <w:highlight w:val="none"/>
        </w:rPr>
        <w:t xml:space="preserve">六、无效投标、废标、串通投标</w:t>
      </w:r>
      <w:bookmarkEnd w:id="98"/>
      <w:r/>
      <w:bookmarkEnd w:id="99"/>
      <w:r/>
      <w:bookmarkEnd w:id="100"/>
      <w:r/>
      <w:bookmarkEnd w:id="101"/>
      <w:r>
        <w:rPr>
          <w:rFonts w:hint="eastAsia" w:eastAsia="宋体" w:cs="Arial"/>
          <w:bCs/>
          <w:szCs w:val="22"/>
          <w:highlight w:val="none"/>
        </w:rPr>
        <w:t xml:space="preserve">及取消中标候选人资格情形</w:t>
      </w:r>
      <w:r>
        <w:rPr>
          <w:rFonts w:hint="eastAsia" w:eastAsia="宋体" w:cs="Arial"/>
          <w:bCs/>
          <w:szCs w:val="22"/>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lang w:val="en-US" w:eastAsia="zh-CN"/>
        </w:rPr>
        <w:t xml:space="preserve">1</w:t>
      </w:r>
      <w:r>
        <w:rPr>
          <w:rFonts w:hint="eastAsia" w:ascii="Times New Roman" w:hAnsi="Times New Roman" w:cs="仿宋"/>
          <w:b/>
          <w:sz w:val="24"/>
          <w:highlight w:val="none"/>
          <w:lang w:val="en-US" w:eastAsia="zh-CN"/>
        </w:rPr>
        <w:t xml:space="preserve">9</w:t>
      </w:r>
      <w:r>
        <w:rPr>
          <w:rFonts w:hint="eastAsia" w:ascii="Times New Roman" w:hAnsi="Times New Roman" w:cs="仿宋"/>
          <w:b/>
          <w:sz w:val="24"/>
          <w:highlight w:val="none"/>
        </w:rPr>
        <w:t xml:space="preserve">、无效投标情形</w:t>
      </w:r>
      <w:r>
        <w:rPr>
          <w:rFonts w:hint="eastAsia" w:ascii="Times New Roman" w:hAnsi="Times New Roman" w:cs="仿宋"/>
          <w:b/>
          <w:sz w:val="24"/>
          <w:highlight w:val="none"/>
        </w:rPr>
      </w:r>
      <w:r/>
    </w:p>
    <w:p>
      <w:pPr>
        <w:pStyle w:val="768"/>
        <w:ind w:firstLine="480"/>
        <w:spacing w:line="480" w:lineRule="exact"/>
        <w:rPr>
          <w:rFonts w:ascii="Times New Roman" w:hAnsi="Times New Roman" w:cs="仿宋"/>
          <w:strike/>
          <w:color w:val="000000"/>
          <w:sz w:val="24"/>
          <w:highlight w:val="none"/>
        </w:rPr>
      </w:pPr>
      <w:r>
        <w:rPr>
          <w:rFonts w:hint="eastAsia" w:ascii="Times New Roman" w:hAnsi="Times New Roman" w:cs="仿宋"/>
          <w:color w:val="000000"/>
          <w:sz w:val="24"/>
          <w:highlight w:val="none"/>
          <w:lang w:val="en-US" w:eastAsia="zh-CN"/>
        </w:rPr>
        <w:t xml:space="preserve">19</w:t>
      </w:r>
      <w:r>
        <w:rPr>
          <w:rFonts w:hint="eastAsia" w:ascii="Times New Roman" w:hAnsi="Times New Roman" w:cs="仿宋"/>
          <w:color w:val="000000"/>
          <w:sz w:val="24"/>
          <w:highlight w:val="none"/>
        </w:rPr>
        <w:t xml:space="preserve">.1投标人同一采购包提交两个（含两个）以上不同的投标报价的。</w:t>
      </w:r>
      <w:r>
        <w:rPr>
          <w:rFonts w:ascii="Times New Roman" w:hAnsi="Times New Roman" w:cs="仿宋"/>
          <w:strike/>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hint="eastAsia" w:ascii="Times New Roman" w:hAnsi="Times New Roman" w:cs="仿宋"/>
          <w:color w:val="000000"/>
          <w:sz w:val="24"/>
          <w:highlight w:val="none"/>
        </w:rPr>
        <w:t xml:space="preserve">.2投标人不符合招标文件规定资格要求的或未按规定提交资质证件的。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hint="eastAsia" w:ascii="Times New Roman" w:hAnsi="Times New Roman" w:cs="仿宋"/>
          <w:color w:val="000000"/>
          <w:sz w:val="24"/>
          <w:highlight w:val="none"/>
        </w:rPr>
        <w:t xml:space="preserve">.3投标人的报价超过了采购预算或最高限价的。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hint="eastAsia" w:ascii="Times New Roman" w:hAnsi="Times New Roman" w:cs="仿宋"/>
          <w:color w:val="000000"/>
          <w:sz w:val="24"/>
          <w:highlight w:val="none"/>
        </w:rPr>
        <w:t xml:space="preserve">.4投标文件未通过符合性审查的。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hint="eastAsia" w:ascii="Times New Roman" w:hAnsi="Times New Roman" w:cs="仿宋"/>
          <w:color w:val="000000"/>
          <w:sz w:val="24"/>
          <w:highlight w:val="none"/>
        </w:rPr>
        <w:t xml:space="preserve">.5投标文件出现重大偏离，不符合招标文件中规定的实质性要求的（★部分为实质性要求）。</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hint="eastAsia" w:ascii="Times New Roman" w:hAnsi="Times New Roman" w:cs="仿宋"/>
          <w:color w:val="000000"/>
          <w:sz w:val="24"/>
          <w:highlight w:val="none"/>
        </w:rPr>
        <w:t xml:space="preserve">.6评标委员会认为投标人的报价明显低于其他通过符合性审查投标人的报价，有可能影响产品质量或者不能诚信履约的，且投标人不能在合理的时间内提供说明，证明其报价合理性的。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hint="eastAsia" w:ascii="Times New Roman" w:hAnsi="Times New Roman" w:cs="仿宋"/>
          <w:color w:val="000000"/>
          <w:sz w:val="24"/>
          <w:highlight w:val="none"/>
        </w:rPr>
        <w:t xml:space="preserve">.7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ascii="Times New Roman" w:hAnsi="Times New Roman" w:cs="仿宋"/>
          <w:color w:val="000000"/>
          <w:sz w:val="24"/>
          <w:highlight w:val="none"/>
        </w:rPr>
        <w:t xml:space="preserve">.8</w:t>
      </w:r>
      <w:r>
        <w:rPr>
          <w:rFonts w:hint="eastAsia" w:ascii="Times New Roman" w:hAnsi="Times New Roman" w:cs="仿宋"/>
          <w:color w:val="000000"/>
          <w:sz w:val="24"/>
          <w:highlight w:val="none"/>
        </w:rPr>
        <w:t xml:space="preserve">投标文件未按照招标文件要求加盖CA电子公章的。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ascii="Times New Roman" w:hAnsi="Times New Roman" w:cs="仿宋"/>
          <w:color w:val="000000"/>
          <w:sz w:val="24"/>
          <w:highlight w:val="none"/>
        </w:rPr>
        <w:t xml:space="preserve">.9</w:t>
      </w:r>
      <w:r>
        <w:rPr>
          <w:rFonts w:hint="eastAsia" w:ascii="Times New Roman" w:hAnsi="Times New Roman" w:cs="仿宋"/>
          <w:color w:val="000000"/>
          <w:sz w:val="24"/>
          <w:highlight w:val="none"/>
        </w:rPr>
        <w:t xml:space="preserve">投标人有本招标文件规定的恶意串通投标情形的。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hint="eastAsia" w:ascii="Times New Roman" w:hAnsi="Times New Roman" w:cs="仿宋"/>
          <w:color w:val="000000"/>
          <w:sz w:val="24"/>
          <w:highlight w:val="none"/>
        </w:rPr>
        <w:t xml:space="preserve">.</w:t>
      </w:r>
      <w:r>
        <w:rPr>
          <w:rFonts w:ascii="Times New Roman" w:hAnsi="Times New Roman" w:cs="仿宋"/>
          <w:color w:val="000000"/>
          <w:sz w:val="24"/>
          <w:highlight w:val="none"/>
        </w:rPr>
        <w:t xml:space="preserve">10</w:t>
      </w:r>
      <w:r>
        <w:rPr>
          <w:rFonts w:hint="eastAsia" w:ascii="Times New Roman" w:hAnsi="Times New Roman" w:cs="仿宋"/>
          <w:color w:val="000000"/>
          <w:sz w:val="24"/>
          <w:highlight w:val="none"/>
        </w:rPr>
        <w:t xml:space="preserve">投标文件含有采购人不能接受的附加条件的。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ascii="Times New Roman" w:hAnsi="Times New Roman" w:cs="仿宋"/>
          <w:color w:val="000000"/>
          <w:sz w:val="24"/>
          <w:highlight w:val="none"/>
        </w:rPr>
        <w:t xml:space="preserve">.11</w:t>
      </w:r>
      <w:r>
        <w:rPr>
          <w:rFonts w:hint="eastAsia" w:ascii="Times New Roman" w:hAnsi="Times New Roman" w:cs="仿宋"/>
          <w:color w:val="000000"/>
          <w:sz w:val="24"/>
          <w:highlight w:val="none"/>
        </w:rPr>
        <w:t xml:space="preserve">投标人所投标产品不符合招标文件中所列国家强制性标准的。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lang w:val="en-US" w:eastAsia="zh-CN"/>
        </w:rPr>
        <w:t xml:space="preserve">19</w:t>
      </w:r>
      <w:r>
        <w:rPr>
          <w:rFonts w:hint="eastAsia" w:ascii="Times New Roman" w:hAnsi="Times New Roman" w:cs="仿宋"/>
          <w:color w:val="000000"/>
          <w:sz w:val="24"/>
          <w:highlight w:val="none"/>
        </w:rPr>
        <w:t xml:space="preserve">.1</w:t>
      </w:r>
      <w:r>
        <w:rPr>
          <w:rFonts w:ascii="Times New Roman" w:hAnsi="Times New Roman" w:cs="仿宋"/>
          <w:color w:val="000000"/>
          <w:sz w:val="24"/>
          <w:highlight w:val="none"/>
        </w:rPr>
        <w:t xml:space="preserve">2</w:t>
      </w:r>
      <w:r>
        <w:rPr>
          <w:rFonts w:hint="eastAsia" w:ascii="Times New Roman" w:hAnsi="Times New Roman" w:cs="仿宋"/>
          <w:color w:val="000000"/>
          <w:sz w:val="24"/>
          <w:highlight w:val="none"/>
        </w:rPr>
        <w:t xml:space="preserve">其他法律、法规及本招标文件规定的属无效投标的情形。</w:t>
      </w:r>
      <w:r>
        <w:rPr>
          <w:rFonts w:ascii="Times New Roman" w:hAnsi="Times New Roman" w:cs="仿宋"/>
          <w:color w:val="000000"/>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lang w:val="en-US" w:eastAsia="zh-CN"/>
        </w:rPr>
        <w:t xml:space="preserve">2</w:t>
      </w:r>
      <w:r>
        <w:rPr>
          <w:rFonts w:hint="eastAsia" w:ascii="Times New Roman" w:hAnsi="Times New Roman" w:cs="仿宋"/>
          <w:b/>
          <w:sz w:val="24"/>
          <w:highlight w:val="none"/>
          <w:lang w:val="en-US" w:eastAsia="zh-CN"/>
        </w:rPr>
        <w:t xml:space="preserve">0</w:t>
      </w:r>
      <w:r>
        <w:rPr>
          <w:rFonts w:hint="eastAsia" w:ascii="Times New Roman" w:hAnsi="Times New Roman" w:cs="仿宋"/>
          <w:b/>
          <w:sz w:val="24"/>
          <w:highlight w:val="none"/>
        </w:rPr>
        <w:t xml:space="preserve">、废标情形</w:t>
      </w:r>
      <w:r>
        <w:rPr>
          <w:rFonts w:hint="eastAsia" w:ascii="Times New Roman" w:hAnsi="Times New Roman" w:cs="仿宋"/>
          <w:b/>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0</w:t>
      </w:r>
      <w:r>
        <w:rPr>
          <w:rFonts w:ascii="Times New Roman" w:hAnsi="Times New Roman" w:cs="仿宋"/>
          <w:color w:val="000000"/>
          <w:sz w:val="24"/>
          <w:highlight w:val="none"/>
        </w:rPr>
        <w:t xml:space="preserve">.</w:t>
      </w:r>
      <w:r>
        <w:rPr>
          <w:rFonts w:hint="eastAsia" w:ascii="Times New Roman" w:hAnsi="Times New Roman" w:cs="仿宋"/>
          <w:color w:val="000000"/>
          <w:sz w:val="24"/>
          <w:highlight w:val="none"/>
        </w:rPr>
        <w:t xml:space="preserve">1符合专业条件的投标人或者对招标文件作实质响应的投标人不足三家的。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0</w:t>
      </w:r>
      <w:r>
        <w:rPr>
          <w:rFonts w:hint="eastAsia" w:ascii="Times New Roman" w:hAnsi="Times New Roman" w:cs="仿宋"/>
          <w:color w:val="000000"/>
          <w:sz w:val="24"/>
          <w:highlight w:val="none"/>
        </w:rPr>
        <w:t xml:space="preserve">.2出现影响采购公正的违法、违规行为的。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0</w:t>
      </w:r>
      <w:r>
        <w:rPr>
          <w:rFonts w:hint="eastAsia" w:ascii="Times New Roman" w:hAnsi="Times New Roman" w:cs="仿宋"/>
          <w:color w:val="000000"/>
          <w:sz w:val="24"/>
          <w:highlight w:val="none"/>
        </w:rPr>
        <w:t xml:space="preserve">.3因重大变故，采购任务取消的。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0</w:t>
      </w:r>
      <w:r>
        <w:rPr>
          <w:rFonts w:hint="eastAsia" w:ascii="Times New Roman" w:hAnsi="Times New Roman" w:cs="仿宋"/>
          <w:color w:val="000000"/>
          <w:sz w:val="24"/>
          <w:highlight w:val="none"/>
        </w:rPr>
        <w:t xml:space="preserve">.4评标委员会认定招标文件存在歧义、重大缺陷导致评审工作无法进行的。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0</w:t>
      </w:r>
      <w:r>
        <w:rPr>
          <w:rFonts w:hint="eastAsia" w:ascii="Times New Roman" w:hAnsi="Times New Roman" w:cs="仿宋"/>
          <w:color w:val="000000"/>
          <w:sz w:val="24"/>
          <w:highlight w:val="none"/>
        </w:rPr>
        <w:t xml:space="preserve">.5在“苏采云”系统规定时间内成功解密电子投标文件的投标人不足3家的。</w:t>
      </w:r>
      <w:r>
        <w:rPr>
          <w:rFonts w:ascii="Times New Roman" w:hAnsi="Times New Roman" w:cs="仿宋"/>
          <w:color w:val="000000"/>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2</w:t>
      </w:r>
      <w:r>
        <w:rPr>
          <w:rFonts w:hint="eastAsia" w:ascii="Times New Roman" w:hAnsi="Times New Roman" w:cs="仿宋"/>
          <w:b/>
          <w:sz w:val="24"/>
          <w:highlight w:val="none"/>
          <w:lang w:val="en-US" w:eastAsia="zh-CN"/>
        </w:rPr>
        <w:t xml:space="preserve">1</w:t>
      </w:r>
      <w:r>
        <w:rPr>
          <w:rFonts w:hint="eastAsia" w:ascii="Times New Roman" w:hAnsi="Times New Roman" w:cs="仿宋"/>
          <w:b/>
          <w:sz w:val="24"/>
          <w:highlight w:val="none"/>
        </w:rPr>
        <w:t xml:space="preserve">、投标人不足三家情形处理</w:t>
      </w:r>
      <w:r>
        <w:rPr>
          <w:rFonts w:hint="eastAsia"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投标截止后投标人不足3家或者通过资格审查或符合性审查的投标人不足3家的，除采购任务取消情形外，按财政部令第87号第四十三条条款进行处理。</w:t>
      </w:r>
      <w:r>
        <w:rPr>
          <w:rFonts w:hint="eastAsia" w:ascii="Times New Roman" w:hAnsi="Times New Roman" w:cs="仿宋"/>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2</w:t>
      </w:r>
      <w:r>
        <w:rPr>
          <w:rFonts w:hint="eastAsia" w:ascii="Times New Roman" w:hAnsi="Times New Roman" w:cs="仿宋"/>
          <w:b/>
          <w:sz w:val="24"/>
          <w:highlight w:val="none"/>
          <w:lang w:val="en-US" w:eastAsia="zh-CN"/>
        </w:rPr>
        <w:t xml:space="preserve">2</w:t>
      </w:r>
      <w:r>
        <w:rPr>
          <w:rFonts w:hint="eastAsia" w:ascii="Times New Roman" w:hAnsi="Times New Roman" w:cs="仿宋"/>
          <w:b/>
          <w:sz w:val="24"/>
          <w:highlight w:val="none"/>
        </w:rPr>
        <w:t xml:space="preserve">、串通投标情形</w:t>
      </w:r>
      <w:r>
        <w:rPr>
          <w:rFonts w:hint="eastAsia" w:ascii="Times New Roman" w:hAnsi="Times New Roman" w:cs="仿宋"/>
          <w:b/>
          <w:sz w:val="24"/>
          <w:highlight w:val="none"/>
        </w:rPr>
      </w:r>
      <w:r/>
    </w:p>
    <w:p>
      <w:pPr>
        <w:pStyle w:val="768"/>
        <w:ind w:firstLine="480"/>
        <w:spacing w:line="500" w:lineRule="exact"/>
        <w:rPr>
          <w:rFonts w:hint="eastAsia" w:ascii="黑体" w:hAnsi="黑体" w:eastAsia="黑体"/>
          <w:color w:val="000000"/>
          <w:sz w:val="24"/>
          <w:highlight w:val="none"/>
        </w:rPr>
      </w:pPr>
      <w:r/>
      <w:bookmarkStart w:id="102" w:name="_Toc2391"/>
      <w:r/>
      <w:bookmarkStart w:id="103" w:name="_Toc6494"/>
      <w:r/>
      <w:bookmarkStart w:id="104" w:name="_Toc81575161"/>
      <w:r/>
      <w:bookmarkStart w:id="105" w:name="_Toc81575198"/>
      <w:r>
        <w:rPr>
          <w:rFonts w:hint="eastAsia" w:ascii="黑体" w:hAnsi="黑体" w:eastAsia="黑体"/>
          <w:color w:val="000000"/>
          <w:sz w:val="24"/>
          <w:highlight w:val="none"/>
        </w:rPr>
        <w:t xml:space="preserve">有下列情形之一的，属于恶意串通投标：</w:t>
      </w:r>
      <w:r>
        <w:rPr>
          <w:rFonts w:hint="eastAsia" w:ascii="黑体" w:hAnsi="黑体" w:eastAsia="黑体"/>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.1供应商直接或间接从采购人或采购代理机构处获得其他供应商的投标情况，并修改其投标文件；</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.2评审活动开始前供应商直接或间接从采购人或采购代理机构处获得评标委员会组成人员情况；</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.3供应商接受采购人或采购代理机构授意撤换、修改投标文件；</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.4供应商之间协商投标报价、技术方案等投标文件实质性内容；</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.5属于同一集团、协会、商会等组织成员的供应商按照该组织要求协同投标；</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.6供应商之间事先约定由某一特定供应商中标、成交；</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.7供应商之间商定部分供应商放弃投标或者放弃中标、成交；</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.8供应商与采购人或采购代理机构之间、供应商相互之间为谋求特定供应商中标成交或者排斥其他供应商的其他串通行为；</w:t>
      </w:r>
      <w:r>
        <w:rPr>
          <w:rFonts w:ascii="Times New Roman" w:hAnsi="Times New Roman" w:cs="仿宋"/>
          <w:color w:val="000000"/>
          <w:sz w:val="24"/>
          <w:highlight w:val="none"/>
        </w:rPr>
      </w:r>
      <w:r/>
    </w:p>
    <w:p>
      <w:pPr>
        <w:pStyle w:val="768"/>
        <w:ind w:firstLine="482"/>
        <w:spacing w:line="500" w:lineRule="exact"/>
        <w:rPr>
          <w:rFonts w:hint="eastAsia"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rPr>
          <w:rFonts w:hint="eastAsia" w:ascii="黑体" w:hAnsi="黑体" w:eastAsia="黑体"/>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.9不同投标人的投标文件由同一单位或者个人编制；</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.10不同投标人委托同一单位或者个人办理投标事宜；</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.11不同投标人的投标文件载明的项目管理成员或者联系人员为同一人；</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.12不同投标人的投标文件异常一致或者投标报价呈规律性差异；</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.13不同投标人的投标文件相互混装；</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2</w:t>
      </w:r>
      <w:r>
        <w:rPr>
          <w:rFonts w:hint="eastAsia" w:ascii="Times New Roman" w:hAnsi="Times New Roman" w:cs="仿宋"/>
          <w:color w:val="000000"/>
          <w:sz w:val="24"/>
          <w:highlight w:val="none"/>
        </w:rPr>
        <w:t xml:space="preserve">.14不同投标人的投标保证金从同一单位或者个人的账户转出。</w:t>
      </w:r>
      <w:r>
        <w:rPr>
          <w:rFonts w:ascii="Times New Roman" w:hAnsi="Times New Roman" w:cs="仿宋"/>
          <w:color w:val="000000"/>
          <w:sz w:val="24"/>
          <w:highlight w:val="none"/>
        </w:rPr>
      </w:r>
      <w:r/>
    </w:p>
    <w:p>
      <w:pPr>
        <w:pStyle w:val="768"/>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2</w:t>
      </w:r>
      <w:r>
        <w:rPr>
          <w:rFonts w:hint="eastAsia" w:ascii="Times New Roman" w:hAnsi="Times New Roman" w:cs="仿宋"/>
          <w:b/>
          <w:color w:val="000000"/>
          <w:sz w:val="24"/>
          <w:highlight w:val="none"/>
          <w:lang w:val="en-US" w:eastAsia="zh-CN"/>
        </w:rPr>
        <w:t xml:space="preserve">3</w:t>
      </w:r>
      <w:r>
        <w:rPr>
          <w:rFonts w:hint="eastAsia" w:ascii="Times New Roman" w:hAnsi="Times New Roman" w:cs="仿宋"/>
          <w:b/>
          <w:color w:val="000000"/>
          <w:sz w:val="24"/>
          <w:highlight w:val="none"/>
        </w:rPr>
        <w:t xml:space="preserve">、</w:t>
      </w:r>
      <w:bookmarkStart w:id="106" w:name="OLE_LINK4"/>
      <w:r>
        <w:rPr>
          <w:rFonts w:hint="eastAsia" w:ascii="Times New Roman" w:hAnsi="Times New Roman" w:cs="仿宋"/>
          <w:b/>
          <w:color w:val="000000"/>
          <w:sz w:val="24"/>
          <w:highlight w:val="none"/>
        </w:rPr>
        <w:t xml:space="preserve">取消中标候选人资格情形</w:t>
      </w:r>
      <w:bookmarkEnd w:id="106"/>
      <w:r>
        <w:rPr>
          <w:rFonts w:ascii="Times New Roman" w:hAnsi="Times New Roman" w:cs="仿宋"/>
          <w:b/>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3</w:t>
      </w:r>
      <w:r>
        <w:rPr>
          <w:rFonts w:hint="eastAsia" w:ascii="Times New Roman" w:hAnsi="Times New Roman" w:cs="仿宋"/>
          <w:color w:val="000000"/>
          <w:sz w:val="24"/>
          <w:highlight w:val="none"/>
        </w:rPr>
        <w:t xml:space="preserve">.1提供虚假材料谋取中标的；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3</w:t>
      </w:r>
      <w:r>
        <w:rPr>
          <w:rFonts w:hint="eastAsia" w:ascii="Times New Roman" w:hAnsi="Times New Roman" w:cs="仿宋"/>
          <w:color w:val="000000"/>
          <w:sz w:val="24"/>
          <w:highlight w:val="none"/>
        </w:rPr>
        <w:t xml:space="preserve">.2采取不正当手段诋毁、排挤其他投标人的；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3</w:t>
      </w:r>
      <w:r>
        <w:rPr>
          <w:rFonts w:hint="eastAsia" w:ascii="Times New Roman" w:hAnsi="Times New Roman" w:cs="仿宋"/>
          <w:color w:val="000000"/>
          <w:sz w:val="24"/>
          <w:highlight w:val="none"/>
        </w:rPr>
        <w:t xml:space="preserve">.3与采购人、其他投标人或者采购代理机构恶意串通的；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3</w:t>
      </w:r>
      <w:r>
        <w:rPr>
          <w:rFonts w:hint="eastAsia" w:ascii="Times New Roman" w:hAnsi="Times New Roman" w:cs="仿宋"/>
          <w:color w:val="000000"/>
          <w:sz w:val="24"/>
          <w:highlight w:val="none"/>
        </w:rPr>
        <w:t xml:space="preserve">.4向采购人、采购代理机构行贿或者提供其他不正当利益的；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3</w:t>
      </w:r>
      <w:r>
        <w:rPr>
          <w:rFonts w:hint="eastAsia" w:ascii="Times New Roman" w:hAnsi="Times New Roman" w:cs="仿宋"/>
          <w:color w:val="000000"/>
          <w:sz w:val="24"/>
          <w:highlight w:val="none"/>
        </w:rPr>
        <w:t xml:space="preserve">.5未在规定时间内与采购人签订采购合同的；</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w:t>
      </w:r>
      <w:r>
        <w:rPr>
          <w:rFonts w:hint="eastAsia" w:ascii="Times New Roman" w:hAnsi="Times New Roman" w:cs="仿宋"/>
          <w:color w:val="000000"/>
          <w:sz w:val="24"/>
          <w:highlight w:val="none"/>
          <w:lang w:val="en-US" w:eastAsia="zh-CN"/>
        </w:rPr>
        <w:t xml:space="preserve">3</w:t>
      </w:r>
      <w:r>
        <w:rPr>
          <w:rFonts w:hint="eastAsia" w:ascii="Times New Roman" w:hAnsi="Times New Roman" w:cs="仿宋"/>
          <w:color w:val="000000"/>
          <w:sz w:val="24"/>
          <w:highlight w:val="none"/>
        </w:rPr>
        <w:t xml:space="preserve">.6法律、法规规定的其它情况。</w:t>
      </w:r>
      <w:r>
        <w:rPr>
          <w:rFonts w:ascii="Times New Roman" w:hAnsi="Times New Roman" w:cs="仿宋"/>
          <w:color w:val="000000"/>
          <w:sz w:val="24"/>
          <w:highlight w:val="none"/>
        </w:rPr>
      </w:r>
      <w:r/>
    </w:p>
    <w:p>
      <w:pPr>
        <w:pStyle w:val="768"/>
        <w:ind w:firstLine="321"/>
        <w:spacing w:line="480" w:lineRule="exact"/>
        <w:rPr>
          <w:rFonts w:hint="eastAsia" w:ascii="Arial" w:hAnsi="Arial" w:cs="Arial"/>
          <w:b/>
          <w:bCs/>
          <w:sz w:val="32"/>
          <w:highlight w:val="none"/>
        </w:rPr>
        <w:outlineLvl w:val="1"/>
      </w:pPr>
      <w:r>
        <w:rPr>
          <w:rFonts w:hint="eastAsia" w:ascii="Arial" w:hAnsi="Arial" w:cs="Arial"/>
          <w:b/>
          <w:bCs/>
          <w:sz w:val="32"/>
          <w:highlight w:val="none"/>
        </w:rPr>
        <w:t xml:space="preserve">七、中标及合同签订</w:t>
      </w:r>
      <w:bookmarkEnd w:id="102"/>
      <w:r/>
      <w:bookmarkEnd w:id="103"/>
      <w:r/>
      <w:bookmarkEnd w:id="104"/>
      <w:r/>
      <w:bookmarkEnd w:id="105"/>
      <w:r>
        <w:rPr>
          <w:rFonts w:hint="eastAsia" w:ascii="Arial" w:hAnsi="Arial" w:cs="Arial"/>
          <w:b/>
          <w:bCs/>
          <w:sz w:val="32"/>
          <w:highlight w:val="none"/>
        </w:rPr>
      </w:r>
      <w:r/>
    </w:p>
    <w:p>
      <w:pPr>
        <w:pStyle w:val="768"/>
        <w:ind w:firstLine="482"/>
        <w:spacing w:line="50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2</w:t>
      </w:r>
      <w:r>
        <w:rPr>
          <w:rFonts w:hint="eastAsia" w:ascii="Times New Roman" w:hAnsi="Times New Roman" w:cs="仿宋"/>
          <w:b/>
          <w:sz w:val="24"/>
          <w:highlight w:val="none"/>
          <w:lang w:val="en-US" w:eastAsia="zh-CN"/>
        </w:rPr>
        <w:t xml:space="preserve">4</w:t>
      </w:r>
      <w:r>
        <w:rPr>
          <w:rFonts w:hint="eastAsia" w:ascii="Times New Roman" w:hAnsi="Times New Roman" w:cs="仿宋"/>
          <w:b/>
          <w:sz w:val="24"/>
          <w:highlight w:val="none"/>
        </w:rPr>
        <w:t xml:space="preserve">、确定中标人</w:t>
      </w:r>
      <w:r>
        <w:rPr>
          <w:rFonts w:hint="eastAsia"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w:t>
      </w:r>
      <w:r>
        <w:rPr>
          <w:rFonts w:hint="eastAsia" w:ascii="Times New Roman" w:hAnsi="Times New Roman" w:cs="仿宋"/>
          <w:sz w:val="24"/>
          <w:highlight w:val="none"/>
          <w:lang w:val="en-US" w:eastAsia="zh-CN"/>
        </w:rPr>
        <w:t xml:space="preserve">4</w:t>
      </w:r>
      <w:r>
        <w:rPr>
          <w:rFonts w:hint="eastAsia" w:ascii="Times New Roman" w:hAnsi="Times New Roman" w:cs="仿宋"/>
          <w:sz w:val="24"/>
          <w:highlight w:val="none"/>
        </w:rPr>
        <w:t xml:space="preserve">.1采购人应当自收到评审报告之日起5个工作日内在评审报告推荐的中标候选人中按顺序确定中标人。</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w:t>
      </w:r>
      <w:r>
        <w:rPr>
          <w:rFonts w:hint="eastAsia" w:ascii="Times New Roman" w:hAnsi="Times New Roman" w:cs="仿宋"/>
          <w:sz w:val="24"/>
          <w:highlight w:val="none"/>
          <w:lang w:val="en-US" w:eastAsia="zh-CN"/>
        </w:rPr>
        <w:t xml:space="preserve">4</w:t>
      </w:r>
      <w:r>
        <w:rPr>
          <w:rFonts w:hint="eastAsia" w:ascii="Times New Roman" w:hAnsi="Times New Roman" w:cs="仿宋"/>
          <w:sz w:val="24"/>
          <w:highlight w:val="none"/>
        </w:rPr>
        <w:t xml:space="preserve">.2中标人确定之日起2个工作日内，采购人、采购代理机构将发布中标结果，中标公告的公告期限为1个工作日。</w:t>
      </w:r>
      <w:r>
        <w:rPr>
          <w:rFonts w:hint="eastAsia" w:ascii="Times New Roman" w:hAnsi="Times New Roman" w:cs="仿宋"/>
          <w:sz w:val="24"/>
          <w:highlight w:val="none"/>
        </w:rPr>
      </w:r>
      <w:r/>
    </w:p>
    <w:p>
      <w:pPr>
        <w:pStyle w:val="768"/>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2</w:t>
      </w:r>
      <w:r>
        <w:rPr>
          <w:rFonts w:hint="eastAsia" w:ascii="Times New Roman" w:hAnsi="Times New Roman" w:cs="仿宋"/>
          <w:sz w:val="24"/>
          <w:highlight w:val="none"/>
          <w:lang w:val="en-US" w:eastAsia="zh-CN"/>
        </w:rPr>
        <w:t xml:space="preserve">4</w:t>
      </w:r>
      <w:r>
        <w:rPr>
          <w:rFonts w:hint="eastAsia" w:ascii="Times New Roman" w:hAnsi="Times New Roman" w:cs="仿宋"/>
          <w:sz w:val="24"/>
          <w:highlight w:val="none"/>
        </w:rPr>
        <w:t xml:space="preserve">.3采购人确定正被列为失信被执行人的投标人为中标人的，中标结果无效。</w:t>
      </w:r>
      <w:r>
        <w:rPr>
          <w:rFonts w:ascii="Times New Roman" w:hAnsi="Times New Roman" w:cs="仿宋"/>
          <w:sz w:val="24"/>
          <w:highlight w:val="none"/>
        </w:rPr>
      </w:r>
      <w:r/>
    </w:p>
    <w:p>
      <w:pPr>
        <w:pStyle w:val="768"/>
        <w:ind w:firstLine="482"/>
        <w:spacing w:line="50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2</w:t>
      </w:r>
      <w:r>
        <w:rPr>
          <w:rFonts w:hint="eastAsia" w:ascii="Times New Roman" w:hAnsi="Times New Roman" w:cs="仿宋"/>
          <w:b/>
          <w:sz w:val="24"/>
          <w:highlight w:val="none"/>
          <w:lang w:val="en-US" w:eastAsia="zh-CN"/>
        </w:rPr>
        <w:t xml:space="preserve">5</w:t>
      </w:r>
      <w:r>
        <w:rPr>
          <w:rFonts w:hint="eastAsia" w:ascii="Times New Roman" w:hAnsi="Times New Roman" w:cs="仿宋"/>
          <w:b/>
          <w:sz w:val="24"/>
          <w:highlight w:val="none"/>
        </w:rPr>
        <w:t xml:space="preserve">、中标通知书</w:t>
      </w:r>
      <w:r>
        <w:rPr>
          <w:rFonts w:hint="eastAsia"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w:t>
      </w:r>
      <w:r>
        <w:rPr>
          <w:rFonts w:hint="eastAsia" w:ascii="Times New Roman" w:hAnsi="Times New Roman" w:cs="仿宋"/>
          <w:sz w:val="24"/>
          <w:highlight w:val="none"/>
          <w:lang w:val="en-US" w:eastAsia="zh-CN"/>
        </w:rPr>
        <w:t xml:space="preserve">5</w:t>
      </w:r>
      <w:r>
        <w:rPr>
          <w:rFonts w:hint="eastAsia" w:ascii="Times New Roman" w:hAnsi="Times New Roman" w:cs="仿宋"/>
          <w:sz w:val="24"/>
          <w:highlight w:val="none"/>
        </w:rPr>
        <w:t xml:space="preserve">.1在公告中标结果的同时，采购代理机构将向中标人发出中标通知书。中标人使用CA数字证书登录“苏采云”系统及时下载中标通知书。</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w:t>
      </w:r>
      <w:r>
        <w:rPr>
          <w:rFonts w:hint="eastAsia" w:ascii="Times New Roman" w:hAnsi="Times New Roman" w:cs="仿宋"/>
          <w:sz w:val="24"/>
          <w:highlight w:val="none"/>
          <w:lang w:val="en-US" w:eastAsia="zh-CN"/>
        </w:rPr>
        <w:t xml:space="preserve">5</w:t>
      </w:r>
      <w:r>
        <w:rPr>
          <w:rFonts w:hint="eastAsia" w:ascii="Times New Roman" w:hAnsi="Times New Roman" w:cs="仿宋"/>
          <w:sz w:val="24"/>
          <w:highlight w:val="none"/>
        </w:rPr>
        <w:t xml:space="preserve">.2中标通知书发出后，采购人改变中标结果的，或者中标人放弃中标项目的，应当依法承担法律责任。</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w:t>
      </w:r>
      <w:r>
        <w:rPr>
          <w:rFonts w:hint="eastAsia" w:ascii="Times New Roman" w:hAnsi="Times New Roman" w:cs="仿宋"/>
          <w:sz w:val="24"/>
          <w:highlight w:val="none"/>
          <w:lang w:val="en-US" w:eastAsia="zh-CN"/>
        </w:rPr>
        <w:t xml:space="preserve">5</w:t>
      </w:r>
      <w:r>
        <w:rPr>
          <w:rFonts w:hint="eastAsia" w:ascii="Times New Roman" w:hAnsi="Times New Roman" w:cs="仿宋"/>
          <w:sz w:val="24"/>
          <w:highlight w:val="none"/>
        </w:rPr>
        <w:t xml:space="preserve">.3采用综合评分法评审的，未中标人可于中标结果公告期限届满之日起通过“苏采云”系统查看</w:t>
      </w:r>
      <w:bookmarkStart w:id="107" w:name="OLE_LINK5"/>
      <w:r>
        <w:rPr>
          <w:rFonts w:hint="eastAsia" w:ascii="Times New Roman" w:hAnsi="Times New Roman" w:cs="仿宋"/>
          <w:sz w:val="24"/>
          <w:highlight w:val="none"/>
        </w:rPr>
        <w:t xml:space="preserve">自己的评审得分及排序情况。</w:t>
      </w:r>
      <w:r>
        <w:rPr>
          <w:rFonts w:hint="eastAsia" w:ascii="Times New Roman" w:hAnsi="Times New Roman" w:cs="仿宋"/>
          <w:sz w:val="24"/>
          <w:highlight w:val="none"/>
        </w:rPr>
      </w:r>
      <w:r/>
    </w:p>
    <w:p>
      <w:pPr>
        <w:pStyle w:val="768"/>
        <w:ind w:firstLine="482"/>
        <w:spacing w:line="500" w:lineRule="exact"/>
        <w:rPr>
          <w:rFonts w:hint="eastAsia" w:ascii="Times New Roman" w:hAnsi="Times New Roman" w:cs="仿宋"/>
          <w:b/>
          <w:sz w:val="24"/>
          <w:highlight w:val="none"/>
        </w:rPr>
      </w:pPr>
      <w:r/>
      <w:bookmarkEnd w:id="107"/>
      <w:r>
        <w:rPr>
          <w:rFonts w:hint="eastAsia" w:ascii="Times New Roman" w:hAnsi="Times New Roman" w:cs="仿宋"/>
          <w:b/>
          <w:sz w:val="24"/>
          <w:highlight w:val="none"/>
        </w:rPr>
        <w:t xml:space="preserve">2</w:t>
      </w:r>
      <w:r>
        <w:rPr>
          <w:rFonts w:hint="eastAsia" w:ascii="Times New Roman" w:hAnsi="Times New Roman" w:cs="仿宋"/>
          <w:b/>
          <w:sz w:val="24"/>
          <w:highlight w:val="none"/>
          <w:lang w:val="en-US" w:eastAsia="zh-CN"/>
        </w:rPr>
        <w:t xml:space="preserve">6</w:t>
      </w:r>
      <w:r>
        <w:rPr>
          <w:rFonts w:hint="eastAsia" w:ascii="Times New Roman" w:hAnsi="Times New Roman" w:cs="仿宋"/>
          <w:b/>
          <w:sz w:val="24"/>
          <w:highlight w:val="none"/>
        </w:rPr>
        <w:t xml:space="preserve">、授予合同</w:t>
      </w:r>
      <w:r>
        <w:rPr>
          <w:rFonts w:hint="eastAsia" w:ascii="Times New Roman" w:hAnsi="Times New Roman" w:cs="仿宋"/>
          <w:b/>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w:t>
      </w:r>
      <w:r>
        <w:rPr>
          <w:rFonts w:hint="eastAsia" w:ascii="Times New Roman" w:hAnsi="Times New Roman" w:cs="仿宋"/>
          <w:sz w:val="24"/>
          <w:highlight w:val="none"/>
          <w:lang w:val="en-US" w:eastAsia="zh-CN"/>
        </w:rPr>
        <w:t xml:space="preserve">6</w:t>
      </w:r>
      <w:r>
        <w:rPr>
          <w:rFonts w:hint="eastAsia" w:ascii="Times New Roman" w:hAnsi="Times New Roman" w:cs="仿宋"/>
          <w:sz w:val="24"/>
          <w:highlight w:val="none"/>
        </w:rPr>
        <w:t xml:space="preserve">.1采购人与中标人应当在中标通知书发出之日起</w:t>
      </w:r>
      <w:r>
        <w:rPr>
          <w:rFonts w:hint="eastAsia" w:ascii="Times New Roman" w:hAnsi="Times New Roman" w:cs="仿宋"/>
          <w:sz w:val="24"/>
          <w:highlight w:val="none"/>
          <w:lang w:val="en-US" w:eastAsia="zh-CN"/>
        </w:rPr>
        <w:t xml:space="preserve">30</w:t>
      </w:r>
      <w:r>
        <w:rPr>
          <w:rFonts w:hint="eastAsia" w:ascii="Times New Roman" w:hAnsi="Times New Roman" w:cs="仿宋"/>
          <w:sz w:val="24"/>
          <w:highlight w:val="none"/>
        </w:rPr>
        <w:t xml:space="preserve">日内签订政府采购合同。招标文件、中标人的投标文件以及评标过程中有关澄清文件均作为合同附件。</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w:t>
      </w:r>
      <w:r>
        <w:rPr>
          <w:rFonts w:hint="eastAsia" w:ascii="Times New Roman" w:hAnsi="Times New Roman" w:cs="仿宋"/>
          <w:sz w:val="24"/>
          <w:highlight w:val="none"/>
          <w:lang w:val="en-US" w:eastAsia="zh-CN"/>
        </w:rPr>
        <w:t xml:space="preserve">6</w:t>
      </w:r>
      <w:r>
        <w:rPr>
          <w:rFonts w:hint="eastAsia" w:ascii="Times New Roman" w:hAnsi="Times New Roman" w:cs="仿宋"/>
          <w:sz w:val="24"/>
          <w:highlight w:val="none"/>
        </w:rPr>
        <w:t xml:space="preserve">.2采购人在自合同签订之日起2个工作日内，将合同在指定的媒体上公告。</w:t>
      </w:r>
      <w:r>
        <w:rPr>
          <w:rFonts w:hint="eastAsia" w:ascii="Times New Roman" w:hAnsi="Times New Roman" w:cs="仿宋"/>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2</w:t>
      </w:r>
      <w:r>
        <w:rPr>
          <w:rFonts w:hint="eastAsia" w:ascii="Times New Roman" w:hAnsi="Times New Roman" w:cs="仿宋"/>
          <w:b/>
          <w:sz w:val="24"/>
          <w:highlight w:val="none"/>
          <w:lang w:val="en-US" w:eastAsia="zh-CN"/>
        </w:rPr>
        <w:t xml:space="preserve">7</w:t>
      </w:r>
      <w:r>
        <w:rPr>
          <w:rFonts w:hint="eastAsia" w:ascii="Times New Roman" w:hAnsi="Times New Roman" w:cs="仿宋"/>
          <w:b/>
          <w:sz w:val="24"/>
          <w:highlight w:val="none"/>
        </w:rPr>
        <w:t xml:space="preserve">、履约保证金</w:t>
      </w:r>
      <w:r>
        <w:rPr>
          <w:rFonts w:hint="eastAsia" w:ascii="Times New Roman" w:hAnsi="Times New Roman" w:cs="仿宋"/>
          <w:b/>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按照以下第（2）方式确定履约保证金收取方式。</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rPr>
          <w:rFonts w:ascii="Times New Roman" w:hAnsi="Times New Roman" w:cs="仿宋"/>
          <w:color w:val="000000"/>
          <w:sz w:val="24"/>
          <w:highlight w:val="none"/>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27</w:t>
      </w:r>
      <w:r>
        <w:rPr>
          <w:rFonts w:hint="eastAsia" w:ascii="宋体" w:cs="宋体"/>
          <w:color w:val="000000"/>
          <w:sz w:val="24"/>
          <w:highlight w:val="none"/>
          <w:lang w:bidi="ar-SA"/>
        </w:rPr>
        <w:t xml:space="preserve">.1履约保证金提交形式</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履约保证金应</w:t>
      </w:r>
      <w:r>
        <w:rPr>
          <w:rFonts w:hint="eastAsia" w:ascii="宋体" w:cs="宋体"/>
          <w:color w:val="000000"/>
          <w:sz w:val="24"/>
          <w:highlight w:val="none"/>
          <w:lang w:val="zh-CN" w:eastAsia="zh-CN" w:bidi="ar-SA"/>
        </w:rPr>
        <w:t xml:space="preserve">在中标公告发布之日起7日历天内提交。</w:t>
      </w:r>
      <w:r>
        <w:rPr>
          <w:rFonts w:hint="eastAsia" w:ascii="宋体" w:cs="宋体"/>
          <w:color w:val="000000"/>
          <w:sz w:val="24"/>
          <w:highlight w:val="none"/>
          <w:lang w:bidi="ar-SA"/>
        </w:rPr>
        <w:t xml:space="preserve">除银行电汇、网上银行、数字人民币外，投标人还可选用银行保函、担保公司的保证担保或保险公司的保证保险等多种形式向采购人缴纳。</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.2履约保证金提交金额</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按采购合同总价的</w:t>
      </w:r>
      <w:r>
        <w:rPr>
          <w:rFonts w:hint="eastAsia" w:ascii="宋体" w:cs="宋体"/>
          <w:color w:val="000000"/>
          <w:sz w:val="24"/>
          <w:highlight w:val="none"/>
          <w:u w:val="single"/>
          <w:lang w:bidi="ar-SA"/>
        </w:rPr>
        <w:t xml:space="preserve">2</w:t>
      </w:r>
      <w:r>
        <w:rPr>
          <w:rFonts w:hint="eastAsia" w:ascii="宋体" w:cs="宋体"/>
          <w:color w:val="000000"/>
          <w:sz w:val="24"/>
          <w:highlight w:val="none"/>
          <w:lang w:bidi="ar-SA"/>
        </w:rPr>
        <w:t xml:space="preserve">%提交。</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支持和鼓励投标人使用江苏政府采购电子履约保函（保险）代替缴纳履约保证金，投标人如使用江苏政府采购电子履约保函（保险）的，可按采购合同总价的 </w:t>
      </w:r>
      <w:r>
        <w:rPr>
          <w:rFonts w:hint="eastAsia" w:ascii="宋体" w:cs="宋体"/>
          <w:color w:val="000000"/>
          <w:sz w:val="24"/>
          <w:highlight w:val="none"/>
          <w:u w:val="single"/>
          <w:lang w:bidi="ar-SA"/>
        </w:rPr>
        <w:t xml:space="preserve">1.2</w:t>
      </w:r>
      <w:r>
        <w:rPr>
          <w:rFonts w:hint="eastAsia" w:ascii="宋体" w:cs="宋体"/>
          <w:color w:val="000000"/>
          <w:sz w:val="24"/>
          <w:highlight w:val="none"/>
          <w:lang w:bidi="ar-SA"/>
        </w:rPr>
        <w:t xml:space="preserve"> %（履约保证金原提交金额的6折）提交。办理流程、偿付等内容见江苏政府采购网“保险保函”模块。</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.3履约保证金退还方式</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.4履约保证金退还条件</w:t>
      </w:r>
      <w:r>
        <w:rPr>
          <w:rFonts w:hint="eastAsia" w:ascii="宋体" w:cs="宋体"/>
          <w:color w:val="000000"/>
          <w:sz w:val="24"/>
          <w:highlight w:val="none"/>
          <w:lang w:eastAsia="zh-CN" w:bidi="ar-SA"/>
        </w:rPr>
        <w:t xml:space="preserve">，</w:t>
      </w:r>
      <w:r>
        <w:rPr>
          <w:rFonts w:hint="eastAsia" w:ascii="宋体" w:cs="宋体"/>
          <w:color w:val="000000"/>
          <w:sz w:val="24"/>
          <w:highlight w:val="none"/>
          <w:lang w:bidi="ar-SA"/>
        </w:rPr>
        <w:t xml:space="preserve">按以下第</w:t>
      </w:r>
      <w:r>
        <w:rPr>
          <w:rFonts w:hint="eastAsia" w:ascii="宋体" w:cs="宋体"/>
          <w:color w:val="000000"/>
          <w:sz w:val="24"/>
          <w:highlight w:val="none"/>
          <w:u w:val="single"/>
          <w:lang w:bidi="ar-SA"/>
        </w:rPr>
        <w:t xml:space="preserve"> a </w:t>
      </w:r>
      <w:r>
        <w:rPr>
          <w:rFonts w:hint="eastAsia" w:ascii="宋体" w:cs="宋体"/>
          <w:color w:val="000000"/>
          <w:sz w:val="24"/>
          <w:highlight w:val="none"/>
          <w:lang w:bidi="ar-SA"/>
        </w:rPr>
        <w:t xml:space="preserve">方式实行：</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a、货物类项目，项目验收合格，出具验收报告及履约保证金收据申请退付；</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b、服务类项目，项目履约期满评价合格，出具履约评价报告及履约保证金收据申请退付；</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c、工程类项目，项目完工验收合格，出具完工证明及履约保证金收据申请退付；</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.5履约保证金退还时间</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采购人收到投标人退付申请后5个工作日内退还。</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.6履约保证金不予退还情形</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除不可抗力外，中标人不履行与采购人订立的采购合同的，履约保证金不予退还，给采购人造成的损失超过履约保证金数额的，还应对超过部分予以赔偿。</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.7逾期退还履约保证金违约责任</w:t>
      </w:r>
      <w:r>
        <w:rPr>
          <w:rFonts w:hint="eastAsia" w:ascii="宋体" w:cs="宋体"/>
          <w:color w:val="000000"/>
          <w:sz w:val="24"/>
          <w:highlight w:val="none"/>
          <w:lang w:bidi="ar-SA"/>
        </w:rPr>
      </w:r>
      <w:r/>
    </w:p>
    <w:p>
      <w:pPr>
        <w:pStyle w:val="768"/>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采购人逾期退还履约保证金的，除应退还履约保证金外，还应按中国人民银行同期贷款基准利率上浮20％后的利率支付超期资金占用费，但因投标人自身原因导致无法及时退还的除外。</w:t>
      </w:r>
      <w:r>
        <w:rPr>
          <w:rFonts w:hint="eastAsia" w:ascii="宋体" w:cs="宋体"/>
          <w:color w:val="000000"/>
          <w:sz w:val="24"/>
          <w:highlight w:val="none"/>
          <w:lang w:bidi="ar-SA"/>
        </w:rPr>
      </w:r>
      <w:r/>
    </w:p>
    <w:p>
      <w:pPr>
        <w:pStyle w:val="768"/>
        <w:ind w:firstLine="480"/>
        <w:spacing w:line="440" w:lineRule="exact"/>
        <w:rPr>
          <w:rFonts w:ascii="Times New Roman" w:hAnsi="Times New Roman" w:cs="仿宋"/>
          <w:color w:val="000000"/>
          <w:sz w:val="24"/>
          <w:highlight w:val="none"/>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.8如中标人未在规定时间内缴纳履约保证金，视为虚假承诺，采购人有权报请财政部门进行处理。</w:t>
      </w:r>
      <w:r>
        <w:rPr>
          <w:rFonts w:ascii="Times New Roman" w:hAnsi="Times New Roman" w:cs="仿宋"/>
          <w:color w:val="000000"/>
          <w:sz w:val="24"/>
          <w:highlight w:val="none"/>
        </w:rPr>
      </w:r>
      <w:r/>
    </w:p>
    <w:p>
      <w:pPr>
        <w:pStyle w:val="768"/>
        <w:ind w:firstLine="482"/>
        <w:spacing w:line="440" w:lineRule="exact"/>
        <w:rPr>
          <w:rFonts w:hint="eastAsia" w:ascii="仿宋" w:hAnsi="仿宋" w:eastAsia="仿宋" w:cs="仿宋"/>
          <w:b/>
          <w:bCs/>
          <w:sz w:val="24"/>
          <w:highlight w:val="none"/>
        </w:rPr>
      </w:pPr>
      <w:r>
        <w:rPr>
          <w:rFonts w:hint="eastAsia" w:ascii="Times New Roman" w:hAnsi="Times New Roman" w:cs="仿宋"/>
          <w:b/>
          <w:sz w:val="24"/>
          <w:highlight w:val="none"/>
        </w:rPr>
        <w:t xml:space="preserve">2</w:t>
      </w:r>
      <w:r>
        <w:rPr>
          <w:rFonts w:hint="eastAsia" w:ascii="Times New Roman" w:hAnsi="Times New Roman" w:cs="仿宋"/>
          <w:b/>
          <w:sz w:val="24"/>
          <w:highlight w:val="none"/>
          <w:lang w:val="en-US" w:eastAsia="zh-CN"/>
        </w:rPr>
        <w:t xml:space="preserve">8</w:t>
      </w:r>
      <w:r>
        <w:rPr>
          <w:rFonts w:hint="eastAsia" w:ascii="Times New Roman" w:hAnsi="Times New Roman" w:cs="仿宋"/>
          <w:b/>
          <w:sz w:val="24"/>
          <w:highlight w:val="none"/>
        </w:rPr>
        <w:t xml:space="preserve">、</w:t>
      </w:r>
      <w:r>
        <w:rPr>
          <w:rFonts w:hint="eastAsia" w:ascii="仿宋" w:hAnsi="仿宋" w:eastAsia="仿宋" w:cs="仿宋"/>
          <w:b/>
          <w:sz w:val="24"/>
          <w:szCs w:val="24"/>
          <w:highlight w:val="none"/>
        </w:rPr>
        <w:t xml:space="preserve">政府采购履约资金扶持政策</w:t>
      </w:r>
      <w:r>
        <w:rPr>
          <w:rFonts w:hint="eastAsia" w:ascii="仿宋" w:hAnsi="仿宋" w:eastAsia="仿宋" w:cs="仿宋"/>
          <w:b/>
          <w:bCs/>
          <w:sz w:val="24"/>
          <w:highlight w:val="none"/>
        </w:rPr>
      </w:r>
      <w:r/>
    </w:p>
    <w:p>
      <w:pPr>
        <w:pStyle w:val="768"/>
        <w:ind w:firstLine="480"/>
        <w:spacing w:line="480" w:lineRule="exact"/>
        <w:rPr>
          <w:rFonts w:hint="eastAsia" w:ascii="Times New Roman" w:hAnsi="Times New Roman" w:cs="仿宋"/>
          <w:b/>
          <w:bCs/>
          <w:sz w:val="24"/>
          <w:szCs w:val="24"/>
          <w:highlight w:val="none"/>
        </w:rPr>
      </w:pPr>
      <w:r>
        <w:rPr>
          <w:rFonts w:hint="eastAsia" w:ascii="Times New Roman" w:hAnsi="Times New Roman" w:cs="仿宋"/>
          <w:color w:val="000000"/>
          <w:sz w:val="24"/>
          <w:highlight w:val="none"/>
        </w:rPr>
        <w:t xml:space="preserve">中标供应商可凭政府采购合同办理融资贷款，详情请见江苏政府采购网“政采贷”专栏。</w:t>
      </w:r>
      <w:r>
        <w:rPr>
          <w:rFonts w:hint="eastAsia" w:ascii="Times New Roman" w:hAnsi="Times New Roman" w:cs="仿宋"/>
          <w:b/>
          <w:bCs/>
          <w:sz w:val="24"/>
          <w:szCs w:val="24"/>
          <w:highlight w:val="none"/>
        </w:rPr>
      </w:r>
      <w:r/>
    </w:p>
    <w:p>
      <w:pPr>
        <w:pStyle w:val="768"/>
        <w:ind w:firstLine="482"/>
        <w:spacing w:line="480" w:lineRule="exact"/>
        <w:rPr>
          <w:rFonts w:hint="eastAsia" w:ascii="Times New Roman" w:hAnsi="Times New Roman" w:cs="仿宋"/>
          <w:sz w:val="24"/>
          <w:highlight w:val="none"/>
        </w:rPr>
      </w:pPr>
      <w:r>
        <w:rPr>
          <w:rFonts w:hint="eastAsia" w:ascii="Times New Roman" w:hAnsi="Times New Roman" w:cs="仿宋"/>
          <w:b/>
          <w:sz w:val="24"/>
          <w:highlight w:val="none"/>
          <w:lang w:val="en-US" w:eastAsia="zh-CN"/>
        </w:rPr>
        <w:t xml:space="preserve">2</w:t>
      </w:r>
      <w:r>
        <w:rPr>
          <w:rFonts w:hint="eastAsia" w:ascii="Times New Roman" w:hAnsi="Times New Roman" w:cs="仿宋"/>
          <w:b/>
          <w:sz w:val="24"/>
          <w:highlight w:val="none"/>
          <w:lang w:val="en-US" w:eastAsia="zh-CN"/>
        </w:rPr>
        <w:t xml:space="preserve">9</w:t>
      </w:r>
      <w:r>
        <w:rPr>
          <w:rFonts w:hint="eastAsia" w:ascii="Times New Roman" w:hAnsi="Times New Roman" w:cs="仿宋"/>
          <w:b/>
          <w:sz w:val="24"/>
          <w:highlight w:val="none"/>
        </w:rPr>
        <w:t xml:space="preserve">、合同履行</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29</w:t>
      </w:r>
      <w:r>
        <w:rPr>
          <w:rFonts w:hint="eastAsia" w:ascii="Times New Roman" w:hAnsi="Times New Roman" w:cs="仿宋"/>
          <w:sz w:val="24"/>
          <w:highlight w:val="none"/>
        </w:rPr>
        <w:t xml:space="preserve">.1</w:t>
      </w:r>
      <w:r>
        <w:rPr>
          <w:rFonts w:hint="eastAsia" w:ascii="Times New Roman" w:hAnsi="Times New Roman" w:cs="仿宋"/>
          <w:color w:val="000000"/>
          <w:sz w:val="24"/>
          <w:highlight w:val="none"/>
        </w:rPr>
        <w:t xml:space="preserve">政府采购合同订立后，合同各方不得擅自变更、中止或者终止合同。</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29</w:t>
      </w:r>
      <w:r>
        <w:rPr>
          <w:rFonts w:hint="eastAsia" w:ascii="Times New Roman" w:hAnsi="Times New Roman" w:cs="仿宋"/>
          <w:sz w:val="24"/>
          <w:highlight w:val="none"/>
        </w:rPr>
        <w:t xml:space="preserve">.2政府采购合同履行中，采购人需追加与合同标的相同的货物、工程或者服务的，在不改变合同其他条款的前提下，可以与中标人签订补充合同，但所补充合同的采购金额不得超过原采购金额的10%。</w:t>
      </w:r>
      <w:r>
        <w:rPr>
          <w:rFonts w:hint="eastAsia" w:ascii="Times New Roman" w:hAnsi="Times New Roman" w:cs="仿宋"/>
          <w:sz w:val="24"/>
          <w:highlight w:val="none"/>
        </w:rPr>
      </w:r>
      <w:r/>
    </w:p>
    <w:p>
      <w:pPr>
        <w:pStyle w:val="770"/>
        <w:spacing w:before="0" w:after="0" w:line="520" w:lineRule="exact"/>
        <w:rPr>
          <w:rFonts w:hint="eastAsia" w:eastAsia="宋体" w:cs="Arial"/>
          <w:bCs/>
          <w:szCs w:val="22"/>
          <w:highlight w:val="none"/>
        </w:rPr>
      </w:pPr>
      <w:r/>
      <w:bookmarkStart w:id="108" w:name="_Toc81575199"/>
      <w:r/>
      <w:bookmarkStart w:id="109" w:name="_Toc22084"/>
      <w:r/>
      <w:bookmarkStart w:id="110" w:name="_Toc7550"/>
      <w:r/>
      <w:bookmarkStart w:id="111" w:name="_Toc81575162"/>
      <w:r>
        <w:rPr>
          <w:rFonts w:hint="eastAsia" w:eastAsia="宋体" w:cs="Arial"/>
          <w:bCs/>
          <w:szCs w:val="22"/>
          <w:highlight w:val="none"/>
        </w:rPr>
        <w:t xml:space="preserve">八、</w:t>
      </w:r>
      <w:bookmarkEnd w:id="108"/>
      <w:r/>
      <w:bookmarkEnd w:id="109"/>
      <w:r/>
      <w:bookmarkEnd w:id="110"/>
      <w:r/>
      <w:bookmarkEnd w:id="111"/>
      <w:r/>
      <w:bookmarkStart w:id="112" w:name="_Toc81575200"/>
      <w:r/>
      <w:bookmarkStart w:id="113" w:name="_Toc12263"/>
      <w:r/>
      <w:bookmarkStart w:id="114" w:name="_Toc81575163"/>
      <w:r/>
      <w:bookmarkStart w:id="115" w:name="_Toc31888"/>
      <w:r>
        <w:rPr>
          <w:rFonts w:hint="eastAsia" w:eastAsia="宋体" w:cs="Arial"/>
          <w:bCs/>
          <w:szCs w:val="22"/>
          <w:highlight w:val="none"/>
        </w:rPr>
        <w:t xml:space="preserve">质疑与投诉</w:t>
      </w:r>
      <w:bookmarkEnd w:id="112"/>
      <w:r/>
      <w:bookmarkEnd w:id="113"/>
      <w:r/>
      <w:bookmarkEnd w:id="114"/>
      <w:r/>
      <w:bookmarkEnd w:id="115"/>
      <w:r>
        <w:rPr>
          <w:rFonts w:hint="eastAsia" w:eastAsia="宋体" w:cs="Arial"/>
          <w:bCs/>
          <w:szCs w:val="22"/>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lang w:val="en-US" w:eastAsia="zh-CN"/>
        </w:rPr>
        <w:t xml:space="preserve">3</w:t>
      </w:r>
      <w:r>
        <w:rPr>
          <w:rFonts w:hint="eastAsia" w:ascii="Times New Roman" w:hAnsi="Times New Roman" w:cs="仿宋"/>
          <w:b/>
          <w:sz w:val="24"/>
          <w:highlight w:val="none"/>
          <w:lang w:val="en-US" w:eastAsia="zh-CN"/>
        </w:rPr>
        <w:t xml:space="preserve">0</w:t>
      </w:r>
      <w:r>
        <w:rPr>
          <w:rFonts w:hint="eastAsia" w:ascii="Times New Roman" w:hAnsi="Times New Roman" w:cs="仿宋"/>
          <w:b/>
          <w:sz w:val="24"/>
          <w:highlight w:val="none"/>
        </w:rPr>
        <w:t xml:space="preserve">、质疑</w:t>
      </w:r>
      <w:r>
        <w:rPr>
          <w:rFonts w:hint="eastAsia" w:ascii="Times New Roman" w:hAnsi="Times New Roman" w:cs="仿宋"/>
          <w:b/>
          <w:sz w:val="24"/>
          <w:highlight w:val="none"/>
        </w:rPr>
      </w:r>
      <w:r/>
    </w:p>
    <w:p>
      <w:pPr>
        <w:pStyle w:val="768"/>
        <w:ind w:firstLine="480"/>
        <w:spacing w:line="480" w:lineRule="exact"/>
        <w:rPr>
          <w:rFonts w:ascii="Times New Roman" w:hAnsi="Times New Roman" w:cs="仿宋"/>
          <w:sz w:val="24"/>
          <w:highlight w:val="none"/>
        </w:rPr>
      </w:pPr>
      <w:r>
        <w:rPr>
          <w:rFonts w:hint="eastAsia" w:ascii="Times New Roman" w:hAnsi="Times New Roman" w:cs="仿宋"/>
          <w:sz w:val="24"/>
          <w:highlight w:val="none"/>
          <w:lang w:val="en-US" w:eastAsia="zh-CN"/>
        </w:rPr>
        <w:t xml:space="preserve">30</w:t>
      </w:r>
      <w:r>
        <w:rPr>
          <w:rFonts w:hint="eastAsia" w:ascii="Times New Roman" w:hAnsi="Times New Roman" w:cs="仿宋"/>
          <w:sz w:val="24"/>
          <w:highlight w:val="none"/>
        </w:rPr>
        <w:t xml:space="preserve">.1</w:t>
      </w:r>
      <w:bookmarkStart w:id="116" w:name="OLE_LINK1"/>
      <w:r>
        <w:rPr>
          <w:rFonts w:hint="eastAsia" w:ascii="Times New Roman" w:hAnsi="Times New Roman" w:cs="仿宋"/>
          <w:sz w:val="24"/>
          <w:highlight w:val="none"/>
        </w:rPr>
        <w:t xml:space="preserve">供应商认为采购文件、采购过程和中标结果使自己的权益受到损害的，可以在知道或者应知其权益受到损害之日起七个工作日内，（具体起算时间见3</w:t>
      </w:r>
      <w:r>
        <w:rPr>
          <w:rFonts w:hint="eastAsia" w:ascii="Times New Roman" w:hAnsi="Times New Roman" w:cs="仿宋"/>
          <w:sz w:val="24"/>
          <w:highlight w:val="none"/>
          <w:lang w:val="en-US" w:eastAsia="zh-CN"/>
        </w:rPr>
        <w:t xml:space="preserve">1</w:t>
      </w:r>
      <w:r>
        <w:rPr>
          <w:rFonts w:hint="eastAsia" w:ascii="Times New Roman" w:hAnsi="Times New Roman" w:cs="仿宋"/>
          <w:sz w:val="24"/>
          <w:highlight w:val="none"/>
        </w:rPr>
        <w:t xml:space="preserve">.2），以书面形式向采购人或者其委托的采购代理机构提出质疑。质疑超出采购机构代理范围的，投标人应当向采购人提出。质疑联系部门、联系电话、通讯地址详见采购公告。</w:t>
      </w:r>
      <w:bookmarkEnd w:id="116"/>
      <w:r>
        <w:rPr>
          <w:rFonts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30</w:t>
      </w:r>
      <w:r>
        <w:rPr>
          <w:rFonts w:hint="eastAsia" w:ascii="Times New Roman" w:hAnsi="Times New Roman" w:cs="仿宋"/>
          <w:sz w:val="24"/>
          <w:highlight w:val="none"/>
        </w:rPr>
        <w:t xml:space="preserve">.2供应商应知其权益受到损害之日，是指：</w:t>
      </w:r>
      <w:r>
        <w:rPr>
          <w:rFonts w:hint="eastAsia" w:ascii="Times New Roman" w:hAnsi="Times New Roman" w:cs="仿宋"/>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rPr>
          <w:rFonts w:ascii="Times New Roman" w:hAnsi="Times New Roman" w:cs="仿宋"/>
          <w:color w:val="000000"/>
          <w:sz w:val="24"/>
          <w:highlight w:val="none"/>
        </w:rPr>
      </w:r>
      <w:r/>
    </w:p>
    <w:p>
      <w:pPr>
        <w:pStyle w:val="768"/>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rPr>
          <w:rFonts w:ascii="Times New Roman" w:hAnsi="Times New Roman" w:cs="仿宋"/>
          <w:color w:val="000000"/>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30</w:t>
      </w:r>
      <w:r>
        <w:rPr>
          <w:rFonts w:hint="eastAsia" w:ascii="Times New Roman" w:hAnsi="Times New Roman" w:cs="仿宋"/>
          <w:sz w:val="24"/>
          <w:highlight w:val="none"/>
        </w:rPr>
        <w:t xml:space="preserve">.3质疑供应商应当是参与所质疑项目采购活动的供应商。潜在供应商已依法获取其可质疑的采购文件的，方可对该文件提出质疑。供应商在法定质疑期内应一次性提出针对同一采购程序环节的质疑。</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30</w:t>
      </w:r>
      <w:r>
        <w:rPr>
          <w:rFonts w:hint="eastAsia" w:ascii="Times New Roman" w:hAnsi="Times New Roman" w:cs="仿宋"/>
          <w:sz w:val="24"/>
          <w:highlight w:val="none"/>
        </w:rPr>
        <w:t xml:space="preserve">.4供应商提出质疑应当提交质疑函和必要的证明材料。质疑函的必备内容：</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（1）供应商的姓名或者名称、地址、邮编、联系人及联系电话；</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（2）质疑项目的名称、编号；</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（3）获取采购文件的时间；</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（4）具体、明确的质疑事项和质疑事项相关的请求；</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（5）事实依据；</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（6）必要的法律依据；</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（7）提出质疑的日期；</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（8）供应商为自然人的，由本人签字；供应商为法人或者其他组织的，应当由法定代表人、主要负责人，或者其授权代表签字或者盖章，并加盖公章；</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rPr>
          <w:rFonts w:hint="eastAsia" w:ascii="Times New Roman" w:hAnsi="Times New Roman" w:cs="仿宋"/>
          <w:sz w:val="24"/>
          <w:highlight w:val="none"/>
        </w:rPr>
      </w:r>
      <w:r/>
    </w:p>
    <w:p>
      <w:pPr>
        <w:pStyle w:val="768"/>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30</w:t>
      </w:r>
      <w:r>
        <w:rPr>
          <w:rFonts w:hint="eastAsia" w:ascii="Times New Roman" w:hAnsi="Times New Roman" w:cs="仿宋"/>
          <w:sz w:val="24"/>
          <w:highlight w:val="none"/>
        </w:rPr>
        <w:t xml:space="preserve">.5采购人在收到质疑函后7个工作日内作出答复，并以书面形式通知质疑供应商和其他有关供应商，但质疑答复的内容不涉及商业秘密。</w:t>
      </w:r>
      <w:r>
        <w:rPr>
          <w:rFonts w:hint="eastAsia" w:ascii="Times New Roman" w:hAnsi="Times New Roman" w:cs="仿宋"/>
          <w:sz w:val="24"/>
          <w:highlight w:val="none"/>
        </w:rPr>
      </w:r>
      <w:r/>
    </w:p>
    <w:p>
      <w:pPr>
        <w:pStyle w:val="768"/>
        <w:ind w:firstLine="482"/>
        <w:spacing w:line="480" w:lineRule="exact"/>
        <w:rPr>
          <w:rFonts w:hint="eastAsia" w:ascii="Times New Roman" w:hAnsi="Times New Roman" w:cs="仿宋"/>
          <w:b/>
          <w:sz w:val="24"/>
          <w:highlight w:val="none"/>
        </w:rPr>
      </w:pPr>
      <w:r>
        <w:rPr>
          <w:rFonts w:hint="eastAsia" w:ascii="Times New Roman" w:hAnsi="Times New Roman" w:cs="仿宋"/>
          <w:b/>
          <w:sz w:val="24"/>
          <w:highlight w:val="none"/>
        </w:rPr>
        <w:t xml:space="preserve">3</w:t>
      </w:r>
      <w:r>
        <w:rPr>
          <w:rFonts w:hint="eastAsia" w:ascii="Times New Roman" w:hAnsi="Times New Roman" w:cs="仿宋"/>
          <w:b/>
          <w:sz w:val="24"/>
          <w:highlight w:val="none"/>
          <w:lang w:val="en-US" w:eastAsia="zh-CN"/>
        </w:rPr>
        <w:t xml:space="preserve">1</w:t>
      </w:r>
      <w:r>
        <w:rPr>
          <w:rFonts w:hint="eastAsia" w:ascii="Times New Roman" w:hAnsi="Times New Roman" w:cs="仿宋"/>
          <w:b/>
          <w:sz w:val="24"/>
          <w:highlight w:val="none"/>
        </w:rPr>
        <w:t xml:space="preserve">、投诉</w:t>
      </w:r>
      <w:r>
        <w:rPr>
          <w:rFonts w:hint="eastAsia" w:ascii="Times New Roman" w:hAnsi="Times New Roman" w:cs="仿宋"/>
          <w:b/>
          <w:sz w:val="24"/>
          <w:highlight w:val="none"/>
        </w:rPr>
      </w:r>
      <w:r/>
    </w:p>
    <w:p>
      <w:pPr>
        <w:pStyle w:val="768"/>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质疑供应商对答复不满意或采购人、采购代理机构未在规定时间内作出答复的，可在答复期满后15个工作日内向同级财政部门提起投诉。</w:t>
      </w:r>
      <w:r>
        <w:rPr>
          <w:rFonts w:ascii="Times New Roman" w:hAnsi="Times New Roman" w:cs="仿宋"/>
          <w:sz w:val="24"/>
          <w:highlight w:val="none"/>
        </w:rPr>
      </w:r>
      <w:r/>
    </w:p>
    <w:p>
      <w:pPr>
        <w:pStyle w:val="769"/>
        <w:jc w:val="center"/>
        <w:spacing w:before="200"/>
        <w:rPr>
          <w:highlight w:val="none"/>
        </w:rPr>
      </w:pPr>
      <w:r/>
      <w:bookmarkStart w:id="117" w:name="EB4d341233595e4bf8ad7006b4bd78d974"/>
      <w:r/>
      <w:bookmarkEnd w:id="117"/>
      <w:r/>
      <w:bookmarkStart w:id="118" w:name="_Toc81575201"/>
      <w:r/>
      <w:bookmarkStart w:id="119" w:name="_Toc81575164"/>
      <w:r>
        <w:rPr>
          <w:rFonts w:hint="eastAsia"/>
          <w:highlight w:val="none"/>
        </w:rPr>
        <w:br w:type="page" w:clear="all"/>
      </w:r>
      <w:bookmarkStart w:id="120" w:name="_Toc17996"/>
      <w:r>
        <w:rPr>
          <w:rFonts w:hint="eastAsia" w:ascii="Calibri" w:hAnsi="Calibri" w:eastAsia="宋体"/>
          <w:b/>
          <w:sz w:val="44"/>
          <w:szCs w:val="44"/>
          <w:highlight w:val="none"/>
        </w:rPr>
        <w:t xml:space="preserve">第三章  资格审查及评标</w:t>
      </w:r>
      <w:bookmarkEnd w:id="118"/>
      <w:r/>
      <w:bookmarkEnd w:id="119"/>
      <w:r/>
      <w:bookmarkEnd w:id="120"/>
      <w:r>
        <w:rPr>
          <w:rFonts w:hint="eastAsia" w:ascii="Calibri" w:hAnsi="Calibri" w:eastAsia="宋体"/>
          <w:b/>
          <w:sz w:val="44"/>
          <w:szCs w:val="44"/>
          <w:highlight w:val="none"/>
        </w:rPr>
        <w:t xml:space="preserve">方法</w:t>
      </w:r>
      <w:r>
        <w:rPr>
          <w:highlight w:val="none"/>
        </w:rPr>
      </w:r>
      <w:r/>
    </w:p>
    <w:p>
      <w:pPr>
        <w:pStyle w:val="768"/>
        <w:ind w:firstLine="482"/>
        <w:jc w:val="left"/>
        <w:spacing w:line="480" w:lineRule="exact"/>
        <w:rPr>
          <w:rFonts w:ascii="Times New Roman" w:hAnsi="Times New Roman" w:cs="仿宋"/>
          <w:b/>
          <w:bCs/>
          <w:sz w:val="24"/>
          <w:highlight w:val="none"/>
        </w:rPr>
      </w:pPr>
      <w:r>
        <w:rPr>
          <w:rFonts w:hint="eastAsia" w:ascii="Times New Roman" w:hAnsi="Times New Roman" w:cs="仿宋"/>
          <w:b/>
          <w:bCs/>
          <w:sz w:val="24"/>
          <w:highlight w:val="none"/>
        </w:rPr>
        <w:t xml:space="preserve">一、资格审查</w:t>
      </w:r>
      <w:r>
        <w:rPr>
          <w:rFonts w:ascii="Times New Roman" w:hAnsi="Times New Roman" w:cs="仿宋"/>
          <w:b/>
          <w:bCs/>
          <w:sz w:val="24"/>
          <w:highlight w:val="none"/>
        </w:rPr>
      </w:r>
      <w:r/>
    </w:p>
    <w:p>
      <w:pPr>
        <w:pStyle w:val="768"/>
        <w:ind w:firstLine="480"/>
        <w:jc w:val="left"/>
        <w:spacing w:line="480" w:lineRule="exact"/>
        <w:rPr>
          <w:rFonts w:hint="eastAsia" w:ascii="Times New Roman" w:hAnsi="Times New Roman" w:cs="仿宋"/>
          <w:sz w:val="24"/>
          <w:highlight w:val="none"/>
        </w:rPr>
      </w:pPr>
      <w:r>
        <w:rPr>
          <w:rFonts w:hint="eastAsia"/>
          <w:sz w:val="24"/>
          <w:szCs w:val="28"/>
          <w:highlight w:val="none"/>
        </w:rPr>
        <w:t xml:space="preserve">资格审查人员按照下列指标对各投标人的资格进行审查，未通过审查的为无效标，不参与评标。</w:t>
      </w:r>
      <w:r>
        <w:rPr>
          <w:rFonts w:hint="eastAsia" w:ascii="Times New Roman" w:hAnsi="Times New Roman" w:cs="仿宋"/>
          <w:sz w:val="24"/>
          <w:highlight w:val="none"/>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资格审查因素</w:t>
            </w:r>
            <w:r>
              <w:rPr>
                <w:rFonts w:hint="eastAsia" w:ascii="Times New Roman" w:hAnsi="Times New Roman" w:cs="仿宋"/>
                <w:highlight w:val="none"/>
              </w:rPr>
            </w:r>
            <w:r/>
          </w:p>
        </w:tc>
        <w:tc>
          <w:tcPr>
            <w:tcW w:w="4246"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审查标准</w:t>
            </w:r>
            <w:r>
              <w:rPr>
                <w:rFonts w:hint="eastAsia" w:ascii="Times New Roman" w:hAnsi="Times New Roman" w:cs="仿宋"/>
                <w:highlight w:val="none"/>
              </w:rPr>
            </w:r>
            <w:r/>
          </w:p>
        </w:tc>
      </w:tr>
      <w:tr>
        <w:trPr/>
        <w:tc>
          <w:tcPr>
            <w:tcW w:w="4422"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投标声明及承诺函</w:t>
            </w:r>
            <w:r>
              <w:rPr>
                <w:rFonts w:hint="eastAsia" w:ascii="Times New Roman" w:hAnsi="Times New Roman" w:cs="仿宋"/>
                <w:highlight w:val="none"/>
              </w:rPr>
            </w:r>
            <w:r/>
          </w:p>
        </w:tc>
        <w:tc>
          <w:tcPr>
            <w:tcW w:w="4246"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符合招标文件要求</w:t>
            </w:r>
            <w:r>
              <w:rPr>
                <w:rFonts w:hint="eastAsia" w:ascii="Times New Roman" w:hAnsi="Times New Roman" w:cs="仿宋"/>
                <w:highlight w:val="none"/>
              </w:rPr>
            </w:r>
            <w:r/>
          </w:p>
        </w:tc>
      </w:tr>
      <w:tr>
        <w:trPr/>
        <w:tc>
          <w:tcPr>
            <w:tcW w:w="4422" w:type="dxa"/>
            <w:vAlign w:val="center"/>
            <w:textDirection w:val="lrTb"/>
            <w:noWrap w:val="false"/>
          </w:tcPr>
          <w:p>
            <w:pPr>
              <w:pStyle w:val="768"/>
              <w:jc w:val="center"/>
              <w:spacing w:line="480" w:lineRule="exact"/>
              <w:rPr>
                <w:rFonts w:hint="eastAsia" w:ascii="Times New Roman" w:hAnsi="Times New Roman" w:cs="仿宋"/>
                <w:highlight w:val="none"/>
              </w:rPr>
            </w:pPr>
            <w:r/>
            <w:bookmarkStart w:id="121" w:name="OLE_LINK12"/>
            <w:r>
              <w:rPr>
                <w:rFonts w:hint="eastAsia" w:ascii="Times New Roman" w:hAnsi="Times New Roman" w:cs="仿宋"/>
                <w:highlight w:val="none"/>
              </w:rPr>
              <w:t xml:space="preserve">信用信息</w:t>
            </w:r>
            <w:bookmarkEnd w:id="121"/>
            <w:r>
              <w:rPr>
                <w:rFonts w:hint="eastAsia" w:ascii="Times New Roman" w:hAnsi="Times New Roman" w:cs="仿宋"/>
                <w:highlight w:val="none"/>
              </w:rPr>
            </w:r>
            <w:r/>
          </w:p>
        </w:tc>
        <w:tc>
          <w:tcPr>
            <w:tcW w:w="4246"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符合招标文件要求</w:t>
            </w:r>
            <w:r>
              <w:rPr>
                <w:rFonts w:hint="eastAsia" w:ascii="Times New Roman" w:hAnsi="Times New Roman" w:cs="仿宋"/>
                <w:highlight w:val="none"/>
              </w:rPr>
            </w:r>
            <w:r/>
          </w:p>
        </w:tc>
      </w:tr>
      <w:tr>
        <w:trPr/>
        <w:tc>
          <w:tcPr>
            <w:tcW w:w="4422"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Times New Roman" w:hAnsi="Times New Roman" w:cs="仿宋"/>
                <w:color w:val="000000"/>
                <w:highlight w:val="none"/>
              </w:rPr>
              <w:t xml:space="preserve">投标代理人(授权委托人)要求</w:t>
            </w:r>
            <w:r>
              <w:rPr>
                <w:rFonts w:hint="eastAsia" w:ascii="Times New Roman" w:hAnsi="Times New Roman" w:cs="仿宋"/>
                <w:highlight w:val="none"/>
              </w:rPr>
            </w:r>
            <w:r/>
          </w:p>
        </w:tc>
        <w:tc>
          <w:tcPr>
            <w:tcW w:w="4246"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符合招标文件要求</w:t>
            </w:r>
            <w:r>
              <w:rPr>
                <w:rFonts w:hint="eastAsia" w:ascii="Times New Roman" w:hAnsi="Times New Roman" w:cs="仿宋"/>
                <w:highlight w:val="none"/>
              </w:rPr>
            </w:r>
            <w:r/>
          </w:p>
        </w:tc>
      </w:tr>
      <w:tr>
        <w:trPr/>
        <w:tc>
          <w:tcPr>
            <w:tcW w:w="4422" w:type="dxa"/>
            <w:vAlign w:val="center"/>
            <w:textDirection w:val="lrTb"/>
            <w:noWrap w:val="false"/>
          </w:tcPr>
          <w:p>
            <w:pPr>
              <w:pStyle w:val="768"/>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中小企业或残疾人福利性单位声明函，或监狱企业证明文件</w:t>
            </w:r>
            <w:r>
              <w:rPr>
                <w:rFonts w:hint="eastAsia" w:ascii="Times New Roman" w:hAnsi="Times New Roman" w:cs="仿宋"/>
                <w:color w:val="000000"/>
                <w:highlight w:val="none"/>
              </w:rPr>
            </w:r>
            <w:r/>
          </w:p>
        </w:tc>
        <w:tc>
          <w:tcPr>
            <w:tcW w:w="4246"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符合招标文件要求</w:t>
            </w:r>
            <w:r>
              <w:rPr>
                <w:rFonts w:hint="eastAsia" w:ascii="Times New Roman" w:hAnsi="Times New Roman" w:cs="仿宋"/>
                <w:highlight w:val="none"/>
              </w:rPr>
            </w:r>
            <w:r/>
          </w:p>
        </w:tc>
      </w:tr>
      <w:tr>
        <w:trPr/>
        <w:tc>
          <w:tcPr>
            <w:tcW w:w="4422" w:type="dxa"/>
            <w:vAlign w:val="center"/>
            <w:textDirection w:val="lrTb"/>
            <w:noWrap w:val="false"/>
          </w:tcPr>
          <w:p>
            <w:pPr>
              <w:pStyle w:val="768"/>
              <w:jc w:val="center"/>
              <w:spacing w:line="480" w:lineRule="exact"/>
              <w:rPr>
                <w:rFonts w:hint="eastAsia" w:ascii="Times New Roman" w:hAnsi="Times New Roman" w:cs="仿宋"/>
                <w:color w:val="000000"/>
                <w:highlight w:val="none"/>
              </w:rPr>
            </w:pPr>
            <w:r>
              <w:rPr>
                <w:rFonts w:hint="eastAsia" w:ascii="宋体" w:hAnsi="宋体" w:eastAsia="宋体" w:cs="宋体"/>
                <w:color w:val="000000"/>
                <w:highlight w:val="none"/>
              </w:rPr>
              <w:t xml:space="preserve">联合体投标</w:t>
            </w:r>
            <w:r>
              <w:rPr>
                <w:rFonts w:hint="eastAsia" w:ascii="Times New Roman" w:hAnsi="Times New Roman" w:cs="仿宋"/>
                <w:color w:val="000000"/>
                <w:highlight w:val="none"/>
              </w:rPr>
            </w:r>
            <w:r/>
          </w:p>
        </w:tc>
        <w:tc>
          <w:tcPr>
            <w:tcW w:w="4246"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宋体" w:hAnsi="宋体" w:eastAsia="宋体" w:cs="宋体"/>
                <w:color w:val="000000"/>
                <w:highlight w:val="none"/>
              </w:rPr>
              <w:t xml:space="preserve">本项目不接受联合体</w:t>
            </w:r>
            <w:r>
              <w:rPr>
                <w:rFonts w:hint="eastAsia" w:ascii="Times New Roman" w:hAnsi="Times New Roman" w:cs="仿宋"/>
                <w:highlight w:val="none"/>
              </w:rPr>
            </w:r>
            <w:r/>
          </w:p>
        </w:tc>
      </w:tr>
    </w:tbl>
    <w:p>
      <w:pPr>
        <w:pStyle w:val="768"/>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sz w:val="24"/>
          <w:highlight w:val="none"/>
        </w:rPr>
        <w:t xml:space="preserve">二、</w:t>
      </w:r>
      <w:r>
        <w:rPr>
          <w:rFonts w:hint="eastAsia" w:ascii="Times New Roman" w:hAnsi="Times New Roman" w:cs="仿宋"/>
          <w:b/>
          <w:bCs/>
          <w:color w:val="000000"/>
          <w:sz w:val="24"/>
          <w:highlight w:val="none"/>
        </w:rPr>
        <w:t xml:space="preserve">评分办法—综合评分法</w:t>
      </w:r>
      <w:r>
        <w:rPr>
          <w:rFonts w:ascii="Times New Roman" w:hAnsi="Times New Roman" w:cs="仿宋"/>
          <w:b/>
          <w:bCs/>
          <w:color w:val="000000"/>
          <w:sz w:val="24"/>
          <w:highlight w:val="none"/>
        </w:rPr>
      </w:r>
      <w:r/>
    </w:p>
    <w:p>
      <w:pPr>
        <w:pStyle w:val="768"/>
        <w:ind w:firstLine="480"/>
        <w:jc w:val="left"/>
        <w:spacing w:line="480" w:lineRule="exact"/>
        <w:rPr>
          <w:rFonts w:ascii="Times New Roman" w:hAnsi="Times New Roman" w:cs="仿宋"/>
          <w:color w:val="000000"/>
          <w:sz w:val="24"/>
          <w:highlight w:val="none"/>
        </w:rPr>
      </w:pPr>
      <w:r>
        <w:rPr>
          <w:rFonts w:hint="eastAsia" w:ascii="Times New Roman" w:hAnsi="Times New Roman" w:cs="仿宋"/>
          <w:b/>
          <w:bCs/>
          <w:color w:val="000000"/>
          <w:sz w:val="24"/>
          <w:highlight w:val="none"/>
        </w:rPr>
        <w:t xml:space="preserve">1、评标办法：</w:t>
      </w: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中标候选人并列的，由采购人或者采购人委托评标委员会按照招标文件规定的方式确定中标人;招标文件未规定的，采取随机抽取的方式确定。</w:t>
      </w:r>
      <w:r>
        <w:rPr>
          <w:rFonts w:ascii="Times New Roman" w:hAnsi="Times New Roman" w:cs="仿宋"/>
          <w:color w:val="000000"/>
          <w:sz w:val="24"/>
          <w:highlight w:val="none"/>
        </w:rPr>
      </w:r>
      <w:r/>
    </w:p>
    <w:p>
      <w:pPr>
        <w:pStyle w:val="768"/>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rPr>
          <w:rFonts w:ascii="Times New Roman" w:hAnsi="Times New Roman" w:cs="仿宋"/>
          <w:color w:val="000000"/>
          <w:sz w:val="24"/>
          <w:highlight w:val="none"/>
        </w:rPr>
      </w:r>
      <w:r/>
    </w:p>
    <w:p>
      <w:pPr>
        <w:pStyle w:val="768"/>
        <w:ind w:firstLine="482"/>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评标委员会根据评审后投标人排序推荐3名中标候选人。投标文件满足招标文件全部实质性要求，且评审后排序第一的供应商为第一中标候选人，依次类推。</w:t>
      </w:r>
      <w:r>
        <w:rPr>
          <w:rFonts w:hint="eastAsia" w:ascii="Times New Roman" w:hAnsi="Times New Roman" w:cs="仿宋"/>
          <w:color w:val="000000"/>
          <w:sz w:val="24"/>
          <w:highlight w:val="none"/>
        </w:rPr>
      </w:r>
      <w:r/>
    </w:p>
    <w:p>
      <w:pPr>
        <w:pStyle w:val="768"/>
        <w:ind w:firstLine="482"/>
        <w:jc w:val="left"/>
        <w:spacing w:line="480" w:lineRule="exact"/>
        <w:rPr>
          <w:rFonts w:hint="eastAsia" w:ascii="Times New Roman" w:hAnsi="Times New Roman" w:cs="仿宋"/>
          <w:color w:val="000000"/>
          <w:sz w:val="24"/>
          <w:highlight w:val="none"/>
        </w:rPr>
      </w:pPr>
      <w:r>
        <w:rPr>
          <w:rFonts w:hint="eastAsia" w:ascii="Times New Roman" w:hAnsi="Times New Roman" w:cs="仿宋"/>
          <w:b/>
          <w:bCs/>
          <w:color w:val="000000"/>
          <w:sz w:val="24"/>
          <w:highlight w:val="none"/>
        </w:rPr>
        <w:t xml:space="preserve">2</w:t>
      </w:r>
      <w:r>
        <w:rPr>
          <w:rFonts w:hint="eastAsia" w:ascii="Times New Roman" w:hAnsi="Times New Roman" w:cs="仿宋"/>
          <w:b/>
          <w:bCs/>
          <w:color w:val="000000"/>
          <w:sz w:val="24"/>
          <w:highlight w:val="none"/>
          <w:lang w:eastAsia="zh-CN"/>
        </w:rPr>
        <w:t xml:space="preserve">、</w:t>
      </w:r>
      <w:r>
        <w:rPr>
          <w:rFonts w:hint="eastAsia" w:ascii="Times New Roman" w:hAnsi="Times New Roman" w:cs="仿宋"/>
          <w:b/>
          <w:bCs/>
          <w:color w:val="000000"/>
          <w:sz w:val="24"/>
          <w:highlight w:val="none"/>
        </w:rPr>
        <w:t xml:space="preserve">符合性审查：</w:t>
      </w:r>
      <w:r>
        <w:rPr>
          <w:rFonts w:hint="eastAsia"/>
          <w:color w:val="000000"/>
          <w:sz w:val="24"/>
          <w:szCs w:val="28"/>
          <w:highlight w:val="none"/>
        </w:rPr>
        <w:t xml:space="preserve">评标委员会首先按照下列指标对各投标人的投标文件进行符合性审查，未通过审查的为无效标，不再参与评审。</w:t>
      </w:r>
      <w:r>
        <w:rPr>
          <w:rFonts w:hint="eastAsia" w:ascii="Times New Roman" w:hAnsi="Times New Roman" w:cs="仿宋"/>
          <w:color w:val="000000"/>
          <w:sz w:val="24"/>
          <w:highlight w:val="none"/>
        </w:rPr>
      </w:r>
      <w:r/>
    </w:p>
    <w:p>
      <w:pPr>
        <w:pStyle w:val="768"/>
        <w:ind w:firstLine="480"/>
        <w:jc w:val="left"/>
        <w:spacing w:line="480" w:lineRule="exact"/>
        <w:rPr>
          <w:rFonts w:ascii="方正仿宋_GBK" w:eastAsia="方正仿宋_GBK"/>
          <w:sz w:val="24"/>
          <w:highlight w:val="none"/>
        </w:rPr>
      </w:pPr>
      <w:r>
        <w:rPr>
          <w:rFonts w:ascii="方正仿宋_GBK" w:eastAsia="方正仿宋_GBK"/>
          <w:sz w:val="24"/>
          <w:highlight w:val="none"/>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符合性审查因素</w:t>
            </w:r>
            <w:r>
              <w:rPr>
                <w:rFonts w:hint="eastAsia" w:ascii="Times New Roman" w:hAnsi="Times New Roman" w:cs="仿宋"/>
                <w:highlight w:val="none"/>
              </w:rPr>
            </w:r>
            <w:r/>
          </w:p>
        </w:tc>
        <w:tc>
          <w:tcPr>
            <w:tcW w:w="4304"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审查标准</w:t>
            </w:r>
            <w:r>
              <w:rPr>
                <w:rFonts w:hint="eastAsia" w:ascii="Times New Roman" w:hAnsi="Times New Roman" w:cs="仿宋"/>
                <w:highlight w:val="none"/>
              </w:rPr>
            </w:r>
            <w:r/>
          </w:p>
        </w:tc>
      </w:tr>
      <w:tr>
        <w:trPr/>
        <w:tc>
          <w:tcPr>
            <w:tcW w:w="4364" w:type="dxa"/>
            <w:vAlign w:val="center"/>
            <w:textDirection w:val="lrTb"/>
            <w:noWrap w:val="false"/>
          </w:tcPr>
          <w:p>
            <w:pPr>
              <w:pStyle w:val="768"/>
              <w:jc w:val="center"/>
              <w:spacing w:line="480" w:lineRule="exact"/>
              <w:rPr>
                <w:rFonts w:hint="eastAsia" w:ascii="Times New Roman" w:hAnsi="Times New Roman" w:cs="仿宋"/>
                <w:highlight w:val="none"/>
              </w:rPr>
            </w:pPr>
            <w:r>
              <w:rPr>
                <w:rFonts w:ascii="Segoe UI" w:hAnsi="Segoe UI" w:eastAsia="Segoe UI" w:cs="Segoe UI"/>
                <w:i w:val="0"/>
                <w:iCs w:val="0"/>
                <w:caps w:val="0"/>
                <w:spacing w:val="0"/>
                <w:sz w:val="21"/>
                <w:szCs w:val="21"/>
                <w:highlight w:val="none"/>
                <w:shd w:val="clear" w:color="auto" w:fill="ffffff"/>
              </w:rPr>
              <w:t xml:space="preserve">报价符合性审查</w:t>
            </w:r>
            <w:r>
              <w:rPr>
                <w:rFonts w:hint="eastAsia" w:ascii="Times New Roman" w:hAnsi="Times New Roman" w:cs="仿宋"/>
                <w:highlight w:val="none"/>
              </w:rPr>
            </w:r>
            <w:r/>
          </w:p>
        </w:tc>
        <w:tc>
          <w:tcPr>
            <w:tcW w:w="4304"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符合招标文件要求</w:t>
            </w:r>
            <w:r>
              <w:rPr>
                <w:rFonts w:hint="eastAsia" w:ascii="Times New Roman" w:hAnsi="Times New Roman" w:cs="仿宋"/>
                <w:highlight w:val="none"/>
              </w:rPr>
            </w:r>
            <w:r/>
          </w:p>
        </w:tc>
      </w:tr>
      <w:tr>
        <w:trPr/>
        <w:tc>
          <w:tcPr>
            <w:tcW w:w="4364" w:type="dxa"/>
            <w:vAlign w:val="center"/>
            <w:textDirection w:val="lrTb"/>
            <w:noWrap w:val="false"/>
          </w:tcPr>
          <w:p>
            <w:pPr>
              <w:pStyle w:val="768"/>
              <w:jc w:val="center"/>
              <w:spacing w:line="480" w:lineRule="exact"/>
              <w:rPr>
                <w:rFonts w:ascii="Times New Roman" w:hAnsi="Times New Roman" w:cs="仿宋"/>
                <w:highlight w:val="none"/>
              </w:rPr>
            </w:pPr>
            <w:r>
              <w:rPr>
                <w:rFonts w:hint="eastAsia" w:ascii="Times New Roman" w:hAnsi="Times New Roman" w:cs="仿宋"/>
                <w:highlight w:val="none"/>
              </w:rPr>
              <w:t xml:space="preserve">法定代表人身份证明或授权委托书</w:t>
            </w:r>
            <w:r>
              <w:rPr>
                <w:rFonts w:ascii="Times New Roman" w:hAnsi="Times New Roman" w:cs="仿宋"/>
                <w:highlight w:val="none"/>
              </w:rPr>
            </w:r>
            <w:r/>
          </w:p>
        </w:tc>
        <w:tc>
          <w:tcPr>
            <w:tcW w:w="4304"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符合招标文件要求</w:t>
            </w:r>
            <w:r>
              <w:rPr>
                <w:rFonts w:hint="eastAsia" w:ascii="Times New Roman" w:hAnsi="Times New Roman" w:cs="仿宋"/>
                <w:highlight w:val="none"/>
              </w:rPr>
            </w:r>
            <w:r/>
          </w:p>
        </w:tc>
      </w:tr>
      <w:tr>
        <w:trPr/>
        <w:tc>
          <w:tcPr>
            <w:tcW w:w="4364"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技术标准和要求</w:t>
            </w:r>
            <w:r>
              <w:rPr>
                <w:rFonts w:hint="eastAsia" w:ascii="Times New Roman" w:hAnsi="Times New Roman" w:cs="仿宋"/>
                <w:highlight w:val="none"/>
              </w:rPr>
            </w:r>
            <w:r/>
          </w:p>
        </w:tc>
        <w:tc>
          <w:tcPr>
            <w:tcW w:w="4304"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宋体" w:hAnsi="宋体" w:cs="宋体"/>
                <w:color w:val="000000"/>
                <w:highlight w:val="none"/>
              </w:rPr>
              <w:t xml:space="preserve">符合招标文件要求</w:t>
            </w:r>
            <w:r>
              <w:rPr>
                <w:rFonts w:hint="eastAsia" w:ascii="Times New Roman" w:hAnsi="Times New Roman" w:cs="仿宋"/>
                <w:highlight w:val="none"/>
              </w:rPr>
            </w:r>
            <w:r/>
          </w:p>
        </w:tc>
      </w:tr>
      <w:tr>
        <w:trPr/>
        <w:tc>
          <w:tcPr>
            <w:tcW w:w="4364"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其他</w:t>
            </w:r>
            <w:r>
              <w:rPr>
                <w:rFonts w:hint="eastAsia" w:ascii="Times New Roman" w:hAnsi="Times New Roman" w:cs="仿宋"/>
                <w:highlight w:val="none"/>
              </w:rPr>
            </w:r>
            <w:r/>
          </w:p>
        </w:tc>
        <w:tc>
          <w:tcPr>
            <w:tcW w:w="4304" w:type="dxa"/>
            <w:vAlign w:val="center"/>
            <w:textDirection w:val="lrTb"/>
            <w:noWrap w:val="false"/>
          </w:tcPr>
          <w:p>
            <w:pPr>
              <w:pStyle w:val="768"/>
              <w:jc w:val="center"/>
              <w:spacing w:line="480" w:lineRule="exact"/>
              <w:rPr>
                <w:rFonts w:hint="eastAsia" w:ascii="Times New Roman" w:hAnsi="Times New Roman" w:cs="仿宋"/>
                <w:highlight w:val="none"/>
              </w:rPr>
            </w:pPr>
            <w:r>
              <w:rPr>
                <w:rFonts w:hint="eastAsia" w:ascii="Times New Roman" w:hAnsi="Times New Roman" w:cs="仿宋"/>
                <w:highlight w:val="none"/>
              </w:rPr>
              <w:t xml:space="preserve">符合招标文件要求</w:t>
            </w:r>
            <w:r>
              <w:rPr>
                <w:rFonts w:hint="eastAsia" w:ascii="Times New Roman" w:hAnsi="Times New Roman" w:cs="仿宋"/>
                <w:highlight w:val="none"/>
              </w:rPr>
            </w:r>
            <w:r/>
          </w:p>
        </w:tc>
      </w:tr>
    </w:tbl>
    <w:p>
      <w:pPr>
        <w:pStyle w:val="768"/>
        <w:numPr>
          <w:ilvl w:val="0"/>
          <w:numId w:val="0"/>
        </w:numPr>
        <w:ind w:left="210"/>
        <w:jc w:val="left"/>
        <w:spacing w:line="480" w:lineRule="exact"/>
        <w:rPr>
          <w:rFonts w:hint="eastAsia" w:ascii="Times New Roman" w:hAnsi="Times New Roman" w:cs="仿宋"/>
          <w:color w:val="000000"/>
          <w:sz w:val="24"/>
          <w:highlight w:val="none"/>
        </w:rPr>
      </w:pPr>
      <w:r>
        <w:rPr>
          <w:rFonts w:hint="eastAsia" w:ascii="Times New Roman" w:hAnsi="Times New Roman" w:cs="仿宋"/>
          <w:b/>
          <w:bCs/>
          <w:color w:val="000000"/>
          <w:sz w:val="24"/>
          <w:highlight w:val="none"/>
          <w:lang w:val="en-US" w:eastAsia="zh-CN"/>
        </w:rPr>
        <w:t xml:space="preserve">3、</w:t>
      </w:r>
      <w:r>
        <w:rPr>
          <w:rFonts w:hint="eastAsia" w:ascii="Times New Roman" w:hAnsi="Times New Roman" w:cs="仿宋"/>
          <w:b/>
          <w:bCs/>
          <w:color w:val="000000"/>
          <w:sz w:val="24"/>
          <w:highlight w:val="none"/>
        </w:rPr>
        <w:t xml:space="preserve">详细评审。</w:t>
      </w:r>
      <w:r>
        <w:rPr>
          <w:rFonts w:hint="eastAsia" w:ascii="Times New Roman" w:hAnsi="Times New Roman" w:cs="仿宋"/>
          <w:color w:val="000000"/>
          <w:sz w:val="24"/>
          <w:highlight w:val="none"/>
        </w:rPr>
        <w:t xml:space="preserve">评标委员会按照招标文件规定的评分标准，对各投标文件进行详细评审打分。评标委员会组长对各评审专家的打分情况进行复核无误后汇总，形成评审报告。</w:t>
      </w:r>
      <w:r>
        <w:rPr>
          <w:rFonts w:hint="eastAsia" w:ascii="Times New Roman" w:hAnsi="Times New Roman" w:cs="仿宋"/>
          <w:color w:val="000000"/>
          <w:sz w:val="24"/>
          <w:highlight w:val="none"/>
        </w:rPr>
      </w:r>
      <w:r/>
    </w:p>
    <w:tbl>
      <w:tblPr>
        <w:tblW w:w="4443"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34"/>
        <w:gridCol w:w="1155"/>
        <w:gridCol w:w="4806"/>
        <w:gridCol w:w="883"/>
      </w:tblGrid>
      <w:tr>
        <w:trPr>
          <w:trHeight w:val="280"/>
        </w:trPr>
        <w:tc>
          <w:tcPr>
            <w:tcW w:w="484" w:type="dxa"/>
            <w:vAlign w:val="center"/>
            <w:textDirection w:val="lrTb"/>
            <w:noWrap w:val="false"/>
          </w:tcPr>
          <w:p>
            <w:pPr>
              <w:pStyle w:val="768"/>
              <w:jc w:val="center"/>
              <w:keepLines w:val="0"/>
              <w:keepNext w:val="0"/>
              <w:widowControl/>
              <w:rPr>
                <w:rFonts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cs="宋体"/>
                <w:b/>
                <w:bCs/>
                <w:i w:val="0"/>
                <w:iCs w:val="0"/>
                <w:color w:val="000000"/>
                <w:sz w:val="21"/>
                <w:szCs w:val="21"/>
                <w:highlight w:val="none"/>
                <w:u w:val="none"/>
                <w:lang w:val="en-US" w:eastAsia="zh-CN" w:bidi="ar"/>
              </w:rPr>
              <w:t xml:space="preserve">序号</w:t>
            </w:r>
            <w:r>
              <w:rPr>
                <w:rFonts w:ascii="宋体" w:hAnsi="宋体" w:eastAsia="宋体" w:cs="宋体"/>
                <w:b/>
                <w:bCs/>
                <w:i w:val="0"/>
                <w:iCs w:val="0"/>
                <w:color w:val="000000"/>
                <w:sz w:val="21"/>
                <w:szCs w:val="21"/>
                <w:highlight w:val="none"/>
                <w:u w:val="none"/>
                <w:lang w:val="en-US" w:eastAsia="zh-CN" w:bidi="ar-SA"/>
              </w:rPr>
            </w:r>
            <w:r/>
          </w:p>
        </w:tc>
        <w:tc>
          <w:tcPr>
            <w:tcW w:w="762" w:type="dxa"/>
            <w:vAlign w:val="center"/>
            <w:textDirection w:val="lrTb"/>
            <w:noWrap w:val="false"/>
          </w:tcPr>
          <w:p>
            <w:pPr>
              <w:pStyle w:val="768"/>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评审因素</w:t>
            </w:r>
            <w:r>
              <w:rPr>
                <w:rFonts w:hint="eastAsia" w:ascii="宋体" w:hAnsi="宋体" w:eastAsia="宋体" w:cs="宋体"/>
                <w:b/>
                <w:bCs/>
                <w:i w:val="0"/>
                <w:iCs w:val="0"/>
                <w:color w:val="000000"/>
                <w:sz w:val="21"/>
                <w:szCs w:val="21"/>
                <w:highlight w:val="none"/>
                <w:u w:val="none"/>
                <w:lang w:val="en-US" w:eastAsia="zh-CN" w:bidi="ar-SA"/>
              </w:rPr>
            </w:r>
            <w:r/>
          </w:p>
        </w:tc>
        <w:tc>
          <w:tcPr>
            <w:tcW w:w="3170" w:type="dxa"/>
            <w:vAlign w:val="center"/>
            <w:textDirection w:val="lrTb"/>
            <w:noWrap w:val="false"/>
          </w:tcPr>
          <w:p>
            <w:pPr>
              <w:pStyle w:val="768"/>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评审标准</w:t>
            </w:r>
            <w:r>
              <w:rPr>
                <w:rFonts w:hint="eastAsia" w:ascii="宋体" w:hAnsi="宋体" w:eastAsia="宋体" w:cs="宋体"/>
                <w:b/>
                <w:bCs/>
                <w:i w:val="0"/>
                <w:iCs w:val="0"/>
                <w:color w:val="000000"/>
                <w:sz w:val="21"/>
                <w:szCs w:val="21"/>
                <w:highlight w:val="none"/>
                <w:u w:val="none"/>
              </w:rPr>
            </w:r>
            <w:r/>
          </w:p>
        </w:tc>
        <w:tc>
          <w:tcPr>
            <w:tcW w:w="582" w:type="dxa"/>
            <w:vAlign w:val="center"/>
            <w:textDirection w:val="lrTb"/>
            <w:noWrap w:val="false"/>
          </w:tcPr>
          <w:p>
            <w:pPr>
              <w:pStyle w:val="768"/>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分数</w:t>
            </w:r>
            <w:r>
              <w:rPr>
                <w:rFonts w:hint="eastAsia" w:ascii="宋体" w:hAnsi="宋体" w:eastAsia="宋体" w:cs="宋体"/>
                <w:b/>
                <w:bCs/>
                <w:i w:val="0"/>
                <w:iCs w:val="0"/>
                <w:color w:val="000000"/>
                <w:sz w:val="21"/>
                <w:szCs w:val="21"/>
                <w:highlight w:val="none"/>
                <w:u w:val="none"/>
                <w:lang w:val="en-US" w:eastAsia="zh-CN" w:bidi="ar-SA"/>
              </w:rPr>
            </w:r>
            <w:r/>
          </w:p>
        </w:tc>
      </w:tr>
      <w:tr>
        <w:trPr>
          <w:trHeight w:val="455"/>
        </w:trPr>
        <w:tc>
          <w:tcPr>
            <w:tcW w:w="484"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762"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投标报价</w:t>
            </w:r>
            <w:r>
              <w:rPr>
                <w:rFonts w:hint="eastAsia" w:ascii="宋体" w:hAnsi="宋体" w:eastAsia="宋体" w:cs="宋体"/>
                <w:i w:val="0"/>
                <w:iCs w:val="0"/>
                <w:color w:val="000000"/>
                <w:sz w:val="21"/>
                <w:szCs w:val="21"/>
                <w:highlight w:val="none"/>
                <w:u w:val="none"/>
              </w:rPr>
            </w:r>
            <w:r/>
          </w:p>
        </w:tc>
        <w:tc>
          <w:tcPr>
            <w:tcW w:w="317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采用低价优先法计算，即满足招标文件要求且投标价格最低的投标报价为评标基准价，其价格分为满分。其他投标人投标报价得分＝（评标基准价/投标报价）*30</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lang w:val="en-US" w:eastAsia="zh-CN" w:bidi="ar-SA"/>
              </w:rPr>
            </w:r>
            <w:r/>
          </w:p>
        </w:tc>
      </w:tr>
      <w:tr>
        <w:trPr>
          <w:trHeight w:val="5008"/>
        </w:trPr>
        <w:tc>
          <w:tcPr>
            <w:tcW w:w="484"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762"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技术参数响应</w:t>
            </w:r>
            <w:r>
              <w:rPr>
                <w:rFonts w:hint="eastAsia" w:ascii="宋体" w:hAnsi="宋体" w:eastAsia="宋体" w:cs="宋体"/>
                <w:i w:val="0"/>
                <w:iCs w:val="0"/>
                <w:color w:val="000000"/>
                <w:sz w:val="21"/>
                <w:szCs w:val="21"/>
                <w:highlight w:val="none"/>
                <w:u w:val="none"/>
              </w:rPr>
            </w:r>
            <w:r/>
          </w:p>
        </w:tc>
        <w:tc>
          <w:tcPr>
            <w:tcW w:w="317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针对招标文件“第四章</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采购需求”中的采购清单及技术参数</w:t>
            </w:r>
            <w:r>
              <w:rPr>
                <w:rFonts w:hint="eastAsia" w:ascii="宋体" w:hAnsi="宋体" w:cs="宋体"/>
                <w:i w:val="0"/>
                <w:iCs w:val="0"/>
                <w:color w:val="000000"/>
                <w:sz w:val="21"/>
                <w:szCs w:val="21"/>
                <w:highlight w:val="none"/>
                <w:u w:val="none"/>
                <w:lang w:val="en-US" w:eastAsia="zh-CN" w:bidi="ar"/>
              </w:rPr>
              <w:t xml:space="preserve">要求</w:t>
            </w:r>
            <w:r>
              <w:rPr>
                <w:rFonts w:hint="eastAsia" w:ascii="宋体" w:hAnsi="宋体" w:eastAsia="宋体" w:cs="宋体"/>
                <w:i w:val="0"/>
                <w:iCs w:val="0"/>
                <w:color w:val="000000"/>
                <w:sz w:val="21"/>
                <w:szCs w:val="21"/>
                <w:highlight w:val="none"/>
                <w:u w:val="none"/>
                <w:lang w:val="en-US" w:eastAsia="zh-CN" w:bidi="ar"/>
              </w:rPr>
              <w:t xml:space="preserve">”表中所列内容进行评分，所投产品技术参数完全满足或优于招标文件技术参数要求的得</w:t>
            </w:r>
            <w:r>
              <w:rPr>
                <w:rFonts w:hint="eastAsia" w:ascii="宋体" w:hAnsi="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lang w:val="en-US" w:eastAsia="zh-CN" w:bidi="ar"/>
              </w:rPr>
              <w:t xml:space="preserve">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1、采购清单中技术要求前标有“▲”部分，为重要技术参数（共</w:t>
            </w:r>
            <w:r>
              <w:rPr>
                <w:rFonts w:hint="eastAsia" w:ascii="宋体" w:hAnsi="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lang w:val="en-US" w:eastAsia="zh-CN" w:bidi="ar"/>
              </w:rPr>
              <w:t xml:space="preserve">条，合计1</w:t>
            </w:r>
            <w:r>
              <w:rPr>
                <w:rFonts w:hint="eastAsia" w:ascii="宋体" w:hAnsi="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分），每有一项负偏离扣</w:t>
            </w:r>
            <w:r>
              <w:rPr>
                <w:rFonts w:hint="eastAsia" w:ascii="宋体" w:hAnsi="宋体" w:cs="宋体"/>
                <w:i w:val="0"/>
                <w:iCs w:val="0"/>
                <w:color w:val="000000"/>
                <w:sz w:val="21"/>
                <w:szCs w:val="21"/>
                <w:highlight w:val="none"/>
                <w:u w:val="none"/>
                <w:lang w:val="en-US" w:eastAsia="zh-CN" w:bidi="ar"/>
              </w:rPr>
              <w:t xml:space="preserve">0.5</w:t>
            </w:r>
            <w:r>
              <w:rPr>
                <w:rFonts w:hint="eastAsia" w:ascii="宋体" w:hAnsi="宋体" w:eastAsia="宋体" w:cs="宋体"/>
                <w:i w:val="0"/>
                <w:iCs w:val="0"/>
                <w:color w:val="000000"/>
                <w:sz w:val="21"/>
                <w:szCs w:val="21"/>
                <w:highlight w:val="none"/>
                <w:u w:val="none"/>
                <w:lang w:val="en-US" w:eastAsia="zh-CN" w:bidi="ar"/>
              </w:rPr>
              <w:t xml:space="preserve">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扣完为止。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、采购清单中技术要求前标有“＃”部分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为一般技术参数（共</w:t>
            </w:r>
            <w:r>
              <w:rPr>
                <w:rFonts w:hint="eastAsia" w:ascii="宋体" w:hAnsi="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lang w:val="en-US" w:eastAsia="zh-CN" w:bidi="ar"/>
              </w:rPr>
              <w:t xml:space="preserve">条，合计</w:t>
            </w:r>
            <w:r>
              <w:rPr>
                <w:rFonts w:hint="eastAsia" w:ascii="宋体" w:hAnsi="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lang w:val="en-US" w:eastAsia="zh-CN" w:bidi="ar"/>
              </w:rPr>
              <w:t xml:space="preserve">分），每有一项负偏离扣0.0</w:t>
            </w:r>
            <w:r>
              <w:rPr>
                <w:rFonts w:hint="eastAsia" w:ascii="宋体" w:hAnsi="宋体" w:cs="宋体"/>
                <w:i w:val="0"/>
                <w:iCs w:val="0"/>
                <w:color w:val="000000"/>
                <w:sz w:val="21"/>
                <w:szCs w:val="21"/>
                <w:highlight w:val="none"/>
                <w:u w:val="none"/>
                <w:lang w:val="en-US" w:eastAsia="zh-CN" w:bidi="ar"/>
              </w:rPr>
              <w:t xml:space="preserve">07</w:t>
            </w:r>
            <w:r>
              <w:rPr>
                <w:rFonts w:hint="eastAsia" w:ascii="宋体" w:hAnsi="宋体" w:eastAsia="宋体" w:cs="宋体"/>
                <w:i w:val="0"/>
                <w:iCs w:val="0"/>
                <w:color w:val="000000"/>
                <w:sz w:val="21"/>
                <w:szCs w:val="21"/>
                <w:highlight w:val="none"/>
                <w:u w:val="none"/>
                <w:lang w:val="en-US" w:eastAsia="zh-CN" w:bidi="ar"/>
              </w:rPr>
              <w:t xml:space="preserve">分,扣完为止。</w:t>
            </w:r>
            <w:r>
              <w:rPr>
                <w:rFonts w:hint="eastAsia" w:ascii="宋体" w:hAnsi="宋体" w:eastAsia="宋体" w:cs="宋体"/>
                <w:i w:val="0"/>
                <w:iCs w:val="0"/>
                <w:color w:val="000000"/>
                <w:sz w:val="21"/>
                <w:szCs w:val="21"/>
                <w:highlight w:val="none"/>
                <w:u w:val="none"/>
                <w:lang w:val="en-US" w:eastAsia="zh-CN" w:bidi="ar"/>
              </w:rPr>
            </w:r>
            <w:r/>
          </w:p>
          <w:p>
            <w:pPr>
              <w:pStyle w:val="768"/>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注：上述1-2项中，（1）投标人须详尽真实的提供投标产品的《技术要求响应及偏离表》，且均需在技术要求响应及偏离表内详尽真实的逐条提供偏差情况，否则将视为负偏离。（2）有指定证明材料要求的未按指定要求提供相关证明材料的将视为负偏离。（3）无指定证明材料要求的以加盖投标人公章的《技术要求响应及偏离表》为准。</w:t>
            </w:r>
            <w:r>
              <w:rPr>
                <w:rFonts w:hint="eastAsia" w:ascii="宋体" w:hAnsi="宋体" w:eastAsia="宋体" w:cs="宋体"/>
                <w:i w:val="0"/>
                <w:iCs w:val="0"/>
                <w:color w:val="000000"/>
                <w:sz w:val="21"/>
                <w:szCs w:val="21"/>
                <w:highlight w:val="none"/>
                <w:u w:val="none"/>
                <w:lang w:val="en-US" w:eastAsia="zh-CN" w:bidi="ar"/>
              </w:rPr>
            </w:r>
            <w:r/>
          </w:p>
        </w:tc>
        <w:tc>
          <w:tcPr>
            <w:tcW w:w="582" w:type="dxa"/>
            <w:vAlign w:val="center"/>
            <w:textDirection w:val="lrTb"/>
            <w:noWrap w:val="false"/>
          </w:tcPr>
          <w:p>
            <w:pPr>
              <w:pStyle w:val="768"/>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19</w:t>
            </w:r>
            <w:r>
              <w:rPr>
                <w:rFonts w:ascii="宋体" w:hAnsi="宋体" w:eastAsia="宋体" w:cs="宋体"/>
                <w:i w:val="0"/>
                <w:iCs w:val="0"/>
                <w:color w:val="000000"/>
                <w:sz w:val="21"/>
                <w:szCs w:val="21"/>
                <w:highlight w:val="none"/>
                <w:u w:val="none"/>
                <w:lang w:val="en-US" w:eastAsia="zh-CN" w:bidi="ar-SA"/>
              </w:rPr>
            </w:r>
            <w:r/>
          </w:p>
        </w:tc>
      </w:tr>
      <w:tr>
        <w:trPr>
          <w:trHeight w:val="3240"/>
        </w:trPr>
        <w:tc>
          <w:tcPr>
            <w:tcW w:w="484"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762" w:type="dxa"/>
            <w:vAlign w:val="center"/>
            <w:textDirection w:val="lrTb"/>
            <w:noWrap w:val="false"/>
          </w:tcPr>
          <w:p>
            <w:pPr>
              <w:pStyle w:val="768"/>
              <w:jc w:val="center"/>
              <w:keepLines w:val="0"/>
              <w:keepNext w:val="0"/>
              <w:widowControl/>
              <w:rPr>
                <w:rFonts w:hint="eastAsia" w:ascii="宋体" w:hAnsi="宋体" w:eastAsia="宋体" w:cs="宋体"/>
                <w:i w:val="0"/>
                <w:iCs w:val="0"/>
                <w:strike w:val="0"/>
                <w:color w:val="000000"/>
                <w:sz w:val="21"/>
                <w:szCs w:val="21"/>
                <w:highlight w:val="none"/>
                <w:u w:val="none"/>
              </w:rPr>
              <w:suppressLineNumbers w:val="0"/>
            </w:pPr>
            <w:r>
              <w:rPr>
                <w:rFonts w:hint="eastAsia" w:ascii="宋体" w:hAnsi="宋体" w:eastAsia="宋体" w:cs="宋体"/>
                <w:i w:val="0"/>
                <w:iCs w:val="0"/>
                <w:strike w:val="0"/>
                <w:color w:val="000000"/>
                <w:sz w:val="21"/>
                <w:szCs w:val="21"/>
                <w:highlight w:val="none"/>
                <w:u w:val="none"/>
                <w:lang w:val="en-US" w:eastAsia="zh-CN"/>
              </w:rPr>
              <w:t xml:space="preserve">环境标志、节能产品</w:t>
            </w:r>
            <w:r>
              <w:rPr>
                <w:rFonts w:hint="eastAsia" w:ascii="宋体" w:hAnsi="宋体" w:eastAsia="宋体" w:cs="宋体"/>
                <w:i w:val="0"/>
                <w:iCs w:val="0"/>
                <w:strike w:val="0"/>
                <w:color w:val="000000"/>
                <w:sz w:val="21"/>
                <w:szCs w:val="21"/>
                <w:highlight w:val="none"/>
                <w:u w:val="none"/>
              </w:rPr>
            </w:r>
            <w:r/>
          </w:p>
        </w:tc>
        <w:tc>
          <w:tcPr>
            <w:tcW w:w="3170" w:type="dxa"/>
            <w:vAlign w:val="center"/>
            <w:textDirection w:val="lrTb"/>
            <w:noWrap w:val="false"/>
          </w:tcPr>
          <w:p>
            <w:pPr>
              <w:pStyle w:val="768"/>
              <w:numPr>
                <w:ilvl w:val="0"/>
                <w:numId w:val="0"/>
              </w:numPr>
              <w:jc w:val="left"/>
              <w:keepLines w:val="0"/>
              <w:keepNext w:val="0"/>
              <w:widowControl/>
              <w:rPr>
                <w:rFonts w:hint="eastAsia" w:ascii="宋体" w:hAnsi="宋体" w:eastAsia="宋体" w:cs="宋体"/>
                <w:i w:val="0"/>
                <w:iCs w:val="0"/>
                <w:strike w:val="0"/>
                <w:color w:val="000000"/>
                <w:sz w:val="21"/>
                <w:szCs w:val="21"/>
                <w:highlight w:val="none"/>
                <w:u w:val="none"/>
                <w:lang w:val="en-US" w:eastAsia="zh-CN"/>
              </w:rPr>
              <w:suppressLineNumbers w:val="0"/>
            </w:pPr>
            <w:r>
              <w:rPr>
                <w:rFonts w:hint="eastAsia" w:ascii="宋体" w:hAnsi="宋体" w:eastAsia="宋体" w:cs="宋体"/>
                <w:i w:val="0"/>
                <w:iCs w:val="0"/>
                <w:strike w:val="0"/>
                <w:color w:val="000000"/>
                <w:sz w:val="21"/>
                <w:szCs w:val="21"/>
                <w:highlight w:val="none"/>
                <w:u w:val="none"/>
                <w:lang w:val="en-US" w:eastAsia="zh-CN"/>
              </w:rPr>
              <w:t xml:space="preserve">1、投标产品在财政部、生态环境部公布的“环境标志产品政府采购品目清单”内，且投标文件中提供国家市场监督管理总局确定的列入“参与实施政府采购环境标志产品认证机构名录 ”内的认证机构出具的、有效期内的该产品环境标志产品认证证书电子件的，每提供一个得0.5分，最高得0.5分，未提供的不得分。</w:t>
            </w:r>
            <w:r>
              <w:rPr>
                <w:rFonts w:hint="eastAsia" w:ascii="宋体" w:hAnsi="宋体" w:eastAsia="宋体" w:cs="宋体"/>
                <w:i w:val="0"/>
                <w:iCs w:val="0"/>
                <w:strike w:val="0"/>
                <w:color w:val="000000"/>
                <w:sz w:val="21"/>
                <w:szCs w:val="21"/>
                <w:highlight w:val="none"/>
                <w:u w:val="none"/>
                <w:lang w:val="en-US" w:eastAsia="zh-CN"/>
              </w:rPr>
              <w:br w:type="textWrapping" w:clear="all"/>
            </w:r>
            <w:r>
              <w:rPr>
                <w:rFonts w:hint="eastAsia" w:ascii="宋体" w:hAnsi="宋体" w:eastAsia="宋体" w:cs="宋体"/>
                <w:i w:val="0"/>
                <w:iCs w:val="0"/>
                <w:strike w:val="0"/>
                <w:color w:val="000000"/>
                <w:sz w:val="21"/>
                <w:szCs w:val="21"/>
                <w:highlight w:val="none"/>
                <w:u w:val="none"/>
                <w:lang w:val="en-US" w:eastAsia="zh-CN"/>
              </w:rPr>
              <w:t xml:space="preserve">2、投标产品在财政部、发展改革委公布的“节能产品政府采购品目清单”内（属于政府强制采购产品除外），且投标文件中提供国家市场监督管理总局确定的列入“参与实施政府采购节能产品认证机构名录”内的认证机构出具的、有效期内的该产品的节能产品认证证书电子件的，每提供一个得0.5分，最高得0.5分，未提供的不得分。</w:t>
            </w:r>
            <w:r>
              <w:rPr>
                <w:rFonts w:hint="eastAsia" w:ascii="宋体" w:hAnsi="宋体" w:eastAsia="宋体" w:cs="宋体"/>
                <w:i w:val="0"/>
                <w:iCs w:val="0"/>
                <w:strike w:val="0"/>
                <w:color w:val="000000"/>
                <w:sz w:val="21"/>
                <w:szCs w:val="21"/>
                <w:highlight w:val="none"/>
                <w:u w:val="none"/>
                <w:lang w:val="en-US" w:eastAsia="zh-CN"/>
              </w:rPr>
            </w:r>
            <w:r/>
          </w:p>
        </w:tc>
        <w:tc>
          <w:tcPr>
            <w:tcW w:w="582"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r>
      <w:tr>
        <w:trPr>
          <w:trHeight w:val="902"/>
        </w:trPr>
        <w:tc>
          <w:tcPr>
            <w:tcW w:w="484"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762"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类似</w:t>
            </w:r>
            <w:r>
              <w:rPr>
                <w:rFonts w:hint="eastAsia" w:ascii="宋体" w:hAnsi="宋体" w:eastAsia="宋体" w:cs="宋体"/>
                <w:i w:val="0"/>
                <w:iCs w:val="0"/>
                <w:color w:val="000000"/>
                <w:sz w:val="21"/>
                <w:szCs w:val="21"/>
                <w:highlight w:val="none"/>
                <w:u w:val="none"/>
                <w:lang w:val="en-US" w:eastAsia="zh-CN" w:bidi="ar"/>
              </w:rPr>
              <w:t xml:space="preserve">业绩</w:t>
            </w:r>
            <w:r>
              <w:rPr>
                <w:rFonts w:hint="eastAsia" w:ascii="宋体" w:hAnsi="宋体" w:eastAsia="宋体" w:cs="宋体"/>
                <w:i w:val="0"/>
                <w:iCs w:val="0"/>
                <w:color w:val="000000"/>
                <w:sz w:val="21"/>
                <w:szCs w:val="21"/>
                <w:highlight w:val="none"/>
                <w:u w:val="none"/>
              </w:rPr>
            </w:r>
            <w:r/>
          </w:p>
        </w:tc>
        <w:tc>
          <w:tcPr>
            <w:tcW w:w="3170" w:type="dxa"/>
            <w:vAlign w:val="center"/>
            <w:textDirection w:val="lrTb"/>
            <w:noWrap w:val="false"/>
          </w:tcPr>
          <w:p>
            <w:pPr>
              <w:pStyle w:val="768"/>
              <w:jc w:val="left"/>
              <w:keepLines w:val="0"/>
              <w:keepNext w:val="0"/>
              <w:widowControl/>
              <w:rPr>
                <w:rFonts w:ascii="宋体" w:hAnsi="宋体" w:eastAsia="宋体" w:cs="宋体"/>
                <w:i w:val="0"/>
                <w:iCs w:val="0"/>
                <w:color w:val="000000"/>
                <w:sz w:val="21"/>
                <w:szCs w:val="21"/>
                <w:highlight w:val="none"/>
                <w:u w:val="none"/>
                <w:lang w:val="en-US"/>
              </w:rPr>
              <w:suppressLineNumbers w:val="0"/>
            </w:pPr>
            <w:r>
              <w:rPr>
                <w:rFonts w:ascii="宋体" w:hAnsi="宋体" w:eastAsia="宋体" w:cs="宋体"/>
                <w:i w:val="0"/>
                <w:iCs w:val="0"/>
                <w:color w:val="000000"/>
                <w:sz w:val="21"/>
                <w:szCs w:val="21"/>
                <w:highlight w:val="none"/>
                <w:u w:val="none"/>
                <w:lang w:val="en-US" w:eastAsia="zh-CN"/>
              </w:rPr>
              <w:t xml:space="preserve">投标人自2023年1月1日以来(以合同签订时间为准)承担过类似(体育设施）采购业绩的，每提供一个得1分，最高得3分。 注：1、提供合同（或者合同协议书）、采购人履约评价（或者验收合格报告或者验收合格证明）原件扫描件，二者缺一不可，未提供或提供不全不得分；2.业绩证明材料应能够明确反映投标人名称、项目内容、合同签订时间等主要信息，否则不得分。3.业绩履约评价中出现“不满意”或“差”或“不合格”或同等意思表达的，该业绩不得分。</w:t>
            </w:r>
            <w:r>
              <w:rPr>
                <w:rFonts w:ascii="宋体" w:hAnsi="宋体" w:eastAsia="宋体" w:cs="宋体"/>
                <w:i w:val="0"/>
                <w:iCs w:val="0"/>
                <w:color w:val="000000"/>
                <w:sz w:val="21"/>
                <w:szCs w:val="21"/>
                <w:highlight w:val="none"/>
                <w:u w:val="none"/>
                <w:lang w:val="en-US"/>
              </w:rPr>
            </w:r>
            <w:r/>
          </w:p>
        </w:tc>
        <w:tc>
          <w:tcPr>
            <w:tcW w:w="582"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SA"/>
              </w:rPr>
            </w:r>
            <w:r/>
          </w:p>
        </w:tc>
      </w:tr>
      <w:tr>
        <w:trPr>
          <w:trHeight w:val="2571"/>
        </w:trPr>
        <w:tc>
          <w:tcPr>
            <w:tcW w:w="484" w:type="dxa"/>
            <w:vAlign w:val="center"/>
            <w:textDirection w:val="lrTb"/>
            <w:noWrap w:val="false"/>
          </w:tcPr>
          <w:p>
            <w:pPr>
              <w:pStyle w:val="768"/>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5</w:t>
            </w:r>
            <w:r>
              <w:rPr>
                <w:rFonts w:ascii="宋体" w:hAnsi="宋体" w:eastAsia="宋体" w:cs="宋体"/>
                <w:i w:val="0"/>
                <w:iCs w:val="0"/>
                <w:color w:val="000000"/>
                <w:sz w:val="21"/>
                <w:szCs w:val="21"/>
                <w:highlight w:val="none"/>
                <w:u w:val="none"/>
                <w:lang w:val="en-US" w:eastAsia="zh-CN" w:bidi="ar"/>
              </w:rPr>
            </w:r>
            <w:r/>
          </w:p>
        </w:tc>
        <w:tc>
          <w:tcPr>
            <w:tcW w:w="762" w:type="dxa"/>
            <w:vAlign w:val="center"/>
            <w:textDirection w:val="lrTb"/>
            <w:noWrap w:val="false"/>
          </w:tcPr>
          <w:p>
            <w:pPr>
              <w:pStyle w:val="768"/>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企业实力</w:t>
            </w:r>
            <w:r>
              <w:rPr>
                <w:rFonts w:ascii="宋体" w:hAnsi="宋体" w:eastAsia="宋体" w:cs="宋体"/>
                <w:i w:val="0"/>
                <w:iCs w:val="0"/>
                <w:color w:val="000000"/>
                <w:sz w:val="21"/>
                <w:szCs w:val="21"/>
                <w:highlight w:val="none"/>
                <w:u w:val="none"/>
                <w:lang w:val="en-US" w:eastAsia="zh-CN" w:bidi="ar"/>
              </w:rPr>
            </w:r>
            <w:r/>
          </w:p>
        </w:tc>
        <w:tc>
          <w:tcPr>
            <w:tcW w:w="3170" w:type="dxa"/>
            <w:vAlign w:val="center"/>
            <w:textDirection w:val="lrTb"/>
            <w:noWrap w:val="false"/>
          </w:tcPr>
          <w:p>
            <w:pPr>
              <w:pStyle w:val="768"/>
              <w:jc w:val="left"/>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ascii="宋体" w:hAnsi="宋体" w:eastAsia="宋体" w:cs="宋体"/>
                <w:i w:val="0"/>
                <w:iCs w:val="0"/>
                <w:color w:val="000000"/>
                <w:sz w:val="21"/>
                <w:szCs w:val="21"/>
                <w:highlight w:val="none"/>
                <w:u w:val="none"/>
                <w:lang w:val="en-US" w:eastAsia="zh-CN"/>
              </w:rPr>
              <w:t xml:space="preserve">1、投标人具备以下三类相关计算机软件著作权登记证书的：校园大数据平台、智慧体育综合管理、体育数据监管，每提供一个得1分，最高得3分，上述三类证书仅为证书类别，不为证书名称，满足上述类别的证书即可对应得分,同类别证书不重复计分。提供上述证书原件扫描件或颁发机构官方网站所公示的信息截图电子件，未提供或模糊不清的不得分。</w:t>
            </w:r>
            <w:r>
              <w:rPr>
                <w:rFonts w:ascii="宋体" w:hAnsi="宋体" w:eastAsia="宋体" w:cs="宋体"/>
                <w:i w:val="0"/>
                <w:iCs w:val="0"/>
                <w:color w:val="000000"/>
                <w:sz w:val="21"/>
                <w:szCs w:val="21"/>
                <w:highlight w:val="none"/>
                <w:u w:val="none"/>
                <w:lang w:val="en-US" w:eastAsia="zh-CN"/>
              </w:rPr>
            </w:r>
            <w:r/>
          </w:p>
          <w:p>
            <w:pPr>
              <w:pStyle w:val="768"/>
              <w:jc w:val="left"/>
              <w:keepLines w:val="0"/>
              <w:keepNext w:val="0"/>
              <w:widowControl/>
              <w:rPr>
                <w:color w:val="000000"/>
                <w:highlight w:val="none"/>
                <w:lang w:val="en-US" w:eastAsia="zh-CN"/>
              </w:rPr>
              <w:suppressLineNumbers w:val="0"/>
            </w:pPr>
            <w:r>
              <w:rPr>
                <w:rFonts w:ascii="宋体" w:hAnsi="宋体" w:eastAsia="宋体" w:cs="宋体"/>
                <w:i w:val="0"/>
                <w:iCs w:val="0"/>
                <w:color w:val="000000"/>
                <w:sz w:val="21"/>
                <w:szCs w:val="21"/>
                <w:highlight w:val="none"/>
                <w:u w:val="none"/>
                <w:lang w:val="en-US" w:eastAsia="zh-CN"/>
              </w:rPr>
              <w:t xml:space="preserve">2、投标人具备ISO9001质量管理体系认证证书、ISO45001职业健康安全管理体系认证证书的，每提供1个得1.5分，最高得3分。提供上述证书原件扫描件，未提供或模糊不清的不得分。</w:t>
            </w:r>
            <w:r>
              <w:rPr>
                <w:color w:val="000000"/>
                <w:highlight w:val="none"/>
                <w:lang w:val="en-US" w:eastAsia="zh-CN"/>
              </w:rPr>
            </w:r>
            <w:r/>
          </w:p>
        </w:tc>
        <w:tc>
          <w:tcPr>
            <w:tcW w:w="582"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
              </w:rPr>
            </w:r>
            <w:r/>
          </w:p>
        </w:tc>
      </w:tr>
      <w:tr>
        <w:trPr>
          <w:trHeight w:val="765"/>
        </w:trPr>
        <w:tc>
          <w:tcPr>
            <w:tcW w:w="484" w:type="dxa"/>
            <w:vAlign w:val="center"/>
            <w:textDirection w:val="lrTb"/>
            <w:noWrap w:val="false"/>
          </w:tcPr>
          <w:p>
            <w:pPr>
              <w:pStyle w:val="768"/>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6</w:t>
            </w:r>
            <w:r>
              <w:rPr>
                <w:rFonts w:ascii="宋体" w:hAnsi="宋体" w:eastAsia="宋体" w:cs="宋体"/>
                <w:i w:val="0"/>
                <w:iCs w:val="0"/>
                <w:color w:val="000000"/>
                <w:sz w:val="21"/>
                <w:szCs w:val="21"/>
                <w:highlight w:val="none"/>
                <w:u w:val="none"/>
                <w:lang w:val="en-US"/>
              </w:rPr>
            </w:r>
            <w:r/>
          </w:p>
        </w:tc>
        <w:tc>
          <w:tcPr>
            <w:tcW w:w="762" w:type="dxa"/>
            <w:vAlign w:val="center"/>
            <w:textDirection w:val="lrTb"/>
            <w:noWrap w:val="false"/>
          </w:tcPr>
          <w:p>
            <w:pPr>
              <w:pStyle w:val="768"/>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项目组人员</w:t>
            </w:r>
            <w:r>
              <w:rPr>
                <w:rFonts w:ascii="宋体" w:hAnsi="宋体" w:eastAsia="宋体" w:cs="宋体"/>
                <w:i w:val="0"/>
                <w:iCs w:val="0"/>
                <w:color w:val="000000"/>
                <w:sz w:val="21"/>
                <w:szCs w:val="21"/>
                <w:highlight w:val="none"/>
                <w:u w:val="none"/>
                <w:lang w:val="en-US"/>
              </w:rPr>
            </w:r>
            <w:r/>
          </w:p>
        </w:tc>
        <w:tc>
          <w:tcPr>
            <w:tcW w:w="3170" w:type="dxa"/>
            <w:vAlign w:val="center"/>
            <w:textDirection w:val="lrTb"/>
            <w:noWrap w:val="false"/>
          </w:tcPr>
          <w:p>
            <w:pPr>
              <w:pStyle w:val="805"/>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1、项目经理：具有工业和信息化部或人力资源社会保障部颁发的的信息系统项目管理师、人力资源社会保障行政主管部门或经人社部门备案确认的高级工程师职称证书，每有一个证书得2分，最高得4分；</w:t>
            </w:r>
            <w:r>
              <w:rPr>
                <w:rFonts w:hint="eastAsia" w:ascii="宋体" w:hAnsi="宋体" w:eastAsia="宋体" w:cs="宋体"/>
                <w:i w:val="0"/>
                <w:iCs w:val="0"/>
                <w:color w:val="000000"/>
                <w:sz w:val="21"/>
                <w:szCs w:val="21"/>
                <w:highlight w:val="none"/>
                <w:u w:val="none"/>
                <w:lang w:val="en-US" w:eastAsia="zh-CN"/>
              </w:rPr>
            </w:r>
            <w:r/>
          </w:p>
          <w:p>
            <w:pPr>
              <w:pStyle w:val="805"/>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2、其他人员（不含项目经理）：具有工业和信息化部或人力资源社会保障部颁发的软件设计师、网络工程师证书的，每有一个得1分，最高得2分。</w:t>
            </w:r>
            <w:r>
              <w:rPr>
                <w:rFonts w:hint="eastAsia" w:ascii="宋体" w:hAnsi="宋体" w:eastAsia="宋体" w:cs="宋体"/>
                <w:i w:val="0"/>
                <w:iCs w:val="0"/>
                <w:color w:val="000000"/>
                <w:sz w:val="21"/>
                <w:szCs w:val="21"/>
                <w:highlight w:val="none"/>
                <w:u w:val="none"/>
                <w:lang w:val="en-US" w:eastAsia="zh-CN"/>
              </w:rPr>
            </w:r>
            <w:r/>
          </w:p>
          <w:p>
            <w:pPr>
              <w:pStyle w:val="805"/>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注：（1）上述项目组人员必须为本单位员工，需提供投标人为其缴纳的2026年4月1日以来任意一个月的社保证明材料原件扫描件，否则不得分；（2）以上人员的证书均须提供原件扫描件(其中项目经理高级工程师职称证书还需同时提供人社部门官方查询截图或备案证明）、同时提供人员身份证原件扫描件，未提供或模糊不清的本项均不得分；</w:t>
            </w:r>
            <w:r>
              <w:rPr>
                <w:rFonts w:hint="eastAsia" w:ascii="宋体" w:hAnsi="宋体" w:eastAsia="宋体" w:cs="宋体"/>
                <w:i w:val="0"/>
                <w:iCs w:val="0"/>
                <w:color w:val="000000"/>
                <w:sz w:val="21"/>
                <w:szCs w:val="21"/>
                <w:highlight w:val="none"/>
                <w:u w:val="none"/>
                <w:lang w:val="en-US" w:eastAsia="zh-CN"/>
              </w:rPr>
            </w:r>
            <w:r/>
          </w:p>
          <w:p>
            <w:pPr>
              <w:pStyle w:val="805"/>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rPr>
              <w:t xml:space="preserve">（3）以上项目组人员中同一人员具备上述多种证书的，不重复计分；同一证书多人具备的，不重复计分。</w:t>
            </w: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SA"/>
              </w:rPr>
            </w:r>
            <w:r/>
          </w:p>
        </w:tc>
      </w:tr>
      <w:tr>
        <w:trPr>
          <w:trHeight w:val="1080"/>
        </w:trPr>
        <w:tc>
          <w:tcPr>
            <w:tcW w:w="484" w:type="dxa"/>
            <w:vAlign w:val="center"/>
            <w:textDirection w:val="lrTb"/>
            <w:noWrap w:val="false"/>
          </w:tcPr>
          <w:p>
            <w:pPr>
              <w:pStyle w:val="768"/>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7</w:t>
            </w:r>
            <w:r>
              <w:rPr>
                <w:rFonts w:hint="eastAsia" w:ascii="宋体" w:hAnsi="宋体" w:eastAsia="宋体" w:cs="宋体"/>
                <w:i w:val="0"/>
                <w:iCs w:val="0"/>
                <w:color w:val="000000"/>
                <w:sz w:val="21"/>
                <w:szCs w:val="21"/>
                <w:highlight w:val="none"/>
                <w:u w:val="none"/>
                <w:lang w:val="en-US" w:eastAsia="zh-CN"/>
              </w:rPr>
            </w:r>
            <w:r/>
          </w:p>
        </w:tc>
        <w:tc>
          <w:tcPr>
            <w:tcW w:w="762" w:type="dxa"/>
            <w:vAlign w:val="center"/>
            <w:textDirection w:val="lrTb"/>
            <w:noWrap w:val="false"/>
          </w:tcPr>
          <w:p>
            <w:pPr>
              <w:pStyle w:val="768"/>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color w:val="000000"/>
                <w:highlight w:val="none"/>
              </w:rPr>
              <w:t xml:space="preserve">现状分析与需求理解方案</w:t>
            </w:r>
            <w:r>
              <w:rPr>
                <w:rFonts w:ascii="宋体" w:hAnsi="宋体" w:eastAsia="宋体" w:cs="宋体"/>
                <w:i w:val="0"/>
                <w:iCs w:val="0"/>
                <w:color w:val="000000"/>
                <w:sz w:val="21"/>
                <w:szCs w:val="21"/>
                <w:highlight w:val="none"/>
                <w:u w:val="none"/>
                <w:lang w:val="en-US" w:eastAsia="zh-CN"/>
              </w:rPr>
            </w:r>
            <w:r/>
          </w:p>
        </w:tc>
        <w:tc>
          <w:tcPr>
            <w:tcW w:w="317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color w:val="000000"/>
                <w:highlight w:val="none"/>
              </w:rPr>
              <w:t xml:space="preserve">投标人根据招标文件“第四章、采购需求—五、项目实施方案要求—</w:t>
            </w:r>
            <w:r>
              <w:rPr>
                <w:rFonts w:hint="eastAsia"/>
                <w:color w:val="000000"/>
                <w:highlight w:val="none"/>
                <w:lang w:eastAsia="zh-CN"/>
              </w:rPr>
              <w:t xml:space="preserve">（</w:t>
            </w:r>
            <w:r>
              <w:rPr>
                <w:rFonts w:hint="eastAsia"/>
                <w:color w:val="000000"/>
                <w:highlight w:val="none"/>
                <w:lang w:val="en-US" w:eastAsia="zh-CN"/>
              </w:rPr>
              <w:t xml:space="preserve">一</w:t>
            </w:r>
            <w:r>
              <w:rPr>
                <w:rFonts w:hint="eastAsia"/>
                <w:color w:val="000000"/>
                <w:highlight w:val="none"/>
                <w:lang w:eastAsia="zh-CN"/>
              </w:rPr>
              <w:t xml:space="preserve">）</w:t>
            </w:r>
            <w:r>
              <w:rPr>
                <w:rFonts w:hint="eastAsia"/>
                <w:color w:val="000000"/>
                <w:highlight w:val="none"/>
              </w:rPr>
              <w:t xml:space="preserve">现状分析与需求理解方案要求”制定方案，评标委员会根据投标人提供的方案进行评审：优于采购需求的，得</w:t>
            </w:r>
            <w:r>
              <w:rPr>
                <w:rFonts w:hint="eastAsia"/>
                <w:color w:val="000000"/>
                <w:highlight w:val="none"/>
                <w:lang w:val="en-US" w:eastAsia="zh-CN"/>
              </w:rPr>
              <w:t xml:space="preserve">4</w:t>
            </w:r>
            <w:r>
              <w:rPr>
                <w:rFonts w:hint="eastAsia"/>
                <w:color w:val="000000"/>
                <w:highlight w:val="none"/>
              </w:rPr>
              <w:t xml:space="preserve">分；满足采购需求的，得</w:t>
            </w:r>
            <w:r>
              <w:rPr>
                <w:rFonts w:hint="eastAsia"/>
                <w:color w:val="000000"/>
                <w:highlight w:val="none"/>
                <w:lang w:val="en-US" w:eastAsia="zh-CN"/>
              </w:rPr>
              <w:t xml:space="preserve">2</w:t>
            </w:r>
            <w:r>
              <w:rPr>
                <w:rFonts w:hint="eastAsia"/>
                <w:color w:val="000000"/>
                <w:highlight w:val="none"/>
              </w:rPr>
              <w:t xml:space="preserve">分；</w:t>
            </w:r>
            <w:r>
              <w:rPr>
                <w:rFonts w:hint="eastAsia"/>
                <w:color w:val="000000"/>
                <w:highlight w:val="none"/>
                <w:lang w:val="en-US" w:eastAsia="zh-CN"/>
              </w:rPr>
              <w:t xml:space="preserve">偏离采购需求的，得1分，未提供</w:t>
            </w:r>
            <w:r>
              <w:rPr>
                <w:rFonts w:hint="eastAsia"/>
                <w:color w:val="000000"/>
                <w:highlight w:val="none"/>
              </w:rPr>
              <w:t xml:space="preserve">不得分。</w:t>
            </w: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SA"/>
              </w:rPr>
            </w:r>
            <w:r/>
          </w:p>
        </w:tc>
      </w:tr>
      <w:tr>
        <w:trPr>
          <w:trHeight w:val="1080"/>
        </w:trPr>
        <w:tc>
          <w:tcPr>
            <w:tcW w:w="484" w:type="dxa"/>
            <w:vAlign w:val="center"/>
            <w:textDirection w:val="lrTb"/>
            <w:noWrap w:val="false"/>
          </w:tcPr>
          <w:p>
            <w:pPr>
              <w:pStyle w:val="768"/>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8</w:t>
            </w:r>
            <w:r>
              <w:rPr>
                <w:rFonts w:hint="eastAsia" w:ascii="宋体" w:hAnsi="宋体" w:eastAsia="宋体" w:cs="宋体"/>
                <w:i w:val="0"/>
                <w:iCs w:val="0"/>
                <w:color w:val="000000"/>
                <w:sz w:val="21"/>
                <w:szCs w:val="21"/>
                <w:highlight w:val="none"/>
                <w:u w:val="none"/>
                <w:lang w:val="en-US" w:eastAsia="zh-CN"/>
              </w:rPr>
            </w:r>
            <w:r/>
          </w:p>
        </w:tc>
        <w:tc>
          <w:tcPr>
            <w:tcW w:w="762"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智慧操场深化设计方案</w:t>
            </w:r>
            <w:r>
              <w:rPr>
                <w:rFonts w:hint="eastAsia" w:ascii="宋体" w:hAnsi="宋体" w:eastAsia="宋体" w:cs="宋体"/>
                <w:i w:val="0"/>
                <w:iCs w:val="0"/>
                <w:color w:val="000000"/>
                <w:sz w:val="21"/>
                <w:szCs w:val="21"/>
                <w:highlight w:val="none"/>
                <w:u w:val="none"/>
              </w:rPr>
            </w:r>
            <w:r/>
          </w:p>
        </w:tc>
        <w:tc>
          <w:tcPr>
            <w:tcW w:w="3170" w:type="dxa"/>
            <w:vAlign w:val="center"/>
            <w:textDirection w:val="lrTb"/>
            <w:noWrap w:val="false"/>
          </w:tcPr>
          <w:p>
            <w:pPr>
              <w:pStyle w:val="768"/>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投标人根据招标文件“第四章</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采购需求—</w:t>
            </w:r>
            <w:r>
              <w:rPr>
                <w:rFonts w:hint="eastAsia"/>
                <w:color w:val="000000"/>
                <w:highlight w:val="none"/>
              </w:rPr>
              <w:t xml:space="preserve">五、项目实施方案要求</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cs="宋体"/>
                <w:i w:val="0"/>
                <w:iCs w:val="0"/>
                <w:color w:val="000000"/>
                <w:sz w:val="21"/>
                <w:szCs w:val="21"/>
                <w:highlight w:val="none"/>
                <w:u w:val="none"/>
                <w:lang w:val="en-US" w:eastAsia="zh-CN" w:bidi="ar"/>
              </w:rPr>
              <w:t xml:space="preserve">（二）智慧操场深化设计方案要求</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color w:val="000000"/>
                <w:highlight w:val="none"/>
              </w:rPr>
              <w:t xml:space="preserve">制定方案，评标委员会根据投标人提供的方案进行评审：优于采购需求的，得</w:t>
            </w:r>
            <w:r>
              <w:rPr>
                <w:rFonts w:hint="eastAsia"/>
                <w:color w:val="000000"/>
                <w:highlight w:val="none"/>
                <w:lang w:val="en-US" w:eastAsia="zh-CN"/>
              </w:rPr>
              <w:t xml:space="preserve">4</w:t>
            </w:r>
            <w:r>
              <w:rPr>
                <w:rFonts w:hint="eastAsia"/>
                <w:color w:val="000000"/>
                <w:highlight w:val="none"/>
              </w:rPr>
              <w:t xml:space="preserve">分；满足采购需求的，得</w:t>
            </w:r>
            <w:r>
              <w:rPr>
                <w:rFonts w:hint="eastAsia"/>
                <w:color w:val="000000"/>
                <w:highlight w:val="none"/>
                <w:lang w:val="en-US" w:eastAsia="zh-CN"/>
              </w:rPr>
              <w:t xml:space="preserve">2</w:t>
            </w:r>
            <w:r>
              <w:rPr>
                <w:rFonts w:hint="eastAsia"/>
                <w:color w:val="000000"/>
                <w:highlight w:val="none"/>
              </w:rPr>
              <w:t xml:space="preserve">分；</w:t>
            </w:r>
            <w:r>
              <w:rPr>
                <w:rFonts w:hint="eastAsia"/>
                <w:color w:val="000000"/>
                <w:highlight w:val="none"/>
                <w:lang w:val="en-US" w:eastAsia="zh-CN"/>
              </w:rPr>
              <w:t xml:space="preserve">偏离采购需求的，得1分，未提供</w:t>
            </w:r>
            <w:r>
              <w:rPr>
                <w:rFonts w:hint="eastAsia"/>
                <w:color w:val="000000"/>
                <w:highlight w:val="none"/>
              </w:rPr>
              <w:t xml:space="preserve">不得分。</w:t>
            </w: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SA"/>
              </w:rPr>
            </w:r>
            <w:r/>
          </w:p>
        </w:tc>
      </w:tr>
      <w:tr>
        <w:trPr>
          <w:trHeight w:val="367"/>
        </w:trPr>
        <w:tc>
          <w:tcPr>
            <w:tcW w:w="484" w:type="dxa"/>
            <w:vAlign w:val="center"/>
            <w:textDirection w:val="lrTb"/>
            <w:noWrap w:val="false"/>
          </w:tcPr>
          <w:p>
            <w:pPr>
              <w:pStyle w:val="768"/>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9</w:t>
            </w:r>
            <w:r>
              <w:rPr>
                <w:rFonts w:hint="eastAsia" w:ascii="宋体" w:hAnsi="宋体" w:eastAsia="宋体" w:cs="宋体"/>
                <w:i w:val="0"/>
                <w:iCs w:val="0"/>
                <w:color w:val="000000"/>
                <w:sz w:val="21"/>
                <w:szCs w:val="21"/>
                <w:highlight w:val="none"/>
                <w:u w:val="none"/>
                <w:lang w:val="en-US" w:eastAsia="zh-CN"/>
              </w:rPr>
            </w:r>
            <w:r/>
          </w:p>
        </w:tc>
        <w:tc>
          <w:tcPr>
            <w:tcW w:w="762"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学生个人信息保护方案</w:t>
            </w:r>
            <w:r>
              <w:rPr>
                <w:rFonts w:hint="eastAsia" w:ascii="宋体" w:hAnsi="宋体" w:eastAsia="宋体" w:cs="宋体"/>
                <w:i w:val="0"/>
                <w:iCs w:val="0"/>
                <w:color w:val="000000"/>
                <w:sz w:val="21"/>
                <w:szCs w:val="21"/>
                <w:highlight w:val="none"/>
                <w:u w:val="none"/>
              </w:rPr>
            </w:r>
            <w:r/>
          </w:p>
        </w:tc>
        <w:tc>
          <w:tcPr>
            <w:tcW w:w="3170" w:type="dxa"/>
            <w:vAlign w:val="center"/>
            <w:textDirection w:val="lrTb"/>
            <w:noWrap w:val="false"/>
          </w:tcPr>
          <w:p>
            <w:pPr>
              <w:pStyle w:val="768"/>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投标人根据招标文件“第四章、采购需求—</w:t>
            </w:r>
            <w:r>
              <w:rPr>
                <w:rFonts w:hint="eastAsia"/>
                <w:color w:val="000000"/>
                <w:highlight w:val="none"/>
              </w:rPr>
              <w:t xml:space="preserve">五、项目实施方案要求</w:t>
            </w:r>
            <w:r>
              <w:rPr>
                <w:rFonts w:hint="eastAsia" w:ascii="宋体" w:hAnsi="宋体" w:eastAsia="宋体" w:cs="宋体"/>
                <w:i w:val="0"/>
                <w:iCs w:val="0"/>
                <w:color w:val="000000"/>
                <w:sz w:val="21"/>
                <w:szCs w:val="21"/>
                <w:highlight w:val="none"/>
                <w:u w:val="none"/>
                <w:lang w:val="en-US" w:eastAsia="zh-CN" w:bidi="ar"/>
              </w:rPr>
              <w:t xml:space="preserve">—（三）学生个人信息保护方案要求”</w:t>
            </w:r>
            <w:r>
              <w:rPr>
                <w:rFonts w:hint="eastAsia"/>
                <w:color w:val="000000"/>
                <w:highlight w:val="none"/>
              </w:rPr>
              <w:t xml:space="preserve">制定方案，评标委员会根据投标人提供的方案进行评审：优于采购需求的，得</w:t>
            </w:r>
            <w:r>
              <w:rPr>
                <w:rFonts w:hint="eastAsia"/>
                <w:color w:val="000000"/>
                <w:highlight w:val="none"/>
                <w:lang w:val="en-US" w:eastAsia="zh-CN"/>
              </w:rPr>
              <w:t xml:space="preserve">4</w:t>
            </w:r>
            <w:r>
              <w:rPr>
                <w:rFonts w:hint="eastAsia"/>
                <w:color w:val="000000"/>
                <w:highlight w:val="none"/>
              </w:rPr>
              <w:t xml:space="preserve">分；满足采购需求的，得</w:t>
            </w:r>
            <w:r>
              <w:rPr>
                <w:rFonts w:hint="eastAsia"/>
                <w:color w:val="000000"/>
                <w:highlight w:val="none"/>
                <w:lang w:val="en-US" w:eastAsia="zh-CN"/>
              </w:rPr>
              <w:t xml:space="preserve">2</w:t>
            </w:r>
            <w:r>
              <w:rPr>
                <w:rFonts w:hint="eastAsia"/>
                <w:color w:val="000000"/>
                <w:highlight w:val="none"/>
              </w:rPr>
              <w:t xml:space="preserve">分；</w:t>
            </w:r>
            <w:r>
              <w:rPr>
                <w:rFonts w:hint="eastAsia"/>
                <w:color w:val="000000"/>
                <w:highlight w:val="none"/>
                <w:lang w:val="en-US" w:eastAsia="zh-CN"/>
              </w:rPr>
              <w:t xml:space="preserve">偏离采购需求的，得1分，未提供</w:t>
            </w:r>
            <w:r>
              <w:rPr>
                <w:rFonts w:hint="eastAsia"/>
                <w:color w:val="000000"/>
                <w:highlight w:val="none"/>
              </w:rPr>
              <w:t xml:space="preserve">不得分。</w:t>
            </w: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768"/>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4</w:t>
            </w:r>
            <w:r>
              <w:rPr>
                <w:rFonts w:ascii="宋体" w:hAnsi="宋体" w:eastAsia="宋体" w:cs="宋体"/>
                <w:i w:val="0"/>
                <w:iCs w:val="0"/>
                <w:color w:val="000000"/>
                <w:sz w:val="21"/>
                <w:szCs w:val="21"/>
                <w:highlight w:val="none"/>
                <w:u w:val="none"/>
                <w:lang w:val="en-US" w:eastAsia="zh-CN" w:bidi="ar-SA"/>
              </w:rPr>
            </w:r>
            <w:r/>
          </w:p>
        </w:tc>
      </w:tr>
      <w:tr>
        <w:trPr>
          <w:trHeight w:val="200"/>
        </w:trPr>
        <w:tc>
          <w:tcPr>
            <w:tcW w:w="484" w:type="dxa"/>
            <w:vAlign w:val="center"/>
            <w:textDirection w:val="lrTb"/>
            <w:noWrap w:val="false"/>
          </w:tcPr>
          <w:p>
            <w:pPr>
              <w:pStyle w:val="768"/>
              <w:jc w:val="center"/>
              <w:rPr>
                <w:rFonts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10</w:t>
            </w:r>
            <w:r>
              <w:rPr>
                <w:rFonts w:ascii="宋体" w:hAnsi="宋体" w:eastAsia="宋体" w:cs="宋体"/>
                <w:i w:val="0"/>
                <w:iCs w:val="0"/>
                <w:color w:val="000000"/>
                <w:sz w:val="21"/>
                <w:szCs w:val="21"/>
                <w:highlight w:val="none"/>
                <w:u w:val="none"/>
                <w:lang w:val="en-US" w:eastAsia="zh-CN"/>
              </w:rPr>
            </w:r>
            <w:r/>
          </w:p>
        </w:tc>
        <w:tc>
          <w:tcPr>
            <w:tcW w:w="762" w:type="dxa"/>
            <w:vAlign w:val="center"/>
            <w:textDirection w:val="lrTb"/>
            <w:noWrap w:val="false"/>
          </w:tcPr>
          <w:p>
            <w:pPr>
              <w:pStyle w:val="768"/>
              <w:jc w:val="center"/>
              <w:keepLines w:val="0"/>
              <w:keepNext w:val="0"/>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本地化部署设计方案</w:t>
            </w:r>
            <w:r>
              <w:rPr>
                <w:rFonts w:ascii="宋体" w:hAnsi="宋体" w:eastAsia="宋体" w:cs="宋体"/>
                <w:i w:val="0"/>
                <w:iCs w:val="0"/>
                <w:color w:val="000000"/>
                <w:sz w:val="21"/>
                <w:szCs w:val="21"/>
                <w:highlight w:val="none"/>
                <w:u w:val="none"/>
                <w:lang w:val="en-US" w:eastAsia="zh-CN"/>
              </w:rPr>
            </w:r>
            <w:r/>
          </w:p>
        </w:tc>
        <w:tc>
          <w:tcPr>
            <w:tcW w:w="3170" w:type="dxa"/>
            <w:vAlign w:val="center"/>
            <w:textDirection w:val="lrTb"/>
            <w:noWrap w:val="false"/>
          </w:tcPr>
          <w:p>
            <w:pPr>
              <w:pStyle w:val="768"/>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投标人根据招标文件“第四章、采购需求—</w:t>
            </w:r>
            <w:r>
              <w:rPr>
                <w:rFonts w:hint="eastAsia"/>
                <w:color w:val="000000"/>
                <w:highlight w:val="none"/>
              </w:rPr>
              <w:t xml:space="preserve">五、项目实施方案要求</w:t>
            </w:r>
            <w:r>
              <w:rPr>
                <w:rFonts w:hint="eastAsia" w:ascii="宋体" w:hAnsi="宋体" w:eastAsia="宋体" w:cs="宋体"/>
                <w:i w:val="0"/>
                <w:iCs w:val="0"/>
                <w:color w:val="000000"/>
                <w:sz w:val="21"/>
                <w:szCs w:val="21"/>
                <w:highlight w:val="none"/>
                <w:u w:val="none"/>
                <w:lang w:val="en-US" w:eastAsia="zh-CN" w:bidi="ar"/>
              </w:rPr>
              <w:t xml:space="preserve">—（四）本地化部署设计方案要求”</w:t>
            </w:r>
            <w:r>
              <w:rPr>
                <w:rFonts w:hint="eastAsia"/>
                <w:color w:val="000000"/>
                <w:highlight w:val="none"/>
              </w:rPr>
              <w:t xml:space="preserve">制定方案，评标委员会根据投标人提供的方案进行评审：优于采购需求的，得</w:t>
            </w:r>
            <w:r>
              <w:rPr>
                <w:rFonts w:hint="eastAsia"/>
                <w:color w:val="000000"/>
                <w:highlight w:val="none"/>
                <w:lang w:val="en-US" w:eastAsia="zh-CN"/>
              </w:rPr>
              <w:t xml:space="preserve">4</w:t>
            </w:r>
            <w:r>
              <w:rPr>
                <w:rFonts w:hint="eastAsia"/>
                <w:color w:val="000000"/>
                <w:highlight w:val="none"/>
              </w:rPr>
              <w:t xml:space="preserve">分；满足采购需求的，得</w:t>
            </w:r>
            <w:r>
              <w:rPr>
                <w:rFonts w:hint="eastAsia"/>
                <w:color w:val="000000"/>
                <w:highlight w:val="none"/>
                <w:lang w:val="en-US" w:eastAsia="zh-CN"/>
              </w:rPr>
              <w:t xml:space="preserve">2</w:t>
            </w:r>
            <w:r>
              <w:rPr>
                <w:rFonts w:hint="eastAsia"/>
                <w:color w:val="000000"/>
                <w:highlight w:val="none"/>
              </w:rPr>
              <w:t xml:space="preserve">分；</w:t>
            </w:r>
            <w:r>
              <w:rPr>
                <w:rFonts w:hint="eastAsia"/>
                <w:color w:val="000000"/>
                <w:highlight w:val="none"/>
                <w:lang w:val="en-US" w:eastAsia="zh-CN"/>
              </w:rPr>
              <w:t xml:space="preserve">偏离采购需求的，得1分，未提供</w:t>
            </w:r>
            <w:r>
              <w:rPr>
                <w:rFonts w:hint="eastAsia"/>
                <w:color w:val="000000"/>
                <w:highlight w:val="none"/>
              </w:rPr>
              <w:t xml:space="preserve">不得分。</w:t>
            </w: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768"/>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4</w:t>
            </w:r>
            <w:r>
              <w:rPr>
                <w:rFonts w:ascii="宋体" w:hAnsi="宋体" w:eastAsia="宋体" w:cs="宋体"/>
                <w:i w:val="0"/>
                <w:iCs w:val="0"/>
                <w:color w:val="000000"/>
                <w:sz w:val="21"/>
                <w:szCs w:val="21"/>
                <w:highlight w:val="none"/>
                <w:u w:val="none"/>
                <w:lang w:val="en-US" w:eastAsia="zh-CN" w:bidi="ar-SA"/>
              </w:rPr>
            </w:r>
            <w:r/>
          </w:p>
        </w:tc>
      </w:tr>
      <w:tr>
        <w:trPr>
          <w:trHeight w:val="1684"/>
        </w:trPr>
        <w:tc>
          <w:tcPr>
            <w:tcW w:w="484" w:type="dxa"/>
            <w:vAlign w:val="center"/>
            <w:textDirection w:val="lrTb"/>
            <w:noWrap w:val="false"/>
          </w:tcPr>
          <w:p>
            <w:pPr>
              <w:pStyle w:val="768"/>
              <w:jc w:val="center"/>
              <w:rPr>
                <w:rFonts w:ascii="宋体" w:hAnsi="宋体" w:eastAsia="宋体" w:cs="宋体"/>
                <w:i w:val="0"/>
                <w:iCs w:val="0"/>
                <w:strike w:val="0"/>
                <w:color w:val="000000"/>
                <w:sz w:val="21"/>
                <w:szCs w:val="21"/>
                <w:highlight w:val="none"/>
                <w:u w:val="none"/>
                <w:vertAlign w:val="baseline"/>
                <w:lang w:val="en-US" w:eastAsia="zh-CN"/>
              </w:rPr>
            </w:pPr>
            <w:r>
              <w:rPr>
                <w:rFonts w:hint="eastAsia" w:ascii="宋体" w:hAnsi="宋体" w:cs="宋体"/>
                <w:i w:val="0"/>
                <w:iCs w:val="0"/>
                <w:strike w:val="0"/>
                <w:color w:val="000000"/>
                <w:sz w:val="21"/>
                <w:szCs w:val="21"/>
                <w:highlight w:val="none"/>
                <w:u w:val="none"/>
                <w:vertAlign w:val="baseline"/>
                <w:lang w:val="en-US" w:eastAsia="zh-CN"/>
              </w:rPr>
              <w:t xml:space="preserve">11</w:t>
            </w:r>
            <w:r>
              <w:rPr>
                <w:rFonts w:ascii="宋体" w:hAnsi="宋体" w:eastAsia="宋体" w:cs="宋体"/>
                <w:i w:val="0"/>
                <w:iCs w:val="0"/>
                <w:strike w:val="0"/>
                <w:color w:val="000000"/>
                <w:sz w:val="21"/>
                <w:szCs w:val="21"/>
                <w:highlight w:val="none"/>
                <w:u w:val="none"/>
                <w:vertAlign w:val="baseline"/>
                <w:lang w:val="en-US" w:eastAsia="zh-CN"/>
              </w:rPr>
            </w:r>
            <w:r/>
          </w:p>
        </w:tc>
        <w:tc>
          <w:tcPr>
            <w:tcW w:w="762" w:type="dxa"/>
            <w:vAlign w:val="center"/>
            <w:textDirection w:val="lrTb"/>
            <w:noWrap w:val="false"/>
          </w:tcPr>
          <w:p>
            <w:pPr>
              <w:pStyle w:val="768"/>
              <w:jc w:val="center"/>
              <w:keepLines w:val="0"/>
              <w:keepNext w:val="0"/>
              <w:widowControl/>
              <w:rPr>
                <w:rFonts w:hint="eastAsia" w:ascii="宋体" w:hAnsi="宋体" w:eastAsia="宋体" w:cs="宋体"/>
                <w:i w:val="0"/>
                <w:iCs w:val="0"/>
                <w:strike w:val="0"/>
                <w:color w:val="000000"/>
                <w:sz w:val="21"/>
                <w:szCs w:val="21"/>
                <w:highlight w:val="none"/>
                <w:u w:val="none"/>
                <w:vertAlign w:val="baseline"/>
              </w:rPr>
              <w:suppressLineNumbers w:val="0"/>
            </w:pPr>
            <w:r>
              <w:rPr>
                <w:rFonts w:hint="eastAsia" w:ascii="宋体" w:hAnsi="宋体" w:eastAsia="宋体" w:cs="宋体"/>
                <w:i w:val="0"/>
                <w:iCs w:val="0"/>
                <w:strike w:val="0"/>
                <w:color w:val="000000"/>
                <w:sz w:val="21"/>
                <w:szCs w:val="21"/>
                <w:highlight w:val="none"/>
                <w:u w:val="none"/>
                <w:vertAlign w:val="baseline"/>
                <w:lang w:val="en-US" w:eastAsia="zh-CN" w:bidi="ar"/>
              </w:rPr>
              <w:t xml:space="preserve">设备安装调试方案</w:t>
            </w:r>
            <w:r>
              <w:rPr>
                <w:rFonts w:hint="eastAsia" w:ascii="宋体" w:hAnsi="宋体" w:eastAsia="宋体" w:cs="宋体"/>
                <w:i w:val="0"/>
                <w:iCs w:val="0"/>
                <w:strike w:val="0"/>
                <w:color w:val="000000"/>
                <w:sz w:val="21"/>
                <w:szCs w:val="21"/>
                <w:highlight w:val="none"/>
                <w:u w:val="none"/>
                <w:vertAlign w:val="baseline"/>
              </w:rPr>
            </w:r>
            <w:r/>
          </w:p>
        </w:tc>
        <w:tc>
          <w:tcPr>
            <w:tcW w:w="3170" w:type="dxa"/>
            <w:vAlign w:val="center"/>
            <w:textDirection w:val="lrTb"/>
            <w:noWrap w:val="false"/>
          </w:tcPr>
          <w:p>
            <w:pPr>
              <w:pStyle w:val="768"/>
              <w:jc w:val="both"/>
              <w:keepLines w:val="0"/>
              <w:keepNext w:val="0"/>
              <w:widowControl/>
              <w:rPr>
                <w:rFonts w:hint="eastAsia" w:ascii="宋体" w:hAnsi="宋体" w:eastAsia="宋体" w:cs="宋体"/>
                <w:i w:val="0"/>
                <w:iCs w:val="0"/>
                <w:strike w:val="0"/>
                <w:color w:val="000000"/>
                <w:sz w:val="22"/>
                <w:szCs w:val="22"/>
                <w:highlight w:val="none"/>
                <w:u w:val="none"/>
                <w:vertAlign w:val="baseline"/>
              </w:rPr>
              <w:suppressLineNumbers w:val="0"/>
            </w:pPr>
            <w:r>
              <w:rPr>
                <w:rFonts w:hint="eastAsia" w:ascii="宋体" w:hAnsi="宋体" w:eastAsia="宋体" w:cs="宋体"/>
                <w:i w:val="0"/>
                <w:iCs w:val="0"/>
                <w:strike w:val="0"/>
                <w:color w:val="000000"/>
                <w:sz w:val="21"/>
                <w:szCs w:val="21"/>
                <w:highlight w:val="none"/>
                <w:u w:val="none"/>
                <w:vertAlign w:val="baseline"/>
                <w:lang w:val="en-US" w:eastAsia="zh-CN" w:bidi="ar"/>
              </w:rPr>
              <w:t xml:space="preserve">投标人根据招标文件“第四章、采购需求—</w:t>
            </w:r>
            <w:r>
              <w:rPr>
                <w:rFonts w:hint="eastAsia"/>
                <w:color w:val="000000"/>
                <w:highlight w:val="none"/>
              </w:rPr>
              <w:t xml:space="preserve">五、项目实施方案要求</w:t>
            </w:r>
            <w:r>
              <w:rPr>
                <w:rFonts w:hint="eastAsia" w:ascii="宋体" w:hAnsi="宋体" w:eastAsia="宋体" w:cs="宋体"/>
                <w:i w:val="0"/>
                <w:iCs w:val="0"/>
                <w:strike w:val="0"/>
                <w:color w:val="000000"/>
                <w:sz w:val="21"/>
                <w:szCs w:val="21"/>
                <w:highlight w:val="none"/>
                <w:u w:val="none"/>
                <w:vertAlign w:val="baseline"/>
                <w:lang w:val="en-US" w:eastAsia="zh-CN" w:bidi="ar"/>
              </w:rPr>
              <w:t xml:space="preserve">—（五）设备安装调试方案要求”制定方案，评标委员会根据投标人提供的方案进行评审：优于采购需求的，得</w:t>
            </w:r>
            <w:r>
              <w:rPr>
                <w:rFonts w:hint="eastAsia" w:ascii="宋体" w:hAnsi="宋体" w:cs="宋体"/>
                <w:i w:val="0"/>
                <w:iCs w:val="0"/>
                <w:strike w:val="0"/>
                <w:color w:val="000000"/>
                <w:sz w:val="21"/>
                <w:szCs w:val="21"/>
                <w:highlight w:val="none"/>
                <w:u w:val="none"/>
                <w:vertAlign w:val="baseline"/>
                <w:lang w:val="en-US" w:eastAsia="zh-CN" w:bidi="ar"/>
              </w:rPr>
              <w:t xml:space="preserve">4</w:t>
            </w:r>
            <w:r>
              <w:rPr>
                <w:rFonts w:hint="eastAsia" w:ascii="宋体" w:hAnsi="宋体" w:eastAsia="宋体" w:cs="宋体"/>
                <w:i w:val="0"/>
                <w:iCs w:val="0"/>
                <w:strike w:val="0"/>
                <w:color w:val="000000"/>
                <w:sz w:val="21"/>
                <w:szCs w:val="21"/>
                <w:highlight w:val="none"/>
                <w:u w:val="none"/>
                <w:vertAlign w:val="baseline"/>
                <w:lang w:val="en-US" w:eastAsia="zh-CN" w:bidi="ar"/>
              </w:rPr>
              <w:t xml:space="preserve">分；满足采购需求的，得</w:t>
            </w:r>
            <w:r>
              <w:rPr>
                <w:rFonts w:hint="eastAsia" w:ascii="宋体" w:hAnsi="宋体" w:cs="宋体"/>
                <w:i w:val="0"/>
                <w:iCs w:val="0"/>
                <w:strike w:val="0"/>
                <w:color w:val="000000"/>
                <w:sz w:val="21"/>
                <w:szCs w:val="21"/>
                <w:highlight w:val="none"/>
                <w:u w:val="none"/>
                <w:vertAlign w:val="baseline"/>
                <w:lang w:val="en-US" w:eastAsia="zh-CN" w:bidi="ar"/>
              </w:rPr>
              <w:t xml:space="preserve">2</w:t>
            </w:r>
            <w:r>
              <w:rPr>
                <w:rFonts w:hint="eastAsia" w:ascii="宋体" w:hAnsi="宋体" w:eastAsia="宋体" w:cs="宋体"/>
                <w:i w:val="0"/>
                <w:iCs w:val="0"/>
                <w:strike w:val="0"/>
                <w:color w:val="000000"/>
                <w:sz w:val="21"/>
                <w:szCs w:val="21"/>
                <w:highlight w:val="none"/>
                <w:u w:val="none"/>
                <w:vertAlign w:val="baseline"/>
                <w:lang w:val="en-US" w:eastAsia="zh-CN" w:bidi="ar"/>
              </w:rPr>
              <w:t xml:space="preserve">分；偏离采购需求的，得</w:t>
            </w:r>
            <w:r>
              <w:rPr>
                <w:rFonts w:hint="eastAsia" w:ascii="宋体" w:hAnsi="宋体" w:cs="宋体"/>
                <w:i w:val="0"/>
                <w:iCs w:val="0"/>
                <w:strike w:val="0"/>
                <w:color w:val="000000"/>
                <w:sz w:val="21"/>
                <w:szCs w:val="21"/>
                <w:highlight w:val="none"/>
                <w:u w:val="none"/>
                <w:vertAlign w:val="baseline"/>
                <w:lang w:val="en-US" w:eastAsia="zh-CN" w:bidi="ar"/>
              </w:rPr>
              <w:t xml:space="preserve">1</w:t>
            </w:r>
            <w:r>
              <w:rPr>
                <w:rFonts w:hint="eastAsia" w:ascii="宋体" w:hAnsi="宋体" w:eastAsia="宋体" w:cs="宋体"/>
                <w:i w:val="0"/>
                <w:iCs w:val="0"/>
                <w:strike w:val="0"/>
                <w:color w:val="000000"/>
                <w:sz w:val="21"/>
                <w:szCs w:val="21"/>
                <w:highlight w:val="none"/>
                <w:u w:val="none"/>
                <w:vertAlign w:val="baseline"/>
                <w:lang w:val="en-US" w:eastAsia="zh-CN" w:bidi="ar"/>
              </w:rPr>
              <w:t xml:space="preserve">分，未提供不得分。</w:t>
            </w:r>
            <w:r>
              <w:rPr>
                <w:rFonts w:hint="eastAsia" w:ascii="宋体" w:hAnsi="宋体" w:eastAsia="宋体" w:cs="宋体"/>
                <w:i w:val="0"/>
                <w:iCs w:val="0"/>
                <w:strike w:val="0"/>
                <w:color w:val="000000"/>
                <w:sz w:val="22"/>
                <w:szCs w:val="22"/>
                <w:highlight w:val="none"/>
                <w:u w:val="none"/>
                <w:vertAlign w:val="baseline"/>
              </w:rPr>
            </w:r>
            <w:r/>
          </w:p>
        </w:tc>
        <w:tc>
          <w:tcPr>
            <w:tcW w:w="582" w:type="dxa"/>
            <w:vAlign w:val="center"/>
            <w:textDirection w:val="lrTb"/>
            <w:noWrap w:val="false"/>
          </w:tcPr>
          <w:p>
            <w:pPr>
              <w:pStyle w:val="768"/>
              <w:jc w:val="center"/>
              <w:keepLines w:val="0"/>
              <w:keepNext w:val="0"/>
              <w:widowControl/>
              <w:rPr>
                <w:rFonts w:ascii="宋体" w:hAnsi="宋体" w:eastAsia="宋体" w:cs="宋体"/>
                <w:i w:val="0"/>
                <w:iCs w:val="0"/>
                <w:strike w:val="0"/>
                <w:color w:val="000000"/>
                <w:sz w:val="21"/>
                <w:szCs w:val="21"/>
                <w:highlight w:val="none"/>
                <w:u w:val="none"/>
                <w:vertAlign w:val="baseline"/>
                <w:lang w:val="en-US" w:eastAsia="zh-CN" w:bidi="ar-SA"/>
              </w:rPr>
              <w:suppressLineNumbers w:val="0"/>
            </w:pPr>
            <w:r>
              <w:rPr>
                <w:rFonts w:hint="eastAsia" w:ascii="宋体" w:hAnsi="宋体" w:cs="宋体"/>
                <w:i w:val="0"/>
                <w:iCs w:val="0"/>
                <w:strike w:val="0"/>
                <w:color w:val="000000"/>
                <w:sz w:val="21"/>
                <w:szCs w:val="21"/>
                <w:highlight w:val="none"/>
                <w:u w:val="none"/>
                <w:vertAlign w:val="baseline"/>
                <w:lang w:val="en-US" w:eastAsia="zh-CN" w:bidi="ar"/>
              </w:rPr>
              <w:t xml:space="preserve">4</w:t>
            </w:r>
            <w:r>
              <w:rPr>
                <w:rFonts w:ascii="宋体" w:hAnsi="宋体" w:eastAsia="宋体" w:cs="宋体"/>
                <w:i w:val="0"/>
                <w:iCs w:val="0"/>
                <w:strike w:val="0"/>
                <w:color w:val="000000"/>
                <w:sz w:val="21"/>
                <w:szCs w:val="21"/>
                <w:highlight w:val="none"/>
                <w:u w:val="none"/>
                <w:vertAlign w:val="baseline"/>
                <w:lang w:val="en-US" w:eastAsia="zh-CN" w:bidi="ar-SA"/>
              </w:rPr>
            </w:r>
            <w:r/>
          </w:p>
        </w:tc>
      </w:tr>
      <w:tr>
        <w:trPr>
          <w:trHeight w:val="1080"/>
        </w:trPr>
        <w:tc>
          <w:tcPr>
            <w:tcW w:w="484" w:type="dxa"/>
            <w:vAlign w:val="center"/>
            <w:textDirection w:val="lrTb"/>
            <w:noWrap w:val="false"/>
          </w:tcPr>
          <w:p>
            <w:pPr>
              <w:pStyle w:val="768"/>
              <w:jc w:val="center"/>
              <w:rPr>
                <w:rFonts w:ascii="宋体" w:hAnsi="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12</w:t>
            </w:r>
            <w:r>
              <w:rPr>
                <w:rFonts w:ascii="宋体" w:hAnsi="宋体" w:cs="宋体"/>
                <w:i w:val="0"/>
                <w:iCs w:val="0"/>
                <w:color w:val="000000"/>
                <w:sz w:val="21"/>
                <w:szCs w:val="21"/>
                <w:highlight w:val="none"/>
                <w:u w:val="none"/>
                <w:lang w:val="en-US" w:eastAsia="zh-CN"/>
              </w:rPr>
            </w:r>
            <w:r/>
          </w:p>
        </w:tc>
        <w:tc>
          <w:tcPr>
            <w:tcW w:w="762" w:type="dxa"/>
            <w:vAlign w:val="center"/>
            <w:textDirection w:val="lrTb"/>
            <w:noWrap w:val="false"/>
          </w:tcPr>
          <w:p>
            <w:pPr>
              <w:pStyle w:val="768"/>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售后服务方案要求</w:t>
            </w:r>
            <w:r>
              <w:rPr>
                <w:rFonts w:ascii="宋体" w:hAnsi="宋体" w:eastAsia="宋体" w:cs="宋体"/>
                <w:i w:val="0"/>
                <w:iCs w:val="0"/>
                <w:color w:val="000000"/>
                <w:sz w:val="21"/>
                <w:szCs w:val="21"/>
                <w:highlight w:val="none"/>
                <w:u w:val="none"/>
                <w:lang w:val="en-US" w:eastAsia="zh-CN" w:bidi="ar-SA"/>
              </w:rPr>
            </w:r>
            <w:r/>
          </w:p>
        </w:tc>
        <w:tc>
          <w:tcPr>
            <w:tcW w:w="3170" w:type="dxa"/>
            <w:vAlign w:val="center"/>
            <w:textDirection w:val="lrTb"/>
            <w:noWrap w:val="false"/>
          </w:tcPr>
          <w:p>
            <w:pPr>
              <w:pStyle w:val="768"/>
              <w:jc w:val="both"/>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投标人根据招标文件“第四章、采购需求—</w:t>
            </w:r>
            <w:r>
              <w:rPr>
                <w:rFonts w:hint="eastAsia"/>
                <w:color w:val="000000"/>
                <w:highlight w:val="none"/>
              </w:rPr>
              <w:t xml:space="preserve">五、项目实施方案要求</w:t>
            </w:r>
            <w:r>
              <w:rPr>
                <w:rFonts w:hint="eastAsia" w:ascii="宋体" w:hAnsi="宋体" w:eastAsia="宋体" w:cs="宋体"/>
                <w:i w:val="0"/>
                <w:iCs w:val="0"/>
                <w:color w:val="000000"/>
                <w:sz w:val="21"/>
                <w:szCs w:val="21"/>
                <w:highlight w:val="none"/>
                <w:u w:val="none"/>
                <w:lang w:val="en-US" w:eastAsia="zh-CN" w:bidi="ar"/>
              </w:rPr>
              <w:t xml:space="preserve">—（六）售后服务方案要求”</w:t>
            </w:r>
            <w:r>
              <w:rPr>
                <w:rFonts w:hint="eastAsia"/>
                <w:color w:val="000000"/>
                <w:highlight w:val="none"/>
              </w:rPr>
              <w:t xml:space="preserve">制定方案，评标委员会根据投标人提供的方案进行评审：优于采购需求的，得</w:t>
            </w:r>
            <w:r>
              <w:rPr>
                <w:rFonts w:hint="eastAsia"/>
                <w:color w:val="000000"/>
                <w:highlight w:val="none"/>
                <w:lang w:val="en-US" w:eastAsia="zh-CN"/>
              </w:rPr>
              <w:t xml:space="preserve">4</w:t>
            </w:r>
            <w:r>
              <w:rPr>
                <w:rFonts w:hint="eastAsia"/>
                <w:color w:val="000000"/>
                <w:highlight w:val="none"/>
              </w:rPr>
              <w:t xml:space="preserve">分；满足采购需求的，得</w:t>
            </w:r>
            <w:r>
              <w:rPr>
                <w:rFonts w:hint="eastAsia"/>
                <w:color w:val="000000"/>
                <w:highlight w:val="none"/>
                <w:lang w:val="en-US" w:eastAsia="zh-CN"/>
              </w:rPr>
              <w:t xml:space="preserve">2</w:t>
            </w:r>
            <w:r>
              <w:rPr>
                <w:rFonts w:hint="eastAsia"/>
                <w:color w:val="000000"/>
                <w:highlight w:val="none"/>
              </w:rPr>
              <w:t xml:space="preserve">分；</w:t>
            </w:r>
            <w:r>
              <w:rPr>
                <w:rFonts w:hint="eastAsia"/>
                <w:color w:val="000000"/>
                <w:highlight w:val="none"/>
                <w:lang w:val="en-US" w:eastAsia="zh-CN"/>
              </w:rPr>
              <w:t xml:space="preserve">偏离采购需求的，得1分，未提供</w:t>
            </w:r>
            <w:r>
              <w:rPr>
                <w:rFonts w:hint="eastAsia"/>
                <w:color w:val="000000"/>
                <w:highlight w:val="none"/>
              </w:rPr>
              <w:t xml:space="preserve">不得分。</w:t>
            </w:r>
            <w:r>
              <w:rPr>
                <w:rFonts w:hint="eastAsia" w:ascii="宋体" w:hAnsi="宋体" w:eastAsia="宋体" w:cs="宋体"/>
                <w:i w:val="0"/>
                <w:iCs w:val="0"/>
                <w:color w:val="000000"/>
                <w:sz w:val="21"/>
                <w:szCs w:val="21"/>
                <w:highlight w:val="none"/>
                <w:u w:val="none"/>
                <w:lang w:val="en-US" w:eastAsia="zh-CN" w:bidi="ar-SA"/>
              </w:rPr>
            </w:r>
            <w:r/>
          </w:p>
        </w:tc>
        <w:tc>
          <w:tcPr>
            <w:tcW w:w="582" w:type="dxa"/>
            <w:vAlign w:val="center"/>
            <w:textDirection w:val="lrTb"/>
            <w:noWrap w:val="false"/>
          </w:tcPr>
          <w:p>
            <w:pPr>
              <w:pStyle w:val="768"/>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
              </w:rPr>
              <w:t xml:space="preserve">4</w:t>
            </w:r>
            <w:r>
              <w:rPr>
                <w:rFonts w:ascii="宋体" w:hAnsi="宋体" w:eastAsia="宋体" w:cs="宋体"/>
                <w:i w:val="0"/>
                <w:iCs w:val="0"/>
                <w:color w:val="000000"/>
                <w:sz w:val="21"/>
                <w:szCs w:val="21"/>
                <w:highlight w:val="none"/>
                <w:u w:val="none"/>
                <w:lang w:val="en-US" w:eastAsia="zh-CN" w:bidi="ar-SA"/>
              </w:rPr>
            </w:r>
            <w:r/>
          </w:p>
        </w:tc>
      </w:tr>
      <w:tr>
        <w:trPr>
          <w:trHeight w:val="1080"/>
        </w:trPr>
        <w:tc>
          <w:tcPr>
            <w:tcW w:w="484" w:type="dxa"/>
            <w:vAlign w:val="center"/>
            <w:textDirection w:val="lrTb"/>
            <w:noWrap w:val="false"/>
          </w:tcPr>
          <w:p>
            <w:pPr>
              <w:pStyle w:val="768"/>
              <w:jc w:val="center"/>
              <w:rPr>
                <w:rFonts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 xml:space="preserve">13</w:t>
            </w:r>
            <w:r>
              <w:rPr>
                <w:rFonts w:ascii="宋体" w:hAnsi="宋体" w:eastAsia="宋体" w:cs="宋体"/>
                <w:i w:val="0"/>
                <w:iCs w:val="0"/>
                <w:color w:val="000000"/>
                <w:sz w:val="21"/>
                <w:szCs w:val="21"/>
                <w:highlight w:val="none"/>
                <w:u w:val="none"/>
                <w:lang w:val="en-US" w:eastAsia="zh-CN"/>
              </w:rPr>
            </w:r>
            <w:r/>
          </w:p>
        </w:tc>
        <w:tc>
          <w:tcPr>
            <w:tcW w:w="762"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培训方案</w:t>
            </w:r>
            <w:r>
              <w:rPr>
                <w:rFonts w:hint="eastAsia" w:ascii="宋体" w:hAnsi="宋体" w:eastAsia="宋体" w:cs="宋体"/>
                <w:i w:val="0"/>
                <w:iCs w:val="0"/>
                <w:color w:val="000000"/>
                <w:sz w:val="21"/>
                <w:szCs w:val="21"/>
                <w:highlight w:val="none"/>
                <w:u w:val="none"/>
                <w:lang w:val="en-US" w:eastAsia="zh-CN" w:bidi="ar-SA"/>
              </w:rPr>
            </w:r>
            <w:r/>
          </w:p>
        </w:tc>
        <w:tc>
          <w:tcPr>
            <w:tcW w:w="3170" w:type="dxa"/>
            <w:vAlign w:val="center"/>
            <w:textDirection w:val="lrTb"/>
            <w:noWrap w:val="false"/>
          </w:tcPr>
          <w:p>
            <w:pPr>
              <w:pStyle w:val="768"/>
              <w:jc w:val="both"/>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投标人根据招标文件“第四章、采购需求—</w:t>
            </w:r>
            <w:r>
              <w:rPr>
                <w:rFonts w:hint="eastAsia"/>
                <w:color w:val="000000"/>
                <w:highlight w:val="none"/>
              </w:rPr>
              <w:t xml:space="preserve">五、项目实施方案要求</w:t>
            </w:r>
            <w:r>
              <w:rPr>
                <w:rFonts w:hint="eastAsia" w:ascii="宋体" w:hAnsi="宋体" w:eastAsia="宋体" w:cs="宋体"/>
                <w:i w:val="0"/>
                <w:iCs w:val="0"/>
                <w:color w:val="000000"/>
                <w:sz w:val="21"/>
                <w:szCs w:val="21"/>
                <w:highlight w:val="none"/>
                <w:u w:val="none"/>
                <w:lang w:val="en-US" w:eastAsia="zh-CN" w:bidi="ar"/>
              </w:rPr>
              <w:t xml:space="preserve">—（七）培训方案要求”</w:t>
            </w:r>
            <w:r>
              <w:rPr>
                <w:rFonts w:hint="eastAsia"/>
                <w:color w:val="000000"/>
                <w:highlight w:val="none"/>
              </w:rPr>
              <w:t xml:space="preserve">制定方案，评标委员会根据投标人提供的方案进行评审：优于采购需求的，得</w:t>
            </w:r>
            <w:r>
              <w:rPr>
                <w:rFonts w:hint="eastAsia"/>
                <w:color w:val="000000"/>
                <w:highlight w:val="none"/>
                <w:lang w:val="en-US" w:eastAsia="zh-CN"/>
              </w:rPr>
              <w:t xml:space="preserve">3</w:t>
            </w:r>
            <w:r>
              <w:rPr>
                <w:rFonts w:hint="eastAsia"/>
                <w:color w:val="000000"/>
                <w:highlight w:val="none"/>
              </w:rPr>
              <w:t xml:space="preserve">分；满足采购需求的，得</w:t>
            </w:r>
            <w:r>
              <w:rPr>
                <w:rFonts w:hint="eastAsia"/>
                <w:color w:val="000000"/>
                <w:highlight w:val="none"/>
                <w:lang w:val="en-US" w:eastAsia="zh-CN"/>
              </w:rPr>
              <w:t xml:space="preserve">2</w:t>
            </w:r>
            <w:r>
              <w:rPr>
                <w:rFonts w:hint="eastAsia"/>
                <w:color w:val="000000"/>
                <w:highlight w:val="none"/>
              </w:rPr>
              <w:t xml:space="preserve">分；</w:t>
            </w:r>
            <w:r>
              <w:rPr>
                <w:rFonts w:hint="eastAsia"/>
                <w:color w:val="000000"/>
                <w:highlight w:val="none"/>
                <w:lang w:val="en-US" w:eastAsia="zh-CN"/>
              </w:rPr>
              <w:t xml:space="preserve">偏离采购需求的，得1分，未提供</w:t>
            </w:r>
            <w:r>
              <w:rPr>
                <w:rFonts w:hint="eastAsia"/>
                <w:color w:val="000000"/>
                <w:highlight w:val="none"/>
              </w:rPr>
              <w:t xml:space="preserve">不得分。</w:t>
            </w:r>
            <w:r>
              <w:rPr>
                <w:rFonts w:hint="eastAsia" w:ascii="宋体" w:hAnsi="宋体" w:eastAsia="宋体" w:cs="宋体"/>
                <w:i w:val="0"/>
                <w:iCs w:val="0"/>
                <w:color w:val="000000"/>
                <w:sz w:val="21"/>
                <w:szCs w:val="21"/>
                <w:highlight w:val="none"/>
                <w:u w:val="none"/>
                <w:lang w:val="en-US" w:eastAsia="zh-CN" w:bidi="ar-SA"/>
              </w:rPr>
            </w:r>
            <w:r/>
          </w:p>
        </w:tc>
        <w:tc>
          <w:tcPr>
            <w:tcW w:w="582" w:type="dxa"/>
            <w:vAlign w:val="center"/>
            <w:textDirection w:val="lrTb"/>
            <w:noWrap w:val="false"/>
          </w:tcPr>
          <w:p>
            <w:pPr>
              <w:pStyle w:val="768"/>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SA"/>
              </w:rPr>
              <w:t xml:space="preserve">3</w:t>
            </w:r>
            <w:r>
              <w:rPr>
                <w:rFonts w:ascii="宋体" w:hAnsi="宋体" w:eastAsia="宋体" w:cs="宋体"/>
                <w:i w:val="0"/>
                <w:iCs w:val="0"/>
                <w:color w:val="000000"/>
                <w:sz w:val="21"/>
                <w:szCs w:val="21"/>
                <w:highlight w:val="none"/>
                <w:u w:val="none"/>
                <w:lang w:val="en-US" w:eastAsia="zh-CN" w:bidi="ar-SA"/>
              </w:rPr>
            </w:r>
            <w:r/>
          </w:p>
        </w:tc>
      </w:tr>
      <w:tr>
        <w:trPr>
          <w:trHeight w:val="1080"/>
        </w:trPr>
        <w:tc>
          <w:tcPr>
            <w:tcW w:w="484" w:type="dxa"/>
            <w:vAlign w:val="center"/>
            <w:textDirection w:val="lrTb"/>
            <w:noWrap w:val="false"/>
          </w:tcPr>
          <w:p>
            <w:pPr>
              <w:pStyle w:val="768"/>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cs="宋体"/>
                <w:i w:val="0"/>
                <w:iCs w:val="0"/>
                <w:color w:val="000000"/>
                <w:sz w:val="21"/>
                <w:szCs w:val="21"/>
                <w:highlight w:val="none"/>
                <w:u w:val="none"/>
                <w:lang w:val="en-US" w:eastAsia="zh-CN" w:bidi="ar"/>
              </w:rPr>
              <w:t xml:space="preserve">14</w:t>
            </w:r>
            <w:r>
              <w:rPr>
                <w:rFonts w:ascii="宋体" w:hAnsi="宋体" w:eastAsia="宋体" w:cs="宋体"/>
                <w:i w:val="0"/>
                <w:iCs w:val="0"/>
                <w:color w:val="000000"/>
                <w:sz w:val="21"/>
                <w:szCs w:val="21"/>
                <w:highlight w:val="none"/>
                <w:u w:val="none"/>
                <w:lang w:val="en-US"/>
              </w:rPr>
            </w:r>
            <w:r/>
          </w:p>
        </w:tc>
        <w:tc>
          <w:tcPr>
            <w:tcW w:w="762"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i w:val="0"/>
                <w:iCs w:val="0"/>
                <w:color w:val="000000"/>
                <w:sz w:val="21"/>
                <w:szCs w:val="21"/>
                <w:highlight w:val="none"/>
                <w:u w:val="none"/>
                <w:lang w:val="en-US" w:eastAsia="zh-CN" w:bidi="ar"/>
              </w:rPr>
              <w:t xml:space="preserve">视频演示</w:t>
            </w:r>
            <w:r>
              <w:rPr>
                <w:rFonts w:hint="eastAsia" w:ascii="宋体" w:hAnsi="宋体" w:eastAsia="宋体" w:cs="宋体"/>
                <w:i w:val="0"/>
                <w:iCs w:val="0"/>
                <w:color w:val="000000"/>
                <w:sz w:val="21"/>
                <w:szCs w:val="21"/>
                <w:highlight w:val="none"/>
                <w:u w:val="none"/>
              </w:rPr>
            </w:r>
            <w:r/>
          </w:p>
        </w:tc>
        <w:tc>
          <w:tcPr>
            <w:tcW w:w="3170" w:type="dxa"/>
            <w:vAlign w:val="center"/>
            <w:textDirection w:val="lrTb"/>
            <w:noWrap w:val="false"/>
          </w:tcPr>
          <w:p>
            <w:pPr>
              <w:pStyle w:val="768"/>
              <w:jc w:val="both"/>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投标人根据招标文件“第四章、采购需求—五、项目实施方案要求—（八）视频演示方案要求”制定方案。评标委员会根据投标人提供的视频演示方案进行评审（每条最高得2分，共4条，最高得8分）：每条优于采购需求的，得2分；满足采购需求的，得1分；偏离采购需求的得0.5分；视频未上传或无法播放的均不得分。</w:t>
            </w:r>
            <w:r>
              <w:rPr>
                <w:rFonts w:hint="eastAsia" w:ascii="宋体" w:hAnsi="宋体" w:eastAsia="宋体" w:cs="宋体"/>
                <w:i w:val="0"/>
                <w:iCs w:val="0"/>
                <w:color w:val="000000"/>
                <w:sz w:val="21"/>
                <w:szCs w:val="21"/>
                <w:highlight w:val="none"/>
                <w:u w:val="none"/>
                <w:lang w:val="en-US" w:eastAsia="zh-CN"/>
              </w:rPr>
            </w:r>
            <w:r/>
          </w:p>
          <w:p>
            <w:pPr>
              <w:pStyle w:val="768"/>
              <w:jc w:val="both"/>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注：1.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eastAsia="宋体" w:cs="宋体"/>
                <w:i w:val="0"/>
                <w:iCs w:val="0"/>
                <w:color w:val="000000"/>
                <w:sz w:val="21"/>
                <w:szCs w:val="21"/>
                <w:highlight w:val="none"/>
                <w:u w:val="none"/>
                <w:lang w:val="en-US" w:eastAsia="zh-CN"/>
              </w:rPr>
            </w:r>
            <w:r/>
          </w:p>
        </w:tc>
        <w:tc>
          <w:tcPr>
            <w:tcW w:w="582" w:type="dxa"/>
            <w:vAlign w:val="center"/>
            <w:textDirection w:val="lrTb"/>
            <w:noWrap w:val="false"/>
          </w:tcPr>
          <w:p>
            <w:pPr>
              <w:pStyle w:val="768"/>
              <w:jc w:val="center"/>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cs="宋体"/>
                <w:i w:val="0"/>
                <w:iCs w:val="0"/>
                <w:color w:val="000000"/>
                <w:sz w:val="21"/>
                <w:szCs w:val="21"/>
                <w:highlight w:val="none"/>
                <w:u w:val="none"/>
                <w:lang w:val="en-US" w:eastAsia="zh-CN" w:bidi="ar-SA"/>
              </w:rPr>
              <w:t xml:space="preserve">8</w:t>
            </w:r>
            <w:r>
              <w:rPr>
                <w:rFonts w:ascii="宋体" w:hAnsi="宋体" w:eastAsia="宋体" w:cs="宋体"/>
                <w:i w:val="0"/>
                <w:iCs w:val="0"/>
                <w:color w:val="000000"/>
                <w:sz w:val="21"/>
                <w:szCs w:val="21"/>
                <w:highlight w:val="none"/>
                <w:u w:val="none"/>
                <w:lang w:val="en-US" w:eastAsia="zh-CN" w:bidi="ar-SA"/>
              </w:rPr>
            </w:r>
            <w:r/>
          </w:p>
        </w:tc>
      </w:tr>
    </w:tbl>
    <w:p>
      <w:pPr>
        <w:pStyle w:val="768"/>
        <w:rPr>
          <w:highlight w:val="none"/>
        </w:rPr>
      </w:pPr>
      <w:r>
        <w:rPr>
          <w:highlight w:val="none"/>
        </w:rPr>
      </w:r>
      <w:r/>
    </w:p>
    <w:p>
      <w:pPr>
        <w:pStyle w:val="768"/>
        <w:ind w:firstLine="480"/>
        <w:spacing w:line="440" w:lineRule="exact"/>
        <w:rPr>
          <w:rFonts w:ascii="Times New Roman" w:hAnsi="Times New Roman" w:cs="仿宋"/>
          <w:b w:val="0"/>
          <w:bCs w:val="0"/>
          <w:color w:val="000000"/>
          <w:sz w:val="24"/>
          <w:highlight w:val="none"/>
          <w:lang w:bidi="ar-SA"/>
        </w:rPr>
      </w:pPr>
      <w:r>
        <w:rPr>
          <w:rFonts w:hint="eastAsia" w:cs="仿宋"/>
          <w:b w:val="0"/>
          <w:bCs w:val="0"/>
          <w:color w:val="000000"/>
          <w:sz w:val="24"/>
          <w:highlight w:val="none"/>
          <w:lang w:val="en-US" w:eastAsia="zh-CN" w:bidi="ar-SA"/>
        </w:rPr>
        <w:t xml:space="preserve">4、</w:t>
      </w:r>
      <w:r>
        <w:rPr>
          <w:rFonts w:hint="eastAsia" w:ascii="Times New Roman" w:hAnsi="Times New Roman" w:cs="仿宋"/>
          <w:b w:val="0"/>
          <w:bCs w:val="0"/>
          <w:color w:val="000000"/>
          <w:sz w:val="24"/>
          <w:highlight w:val="none"/>
          <w:lang w:bidi="ar-SA"/>
        </w:rPr>
        <w:t xml:space="preserve">异常低价投标审查</w:t>
      </w:r>
      <w:r>
        <w:rPr>
          <w:rFonts w:ascii="Times New Roman" w:hAnsi="Times New Roman" w:cs="仿宋"/>
          <w:b w:val="0"/>
          <w:bCs w:val="0"/>
          <w:color w:val="000000"/>
          <w:sz w:val="24"/>
          <w:highlight w:val="none"/>
          <w:lang w:bidi="ar-SA"/>
        </w:rPr>
      </w:r>
      <w:r/>
    </w:p>
    <w:p>
      <w:pPr>
        <w:pStyle w:val="768"/>
        <w:ind w:firstLine="480"/>
        <w:spacing w:line="440" w:lineRule="exact"/>
        <w:rPr>
          <w:rFonts w:hint="eastAsia" w:ascii="宋体" w:cs="宋体"/>
          <w:b w:val="0"/>
          <w:bCs w:val="0"/>
          <w:color w:val="000000"/>
          <w:sz w:val="24"/>
          <w:highlight w:val="none"/>
          <w:lang w:val="en-US" w:eastAsia="zh-CN" w:bidi="ar-SA"/>
        </w:rPr>
      </w:pPr>
      <w:r>
        <w:rPr>
          <w:rFonts w:hint="eastAsia" w:ascii="宋体" w:cs="宋体"/>
          <w:b w:val="0"/>
          <w:bCs w:val="0"/>
          <w:color w:val="000000"/>
          <w:sz w:val="24"/>
          <w:highlight w:val="none"/>
          <w:lang w:val="en-US" w:eastAsia="zh-CN" w:bidi="ar-SA"/>
        </w:rPr>
        <w:t xml:space="preserve">4.1 评标过程中出现下列情形之一的，评审委员会应当启动异常低价投标（响应）审查程序：</w:t>
      </w:r>
      <w:r>
        <w:rPr>
          <w:rFonts w:hint="eastAsia" w:ascii="宋体" w:cs="宋体"/>
          <w:b w:val="0"/>
          <w:bCs w:val="0"/>
          <w:color w:val="000000"/>
          <w:sz w:val="24"/>
          <w:highlight w:val="none"/>
          <w:lang w:val="en-US" w:eastAsia="zh-CN" w:bidi="ar-SA"/>
        </w:rPr>
      </w:r>
      <w:r/>
    </w:p>
    <w:p>
      <w:pPr>
        <w:pStyle w:val="768"/>
        <w:ind w:firstLine="480"/>
        <w:spacing w:line="440" w:lineRule="exact"/>
        <w:rPr>
          <w:rFonts w:hint="eastAsia" w:ascii="宋体" w:cs="宋体"/>
          <w:b w:val="0"/>
          <w:bCs w:val="0"/>
          <w:color w:val="000000"/>
          <w:sz w:val="24"/>
          <w:highlight w:val="none"/>
          <w:lang w:val="en-US" w:eastAsia="zh-CN" w:bidi="ar-SA"/>
        </w:rPr>
      </w:pPr>
      <w:r>
        <w:rPr>
          <w:rFonts w:hint="eastAsia" w:ascii="宋体" w:cs="宋体"/>
          <w:b w:val="0"/>
          <w:bCs w:val="0"/>
          <w:color w:val="000000"/>
          <w:sz w:val="24"/>
          <w:highlight w:val="none"/>
          <w:lang w:val="en-US" w:eastAsia="zh-CN" w:bidi="ar-SA"/>
        </w:rPr>
        <w:t xml:space="preserve">（1）投标(响应)报价低于全部通过符合性审查供应商投标(响应)报价平均值65%的，即投标(响应)报价＜全部通过符合性审查供应商投标(响应)报价平均值×65%;</w:t>
      </w:r>
      <w:r>
        <w:rPr>
          <w:rFonts w:hint="eastAsia" w:ascii="宋体" w:cs="宋体"/>
          <w:b w:val="0"/>
          <w:bCs w:val="0"/>
          <w:color w:val="000000"/>
          <w:sz w:val="24"/>
          <w:highlight w:val="none"/>
          <w:lang w:val="en-US" w:eastAsia="zh-CN" w:bidi="ar-SA"/>
        </w:rPr>
      </w:r>
      <w:r/>
    </w:p>
    <w:p>
      <w:pPr>
        <w:pStyle w:val="768"/>
        <w:ind w:firstLine="480"/>
        <w:spacing w:line="440" w:lineRule="exact"/>
        <w:rPr>
          <w:rFonts w:hint="eastAsia" w:ascii="宋体" w:cs="宋体"/>
          <w:b w:val="0"/>
          <w:bCs w:val="0"/>
          <w:color w:val="000000"/>
          <w:sz w:val="24"/>
          <w:highlight w:val="none"/>
          <w:lang w:val="en-US" w:eastAsia="zh-CN" w:bidi="ar-SA"/>
        </w:rPr>
      </w:pPr>
      <w:r>
        <w:rPr>
          <w:rFonts w:hint="eastAsia" w:ascii="宋体" w:cs="宋体"/>
          <w:b w:val="0"/>
          <w:bCs w:val="0"/>
          <w:color w:val="000000"/>
          <w:sz w:val="24"/>
          <w:highlight w:val="none"/>
          <w:lang w:val="en-US" w:eastAsia="zh-CN" w:bidi="ar-SA"/>
        </w:rPr>
        <w:t xml:space="preserve">（2）投标(响应)报价低于通过符合性审查的次低报价供应商投标(响应)报价65%的，即投标(响应)报价＜通过符合性审查的次低报价供应商投标(响应)报价×65%;</w:t>
      </w:r>
      <w:r>
        <w:rPr>
          <w:rFonts w:hint="eastAsia" w:ascii="宋体" w:cs="宋体"/>
          <w:b w:val="0"/>
          <w:bCs w:val="0"/>
          <w:color w:val="000000"/>
          <w:sz w:val="24"/>
          <w:highlight w:val="none"/>
          <w:lang w:val="en-US" w:eastAsia="zh-CN" w:bidi="ar-SA"/>
        </w:rPr>
      </w:r>
      <w:r/>
    </w:p>
    <w:p>
      <w:pPr>
        <w:pStyle w:val="768"/>
        <w:ind w:firstLine="480"/>
        <w:spacing w:line="440" w:lineRule="exact"/>
        <w:rPr>
          <w:rFonts w:hint="eastAsia" w:ascii="宋体" w:cs="宋体"/>
          <w:b w:val="0"/>
          <w:bCs w:val="0"/>
          <w:color w:val="000000"/>
          <w:sz w:val="24"/>
          <w:highlight w:val="none"/>
          <w:lang w:val="en-US" w:eastAsia="zh-CN" w:bidi="ar-SA"/>
        </w:rPr>
      </w:pPr>
      <w:r>
        <w:rPr>
          <w:rFonts w:hint="eastAsia" w:ascii="宋体" w:cs="宋体"/>
          <w:b w:val="0"/>
          <w:bCs w:val="0"/>
          <w:color w:val="000000"/>
          <w:sz w:val="24"/>
          <w:highlight w:val="none"/>
          <w:lang w:val="en-US" w:eastAsia="zh-CN" w:bidi="ar-SA"/>
        </w:rPr>
        <w:t xml:space="preserve">（3）投标(响应)报价低于采购项目最高限价65%的，即投标(响应)报价＜采购项目最高限价×65%;</w:t>
      </w:r>
      <w:r>
        <w:rPr>
          <w:rFonts w:hint="eastAsia" w:ascii="宋体" w:cs="宋体"/>
          <w:b w:val="0"/>
          <w:bCs w:val="0"/>
          <w:color w:val="000000"/>
          <w:sz w:val="24"/>
          <w:highlight w:val="none"/>
          <w:lang w:val="en-US" w:eastAsia="zh-CN" w:bidi="ar-SA"/>
        </w:rPr>
      </w:r>
      <w:r/>
    </w:p>
    <w:p>
      <w:pPr>
        <w:pStyle w:val="768"/>
        <w:ind w:firstLine="480"/>
        <w:spacing w:line="440" w:lineRule="exact"/>
        <w:rPr>
          <w:rFonts w:hint="eastAsia" w:ascii="宋体" w:cs="宋体"/>
          <w:b w:val="0"/>
          <w:bCs w:val="0"/>
          <w:color w:val="000000"/>
          <w:sz w:val="24"/>
          <w:highlight w:val="none"/>
          <w:lang w:val="en-US" w:eastAsia="zh-CN" w:bidi="ar-SA"/>
        </w:rPr>
      </w:pPr>
      <w:r>
        <w:rPr>
          <w:rFonts w:hint="eastAsia" w:ascii="宋体" w:cs="宋体"/>
          <w:b w:val="0"/>
          <w:bCs w:val="0"/>
          <w:color w:val="000000"/>
          <w:sz w:val="24"/>
          <w:highlight w:val="none"/>
          <w:lang w:val="en-US" w:eastAsia="zh-CN" w:bidi="ar-SA"/>
        </w:rPr>
        <w:t xml:space="preserve">（4）评审委员会基于专业判断，认为供应商报价过低，有可能影响产品质量或者不能诚信履约的其他情形。</w:t>
      </w:r>
      <w:r>
        <w:rPr>
          <w:rFonts w:hint="eastAsia" w:ascii="宋体" w:cs="宋体"/>
          <w:b w:val="0"/>
          <w:bCs w:val="0"/>
          <w:color w:val="000000"/>
          <w:sz w:val="24"/>
          <w:highlight w:val="none"/>
          <w:lang w:val="en-US" w:eastAsia="zh-CN" w:bidi="ar-SA"/>
        </w:rPr>
      </w:r>
      <w:r/>
    </w:p>
    <w:p>
      <w:pPr>
        <w:pStyle w:val="768"/>
        <w:ind w:firstLine="480"/>
        <w:spacing w:line="440" w:lineRule="exact"/>
        <w:rPr>
          <w:rFonts w:hint="eastAsia" w:ascii="宋体" w:cs="宋体"/>
          <w:b w:val="0"/>
          <w:bCs w:val="0"/>
          <w:color w:val="000000"/>
          <w:sz w:val="24"/>
          <w:highlight w:val="none"/>
          <w:lang w:val="en-US" w:eastAsia="zh-CN" w:bidi="ar-SA"/>
        </w:rPr>
      </w:pPr>
      <w:r>
        <w:rPr>
          <w:rFonts w:hint="eastAsia" w:ascii="宋体" w:cs="宋体"/>
          <w:b w:val="0"/>
          <w:bCs w:val="0"/>
          <w:color w:val="000000"/>
          <w:sz w:val="24"/>
          <w:highlight w:val="none"/>
          <w:lang w:val="en-US" w:eastAsia="zh-CN" w:bidi="ar-SA"/>
        </w:rPr>
        <w:t xml:space="preserve">相关法律法规对供应商报价有规定的，从其规定。</w:t>
      </w:r>
      <w:r>
        <w:rPr>
          <w:rFonts w:hint="eastAsia" w:ascii="宋体" w:cs="宋体"/>
          <w:b w:val="0"/>
          <w:bCs w:val="0"/>
          <w:color w:val="000000"/>
          <w:sz w:val="24"/>
          <w:highlight w:val="none"/>
          <w:lang w:val="en-US" w:eastAsia="zh-CN" w:bidi="ar-SA"/>
        </w:rPr>
      </w:r>
      <w:r/>
    </w:p>
    <w:p>
      <w:pPr>
        <w:pStyle w:val="768"/>
        <w:ind w:firstLine="480"/>
        <w:spacing w:line="440" w:lineRule="exact"/>
        <w:rPr>
          <w:rFonts w:hint="eastAsia" w:ascii="宋体" w:cs="宋体"/>
          <w:b w:val="0"/>
          <w:bCs w:val="0"/>
          <w:color w:val="000000"/>
          <w:sz w:val="24"/>
          <w:highlight w:val="none"/>
          <w:lang w:val="en-US" w:eastAsia="zh-CN" w:bidi="ar-SA"/>
        </w:rPr>
      </w:pPr>
      <w:r>
        <w:rPr>
          <w:rFonts w:hint="eastAsia" w:ascii="宋体" w:cs="宋体"/>
          <w:b w:val="0"/>
          <w:bCs w:val="0"/>
          <w:color w:val="000000"/>
          <w:sz w:val="24"/>
          <w:highlight w:val="none"/>
          <w:lang w:val="en-US" w:eastAsia="zh-CN" w:bidi="ar-SA"/>
        </w:rPr>
        <w:t xml:space="preserve">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cs="宋体"/>
          <w:b w:val="0"/>
          <w:bCs w:val="0"/>
          <w:color w:val="000000"/>
          <w:sz w:val="24"/>
          <w:highlight w:val="none"/>
          <w:lang w:val="en-US" w:eastAsia="zh-CN" w:bidi="ar-SA"/>
        </w:rPr>
      </w:r>
      <w:r/>
    </w:p>
    <w:p>
      <w:pPr>
        <w:pStyle w:val="768"/>
        <w:ind w:firstLine="480"/>
        <w:spacing w:line="440" w:lineRule="exact"/>
        <w:rPr>
          <w:rFonts w:hint="eastAsia" w:ascii="宋体" w:cs="宋体"/>
          <w:b w:val="0"/>
          <w:bCs w:val="0"/>
          <w:color w:val="000000"/>
          <w:sz w:val="24"/>
          <w:highlight w:val="none"/>
          <w:lang w:val="en-US" w:eastAsia="zh-CN" w:bidi="ar-SA"/>
        </w:rPr>
      </w:pPr>
      <w:r>
        <w:rPr>
          <w:rFonts w:hint="eastAsia" w:ascii="宋体" w:cs="宋体"/>
          <w:b w:val="0"/>
          <w:bCs w:val="0"/>
          <w:color w:val="000000"/>
          <w:sz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cs="宋体"/>
          <w:b w:val="0"/>
          <w:bCs w:val="0"/>
          <w:color w:val="000000"/>
          <w:sz w:val="24"/>
          <w:highlight w:val="none"/>
          <w:lang w:val="en-US" w:eastAsia="zh-CN" w:bidi="ar-SA"/>
        </w:rPr>
      </w:r>
      <w:r/>
    </w:p>
    <w:p>
      <w:pPr>
        <w:pStyle w:val="1153"/>
        <w:ind w:firstLine="480"/>
        <w:spacing w:line="480" w:lineRule="exact"/>
        <w:rPr>
          <w:rFonts w:ascii="宋体" w:hAnsi="宋体" w:cs="宋体"/>
          <w:b/>
          <w:bCs/>
          <w:color w:val="000000"/>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cs="宋体"/>
          <w:b w:val="0"/>
          <w:bCs w:val="0"/>
          <w:color w:val="000000"/>
          <w:sz w:val="24"/>
          <w:highlight w:val="none"/>
          <w:lang w:val="en-US" w:eastAsia="zh-CN" w:bidi="ar-SA"/>
        </w:rPr>
        <w:t xml:space="preserve">5、</w:t>
      </w:r>
      <w:r>
        <w:rPr>
          <w:rFonts w:hint="eastAsia" w:ascii="宋体" w:hAnsi="宋体" w:cs="宋体"/>
          <w:b/>
          <w:bCs/>
          <w:color w:val="000000"/>
          <w:szCs w:val="24"/>
          <w:highlight w:val="none"/>
          <w:shd w:val="clear" w:color="auto" w:fill="ffffff"/>
        </w:rPr>
        <w:t xml:space="preserve">采购本国产品的支持政策</w:t>
      </w:r>
      <w:r>
        <w:rPr>
          <w:rFonts w:ascii="宋体" w:hAnsi="宋体" w:cs="宋体"/>
          <w:b/>
          <w:bCs/>
          <w:color w:val="000000"/>
          <w:szCs w:val="24"/>
          <w:highlight w:val="none"/>
          <w:shd w:val="clear" w:color="auto" w:fill="ffffff"/>
        </w:rPr>
      </w:r>
      <w:r/>
    </w:p>
    <w:p>
      <w:pPr>
        <w:pStyle w:val="1153"/>
        <w:ind w:firstLine="480"/>
        <w:spacing w:line="480" w:lineRule="exact"/>
        <w:rPr>
          <w:rFonts w:ascii="宋体" w:hAnsi="宋体" w:cs="宋体"/>
          <w:color w:val="000000"/>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5</w:t>
      </w:r>
      <w:r>
        <w:rPr>
          <w:rFonts w:hint="eastAsia" w:ascii="宋体" w:hAnsi="宋体" w:cs="宋体"/>
          <w:color w:val="000000"/>
          <w:szCs w:val="24"/>
          <w:highlight w:val="none"/>
          <w:shd w:val="clear" w:color="auto" w:fill="ffffff"/>
        </w:rPr>
        <w:t xml:space="preserve">.1 本项目政府采购活动中既有本国产品又有非本国产品参与竞争的，依法对本国产品给予价格评审优惠，对本国产品的报价给予</w:t>
      </w:r>
      <w:r>
        <w:rPr>
          <w:rFonts w:hint="eastAsia" w:ascii="宋体" w:hAnsi="宋体" w:cs="宋体"/>
          <w:color w:val="000000"/>
          <w:szCs w:val="24"/>
          <w:highlight w:val="none"/>
          <w:u w:val="single"/>
          <w:shd w:val="clear" w:color="auto" w:fill="ffffff"/>
        </w:rPr>
        <w:t xml:space="preserve">20%</w:t>
      </w:r>
      <w:r>
        <w:rPr>
          <w:rFonts w:hint="eastAsia" w:ascii="宋体" w:hAnsi="宋体" w:cs="宋体"/>
          <w:color w:val="000000"/>
          <w:szCs w:val="24"/>
          <w:highlight w:val="none"/>
          <w:shd w:val="clear" w:color="auto" w:fill="ffffff"/>
        </w:rPr>
        <w:t xml:space="preserve">的价格扣除，用扣除后的价格参与评审。</w:t>
      </w:r>
      <w:r>
        <w:rPr>
          <w:rFonts w:ascii="宋体" w:hAnsi="宋体" w:cs="宋体"/>
          <w:color w:val="000000"/>
          <w:szCs w:val="24"/>
          <w:highlight w:val="none"/>
          <w:shd w:val="clear" w:color="auto" w:fill="ffffff"/>
        </w:rPr>
      </w:r>
      <w:r/>
    </w:p>
    <w:p>
      <w:pPr>
        <w:pStyle w:val="1153"/>
        <w:ind w:firstLine="480"/>
        <w:spacing w:line="480" w:lineRule="exact"/>
        <w:rPr>
          <w:rFonts w:ascii="宋体" w:hAnsi="宋体" w:cs="宋体"/>
          <w:color w:val="000000"/>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5</w:t>
      </w:r>
      <w:r>
        <w:rPr>
          <w:rFonts w:hint="eastAsia" w:ascii="宋体" w:hAnsi="宋体" w:cs="宋体"/>
          <w:color w:val="000000"/>
          <w:szCs w:val="24"/>
          <w:highlight w:val="none"/>
          <w:shd w:val="clear" w:color="auto" w:fill="ffffff"/>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color w:val="000000"/>
          <w:szCs w:val="24"/>
          <w:highlight w:val="none"/>
          <w:shd w:val="clear" w:color="auto" w:fill="ffffff"/>
        </w:rPr>
      </w:r>
      <w:r/>
    </w:p>
    <w:p>
      <w:pPr>
        <w:pStyle w:val="1153"/>
        <w:ind w:firstLine="480"/>
        <w:spacing w:line="480" w:lineRule="exact"/>
        <w:rPr>
          <w:rFonts w:ascii="宋体" w:hAnsi="宋体" w:cs="宋体"/>
          <w:color w:val="000000"/>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5</w:t>
      </w:r>
      <w:r>
        <w:rPr>
          <w:rFonts w:hint="eastAsia" w:ascii="宋体" w:hAnsi="宋体" w:cs="宋体"/>
          <w:color w:val="000000"/>
          <w:szCs w:val="24"/>
          <w:highlight w:val="none"/>
          <w:shd w:val="clear" w:color="auto" w:fill="ffffff"/>
        </w:rPr>
        <w:t xml:space="preserve">.3 供应商需按照招标文件的要求提供《关于符合本国产品标准的声明函》（以下简称《声明函》），如不提供将不享受本国产品价格评审优惠。</w:t>
      </w:r>
      <w:r>
        <w:rPr>
          <w:rFonts w:ascii="宋体" w:hAnsi="宋体" w:cs="宋体"/>
          <w:color w:val="000000"/>
          <w:szCs w:val="24"/>
          <w:highlight w:val="none"/>
          <w:shd w:val="clear" w:color="auto" w:fill="ffffff"/>
        </w:rPr>
      </w:r>
      <w:r/>
    </w:p>
    <w:p>
      <w:pPr>
        <w:pStyle w:val="1153"/>
        <w:ind w:firstLine="480"/>
        <w:spacing w:line="480" w:lineRule="exact"/>
        <w:rPr>
          <w:rFonts w:ascii="宋体" w:hAnsi="宋体" w:cs="宋体"/>
          <w:color w:val="000000"/>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color w:val="000000"/>
          <w:highlight w:val="none"/>
        </w:rPr>
        <w:t xml:space="preserve">5</w:t>
      </w:r>
      <w:r>
        <w:rPr>
          <w:rFonts w:hint="eastAsia" w:ascii="宋体" w:hAnsi="宋体" w:cs="宋体"/>
          <w:color w:val="000000"/>
          <w:szCs w:val="24"/>
          <w:highlight w:val="none"/>
          <w:shd w:val="clear" w:color="auto" w:fill="ffffff"/>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color w:val="000000"/>
          <w:szCs w:val="24"/>
          <w:highlight w:val="none"/>
          <w:shd w:val="clear" w:color="auto" w:fill="ffffff"/>
        </w:rPr>
      </w:r>
      <w:r/>
    </w:p>
    <w:p>
      <w:pPr>
        <w:pStyle w:val="768"/>
        <w:ind w:firstLine="480"/>
        <w:spacing w:line="480" w:lineRule="exact"/>
        <w:rPr>
          <w:rFonts w:hint="eastAsia" w:ascii="Times New Roman" w:hAnsi="Times New Roman" w:cs="仿宋"/>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szCs w:val="24"/>
          <w:highlight w:val="none"/>
          <w:shd w:val="clear" w:color="auto" w:fill="ffffff"/>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cs="仿宋"/>
          <w:sz w:val="24"/>
          <w:highlight w:val="none"/>
        </w:rPr>
      </w:r>
      <w:r/>
    </w:p>
    <w:p>
      <w:pPr>
        <w:pStyle w:val="768"/>
        <w:ind w:firstLine="480"/>
        <w:spacing w:line="440" w:lineRule="exact"/>
        <w:rPr>
          <w:rFonts w:ascii="宋体" w:cs="宋体"/>
          <w:b w:val="0"/>
          <w:bCs w:val="0"/>
          <w:color w:val="000000"/>
          <w:sz w:val="24"/>
          <w:highlight w:val="none"/>
          <w:lang w:val="en-US" w:eastAsia="zh-CN" w:bidi="ar-SA"/>
        </w:rPr>
      </w:pPr>
      <w:r>
        <w:rPr>
          <w:rFonts w:ascii="宋体" w:cs="宋体"/>
          <w:b w:val="0"/>
          <w:bCs w:val="0"/>
          <w:color w:val="000000"/>
          <w:sz w:val="24"/>
          <w:highlight w:val="none"/>
          <w:lang w:val="en-US" w:eastAsia="zh-CN" w:bidi="ar-SA"/>
        </w:rPr>
      </w:r>
      <w:r/>
    </w:p>
    <w:p>
      <w:pPr>
        <w:pStyle w:val="768"/>
        <w:jc w:val="left"/>
        <w:keepLines w:val="0"/>
        <w:keepNext w:val="0"/>
        <w:widowControl/>
        <w:rPr>
          <w:rFonts w:ascii="宋体" w:hAnsi="宋体" w:eastAsia="宋体" w:cs="宋体"/>
          <w:sz w:val="24"/>
          <w:szCs w:val="24"/>
          <w:highlight w:val="none"/>
          <w:lang w:val="en-US" w:eastAsia="zh-CN" w:bidi="ar"/>
        </w:rPr>
        <w:suppressLineNumbers w:val="0"/>
      </w:pPr>
      <w:r>
        <w:rPr>
          <w:rFonts w:ascii="宋体" w:hAnsi="宋体" w:eastAsia="宋体" w:cs="宋体"/>
          <w:sz w:val="24"/>
          <w:szCs w:val="24"/>
          <w:highlight w:val="none"/>
          <w:lang w:val="en-US" w:eastAsia="zh-CN" w:bidi="ar"/>
        </w:rPr>
      </w:r>
      <w:r/>
    </w:p>
    <w:p>
      <w:pPr>
        <w:pStyle w:val="768"/>
        <w:ind w:firstLine="480"/>
        <w:spacing w:line="440" w:lineRule="exact"/>
        <w:rPr>
          <w:rFonts w:ascii="宋体" w:cs="宋体"/>
          <w:b w:val="0"/>
          <w:bCs w:val="0"/>
          <w:color w:val="000000"/>
          <w:sz w:val="24"/>
          <w:highlight w:val="none"/>
          <w:lang w:val="en-US" w:eastAsia="zh-CN" w:bidi="ar-SA"/>
        </w:rPr>
      </w:pPr>
      <w:r>
        <w:rPr>
          <w:rFonts w:ascii="宋体" w:cs="宋体"/>
          <w:b w:val="0"/>
          <w:bCs w:val="0"/>
          <w:color w:val="000000"/>
          <w:sz w:val="24"/>
          <w:highlight w:val="none"/>
          <w:lang w:val="en-US" w:eastAsia="zh-CN" w:bidi="ar-SA"/>
        </w:rPr>
      </w:r>
      <w:r/>
    </w:p>
    <w:p>
      <w:pPr>
        <w:pStyle w:val="768"/>
        <w:numPr>
          <w:ilvl w:val="0"/>
          <w:numId w:val="0"/>
        </w:numPr>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r>
      <w:r/>
    </w:p>
    <w:p>
      <w:pPr>
        <w:pStyle w:val="768"/>
        <w:numPr>
          <w:ilvl w:val="0"/>
          <w:numId w:val="0"/>
        </w:numPr>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r>
      <w:r/>
    </w:p>
    <w:p>
      <w:pPr>
        <w:pStyle w:val="768"/>
        <w:jc w:val="center"/>
        <w:keepLines/>
        <w:keepNext/>
        <w:pageBreakBefore/>
        <w:rPr>
          <w:rFonts w:hint="eastAsia"/>
          <w:b/>
          <w:sz w:val="44"/>
          <w:szCs w:val="44"/>
          <w:highlight w:val="none"/>
        </w:rPr>
        <w:outlineLvl w:val="0"/>
      </w:pPr>
      <w:r>
        <w:rPr>
          <w:rFonts w:hint="eastAsia"/>
          <w:b/>
          <w:sz w:val="44"/>
          <w:szCs w:val="44"/>
          <w:highlight w:val="none"/>
        </w:rPr>
        <w:t xml:space="preserve">第四章</w:t>
      </w:r>
      <w:r>
        <w:rPr>
          <w:b/>
          <w:sz w:val="44"/>
          <w:szCs w:val="44"/>
          <w:highlight w:val="none"/>
        </w:rPr>
        <w:t xml:space="preserve">  </w:t>
      </w:r>
      <w:r>
        <w:rPr>
          <w:rFonts w:hint="eastAsia"/>
          <w:b/>
          <w:sz w:val="44"/>
          <w:szCs w:val="44"/>
          <w:highlight w:val="none"/>
        </w:rPr>
        <w:t xml:space="preserve">采购需求</w:t>
      </w:r>
      <w:r>
        <w:rPr>
          <w:rFonts w:hint="eastAsia"/>
          <w:b/>
          <w:sz w:val="44"/>
          <w:szCs w:val="44"/>
          <w:highlight w:val="none"/>
        </w:rPr>
      </w:r>
      <w:r/>
    </w:p>
    <w:p>
      <w:pPr>
        <w:pStyle w:val="768"/>
        <w:ind w:firstLine="482"/>
        <w:spacing w:before="120" w:after="120" w:line="0" w:lineRule="atLeast"/>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1、项目属性</w:t>
      </w:r>
      <w:r>
        <w:rPr>
          <w:rFonts w:hint="eastAsia" w:ascii="宋体" w:hAnsi="宋体" w:eastAsia="宋体" w:cs="宋体"/>
          <w:b/>
          <w:bCs/>
          <w:color w:val="000000"/>
          <w:sz w:val="24"/>
          <w:szCs w:val="24"/>
          <w:highlight w:val="none"/>
          <w:lang w:val="en-US" w:eastAsia="zh-CN"/>
        </w:rPr>
      </w:r>
      <w:r/>
    </w:p>
    <w:tbl>
      <w:tblPr>
        <w:tblpPr w:horzAnchor="page" w:tblpX="2219" w:vertAnchor="text" w:tblpY="4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12"/>
        <w:gridCol w:w="4660"/>
      </w:tblGrid>
      <w:tr>
        <w:trPr>
          <w:trHeight w:val="315"/>
        </w:trPr>
        <w:tc>
          <w:tcPr>
            <w:tcW w:w="2912" w:type="dxa"/>
            <w:vAlign w:val="top"/>
            <w:textDirection w:val="lrTb"/>
            <w:noWrap w:val="false"/>
          </w:tcPr>
          <w:p>
            <w:pPr>
              <w:pStyle w:val="1228"/>
              <w:ind w:firstLine="0"/>
              <w:jc w:val="center"/>
              <w:shd w:val="clear" w:color="auto" w:fill="auto"/>
              <w:rPr>
                <w:rFonts w:hint="eastAsia" w:ascii="宋体" w:hAnsi="宋体" w:eastAsia="宋体" w:cs="宋体"/>
                <w:b/>
                <w:bCs/>
                <w:color w:val="000000"/>
                <w:sz w:val="24"/>
                <w:szCs w:val="24"/>
                <w:highlight w:val="none"/>
              </w:rPr>
              <w:framePr w:vAnchor="text" w:hAnchor="page" w:x="2219" w:y="40"/>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4660" w:type="dxa"/>
            <w:vAlign w:val="top"/>
            <w:textDirection w:val="lrTb"/>
            <w:noWrap w:val="false"/>
          </w:tcPr>
          <w:p>
            <w:pPr>
              <w:pStyle w:val="1228"/>
              <w:ind w:firstLine="0"/>
              <w:jc w:val="center"/>
              <w:shd w:val="clear" w:color="auto" w:fill="auto"/>
              <w:rPr>
                <w:rFonts w:hint="eastAsia" w:ascii="宋体" w:hAnsi="宋体" w:eastAsia="宋体" w:cs="宋体"/>
                <w:b/>
                <w:bCs/>
                <w:color w:val="000000"/>
                <w:sz w:val="24"/>
                <w:szCs w:val="24"/>
                <w:highlight w:val="none"/>
              </w:rPr>
              <w:framePr w:vAnchor="text" w:hAnchor="page" w:x="2219" w:y="40"/>
            </w:pPr>
            <w:r>
              <w:rPr>
                <w:rFonts w:hint="eastAsia" w:ascii="宋体" w:hAnsi="宋体" w:eastAsia="宋体" w:cs="宋体"/>
                <w:b/>
                <w:bCs/>
                <w:color w:val="000000"/>
                <w:sz w:val="24"/>
                <w:szCs w:val="24"/>
                <w:highlight w:val="none"/>
              </w:rPr>
              <w:t xml:space="preserve">项目属性</w:t>
            </w:r>
            <w:r>
              <w:rPr>
                <w:rFonts w:hint="eastAsia" w:ascii="宋体" w:hAnsi="宋体" w:eastAsia="宋体" w:cs="宋体"/>
                <w:b/>
                <w:bCs/>
                <w:color w:val="000000"/>
                <w:sz w:val="24"/>
                <w:szCs w:val="24"/>
                <w:highlight w:val="none"/>
              </w:rPr>
            </w:r>
            <w:r/>
          </w:p>
        </w:tc>
      </w:tr>
      <w:tr>
        <w:trPr/>
        <w:tc>
          <w:tcPr>
            <w:tcW w:w="2912" w:type="dxa"/>
            <w:vAlign w:val="top"/>
            <w:textDirection w:val="lrTb"/>
            <w:noWrap w:val="false"/>
          </w:tcPr>
          <w:p>
            <w:pPr>
              <w:pStyle w:val="1228"/>
              <w:ind w:firstLine="0"/>
              <w:jc w:val="center"/>
              <w:shd w:val="clear" w:color="auto" w:fill="auto"/>
              <w:rPr>
                <w:rFonts w:hint="eastAsia" w:ascii="宋体" w:hAnsi="宋体" w:eastAsia="宋体" w:cs="宋体"/>
                <w:color w:val="000000"/>
                <w:sz w:val="24"/>
                <w:szCs w:val="24"/>
                <w:highlight w:val="none"/>
                <w:lang w:val="en-US" w:eastAsia="zh-CN"/>
              </w:rPr>
              <w:framePr w:vAnchor="text" w:hAnchor="page" w:x="2219" w:y="40"/>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4660" w:type="dxa"/>
            <w:vAlign w:val="top"/>
            <w:textDirection w:val="lrTb"/>
            <w:noWrap w:val="false"/>
          </w:tcPr>
          <w:p>
            <w:pPr>
              <w:pStyle w:val="1228"/>
              <w:ind w:left="0" w:firstLine="0"/>
              <w:jc w:val="center"/>
              <w:shd w:val="clear" w:color="auto" w:fill="auto"/>
              <w:rPr>
                <w:rFonts w:hint="eastAsia" w:ascii="宋体" w:hAnsi="宋体" w:eastAsia="宋体" w:cs="宋体"/>
                <w:color w:val="000000"/>
                <w:sz w:val="24"/>
                <w:szCs w:val="24"/>
                <w:highlight w:val="none"/>
              </w:rPr>
              <w:framePr w:vAnchor="text" w:hAnchor="page" w:x="2219" w:y="40"/>
            </w:pPr>
            <w:r>
              <w:rPr>
                <w:rFonts w:hint="eastAsia" w:ascii="宋体" w:hAnsi="宋体" w:eastAsia="宋体" w:cs="宋体"/>
                <w:color w:val="000000"/>
                <w:sz w:val="24"/>
                <w:szCs w:val="24"/>
                <w:highlight w:val="none"/>
              </w:rPr>
              <w:t xml:space="preserve">本项目为货物</w:t>
            </w:r>
            <w:r>
              <w:rPr>
                <w:rFonts w:hint="eastAsia" w:ascii="宋体" w:hAnsi="宋体" w:eastAsia="宋体" w:cs="宋体"/>
                <w:color w:val="000000"/>
                <w:sz w:val="24"/>
                <w:szCs w:val="24"/>
                <w:highlight w:val="none"/>
                <w:lang w:val="en-US" w:eastAsia="zh-CN"/>
              </w:rPr>
              <w:t xml:space="preserve">类</w:t>
            </w:r>
            <w:r>
              <w:rPr>
                <w:rFonts w:hint="eastAsia" w:ascii="宋体" w:hAnsi="宋体" w:eastAsia="宋体" w:cs="宋体"/>
                <w:color w:val="000000"/>
                <w:sz w:val="24"/>
                <w:szCs w:val="24"/>
                <w:highlight w:val="none"/>
              </w:rPr>
            </w:r>
            <w:r/>
          </w:p>
        </w:tc>
      </w:tr>
    </w:tbl>
    <w:p>
      <w:pPr>
        <w:pStyle w:val="768"/>
        <w:ind w:firstLine="482"/>
        <w:spacing w:before="120" w:after="120" w:line="0" w:lineRule="atLeast"/>
        <w:shd w:val="clear" w:color="auto" w:fill="auto"/>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en-US" w:eastAsia="zh-CN"/>
        </w:rPr>
        <w:t xml:space="preserve">本项目采购标的对应的中小企业划分标准所属行业</w:t>
      </w:r>
      <w:r>
        <w:rPr>
          <w:rFonts w:hint="eastAsia" w:ascii="宋体" w:hAnsi="宋体" w:eastAsia="宋体" w:cs="宋体"/>
          <w:b/>
          <w:bCs/>
          <w:color w:val="000000"/>
          <w:sz w:val="24"/>
          <w:szCs w:val="24"/>
          <w:highlight w:val="none"/>
          <w:lang w:val="en-US" w:eastAsia="zh-CN"/>
        </w:rPr>
      </w:r>
      <w:r/>
    </w:p>
    <w:tbl>
      <w:tblPr>
        <w:tblW w:w="7613" w:type="dxa"/>
        <w:tblInd w:w="3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3250"/>
        <w:gridCol w:w="3550"/>
      </w:tblGrid>
      <w:tr>
        <w:trPr>
          <w:trHeight w:val="270"/>
        </w:trPr>
        <w:tc>
          <w:tcPr>
            <w:tcW w:w="813" w:type="dxa"/>
            <w:vAlign w:val="top"/>
            <w:textDirection w:val="lrTb"/>
            <w:noWrap w:val="false"/>
          </w:tcPr>
          <w:p>
            <w:pPr>
              <w:pStyle w:val="768"/>
              <w:jc w:val="center"/>
              <w:keepLines w:val="0"/>
              <w:keepNext w:val="0"/>
              <w:shd w:val="clear" w:color="auto" w:fill="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rPr>
                <w:rFonts w:hint="eastAsia" w:ascii="宋体" w:hAnsi="宋体" w:eastAsia="宋体" w:cs="宋体"/>
                <w:b/>
                <w:bCs/>
                <w:i w:val="0"/>
                <w:iCs w:val="0"/>
                <w:color w:val="000000"/>
                <w:sz w:val="20"/>
                <w:szCs w:val="20"/>
                <w:highlight w:val="none"/>
                <w:u w:val="none"/>
              </w:rPr>
            </w:r>
            <w:r/>
          </w:p>
        </w:tc>
        <w:tc>
          <w:tcPr>
            <w:tcW w:w="3250" w:type="dxa"/>
            <w:vAlign w:val="center"/>
            <w:textDirection w:val="lrTb"/>
            <w:noWrap w:val="false"/>
          </w:tcPr>
          <w:p>
            <w:pPr>
              <w:pStyle w:val="768"/>
              <w:jc w:val="center"/>
              <w:keepLines w:val="0"/>
              <w:keepNext w:val="0"/>
              <w:shd w:val="clear" w:color="auto" w:fill="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采购标的</w:t>
            </w:r>
            <w:r>
              <w:rPr>
                <w:rFonts w:hint="eastAsia" w:ascii="宋体" w:hAnsi="宋体" w:eastAsia="宋体" w:cs="宋体"/>
                <w:b/>
                <w:bCs/>
                <w:i w:val="0"/>
                <w:iCs w:val="0"/>
                <w:color w:val="000000"/>
                <w:sz w:val="20"/>
                <w:szCs w:val="20"/>
                <w:highlight w:val="none"/>
                <w:u w:val="none"/>
              </w:rPr>
            </w:r>
            <w:r/>
          </w:p>
        </w:tc>
        <w:tc>
          <w:tcPr>
            <w:tcW w:w="3550" w:type="dxa"/>
            <w:vAlign w:val="center"/>
            <w:textDirection w:val="lrTb"/>
            <w:noWrap w:val="false"/>
          </w:tcPr>
          <w:p>
            <w:pPr>
              <w:pStyle w:val="768"/>
              <w:jc w:val="center"/>
              <w:keepLines w:val="0"/>
              <w:keepNext w:val="0"/>
              <w:shd w:val="clear" w:color="auto" w:fill="auto"/>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对应中小企业划分标准所属行业</w:t>
            </w:r>
            <w:r>
              <w:rPr>
                <w:rFonts w:hint="eastAsia" w:ascii="宋体" w:hAnsi="宋体" w:eastAsia="宋体" w:cs="宋体"/>
                <w:b/>
                <w:bCs/>
                <w:i w:val="0"/>
                <w:iCs w:val="0"/>
                <w:color w:val="000000"/>
                <w:sz w:val="20"/>
                <w:szCs w:val="20"/>
                <w:highlight w:val="none"/>
                <w:u w:val="none"/>
              </w:rPr>
            </w:r>
            <w:r/>
          </w:p>
        </w:tc>
      </w:tr>
      <w:tr>
        <w:trPr>
          <w:trHeight w:val="270"/>
        </w:trPr>
        <w:tc>
          <w:tcPr>
            <w:gridSpan w:val="3"/>
            <w:shd w:val="clear" w:color="auto" w:fill="ffffff"/>
            <w:tcW w:w="7613" w:type="dxa"/>
            <w:vAlign w:val="center"/>
            <w:textDirection w:val="lrTb"/>
            <w:noWrap w:val="false"/>
          </w:tcPr>
          <w:p>
            <w:pPr>
              <w:pStyle w:val="768"/>
              <w:jc w:val="center"/>
              <w:keepLines w:val="0"/>
              <w:keepNext w:val="0"/>
              <w:shd w:val="clear" w:color="auto" w:fill="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b/>
                <w:bCs/>
                <w:i w:val="0"/>
                <w:iCs w:val="0"/>
                <w:color w:val="333333"/>
                <w:sz w:val="20"/>
                <w:szCs w:val="20"/>
                <w:highlight w:val="none"/>
                <w:u w:val="none"/>
                <w:lang w:val="en-US" w:eastAsia="zh-CN"/>
              </w:rPr>
              <w:t xml:space="preserve">一、传统体育器材（96项）</w:t>
            </w:r>
            <w:r>
              <w:rPr>
                <w:rFonts w:hint="eastAsia" w:ascii="宋体" w:hAnsi="宋体" w:eastAsia="宋体" w:cs="宋体"/>
                <w:i w:val="0"/>
                <w:iCs w:val="0"/>
                <w:color w:val="333333"/>
                <w:sz w:val="20"/>
                <w:szCs w:val="20"/>
                <w:highlight w:val="none"/>
                <w:u w:val="none"/>
              </w:rPr>
            </w:r>
            <w:r/>
          </w:p>
        </w:tc>
      </w:tr>
      <w:tr>
        <w:trPr>
          <w:trHeight w:val="297"/>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篮球（训练）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9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篮球（比赛）</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足球（训练）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足球（比赛）</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守门员手套</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排球（训练）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排球（比赛）</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羽毛球拍</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羽毛球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乒乓球拍（训练）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乒乓球拍（比赛）</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乒乓球发球机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乒乓球台（室内比赛）</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乒乓球台（室外训练）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足球架球网</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排球网架套装</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羽毛球网架套装</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高脚裁判椅</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球类存放架</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球拍存放柜</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球类收纳推车</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球类气压表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跳高设备套装</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跳高垫</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体操垫</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382"/>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电子记分牌</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手动翻分牌</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裁判哨子</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电子秒表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发令枪</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发令台</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运动员号码布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起跑器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接力棒</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百米阻力训练器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高低杠</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单杠</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肋木架</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实心球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铅球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拔河绳</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跳绳</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毽子</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沙包</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丢沙包盘</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滚铁环</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陀螺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空竹</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竹竿</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拍皮球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趣味平衡木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趣味毛毛虫</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袋鼠跳袋</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两人三足绑带</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趣味接力套圈+标志桶</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软式飞盘</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跳皮筋</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塑料呼啦圈</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弹力带</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障碍桩</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独轮车</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组合篮球树</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充气拱门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音响设备</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视力筛查表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综合训练器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多功能跑步机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动感单车</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哑铃套装（含架）</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杠铃套装</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止震垫</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弹性地板（运动木地板）</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舞蹈室压腿杆</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瑜伽镜</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瑜伽垫</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瑜伽球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遮光帘</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平沙器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划线车</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卷尺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电动气泵</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打气筒</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维护工具</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轮式干粉灭火剂</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急救箱</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运动服（春秋季）</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运动服（冬季）</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运动服（夏季）</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田径服</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篮球服</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乒乓球服</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足球鞋</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篮球鞋</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不锈钢户外长椅</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五人制足球框</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gridSpan w:val="3"/>
            <w:shd w:val="clear" w:color="auto" w:fill="ffffff"/>
            <w:tcW w:w="7613" w:type="dxa"/>
            <w:vAlign w:val="center"/>
            <w:textDirection w:val="lrTb"/>
            <w:noWrap w:val="false"/>
          </w:tcPr>
          <w:p>
            <w:pPr>
              <w:pStyle w:val="768"/>
              <w:jc w:val="center"/>
              <w:keepLines w:val="0"/>
              <w:keepNext w:val="0"/>
              <w:shd w:val="clear" w:color="auto" w:fill="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二、AI智慧体育设备采购（45项）</w:t>
            </w:r>
            <w:r>
              <w:rPr>
                <w:rFonts w:hint="eastAsia" w:ascii="宋体" w:hAnsi="宋体" w:eastAsia="宋体" w:cs="宋体"/>
                <w:i w:val="0"/>
                <w:iCs w:val="0"/>
                <w:color w:val="333333"/>
                <w:sz w:val="20"/>
                <w:szCs w:val="20"/>
                <w:highlight w:val="none"/>
                <w:u w:val="none"/>
              </w:rPr>
            </w:r>
            <w:r/>
          </w:p>
        </w:tc>
      </w:tr>
      <w:tr>
        <w:trPr>
          <w:trHeight w:val="272"/>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智慧体育教学练测评系统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f1115"/>
                <w:sz w:val="20"/>
                <w:szCs w:val="20"/>
                <w:highlight w:val="none"/>
                <w:u w:val="none"/>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智慧体育校级数据平台</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f1115"/>
                <w:sz w:val="20"/>
                <w:szCs w:val="20"/>
                <w:highlight w:val="none"/>
                <w:u w:val="none"/>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智慧体育助手</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f1115"/>
                <w:sz w:val="20"/>
                <w:szCs w:val="20"/>
                <w:highlight w:val="none"/>
                <w:u w:val="none"/>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智慧体育工作站</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f1115"/>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f1115"/>
                <w:sz w:val="20"/>
                <w:szCs w:val="20"/>
                <w:highlight w:val="none"/>
                <w:u w:val="none"/>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50米跑AI系统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50米跑配套设备</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50*8拓展包</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100米跑AI系统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100米跑配套设备</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终点成绩播报终端</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800米&amp;1000米跑AI系统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800米&amp;1000米跑配套设备</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终点成绩播报终端</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计圈跑跑圈打卡系统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引体向上AI系统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引体向上配套设备</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多人实心球AI系统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多人实心球配套设备</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多人实心球成绩播报终端</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排球垫球AI测试站系统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排球垫球AI测试站配套设备</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足球AI测试站系统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足球AI测试站配套设备</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篮球AI测试站系统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篮球AI测试站配套设备</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身高体重测试机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肺活量测试机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室外体育数据展示终端</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AI体育锻炼设备(室外版)</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AI体育教学设备(室外版)</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AI体测设备(室外版)</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坐位体前屈测试板</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户外悬浮地板</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配电箱</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室外AP</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无线网网关</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POE交换机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千兆光纤收发器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室外防水落地箱</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光缆</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电源线</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电源线</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PE32管</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杆件基础</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建筑业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管道开挖施工</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建筑业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gridSpan w:val="3"/>
            <w:shd w:val="clear" w:color="auto" w:fill="ffffff"/>
            <w:tcW w:w="7613" w:type="dxa"/>
            <w:vAlign w:val="center"/>
            <w:textDirection w:val="lrTb"/>
            <w:noWrap w:val="false"/>
          </w:tcPr>
          <w:p>
            <w:pPr>
              <w:pStyle w:val="768"/>
              <w:jc w:val="center"/>
              <w:keepLines w:val="0"/>
              <w:keepNext w:val="0"/>
              <w:shd w:val="clear" w:color="auto" w:fill="auto"/>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三、校园监控设备采购（2</w:t>
            </w:r>
            <w:r>
              <w:rPr>
                <w:rFonts w:hint="eastAsia" w:ascii="宋体" w:hAnsi="宋体" w:cs="宋体"/>
                <w:b/>
                <w:bCs/>
                <w:i w:val="0"/>
                <w:iCs w:val="0"/>
                <w:color w:val="000000"/>
                <w:sz w:val="22"/>
                <w:szCs w:val="22"/>
                <w:highlight w:val="none"/>
                <w:u w:val="none"/>
                <w:lang w:val="en-US" w:eastAsia="zh-CN" w:bidi="ar"/>
              </w:rPr>
              <w:t xml:space="preserve">1</w:t>
            </w:r>
            <w:r>
              <w:rPr>
                <w:rFonts w:hint="eastAsia" w:ascii="宋体" w:hAnsi="宋体" w:eastAsia="宋体" w:cs="宋体"/>
                <w:b/>
                <w:bCs/>
                <w:i w:val="0"/>
                <w:iCs w:val="0"/>
                <w:color w:val="000000"/>
                <w:sz w:val="22"/>
                <w:szCs w:val="22"/>
                <w:highlight w:val="none"/>
                <w:u w:val="none"/>
                <w:lang w:val="en-US" w:eastAsia="zh-CN" w:bidi="ar"/>
              </w:rPr>
              <w:t xml:space="preserve">项）</w:t>
            </w:r>
            <w:r>
              <w:rPr>
                <w:rFonts w:hint="eastAsia" w:ascii="宋体" w:hAnsi="宋体" w:eastAsia="宋体" w:cs="宋体"/>
                <w:i w:val="0"/>
                <w:iCs w:val="0"/>
                <w:color w:val="333333"/>
                <w:sz w:val="20"/>
                <w:szCs w:val="20"/>
                <w:highlight w:val="none"/>
                <w:u w:val="none"/>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400万高清双光全彩枪机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专用支架</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光纤收发器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收发器机架</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POE交换机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核心交换机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128路网络硬盘录像机</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监控专用硬盘</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监控显示终端</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高清解码器</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网络机柜</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光缆</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电源线</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网线</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光纤跳线</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PVC线管</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4芯终端盒</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光纤配线架</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机柜</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监控专用防水箱</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23"/>
        </w:trPr>
        <w:tc>
          <w:tcPr>
            <w:gridSpan w:val="3"/>
            <w:shd w:val="clear" w:color="auto" w:fill="ffffff"/>
            <w:tcW w:w="7613" w:type="dxa"/>
            <w:vAlign w:val="center"/>
            <w:textDirection w:val="lrTb"/>
            <w:noWrap w:val="false"/>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四、科技与体育相结合产品（6项）</w:t>
            </w:r>
            <w:r>
              <w:rPr>
                <w:rFonts w:hint="eastAsia" w:ascii="宋体" w:hAnsi="宋体" w:eastAsia="宋体" w:cs="宋体"/>
                <w:i w:val="0"/>
                <w:iCs w:val="0"/>
                <w:color w:val="000000"/>
                <w:sz w:val="20"/>
                <w:szCs w:val="20"/>
                <w:highlight w:val="none"/>
                <w:u w:val="none"/>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333333"/>
                <w:sz w:val="20"/>
                <w:szCs w:val="20"/>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333333"/>
                <w:sz w:val="20"/>
                <w:szCs w:val="20"/>
                <w:highlight w:val="none"/>
                <w:u w:val="none"/>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无人机足球</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333333"/>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333333"/>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无人机足球场地</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333333"/>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333333"/>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智慧朗读亭</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333333"/>
                <w:sz w:val="20"/>
                <w:szCs w:val="20"/>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333333"/>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AI心理辅导机器人（人型）</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333333"/>
                <w:sz w:val="20"/>
                <w:szCs w:val="20"/>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333333"/>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AI全景滑雪设备</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r>
        <w:trPr>
          <w:trHeight w:val="270"/>
        </w:trPr>
        <w:tc>
          <w:tcPr>
            <w:shd w:val="clear" w:color="auto" w:fill="ffffff"/>
            <w:tcW w:w="813" w:type="dxa"/>
            <w:vAlign w:val="center"/>
            <w:textDirection w:val="lrTb"/>
            <w:noWrap w:val="false"/>
          </w:tcPr>
          <w:p>
            <w:pPr>
              <w:pStyle w:val="768"/>
              <w:jc w:val="center"/>
              <w:keepLines w:val="0"/>
              <w:keepNext w:val="0"/>
              <w:widowControl/>
              <w:rPr>
                <w:rFonts w:hint="eastAsia" w:ascii="宋体" w:hAnsi="宋体" w:eastAsia="宋体" w:cs="宋体"/>
                <w:i w:val="0"/>
                <w:iCs w:val="0"/>
                <w:color w:val="333333"/>
                <w:sz w:val="20"/>
                <w:szCs w:val="20"/>
                <w:highlight w:val="none"/>
                <w:u w:val="none"/>
                <w:lang w:val="en-US" w:eastAsia="zh-CN" w:bidi="ar"/>
              </w:rPr>
              <w:suppressLineNumbers w:val="0"/>
            </w:pPr>
            <w:r>
              <w:rPr>
                <w:rFonts w:hint="eastAsia" w:ascii="宋体" w:hAnsi="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333333"/>
                <w:sz w:val="20"/>
                <w:szCs w:val="20"/>
                <w:highlight w:val="none"/>
                <w:u w:val="none"/>
                <w:lang w:val="en-US" w:eastAsia="zh-CN" w:bidi="ar"/>
              </w:rPr>
            </w:r>
            <w:r/>
          </w:p>
        </w:tc>
        <w:tc>
          <w:tcPr>
            <w:shd w:val="clear" w:color="auto" w:fill="ffffff"/>
            <w:tcW w:w="3250" w:type="dxa"/>
            <w:vAlign w:val="center"/>
            <w:textDirection w:val="lrTb"/>
            <w:noWrap w:val="false"/>
          </w:tcPr>
          <w:p>
            <w:pPr>
              <w:pStyle w:val="768"/>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室内全息体适能训练系统</w:t>
            </w:r>
            <w:r>
              <w:rPr>
                <w:rFonts w:hint="eastAsia" w:ascii="宋体" w:hAnsi="宋体" w:eastAsia="宋体" w:cs="宋体"/>
                <w:i w:val="0"/>
                <w:iCs w:val="0"/>
                <w:color w:val="000000"/>
                <w:sz w:val="20"/>
                <w:szCs w:val="20"/>
                <w:highlight w:val="none"/>
                <w:u w:val="none"/>
                <w:lang w:val="en-US" w:eastAsia="zh-CN" w:bidi="ar"/>
              </w:rPr>
            </w:r>
            <w:r/>
          </w:p>
        </w:tc>
        <w:tc>
          <w:tcPr>
            <w:tcW w:w="3550" w:type="dxa"/>
            <w:vAlign w:val="center"/>
            <w:textDirection w:val="lrTb"/>
            <w:noWrap/>
          </w:tcPr>
          <w:p>
            <w:pPr>
              <w:pStyle w:val="768"/>
              <w:jc w:val="center"/>
              <w:keepLines w:val="0"/>
              <w:keepNext w:val="0"/>
              <w:shd w:val="clear" w:color="auto" w:fill="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rPr>
                <w:rFonts w:hint="eastAsia" w:ascii="宋体" w:hAnsi="宋体" w:eastAsia="宋体" w:cs="宋体"/>
                <w:i w:val="0"/>
                <w:iCs w:val="0"/>
                <w:color w:val="000000"/>
                <w:sz w:val="20"/>
                <w:szCs w:val="20"/>
                <w:highlight w:val="none"/>
                <w:u w:val="none"/>
                <w:lang w:val="en-US" w:eastAsia="zh-CN" w:bidi="ar"/>
              </w:rPr>
            </w:r>
            <w:r/>
          </w:p>
        </w:tc>
      </w:tr>
    </w:tbl>
    <w:p>
      <w:pPr>
        <w:pStyle w:val="768"/>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pStyle w:val="768"/>
        <w:ind w:firstLine="482"/>
        <w:spacing w:before="120" w:after="120" w:line="0" w:lineRule="atLeast"/>
        <w:shd w:val="clear" w:color="auto" w:fill="auto"/>
        <w:rPr>
          <w:rFonts w:ascii="宋体" w:hAnsi="宋体" w:cs="宋体"/>
          <w:sz w:val="24"/>
          <w:szCs w:val="24"/>
          <w:highlight w:val="none"/>
        </w:rPr>
      </w:pP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本项目不接受进口产品。</w:t>
      </w:r>
      <w:r>
        <w:rPr>
          <w:rFonts w:ascii="宋体" w:hAnsi="宋体" w:cs="宋体"/>
          <w:sz w:val="24"/>
          <w:szCs w:val="24"/>
          <w:highlight w:val="none"/>
        </w:rPr>
      </w:r>
      <w:r/>
    </w:p>
    <w:p>
      <w:pPr>
        <w:pStyle w:val="806"/>
        <w:ind w:left="0" w:firstLine="480"/>
        <w:spacing w:after="0" w:line="360" w:lineRule="auto"/>
        <w:rPr>
          <w:rFonts w:ascii="Times New Roman" w:hAnsi="Times New Roman"/>
          <w:b/>
          <w:bCs/>
          <w:sz w:val="24"/>
          <w:szCs w:val="24"/>
          <w:highlight w:val="none"/>
        </w:rPr>
      </w:pPr>
      <w:r>
        <w:rPr>
          <w:rFonts w:ascii="Times New Roman" w:hAnsi="Times New Roman"/>
          <w:b/>
          <w:bCs/>
          <w:sz w:val="24"/>
          <w:szCs w:val="24"/>
          <w:highlight w:val="none"/>
        </w:rPr>
        <w:t xml:space="preserve">一、</w:t>
      </w:r>
      <w:r>
        <w:rPr>
          <w:rFonts w:hint="eastAsia" w:ascii="Times New Roman" w:hAnsi="Times New Roman"/>
          <w:b/>
          <w:bCs/>
          <w:sz w:val="24"/>
          <w:szCs w:val="24"/>
          <w:highlight w:val="none"/>
        </w:rPr>
        <w:t xml:space="preserve">项目概述</w:t>
      </w:r>
      <w:r>
        <w:rPr>
          <w:rFonts w:ascii="Times New Roman" w:hAnsi="Times New Roman"/>
          <w:b/>
          <w:bCs/>
          <w:sz w:val="24"/>
          <w:szCs w:val="24"/>
          <w:highlight w:val="none"/>
        </w:rPr>
      </w:r>
      <w:r/>
    </w:p>
    <w:p>
      <w:pPr>
        <w:pStyle w:val="768"/>
        <w:ind w:firstLine="480"/>
        <w:jc w:val="left"/>
        <w:spacing w:line="440" w:lineRule="exact"/>
        <w:rPr>
          <w:rFonts w:ascii="宋体" w:hAnsi="宋体" w:eastAsia="宋体" w:cs="宋体"/>
          <w:b w:val="0"/>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sz w:val="24"/>
          <w:szCs w:val="24"/>
          <w:highlight w:val="none"/>
        </w:rPr>
        <w:t xml:space="preserve">本项目为泗洪县太平实验学校体育设施改造项目，主要内容为拟采购一批传统体育器材、智慧体育产品、科技与体育相结合产品、校园监控设备等。</w:t>
      </w:r>
      <w:r>
        <w:rPr>
          <w:rFonts w:hint="eastAsia" w:ascii="宋体" w:hAnsi="宋体" w:eastAsia="宋体" w:cs="宋体"/>
          <w:b w:val="0"/>
          <w:bCs/>
          <w:sz w:val="24"/>
          <w:szCs w:val="24"/>
          <w:highlight w:val="none"/>
          <w:lang w:val="en-US" w:eastAsia="zh-CN"/>
        </w:rPr>
        <w:t xml:space="preserve">具体内容详见清单及技术参数要求。</w:t>
      </w:r>
      <w:r>
        <w:rPr>
          <w:rFonts w:ascii="宋体" w:hAnsi="宋体" w:eastAsia="宋体" w:cs="宋体"/>
          <w:b w:val="0"/>
          <w:bCs/>
          <w:sz w:val="24"/>
          <w:szCs w:val="24"/>
          <w:highlight w:val="none"/>
          <w:lang w:val="en-US" w:eastAsia="zh-CN"/>
        </w:rPr>
      </w:r>
      <w:r/>
    </w:p>
    <w:p>
      <w:pPr>
        <w:pStyle w:val="1047"/>
        <w:ind w:firstLine="482"/>
        <w:spacing w:line="360" w:lineRule="auto"/>
        <w:rPr>
          <w:rFonts w:ascii="宋体" w:hAnsi="宋体" w:eastAsia="宋体" w:cs="宋体"/>
          <w:b/>
          <w:sz w:val="24"/>
          <w:szCs w:val="24"/>
          <w:highlight w:val="none"/>
          <w:lang w:val="en-US" w:eastAsia="zh-CN"/>
        </w:rPr>
      </w:pPr>
      <w:r>
        <w:rPr>
          <w:rFonts w:hint="eastAsia" w:ascii="宋体" w:hAnsi="宋体" w:cs="宋体"/>
          <w:b/>
          <w:sz w:val="24"/>
          <w:szCs w:val="24"/>
          <w:highlight w:val="none"/>
        </w:rPr>
        <w:t xml:space="preserve">二、合同履约期限及地点：</w:t>
      </w:r>
      <w:r>
        <w:rPr>
          <w:rFonts w:ascii="宋体" w:hAnsi="宋体" w:eastAsia="宋体" w:cs="宋体"/>
          <w:b/>
          <w:sz w:val="24"/>
          <w:szCs w:val="24"/>
          <w:highlight w:val="none"/>
          <w:lang w:val="en-US" w:eastAsia="zh-CN"/>
        </w:rPr>
      </w:r>
      <w:r/>
    </w:p>
    <w:p>
      <w:pPr>
        <w:pStyle w:val="1047"/>
        <w:ind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1.合同履约期限：45日历天完成供货并安装调试完毕</w:t>
      </w:r>
      <w:r>
        <w:rPr>
          <w:rFonts w:hint="eastAsia" w:ascii="宋体" w:hAnsi="宋体" w:cs="宋体"/>
          <w:bCs/>
          <w:sz w:val="24"/>
          <w:szCs w:val="24"/>
          <w:highlight w:val="none"/>
        </w:rPr>
        <w:t xml:space="preserve">（自合同</w:t>
      </w:r>
      <w:r>
        <w:rPr>
          <w:rFonts w:hint="eastAsia" w:ascii="宋体" w:hAnsi="宋体" w:cs="宋体"/>
          <w:bCs/>
          <w:sz w:val="24"/>
          <w:szCs w:val="24"/>
          <w:highlight w:val="none"/>
          <w:lang w:val="en-US" w:eastAsia="zh-CN"/>
        </w:rPr>
        <w:t xml:space="preserve">签订之日起算</w:t>
      </w:r>
      <w:r>
        <w:rPr>
          <w:rFonts w:hint="eastAsia" w:ascii="宋体" w:hAnsi="宋体" w:cs="宋体"/>
          <w:bCs/>
          <w:sz w:val="24"/>
          <w:szCs w:val="24"/>
          <w:highlight w:val="none"/>
        </w:rPr>
        <w:t xml:space="preserve">）</w:t>
      </w:r>
      <w:r>
        <w:rPr>
          <w:rFonts w:hint="eastAsia" w:ascii="宋体" w:hAnsi="宋体" w:cs="宋体"/>
          <w:bCs/>
          <w:sz w:val="24"/>
          <w:szCs w:val="24"/>
          <w:highlight w:val="none"/>
        </w:rPr>
      </w:r>
      <w:r/>
    </w:p>
    <w:p>
      <w:pPr>
        <w:pStyle w:val="1047"/>
        <w:ind w:firstLine="482"/>
        <w:spacing w:line="360" w:lineRule="auto"/>
        <w:rPr>
          <w:rFonts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2.地点：泗洪县太平实验学校</w:t>
      </w:r>
      <w:r>
        <w:rPr>
          <w:rFonts w:ascii="宋体" w:hAnsi="宋体" w:eastAsia="宋体" w:cs="宋体"/>
          <w:bCs/>
          <w:sz w:val="24"/>
          <w:szCs w:val="24"/>
          <w:highlight w:val="none"/>
          <w:lang w:val="en-US" w:eastAsia="zh-CN"/>
        </w:rPr>
      </w:r>
      <w:r/>
    </w:p>
    <w:p>
      <w:pPr>
        <w:pStyle w:val="1047"/>
        <w:ind w:firstLine="482"/>
        <w:spacing w:line="360" w:lineRule="auto"/>
        <w:rPr>
          <w:rFonts w:ascii="宋体" w:hAnsi="宋体" w:cs="宋体"/>
          <w:b/>
          <w:sz w:val="24"/>
          <w:szCs w:val="24"/>
          <w:highlight w:val="none"/>
        </w:rPr>
      </w:pPr>
      <w:r>
        <w:rPr>
          <w:rFonts w:hint="eastAsia" w:ascii="宋体" w:hAnsi="宋体" w:cs="宋体"/>
          <w:b/>
          <w:sz w:val="24"/>
          <w:szCs w:val="24"/>
          <w:highlight w:val="none"/>
        </w:rPr>
        <w:t xml:space="preserve">三、付款方式</w:t>
      </w:r>
      <w:r>
        <w:rPr>
          <w:rFonts w:ascii="宋体" w:hAnsi="宋体" w:cs="宋体"/>
          <w:b/>
          <w:sz w:val="24"/>
          <w:szCs w:val="24"/>
          <w:highlight w:val="none"/>
        </w:rPr>
      </w:r>
      <w:r/>
    </w:p>
    <w:p>
      <w:pPr>
        <w:pStyle w:val="768"/>
        <w:ind w:firstLine="480"/>
        <w:jc w:val="left"/>
        <w:spacing w:line="440" w:lineRule="exact"/>
        <w:rPr>
          <w:rFonts w:hint="eastAsia" w:ascii="宋体" w:hAnsi="宋体" w:cs="宋体"/>
          <w:b w:val="0"/>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highlight w:val="none"/>
        </w:rPr>
        <w:t xml:space="preserve">1.合同签订后，采购人向中标人支付合同金额的30%；</w:t>
      </w:r>
      <w:r>
        <w:rPr>
          <w:rFonts w:hint="eastAsia" w:ascii="宋体" w:hAnsi="宋体" w:cs="宋体"/>
          <w:b w:val="0"/>
          <w:bCs/>
          <w:sz w:val="24"/>
          <w:szCs w:val="24"/>
          <w:highlight w:val="none"/>
        </w:rPr>
      </w:r>
      <w:r/>
    </w:p>
    <w:p>
      <w:pPr>
        <w:pStyle w:val="768"/>
        <w:ind w:firstLine="480"/>
        <w:jc w:val="left"/>
        <w:spacing w:line="440" w:lineRule="exact"/>
        <w:rPr>
          <w:rFonts w:hint="eastAsia" w:ascii="宋体" w:hAnsi="宋体" w:cs="宋体"/>
          <w:b w:val="0"/>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highlight w:val="none"/>
        </w:rPr>
        <w:t xml:space="preserve">2.进度款：项目完成，供应商提供项目完整技术文档，验收</w:t>
      </w:r>
      <w:r>
        <w:rPr>
          <w:rFonts w:hint="eastAsia" w:ascii="宋体" w:hAnsi="宋体" w:cs="宋体"/>
          <w:b w:val="0"/>
          <w:bCs/>
          <w:sz w:val="24"/>
          <w:szCs w:val="24"/>
          <w:highlight w:val="none"/>
          <w:lang w:val="en-US" w:eastAsia="zh-CN"/>
        </w:rPr>
        <w:t xml:space="preserve">合格</w:t>
      </w:r>
      <w:r>
        <w:rPr>
          <w:rFonts w:hint="eastAsia" w:ascii="宋体" w:hAnsi="宋体" w:cs="宋体"/>
          <w:b w:val="0"/>
          <w:bCs/>
          <w:sz w:val="24"/>
          <w:szCs w:val="24"/>
          <w:highlight w:val="none"/>
        </w:rPr>
        <w:t xml:space="preserve">后</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lang w:val="en-US" w:eastAsia="zh-CN"/>
        </w:rPr>
        <w:t xml:space="preserve">以验收报告为准</w:t>
      </w:r>
      <w:r>
        <w:rPr>
          <w:rFonts w:hint="eastAsia" w:ascii="宋体" w:hAnsi="宋体" w:cs="宋体"/>
          <w:b w:val="0"/>
          <w:bCs/>
          <w:sz w:val="24"/>
          <w:szCs w:val="24"/>
          <w:highlight w:val="none"/>
          <w:lang w:eastAsia="zh-CN"/>
        </w:rPr>
        <w:t xml:space="preserve">）</w:t>
      </w:r>
      <w:r>
        <w:rPr>
          <w:rFonts w:hint="eastAsia" w:ascii="宋体" w:hAnsi="宋体" w:cs="宋体"/>
          <w:b w:val="0"/>
          <w:bCs/>
          <w:sz w:val="24"/>
          <w:szCs w:val="24"/>
          <w:highlight w:val="none"/>
          <w:lang w:val="en-US" w:eastAsia="zh-CN"/>
        </w:rPr>
        <w:t xml:space="preserve">付至结算金额</w:t>
      </w:r>
      <w:r>
        <w:rPr>
          <w:rFonts w:hint="eastAsia" w:ascii="宋体" w:hAnsi="宋体" w:cs="宋体"/>
          <w:b w:val="0"/>
          <w:bCs/>
          <w:sz w:val="24"/>
          <w:szCs w:val="24"/>
          <w:highlight w:val="none"/>
        </w:rPr>
        <w:t xml:space="preserve">的100%。（合同款支付方式可采用数字人民币支付）。</w:t>
      </w:r>
      <w:r>
        <w:rPr>
          <w:rFonts w:hint="eastAsia" w:ascii="宋体" w:hAnsi="宋体" w:cs="宋体"/>
          <w:b w:val="0"/>
          <w:bCs/>
          <w:sz w:val="24"/>
          <w:szCs w:val="24"/>
          <w:highlight w:val="none"/>
        </w:rPr>
      </w:r>
      <w:r/>
    </w:p>
    <w:p>
      <w:pPr>
        <w:pStyle w:val="768"/>
        <w:ind w:firstLine="480"/>
        <w:jc w:val="left"/>
        <w:spacing w:line="440" w:lineRule="exact"/>
        <w:rPr>
          <w:rFonts w:hint="eastAsia" w:ascii="宋体" w:hAnsi="宋体" w:cs="宋体"/>
          <w:b w:val="0"/>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highlight w:val="none"/>
        </w:rPr>
        <w:t xml:space="preserve">3.资金支付的时间：收到供应商发票10个工作日内。</w:t>
      </w:r>
      <w:r>
        <w:rPr>
          <w:rFonts w:hint="eastAsia" w:ascii="宋体" w:hAnsi="宋体" w:cs="宋体"/>
          <w:b w:val="0"/>
          <w:bCs/>
          <w:sz w:val="24"/>
          <w:szCs w:val="24"/>
          <w:highlight w:val="none"/>
        </w:rPr>
      </w:r>
      <w:r/>
    </w:p>
    <w:p>
      <w:pPr>
        <w:pStyle w:val="768"/>
        <w:ind w:firstLine="480"/>
        <w:jc w:val="left"/>
        <w:spacing w:line="440" w:lineRule="exact"/>
        <w:rPr>
          <w:rFonts w:hint="eastAsia" w:ascii="宋体" w:hAnsi="宋体" w:cs="宋体"/>
          <w:b w:val="0"/>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highlight w:val="none"/>
        </w:rPr>
        <w:t xml:space="preserve">4.资金支付的条件：满足相应阶段的要求且收到供应商发票。</w:t>
      </w:r>
      <w:r>
        <w:rPr>
          <w:rFonts w:hint="eastAsia" w:ascii="宋体" w:hAnsi="宋体" w:cs="宋体"/>
          <w:b w:val="0"/>
          <w:bCs/>
          <w:sz w:val="24"/>
          <w:szCs w:val="24"/>
          <w:highlight w:val="none"/>
        </w:rPr>
      </w:r>
      <w:r/>
    </w:p>
    <w:p>
      <w:pPr>
        <w:pStyle w:val="768"/>
        <w:ind w:firstLine="480"/>
        <w:jc w:val="left"/>
        <w:spacing w:line="440" w:lineRule="exact"/>
        <w:rPr>
          <w:rFonts w:hint="eastAsia" w:ascii="宋体" w:hAnsi="宋体" w:cs="宋体"/>
          <w:b w:val="0"/>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highlight w:val="none"/>
        </w:rPr>
        <w:t xml:space="preserve">注：在签订合同时，中标人明确表示无需预付款或者主动要求降低预付款比例的，采购人可不适用前述规定。</w:t>
      </w:r>
      <w:r>
        <w:rPr>
          <w:rFonts w:hint="eastAsia" w:ascii="宋体" w:hAnsi="宋体" w:cs="宋体"/>
          <w:b w:val="0"/>
          <w:bCs/>
          <w:sz w:val="24"/>
          <w:szCs w:val="24"/>
          <w:highlight w:val="none"/>
        </w:rPr>
      </w:r>
      <w:r/>
    </w:p>
    <w:p>
      <w:pPr>
        <w:pStyle w:val="768"/>
        <w:numPr>
          <w:ilvl w:val="0"/>
          <w:numId w:val="0"/>
        </w:numPr>
        <w:ind w:firstLine="482"/>
        <w:jc w:val="left"/>
        <w:spacing w:line="440" w:lineRule="exact"/>
        <w:rPr>
          <w:rFonts w:hint="eastAsia" w:ascii="宋体" w:hAnsi="宋体" w:cs="宋体"/>
          <w:b w:val="0"/>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lang w:val="en-US" w:eastAsia="zh-CN" w:bidi="ar-SA"/>
        </w:rPr>
        <w:t xml:space="preserve">四、</w:t>
      </w:r>
      <w:r>
        <w:rPr>
          <w:rFonts w:hint="eastAsia" w:ascii="宋体" w:hAnsi="宋体" w:cs="宋体"/>
          <w:b/>
          <w:sz w:val="24"/>
          <w:szCs w:val="24"/>
          <w:highlight w:val="none"/>
        </w:rPr>
        <w:t xml:space="preserve">清单及技术参数要求</w:t>
      </w:r>
      <w:r>
        <w:rPr>
          <w:rFonts w:hint="eastAsia" w:ascii="宋体" w:hAnsi="宋体" w:cs="宋体"/>
          <w:b w:val="0"/>
          <w:bCs/>
          <w:sz w:val="24"/>
          <w:szCs w:val="24"/>
          <w:highlight w:val="none"/>
        </w:rPr>
      </w:r>
      <w:r/>
    </w:p>
    <w:p>
      <w:pPr>
        <w:pStyle w:val="768"/>
        <w:ind w:firstLine="480"/>
        <w:jc w:val="left"/>
        <w:spacing w:line="440" w:lineRule="exact"/>
        <w:rPr>
          <w:rFonts w:hint="eastAsia" w:ascii="宋体" w:hAnsi="宋体" w:cs="宋体"/>
          <w:b w:val="0"/>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highlight w:val="none"/>
          <w:lang w:val="en-US" w:eastAsia="zh-CN"/>
        </w:rPr>
        <w:t xml:space="preserve"> </w:t>
      </w:r>
      <w:r>
        <w:rPr>
          <w:rFonts w:hint="eastAsia" w:ascii="宋体" w:hAnsi="宋体" w:cs="宋体"/>
          <w:b/>
          <w:bCs w:val="0"/>
          <w:sz w:val="24"/>
          <w:szCs w:val="24"/>
          <w:highlight w:val="none"/>
          <w:lang w:val="en-US" w:eastAsia="zh-CN"/>
        </w:rPr>
        <w:t xml:space="preserve">  </w:t>
      </w:r>
      <w:r>
        <w:rPr>
          <w:rFonts w:hint="eastAsia" w:ascii="宋体" w:hAnsi="宋体" w:cs="宋体"/>
          <w:b w:val="0"/>
          <w:bCs/>
          <w:sz w:val="24"/>
          <w:szCs w:val="24"/>
          <w:highlight w:val="none"/>
          <w:lang w:val="en-US"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47"/>
        <w:gridCol w:w="683"/>
        <w:gridCol w:w="6236"/>
        <w:gridCol w:w="746"/>
        <w:gridCol w:w="416"/>
      </w:tblGrid>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rPr>
                <w:rFonts w:hint="eastAsia" w:ascii="宋体" w:hAnsi="宋体" w:eastAsia="宋体" w:cs="宋体"/>
                <w:b/>
                <w:bCs/>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产品名称</w:t>
            </w:r>
            <w:r>
              <w:rPr>
                <w:rFonts w:hint="eastAsia" w:ascii="宋体" w:hAnsi="宋体" w:eastAsia="宋体" w:cs="宋体"/>
                <w:b/>
                <w:bCs/>
                <w:i w:val="0"/>
                <w:iCs w:val="0"/>
                <w:color w:val="000000"/>
                <w:sz w:val="22"/>
                <w:szCs w:val="22"/>
                <w:highlight w:val="none"/>
                <w:u w:val="none"/>
              </w:rPr>
            </w:r>
            <w:r/>
          </w:p>
        </w:tc>
        <w:tc>
          <w:tcPr>
            <w:tcW w:w="3656" w:type="dxa"/>
            <w:vAlign w:val="center"/>
            <w:textDirection w:val="lrTb"/>
            <w:noWrap/>
          </w:tcPr>
          <w:p>
            <w:pPr>
              <w:pStyle w:val="76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招标技术参数要求</w:t>
            </w:r>
            <w:r>
              <w:rPr>
                <w:rFonts w:hint="eastAsia" w:ascii="宋体" w:hAnsi="宋体" w:eastAsia="宋体" w:cs="宋体"/>
                <w:b/>
                <w:bCs/>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数量</w:t>
            </w:r>
            <w:r>
              <w:rPr>
                <w:rFonts w:hint="eastAsia" w:ascii="宋体" w:hAnsi="宋体" w:eastAsia="宋体" w:cs="宋体"/>
                <w:b/>
                <w:bCs/>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单位</w:t>
            </w:r>
            <w:r>
              <w:rPr>
                <w:rFonts w:hint="eastAsia" w:ascii="宋体" w:hAnsi="宋体" w:eastAsia="宋体" w:cs="宋体"/>
                <w:b/>
                <w:bCs/>
                <w:i w:val="0"/>
                <w:iCs w:val="0"/>
                <w:color w:val="000000"/>
                <w:sz w:val="22"/>
                <w:szCs w:val="22"/>
                <w:highlight w:val="none"/>
                <w:u w:val="none"/>
              </w:rPr>
            </w:r>
            <w:r/>
          </w:p>
        </w:tc>
      </w:tr>
      <w:tr>
        <w:trPr>
          <w:trHeight w:val="289"/>
        </w:trPr>
        <w:tc>
          <w:tcPr>
            <w:gridSpan w:val="5"/>
            <w:tcW w:w="8528" w:type="dxa"/>
            <w:vAlign w:val="center"/>
            <w:textDirection w:val="lrTb"/>
            <w:noWrap/>
          </w:tcPr>
          <w:p>
            <w:pPr>
              <w:pStyle w:val="76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一、传统体育器材</w:t>
            </w:r>
            <w:r>
              <w:rPr>
                <w:rFonts w:hint="eastAsia" w:ascii="宋体" w:hAnsi="宋体" w:eastAsia="宋体" w:cs="宋体"/>
                <w:b/>
                <w:bCs/>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篮球（训练）</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＃1、等级：训练用篮球。规格：7号篮球；柔软PU表皮；定制橡胶内胆；圆周长749-780mm，质量567-650g；圆周差≤3mm，圆度：最大半径差≤1.5%，反弹高度：</w:t>
            </w:r>
            <w:r>
              <w:rPr>
                <w:rFonts w:hint="eastAsia" w:ascii="宋体" w:hAnsi="宋体" w:eastAsia="宋体" w:cs="宋体"/>
                <w:i w:val="0"/>
                <w:iCs w:val="0"/>
                <w:color w:val="000000"/>
                <w:sz w:val="22"/>
                <w:szCs w:val="22"/>
                <w:highlight w:val="none"/>
                <w:u w:val="none"/>
                <w:lang w:val="en-US" w:eastAsia="zh-CN" w:bidi="ar"/>
              </w:rPr>
              <w:t xml:space="preserve">1200-1400mm。                                                                                                                                                                                                                                                    </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篮球（比赛）</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＃1、等级：竞赛用篮球。规格：7号篮球；材质：高档优质耐磨PU；50%定基内胆；圆周长749-758mm，质量567-650g；圆周差≤3mm，圆度：最大半径差≤1.5%，反弹高度：1200-1400mm。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＃3、所</w:t>
            </w:r>
            <w:r>
              <w:rPr>
                <w:rFonts w:hint="eastAsia" w:ascii="宋体" w:hAnsi="宋体" w:eastAsia="宋体" w:cs="宋体"/>
                <w:i w:val="0"/>
                <w:iCs w:val="0"/>
                <w:color w:val="000000"/>
                <w:sz w:val="22"/>
                <w:szCs w:val="22"/>
                <w:highlight w:val="none"/>
                <w:u w:val="none"/>
                <w:lang w:val="en-US" w:eastAsia="zh-CN" w:bidi="ar"/>
              </w:rPr>
              <w:t xml:space="preserve">投产品符合GB/T22868- 2008《篮球》竞赛用篮球（一级）标准。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足球（训练）</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＃1、等级：训练用足球。规格：5号足球；材质:球面材质:PU+EVA；高密度丁基橡胶内胆；圆周长680mm～700mm，质量400g~420g；圆周差≤3mm；反弹高度：1300-1400mm。</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足球（比赛）</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＃1、等级：竞赛用足球。规格：5号足球；材质:高档PU+高档EVA表皮；高弹丁基橡胶内胆；圆周长680mm～700mm，质量425g~445g；圆周差≤3mm；反弹高度：1300-1400mm。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＃3、所投产品需符合GB/T22892-2008《足球》竞赛用足球（一级）标准。）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守门员手套</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＃1、龙门手套颜色:荧光橙/绿手心。材质:天然乳胶手背/手腕材质:聚酯纤维。规格:8号/9号/10号。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＃2、功能:4mm防滑乳胶吸湿透气/弹性材质/防护减震/贴合手掌双层护腕设计韧性护指弹片。</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排球（训练）</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＃1、等级:训练用排球。规格：5号排球；材质：亚超细皮革，中胎材质:训练比赛级中胎，排球构造:内胆，中胎，外皮革三层；圆周长650-670mm;质量：260-280g；气密性：气压下降允</w:t>
            </w:r>
            <w:r>
              <w:rPr>
                <w:rFonts w:hint="eastAsia" w:ascii="宋体" w:hAnsi="宋体" w:eastAsia="宋体" w:cs="宋体"/>
                <w:i w:val="0"/>
                <w:iCs w:val="0"/>
                <w:color w:val="000000"/>
                <w:sz w:val="22"/>
                <w:szCs w:val="22"/>
                <w:highlight w:val="none"/>
                <w:u w:val="none"/>
                <w:lang w:val="en-US" w:eastAsia="zh-CN" w:bidi="ar"/>
              </w:rPr>
              <w:t xml:space="preserve">差≤4%；反弹高度：1100-1400mm；耐冲击性能：冲击后膨胀率≤1.03，冲击后变形值≤3mm，冲击后球内压下降率≤6%。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排球（比赛）</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＃1、等级:竞赛用排球。规格：5号排球；材质</w:t>
            </w:r>
            <w:r>
              <w:rPr>
                <w:rFonts w:hint="eastAsia" w:ascii="宋体" w:hAnsi="宋体" w:eastAsia="宋体" w:cs="宋体"/>
                <w:i w:val="0"/>
                <w:iCs w:val="0"/>
                <w:color w:val="000000"/>
                <w:sz w:val="22"/>
                <w:szCs w:val="22"/>
                <w:highlight w:val="none"/>
                <w:u w:val="none"/>
                <w:lang w:val="en-US" w:eastAsia="zh-CN" w:bidi="ar"/>
              </w:rPr>
              <w:t xml:space="preserve">：超纤PU；定制橡胶内胆；排球构造:内胆，中胎，外皮革三层；圆周长650-670mm;质量：260-280g；气密性：气压下降允差≤4%；反弹高度：1100-1400mm；耐冲击性能：冲击后膨胀率≤1.03，冲击后变形值≤3mm，冲击后球内压下降率≤6%。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＃2、所投产品需符合GB/T22882-2008《排球》标准竞赛用排球（一级）标准。</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羽毛球拍</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＃1、规格2支装；拍框材质:铁合金一体拍杆；击球手感:适中长度:约67cm+5mm；建议磅数:18-22LBS。颜色:蓝/紫/绿/红。</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羽毛球</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＃1、球口外径65mm～68mm，球头直径25mm～27mm，球头高 度24mm～26mm，毛片插长63mm～64mm，质量4.50g～ 5.80g，毛片数量≥16片。球头为复合软木材质，毛片为天然羽毛。</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支</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乒乓球拍（训练）</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＃1、2支为1副（一直一横）材质：7层纯木底板，双面反胶，击球的拍面应用一层齿粒向外的胶粒片覆盖，连同粘合剂，厚度应≤2mm,连同粘合剂，厚度应≤4mm,底板与胶粒片或海绵胶粒片的粘接结合力应≥3N。</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乒乓球拍（比赛）</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＃1、2支为1副（一直一横）材质：底板：纯木底板，厚度偏常规，自重较轻。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＃2、胶皮：双面反胶，基础粘性胶皮，可打出基础旋转，满足日常休闲击球需求。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＃3、握拍规格：套装一般为1支直拍+1支横拍，适配不同握拍习惯；也有双直拍、双横拍版本可选。单支球拍毛重约220g，整套含包装、球总毛重约500g。</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副</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＃1、材质:环保ABS；球重:≤2.8g，功能性:H40+国际标准尺寸/高弹单耐打40mm+ABS。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＃2、圆度：直径40mm±0.4mm，平均直径标准偏差≤ 0.06mm，最大直径和最小直径差≤0.25mm;标准偏差≤0.06mm；质量：2.67g-2.77g；弹跳：240mm～260mm：硬度：两部受压下陷度≤0.85mm。</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乒乓球发球机</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＃1、重量：净重≥9.2KG。 颜色：黑色。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＃2、功能特点:可发9种旋转球+1种不旋转球，可上下调整出球角度，可随机调整左右角度，可自动卸球。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＃3、电源：额定电压:100~240V，额定功率:48W。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＃4、核心性能参数：出球频率:40~80个/分钟；出球速度:4~15球/S，最大储球量:150只；旋转类型：上旋球、下旋球、不旋球、左右旋球、侧旋球；适配球台：标准乒乓球台通用，支持多落点覆盖。</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乒乓球台（室内比赛）</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＃1、规格尺寸:台长≥2740mm;台宽≥1525mm;台高≥760mm。平面度:≤4mm物理性能弹性:220-250mm弹性均匀度:≤15mm;台面光泽度:≤15;度台面摩擦系数:≤0.6。</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＃2、颜色:蓝 台面材质:台面由15mm加厚密度面板，桌角是40mm加粗方管。台脚装。有8个50mm的移动脚轮，4个脚轮带有刹车功能，台脚装有4个螺旋调节脚垫。顺时针或逆时针拧转可微调桌角高度，以使球台达到最佳的稳定水平。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＃3、产品特色:本款球桌可折叠竖放，移动式推拉自如，15mm加厚密度面板，质量好，弹性足。</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乒乓球台（室外训练）</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＃1、产品尺寸：长度≥2740mm；宽度≥1500mm；高度≥760mm。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＃2、材质：热镀锌圆钢、钢管。表面处理：脱脂-酸洗-磷化-静电喷塑、脱脂-抛丸-静电喷涂。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＃3、主立柱:≥60mmX3.0mm， 主要承载结构:≥33mmX3.0mm。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安装方式：预埋式。台面采用SMC材料，要求高分子复合材料高温模压成型，具有环保、外形美观、稳定性好、弹性好、耐候性强（可适应±40℃温差）、防静电、防腐蚀、阻燃、台面不断裂、不变形、不变色等特点，翻边高度46mm±2mm；背面主加强筋高度18mm，主加强筋横切面呈梯形，背面采用井字型结构和小米字型结构加强筋双结构组成，田子型加强框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＃5、结构特点：彩虹腿，螺栓连接牢固，支架直径≥60 mm的圆管,厚≥3.0 mm，弓形，球台网架为小圆孔设计，一次性冲孔而成。能有效防止手指伸入产生危险。圆管为加厚圆管折弯与网架焊接而成，表面进行采用脱脂-酸洗-磷化-静电喷塑、脱脂-抛丸-静电喷涂处理,能适应潮湿和酸雨环境，不会出现脱落、锈蚀等现象。</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足球架球网</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＃1、11人人制足球网，≥2.6米高，≥7.5米长。                                                                                                                                                                                                      </w:t>
            </w:r>
            <w:r>
              <w:rPr>
                <w:rFonts w:hint="eastAsia" w:ascii="宋体" w:hAnsi="宋体" w:eastAsia="宋体" w:cs="宋体"/>
                <w:i w:val="0"/>
                <w:iCs w:val="0"/>
                <w:color w:val="000000"/>
                <w:sz w:val="22"/>
                <w:szCs w:val="22"/>
                <w:highlight w:val="none"/>
                <w:u w:val="none"/>
                <w:lang w:val="en-US" w:eastAsia="zh-CN" w:bidi="ar"/>
              </w:rPr>
              <w:t xml:space="preserve">                                                                                                                                                                                                                                 ＃2、材质：涤纶编织绳，球网绳径:≥5mm，孔径:≥12cm。</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排球网架套装</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＃1、移动式羽排网气排球多用柱，箱体≥40cmx60cmx30cm。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＃2、材质：连接方管≥10cm*10cm,可加砂石水泥配重≥25公斤1付,带移动轮子；钢管壁厚≥2.0mm，调节高度155~243cm，采用折盖工艺，中间带锁扣，箱体铁板厚度~1.2mm。</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羽毛球网架套装</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＃1、立杆直径≥40mm,壁厚≥2.0mm优质铁管，带电镀紧线器，顶端ABS加厚滑轮，全身经过高温静电喷涂，防雨防晒。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＃2、底座尺寸≥60x33x10cm，采用优质ABS塑料材质，内部水泥浇筑，带移动轮子，移动方便。                                                                                                                                                                                                   </w:t>
            </w:r>
            <w:r>
              <w:rPr>
                <w:rFonts w:hint="eastAsia" w:ascii="宋体" w:hAnsi="宋体" w:eastAsia="宋体" w:cs="宋体"/>
                <w:i w:val="0"/>
                <w:iCs w:val="0"/>
                <w:color w:val="000000"/>
                <w:sz w:val="22"/>
                <w:szCs w:val="22"/>
                <w:highlight w:val="none"/>
                <w:u w:val="none"/>
                <w:lang w:val="en-US" w:eastAsia="zh-CN" w:bidi="ar"/>
              </w:rPr>
              <w:t xml:space="preserve">                                                                                                                                                                                                                                     ＃3、整体高度≥155cm,整体重量为≥70kg/对。</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高脚裁判椅</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＃1、裁判椅主体由≥3x3cm的优质方管焊接而成。可拆装，后底部带有移动轮子，4个落地脚带有防滑可调节支撑装置，有效防止划伤地板，并可调节平衡；座椅是优质的ABS材质。                                                                                                                    ＃2、排球裁判椅总高≥245cm，座位高≥200cm，下面宽≥110x96cm。</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球类存放架</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＃1、尺寸：≥129cm长X37cm宽X125cm高。                                                                                                                                                                                                                           </w:t>
            </w:r>
            <w:r>
              <w:rPr>
                <w:rFonts w:hint="eastAsia" w:ascii="宋体" w:hAnsi="宋体" w:eastAsia="宋体" w:cs="宋体"/>
                <w:i w:val="0"/>
                <w:iCs w:val="0"/>
                <w:color w:val="000000"/>
                <w:sz w:val="22"/>
                <w:szCs w:val="22"/>
                <w:highlight w:val="none"/>
                <w:u w:val="none"/>
                <w:lang w:val="en-US" w:eastAsia="zh-CN" w:bidi="ar"/>
              </w:rPr>
              <w:t xml:space="preserve">                                                                                                                                                                                                                            ＃2、两边框25mm圆管，0.8mm厚；横杆19mm，圆管0.7mm厚。</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球拍存放柜</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＃1、基材:优质冷轧钢板，板厚≥0.6mm，耐压、强度大、抗冲击不易变形、表面水平底≥0.5mm，最大间隙2mm。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＃2、表面处理:酸洗、磷化、高压静电喷塑、绿色环保、表面平滑、涂层坚固、内外涂层色泽一致。                                                                                                                                                                                     </w:t>
            </w:r>
            <w:r>
              <w:rPr>
                <w:rFonts w:hint="eastAsia" w:ascii="宋体" w:hAnsi="宋体" w:eastAsia="宋体" w:cs="宋体"/>
                <w:i w:val="0"/>
                <w:iCs w:val="0"/>
                <w:color w:val="000000"/>
                <w:sz w:val="22"/>
                <w:szCs w:val="22"/>
                <w:highlight w:val="none"/>
                <w:u w:val="none"/>
                <w:lang w:val="en-US" w:eastAsia="zh-CN" w:bidi="ar"/>
              </w:rPr>
              <w:t xml:space="preserve">                                                                                                                                                                                                                                ＃3、规格尺寸: ≥1800mm长x850mm宽x390mm高。</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球类收纳推车</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＃1、规格尺寸：≥90cm长*66cm宽*76cm高 。                                                                                                                                                                                                                                  </w:t>
            </w:r>
            <w:r>
              <w:rPr>
                <w:rFonts w:hint="eastAsia" w:ascii="宋体" w:hAnsi="宋体" w:eastAsia="宋体" w:cs="宋体"/>
                <w:i w:val="0"/>
                <w:iCs w:val="0"/>
                <w:color w:val="000000"/>
                <w:sz w:val="22"/>
                <w:szCs w:val="22"/>
                <w:highlight w:val="none"/>
                <w:u w:val="none"/>
                <w:lang w:val="en-US" w:eastAsia="zh-CN" w:bidi="ar"/>
              </w:rPr>
              <w:t xml:space="preserve">                                                                                                                                                                                                                                       ＃2、方管≥19mm,壁厚≥0.7mm;圆管≥16</w:t>
            </w:r>
            <w:r>
              <w:rPr>
                <w:rFonts w:hint="eastAsia" w:ascii="宋体" w:hAnsi="宋体" w:eastAsia="宋体" w:cs="宋体"/>
                <w:i w:val="0"/>
                <w:iCs w:val="0"/>
                <w:color w:val="000000"/>
                <w:sz w:val="22"/>
                <w:szCs w:val="22"/>
                <w:highlight w:val="none"/>
                <w:u w:val="none"/>
                <w:lang w:val="en-US" w:eastAsia="zh-CN" w:bidi="ar"/>
              </w:rPr>
              <w:t xml:space="preserve">mm,壁厚≥0.6mm; 焊接工艺：氩弧焊接，焊点牢固，整体结构稳定，无虚焊、假焊。                                                                                                                                                                                                                      </w:t>
            </w:r>
            <w:r>
              <w:rPr>
                <w:rFonts w:hint="eastAsia" w:ascii="宋体" w:hAnsi="宋体" w:eastAsia="宋体" w:cs="宋体"/>
                <w:i w:val="0"/>
                <w:iCs w:val="0"/>
                <w:color w:val="000000"/>
                <w:sz w:val="22"/>
                <w:szCs w:val="22"/>
                <w:highlight w:val="none"/>
                <w:u w:val="none"/>
                <w:lang w:val="en-US" w:eastAsia="zh-CN" w:bidi="ar"/>
              </w:rPr>
              <w:t xml:space="preserve">                                                                                                                                                                                                                                    ＃3、容量：7号篮球24-26颗，5号篮球30-36颗。</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架</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球类气压表</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＃1、毛重≥92克，材质:铜，不锈钢。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＃2、测量范围：0-1.4bar / 0-20psi，双刻度显示，读数直观。                                                                                                                                                 </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跳高设备套装</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＃1、跳高架由底座，移动立柱，横杆托架微调支脚构成。底座：≥320*320mm厚≥2.5mm,产品形式简洁，结构合理，可拆装，便于运输和包装。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＃2、固定立柱与移动立柱选用铝合金型材，表面氧化处理，固定立柱采用≥40*50mm的铝合金方管，刻度调节范围300-2300mm，升降立柱采用≥38*25mm,的铝合金管，两端塑料塞封口。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＃3、底部设有PU滚轮，移动方便。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＃4、跳高架横杆托架≥40*60mm采用塑料材质安全，牢固等优点且上下移动方便。</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跳高垫</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＃1、规格：≥3000mm长*2000mm宽*300mm厚。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套经缝纫组合，四角为直角，每个角均有皮革复合保护，棱角加白牙子，置4个把手。人造海绵于垫套内缝合形成，当载荷落到垫子上时，凹陷深度平均为30～40mm，弹跳高度为20～120mm。具有防滑性、耐磨性、内置海绵一次成型，无接缝、无味环保，压缩强度测试≥100kpa,吸水率测试≤0.6%，符合国家标准。表面平整无皱折，当载荷落至跳垫时，垫外层不会起皱折，里外层不会发生相对位移。</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体操垫</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＃1、小体操垫规格：≥1200mm长*600mm宽*50mm厚。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内胆材质为采用泡沫塑料和泡沫乳胶，帆布或人造革外皮，长1200mm±5mm,宽600mm±5mm,厚≥50mm。在长度方向可对半折叠，两侧应各有提手。垫套材质为4×4精细帆布，颜色为军绿色。可在长度方向对半折叠，体操垫长度方向两侧设提手把，在垫子四周加装粘扣，便于拼接使用。涤纶线缝合，两面革贴角，棱角加红或白牙子。跳垫的四角为直角，四周仿皮革包角：表面平整，无皱折，当载荷落至体操垫时，外层不得起皱，里外层不得发生相对位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＃3、当载荷落至跳垫时，外层不得起皱，里外层不得发生相对位移。</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电子记分牌</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＃1、电子记分牌特点：加厚加密全钣金机箱不变形超耐用、坚固、稳定，尺寸：≥60*120cm。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＃2、4G无线电遥控操作、队名（5字显示）、比分、球权、场次、暂停、犯规、比赛时间、24秒、一键回位14秒、一键讯响。适用于篮球、羽毛球、乒乓球、足球、排球、手球、水球等球类比赛。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＃3、配备移动支架。</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手动翻分牌</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＃1、手动金属记分牌黑红，局分0～9，比分 000:000-999:999。</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＃2、尺寸：长宽高≥55x19x21cm。材质：铁板+PVC。结构：台式三角支撑设计，摆放稳定，可折叠收纳。</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裁判哨子</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＃1、材质:环保ABS颜色;红黄蓝黑绿适用:各类比赛裁判用，遇险求救用，军训用，指挥交通，户外远足等。音量：≥130分贝。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电子秒表</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双排多道1/100秒)功能:-秒表计时--多道记忆、储存、重现-1/100秒精确计时分散、重叠和累计即分段或分区和总时间的计量-最快、最慢、平均时间计量-定时倒数器步进节拍器·显示时间:时、分、秒、年、月、日、星期-潲示闹钟:时、分、秒唛加入购物车时格式选择。</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发令枪</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＃1、5.6mm定装发令弹。容弹器:装弹≥2发。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＃2、击发方式:单发击发。声响:100米处≥60分贝。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＃3、烟雾:≥150米处清晰可见。</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发令台</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＃1、底座尺寸：≥69*63*45cm。烟屏直径≥40cm。烟屏低伸130～190cm。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座</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运动员号码布</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＃1、规格：≥20*30cm，涤纶材质。</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张</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起跑器</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＃1、材质：铝合金。尺寸长≥64cm;宽≥10cm，厚度≥3.6cm，脚登高≥16*17*11cm，脚蹬最远可调≥45cm。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接力棒</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＃1、材质:优质硬质</w:t>
            </w:r>
            <w:r>
              <w:rPr>
                <w:rFonts w:hint="eastAsia" w:ascii="宋体" w:hAnsi="宋体" w:eastAsia="宋体" w:cs="宋体"/>
                <w:i w:val="0"/>
                <w:iCs w:val="0"/>
                <w:color w:val="000000"/>
                <w:sz w:val="22"/>
                <w:szCs w:val="22"/>
                <w:highlight w:val="none"/>
                <w:u w:val="none"/>
                <w:lang w:val="en-US" w:eastAsia="zh-CN" w:bidi="ar"/>
              </w:rPr>
              <w:t xml:space="preserve">PVC环保塑料总长:280mm～300mm外径:30mm～42mm单支重量:≥50g。                                                                                                                                                                                                                     </w:t>
            </w:r>
            <w:r>
              <w:rPr>
                <w:rFonts w:hint="eastAsia" w:ascii="宋体" w:hAnsi="宋体" w:eastAsia="宋体" w:cs="宋体"/>
                <w:i w:val="0"/>
                <w:iCs w:val="0"/>
                <w:color w:val="000000"/>
                <w:sz w:val="22"/>
                <w:szCs w:val="22"/>
                <w:highlight w:val="none"/>
                <w:u w:val="none"/>
                <w:lang w:val="en-US" w:eastAsia="zh-CN" w:bidi="ar"/>
              </w:rPr>
              <w:t xml:space="preserve">                                                                                                                                                                                                                                          ＃2、外观配色:经典红白对半拼接表面工艺:光</w:t>
            </w:r>
            <w:r>
              <w:rPr>
                <w:rFonts w:hint="eastAsia" w:ascii="宋体" w:hAnsi="宋体" w:eastAsia="宋体" w:cs="宋体"/>
                <w:i w:val="0"/>
                <w:iCs w:val="0"/>
                <w:color w:val="000000"/>
                <w:sz w:val="22"/>
                <w:szCs w:val="22"/>
                <w:highlight w:val="none"/>
                <w:u w:val="none"/>
                <w:lang w:val="en-US" w:eastAsia="zh-CN" w:bidi="ar"/>
              </w:rPr>
              <w:t xml:space="preserve">滑无毛刺、防滑哑光质感，结构:一体成型实心/加厚中空，耐摔耐撞。                                                                                                                                                                                                                                </w:t>
            </w:r>
            <w:r>
              <w:rPr>
                <w:rFonts w:hint="eastAsia" w:ascii="宋体" w:hAnsi="宋体" w:eastAsia="宋体" w:cs="宋体"/>
                <w:i w:val="0"/>
                <w:iCs w:val="0"/>
                <w:color w:val="000000"/>
                <w:sz w:val="22"/>
                <w:szCs w:val="22"/>
                <w:highlight w:val="none"/>
                <w:u w:val="none"/>
                <w:lang w:val="en-US" w:eastAsia="zh-CN" w:bidi="ar"/>
              </w:rPr>
              <w:t xml:space="preserve">                                                                                                                                                                                                                          ＃3、适用场景:中小学运动防水耐磨规格制式:标准田径赛事通用尺寸，握持顺手。</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百米阻力训练器</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＃1、阻力范围：3.5KG～35KG；产品重量：≥65KG。产品长度：≥950mm；产品宽度：≥613mm；产品高度：≥730mm。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高低杠</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＃1、尺寸：≥3200*114*2700mm。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＃2、横杠材料：弹簧钢，立柱材料：≥90mm钢管。</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单杠</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＃1、杠面高度：1</w:t>
            </w:r>
            <w:r>
              <w:rPr>
                <w:rFonts w:hint="eastAsia" w:ascii="宋体" w:hAnsi="宋体" w:eastAsia="宋体" w:cs="宋体"/>
                <w:i w:val="0"/>
                <w:iCs w:val="0"/>
                <w:color w:val="000000"/>
                <w:sz w:val="22"/>
                <w:szCs w:val="22"/>
                <w:highlight w:val="none"/>
                <w:u w:val="none"/>
                <w:lang w:val="en-US" w:eastAsia="zh-CN" w:bidi="ar"/>
              </w:rPr>
              <w:t xml:space="preserve">200mm～2000mm。两立柱支点中心距：2000mm～2400mm。横杠材料：弹簧钢，立柱材料：90mm钢管。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肋木架</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＃1、规格:长宽高≥1350*114*2600mm。                                                                                                                                                                </w:t>
            </w:r>
            <w:r>
              <w:rPr>
                <w:rFonts w:hint="eastAsia" w:ascii="宋体" w:hAnsi="宋体" w:eastAsia="宋体" w:cs="宋体"/>
                <w:i w:val="0"/>
                <w:iCs w:val="0"/>
                <w:color w:val="000000"/>
                <w:sz w:val="22"/>
                <w:szCs w:val="22"/>
                <w:highlight w:val="none"/>
                <w:u w:val="none"/>
                <w:lang w:val="en-US" w:eastAsia="zh-CN" w:bidi="ar"/>
              </w:rPr>
              <w:t xml:space="preserve">                                                                                                            ＃2、立柱直径≥114mm，厚≥3mm,高≥3000mm,内宽≥1000mm。横杆直径材质32mm，厚≥2.5mm,间距30cm,钢件部分均经酸洗、磷化、烤漆处理,能适应潮湿和酸雨环境不会出现脱落、锈蚀等现象。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实心球</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＃1、充气实心球材质：橡胶，内填细沙，可充气，1kg小学训练直径≥11cm，充气实心球防滑胶粒，柔软安全，内有气体，落地缓冲保护，延长适用寿命圆周长350mm～780mm,质量1000g±30g。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＃2、PVC软性材料，可充气设计，球体表面有规则的防滑圆点,不应有颗粒脱落、裂缝等缺陷。                                                                                                                                                                                        </w:t>
            </w:r>
            <w:r>
              <w:rPr>
                <w:rFonts w:hint="eastAsia" w:ascii="宋体" w:hAnsi="宋体" w:eastAsia="宋体" w:cs="宋体"/>
                <w:i w:val="0"/>
                <w:iCs w:val="0"/>
                <w:color w:val="000000"/>
                <w:sz w:val="22"/>
                <w:szCs w:val="22"/>
                <w:highlight w:val="none"/>
                <w:u w:val="none"/>
                <w:lang w:val="en-US" w:eastAsia="zh-CN" w:bidi="ar"/>
              </w:rPr>
              <w:t xml:space="preserve">                                                                                                                                                                                                    ＃3、采用适宜的软性材料，球体表面应进行防滑处理,不应有颗粒脱落、裂缝等缺陷,经过从10m高处自由落体试验后，应无破裂。</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铅球</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＃1、额定重量:3.000kg～3.030kg，重量误差≤30g。球体直径:标准90mm(9cm)，区间85-99mm。材质：校园训练款:实心铸铁，表面银灰喷塑防锈，球体重心距球体中心距离≤6mm。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＃2、专业比赛款:碳钢/不锈钢一体浇筑，重心偏差≤6mm。</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拔河绳</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＃1、规格：长≥30m,质量≥10kg,采用天然麻棕线绞制。</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跳绳</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＃1、短跳绳，2600mm～2800mm,直径≥5mm,手柄长100～120mm,直径18mm～28mm;质量90g～120g。手柄材质:PP+EVA，绳为棉线材料。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毽子</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＃1、球高130mm～180mm，球重10g～13g，毽垫直径30mm～32mm，厚度3mm～4mm。                                                                                           </w:t>
            </w:r>
            <w:r>
              <w:rPr>
                <w:rFonts w:hint="eastAsia" w:ascii="宋体" w:hAnsi="宋体" w:eastAsia="宋体" w:cs="宋体"/>
                <w:i w:val="0"/>
                <w:iCs w:val="0"/>
                <w:color w:val="000000"/>
                <w:sz w:val="22"/>
                <w:szCs w:val="22"/>
                <w:highlight w:val="none"/>
                <w:u w:val="none"/>
                <w:lang w:val="en-US" w:eastAsia="zh-CN" w:bidi="ar"/>
              </w:rPr>
              <w:t xml:space="preserve">                                                                                                                                                                                                                                        ＃2、键毛应采用8支～10支彩色鸡羽，扎成圆形。</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沙包</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＃1、双层帆布扁沙包尺寸:边长≥8cm±0.5cm。                                                                                                                                                                                                </w:t>
            </w:r>
            <w:r>
              <w:rPr>
                <w:rFonts w:hint="eastAsia" w:ascii="宋体" w:hAnsi="宋体" w:eastAsia="宋体" w:cs="宋体"/>
                <w:i w:val="0"/>
                <w:iCs w:val="0"/>
                <w:color w:val="000000"/>
                <w:sz w:val="22"/>
                <w:szCs w:val="22"/>
                <w:highlight w:val="none"/>
                <w:u w:val="none"/>
                <w:lang w:val="en-US" w:eastAsia="zh-CN" w:bidi="ar"/>
              </w:rPr>
              <w:t xml:space="preserve">                                                                                                                                                                                                                                     ＃2、重量:150g±5g。材质:材质帆布+内物稻壳。</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46</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丢沙包盘</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＃1、1.5M*1.5M布制靶盘。靶盘材质：加厚牛津布 / 帆布面料，防水防污，可反复投掷不易破损。</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47</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滚铁环</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＃1、铁环直径50cm+2cm，钢筋直径≥6.5mm 。                                                       </w:t>
            </w:r>
            <w:r>
              <w:rPr>
                <w:rFonts w:hint="eastAsia" w:ascii="宋体" w:hAnsi="宋体" w:eastAsia="宋体" w:cs="宋体"/>
                <w:i w:val="0"/>
                <w:iCs w:val="0"/>
                <w:color w:val="000000"/>
                <w:sz w:val="22"/>
                <w:szCs w:val="22"/>
                <w:highlight w:val="none"/>
                <w:u w:val="none"/>
                <w:lang w:val="en-US" w:eastAsia="zh-CN" w:bidi="ar"/>
              </w:rPr>
              <w:t xml:space="preserve">                                                                                                                                                                                                                                           ＃2、伸缩杆280mm-730mm可伸缩。</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48</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陀螺</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＃1、陀螺材质：槐木材质，直径≥6cm陀螺。                                                                                                                                                                                               </w:t>
            </w:r>
            <w:r>
              <w:rPr>
                <w:rFonts w:hint="eastAsia" w:ascii="宋体" w:hAnsi="宋体" w:eastAsia="宋体" w:cs="宋体"/>
                <w:i w:val="0"/>
                <w:iCs w:val="0"/>
                <w:color w:val="000000"/>
                <w:sz w:val="22"/>
                <w:szCs w:val="22"/>
                <w:highlight w:val="none"/>
                <w:u w:val="none"/>
                <w:lang w:val="en-US" w:eastAsia="zh-CN" w:bidi="ar"/>
              </w:rPr>
              <w:t xml:space="preserve">                                                                                                                                                                                                                                               ＃2、重量200克±2g，带抽鞭。</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49</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空竹</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＃1、主体直径120mm±2mm，高度135mm±2mm。杆子长280mm±5mm，绳子长1300mm±5mm。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＃2、聚乙烯材质，丙烯金属。</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竹竿</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＃1、长度3000mm±5mm，直径35mm±2mm。                                                                                                                                                                                              </w:t>
            </w:r>
            <w:r>
              <w:rPr>
                <w:rFonts w:hint="eastAsia" w:ascii="宋体" w:hAnsi="宋体" w:eastAsia="宋体" w:cs="宋体"/>
                <w:i w:val="0"/>
                <w:iCs w:val="0"/>
                <w:color w:val="000000"/>
                <w:sz w:val="22"/>
                <w:szCs w:val="22"/>
                <w:highlight w:val="none"/>
                <w:u w:val="none"/>
                <w:lang w:val="en-US" w:eastAsia="zh-CN" w:bidi="ar"/>
              </w:rPr>
              <w:t xml:space="preserve">                                                                                                                                                                                                                                                    ＃2、满足竹竿舞的需求。</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51</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拍皮球</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＃1、可充气拍皮球材质：PVC材质，尺寸：直径200mm±20mm。                                  </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52</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趣味平衡木</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＃1、可折叠结构，外包绒布材料。                                                                                    </w:t>
            </w:r>
            <w:r>
              <w:rPr>
                <w:rFonts w:hint="eastAsia" w:ascii="宋体" w:hAnsi="宋体" w:eastAsia="宋体" w:cs="宋体"/>
                <w:i w:val="0"/>
                <w:iCs w:val="0"/>
                <w:color w:val="000000"/>
                <w:sz w:val="22"/>
                <w:szCs w:val="22"/>
                <w:highlight w:val="none"/>
                <w:u w:val="none"/>
                <w:lang w:val="en-US" w:eastAsia="zh-CN" w:bidi="ar"/>
              </w:rPr>
              <w:t xml:space="preserve">                                                                                                                                                                                                                                    ＃2、总长1800mm±5mm，宽度100mm±5mm。</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53</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趣味毛毛虫</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＃1、配置人数≥6人位。材质：PVC夹网布材质，不低于46丝。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54</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袋鼠跳袋</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＃1、数字袋鼠跳70cm，双层牛津布材质；                                                                   </w:t>
            </w:r>
            <w:r>
              <w:rPr>
                <w:rFonts w:hint="eastAsia" w:ascii="宋体" w:hAnsi="宋体" w:eastAsia="宋体" w:cs="宋体"/>
                <w:i w:val="0"/>
                <w:iCs w:val="0"/>
                <w:color w:val="000000"/>
                <w:sz w:val="22"/>
                <w:szCs w:val="22"/>
                <w:highlight w:val="none"/>
                <w:u w:val="none"/>
                <w:lang w:val="en-US" w:eastAsia="zh-CN" w:bidi="ar"/>
              </w:rPr>
              <w:t xml:space="preserve">                                                                                                                                                                                                                                                   ＃2、适应儿童青少年使用。</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55</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两人三足绑带</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＃1、绑腿带总长≥49cm，宽≥5cm。</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56</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趣味接力套圈+标志桶</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＃1、规格:长宽高≥33*14.5*14.5cm。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＃2、两个大号塔12个套圈大中小各四个。</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＃3、底座高度：约 30-40cm，分 5 层彩</w:t>
            </w:r>
            <w:r>
              <w:rPr>
                <w:rFonts w:hint="eastAsia" w:ascii="宋体" w:hAnsi="宋体" w:eastAsia="宋体" w:cs="宋体"/>
                <w:i w:val="0"/>
                <w:iCs w:val="0"/>
                <w:color w:val="000000"/>
                <w:sz w:val="22"/>
                <w:szCs w:val="22"/>
                <w:highlight w:val="none"/>
                <w:u w:val="none"/>
                <w:lang w:val="en-US" w:eastAsia="zh-CN" w:bidi="ar"/>
              </w:rPr>
              <w:t xml:space="preserve">虹段（红/橙/黄/绿/蓝/紫渐变）。底座直径：底部直径约 12-15cm，顶部直径约 5cm。套圈尺寸：小号圈：直径约 10cm，中号圈：直径约 12cm，大号圈：直径约 15cm。                                                                                                                                                                     </w:t>
            </w:r>
            <w:r>
              <w:rPr>
                <w:rFonts w:hint="eastAsia" w:ascii="宋体" w:hAnsi="宋体" w:eastAsia="宋体" w:cs="宋体"/>
                <w:i w:val="0"/>
                <w:iCs w:val="0"/>
                <w:color w:val="000000"/>
                <w:sz w:val="22"/>
                <w:szCs w:val="22"/>
                <w:highlight w:val="none"/>
                <w:u w:val="none"/>
                <w:lang w:val="en-US" w:eastAsia="zh-CN" w:bidi="ar"/>
              </w:rPr>
              <w:t xml:space="preserve">                                                                                                                                                                                                                                     ＃4、材质：主体为环保 PP 塑料，无异味，安全无毒。</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57</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软式飞盘</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＃1、材质：柔软的PU(聚氨酯)。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＃2、直径≥20cm，厚≥3cm，重≥105g。</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58</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跳皮筋</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＃1、尺寸：长≥5000mm，宽≥10mm，厚度≥1.5mm。                                                                                                                                                                                                                </w:t>
            </w:r>
            <w:r>
              <w:rPr>
                <w:rFonts w:hint="eastAsia" w:ascii="宋体" w:hAnsi="宋体" w:eastAsia="宋体" w:cs="宋体"/>
                <w:i w:val="0"/>
                <w:iCs w:val="0"/>
                <w:color w:val="000000"/>
                <w:sz w:val="22"/>
                <w:szCs w:val="22"/>
                <w:highlight w:val="none"/>
                <w:u w:val="none"/>
                <w:lang w:val="en-US" w:eastAsia="zh-CN" w:bidi="ar"/>
              </w:rPr>
              <w:t xml:space="preserve">                                                                                                                                                                                                               ＃2、主体材质：高密度涤纶 / 尼龙编织，抗撕裂、耐磨、不易褪色防水防潮，可反复使用，抗拉强度高。</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59</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塑料呼啦圈</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＃1、规格：内径规格为≥700mm。材质：内芯：高强度塑料管材，韧性好不易断裂，外层：加厚泡沫海绵包裹。</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弹力带</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＃1、材质:TPE。尺寸：长≥2000mm,宽≥13mm,厚≥4.5mm。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＃2、阻力值:15-35LB。</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条</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61</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障碍桩</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＃1、尺寸：直径≥300mm,高度≥500mm。材质:TPE。</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62</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独轮车</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＃1、尺寸：轮直径180mm～200mm。质量约4Kg，高度可调节。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63</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组合篮球树</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＃1、规格：高≥3600mm，宽≥2400mm，5层高低篮筐。整体钢结构打造，树形移树外观。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64</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充气拱门</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＃1、材质：牛津布，长度：≥8米。配件：风机沙袋。面料：加厚 PVC 夹网布（0.55-0.6mm），耐磨、抗撕裂、防老化。                                                                                                                                                                                             </w:t>
            </w:r>
            <w:r>
              <w:rPr>
                <w:rFonts w:hint="eastAsia" w:ascii="宋体" w:hAnsi="宋体" w:eastAsia="宋体" w:cs="宋体"/>
                <w:i w:val="0"/>
                <w:iCs w:val="0"/>
                <w:color w:val="000000"/>
                <w:sz w:val="22"/>
                <w:szCs w:val="22"/>
                <w:highlight w:val="none"/>
                <w:u w:val="none"/>
                <w:lang w:val="en-US" w:eastAsia="zh-CN" w:bidi="ar"/>
              </w:rPr>
              <w:t xml:space="preserve">                                                                                                                                                                                                                     ＃4、工艺：高温热合焊接，接口牢固，不脱胶、不漏水。配件：配套专用鼓风机防风绳、沙袋。</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65</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音响设备</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＃1、喇叭尺寸:≥8寸低音、≥3.5寸高音；电池容量:4400mAh；话筒频点:259.1MHZ；额定功率:90W；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＃2、功能:蓝牙、语音、录音、话筒优先、顶部全功能面板、外接12V配件:单手持话筒、充电器、说明书；                                                                                                                                                    </w:t>
            </w:r>
            <w:r>
              <w:rPr>
                <w:rFonts w:hint="eastAsia" w:ascii="宋体" w:hAnsi="宋体" w:eastAsia="宋体" w:cs="宋体"/>
                <w:i w:val="0"/>
                <w:iCs w:val="0"/>
                <w:color w:val="000000"/>
                <w:sz w:val="22"/>
                <w:szCs w:val="22"/>
                <w:highlight w:val="none"/>
                <w:u w:val="none"/>
                <w:lang w:val="en-US" w:eastAsia="zh-CN" w:bidi="ar"/>
              </w:rPr>
              <w:t xml:space="preserve">                                                                                                                                                                                                                                ＃3、适用范围:户外活动(如体操、广场舞蹈、产品促销、旅行聚会等</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66</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视力筛查表</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＃1、长≥90cm，宽≥30cm，厚≥0.8cm。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＃2、适用距离 标准5米，部分款支持2.5米反光镜检测。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＃3、显示内容 标准E字视标，包含 0.1-1.5 视力等级。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＃4、光源 高亮度 LED 背光，色温 6500K，无频闪，亮度可调。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＃5、供电AC功率：220V，功率约：10-20W。                                </w:t>
            </w:r>
            <w:r>
              <w:rPr>
                <w:rFonts w:hint="eastAsia" w:ascii="宋体" w:hAnsi="宋体" w:eastAsia="宋体" w:cs="宋体"/>
                <w:i w:val="0"/>
                <w:iCs w:val="0"/>
                <w:color w:val="000000"/>
                <w:sz w:val="22"/>
                <w:szCs w:val="22"/>
                <w:highlight w:val="none"/>
                <w:u w:val="none"/>
                <w:lang w:val="en-US" w:eastAsia="zh-CN" w:bidi="ar"/>
              </w:rPr>
              <w:t xml:space="preserve">                                                                                                                                                                                                                                   ＃6、外壳 铝合金边框 + PS 面板，防刮耐磨，易清洁。</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67</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综合训练器</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＃1、产品尺寸：≥1960*1380*2300mm。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重量：≥440kg。 主管管材：≥50*100mm/2.0mm。配重：≥180kg。主架材质：国标钢材Q235。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＃2、锻炼肌肉：胸部、腹部、手臂、背部、腿部。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＃3、功能：飞鸟斜拉、高位下拉、交叉拉伸、双杠支撑、引体向上、飞鸟夹胸、自由深蹲、机械臂推举、史密斯深蹲、蝴蝶夹胸、摇臂推胸、史密斯硬拉、站姿史密斯、坐姿划船等多种功能。</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68</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多功能跑步机</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＃1、屏幕显示：7寸彩色显示窗口；微电脑控制系统：安卓系统，36个预设程序1个手动程序，显示实时心率。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＃2、马达：2.0HP，速度：大于1-16km/h，跑带面积：约128X45cm。</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69</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动感单车</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＃1、坐垫：上下左右可调节，产品净重：≥27KG 。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＃2、架：40x80mm椭圆钢管，承重：≥150KG，屏幕显示：LCD显示屏，电子表：运动数据显示仪表，全封闭式链罩，产品尺寸：长宽高≥115x50x110cm。</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70</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哑铃套装（含架）</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＃1、主体为钢结构，高档橡胶包裹，防滑耐用。包胶设计，防震防滑耐磨，手感好，保护地板。材质：高档橡胶+锻造钢内部一体式圆钢。规格：2.5/5/7.5/10/12.5/15/17.5/20/22.5KG哑铃各2只。</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71</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杠铃套装</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＃1、搭配不同配重的电镀杠铃片≥100kg。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＃2、材质：杠铃杆：1.5m小孔杠铃杆1根，高强度碳钢，表面电镀处理，防滑防锈，不易弯曲变形；配重片：铸铁材质，表面镀铬/镀锌工艺，耐磨、防腐蚀，长期使用不易生锈。</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72</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止震垫</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＃1、材质：EVA发泡塑料。颜色：红/蓝双色（表面有物理压花，无毒，环保，防滑）。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2、尺寸：长100c×宽100cm（±1cm）,厚度：≥2.5cm。</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平方</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73</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弹性地板（运动木地板）</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＃1、防潮层：PE土工防潮薄膜。承载层：采用单或双龙骨做法，进行防腐处理。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＃2、龙骨间距≤400mm，根据是否将龙骨与地面做固定以及采用何种固定方式，将体育木地板分为悬浮式系统，固定式系统和固定悬浮式系统。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＃3、弹性垫层：弹性垫材料有PU、再生橡胶、橡胶、PVC等等不同种类，主要为系统提供吸震性能。稳定层：通常采用较大幅面的板材，主要有胶合板、OSB板等，尺寸基本为1.22*2.44米，厚度≥12mm。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＃4、面板：面板可采用实木复合或实木板。</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平方</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74</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舞蹈室压腿杆</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＃1、把杆采用松木实木内嵌锰钢，支架采用铁质烤漆，伸缩杆件采用不锈钢材质。                                                           </w:t>
            </w:r>
            <w:r>
              <w:rPr>
                <w:rFonts w:hint="eastAsia" w:ascii="宋体" w:hAnsi="宋体" w:eastAsia="宋体" w:cs="宋体"/>
                <w:i w:val="0"/>
                <w:iCs w:val="0"/>
                <w:color w:val="000000"/>
                <w:sz w:val="22"/>
                <w:szCs w:val="22"/>
                <w:highlight w:val="none"/>
                <w:u w:val="none"/>
                <w:lang w:val="en-US" w:eastAsia="zh-CN" w:bidi="ar"/>
              </w:rPr>
              <w:t xml:space="preserve">                                                                                                                                                                                                     ＃2、调节高度80～120cm ；实木杆直径≥50mm，底座直径≥40cm，单个底座15KG左右，整套近40KG左右。</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75</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瑜伽镜</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＃1、规格：高≥2400mm，宽≥10000mm，采用≥5mm厚度钢化玻璃镜面，边口磨边处理                                                                                              </w:t>
            </w:r>
            <w:r>
              <w:rPr>
                <w:rFonts w:hint="eastAsia" w:ascii="宋体" w:hAnsi="宋体" w:eastAsia="宋体" w:cs="宋体"/>
                <w:i w:val="0"/>
                <w:iCs w:val="0"/>
                <w:color w:val="000000"/>
                <w:sz w:val="22"/>
                <w:szCs w:val="22"/>
                <w:highlight w:val="none"/>
                <w:u w:val="none"/>
                <w:lang w:val="en-US" w:eastAsia="zh-CN" w:bidi="ar"/>
              </w:rPr>
              <w:t xml:space="preserve">                                                                                                                                                                                              ＃2、要求成像真实，水银镜面耐腐蚀；四角采用打孔螺栓固定；性能要求安装后平整度垂直，镜面成像与正常物体尺寸相同，无弯曲变形，无变形。</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76</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瑜伽垫</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＃1、材质:双色6mmTPE。尺寸：长宽厚≥1830*80*6mm。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＃2、防滑性能：干湿防滑。无卷边设计：边缘加固处理，不易起卷，使用更稳定。</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77</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瑜伽球</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＃1、直径：≥65cm 。承重：静态承重≥200kg，动态承重≥150kg。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＃2、材质与性能：采用防暴抗裂 PVC 材质，表面有防滑纹理，物体刺破，缓慢放气而非瞬间爆炸。</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遮光帘</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＃1、材质：加密棉麻混纺； 要求：遮光，隔热防晒，隔音。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＃2、高度≥2400cm，展开长度不小于3000cm。</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79</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平沙器</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＃1、规格：不锈钢材质，平沙板尺寸：长≥150cm,宽≥50cm。</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划线车</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＃1、尺寸：≥高730mm长500mm宽300mm，轮子直径≥100mm，扶手铁管直径≥25mm，划线线宽45mm。                                                  </w:t>
            </w:r>
            <w:r>
              <w:rPr>
                <w:rFonts w:hint="eastAsia" w:ascii="宋体" w:hAnsi="宋体" w:eastAsia="宋体" w:cs="宋体"/>
                <w:i w:val="0"/>
                <w:iCs w:val="0"/>
                <w:color w:val="000000"/>
                <w:sz w:val="22"/>
                <w:szCs w:val="22"/>
                <w:highlight w:val="none"/>
                <w:u w:val="none"/>
                <w:lang w:val="en-US" w:eastAsia="zh-CN" w:bidi="ar"/>
              </w:rPr>
              <w:t xml:space="preserve">                                                                                                                                                                                                                              ＃2、规格：可装粉≥15升；三轮车斗式，带手推把柄，直径≥22mm。</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81</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卷尺</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＃1、长度：≥30m，材质：仿皮外壳，苎麻布卷尺，防水，防腐蚀；铜制卡扣和收放扣。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82</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电动气泵</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＃1、材质:气筒外管不锈钢金属合成材质。结构:带压力表，气筒配</w:t>
            </w:r>
            <w:r>
              <w:rPr>
                <w:rFonts w:hint="eastAsia" w:ascii="宋体" w:hAnsi="宋体" w:eastAsia="宋体" w:cs="宋体"/>
                <w:i w:val="0"/>
                <w:iCs w:val="0"/>
                <w:color w:val="000000"/>
                <w:sz w:val="22"/>
                <w:szCs w:val="22"/>
                <w:highlight w:val="none"/>
                <w:u w:val="none"/>
                <w:lang w:val="en-US" w:eastAsia="zh-CN" w:bidi="ar"/>
              </w:rPr>
              <w:t xml:space="preserve">有多功能气筒气嘴:充气活塞推拉轻便、灵活。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＃2、功率：电压220V最大气压150PSL工作电流0.8-2A。                                                                                                                                                                 </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83</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打气筒</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＃1、规格：直径≥37mm，长≥60cm加压，净重≥690克。                                                                                   </w:t>
            </w:r>
            <w:r>
              <w:rPr>
                <w:rFonts w:hint="eastAsia" w:ascii="宋体" w:hAnsi="宋体" w:eastAsia="宋体" w:cs="宋体"/>
                <w:i w:val="0"/>
                <w:iCs w:val="0"/>
                <w:color w:val="000000"/>
                <w:sz w:val="22"/>
                <w:szCs w:val="22"/>
                <w:highlight w:val="none"/>
                <w:u w:val="none"/>
                <w:lang w:val="en-US" w:eastAsia="zh-CN" w:bidi="ar"/>
              </w:rPr>
              <w:t xml:space="preserve">                                                                                                                                                                                                                                        ＃2、材质：无缝钢管+塑料，带储气罐/人工充气。</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把</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84</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维护工具</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＃1、成套套筒扳手，成套开口扳手，活动扳手，老虎钳，尖嘴钳，一字螺丝刀，十字螺丝刀。</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85</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轮式干粉灭火剂</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＃1、灭火级别 ：A类 ：2A，适用于扑救固体物质火灾。</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＃2、有效喷射时间 ：约13-18秒。有效喷射距离 ：不小于3.5-4.5米。作压力 ：通常为1.2MPa或2.1MPa 。                                                </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86</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急救箱</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＃1、尺寸：≥10寸。材质：铝合金边框+ABS 面板，包角加固，耐磨抗摔。</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＃2、锁扣：双安全锁扣设计，防意外开启，部分款带密码锁。内衬：EVA 防震隔层，可自由分隔，分类收纳药品与器械。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功能与特点：收纳分区：多层隔层设计，可按药品、器械、耗材分类存放，取用方便；防护性能：铝合金材质防潮、防尘、防压，保护内部医疗用品不受损；便携设计：顶部防滑提手，箱身轻便，适合携带移动；安全标识：箱面印有标准红十字急救标识，辨识度高，紧急情况下可快速识别。</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87</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运动服（春秋季）</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＃1、面料成分：聚酯纤维 + 氨纶混纺，高弹透气，抗皱不起球。版型：宽松直筒版型，男女同款，上衣加长裤。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＃2、适用场景：户外登山、徒步旅行、骑行通勤。</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88</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运动服（冬季）</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＃1、面料材质：高密度防风防水面料，耐磨抗撕裂，透气不闷汗。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＃2、核心功能：防风、防水、防暴雨、抗刮耐磨、透气。</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＃3、设计细节：连帽可设计，立体防风领口，防水拉链，多口袋收纳，松紧袖口+下摆抽绳，锁住温度。适用场景：户外登山、徒步旅行、骑行通勤</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89</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运动服（夏季）</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＃1、面料：常规款透气棉涤混纺面料。</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＃2、款式：翻领 Polo 短袖，半开襟纽扣设计。版型：宽松直筒版型，男女同款，上衣加短裤。</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90</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田径服</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＃1、面料：100% 聚酯纤维（涤纶运动速干面料）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＃2、款式：男女同款无袖背心 + 短裤田径套装。适用场景：体考、短跑、中长跑、马拉松训练/比赛。                                                                                                                                                                                                          </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91</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篮球服</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＃1、面料：100% 聚酯纤维（涤纶运动速干面料），网眼透气结构，轻薄不闷汗，克重约 160-180g，。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＃2、款式：男女同款无袖背心 + 短裤田径套装。适用场景：篮球比赛、日常训练、班级 / 球队定制队服。特性：吸湿排汗、高透气性、抗拉伸、抗皱耐磨，不易起球。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92</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乒乓球服</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＃1、面料：100% 聚酯纤维（运动速干面料），速干科技处理，克重约 140-160g。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＃2、款式：男女同款无袖背心+短裤田径套装。适用场景：乒乓球、羽毛球训练 / 比赛，日常运动健身。特性：吸湿排汗、高透气性、抗拉伸、抗皱耐磨，不易起球。                                                                                                                                           </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93</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足球鞋</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＃1、材质：鞋面材质：超细纤维运动软皮（PU 材质），耐磨易清洁，透气性好；鞋底类型：TF 碎钉底（橡胶碎钉），防滑耐磨，适合人造草坪、塑胶场地。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＃2、闭合方式：魔术贴 + 鞋带双重固定，穿脱方便，贴合脚型。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＃3、功能特点：吸汗透气、防撞鞋头、足弓支撑、抗扭设计。适用场景：校园足球训练、比赛、日常运动；                                                                                                                                           </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94</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篮球鞋</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＃1、材质：鞋面材质：高韧性合成革 + 透气网布拼接；中底材质：EVA 发泡中底，搭配抗扭支撑片；外底材质：高耐磨橡胶大底。         </w:t>
            </w:r>
            <w:r>
              <w:rPr>
                <w:rFonts w:hint="eastAsia" w:ascii="宋体" w:hAnsi="宋体" w:eastAsia="宋体" w:cs="宋体"/>
                <w:i w:val="0"/>
                <w:iCs w:val="0"/>
                <w:color w:val="000000"/>
                <w:sz w:val="22"/>
                <w:szCs w:val="22"/>
                <w:highlight w:val="none"/>
                <w:u w:val="none"/>
                <w:lang w:val="en-US" w:eastAsia="zh-CN" w:bidi="ar"/>
              </w:rPr>
              <w:t xml:space="preserve">                                                                                                                                                                                                                                               ＃2、闭合方式：系带式，低帮设计。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核心功能：防滑耐磨、缓震回弹、足弓支撑、防侧翻保护。适用场景：室内外篮球场、水泥地实战训练 / 比赛。                                                                                                                                                                                                             </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双</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95</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不锈钢户外长椅</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＃1、成品不锈钢弧形坐凳，长度≥180</w:t>
            </w:r>
            <w:r>
              <w:rPr>
                <w:rFonts w:hint="eastAsia" w:ascii="宋体" w:hAnsi="宋体" w:eastAsia="宋体" w:cs="宋体"/>
                <w:i w:val="0"/>
                <w:iCs w:val="0"/>
                <w:color w:val="000000"/>
                <w:sz w:val="22"/>
                <w:szCs w:val="22"/>
                <w:highlight w:val="none"/>
                <w:u w:val="none"/>
                <w:lang w:val="en-US" w:eastAsia="zh-CN" w:bidi="ar"/>
              </w:rPr>
              <w:t xml:space="preserve">CM，高度≥45CM,宽度≥40CM。                                                                                                                                                                                                ＃2、长椅两头采用45度弧线角，框架材质为一体化不锈钢材质，座面采用加厚优质进口防腐实木。</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96</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五人制足球框</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＃1、五人制(60管)足球框：长度≥300</w:t>
            </w:r>
            <w:r>
              <w:rPr>
                <w:rFonts w:hint="eastAsia" w:ascii="宋体" w:hAnsi="宋体" w:eastAsia="宋体" w:cs="宋体"/>
                <w:i w:val="0"/>
                <w:iCs w:val="0"/>
                <w:color w:val="000000"/>
                <w:sz w:val="22"/>
                <w:szCs w:val="22"/>
                <w:highlight w:val="none"/>
                <w:u w:val="none"/>
                <w:lang w:val="en-US" w:eastAsia="zh-CN" w:bidi="ar"/>
              </w:rPr>
              <w:t xml:space="preserve">CM，高度≥200CM,宽度≥120CM。                                                                                                                                                                                                ＃2、门柱采用60圆钢管，厚度≥3.2毫米，辅助杆径采用30圆钢管，厚度≥3.2毫米。</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架</w:t>
            </w:r>
            <w:r>
              <w:rPr>
                <w:rFonts w:hint="eastAsia" w:ascii="宋体" w:hAnsi="宋体" w:eastAsia="宋体" w:cs="宋体"/>
                <w:i w:val="0"/>
                <w:iCs w:val="0"/>
                <w:color w:val="000000"/>
                <w:sz w:val="22"/>
                <w:szCs w:val="22"/>
                <w:highlight w:val="none"/>
                <w:u w:val="none"/>
              </w:rPr>
            </w:r>
            <w:r/>
          </w:p>
        </w:tc>
      </w:tr>
      <w:tr>
        <w:trPr>
          <w:trHeight w:val="289"/>
        </w:trPr>
        <w:tc>
          <w:tcPr>
            <w:gridSpan w:val="5"/>
            <w:tcW w:w="8528" w:type="dxa"/>
            <w:vAlign w:val="center"/>
            <w:textDirection w:val="lrTb"/>
            <w:noWrap/>
          </w:tcPr>
          <w:p>
            <w:pPr>
              <w:pStyle w:val="76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二、AI智慧体育设备采购</w:t>
            </w:r>
            <w:r>
              <w:rPr>
                <w:rFonts w:hint="eastAsia" w:ascii="宋体" w:hAnsi="宋体" w:eastAsia="宋体" w:cs="宋体"/>
                <w:b/>
                <w:bCs/>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智慧体育教学练测评系统</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一、系统平台管理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＃1、支持具备体育考试、随堂测试、国家体测、自由练习等功能模块。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＃2、支持PC端、Pad端、手机端登录智慧体育管理平台，可操作系统平台发布测试任务、布置体育专项作业。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＃3、支持学生个人、班级、年级、全校体测成绩分析及汇总。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＃4、支持学生信息管理、学生体测数据报表导出、体测功能设置。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＃5、支持测试视频存储与测试数据分析服务。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＃6、支持基于老师、班级、学校分别开通管理账号，分层分级管理。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＃7、支持基于班级、学生的运动锻炼数据分析、展示与导出。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支持不少于9个运动项目并行开展测试，且实心球、铅球、立定跳远、引体向上、仰卧起坐、坐位体前屈、跳绳、50米、50*8往返跑、100米、800米/1000米、阳光跑等项目均可同时测试，满足学校各类场景项目同时开启的实际需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二、学生信息管理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＃1、支持行政班与分项班班级信息管理。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＃2、支持学生名单管理，可一键导入名单信息。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＃3、支持可进行人脸信息录入、本地化存储和管理。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＃4、支持可根据学生体育兴趣发展进行分层、项班管理。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＃5、支持学生信息自动化升学年。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三、体育考试模块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＃1、支持应用于运动会、体育考试、体育中考等场景，自动检测项目测试成绩，智能识别违规动作，自动汇总体育考试成绩。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▲2、考试中心支持通过班级名单或人脸识别方式开启测试，最终记录考试成绩并自动匹配学生信息。（提供由第三方检验检测机构出具的有效的检测报告扫描件）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＃3、支持体育考试模块操作端测试过程中选择重测、修改成绩或选择下一组等操作。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＃4、支持查看测试项目成绩、分数、等级、姿态指标、肌群分析、运动点评及建议、视频回放、动作关键帧等内容，且支持生成定制化运动处方报告。</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＃5、支持体育考试当前测试记录查看，测试记录根据分班级、分项目、分时间段进行分类管理。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＃6、支持体育考试测试项目进度查询，可分析整体测试成绩优秀率、良好率、及格率、不及格率等。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＃7、支持体育考试成绩管理表查询，可选择分学期、分年级进行筛选、也可选择输入具体学生学号筛选。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＃8、支持实时筛选并查看考试学生已考项目数，并可通过查看详情查看考试详情。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＃9、支持为每一位学生生成个人考试详情，包括学生个人信息及分数详情，分数详情包含考试项目名称、考试成绩（展示历史最好成绩）、项目成绩评分。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＃10、支持选择自由练习模块的学生成绩数据迁移至体育考试模块。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＃11、支持自定义评分标准，体育考试成绩等级和评分根据自定义评分标准进行判定。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四、国家体测模块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＃1、支持各阶段学校年度国家体测功能，实现各类运动项目数据自动采集、录入、整理、分析。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＃2、支持当前测试进度查看，测试记录根据时间进行分类管理。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＃3、支持下载上报成绩表格模板，且表格模板符合国家体测平台标准。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＃4、体测成绩实时更新汇总，并支持一键下载体测分析表格。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＃5、支持测试成绩即时更新汇总，电脑端可一键下载国家体测成绩表，表格形式符合国家体测平台上传标准，表格可修改并自动计算本年度学生体测及格情况。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＃6、支持教师操作端测试过程中进行重测、修改成绩等操作。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＃7、支持体测成绩综合分析，可从年级、班级、项目类型等维度分析当前的及格率、良好率、优秀率等数据情况。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＃8、支持选择自由练习模块的学生成绩数据迁移至国家体测模块。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＃9、支持所有体测成绩评分以《国家体质健康测试标准》进行评定。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五、自由练习模块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＃1、支持应用于课后学生自主练习场景，无需老师介入指导，学生通过人脸识别或者特定手势自助触发项目测试功能，可实时获取成绩反馈、以及对违规动作的有效检测和提醒。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▲2、支持老师在一个操作终端远程一键开启、一键关闭所有自由练习项目。（提供由第三方检验检测机构出具的有效的检测报告扫描件。）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＃3、支持学生在自由练习项目开启的任意时间段进行练习。</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＃4、支持无需操作任何设备的人脸识别方式，测试学生举手向摄像头示意即可刷脸匹配学生信息，自助、无感开启测试任务，测试成绩可实时播报，并记录测试成绩。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＃5、支持无需操作任何设备开展自由练习，站在测试区域即可触发测试任务。支持实时语音反馈。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＃6、支持各项目使用量统计，进行可视化分析。支持分析图下载。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＃7、支持自由练习模块的学生测试成绩迁移至国家体测模块或体育考试模块。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＃8、支持自定义评分标准，自由练习成绩等级和评分根据自定义评分标准进行判定。</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智慧体育校级数据平台</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一、基础信息管理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＃1、支持智慧体育数据多级管理及分析，具备学生运动数据管理、国家体测管理、体育考试管理、体育课基础数据管理、教学管理。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＃2、支持多级账号登录管理，分级查看体育数据信息，实现精准数据管理。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二、校级体育数据总览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＃1、支持智慧体育数字大脑数据一览，覆盖全校运动项目、全校全年级学生日常的所有运动数据统计，并对数据进行多维度分析与综合展示。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＃2、支持查看全校运动达标率/优良率趋势图、全部运动项目达标率/优良率，并智能分析本月达标率、达标率月提升情况、本月提升人数等。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＃3、支持汇总学校今日运动人数/占比、昨日运动人数/占比、本月总运动人数（人次）、学期总运动量（人次）数据，并进行数据实时呈现。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＃4、支持全校成绩提升人次、全校运动人数、全校人均运动次数数据分析，并生成相应的趋势图。</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＃5、支持选择分年级查看各年级的运动达标率/优良率趋势图、全部运动项目达标率/优良率及班级运动频次&amp;达标率。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＃6、支持实时显示各运动项目今日运动量、本月运动量数据，并支持学生个人最好成绩截图实时上屏展示。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三、学生运动数据管理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＃1、支持运动一小时管理、校园运动风云榜管理、阳光跑管理、学生测试记录管理、学生运动档案管理。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＃2、支持实时汇总校级每日人均运动时长（单位：分钟），可分本周、本月、本学期进行查看，并呈现完整波线图展示。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每日运动人数占比分析、每日达标人数占比分析、并可分年级、分本周、本月、本学期进行查看班级运动一小时情况明细（包含但不限于班级、总人数、运动人数、达标人数、运动人数占比、达标人数占比。</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＃4、支持校园运动风云榜数据管理，可分年级、分性别、分项目，按照本周、本月、本学期进行校园运动风云榜的数据查询及批量导出操作。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＃5、支持校园运动风云榜展示，可查看数据包括学生项目排名、项目成绩、学生班级信息、姓名、性别、学号等。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＃6、支持阳光跑数据管理，可分年级、分班级、分性别、分本周、本月、本学期或任意时段进行阳光跑数据查询及批量导出操作。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＃7、支持阳光跑数据查看，可查看数据包括但不限于班级、姓名、性别、学号、累计里程、平均配速等。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＃8、支持展示学生所有累计阳光跑单日跑步记录，可查询并一键导出Excel。</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＃9、支持分班级、分年级、分项目、分任意时段、分测试模式查看学生练习数据，数据包含学生自由练习记录、并支持成绩的查询、下载、一键迁移至体育考试模块和国家体测模块等操作。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＃10、学生测试记录查看，包括但不限于测试时间、测试班级、测试项目、测试模式、测试人数及已测人数分析。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 支持以班级为单位汇总学生当天测试记录，可点击查看所有测试学生多次测试记录(包括但不限于班级、姓名、学号、成绩、评分等级）和个人成绩档案（包括但不限于成绩记录、姿态指标分析、肌群分析、点评及建议、动作关键帧分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＃12、支持分年级、分班级、分学年查看学生体育运动档案，档案内容包括：学生基础信息、累计运动天数、时长、测试项目及综合能力图谱，并可分项目查看最佳成绩、得分、等级、排名等数据。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＃13、支持查看所有学生成长趋势分析、查看分近七天和近30天运动活跃分析、以及体测成绩管理表，查看所有学生运动成绩数据。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四、国家体测管理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支持自助式体测功能，实现全部国家体质测试项目的自助测试、数据采集、分析，实现体质测试过程违规自动判定和成绩测试（包括但不限于立定跳远、仰卧起坐、引体向上、坐位体前屈、50米、800/1000米、BMI、肺活量、50*8往返跑等运动项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＃2、支持自定义体测设置，可自助设置体测时间及多个测试时段，支持选择是否开启预约模式，可在一学年内发布多次体测任务分批开展国家体质测试。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＃3、支持分年级查看当前测试进度，并支持分项目查看总人数、需测人数、免测人数、已测人数、未测人数及测试完成率。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▲4、支持全项目无感人脸方式检录，站在测试位前系统自动检录，无需多余操作，测试结束系统自动提醒并播报“已完成测试”。（提供由第三方检验检测机构出具的有效的检测报告扫描件。）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＃5、支持教师端、国家体测平台端对测试过程中进行成绩补录、修改等操作。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＃6、支持成绩筛选，学生单项目有多条测试记录的，系统自动筛选取最好成绩为体测最终成绩。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＃7、支持测试成绩实时更新汇总，测试数据自动上传，根据体测标准自动计算成绩得分，可一键导出符合国家学生体质健康平台数据格式的成绩表格，表格可修改并自动计算本年度学生体测及格情况。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＃8、支持项目多测位部署，根据要求进行体测中心部署实现多项目、多测位并发测试，多设备独立使用，互不干扰。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＃9、支持分年级、分班级、分学期查看学生体测档案，档案内容包括：学生基础信息、身高体重、肺活量、体测成绩详情等。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＃10、支持测试成绩结果仲裁，测试成绩溯源等功能。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五、体育课基础数据管理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＃1、支持实时展示体育课基础数据，包含学校基础信息（学生总数、体育老师人数、AI智慧体育项目数量、AI智慧体育项目建设情况），以及体育课开课数、开课班级数、参与学生人次。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＃2、支持实时展示AI智慧体育项目使用排行情况及使用次数展示。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六、体育考试管理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＃1、支持体育考试成绩管理表查询，可选择分学期、分年级、分班级进行筛选、也可选择输入具体学生学号筛选。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＃2、支持实时筛选并查看考试学生已考项目数，并可通过查看详情查看考试详情。</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＃3、支持为每一位学生生成个人考试详情，包括学生个人信息及分数详情，分数详情包含考试项目名称、考试成绩（展示历史最好成绩）、项目成绩评分。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七、教学管理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＃1、支持根据地区要求，自定义运动项目评分标准。</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智慧体育助手</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＃1、支持系统分配账号管理权限，登入智慧体育助手进行学生基础信息管理、平台管理和运动风云榜审核处理等。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＃2、支持快速创建行政班和分项班，并实时查看各班级录入进度。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＃3、人脸识别：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①支持多种人脸信息录入方式，如小程序、app、PAD现场拍照，学生照片本地导入等，完成学生身份信息完善，同时支持人脸信息重录。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②支持快速录入人脸信息，不戴眼镜的学生拍照一次性识别。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③特殊人群人脸录入，支持盲人学生闭眼检录，人脸识别率达99%。</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＃4、支持学生姓名、性别、学号、班级、年级等基础信息管理和学生人员删减，支持通过条形码扫码、准考证扫码等方式快速添加学生。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跳绳、50米、50*8往返跑、100米、800米/1000米、计圈跑、定距跑等项目发令操作，可利用智慧体育助手管理项目的开启与关闭，并支持测试成绩记录实时查看、成绩补录及修正，成绩表单可支持一键下载及导出分享。（提供由第三方检验检测机构出具的有效的检测报告扫描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＃6、支持立定跳远、引体向上、仰卧起坐、坐位体前屈、跳绳、实心球、50米、50*8往返跑、800米/1000米、计圈跑、定距跑等多项目风云榜成绩审核。</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＃7、支持分项目查看举报记录，并对举报记录进行确认、处理及删除，或解除审核等操作。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支持所有已建项目的体育作业任务一键发布，可针对每一位学生发布定制化体育作业，且根据每一位学生运动能力匹配体育作业最低达成标准及定制化作业强度等要求。（提供由第三方检验检测机构出具的有效的检测报告扫描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＃9、支持通过移动端智慧体育助手进行自由练习项目管理，并一键控制项目开启与关闭。</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＃10、支持教师班级权限管理，后台为老师分配各自班级使用权限，后台支持隐私信息保护设置。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＃11、支持体育角设备自定义时间锁定，支持临时锁定并在倒计时结束后自动开启。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＃12、支持开启国家体测模式，开启后通过移动端智慧体育助手开启的任务成绩归属于国家体测成绩。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＃13、支持开启体育考试模式，开启后通过移动端智慧体育助手开启的任务成绩归属于体育考试成绩，支持将非体育考试的任务成绩归档到体育考试成绩。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＃14、支持查看学生运动档案，包含学生运动时长、阳光跑的里程记录、每日跑步里程和每日平均配速，以及其他项目的最佳运动记录、成绩趋势，支持对最佳成绩进行修改。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＃15、支持创建不同角色管理账号，包括校园代理、学校管理员、区管理员、行政老师，并分配相应教师端后台管理权限。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＃16、支持教师班级权限管理，后台为老师分配各自班级使用权限，后台支持隐私信息保护设置。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＃17、系统提供智慧体育使用视频教程，包含全部项目的测试教学演示视频、测试场景国家体测数据下载视频、智慧体育平台操作视频等。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＃18、支持版本更新提醒、确认，以及在线版本信息查看等功能。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＃19、支持在线联系客服反馈产品需求，匹配在线售后服务体系。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＃20、自定义分项班：支持教师根据不同场景需求，自行创建分项班，通过选择学生添加或扫描准考证添加，快速导入学生信息。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＃21、支持开启或关闭国家体测、体育考试模式。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＃22、支持系统管理员进行分类设置，包括区管理员、学校管理员和行政老师等，且设置人员数量不设限，满足学校多样化管理需求。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＃23、支持开启自动开关机模式，可根据法定节假日和调休日期自动调整。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＃24、节能模式：自由模式开启时，系统自动检测长时间无人使用即可触发熄屏模式。</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●智慧体育工作站</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#1、整机性能稳定，采用专业静音散热设计，可稳定运行校园智慧体育网络平台业务软件、配套业务管理及办公软件，满足体育数据采集、统计、展示业务场景不间断运行需求。</w:t>
            </w:r>
            <w:r>
              <w:rPr>
                <w:rFonts w:hint="eastAsia" w:ascii="宋体" w:hAnsi="宋体" w:eastAsia="宋体" w:cs="宋体"/>
                <w:i w:val="0"/>
                <w:iCs w:val="0"/>
                <w:color w:val="000000"/>
                <w:sz w:val="22"/>
                <w:szCs w:val="22"/>
                <w:highlight w:val="none"/>
                <w:u w:val="none"/>
                <w:lang w:val="en-US" w:eastAsia="zh-CN"/>
              </w:rPr>
            </w:r>
            <w:r/>
          </w:p>
          <w:p>
            <w:pPr>
              <w:pStyle w:val="768"/>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#2、满足体育测试数据、体育测试视频存储；支持多线程处理，支持体育数据分析服务。</w:t>
            </w:r>
            <w:r>
              <w:rPr>
                <w:rFonts w:hint="eastAsia" w:ascii="宋体" w:hAnsi="宋体" w:eastAsia="宋体" w:cs="宋体"/>
                <w:i w:val="0"/>
                <w:iCs w:val="0"/>
                <w:color w:val="000000"/>
                <w:sz w:val="22"/>
                <w:szCs w:val="22"/>
                <w:highlight w:val="none"/>
                <w:u w:val="none"/>
                <w:lang w:val="en-US" w:eastAsia="zh-CN"/>
              </w:rPr>
            </w:r>
            <w:r/>
          </w:p>
          <w:p>
            <w:pPr>
              <w:pStyle w:val="768"/>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#3、支持提供数据接口，可与外部系统数据对接。 </w:t>
            </w:r>
            <w:r>
              <w:rPr>
                <w:rFonts w:hint="eastAsia" w:ascii="宋体" w:hAnsi="宋体" w:eastAsia="宋体" w:cs="宋体"/>
                <w:i w:val="0"/>
                <w:iCs w:val="0"/>
                <w:color w:val="000000"/>
                <w:sz w:val="22"/>
                <w:szCs w:val="22"/>
                <w:highlight w:val="none"/>
                <w:u w:val="none"/>
                <w:lang w:val="en-US" w:eastAsia="zh-CN"/>
              </w:rPr>
            </w:r>
            <w:r/>
          </w:p>
          <w:p>
            <w:pPr>
              <w:pStyle w:val="768"/>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#4、可适配机房 / 体育器材室固定部署安装，支持对接操场测试设备数据。 </w:t>
            </w:r>
            <w:r>
              <w:rPr>
                <w:rFonts w:hint="eastAsia" w:ascii="宋体" w:hAnsi="宋体" w:eastAsia="宋体" w:cs="宋体"/>
                <w:i w:val="0"/>
                <w:iCs w:val="0"/>
                <w:color w:val="000000"/>
                <w:sz w:val="22"/>
                <w:szCs w:val="22"/>
                <w:highlight w:val="none"/>
                <w:u w:val="none"/>
                <w:lang w:val="en-US" w:eastAsia="zh-CN"/>
              </w:rPr>
            </w:r>
            <w:r/>
          </w:p>
          <w:p>
            <w:pPr>
              <w:pStyle w:val="768"/>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#5、连续业务运行保障整机稳定控温。 </w:t>
            </w:r>
            <w:r>
              <w:rPr>
                <w:rFonts w:hint="eastAsia" w:ascii="宋体" w:hAnsi="宋体" w:eastAsia="宋体" w:cs="宋体"/>
                <w:i w:val="0"/>
                <w:iCs w:val="0"/>
                <w:color w:val="000000"/>
                <w:sz w:val="22"/>
                <w:szCs w:val="22"/>
                <w:highlight w:val="none"/>
                <w:u w:val="none"/>
                <w:lang w:val="en-US" w:eastAsia="zh-CN"/>
              </w:rPr>
            </w:r>
            <w:r/>
          </w:p>
          <w:p>
            <w:pPr>
              <w:pStyle w:val="768"/>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#6、存储：≥1TB 硬盘，内存：≥16G。 </w:t>
            </w:r>
            <w:r>
              <w:rPr>
                <w:rFonts w:hint="eastAsia" w:ascii="宋体" w:hAnsi="宋体" w:eastAsia="宋体" w:cs="宋体"/>
                <w:i w:val="0"/>
                <w:iCs w:val="0"/>
                <w:color w:val="000000"/>
                <w:sz w:val="22"/>
                <w:szCs w:val="22"/>
                <w:highlight w:val="none"/>
                <w:u w:val="none"/>
                <w:lang w:val="en-US" w:eastAsia="zh-CN"/>
              </w:rPr>
            </w:r>
            <w:r/>
          </w:p>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#7、外置  接口：≥1 个 USB 接口，≥1个 HDMI接口，≥1 个网络接口。</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50米跑AI系统</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＃1、成绩检测：支持50米跑成绩计时。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＃2、技术要求有效量程：0-999.99秒，分度值：0.01秒，允许误差±0.05秒。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＃3、成绩误差：≤0.02秒。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＃4、响应时间：≤0.5秒。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＃5、人脸识别率：人脸识别准确率≥99%。</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▲6、同测人数：支持不少于6跑道同时测试，且支持选择不同跑道进行短跑的训练与测试。（提供由第三方检验检测机构出具的有效的检测报告扫描件）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＃7、多组套发：支持多组同测，支持不限组别前后发令同时进行测试。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＃8、差异校准：跑步计时方式支持电计标准和手计标准两种形式，且可以实现差异校准。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＃9、选择部分跑道测试：支持选择部分跑道测试：灵活应对因其他班级使用1道或其他跑道上课/训练影响短跑测试的场景。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＃10、起点换人检测：支持起点人员实时检测，若出现测试人员如发生临时调整，系统自动识别并播报当前测试人员姓名。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▲11、终点抗干扰：支持测试过程中非测试学生穿过终点线不影响各跑道测试学生测试成绩。（提供由第三方检验检测机构出具的有效的检测报告扫描件）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＃12、作弊识别：测试过程中若出现“接力作弊”的行为，系统自动识别“疑似违规”，测试结果无成绩。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＃13、作弊时间判定：支持后台自动设置疑似作弊时间限制，测试人员测试成绩若小于该设置时长，系统播报“疑似作弊”，同时成绩后台不做记录。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＃14、异常成绩过滤：支持自动过滤异常成绩，学生经过终点的时间不得小于系统限定时长，可有效杜绝作弊现象。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＃15、违规识别：支持踩线、抢跑违规识别，可实时进行语音提醒。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＃16、动作关键帧：支持留存运动视频回放，可通过人工智能识别分析运动过程并提供关键帧分析，包括准备动作、起跑动作、结束动作等。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17、自由练习：支持自由练习模式下，提前录入人脸信息后，学生站在起跑线前面向摄像头，可通过摄像头识别人脸信息，系统播报学生姓名开启测试并播报测试成绩，并将成绩与该学生绑定，识别响应速度≤2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＃18、成绩显示：支持实时展示多跑道50米跑测试成绩。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＃19、灵活配置：支持通过移动端灵活配置系统交互内容，包括但不限于配置是否播报学生信息、是否识别违规信息等。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＃20、测试记录：支持测试记录自动上传智慧体育校级数据系统，可随时查看详细成绩报告与具体成绩记录，并支持成绩表一键导出。</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50米跑配套设备</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一、立杆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包含起点定制化立杆及终点定制化立杆：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＃1、起点立杆：材质：Q235钢材;烤漆：颜色有甲方指定;厚度：2-5 mm（根据横臂长短决定壁厚）;高度：3-4 m（具体高度根据现场实际情况做调整）;直径：100-300mm（根据横臂长短决定直径）。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＃2、起点横臂：横臂直径：100-300mm（根据横臂长短决定直径）；厚度：2-5 mm（根据横臂长短决定壁厚）；长度：4-5 m（具体长度根据现场实际情况做调整）。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＃3、终点立杆：材质：Q235钢材;烤漆：颜色有甲方指定;厚度：2-5 mm（根据横臂长短决定壁厚）;高度：3-4 m（具体高度根据现场实际情况做调整）;直径：100-300mm（根据横臂长短决定直径）。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＃4、终点横臂：横臂直径：100-300mm（根据横臂长短决定直径）；厚度：2-5 mm（根据横臂长短决定壁厚）；长度：5-6 m（具体长度根据现场实际情况做调整）。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二、智慧音柱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＃1、额定功率：≥60W。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＃2、频率响应：140HZ-15KHZ。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＃3、灵敏度：95dB（±3）。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＃4、待机功率：＜1W。                                                                                                                                                                                                                  </w:t>
            </w:r>
            <w:r>
              <w:rPr>
                <w:rFonts w:hint="eastAsia" w:ascii="宋体" w:hAnsi="宋体" w:eastAsia="宋体" w:cs="宋体"/>
                <w:i w:val="0"/>
                <w:iCs w:val="0"/>
                <w:color w:val="000000"/>
                <w:sz w:val="22"/>
                <w:szCs w:val="22"/>
                <w:highlight w:val="none"/>
                <w:u w:val="none"/>
                <w:lang w:val="en-US" w:eastAsia="zh-CN" w:bidi="ar"/>
              </w:rPr>
              <w:t xml:space="preserve">                                                                                                                                                                               ＃5、材质：铝合金外壳，金属网罩，PP防水喇叭。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＃6、防护：具有过热保护、过流保护、防破音等。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三、物联网摄像头  3台。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＃1、传感器类型： 1/1.8英寸cmOS。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＃2、像素：≥800万。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＃3、最大分辨率：≥3840×2160。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＃4、防尘防水等级: IP67。</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＃5、视频压缩标准: H.265/H.264/MJPEG。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＃6、电源供应：12 V ± 20%。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人脸抓拍模式：a)支持对运动人脸进行检测、跟踪、抓拍、评分、筛选，输出最优的人脸，b)支持人脸去误报、快速抓拍人脸，c)支持快速抓拍和最佳抓拍两种模式，d)最多同时检测30张人脸，e)支持人脸去重。</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50*8拓展包</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＃1、成绩误差：≤0.1秒。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＃2、响应时间：≤0.5秒。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＃3、无感识别：提前录入人脸信息后，学生站在起跑线前面向摄像头，可通过摄像头识别人脸信息，系统播报学生姓名开启测试并播报测试成绩，并将成绩与该学生绑定，识别响应速度≤2s。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＃4、动作关键帧：支持留存运动视频回放，可通过人工智能识别分析运动过程并提供关键帧分析，包括准备动作、起跑动作、结束动作等。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＃5、起点换人检测：支持起点人员实时检测，若出现测试人员如发生临时调整，系统自动识别并播报当前测试人员姓名；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＃6、人脸识别率：人脸识别准确率为99%。</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＃7、同测人数：支持至少8跑道同时测试，且支持选择不同跑道进行50*8往返跑的训练与测试。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＃8、终点抗干扰：支持测试过程中非测试学生穿过终点线不影响各跑道测试学生测试成绩。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＃9、成绩显示：支持实时展示多跑道50*8往返跑测试成绩。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＃10、考试模式：支持教师通过智慧体育助手小程序开启测试任务，音柱发令，测试者到达终点后屏幕及小程序显示测试者信息 和成绩，并支持一键导出测试成绩。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＃11、测试记录：支持测试记录自动上传智慧体育校级数据系统，可随时查看详细成绩报告与具体成绩记录，并支持成绩表一键导出。</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100米跑AI系统</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＃1、成绩检测：支持100米跑成绩计时。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＃2、技术要求有效量程：0-999.99秒，分度值：0.01秒，允许误差±0.05秒。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＃3、成绩误差：≤0.02秒。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＃4、响应时间：≤0.5秒。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＃5、人脸识别率：人脸识别准确率≥99%。</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＃6、同测人数：支持不少于6跑道同时测试，且支持选择不同跑道进行短跑的训练与测试。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＃7、多组套发：支持多组同测，支持不限组别前后发令同时进行测试。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＃8、差异校准：跑步计时方式支持电计标准和手计标准两种形式，且可以实现差异校准。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＃9、选择部分跑道测试：支持选择部分跑道测试：灵活应对因其他班级使用1道或其他跑道上课/训练影响短跑测试的场景。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▲10、起点换人检测：支持起点人员实时检测，若出现测试人员如发生临时调整，系统自动识别并播报当前测试人员姓名。（提供由第三方检验检测机构出具的有效的检测报告扫描件）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＃11、终点抗干扰：支持测试过程中非测试学生穿过终点线不影响各跑道测试学生测试成绩。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＃12、作弊识别：测试过程中若出现“接力作弊”的行为，系统自动识别“疑似违规”，测试结果无成绩。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作弊时间判定：支持后台自动设置疑似作弊时间限制，测试人员测试成绩若小于该设置时长，系统播报“疑似作弊”，同时成绩后台不做记录。（提供由第三方检验检测机构出具的有效的检测报告扫描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＃14、异常成绩过滤：支持自动过滤异常成绩，学生经过终点的时间不得小于系统限定时长，可有效杜绝作弊现象。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＃15、违规识别：支持踩线、抢跑违规识别，可实时进行语音提醒。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＃16、动作关键帧：支持留存运动视频回放，可通过人工智能识别分析运动过程并提供关键帧分析，包括准备动作、起跑动作、结束动作等。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17、自由练习：支持自由练习模式下，提前录入人脸信息后，学生站在起跑线前面向摄像头，可通过摄像头识别人脸信息，系统播报学生姓名开启测试并播报测试成绩，并将成绩与该学生绑定，识别响应速度≤2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＃18、成绩显示：支持实时展示多跑道100米跑测试成绩。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＃19、灵活配置：支持通过移动端灵活配置系统交互内容，包括但不限于配置是否播报学生信息、是否识别违规信息等。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＃20、测试记录：支持测试记录自动上传智慧体育校级数据系统，可随时查看详细成绩报告与具体成绩记录，并支持成绩表一键导出。</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100米跑配套设备</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一、立杆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包含起点定制化立杆及终点定制化立杆：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＃1、起点立杆：材质：Q235钢材;烤漆：颜色有甲方指定;厚度：2-5 mm（根据横臂长短决定壁厚）;高度：3-4 m（具体高度根据现场实际情况做调整）;直径：100-300mm（根据横臂长短决定直径）。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＃2、起点横臂：横臂直径：：100-300mm（根据横臂长短决定直径）；厚度：2-5 mm（根据横臂长短决定壁厚）；长度：4-5 m（具体长度根据现场实际情况做调整）。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＃3、终点立杆：材质：Q235钢材;烤漆：颜色有甲方指定;厚度：2-5 mm（根据横臂长短决定壁厚）;高度：3-4 m（具体高度根据现场实际情况做调整）;直径：100-300mm（根据横臂长短决定直径）。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＃4、终点横臂：横臂直径：：100-300mm（根据横臂长短决定直径）；厚度：2-5 mm（根据横臂长短决定壁厚）；长度：5-6 m（具体长度根据现场实际情况做调整）。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二、智慧音柱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＃1、额定功率：≥60W。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＃2、频率响应：140HZ-15</w:t>
            </w:r>
            <w:r>
              <w:rPr>
                <w:rFonts w:hint="eastAsia" w:ascii="宋体" w:hAnsi="宋体" w:eastAsia="宋体" w:cs="宋体"/>
                <w:i w:val="0"/>
                <w:iCs w:val="0"/>
                <w:color w:val="000000"/>
                <w:sz w:val="22"/>
                <w:szCs w:val="22"/>
                <w:highlight w:val="none"/>
                <w:u w:val="none"/>
                <w:lang w:val="en-US" w:eastAsia="zh-CN" w:bidi="ar"/>
              </w:rPr>
              <w:t xml:space="preserve">KHZ。                                                                                                                                                                                                                                                            </w:t>
            </w:r>
            <w:r>
              <w:rPr>
                <w:rFonts w:hint="eastAsia" w:ascii="宋体" w:hAnsi="宋体" w:eastAsia="宋体" w:cs="宋体"/>
                <w:i w:val="0"/>
                <w:iCs w:val="0"/>
                <w:color w:val="000000"/>
                <w:sz w:val="22"/>
                <w:szCs w:val="22"/>
                <w:highlight w:val="none"/>
                <w:u w:val="none"/>
                <w:lang w:val="en-US" w:eastAsia="zh-CN" w:bidi="ar"/>
              </w:rPr>
              <w:t xml:space="preserve">                                                                                                                                       ＃3、灵敏度：95dB（±3）。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＃4、待机功率：＜1W。                                                                                                                                                                                                                     </w:t>
            </w:r>
            <w:r>
              <w:rPr>
                <w:rFonts w:hint="eastAsia" w:ascii="宋体" w:hAnsi="宋体" w:eastAsia="宋体" w:cs="宋体"/>
                <w:i w:val="0"/>
                <w:iCs w:val="0"/>
                <w:color w:val="000000"/>
                <w:sz w:val="22"/>
                <w:szCs w:val="22"/>
                <w:highlight w:val="none"/>
                <w:u w:val="none"/>
                <w:lang w:val="en-US" w:eastAsia="zh-CN" w:bidi="ar"/>
              </w:rPr>
              <w:t xml:space="preserve">                                                                                                                                                                               ＃5、材质：铝合金外壳，金属网罩，PP防水喇叭。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＃6、防护：具有过热保护、过流保护、防破音等。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三、物联网摄像头  3台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＃1、传感器类型： 1/1.8英寸cmOS。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＃2、像素：≥800万。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＃3、最大分辨率：≥3840×2160。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＃4、防尘防水等级: IP67。</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＃5、视频压缩标准: H.265/H.264/MJPEG。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＃6、电源供应：12 V ± 20%。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人脸抓拍模式：a)支持对运动人脸进行检测、跟踪、抓拍、评分、筛选，输出最优的人脸，b)支持人脸去误报、快速抓拍人脸，c)支持快速抓拍和最佳抓拍两种模式，d)最多同时检测30张人脸，e)支持人脸去重。</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终点成绩播报终端</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一、立杆                                                                                      </w:t>
            </w:r>
            <w:r>
              <w:rPr>
                <w:rFonts w:hint="eastAsia" w:ascii="宋体" w:hAnsi="宋体" w:eastAsia="宋体" w:cs="宋体"/>
                <w:i w:val="0"/>
                <w:iCs w:val="0"/>
                <w:color w:val="000000"/>
                <w:sz w:val="22"/>
                <w:szCs w:val="22"/>
                <w:highlight w:val="none"/>
                <w:u w:val="none"/>
                <w:lang w:val="en-US" w:eastAsia="zh-CN" w:bidi="ar"/>
              </w:rPr>
              <w:t xml:space="preserve">                                                                                                                                                                                                                   ＃1、杆体高度： 高度：1.8~2 m；杆体直径：直径：≥114 mm；杆体厚度：≥3mm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＃2、杆体材质：采用优质钢材，具有高强度、耐腐蚀、耐磨损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＃3、表面处理：采用烤漆处理；颜色有甲方指定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＃4、安装设备：可安装多种智慧体育设备，如高清摄像头、无线ap、音柱等。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二、显示机                                     </w:t>
            </w:r>
            <w:r>
              <w:rPr>
                <w:rFonts w:hint="eastAsia" w:ascii="宋体" w:hAnsi="宋体" w:eastAsia="宋体" w:cs="宋体"/>
                <w:i w:val="0"/>
                <w:iCs w:val="0"/>
                <w:color w:val="000000"/>
                <w:sz w:val="22"/>
                <w:szCs w:val="22"/>
                <w:highlight w:val="none"/>
                <w:u w:val="none"/>
                <w:lang w:val="en-US" w:eastAsia="zh-CN" w:bidi="ar"/>
              </w:rPr>
              <w:t xml:space="preserve">                                                                                                                                                                                                                                         ＃1、尺寸：宽≥960mm，长≥1600mm。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＃2、亮度：≥4200cd/㎡。</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＃3、每平方模组最大功率：≤909W/㎡。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＃4、控制方式：逐点一一对应，视频同步，实时显示。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＃5、亮度调节：256级手动/自动。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＃6、使用寿命：≥10万小时；平均无故障时间：≥1万小时。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＃7、工作温度：-20-40℃。工作湿度：10%-90%RH。</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＃8、可同时支持50米、100米运动项目同时使用，屏幕自动按项目进行轮播切换展示各项目跑步成绩。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＃9、最佳视距：≥4m。使用环境：户外。</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800米&amp;1000米跑AI系统</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＃1、成绩检测：支持800米、1000米成绩计时。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＃2、同步开启：支持800米、1000米项目同步开启使用，互不干扰检测，并分别精准检录800米和1000米的跑步成绩。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＃3、精度要求：技术要求有效量程：0-999.99秒，分度值：0.01秒，允许误差±0.05秒。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＃4、成绩误差：≤0.02秒；响应时间：≤0.5秒。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＃5、多组同测：多组循环发令，前一组起跑后，后一组即可发令起跑，支持最多十组套发同测，成绩自动检测，自动计时、自动计圈。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＃6、班级名单测试：选择班级名单测试，支持分年级、分班级、分性别进行测试，学生通过穿戴号码衣开展测试，最多分别支持40人同时测试，并分别记录成绩，且成绩检出率：≥99.6%。</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人脸识别测试：选择人脸识别测试，学生无需穿戴号码衣或任何电子设备，通过摄像头识别人脸信息，最多分别支持80人以上同时测试，并分别记录成绩，且人脸识别方式成绩检出率：≥98.6%。（提供由第三方检验检测机构出具的有效的检测报告扫描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＃8、动作关键帧：支持留存运动视频回放，可通过人工智能识别分析运动过程并提供关键帧分析，包括起跑动作、结束动作等。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＃9、异常成绩过滤：支持自动过滤异常成绩，学生连续经过终点的时间间隔不得小于系统限定时长，可有效杜绝绕近道作弊。</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＃10、成绩补录：支持小程序端成绩智能补录，可进入补录界面查看全程视频回放及学生每圈过线时间，通过智能提示补录学生跑步成绩。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＃11、找回成绩：支持多种方式找回成绩；①通过人脸识别，可以快速定位学生运动成绩；②观看回放，直接定位疑似过线成绩便于老师判断。</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＃12、考试模式：支持教师通过智慧体育助手小程序开启测试任务，音柱发令，测试者到达终点后屏幕及小程序显示测试者信息和成绩，并支持一键导出测试成绩。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＃13、测试记录：支持测试记录自动上传智慧体育校级数据系统/智慧体育自助体测系统/AI体育云，可随时查看详细成绩报告与具体成绩记录，并支持成绩表一键导出。</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800米&amp;1000米跑配套设备</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一、立杆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包含起点定制化立杆及终点定制化立杆：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＃1、起点立杆：材质：Q235钢材;烤漆：颜色有甲方指定;厚度：2-5 mm（根据横臂长短决定壁厚）;高度：3-4 m（具体高度根据现场实际情况做调整）;直径：100-300mm（根据横臂长短决定直径）。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＃2、起点横臂：横臂直径：：100-300mm（根据横臂长短决定直径）；厚度：2-5 mm（根据横臂长短决定壁厚）；长度：4-5 m（具体长度根据现场实际情况做调整）。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＃3、终点立杆：材质：Q235钢材;烤漆：颜色有甲方指定;厚度：2-5 mm（根据横臂长短决定壁厚）;高度：3-4 m（具体高度根据现场实际情况做调整）;直径：100-300mm（根据横臂长短决定直径）。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＃4、终点横臂：横臂直径：：100-300mm（根据横臂长短决定直径）；厚度：2-5 mm（根据横臂长短决定壁厚）；长度：5-6 m（具体长度根据现场实际情况做调整）。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二、智慧音柱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＃1、额定功率：≥60W。                                                                                                                                      </w:t>
            </w:r>
            <w:r>
              <w:rPr>
                <w:rFonts w:hint="eastAsia" w:ascii="宋体" w:hAnsi="宋体" w:eastAsia="宋体" w:cs="宋体"/>
                <w:i w:val="0"/>
                <w:iCs w:val="0"/>
                <w:color w:val="000000"/>
                <w:sz w:val="22"/>
                <w:szCs w:val="22"/>
                <w:highlight w:val="none"/>
                <w:u w:val="none"/>
                <w:lang w:val="en-US" w:eastAsia="zh-CN" w:bidi="ar"/>
              </w:rPr>
              <w:t xml:space="preserve">                                                                                                                                                                                                                                                ＃2、频率响应：140HZ-15</w:t>
            </w:r>
            <w:r>
              <w:rPr>
                <w:rFonts w:hint="eastAsia" w:ascii="宋体" w:hAnsi="宋体" w:eastAsia="宋体" w:cs="宋体"/>
                <w:i w:val="0"/>
                <w:iCs w:val="0"/>
                <w:color w:val="000000"/>
                <w:sz w:val="22"/>
                <w:szCs w:val="22"/>
                <w:highlight w:val="none"/>
                <w:u w:val="none"/>
                <w:lang w:val="en-US" w:eastAsia="zh-CN" w:bidi="ar"/>
              </w:rPr>
              <w:t xml:space="preserve">KHZ。                                                                                                                                                                                                                                                            </w:t>
            </w:r>
            <w:r>
              <w:rPr>
                <w:rFonts w:hint="eastAsia" w:ascii="宋体" w:hAnsi="宋体" w:eastAsia="宋体" w:cs="宋体"/>
                <w:i w:val="0"/>
                <w:iCs w:val="0"/>
                <w:color w:val="000000"/>
                <w:sz w:val="22"/>
                <w:szCs w:val="22"/>
                <w:highlight w:val="none"/>
                <w:u w:val="none"/>
                <w:lang w:val="en-US" w:eastAsia="zh-CN" w:bidi="ar"/>
              </w:rPr>
              <w:t xml:space="preserve">                                                                                                                                       ＃3、灵敏度：95dB（±3）。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＃4、待机功率：＜1W。                                                                                                                                                                                                                     </w:t>
            </w:r>
            <w:r>
              <w:rPr>
                <w:rFonts w:hint="eastAsia" w:ascii="宋体" w:hAnsi="宋体" w:eastAsia="宋体" w:cs="宋体"/>
                <w:i w:val="0"/>
                <w:iCs w:val="0"/>
                <w:color w:val="000000"/>
                <w:sz w:val="22"/>
                <w:szCs w:val="22"/>
                <w:highlight w:val="none"/>
                <w:u w:val="none"/>
                <w:lang w:val="en-US" w:eastAsia="zh-CN" w:bidi="ar"/>
              </w:rPr>
              <w:t xml:space="preserve">                                                                                                                                                                               ＃5、材质：铝合金外壳，金属网罩，PP防水喇叭。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t xml:space="preserve">                                                  ＃6、防护：具有过热保护、过流保护、防破音等。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三、物联网摄像头 4台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＃1、传感器类型： 1/1.8英寸cmOS。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＃2、像素：≥800万。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＃3、最大分辨率：≥3840×2160。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＃4、防尘防水等级: IP67。</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＃5、视频压缩标准: H.265/H.264/MJPEG。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＃6、电源供应：12 V ± 20%。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人脸抓拍模式：a)支持对运动人脸进行检测、跟踪、抓拍、评分、筛选，输出最优的人脸，b)支持人脸去误报、快速抓拍人脸，c)支持快速抓拍和最佳抓拍两种模式，d)最多同时检测30张人脸，e)支持人脸去重。</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终点成绩播报终端</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一、立杆                                                                                      </w:t>
            </w:r>
            <w:r>
              <w:rPr>
                <w:rFonts w:hint="eastAsia" w:ascii="宋体" w:hAnsi="宋体" w:eastAsia="宋体" w:cs="宋体"/>
                <w:i w:val="0"/>
                <w:iCs w:val="0"/>
                <w:color w:val="000000"/>
                <w:sz w:val="22"/>
                <w:szCs w:val="22"/>
                <w:highlight w:val="none"/>
                <w:u w:val="none"/>
                <w:lang w:val="en-US" w:eastAsia="zh-CN" w:bidi="ar"/>
              </w:rPr>
              <w:t xml:space="preserve">                                                                                                                                                                                                                   ＃1、杆体高度： 高度：1.8~2 m；杆体直径：直径：≥114 mm；杆体厚度：≥3mm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＃2、杆体材质：采用优质钢材，具有高强度、耐腐蚀、耐磨损。表面处理：采用烤漆处理；颜色有甲方指定。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＃3、安装设备：可安装多种智慧体育设备，如高清摄像头、无线ap、音柱等。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二、显示机                                     </w:t>
            </w:r>
            <w:r>
              <w:rPr>
                <w:rFonts w:hint="eastAsia" w:ascii="宋体" w:hAnsi="宋体" w:eastAsia="宋体" w:cs="宋体"/>
                <w:i w:val="0"/>
                <w:iCs w:val="0"/>
                <w:color w:val="000000"/>
                <w:sz w:val="22"/>
                <w:szCs w:val="22"/>
                <w:highlight w:val="none"/>
                <w:u w:val="none"/>
                <w:lang w:val="en-US" w:eastAsia="zh-CN" w:bidi="ar"/>
              </w:rPr>
              <w:t xml:space="preserve">                                                                                                                                                                                                                                         ＃1、尺寸：宽≥960mm，长≥1600mm。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＃2、亮度：≥4200cd/㎡。</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＃3、每平方模组最大功率：≤909W/㎡。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＃4、控制方式：逐点一一对应，视频同步，实时显示。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＃5、亮度调节：256级手动/自动。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＃6、使用寿命：≥10万小时；平均无故障时间：≥1万小时。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＃7、工作温度：-20-40℃。工作湿度：10%-90%RH。</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＃8、可同时支持50米、100米运动项目同时使用，屏幕自动按项目进行轮播切换展示各项目跑步成绩。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＃9、最佳视距：≥4m。使用环境：户外。</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计圈跑跑圈打卡系统</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采用人工智能视觉算法分析，实现精准成绩检测。</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＃1、成绩误差：≤0.02秒；响应时间：≤0.5秒。</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▲2、自定义圈数：支持根据实际训练或测试需求，灵活设置跑步圈数，圈数范围：1-20圈。（提供由第三方检验检测机构出具的有效的检测报告扫描件）</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＃3、同步开启：支持计圈跑及其他跑步类项目同步开启使用，互不干扰检测，并精准检录计圈跑步成绩。</w:t>
            </w:r>
            <w:r>
              <w:rPr>
                <w:rFonts w:hint="eastAsia" w:ascii="宋体" w:hAnsi="宋体" w:eastAsia="宋体" w:cs="宋体"/>
                <w:i w:val="0"/>
                <w:iCs w:val="0"/>
                <w:color w:val="000000"/>
                <w:sz w:val="22"/>
                <w:szCs w:val="22"/>
                <w:highlight w:val="none"/>
                <w:u w:val="none"/>
                <w:lang w:val="en-US" w:eastAsia="zh-CN"/>
              </w:rPr>
            </w:r>
            <w:r/>
          </w:p>
          <w:p>
            <w:pPr>
              <w:pStyle w:val="768"/>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＃4、多组同测：支持多组循环发令，前一组起跑后，后一组即可发令起 跑，支持最多十组套发同测，成绩自动检测。</w:t>
            </w:r>
            <w:r>
              <w:rPr>
                <w:rFonts w:hint="eastAsia" w:ascii="宋体" w:hAnsi="宋体" w:eastAsia="宋体" w:cs="宋体"/>
                <w:i w:val="0"/>
                <w:iCs w:val="0"/>
                <w:color w:val="000000"/>
                <w:sz w:val="22"/>
                <w:szCs w:val="22"/>
                <w:highlight w:val="none"/>
                <w:u w:val="none"/>
                <w:lang w:val="en-US" w:eastAsia="zh-CN"/>
              </w:rPr>
            </w:r>
            <w:r/>
          </w:p>
          <w:p>
            <w:pPr>
              <w:pStyle w:val="768"/>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5、人脸识别测试：支持人脸识别测试，学生无需穿戴号码衣或任何电子设备，通过摄像头识别人脸信息，支持80人以上同时测试，且支持最多十组分别发令开跑，并分别记录成绩，且人脸识别方式成绩检出率：≥98.6%。（提供由第三方检验检测机构出具的有效的检测报告扫描件）</w:t>
            </w:r>
            <w:r>
              <w:rPr>
                <w:rFonts w:hint="eastAsia" w:ascii="宋体" w:hAnsi="宋体" w:eastAsia="宋体" w:cs="宋体"/>
                <w:i w:val="0"/>
                <w:iCs w:val="0"/>
                <w:color w:val="000000"/>
                <w:sz w:val="22"/>
                <w:szCs w:val="22"/>
                <w:highlight w:val="none"/>
                <w:u w:val="none"/>
                <w:lang w:val="en-US" w:eastAsia="zh-CN"/>
              </w:rPr>
            </w:r>
            <w:r/>
          </w:p>
          <w:p>
            <w:pPr>
              <w:pStyle w:val="768"/>
              <w:jc w:val="left"/>
              <w:keepLines w:val="0"/>
              <w:keepNext w:val="0"/>
              <w:widowControl/>
              <w:rPr>
                <w:rFonts w:hint="eastAsia" w:ascii="宋体" w:hAnsi="宋体" w:eastAsia="宋体" w:cs="宋体"/>
                <w:i w:val="0"/>
                <w:iCs w:val="0"/>
                <w:color w:val="000000"/>
                <w:sz w:val="22"/>
                <w:szCs w:val="22"/>
                <w:highlight w:val="none"/>
                <w:u w:val="none"/>
                <w:lang w:val="en-US" w:eastAsia="zh-CN"/>
              </w:rPr>
              <w:suppressLineNumbers w:val="0"/>
            </w:pPr>
            <w:r>
              <w:rPr>
                <w:rFonts w:hint="eastAsia" w:ascii="宋体" w:hAnsi="宋体" w:eastAsia="宋体" w:cs="宋体"/>
                <w:i w:val="0"/>
                <w:iCs w:val="0"/>
                <w:color w:val="000000"/>
                <w:sz w:val="22"/>
                <w:szCs w:val="22"/>
                <w:highlight w:val="none"/>
                <w:u w:val="none"/>
                <w:lang w:val="en-US" w:eastAsia="zh-CN"/>
              </w:rPr>
              <w:t xml:space="preserve">＃6、异常成绩过滤：支持自动过滤异常成绩，学生连续经过终点的时间间隔不得小于系统限定时长，可有效杜绝绕近道作弊。</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＃7、成绩显示：支持手机端及配置的显示屏实时展测试人信息、已跑圈数及测试成绩。</w:t>
            </w:r>
            <w:r>
              <w:rPr>
                <w:rFonts w:hint="eastAsia" w:ascii="宋体" w:hAnsi="宋体" w:eastAsia="宋体" w:cs="宋体"/>
                <w:i w:val="0"/>
                <w:iCs w:val="0"/>
                <w:color w:val="000000"/>
                <w:sz w:val="22"/>
                <w:szCs w:val="22"/>
                <w:highlight w:val="none"/>
                <w:u w:val="none"/>
                <w:lang w:val="en-US" w:eastAsia="zh-CN"/>
              </w:rPr>
            </w:r>
            <w:r/>
          </w:p>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＃8、成绩补录：可进入补录界面查看全程视频回放及学生每圈过线时间，通过智能提示补录学生跑步成绩。</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引体向上AI系统</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＃1、成绩检测：支持智能检测引体向上有效个数。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＃2、技术要求有效量程：0-99次，分度值：1次，允许误差±1次。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＃3、成绩误差：≤1个/每分钟；响应时间：≤0.5秒。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＃4、背景抗干扰：支持在复杂背景下，被测试学生背后多人近距离站立走动仍可正常进行成绩检测，支持背景抗干扰人数至少5人。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＃5、违规识别：支持下颌未过杠、手臂弯曲、手反握违规识别，可实时进行语音提醒。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＃6、实时报数：支持测试过程中成绩实时报数。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＃7、同步显示：支持配置机器人测试箱，同步显示学生测试状态和违规情况。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＃8、场地部署：支持机器人箱体立杆根据学校原有的引体向上硬件设施进行高度调节。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＃9、动作关键帧：支持留存运动视频回放，可通过人工智能识别分析运动过程并提供关键帧分析，包括准备动作、最低位置分析等。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自由练习：支持自由练习模式下，提前录入人脸信息后，学生双手正握杆脸朝摄像头示意，可通过摄像头识别人脸信息，系统播报学生姓名开启测试并播报测试成绩，并将成绩与该学生绑定，识别响应速度≤2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＃11、作弊检测：支持作弊识别检测，如通过脚踩物品引体向上，人员辅助引体向上，惯性助力引体向上、弹力绳助力引体向上等，系统自动检测并语音播报“疑似违规”，且作弊成绩无效。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＃12、测试记录：支持测试记录自动上传智慧体育校级数据系统，可随时查看详细成绩报告与具体成绩记录，并支持成绩表一键导出。</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引体向上配套设备</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一、立杆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＃1、杆体高度：2-3 m（具体高度根据现场实际情况做调整）。具体高度根据操场大小和使用需求确定。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＃2、杆体直径：≥110 mm。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＃3、杆体厚度：≥2 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＃4、杆体材质：采用优质钢材，具有高强度、耐腐蚀、耐磨损。表面处理：采用烤漆处理；颜色有甲方指定。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＃5、安装设备：可安装多种智慧体育设备，如高清摄像头、无线ap、音柱等。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二、机器人箱体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＃1、箱体尺寸：≥宽430*高480*厚260mm。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＃2、显示尺寸：≥320mm*160㎜。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＃3、显示亮度：≥1000nit。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＃4、显示分辨率：≥64*32。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＃5、显示内容：可展示学生信息、成绩及违规提示。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＃6、可视角度：120º±5º（水平/垂直）。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＃7、喇叭：双向全音喇叭。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＃8、同步显示：支持配置小机器人套件，同步显示学生测试状态和违规情况。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三、物联网摄像头 1台。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＃1、传感器类型： 1/1.8英寸cmOS。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＃2、像素：≥800万。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＃3、最大分辨率：≥3840×2160。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＃4、防尘防水等级: IP67。</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＃5、视频压缩标准: H.265/H.264/MJPEG。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＃6、电源供应：12 V ± 20%。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人脸抓拍模式：a)支持对运动人脸进行检测、跟踪、抓拍、评分、筛选，输出最优的人脸，b)支持人脸去误报、快速抓拍人脸，c)支持快速抓拍和最佳抓拍两种模式，d)最多同时检测30张人脸，e)支持人脸去重。</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多人实心球AI系统</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＃1、成绩检测：支持智能检测1-12人投掷实心球的有效投掷距离，成绩有效检测率至少99%。</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＃2、成绩误差：≤0.01米；响应时间：≤0.5s。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▲3、多人同测：支持不少于12名学生通过无感人脸识别进行对投测试，并支持男女生在不同标准位置同进行测试。（提供由第三方检验检测机构出具的有效的检测报告扫描件。）</w:t>
            </w:r>
            <w:r>
              <w:rPr>
                <w:rFonts w:hint="eastAsia" w:ascii="宋体" w:hAnsi="宋体" w:eastAsia="宋体" w:cs="宋体"/>
                <w:i w:val="0"/>
                <w:iCs w:val="0"/>
                <w:color w:val="000000"/>
                <w:sz w:val="22"/>
                <w:szCs w:val="22"/>
                <w:highlight w:val="none"/>
                <w:u w:val="none"/>
                <w:lang w:val="en-US" w:eastAsia="zh-CN" w:bidi="ar"/>
              </w:rPr>
            </w:r>
            <w:r/>
          </w:p>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＃4、成绩显示：测试数据实时同步至LED成绩显示屏。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＃5、违规识别：支持踩线违规识别，并实时进行成绩显示屏提醒。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＃6、成绩查看：支持多端查询：</w:t>
            </w:r>
            <w:r>
              <w:rPr>
                <w:rFonts w:ascii="Calibri" w:hAnsi="Calibri" w:eastAsia="宋体" w:cs="Calibri"/>
                <w:i w:val="0"/>
                <w:iCs w:val="0"/>
                <w:color w:val="000000"/>
                <w:sz w:val="22"/>
                <w:szCs w:val="22"/>
                <w:highlight w:val="none"/>
                <w:u w:val="none"/>
                <w:lang w:val="en-US" w:eastAsia="zh-CN" w:bidi="ar"/>
              </w:rPr>
              <w:t xml:space="preserve">①</w:t>
            </w:r>
            <w:r>
              <w:rPr>
                <w:rFonts w:hint="eastAsia" w:ascii="宋体" w:hAnsi="宋体" w:eastAsia="宋体" w:cs="宋体"/>
                <w:i w:val="0"/>
                <w:iCs w:val="0"/>
                <w:color w:val="000000"/>
                <w:sz w:val="22"/>
                <w:szCs w:val="22"/>
                <w:highlight w:val="none"/>
                <w:u w:val="none"/>
                <w:lang w:val="en-US" w:eastAsia="zh-CN" w:bidi="ar"/>
              </w:rPr>
              <w:t xml:space="preserve"> LED成绩显示屏实时查看测试成绩。②运动风云榜大屏实时查看排行榜单及个人成绩档案。③校级数据平台实时查看学生测试数据。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＃7、动作关键帧：支持留存运动视频回放，可通过人工智能识别分析运动过程并提供关键帧分析，包括准备动作、开始动作、结束动作等。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＃8、自由练习：支持提前录入人脸信息后，学生双手握球脸朝摄像头示意，可通过摄像头识别人脸信息，人脸识别率至少98%，并将成绩与该学生绑定，识别响应速度≤2s。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＃9、测试记录：支持测试记录自动上传智慧体育校级数据系统，可随时查看详细成绩报告与具体成绩记录，并支持成绩表一键导出。</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多人实心球配套设备</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一、立杆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＃1、杆体高度： 3 -4米。（具体高度根据现场实际情况做调整）。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＃2、杆体直径：直径：≥140 mm.杆体厚度：≥2 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＃3、杆体材质：采用优质钢材，具有高强度、耐腐蚀、耐磨损。表面处理：采用烤漆处理；颜色有甲方指定。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＃4、安装设备：可安装多种智慧体育设备，如高清摄像头、无线ap、音柱等。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二、智慧音柱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＃1、额定功率：≥60W。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＃2、频率响应：140HZ-15KHZ。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＃3、灵敏度：95dB（±3）。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＃4、待机功率：＜1W。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＃5、材质：铝合金外壳，金属网罩，PP防水喇叭。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＃6、防护：具有过热保护、过流保护、防破音等。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三、物联网摄像头3台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＃1、传感器类型： 1/1.8英寸cmOS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＃2、像素：≥800万；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＃3、最大分辨率：≥3840×2160；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＃4、防尘防水等级: IP67；</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＃5、视频压缩标准: H.265/H.264/MJPEG。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＃6、电源供应：12 V ± 20%。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人脸抓拍模式：a)支持对运动人脸进行检测、跟踪、抓拍、评分、筛选，输出最优的人脸，b)支持人脸去误报、快速抓拍人脸，c)支持快速抓拍和最佳抓拍两种模式，d)最多同时检测30张人脸，e)支持人脸去重。</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多人实心球成绩播报终端</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一、立杆                                                                                       </w:t>
            </w:r>
            <w:r>
              <w:rPr>
                <w:rFonts w:hint="eastAsia" w:ascii="宋体" w:hAnsi="宋体" w:eastAsia="宋体" w:cs="宋体"/>
                <w:i w:val="0"/>
                <w:iCs w:val="0"/>
                <w:color w:val="000000"/>
                <w:sz w:val="22"/>
                <w:szCs w:val="22"/>
                <w:highlight w:val="none"/>
                <w:u w:val="none"/>
                <w:lang w:val="en-US" w:eastAsia="zh-CN" w:bidi="ar"/>
              </w:rPr>
              <w:t xml:space="preserve">                                                                                                                                                                                                                  ＃1、杆体高度： 高度：1.8~2 m；杆体直径：直径：≥114 mm；杆体厚度：≥3mm。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＃2、杆体材质：采用优质钢材，具有高强度、耐腐蚀、耐磨损；表面处理：采用烤漆处理；颜色有甲方指定。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＃3、安装设备：可安装多种智慧体育设备，如高清摄像头、无线ap、音柱等。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二、显示机                                      </w:t>
            </w:r>
            <w:r>
              <w:rPr>
                <w:rFonts w:hint="eastAsia" w:ascii="宋体" w:hAnsi="宋体" w:eastAsia="宋体" w:cs="宋体"/>
                <w:i w:val="0"/>
                <w:iCs w:val="0"/>
                <w:color w:val="000000"/>
                <w:sz w:val="22"/>
                <w:szCs w:val="22"/>
                <w:highlight w:val="none"/>
                <w:u w:val="none"/>
                <w:lang w:val="en-US" w:eastAsia="zh-CN" w:bidi="ar"/>
              </w:rPr>
              <w:t xml:space="preserve">                                                                                                                                                                                                                                        ＃1、尺寸：宽≥ 2.24m，长≥ 1.28m。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＃2、亮度：≥4200cd/㎡。</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＃3、每平方模组最大功率：≤909W/㎡。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＃4、控制方式：逐点一一对应，视频同步，实时显示。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＃5、亮度调节：256级手动/自动。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＃6、使用寿命：≥10万小时；平均无故障时间：≥1万小时。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＃7、工作温度：-20-40℃。工作湿度：10%-90%RH。</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＃8、支持实心球成绩实时显示，支持≥12人实心球成绩显示，并分别显示各测试位学生信息。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＃9、最佳视距：≥4m。使用环境：户外。</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排球AI测试站系统</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＃1、成绩检测：支持智能检测有效时间内排球对空颠球有效个数。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＃2、技术要求有效量程：0~99次，分度值：1 次，允许误差±1 次。</w:t>
            </w:r>
            <w:r>
              <w:rPr>
                <w:rFonts w:hint="eastAsia" w:ascii="宋体" w:hAnsi="宋体" w:eastAsia="宋体" w:cs="宋体"/>
                <w:i w:val="0"/>
                <w:iCs w:val="0"/>
                <w:color w:val="000000"/>
                <w:sz w:val="22"/>
                <w:szCs w:val="22"/>
                <w:highlight w:val="none"/>
                <w:u w:val="none"/>
                <w:lang w:val="en-US" w:eastAsia="zh-CN" w:bidi="ar"/>
              </w:rPr>
            </w:r>
            <w:r/>
          </w:p>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＃3、成绩误差：≤1个；响应时间：≤0.5秒。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＃4、违规识别：支持踩线、球/人出界、球未达到规定高度识别，可实时进行语音提醒。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＃5、实时报数：支持测试过程中成绩实时报数。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＃6、随堂测试：支持随堂测试模式下，选择班级名单测试，支持分年级、分班级、分性别进行测试，系统依次播报学生姓名开启测试。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＃7、考试模式：支持教师通过智慧体育助手小程序开启测试任务，并一键导出测试成绩。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＃8、测试成绩：支持测试记录自动上传智慧体育校级数据系统，可随时查看详细成绩报告与具体成绩记录，并支持成绩表一键导出。</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21</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排球AI测试站配套设备</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一、机器人测试套件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＃1、箱体尺寸：≥宽430x高480x厚260。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＃2、显示尺寸：≥320mm*160㎜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＃3、显示亮度：≥1000nit。</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＃4、显示分辨率：≥64*32。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＃5、显示内容：可展示学生信息、成绩及违规提示。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＃6、可视角度：120º±5º（水平/垂直）。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＃7、喇叭：双向全音喇叭。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＃8、立杆：材质：Q235钢材；烤漆：颜色有甲方指定；厚度：≥2 mm ；高度：2-3 m（具体高度根据现场实际情况做调整）；直径：≥110 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二、视频流采集设备 1台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＃1、采用单个电动变焦镜头一体化设计，枪型外观，自带补光灯。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＃2、内置GPU芯片，支持深度学习算法，有效提升检测准确率。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＃3、相同照度场景下，速度不同的运动目标，同时经过监控画面时，相机可自适应控制2套快门曝光时间，来适配不同速度目标，以保证抓拍目标图片效果。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＃4、0.001lux照度下，可自动提升视频画面中人脸与人体目标的亮度。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＃5、内部硬件机芯均采用金属外壳包裹，以达到良好的散热性能。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＃6、支持报警3进2出，双MIC，扬声器，音频2进1出，485，BNC，支持不小于512GMicroSD卡。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＃7、支持DC12V/AC24V/POE三合一供电方式，支持12V电源送。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＃8、支持不低于IP67防护等级。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9、电源输出规格：DC12V/2A，输出功率：≤24W，具备短路保护、输出过压保护功能；工作温度和湿度：0℃~40℃,湿度10%~90%。</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足球AI测试站系统</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＃1、成绩检测：支持足球绕杆运球计时。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＃2、技术要求有效量程：5~60秒，分度值：0.1秒，允许误差±0.1秒。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＃3、成绩误差：≤0.1秒；响应时间：≤ 5秒。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＃4、随堂测试：支持随堂测试模式下，选择班级名单测试，支持分年级、分班级、分性别进行测试，系统依次播报学生姓名开启测试。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＃5、人脸识别：支持选择人脸识别测试，学生站在测试位上面向摄像头，可通过摄像头识别人脸信息，系统语音播报学生姓名开启测试并播报测试成绩，成绩将与该学生绑定，识别响应速度≤2s。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＃6、支持一键导出测试成绩。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＃7、测试成绩：支持测试记录自动上传智慧体育校级数据系统，可随时查看详细成绩报告与具体成绩记录，并支持成绩表一键导出。</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足球AI测试站配套设备</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一、视频流采集设备 2台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＃1、采用单个电动变焦镜头一体化设计，枪型外观，自带补光灯。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＃2、内置GPU芯片，支持深度学习算法，有效提升检测准确率。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＃3、相同照度场景下，速度不同的运动目标，同时经过监控画面时，相机可自适应控制2套快门曝光时间，来适配不同速度目标，以保证抓拍目标图片效果。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＃4、0.001lux照度下，可自动提升视频画面中人脸与人体目标的亮度。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＃5、内部硬件机芯均采用金属外壳包裹，以达到良好的散热性能。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＃6、支持报警3进2出，双MIC，扬声器，音频2进1出，485，BNC，支持不小于512GMicroSD卡。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＃7、支持DC12V/AC24V/POE三合一供电方式，支持12V电源送。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＃8、支持不低于IP67防护等级。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＃9、电源输出规格：DC12V/2A，输出功率：≤24W，具备短路保护、输出过压保护功能；工作温度和湿度：0℃~40℃,湿度10%~90%。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二、测试硬件配置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＃1、立杆：材质：Q235钢材，烤漆：颜色有甲方指定，厚度：≥2 mm，高度：3-4 m（具体高度根据现场实际情况做调整），直径：≥140 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＃2、音柱：额定功率：≥60W；频率响应：55-20KHZ；灵敏度：≥92dB；.规格：20V~50Hz；材质：铝合金外壳，金属网罩，PP防水喇叭；防护：具有过热保护、过流保护、防破音等。</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24</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篮球AI测试站系统</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＃1、成绩检测：支持篮球绕杆运球计时。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＃2、成绩误差：≤ 5%；分度值：0.1秒，允许误差±0.1秒。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＃3、响应时间≤ 5秒。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＃4、人脸识别：支持选择人脸识别测试，学生站在测试位上面向摄像头，可通过摄像头识别人脸信息，系统语音播报学生姓名开启测试并播报测试成绩，成绩将与该学生绑定，识别响应速度≤2s。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＃5、随堂测试：支持随堂测试模式下，选择班级名单测试，支持分年级、分班级、分性别进行测试，系统依次播报学生姓名开启测试。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＃6、测试成绩：支持测试记录自动上传智慧体育校级数据系统，可随时查看详细成绩报告与具体成绩记录，并支持成绩表一键导出。</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25</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篮球AI测试站配套设备</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一、视频流采集设备 2台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＃1、采用单个电动变焦镜头一体化设计，枪型外观，自带补光灯。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＃2、内置GPU芯片，支持深度学习算法，有效提升检测准确率。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＃3、相同照度场景下，速度不同的运动目标，同时经过监控画面时，相机可自适应控制2套快门曝光时间，来适配不同速度目标，以保证抓拍目标图片效果。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＃4、0.001lux照度下，可自动提升视频画面中人脸与人体目标的亮度。</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＃5、内部硬件机芯均采用金属外壳包裹，以达到良好的散热性能。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＃6、支持报警3进2出，双MIC，扬声器，音频2进1出，485，BNC，支持不小于512GMicroSD卡。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＃7、支持DC12V/AC24V/POE三合一供电方式，支持12V电源送。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＃8、支持不低于IP67防护等级。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＃9、电源输出规格：DC12V/2A，输出功率：≤24W，具备短路保护、输出过压保护功能；工作温度和湿度：0℃~40℃,湿度10%~90%。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二、测试硬件配置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＃1、立杆：材质：Q235钢材，烤漆：颜色有甲方指定，厚度：≥2 mm，高度：3-4 m（具体高度根据现场实际情况做调整），直径：≥140 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＃2、音柱：额定功率：≥60W；频率响应：55-20KHZ；灵敏度：92dB；规格：20V~50Hz；材质：铝合金外壳，金属网罩，PP防水喇叭；防护：具有过热保护、过流保护、防破音等。</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26</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身高体重测试机</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＃1、身高测量方式：高精度超声波探头并实现温差补偿检测。</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＃2、体重测量方式：精密平衡梁式压力传感器称重。</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＃3、测量标准：国际通用体格指数（BMI)。</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＃4、显示方式：≥19寸高清液晶触摸屏。</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＃5、屏幕分辨率≥1920*1080。</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＃6、运行内存≥2G；存储:≥16G。</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＃7、测量范围：身高：50cm－200cm。            </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＃8、体重：5kg－500kg。</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＃9、精确度：身高：±0.1cm ，体重：±0.1kg。</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＃10、摄像头像素：≥500万像素内置摄像头。</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11、人脸识别功能：集人脸检测、人脸跟踪、人脸对比、人脸查找、人脸属性、RGB/IR活体检测等多项能力与一身。支持离线服务，可在无网络环境下使用，本地化部署，保证数据的安全。毫秒级识别、服务高效。</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＃12、完成测试后系统自动生成个人成绩报告，配合语音提示：测量过程提示及测量结果播报;分别显示学生身高、体重、BMI数据等，并分别给出BMI区间建议及健康分析。</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＃13、使用温湿度:温度-20-40℃，湿度20%-85%RH。</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＃14、电源电压:AC 220V 50HZ。             </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＃15、支持学生自助进行测试，点击主屏幕即可快速进入人脸识别界面，通过识别后进入个人界面。</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＃16、外形设计:测量、显示、打印一体化，模具一次成型的铝合金机身，符合人体工程学，自带小轮方便移动。</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＃17、外形尺寸：整机高度：≥240cm，整机净重：≥43kg。</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27</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肺活量测试机</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＃1、显示方式：≥19寸高清液晶触摸屏，屏幕分辨率≥1920*1080。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＃2、运行内存：≥2G。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＃3、存储：≥16G。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＃4、测量范围：0~9999ml。</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＃5、分度值：1ml；精度：不大于2.5%FS。</w:t>
            </w:r>
            <w:r>
              <w:rPr>
                <w:rFonts w:hint="eastAsia" w:ascii="宋体" w:hAnsi="宋体" w:eastAsia="宋体" w:cs="宋体"/>
                <w:i w:val="0"/>
                <w:iCs w:val="0"/>
                <w:color w:val="000000"/>
                <w:sz w:val="22"/>
                <w:szCs w:val="22"/>
                <w:highlight w:val="none"/>
                <w:u w:val="none"/>
                <w:lang w:val="en-US" w:eastAsia="zh-CN" w:bidi="ar"/>
              </w:rPr>
            </w:r>
            <w:r/>
          </w:p>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＃6、摄像头：≥500万像素内置摄像头。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＃7、人脸识别功能：集人脸检测、人脸跟踪、人脸对比、人脸查找、人脸属性、RGB/IR活体检测等多项能力与一身。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＃8、支持学生自助进行测试，点击主屏幕即可快速进入人脸识别界面，通过识别后进入个人界面；语音提示：测量过程提示及测量结果播报。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＃9、测试过程实时显示肺活量（毫升）数值，并分别记录第一次成绩和第二次成绩，测试完成无需操作直接离开。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＃10、使用温湿度：-10-60℃，20%-85%RH。</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＃11、电源电压：220V 50HZ；平均功耗：≤20W。</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28</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室外体育数据展示终端</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rPr>
              <w:t xml:space="preserve">＃1、成绩终端尺寸：触控尺寸≥1300mm*740mm    </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＃2、技术配置：自带人脸识别摄像头。</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＃3、散热方式：风冷+调速。</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＃4、采用AR钢化玻璃，支持防雨、防尘、防、过热、户外喷涂、防球击。</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＃5、外壳：≥ 5mm镀锌板，表面喷户外专用粉，防护能力7年以上。</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＃6、开门设计防水结构，贴户外橡胶条密封，满足IP55防护等级。</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＃7、配置校级智慧体育数据分析与查看功能，可查看校级整体数据情况，包含实时运动量、开课次数、开课人数、开课班级数等维度数据。</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＃8、支持校方各级人员查看各项目实时使用情况，可查看各运动项目实时排行榜单，并支持根据年级/性别等类别进行分类查看排行榜单，可在榜单中查看对应学生运动视频回放及动作关键帧。</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＃9、支持：周榜、月榜、学期榜进行查看。</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＃10、支持通知栏展示，并支持后台自定义设置通知栏内容。</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＃11、支持学生通过大屏自主查询个人成绩档案，包含过往整体运动数据量、综合能力雷达分布图、各运动项目的成绩综合分析体现。</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＃12、支持学生通过大屏进行人脸识别，课后自主查看个人运动视频、动作关键帧等数据。</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＃13、支持通过大屏人脸识别查看学生运动数据，包括累计运动天数、日均运动时长（分钟）、今日运动时长（分钟）、达标天数占比等数据。</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＃14、支持学期切换，支持查看上一个学期的运动数据。</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＃15、支持学生通过大屏选择时间区间查看运动趋势图及各项目日均运动时长等数据。</w:t>
            </w:r>
            <w:r>
              <w:rPr>
                <w:rFonts w:hint="eastAsia" w:ascii="宋体" w:hAnsi="宋体" w:eastAsia="宋体" w:cs="宋体"/>
                <w:i w:val="0"/>
                <w:iCs w:val="0"/>
                <w:color w:val="000000"/>
                <w:sz w:val="22"/>
                <w:szCs w:val="22"/>
                <w:highlight w:val="none"/>
                <w:u w:val="none"/>
                <w:lang w:val="en-US" w:eastAsia="zh-CN"/>
              </w:rPr>
              <w:br w:type="textWrapping" w:clear="all"/>
            </w:r>
            <w:r>
              <w:rPr>
                <w:rFonts w:hint="eastAsia" w:ascii="宋体" w:hAnsi="宋体" w:eastAsia="宋体" w:cs="宋体"/>
                <w:i w:val="0"/>
                <w:iCs w:val="0"/>
                <w:color w:val="000000"/>
                <w:sz w:val="22"/>
                <w:szCs w:val="22"/>
                <w:highlight w:val="none"/>
                <w:u w:val="none"/>
                <w:lang w:val="en-US" w:eastAsia="zh-CN"/>
              </w:rPr>
              <w:t xml:space="preserve">＃16、隐私模式：数据不上传云平台，视频回放不上传，支持遮蔽学生照片。</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29</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AI智慧体育锻炼设备(室外版)</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一、锻炼机整机规格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＃1、整机尺寸：(高*宽*厚)≥2060*2015*550mm。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＃2、显示尺寸：(高*宽)≥680*1210mm。                                                                                                                                                                                ＃3、分辨率：≥3840*2160。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＃4、刷新率：≥60HZ。</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＃5、亮度：≥2500cd/㎡。</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＃6、对比度：1500:1。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＃7、响应时间：≤6ms。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＃8、屏幕保护：≥6mm 高透超白钢化玻璃。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＃9、使用寿命：≥50000h。</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＃10、材质：整机外壳采用 ≥1.5mm 镀锌板，表面喷涂户外粉，防护能力7年以上。</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＃11、开门设计防水结构，贴户外橡胶条密封，满足防护等级：≥IP55。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＃12、散热方式：智能温控风冷系统，支持高温保护。</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＃13、工作温度：-10℃-50℃（环境温度低于-10℃，建议选配加热器）；工作湿度：5%-90%。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＃14、存储温度：-20℃-60℃；存储湿度：10%-85%。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＃15、屏幕内置500W人脸识别摄像头。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＃16、≥60W大功率扬声器。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二、算力模块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＃1、处理器：≥8核。</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＃2、内存：≥8GB。</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＃3、硬盘：≥32GB，≥1*256GSSD。</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＃4、网卡：≥2个千兆电口。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三、软件功能。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▲1、多测试位触发：支持无需固定测试位，可随意选择测试区域进行项目触发。（提供由第三方检验检测机构出具的有效的检测报告扫描件）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＃2、灵活测试：运动无门槛，举手示意系统即可自动激活测试人员对应位置的运动项目，无需进行设备或手势切换。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＃3、运动无门槛：通过无感人脸识别，自动身份锁定，即到即测，语音实时指导。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＃4、快速识别：0.5S快速识别锁定测试人员。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＃5、动态展示：支持动态展示运动项目倒计时，并展示学生实时运动成绩。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＃6、多人并发：支持多版本选择部署</w:t>
            </w:r>
            <w:r>
              <w:rPr>
                <w:rFonts w:hint="eastAsia" w:ascii="宋体" w:hAnsi="宋体" w:eastAsia="宋体" w:cs="宋体"/>
                <w:i w:val="0"/>
                <w:iCs w:val="0"/>
                <w:color w:val="000000"/>
                <w:sz w:val="22"/>
                <w:szCs w:val="22"/>
                <w:highlight w:val="none"/>
                <w:u w:val="none"/>
                <w:lang w:val="en-US" w:eastAsia="zh-CN" w:bidi="ar"/>
              </w:rPr>
            </w:r>
            <w:r/>
          </w:p>
          <w:p>
            <w:pPr>
              <w:pStyle w:val="768"/>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版本1：支持单设备单摄像头同时支持8人跳绳同步测试、支持4人纵跳、4人蹲跳、4人投球等游戏运动体验。</w:t>
            </w:r>
            <w:r>
              <w:rPr>
                <w:rFonts w:hint="eastAsia" w:ascii="宋体" w:hAnsi="宋体" w:eastAsia="宋体" w:cs="宋体"/>
                <w:i w:val="0"/>
                <w:iCs w:val="0"/>
                <w:color w:val="000000"/>
                <w:sz w:val="22"/>
                <w:szCs w:val="22"/>
                <w:highlight w:val="none"/>
                <w:u w:val="none"/>
                <w:lang w:val="en-US" w:eastAsia="zh-CN" w:bidi="ar"/>
              </w:rPr>
            </w:r>
            <w:r/>
          </w:p>
          <w:p>
            <w:pPr>
              <w:pStyle w:val="768"/>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版本2：支持单设备单摄像头同时支持4人跳绳同步测试、支持2人立定跳远同步测试、支持4人纵跳、4人蹲跳等游戏运动体验。</w:t>
            </w:r>
            <w:r>
              <w:rPr>
                <w:rFonts w:hint="eastAsia" w:ascii="宋体" w:hAnsi="宋体" w:eastAsia="宋体" w:cs="宋体"/>
                <w:i w:val="0"/>
                <w:iCs w:val="0"/>
                <w:color w:val="000000"/>
                <w:sz w:val="22"/>
                <w:szCs w:val="22"/>
                <w:highlight w:val="none"/>
                <w:u w:val="none"/>
                <w:lang w:val="en-US" w:eastAsia="zh-CN" w:bidi="ar"/>
              </w:rPr>
            </w:r>
            <w:r/>
          </w:p>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＃7、多人PK竞赛：支持跳绳、纵跳、蹲跳、投球等单项目同时进行多人PK竞赛。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＃8、假跳识别：支持跳绳检测系统自动识别单手甩绳跳、双手交叉甩绳跳等假跳行为，并不计入有效成绩。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＃9、榜单展示：各项目运动榜单数据实时刷新，无人使用状态下展示成绩排行榜，支持展示榜单人员姓名、班级及上榜成绩，激发运动兴趣。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＃10、趣味交互：支持卡通界面动态展示，测试人员上榜模拟动画形象，测试过程实时播报趣味卡通声效。</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AI智慧体育教学设备(室外版)</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一、教学机整机规格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＃1、整机尺寸：(高*宽*厚)≥2650mm*1300mm*250mm。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＃2、显示区域：(高*宽)≥680*1210mm。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＃3、分辨率：≥3840*2160。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＃4、刷新率：≥60HZ。</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＃5、亮度：≥3000cd/㎡。</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＃6、对比度：1500:1。</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＃7、响应时间：≤6ms。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＃8、屏幕保护：≥6mm 高透超白钢化玻璃。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＃9、使用寿命：≥50000h。</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＃10、材质：整机外壳采用 ≥1.5mm 镀锌板，表面喷涂户外粉，防护能力7年以上。</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＃11、开门设计防水结构，贴户外橡胶条密封，满足防护等级：≥IP55。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＃12、散热方式：智能温控风冷系统。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＃13、温度保护：支持高温保护。</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＃14、工作温度：-10℃-50℃（环境温度低于-10℃，建议选配加热器）；工作湿度：5%-90%。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＃15、存储温度：-20℃-60℃；存储湿度：10%-85%。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＃16、触摸：电容触摸。</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＃17、屏幕内置500W人脸识别摄像头。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＃18、≥60W大功率扬声器。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二、算力模块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＃1、处理器：≥8核。</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＃2、内存：≥8GB。</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＃3、硬盘：≥32GB，≥1*256GSSD。</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＃4、网卡：≥2个千兆电口。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三、软件功能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（一）、AI立定跳远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＃1、成绩检测：支持智能检测有效跳远距离，精准区分左右脚，以最后的落点为准计入正常成绩。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＃2、成绩误差：≤0.1厘米，响应时间：≤0.5秒。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＃3、违规识别：支持踩线违规识别，可实时进行语音提醒。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＃4、背景抗干扰：支持在复杂背景下，被测试学生背后多人近距离站立走动 仍可正常进行成绩检测，支持背景抗干扰人数至少5人。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＃5、容错机制：学生落地后往前滑动，支持以滑动前为准检测成绩。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▲6、运动切片：系统自动生成运动关键帧，分析学生起跳关键帧、屈膝角角度、起跳角度、摆臂幅度、平均速度等，给到科学的指导建议。</w:t>
            </w:r>
            <w:r>
              <w:rPr>
                <w:rFonts w:hint="eastAsia" w:ascii="宋体" w:hAnsi="宋体" w:eastAsia="宋体" w:cs="宋体"/>
                <w:i w:val="0"/>
                <w:iCs w:val="0"/>
                <w:color w:val="000000"/>
                <w:sz w:val="22"/>
                <w:szCs w:val="22"/>
                <w:highlight w:val="none"/>
                <w:u w:val="none"/>
                <w:lang w:val="en-US" w:eastAsia="zh-CN" w:bidi="ar"/>
              </w:rPr>
            </w:r>
            <w:r/>
          </w:p>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＃7、排行榜展示：支持在无人使用状态下显示项目排行榜，支持分性别显示排行榜状态。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作弊检测：支持作弊识别检测，如学生单脚跳、侧边跨越跳、侧边二段跳、双人接力跳、起点助跑冲刺跳、地面翻滚至某距离、摄像头遮挡，系统自动检测并语音播报错误提示,且作弊成绩无效，可支持识别99%作弊场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（二）、AI跳绳教学版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＃1、成绩误差：≤1次/分钟，响应时间：≤0.5秒。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＃2、背景抗干扰：支持在复杂背景下，被测试学生背后多人近距离站立走动仍可正常进行成绩检测，支持背景抗干扰人数至少5人。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▲3、多人同测：支持采用单设备单摄像头硬件可同时支持至少10个测试人员同时进行测试，支持多名学生人脸识别同时开启测试。（提供由第三方检验检测机构出具的有效的检测报告扫描件）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＃4、作弊识别：支持系统识别不拿绳垫脚跳、单手甩绳跳、双手交叉甩绳跳、中途换人跳等作弊行为，并不计入有效成绩。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＃5、智能识别：支持无绳跳智能识别，可自动过滤无绳跳成绩上榜。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＃6、支持中途终止：支持中途终止测试离开测试圈可监测并播报成绩。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＃7、时长配置：后台支持设置测试时间为30S、60S、120S、180S、240S。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＃8、排行榜展示：支持在无人使用状态下显示项目排行榜，支持分性别显示排行榜状态。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（三）、多人仰卧起坐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＃1、成绩检测：支持智能检测有效个数。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＃2、成绩误差：≤1个/每分钟，响应时间：≤0.5秒。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＃3、违规识别：支持未抱头、未触膝、未躺平违规识别。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＃4、人脸识别：支持提前录入人脸信息后，学生坐于辅助垫同时面朝摄像头示意，可通过摄像头识别人脸信息，并将成绩与该学生绑定，识别响应速度≤2s。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＃5、多人同测：采用单设备单摄像头硬件可同时支持10个测试人员进行测试，并支持多名学生人脸识别同时开启测试。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＃6、背景抗干扰：支持在复杂背景下，被测试学生背后多人近距离站立走动仍可正常进行成绩检测，支持背景抗干扰人数至少6人。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＃7、排行榜展示：支持在无人使用状态下显示项目排行榜，支持分性别显示排行榜状态。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（四）、运动数据展示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＃1、配置校级智慧体育数据分析与查看功能，可查看校级整体数据情况，包含实时运动量、开课次数、开课人数、开课班级数等维度数据。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持校方各级人员查看各项目实时使用情况，可查看各运动项目实时排行榜单，并支持根据年级/性别等类别进行分类查看排行榜单，可在榜单中查看对应学生运动视频回放及动作关键帧。（提供由第三方检验检测机构出具的有效的检测报告扫描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＃3、支持运动风云榜分周榜、月榜、学期榜进行查看。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＃4、支持通知栏展示，并支持后台自定义设置通知栏内容。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＃5、支持学生通过大屏进行人脸识别，课后自主查看个人运动视频、动作关键帧等数据。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＃6、支持通过大屏人脸识别查看学生运动数据，包括累计运动天数、日均运动时长(分钟)、今日运动时长(分钟)、达标天数占比等数据。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＃7、支持学期切换，支持查看上一个学期的运动数据。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＃8、支持学生通过大屏选择时间区间查看运动趋势图及各项目日均运动时长等数据。</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31</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AI智慧体测设备(室外版)</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一、测试机整机规格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＃1、整机尺寸：(高*宽*厚)≥2650mm*1020mm*250mm。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＃2、显示区域：(高*宽)≥640*960mm。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＃3、分辨率：≥1920×1080。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＃4、材质：整机外壳采用 ≥1.5mm 镀锌板，表面喷涂户外粉，防护能力7年以上。</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＃5、开门设计防水结构，贴户外橡胶条密封，满足防护等级：≥IP55。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＃6、工作温度：-20℃-70℃（环境温度低于-10℃，建议选配加热器）；工作湿度：10%-90%。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＃7、存储温度：-25℃-125℃。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＃8、屏幕内置500W人脸识别摄像头。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＃9、≥60W大功率扬声器。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二、软件功能支持“立定跳远、6人坐位体前屈、10人跳绳、10人仰卧起坐”项目4选3：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（一）、AI立定跳远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＃1、成绩检测：支持智能检测有效跳远距离，精准区分左右脚，以最后的落点为准计入正常成绩。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＃2、成绩误差：≤0.1厘米，响应时间：≤0.5秒。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＃3、违规识别：支持踩线违规识别，可实时进行语音提醒。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＃4、背景抗干扰：支持在复杂背景下，被测试学生背后多人近距离站立走动仍可正常进行成绩检测，支持背景抗干扰人数至少6人。</w:t>
            </w:r>
            <w:r>
              <w:rPr>
                <w:rFonts w:hint="eastAsia" w:ascii="宋体" w:hAnsi="宋体" w:eastAsia="宋体" w:cs="宋体"/>
                <w:i w:val="0"/>
                <w:iCs w:val="0"/>
                <w:color w:val="000000"/>
                <w:sz w:val="22"/>
                <w:szCs w:val="22"/>
                <w:highlight w:val="none"/>
                <w:u w:val="none"/>
                <w:lang w:val="en-US" w:eastAsia="zh-CN" w:bidi="ar"/>
              </w:rPr>
            </w:r>
            <w:r/>
          </w:p>
          <w:p>
            <w:pPr>
              <w:pStyle w:val="768"/>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▲5.容错机制：学生落地时若用手撑地，支持以手为基准检测计算成绩，学生落地后往前滑动，支持以滑动前为准检测成绩。</w:t>
            </w:r>
            <w:r>
              <w:rPr>
                <w:rFonts w:hint="eastAsia" w:ascii="宋体" w:hAnsi="宋体" w:eastAsia="宋体" w:cs="宋体"/>
                <w:i w:val="0"/>
                <w:iCs w:val="0"/>
                <w:color w:val="000000"/>
                <w:sz w:val="22"/>
                <w:szCs w:val="22"/>
                <w:highlight w:val="none"/>
                <w:u w:val="none"/>
                <w:lang w:val="en-US" w:eastAsia="zh-CN" w:bidi="ar"/>
              </w:rPr>
            </w:r>
            <w:r/>
          </w:p>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＃6、运动切片：立定跳远系统自动生成运动关键帧总结，分析学生起跳关键帧、屈膝角角度、起跳角度、摆臂幅度、平均速度等，给到科学的指导建议并实时展示学生最终运动成绩。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＃7、排行榜展示：支持在无人使用状态下显示项目排行榜，支持分性别显示排行榜状态。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（二）、AI跳绳教学版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＃1、成绩误差：≤1次/分钟，响应时间：≤0.5秒。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＃2、背景抗干扰：支持在复杂背景下，被测试学生背后多人近距离站立走动仍可正常进行成绩检测，支持背景抗干扰人数至少6人。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▲3、多人同测：支持至少10名学生人脸识别同时开启测试。（提供由第三方检验检测机构出具的有效的检测报告扫描件）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＃4、支持中途终止：支持中途终止测试离开测试圈可监测并播报成绩。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＃5、时长配置：后台支持设置测试时间。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＃6、排行榜展示：支持在无人使用状态下显示项目排行榜，支持分性别显示排行榜状态。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（三）、AI多人坐位体前屈</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＃1、成绩检测：支持智能检测双手前驱有效距离。</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＃2、成绩误差：≤0.1厘米，响应时间：≤0.5秒。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＃3、违规识别：支持腿弯曲、单手前驱、加速冲击违规识别。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＃4、背景抗干扰：支持在复杂背景下，被测试学生背后多人近距离站立走动仍可正常进行成绩检测，支持背景抗干扰人数至少6人。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＃5、多人同测：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①采用单设备单摄像头硬件可同时支持至少6个测试人员进行测试。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②支持多名学生人脸识别同时开启测试，可分别开启测试，测完即可离开测试区域，不会影响其他在测人员测试。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＃6、测试方式：支持学生使用无机械推杆的坐位体前屈板进行快速测试，无需归位测试游标等配件，且无损耗件。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＃7、排行榜展示：支持在无人使用状态下显示项目排行榜，支持分性别显示排行榜状态。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（四）、AI多人仰卧起坐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＃1、成绩检测：支持智能检测有效个数。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＃2、成绩误差：≤1个/每分钟，响应时间：≤0.5秒。</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＃3、违规识别：支持未抱头、未触膝、未躺平违规识别。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＃4、人脸识别：支持提前录入人脸信息后，学生坐于辅助垫同时面朝摄像头示意，可通过摄像头识别人脸信息，并将成绩与该学生绑定，识别响应速度≤2s。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＃5、多人同测：采用单设备单摄像头硬件可同时支持至少10个测试人员进行测试，并支持多名学生人脸识别同时开启测试。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＃6、背景抗干扰：支持在复杂背景下，被测试学生背后多人近距离站立走动仍可正常进行成绩检测，支持背景抗干扰人数至少6人。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＃7、排行榜展示：支持在无人使用状态下显示项目排行榜，支持分性别显示排行榜状态。</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坐位体前屈测试板</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＃1、尺寸：≥长1.5m*宽0.5m*厚0.04m。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＃2、无机械推杆设计：采用无机械推杆设计，无需归位测试游标等配件，且无损耗件。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＃3、材质：户外防晒防烫皮，整体采用环保材料不含甲醛等有害物质，框架使用Q235材质环保塑粉喷塑，不容易生锈变形等特点，软包使用多层绵海绵，环保PVC皮料，对人体没有化学伤害。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＃4、功能特点：产品符合国家规定标准，满足人体工程学需要，锻炼与测试舒适程度较高。</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33</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户外悬浮地板</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＃1、尺寸：≥长6.10m*宽3.00m*厚1.60cm。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＃2、产品材质：PP。悬浮地板表面为防滑纹理设计。</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件</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34</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配电箱</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＃1、输入电压：AC100-240V～50/60Hz；输出电压：DC12V/12.5A；断路保护额定电流：16A。</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＃2、工作温度：-40～75℃。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＃3、整箱尺寸：≥450mm长×230mm宽×520mm高。</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35</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室外AP</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＃1、≥Wi-Fi6，6000M双频2.5G高功率定向AP，支持2.5G LAN口上联，同时提供≥一个千兆独立光口。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＃2、内置天线，支持2.4GHz/5GHz双频通信，支持802.11a/b/g/n/ac Wave1 Wave2/ax协议，支持Wi-Fi 6 160M频宽，整机最大接入速率5952Mbps。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＃3、同时支持路由，AP两种工作模式。支持智能漫游，支持二、三层漫游，支持一体化组网，支持APP管理。802.3 bt PoE标准供电（60W）。</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36</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无线网网关</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＃1、机架式5口千兆路由器，固化5个千兆电口，推荐带终端数200台，支持600M-1000M(开启极速模式时1000M，流控、认证等功</w:t>
            </w:r>
            <w:r>
              <w:rPr>
                <w:rFonts w:hint="eastAsia" w:ascii="宋体" w:hAnsi="宋体" w:eastAsia="宋体" w:cs="宋体"/>
                <w:i w:val="0"/>
                <w:iCs w:val="0"/>
                <w:color w:val="000000"/>
                <w:sz w:val="22"/>
                <w:szCs w:val="22"/>
                <w:highlight w:val="none"/>
                <w:u w:val="none"/>
                <w:lang w:val="en-US" w:eastAsia="zh-CN" w:bidi="ar"/>
              </w:rPr>
              <w:t xml:space="preserve">能不能使用。），内置AC功能，支持Easy VPN、IPSec VPN、OPEN VPN，支持PPPoE Server、扫码认证、授权认证，支持应用流控、应用阻断，支持云平台与APP管理。                                                                                                            ＃2、 单端口以太网供电适配器：2.5G端口，非标POE适配器，对外输出功率最高60W，对外输出电压50V。</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37</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POE交换机</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＃1、支持8个千兆PoE电口。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＃2、功能交换容量：16 Gbps；包转发率：11.91 Mpps；支持IEEE 802.3at/af；端口最大供电功率：30 W；整机最大供电功率：60 W；支持IEEE 802.3、IEEE 802.3u、IEEE 802.3x、IEEE 802.3ab、IEEE 802.3z；支持6 KV防浪涌（PoE口）；千兆网络接入设计。</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＃3、功率：支持PoE输出功率管理。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＃4、供电方式：48 VDC，1.35 A。</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千兆光纤收发器</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＃1、适合标准: IEEE802.3/u/z/ab, 10Base-T,  1 00Base-TX, 1000Base-T及1000Base-SX/LX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＃2、接口标准: 电口: RJ-45, 10/100Mbps 或10/100/1000Mbps (自适应)。</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＃3、光口: ST/SC/FC, 100Mbps 或1000Mbps (全双工)。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＃4、缆线: 双绞线: 5类线(最长距离至100m)  光纤(单模) : 8/125, 8.7/125, 9/125， 10/125 um。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＃5、流量控制: 全双工IEEE802.3x流量控制  半双工背压流量控制。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＃6、环境温度: -25°C~+50℃  贮存温度: -35℃~+75℃。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＃7、额定供电电压：AC85-260V/50Hz。</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＃8、电源功率：小于5W （适配器：Input:DC5V 1000-2000mA）。</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22</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对</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39</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室外防水落地箱</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＃1、规格：≥宽600mm * 深450mm * 高800mm。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＃2、可放置标准网络交换及通讯设备。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＃3、选用的机柜箱体严格按照国家标准表面在喷塑前进行了酸洗、磷化处理和热镀锌处理，喷塑表面亚光、色泽均匀，外表面达到国家2级，内表面达到国家4级，立柱≥2.0mm厚，箱体≥1.4mm厚。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＃4、配机柜PDU防雷电源专用插座，并接地。</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光缆</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＃1、名称：户外4芯单模光纤。</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＃2、规格：LC、FC、SC接口自选。</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41</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电源线</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＃1、RVV3*4mm国标。（含施工）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＃2、护套采用优质聚氯乙烯材质。</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42</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电源线</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＃1、RVV3*2.5mm国标。（含施工）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＃2、护套采用优质聚氯乙烯材质。</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1500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43</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PE32管</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＃1、名称：PE塑料管；规格：PE32mm,≥1.25MPa,≥壁厚2.4mm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＃2、配置形式:埋地敷设</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44</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杆件基础</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＃1、类型:杆件基础施工。规格尺寸:≥1.0m长*1.0m宽1.0m深框架钢结构地笼。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＃2、基础、垫层：C30钢筋，砼基础：≥1.2m*1.2m*1.2m。</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45</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管道开挖施工</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＃1、名称:辅助管道开挖及土层恢复。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＃2、路由开挖及敷设（含绿化带、水泥路面、板砖路面开挖与回填），管道敷设后，路面修复，渣土清运以及作业时做好安全措施。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＃3、管道敷设后使用原土回填。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＃4、采用 PE 管开挖或拖拉管施工。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＃5、管道两头必须有防潮防尘措施，预留管道两头必须全封闭，管道在窨井端应使用防鼠护套。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＃6、开挖的渣土清运至指定地点，作业时做好安全措施。</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r>
      <w:tr>
        <w:trPr>
          <w:trHeight w:val="289"/>
        </w:trPr>
        <w:tc>
          <w:tcPr>
            <w:gridSpan w:val="5"/>
            <w:tcW w:w="8528" w:type="dxa"/>
            <w:vAlign w:val="center"/>
            <w:textDirection w:val="lrTb"/>
            <w:noWrap/>
          </w:tcPr>
          <w:p>
            <w:pPr>
              <w:pStyle w:val="76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三、校园监控设备采购</w:t>
            </w:r>
            <w:r>
              <w:rPr>
                <w:rFonts w:hint="eastAsia" w:ascii="宋体" w:hAnsi="宋体" w:eastAsia="宋体" w:cs="宋体"/>
                <w:b/>
                <w:bCs/>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400万高清双光全彩枪机</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＃1、像素采用≥400万，CMOS图像传感器≤1/3英寸。</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＃2、焦距：4 mm、6 mm、8 mm可选。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＃3、智能补光，支持白光/红外双补光，红外光最远可达50 m，白光最远可达30 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＃4、内置1个麦克风。</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＃5、设备可同时采用DC12V电源与POE供电。</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＃6、符合IP67防尘防水设计，可靠性高。</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73</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专用支架</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＃1、外观颜色：白色。承重：≥1.0kg。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＃2、安装方式：壁装。</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73</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光纤收发器</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＃1、千兆10公里单模双纤模块。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＃2、发射光功率:-9～-3dBm。</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对</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收发器机架</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＃1、名称：光纤收发器机组。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＃2、规格：≥14个插槽,双电源热备份。</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POE交换机</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eastAsia="宋体" w:cs="宋体"/>
                <w:i w:val="0"/>
                <w:iCs w:val="0"/>
                <w:color w:val="000000"/>
                <w:sz w:val="22"/>
                <w:szCs w:val="22"/>
                <w:highlight w:val="none"/>
                <w:u w:val="none"/>
                <w:lang w:val="en-US" w:eastAsia="zh-CN" w:bidi="ar"/>
              </w:rPr>
              <w:t xml:space="preserve">1、支持≥8个千兆PoE电口。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＃2、功能交换容量：≥16 Gbps。                                                                                                                                                           ＃3、端口供电功率：≥30W；</w:t>
            </w:r>
            <w:r>
              <w:rPr>
                <w:rFonts w:hint="eastAsia" w:ascii="宋体" w:hAnsi="宋体" w:eastAsia="宋体" w:cs="宋体"/>
                <w:i w:val="0"/>
                <w:iCs w:val="0"/>
                <w:color w:val="000000"/>
                <w:sz w:val="22"/>
                <w:szCs w:val="22"/>
                <w:highlight w:val="none"/>
                <w:u w:val="none"/>
                <w:lang w:val="en-US" w:eastAsia="zh-CN" w:bidi="ar"/>
              </w:rPr>
            </w:r>
            <w:r/>
          </w:p>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t xml:space="preserve">整机最大供电功率：≥65 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t xml:space="preserve">、支持PoE输出功率管理。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t xml:space="preserve">、千兆网络接入设计。</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核心交换机</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＃1、千兆交换机（24千兆电+4千兆光）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＃2、支持所有端口线速转发，满足对高带宽的需求。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＃3、支持ARP入侵检测功能，可有效防止黑客或攻击者通过ARP报文实施“ARP欺骗攻击”。支持防止包括MAC欺骗、IP欺骗、MAC/IP欺骗在内的非法地址仿冒，以及DoS攻击。                             </w:t>
            </w:r>
            <w:r>
              <w:rPr>
                <w:rFonts w:hint="eastAsia" w:ascii="宋体" w:hAnsi="宋体" w:eastAsia="宋体" w:cs="宋体"/>
                <w:i w:val="0"/>
                <w:iCs w:val="0"/>
                <w:color w:val="000000"/>
                <w:sz w:val="22"/>
                <w:szCs w:val="22"/>
                <w:highlight w:val="none"/>
                <w:u w:val="none"/>
                <w:lang w:val="en-US" w:eastAsia="zh-CN" w:bidi="ar"/>
              </w:rPr>
              <w:t xml:space="preserve">                                                                                                                                                                                                                   ＃4、支持以太网OAM和CFD，可以有效提高对以太网的管理和维护能力，保障网络的稳定运行。</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＃5、端口规格：≥24个10/100/1000Base-T以太网端口；≥4个1000Base-X以太网端口。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＃6、交换容量：≥336Gbps/3.36Tbps；包转发率：≥108/126Mpps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＃7、重量：≤2.1 kg。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＃8、标准机架高度：1U。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＃9、空载功耗：14W，整机最大功耗：21 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＃10、标准机架高度：1U。</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＃11、电源特性：AC：100 V~240 V AC，50/60 Hz。</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128路网络硬盘录像机</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#1、具有≥1个HDMI接口、≥1个VGA接口、≥1个RS485接口、≥1个USB接口;具有≥1路音频输入接口、≥2路音频输出接口，≥1个RJ45 接口。</w:t>
            </w:r>
            <w:r>
              <w:rPr>
                <w:rFonts w:hint="eastAsia" w:ascii="宋体" w:hAnsi="宋体" w:eastAsia="宋体" w:cs="宋体"/>
                <w:i w:val="0"/>
                <w:iCs w:val="0"/>
                <w:color w:val="000000"/>
                <w:sz w:val="22"/>
                <w:szCs w:val="22"/>
                <w:highlight w:val="none"/>
                <w:u w:val="none"/>
                <w:lang w:val="en-US" w:eastAsia="zh-CN" w:bidi="ar"/>
              </w:rPr>
            </w:r>
            <w:r/>
          </w:p>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#2、存储接口:≥9个SATA接口，支持硬盘热插拔。</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＃3、支持N+M集群管理功能，支持提供主动注册服务，前端相机支持以主动注册方式添加到设备上。</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＃4、最多支持128路网络摄像机接入，总码流为1280Mbps；最大存储码流为1280Mbps；最大转发码流为 1280Mbps；最大回放码流为 1280Mbps。</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＃5、可自适应接入H.265、H.264、MPEG4、MJPE、SmartH.264、SmartH.265、SVAC 编码格式的网络视频；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＃6、支持解码≥32路分辨率1920×1080的视频。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＃7、支持前智能：人脸检测比对、周界防范、视频结构化、通用行为分析、立体行为分析、人群分布、人数统计、热度图、车牌识别、智能动检。</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＃8、支持提供主动注册服务，前端相机支持以主动注册方式添加到设备上。</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＃9、支持≥8路后智能人脸检测比对；或32路后智能周界防范。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＃10、支持将预览监视画面和回放画面进行视频冻结，通过手动和自动的方式框选人/车目标，将所选目标与数据库中的历史目标抓拍数据进行比对检索；检索结果可根据相似度或抓拍时间进行排序展示。</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监控专用硬盘</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＃1、单盘容量：8TB。                                                                                                                                                                                                                ＃2、缓存：≥256MB。</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＃3、转速：≥5400RPM。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＃4、硬盘接口：SATA。</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监控显示终端</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＃1、产品尺寸：≥46寸。</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＃2、分辨率：≥1920*1080。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＃3、亮度：≥500cd/m2；对比度：1200:1；刷新率：≥60Hz。</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＃4、供电方式：100–240VAC，50/60Hz 。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＃5、工作温度：0℃～+50℃；功耗：133W。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工作湿度：20%～90%RH（无凝结）。                                                                                                                                                             </w:t>
            </w:r>
            <w:r>
              <w:rPr>
                <w:rFonts w:hint="eastAsia" w:ascii="宋体" w:hAnsi="宋体" w:eastAsia="宋体" w:cs="宋体"/>
                <w:i w:val="0"/>
                <w:iCs w:val="0"/>
                <w:color w:val="000000"/>
                <w:sz w:val="22"/>
                <w:szCs w:val="22"/>
                <w:highlight w:val="none"/>
                <w:u w:val="none"/>
                <w:lang w:val="en-US" w:eastAsia="zh-CN" w:bidi="ar"/>
              </w:rPr>
              <w:t xml:space="preserve">                              ＃6、储存温度：–20℃～+55℃。储存湿度：5%～95%RH（无凝结）。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＃7、输入接口：具有≥1个HDMI接口、≥1个VGA接口、≥1个RS232接口、≥1个USB接口。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＃8、输出接口：具有≥1个RS232(RJ45)接口。</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高清解码器</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＃1、支持web浏览器、PC客户端、移动客户端、网络键盘等进行控制。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＃2、支持2路HDMI输入（≥1路HDMI2.0、≥1路HDMI1.3），最大支持1路4K@60Hz和1路1080p@60Hz编码输入。</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＃3、支持8路HDMI输出（≥4路HDMI2.0、≥4路HDMI1.3），最大支持4路4K@60Hz和4路1080p@60Hz输出。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＃4、支持4K分辨率（3840×2160@30 Hz）超高清输出；支持对接LED显示系统，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＃5、解码卡或编解码卡支持板卡内解码性能共享，支持≥2路3200W，或≥2路2400W，或≥4路1200W，或≥8路800W，或≥6路600W，或≥16路400W，或≥32路1080P，或≥64路720P及以下分辨率视频实时解码。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＃6、支持视频输出分辨率：≥3840×2160@30 Hz、2560×1440@30 Hz、1920×1200@60 Hz、1920×1080@60 Hz、1920×1080@50 Hz、1680×1050@60 Hz、1600×1200@60 Hz、1280×1024@60 Hz、1280×720@60 Hz、1280×720@50 Hz、1024×768@60 Hz。</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＃7、支持H.264/H.265视频编码，支持双码流和可变码流，支持复合流和视频流编码。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＃8、支持H.264/H.265视频解码，支持96路1080p@25fps高清视频解码能力。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＃9、支持H.265/H.264/SVAC/MPEG4/MJPEG视频格式解码。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＃10、支持拼接缩放/视频融合/窗口跨屏漫游/开窗/层叠/场景轮巡和窗口轮巡功能。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＃11、支持1/4/6/8/9/16/25/36画面分割显示，支持自由分割。</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＃12、支持字幕叠加功能，支持在单屏、拼接屏上虚拟出一段字符显示。</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＃13、支持2个RJ45网络接口，支持容错，单网卡，链路聚合，负载均衡模式设置。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＃14、支持RS232串口，用于矩阵控制、大屏开关等功能。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＃15、支持远程控制本地、网络视频切换上墙。</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＃16、支持用户权限管理，支持白名单功能。</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网络机柜</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＃1、规格：网络机柜(600*800*2000mm)。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＃2、材质：方孔条与安装梁：热镀锌板，其它采用SPCC冷轧板。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＃3、含8位PDU电源1台。</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光缆</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＃1、规格：户外4芯单模光纤。接口：LC、FC、SC接口自选。</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2000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13</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电源线</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＃1、RVV2*2.5国标。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＃2、护套采用优质聚氯乙烯材质。</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1000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14</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网线</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＃1、导体：8线制无氧铜，0.5±0.01mm。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＃2、绝缘：高密度聚乙烯。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＃3、绝缘外径：0.92±0.05。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＃4、护套：5.0±0.3mm（PE料）。</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箱</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15</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光纤跳线</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＃1、名称：单模光纤跳线。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＃2、插入损耗：≤0.3dB。回波损耗：≥50dB。</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＃3、重复性：≥1000。弯曲半径：≥10D。</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根</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16</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PVC线管</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＃1、材质：PVC塑料管。规格：20mm国标。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3800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米</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17</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4芯终端盒</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＃1、名称：4芯终端盒（含熔纤）。</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＃2、规格：4口4芯,满配耦合器和单模尾纤。</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30</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光纤配线架</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＃1、名称：光纤配线架（含熔纤）。</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＃2、规格：48口,单模千兆。</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19</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机柜</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＃1、名称：37U标准机柜；规格：600mm *800mm * 1800mm。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＃2、内装风扇、电源及门锁，可多组组合、可放置标准网络交换及通讯设备。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＃3、选用的机柜箱体严格按照国家标准表面在喷塑前进行了酸洗、磷化处理和热镀锌处理，喷塑表面亚光、色泽均匀，外表面达到国家2级，内表面达到国家4级，立柱2.0mm厚，箱体1.4mm厚。</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＃4、配机柜PDU防雷电源专用插座，并接地。</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监控专用防水箱</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＃1、材质：箱体不锈钢,防锈,防水,散热,通风;标志采用丝网印刷。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＃2、规格：箱体尺寸≥400×500×230mm</w:t>
            </w:r>
            <w:r>
              <w:rPr>
                <w:rFonts w:hint="eastAsia" w:ascii="宋体" w:hAnsi="宋体" w:eastAsia="宋体" w:cs="宋体"/>
                <w:i w:val="0"/>
                <w:iCs w:val="0"/>
                <w:color w:val="000000"/>
                <w:sz w:val="22"/>
                <w:szCs w:val="22"/>
                <w:highlight w:val="none"/>
                <w:u w:val="none"/>
                <w:lang w:val="en-US" w:eastAsia="zh-CN" w:bidi="ar"/>
              </w:rPr>
            </w:r>
            <w:r/>
          </w:p>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w:t>
            </w:r>
            <w:r>
              <w:rPr>
                <w:rFonts w:hint="eastAsia" w:ascii="宋体" w:hAnsi="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lang w:val="en-US" w:eastAsia="zh-CN" w:bidi="ar"/>
              </w:rPr>
              <w:t xml:space="preserve">室外防水型≥IP65。</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18</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只</w:t>
            </w:r>
            <w:r>
              <w:rPr>
                <w:rFonts w:hint="eastAsia" w:ascii="宋体" w:hAnsi="宋体" w:eastAsia="宋体" w:cs="宋体"/>
                <w:i w:val="0"/>
                <w:iCs w:val="0"/>
                <w:color w:val="000000"/>
                <w:sz w:val="22"/>
                <w:szCs w:val="22"/>
                <w:highlight w:val="none"/>
                <w:u w:val="none"/>
              </w:rPr>
            </w:r>
            <w:r/>
          </w:p>
        </w:tc>
      </w:tr>
      <w:tr>
        <w:trPr>
          <w:trHeight w:val="289"/>
        </w:trPr>
        <w:tc>
          <w:tcPr>
            <w:gridSpan w:val="5"/>
            <w:tcW w:w="8528" w:type="dxa"/>
            <w:vAlign w:val="center"/>
            <w:textDirection w:val="lrTb"/>
            <w:noWrap/>
          </w:tcPr>
          <w:p>
            <w:pPr>
              <w:pStyle w:val="768"/>
              <w:jc w:val="center"/>
              <w:keepLines w:val="0"/>
              <w:keepNext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四、科技与体育相结合产品</w:t>
            </w:r>
            <w:r>
              <w:rPr>
                <w:rFonts w:hint="eastAsia" w:ascii="宋体" w:hAnsi="宋体" w:eastAsia="宋体" w:cs="宋体"/>
                <w:b/>
                <w:bCs/>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无人机足球</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＃1、每套包含10架无人机足球。</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＃2、外形尺寸：≥200*200*182mm。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＃3、飞机轴距：112mm；桨叶直径：65m</w:t>
            </w:r>
            <w:r>
              <w:rPr>
                <w:rFonts w:hint="eastAsia" w:ascii="宋体" w:hAnsi="宋体" w:eastAsia="宋体" w:cs="宋体"/>
                <w:i w:val="0"/>
                <w:iCs w:val="0"/>
                <w:color w:val="000000"/>
                <w:sz w:val="22"/>
                <w:szCs w:val="22"/>
                <w:highlight w:val="none"/>
                <w:u w:val="none"/>
                <w:lang w:val="en-US" w:eastAsia="zh-CN" w:bidi="ar"/>
              </w:rPr>
              <w:t xml:space="preserve">m。                                                                                                                                                                                                                                                 ＃4、电机规格：1020。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lang w:val="en-US" w:eastAsia="zh-CN" w:bidi="ar"/>
              </w:rPr>
              <w:t xml:space="preserve">、标配电池：7.6V 530mAh。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＃6、模式切换：自稳模式/定高模式/无头模式/限高模式。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＃7、LED灯：≥16颗。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＃8、通信方式：2.4G。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＃9、机身重量：75g。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＃10、起飞重量：98g。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＃11、最大飞行时间：4分钟。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＃12、飞行控制半径：100米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＃13、闭源语音遥控器。</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无人机足球场地</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＃1、场地要求：≥6m*3m*3m。含场地辅材：包括防护围网、圆环球门、场地标线、围挡边角、立柱包裹。</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智慧朗读亭</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一、硬件配置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＃1、设备主体：标准朗读亭框体1 个(含灯光、射灯，玻璃、钣金框体)。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＃2、功能主件：触摸点播系统（屏）1 个；影像字幕显示屏1 个； 主控机1 个（含安卓主板、音频主板等）。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＃3、设备附件：专业动圈麦克风≥2 个；专业耳机≥2 个；实用可调节座椅≥2 个；专业动圈麦克风：高灵敏度动圈咪芯，频率响应：60Hz-18kHz，阻抗: 600Ω±30%，灵敏度：-50dB±3dB；专业耳机：半开放式专业监听耳机，中频清晰，增强细节的调整，具备良好的中频分析性，灵敏度≥98dB/mW，阻抗≥32Ω，频率响应：10-30000Hz。</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＃4、钢化隔音玻璃：高强度钢化隔音玻璃，保证安全的同时高效隔音。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＃5、柔和暖色灯光，对人眼无刺激，保护读者视力健康。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＃6、定时器：可以设置自动开关机，无需人工干预。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＃7、门禁：刷卡、密码。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二、产品规格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＃1、产品尺寸: 长≥1500mm 宽≥1500mm 高≥2700mm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＃2、额定电源：AC220V/50HZ。</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＃3、额定功率：整机≥1200W。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＃4、显示部分：主显示器≥32寸，分辨率≥1920*1080；触摸屏≥21.5寸，分辨率≥1920*1080。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＃5、网络：支持无线 和有线。</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三、性能配置</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＃1、系统与CPU：采用4核高频处理器，安卓系统。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＃2、支持4K、H.265硬解码10bits色深、HDMI2.0。</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＃3、支持1080P多格式视频解码1080P视频编码，支持H.264, VP8 和MVC图像增强处理。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＃4、内存：4+32GB内存，双通道DRAM 控制器, 64 bits 存储接口，支持DDR3L, LPDDR2, LPDDR3。</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＃5、音效处理器：DSP音效处理器，混响，频响可调；噪音指标：≤40分贝。</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＃6、主机功率100W，电源为220V 50HZ。</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四、软件系统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＃1、软件系统：开放式B/S架构 ,支持定制开发。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持≥50大文库版块：自由朗读，亲子儿童，经典文学，唐诗宋词，诗歌散文，外语名篇，趣味配音，党章学习，赛事活动，朗读技巧，雷锋日记，中学生必读，小学生必读，K12部编版同步教材，热门排行，名家名篇，唱响主旋律，习近平著作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＃3、支持一键录音、录音试听、保存上传功能。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▲4、普通话发音测评：支持对流畅度，准确性，情感度三个维度进行测评，必须支持全部文章的测评及单个文字测评。（提供该功能截屏证明）</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▲5、英语测评：支持完整度，流畅度，准确度三个维度进行测评，支持音标练习，听说模拟，单词训练，课文跟读，课文朗读，读写模拟。（提供该功能截屏证明）</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▲6、背诵功能：支持背诵时自动屏蔽字幕，背诵结束字幕出现，提交后进行测评，含错字、漏字、准确字以及单个文字的读音测评。（提供该功能截屏证明）</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＃7、点读功能：支持点读模块，可在管理后台上传原文，译文，可播放示范音频。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＃8、支持用户朗读后可把朗读作品发送到用户电子邮箱。</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＃9、朗读欣赏：支持收听其他朗读者的作品。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＃10、朗读学习：支持收听名家名篇，学习，跟读功能。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＃11、卡拉OK功能：支持原唱/伴唱音轨切换。</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＃12、影视配音：支持英语配音功能。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＃13、配乐试听功能：支持多首配乐可供试听及选择。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＃14、搜索功能：采用模糊搜索技术，同时搜索作者及文章名称。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＃15、登录方式：支持微信登录，刷卡登录，账号密码登录。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＃16、热门文库：支持大数据分析推送热门读物及文章。</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＃17、智能管理平台：支持模块化管理。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＃18、UI界面换肤功能：支持用户可以根据需要自行设计UI，换肤。</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＃19、延时自动退出登录：支持微信登录用户离开设备时没有退出，系统自动检测超时退出该用户登录。</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＃20、帮助及常见问题解答功能：支持新用户快速熟悉操作流程。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＃21、设备故障申报：支持用户发现问题可及时通知管理方</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22、AI智能语音助手：支持语音唤醒。资源搜索：支持搜索标题、作者，并可以直接进入资源进行朗读；人机对话：与人对话互动，回答问题，协助创作，帮助获取信息、知识和灵感。并具有逻辑推理、多模态理解、多语言支持；资讯查询：支持天气查询、知识查询、航班查询、新闻资讯查询等。（提供该功能截屏证明）</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五、云平台系统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＃1、用户权限管理：支持根据工作需要可设置系统用户权限，如系统管理员，审核员，操作员等。（提供该功能截屏证明）</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＃2、设置及管理：支持用户每天使用设备的时间及使用次数。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＃3、用户及粉丝管理：支持分析统计用户和粉丝数量以及属性。</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＃4、数据分析：支持作品分享排行，文章热门排行，设备录音作品数排行等。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＃5、更新上传文库：支持管理员或者使用单位均可上传自己的专属文库资源，管理自己设备的文库。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＃6、朗读资源分类：支持重新定义朗读资源模块，比如增加红色经典阅读等自定义模块。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＃7、活动赛事管理：支持使用单位根据需求创建及管理自己的活动赛事。（提供该功能截屏证明）</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＃8、配乐管理：支持上传各种不同风格主题的配乐。录音作品管理，对录音作品分享，下载，删除录音作品，支持单个作品下载，支持朗读作品批量下载，方便后台下载管理。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＃9、作品审核功能：采取人工对用户上传发布的作品进行审核，审核通过后方可发布成功。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▲10、作品外链功能：支持无缝连接至使用单位的微信公众号，可以收听，调用录音作品进行分享。（提供该功能截屏证明）</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＃11、远程设备管理：支持对设备进项远程监测，系统升级，文库升级等。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＃12、屏保宣传文案：支持推送后台可推送宣传文案到设备的主屏幕，无人朗读时，自动播放视频或者图片或者文字。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＃13、热门排行推送：支持手动设置热门文章，将指定的文章推送到热门排行分类中。</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＃14、评分系统：提供朗读评分系统，后台支持开关此功能。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＃15、支持用户信息接收，接收用户反馈的问题信息。</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六、文库资源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＃1、支持海量文库资源总量不少于63000篇，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＃2、支持智能搜索功能，文库定期更新添加。</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＃3、支持可自定义文库分类，支持设备单独使用该文库。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＃4、支持唐诗宋词元曲不少于27500篇，含李白、杜甫、王勃、王维、孟浩然、王昌龄、王之涣、岑参、苏轼、辛弃疾、柳永、李清照、晏殊、周邦彦、关汉卿、白朴、郑光祖、马致远、张养浩等作者作品。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＃5、支持经典文学不少于2200篇，含《红楼梦》、《三国演义》、《西游记》、《家》、《十八春、《林海雪原》、《子夜》等。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＃6、支持诗歌散文不少于6800篇，含毛泽东、泰戈尔、徐志摩、余光中。老舍、张爱玲、丰子恺、史铁生、冰心、海子、林徽因、戴望舒、仓央嘉措、李叔同、胡适、林清玄、等作者作品。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＃7、支持节日精选（新年、清明节、劳动节、儿童节、建党节、建军节、父亲节、母亲节、七夕节，中秋节，重阳节、教师节）</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＃8、支持外语名篇 不少于2800篇，含普希金、海明威、威廉·卡洛斯·威廉姆斯、海涅、海伦凯勒、托马斯·纳什、高尔基、朗费罗等作者作品。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＃9、支持红色经典 不少于650篇，含《保卫延安》、《红岩》等经典读本。</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＃10、支持党章学习不少于350篇，含《两学一做·学习教育手册》、《习近平总书记重要讲话读本》、《中国共产党章程》等。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＃11、支持英语学习（英语四六级词汇、初高中英语词组）</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＃12、支持党建中心（中国共产党历史、党史人物故事）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＃13、支持普通话点读不少于1000句，含生活、出行、工作、应急、学习等基础普通话学习。</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＃14、支持唱响主旋律不少于300首MTV。</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＃15、支持习近平相关著作不少于18本，含习近平系列论述摘编、《平“语”近人——习近平总书记用典》、《习近平谈治国理政》等读本。</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＃16、支持普通话测评（单音节、多音节、朗读短文、自由说话、词汇）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＃17、支持名家经典，含鲁迅经典合集、朱自清散文集、顾城诗集、艾青诗集。冰心经典合集等名人读本。</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＃18、支持国学经典，含四书五经，论语、中庸、大学、孟子、诗经，弟子规、春秋等经典著作。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＃19、支持红色家书不少于100篇；支持二十四节气不少于300篇；支持成语故事不少于800篇；支持寓言故事不少于500篇；支持绕口令不少于100篇；支持雷锋日记不少于100篇。。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＃20、支持中国诗词大会1-5季；支持朗读者第一季，朗读者第二季。</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＃21、支持地方特色方言，含四川话、广东话、闽南语、东北话、湖南话等。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＃22、支持小语种点读（日语、英语、德语、意大利语、阿拉伯语、法语、汉语）。</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七、微信分享</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＃1、支持朗读作品接入微朗读公众号。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＃2、支持朗读作品支持接入使用单位微信公众号。</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支持朗读作品会自动推送到微信端，用户可进行试听，用户满意试听可选择分享发布，如不满意可删除录音，如满意可以将用户的录音，编辑成专辑分享传播，支持自定义音频封面，可上传手机中的照片，让文字、声音、背景融为一个整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＃4、支持积分兑换：用户朗读完成后可获取一定朗读积分，用户可在微信端积分兑换实体礼品，礼品以快递方式邮寄给用户，以鼓励更多用户参与朗读，提高设备使用率。</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＃5、支持朗读小程序，随时随地线上朗读，支持作品编辑与分享，参与主题朗读活动。</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▲6、支持作品播放前支持插播3秒内的宣传图片或者短视频用于公益宣传，管理后台自主上传。（提供该功能截屏证明）</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＃7、支持微信端可收听到所有朗读者发布的作品，支持点赞，留言，转发。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＃8、支持微信端单独查看使用单位的朗读者的作品。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＃9、支持作品模糊搜索功能。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＃10、支持收听卡拉OK，影视配音，英语配音作品时，同时显示视频。</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＃11、支持赛事活动入口，直接进入赛事活动入口，查看收听投票转发支持的作品。</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AI心理辅导机器人（人型）</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一、基础管理功能</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＃1、用户管理：支持多角色用户登录（管理员、普通用户等），权限分级管理，支持用户信息、测评记录、预约信息的全生命周期管理。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＃2、系统设置：支持系统参数配置、界面定制、单位信息设置，支持数据备份与恢复。</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＃3、数据统计与报告：自动生成测评报告，支持报告查询、导出、打印，可按时间、用户群体、测评类型等维度进行数据统计分析。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二、核心业务功能模块</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＃1、心理评估模块：内置专业心理量表≥30 个，涵盖心理健康、情绪状态、人格特质、压力水平、睡眠质量等多维度测评，测评完成后自动生成个性化分析报告与干预建议；支持测评结果分级预警，对异常心理状态用户自动标记。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＃2、体征测量模块：支持心率、血压等生理指标快速检测，测量数据实时同步至系统。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＃3、心理科普模块：内置心理健康科普知识库，包含文字、图片、视频等多种形式的科普内容，支持按主题分类检索；支持科普内容自定义上传、更新，可根据单位需求定制专属科普专栏。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＃4、智能宣讲模块：支持自定义宣讲脚本，可配置心理健康知识、活动通知、政策解读等宣讲内容；支持宣讲过程的语音、动作联动，提升宣讲的生动性与吸引力。</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＃5、导航指路模块：支持室内地图编辑与路径规划，可配置心理咨询室、活动室等目标点位；支持语音指令导航、触屏点选导航，引导用户前往指定位置，过程中自动避障。</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心理训练模块：内置情绪调节、放松减压等多种心理训练项目，支持语音引导式训练；支持训练进度记录与效果评估，根据用户训练情况推送个性化训练方案；训练过程中可联动体征数据，实时监测用户状态，调整训练节奏。</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＃7、心理预约模块：支持心理咨询、心理团体活动等服务的在线预约，可配置预约时段、咨询师信息、活动详情；支持预约提醒、改约、取消功能，管理员可实时查看预约列表并进行审核管理。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＃8、心理陪护模块：支持 AI 陪伴对话，提供情绪倾听、共情回应、正向引导等基础心理支持；支持陪护过程记录，管理员可查看用户对话日志，识别潜在心理风险。                                   </w:t>
            </w:r>
            <w:r>
              <w:rPr>
                <w:rFonts w:hint="eastAsia" w:ascii="宋体" w:hAnsi="宋体" w:eastAsia="宋体" w:cs="宋体"/>
                <w:i w:val="0"/>
                <w:iCs w:val="0"/>
                <w:color w:val="000000"/>
                <w:sz w:val="22"/>
                <w:szCs w:val="22"/>
                <w:highlight w:val="none"/>
                <w:u w:val="none"/>
                <w:lang w:val="en-US" w:eastAsia="zh-CN" w:bidi="ar"/>
              </w:rPr>
              <w:t xml:space="preserve">                                                                                                                                                                                                                                                                </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三、硬件参数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＃1、机身尺寸：≥长46cm * 宽46cm * 高120cm。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＃2、处理器：四核及以上， 频率≥1.8GHz。内存：≥64G。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＃3、显示屏≥13.3寸，1920*1080分辨率。</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5</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AI全景滑雪设备</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＃1、模拟滑雪机训练系统：≥65寸屏幕，产品整体尺寸：≥长2.6米宽2.4米高2.5米；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＃2、内置6个滑雪场赛道；</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＃3、玩家需要在规定时间内到达终点完成任务。越快到达，碰撞越少，得分越高。</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＃4、在滑雪机上可自由左右滑动控制前进左右方向躲避障碍物。</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＃5、左右滑动频率越高，加速速度越快，碰撞会扣分及减速。</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＃6、体验过程可实时观测当前与终点的距离、当前滑行速度及到达目的地可用的剩余时间。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＃7、结束后会体现此次滑雪的成绩，消耗的时间，撞击次数，运动消耗的卡路里模拟值。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＃8、结束体现以往成绩优异的玩家保留的成绩及完成时间。</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＃9、滑雪机屏幕：分辨率：≥1920x1080（FHD），亮度：360 cd/m’（典型值）；对比度：4000：1（透射模式）。可视角度：89°（典型值）。响应时间：≤8 ms（G to G），显示模式：AMVA3，常黑显示，透射式；显示区域：≥1428.48x803.52 mm；外观尺寸：≥1508x878x23.14/34.4 mm；表面处理：雾面（Haze 2%）3H硬度涂层；接口类型：LVDS（2通道，8/10位）；供电电压：12V。</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＃10、加密狗+中央信号处理器+≥65寸高清屏幕+定制五金滑轨组件+发光招牌灯箱+滑板造型五金+钣金内置亚克力发光。</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＃11、滑雪器配件：尺寸：≥1715*760*1310mm；净重：≤47KG；控制方式：弹力绳及自身重量；材质：优质钢管；表面处理：汽车烤漆。</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＃12、音响：尺寸：≥375mm*225mm*398mm；数量：≥2个；支持壁挂，毛重≤4.4KG；内置蓝牙功率：≥40W。</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＃13、滑雪处理器性能：支持第二代超线程技术，能以16线程运行；运行内存：≥8G内存、固态硬盘：120G，主频≥3.2GHz；。</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＃14、功率：500W；电压：AC220V±5% 50HZ或AC110V±5% 60HZ。</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台</w:t>
            </w:r>
            <w:r>
              <w:rPr>
                <w:rFonts w:hint="eastAsia" w:ascii="宋体" w:hAnsi="宋体" w:eastAsia="宋体" w:cs="宋体"/>
                <w:i w:val="0"/>
                <w:iCs w:val="0"/>
                <w:color w:val="000000"/>
                <w:sz w:val="22"/>
                <w:szCs w:val="22"/>
                <w:highlight w:val="none"/>
                <w:u w:val="none"/>
              </w:rPr>
            </w:r>
            <w:r/>
          </w:p>
        </w:tc>
      </w:tr>
      <w:tr>
        <w:trPr>
          <w:trHeight w:val="289"/>
        </w:trPr>
        <w:tc>
          <w:tcPr>
            <w:tcW w:w="262"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rPr>
            </w:r>
            <w:r/>
          </w:p>
        </w:tc>
        <w:tc>
          <w:tcPr>
            <w:tcW w:w="400"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室内全息体适能训练系统</w:t>
            </w:r>
            <w:r>
              <w:rPr>
                <w:rFonts w:hint="eastAsia" w:ascii="宋体" w:hAnsi="宋体" w:eastAsia="宋体" w:cs="宋体"/>
                <w:i w:val="0"/>
                <w:iCs w:val="0"/>
                <w:color w:val="000000"/>
                <w:sz w:val="22"/>
                <w:szCs w:val="22"/>
                <w:highlight w:val="none"/>
                <w:u w:val="none"/>
              </w:rPr>
            </w:r>
            <w:r/>
          </w:p>
        </w:tc>
        <w:tc>
          <w:tcPr>
            <w:tcW w:w="3656" w:type="dxa"/>
            <w:vAlign w:val="center"/>
            <w:textDirection w:val="lrTb"/>
            <w:noWrap/>
          </w:tcPr>
          <w:p>
            <w:pPr>
              <w:pStyle w:val="768"/>
              <w:jc w:val="left"/>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＃1、部署占地说明：</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占墙：画面高2.5米*宽4.5米；占地面：画面长2.8米*宽4.5米；项目层高高于3.5米；</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＃2、软件模块：全息体适能系统；第一板块 体育学与练；第二板块 专项运动技能教学；第三板块 专项体能；第四板块 健身训练；第五板块 趣味运动会；第六板块 运动娱乐体验；第七板块 情景互动教学；第八板块 百变训练空间；雷达运动捕捉交互算法：可实现墙面地面的精准交互捕捉响应。</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＃3、超短焦激光高清投影机与工程支架：利用投影技术实现：画面高度≤2.8米，宽度≤5米；超短焦液晶激光光源 镜头投射比小于0.25：1，亮度≥5300流明；分辨率：4K；  对比度：100,000:1； 电源规格：100V-240V交流电，50Hz/60Hz； 梯形校正范围：垂直±5°水平±5°；内置16w扬声器；尺寸（宽×高×深）：520×168(支脚最短时)×445mm(含凸出部分)；支架：根据现场定制工程支架</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4、短焦激光投影机：亮度：5300流明；镜头投射比：0.5:1；光源类型：激光光源；分辨率：1920*1200（WUXGA）16:10，兼容4:3/16:9；光源寿命：正常模式：20000H，节能模式：30000H；照度均匀性：≥90%；对比度：≥5500000：1；重量：约7.0Kg；尺寸：445*350*100mm(不含突出部分)。光源具有超过20000小时长寿命，标配遥控器可控制多台投影机及1~9组配对码。</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＃5、全息交互运动系统服务器：支持第二代超线程技术，能以16线程运行；运行内存：≥8G内存、固态硬盘：120G，主频≥3.2GHz；。</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＃6、墙面高精准快速捕捉雷达：探测范围0.1-20 m @ 90%反射率 、0.1-8 m @ 10%反射率；重复精度：±30 mm；扫描范围:270°；采样:45 kHz；点云数据合并:1/2/4/8 点；扫描帧率 :10/1</w:t>
            </w:r>
            <w:r>
              <w:rPr>
                <w:rFonts w:hint="eastAsia" w:ascii="宋体" w:hAnsi="宋体" w:eastAsia="宋体" w:cs="宋体"/>
                <w:i w:val="0"/>
                <w:iCs w:val="0"/>
                <w:color w:val="000000"/>
                <w:sz w:val="22"/>
                <w:szCs w:val="22"/>
                <w:highlight w:val="none"/>
                <w:u w:val="none"/>
                <w:lang w:val="en-US" w:eastAsia="zh-CN" w:bidi="ar"/>
              </w:rPr>
              <w:t xml:space="preserve">5/20/25/30 Hz ；最小角分辨率:0.08°；电源电压:DC12V-24 V；工作电流:0.17A/12 V（典型） ；激光光源:905 nm class I ；功耗:2 W；数据传输接口 :Ethernet 100BASE-TX ；启动时间 :＜10 s ；指示灯：电源指示灯、状态指示灯 ；环境光 ：&gt;50000 lx ；工作温度 ：-10℃~55℃ ；储存温度：-30℃~75℃20；工作寿命：5 年（电机寿命） ；防护等级：IP65 ；尺寸 ：50 × 50 ×76 mm；重量 ：148 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＃7、地面高精准快速捕捉雷达：探测范围0.1-20 m @ 90%反射率 、0.1-8 m @ 10%反射率；重复精度：±30 mm；扫描范围:270°；采样:45 kHz；点云数据合并:1/2/4/8 点；扫描帧率 :10/1</w:t>
            </w:r>
            <w:r>
              <w:rPr>
                <w:rFonts w:hint="eastAsia" w:ascii="宋体" w:hAnsi="宋体" w:eastAsia="宋体" w:cs="宋体"/>
                <w:i w:val="0"/>
                <w:iCs w:val="0"/>
                <w:color w:val="000000"/>
                <w:sz w:val="22"/>
                <w:szCs w:val="22"/>
                <w:highlight w:val="none"/>
                <w:u w:val="none"/>
                <w:lang w:val="en-US" w:eastAsia="zh-CN" w:bidi="ar"/>
              </w:rPr>
              <w:t xml:space="preserve">5/20/25/30 Hz ；最小角分辨率:0.08°；电源电压:DC12V-24 V；工作电流:0.17A/12 V（典型） ；激光光源:905 nm class I ；功耗:2 W；数据传输接口 :Ethernet 100BASE-TX ；启动时间 :＜10 s ；指示灯：电源指示灯、状态指示灯 ；环境光 ：&gt;50000 lx ；工作温度 ：-10℃~55℃ ；储存温度：-30℃~75℃20；工作寿命：5 年（电机寿命） ；防护等级：IP65 ；尺寸 ：50 × 50 ×76 mm；重量 ：148 g；</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＃8、一组壁挂音响：音响：一对、2.0有源音箱、支持壁挂、输入电压220v/50Hz、额定功率：50W、输出功率：15W+15W、频响范围：20Hz-20KHz、单个尺寸：17*15*26.5cm。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＃9、情景教学互动训练课堂不少于74节课堂内容指导。</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10、运动游戏指导：结合3~10岁儿童的身心特点，整理了跳跃、有氧、肌肉力量、体态管理、拉伸共五类、75项“长高运动”；身体姿势控制、肢体精细控制、物体控制、移动、灵敏、平衡、协调共七类、95个“亲子游戏”，均配有演示视频。每天跟着练习，不仅有利于身高生长，还有助于身体活动水平的提高和长期运动习惯的形成。</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＃11、其他必备配件：其它各种必备的锁屏宝、一键遥控器、键盘鼠标、专业工程高清线、专业工程音频线、网线线材、原件和工具等。</w:t>
            </w:r>
            <w:r>
              <w:rPr>
                <w:rFonts w:hint="eastAsia" w:ascii="宋体" w:hAnsi="宋体" w:eastAsia="宋体" w:cs="宋体"/>
                <w:i w:val="0"/>
                <w:iCs w:val="0"/>
                <w:color w:val="000000"/>
                <w:sz w:val="22"/>
                <w:szCs w:val="22"/>
                <w:highlight w:val="none"/>
                <w:u w:val="none"/>
              </w:rPr>
            </w:r>
            <w:r/>
          </w:p>
        </w:tc>
        <w:tc>
          <w:tcPr>
            <w:tcW w:w="437"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eastAsia="宋体" w:cs="宋体"/>
                <w:i w:val="0"/>
                <w:iCs w:val="0"/>
                <w:color w:val="000000"/>
                <w:sz w:val="22"/>
                <w:szCs w:val="22"/>
                <w:highlight w:val="none"/>
                <w:u w:val="none"/>
              </w:rPr>
            </w:r>
            <w:r/>
          </w:p>
        </w:tc>
        <w:tc>
          <w:tcPr>
            <w:tcW w:w="243" w:type="dxa"/>
            <w:vAlign w:val="center"/>
            <w:textDirection w:val="lrTb"/>
            <w:noWrap/>
          </w:tcPr>
          <w:p>
            <w:pPr>
              <w:pStyle w:val="768"/>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套</w:t>
            </w:r>
            <w:r>
              <w:rPr>
                <w:rFonts w:hint="eastAsia" w:ascii="宋体" w:hAnsi="宋体" w:eastAsia="宋体" w:cs="宋体"/>
                <w:i w:val="0"/>
                <w:iCs w:val="0"/>
                <w:color w:val="000000"/>
                <w:sz w:val="22"/>
                <w:szCs w:val="22"/>
                <w:highlight w:val="none"/>
                <w:u w:val="none"/>
              </w:rPr>
            </w:r>
            <w:r/>
          </w:p>
        </w:tc>
      </w:tr>
    </w:tbl>
    <w:p>
      <w:pPr>
        <w:pStyle w:val="768"/>
        <w:ind w:firstLine="480"/>
        <w:jc w:val="left"/>
        <w:spacing w:line="440" w:lineRule="exact"/>
        <w:rPr>
          <w:rFonts w:hint="eastAsia" w:ascii="宋体" w:hAnsi="宋体" w:cs="宋体"/>
          <w:b w:val="0"/>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highlight w:val="none"/>
          <w:lang w:val="en-US" w:eastAsia="zh-CN"/>
        </w:rPr>
      </w:r>
      <w:r/>
    </w:p>
    <w:p>
      <w:pPr>
        <w:pStyle w:val="768"/>
        <w:ind w:firstLine="480"/>
        <w:spacing w:line="360" w:lineRule="auto"/>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注意事项：</w:t>
      </w:r>
      <w:r>
        <w:rPr>
          <w:rFonts w:ascii="宋体" w:hAnsi="宋体" w:cs="宋体"/>
          <w:color w:val="000000"/>
          <w:sz w:val="24"/>
          <w:szCs w:val="24"/>
          <w:highlight w:val="none"/>
        </w:rPr>
      </w:r>
      <w:r/>
    </w:p>
    <w:p>
      <w:pPr>
        <w:pStyle w:val="768"/>
        <w:ind w:firstLine="480"/>
        <w:spacing w:line="360" w:lineRule="auto"/>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1.采购清单中设备名称前标有“●”的为核心产品，不同投标人核心产品标的品牌相同按同品牌投标人处理；</w:t>
      </w:r>
      <w:r>
        <w:rPr>
          <w:rFonts w:ascii="宋体" w:hAnsi="宋体" w:cs="宋体"/>
          <w:color w:val="000000"/>
          <w:sz w:val="24"/>
          <w:szCs w:val="24"/>
          <w:highlight w:val="none"/>
        </w:rPr>
      </w:r>
      <w:r/>
    </w:p>
    <w:p>
      <w:pPr>
        <w:pStyle w:val="768"/>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bCs/>
          <w:color w:val="000000"/>
          <w:sz w:val="24"/>
          <w:szCs w:val="24"/>
          <w:highlight w:val="none"/>
        </w:rPr>
        <w:t xml:space="preserve">除辅材（含以施工为主的条目）和技术参数标明为定制的货物之外</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具体</w:t>
      </w:r>
      <w:r>
        <w:rPr>
          <w:rFonts w:hint="eastAsia" w:ascii="宋体" w:hAnsi="宋体" w:cs="宋体"/>
          <w:bCs/>
          <w:color w:val="000000"/>
          <w:sz w:val="24"/>
          <w:szCs w:val="24"/>
          <w:highlight w:val="none"/>
          <w:lang w:val="en-US" w:eastAsia="zh-CN"/>
        </w:rPr>
        <w:t xml:space="preserve">为“清单及技术参数要求 二、AI智慧体育设备采购：序号44、序号45”</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其它应该标明品牌和型号的产品，投标人在投标文件中必须标明品牌、型号，否则作无效投标处理。</w:t>
      </w:r>
      <w:r>
        <w:rPr>
          <w:rFonts w:ascii="宋体" w:hAnsi="宋体" w:cs="宋体"/>
          <w:color w:val="000000"/>
          <w:sz w:val="24"/>
          <w:szCs w:val="24"/>
          <w:highlight w:val="none"/>
        </w:rPr>
      </w:r>
      <w:r/>
    </w:p>
    <w:p>
      <w:pPr>
        <w:pStyle w:val="768"/>
        <w:ind w:firstLine="480"/>
        <w:spacing w:line="360" w:lineRule="auto"/>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3.供应商在编制投标文件时，供应商应依据采购清单分项进行填报《明细报价表》不得自行增减或改变采购清单数量，否则按无效标处理。</w:t>
      </w:r>
      <w:r>
        <w:rPr>
          <w:rFonts w:ascii="宋体" w:hAnsi="宋体" w:cs="宋体"/>
          <w:color w:val="000000"/>
          <w:sz w:val="24"/>
          <w:szCs w:val="24"/>
          <w:highlight w:val="none"/>
        </w:rPr>
      </w:r>
      <w:r/>
    </w:p>
    <w:p>
      <w:pPr>
        <w:pStyle w:val="768"/>
        <w:ind w:firstLine="480"/>
        <w:spacing w:line="360" w:lineRule="auto"/>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4.投标人应当对《中小企业声明函》真实性负责，投标人出具的《中小企业声明函》应当对本次采购的所有标的物逐一列明制造商且应当与明细报价表内容相对应。</w:t>
      </w:r>
      <w:r>
        <w:rPr>
          <w:rFonts w:ascii="宋体" w:hAnsi="宋体" w:cs="宋体"/>
          <w:color w:val="000000"/>
          <w:sz w:val="24"/>
          <w:szCs w:val="24"/>
          <w:highlight w:val="none"/>
        </w:rPr>
      </w:r>
      <w:r/>
    </w:p>
    <w:p>
      <w:pPr>
        <w:pStyle w:val="768"/>
        <w:ind w:firstLine="480"/>
        <w:spacing w:line="360" w:lineRule="auto"/>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t xml:space="preserve">《采购清单及技术参数要求》</w:t>
      </w:r>
      <w:r>
        <w:rPr>
          <w:rFonts w:hint="eastAsia" w:ascii="宋体" w:hAnsi="宋体" w:cs="宋体"/>
          <w:color w:val="000000"/>
          <w:sz w:val="24"/>
          <w:szCs w:val="24"/>
          <w:highlight w:val="none"/>
        </w:rPr>
        <w:t xml:space="preserve">中：尺寸标示为“≥、≤、＜、＞”的，不允许偏差；已经</w:t>
      </w:r>
      <w:r>
        <w:rPr>
          <w:rFonts w:ascii="宋体" w:hAnsi="宋体" w:cs="宋体"/>
          <w:color w:val="000000"/>
          <w:sz w:val="24"/>
          <w:szCs w:val="24"/>
          <w:highlight w:val="none"/>
        </w:rPr>
        <w:t xml:space="preserve">特别标注偏差</w:t>
      </w:r>
      <w:r>
        <w:rPr>
          <w:rFonts w:hint="eastAsia" w:ascii="宋体" w:hAnsi="宋体" w:cs="宋体"/>
          <w:color w:val="000000"/>
          <w:sz w:val="24"/>
          <w:szCs w:val="24"/>
          <w:highlight w:val="none"/>
        </w:rPr>
        <w:t xml:space="preserve">的，按标注处理。其它未标明偏差范围的标的物</w:t>
      </w:r>
      <w:r>
        <w:rPr>
          <w:rFonts w:ascii="宋体" w:hAnsi="宋体" w:cs="宋体"/>
          <w:color w:val="000000"/>
          <w:sz w:val="24"/>
          <w:szCs w:val="24"/>
          <w:highlight w:val="none"/>
        </w:rPr>
        <w:t xml:space="preserve">规格尺寸允许偏差</w:t>
      </w:r>
      <w:r>
        <w:rPr>
          <w:rFonts w:hint="eastAsia" w:ascii="宋体" w:hAnsi="宋体" w:cs="宋体"/>
          <w:color w:val="000000"/>
          <w:sz w:val="24"/>
          <w:szCs w:val="24"/>
          <w:highlight w:val="none"/>
        </w:rPr>
        <w:t xml:space="preserve">范围为</w:t>
      </w:r>
      <w:r>
        <w:rPr>
          <w:rFonts w:ascii="宋体" w:hAnsi="宋体" w:cs="宋体"/>
          <w:color w:val="000000"/>
          <w:sz w:val="24"/>
          <w:szCs w:val="24"/>
          <w:highlight w:val="none"/>
        </w:rPr>
        <w:t xml:space="preserve">±5%。</w:t>
      </w:r>
      <w:r>
        <w:rPr>
          <w:rFonts w:ascii="宋体" w:hAnsi="宋体" w:cs="宋体"/>
          <w:color w:val="000000"/>
          <w:sz w:val="24"/>
          <w:szCs w:val="24"/>
          <w:highlight w:val="none"/>
        </w:rPr>
      </w:r>
      <w:r/>
    </w:p>
    <w:p>
      <w:pPr>
        <w:pStyle w:val="768"/>
        <w:ind w:firstLine="480"/>
        <w:spacing w:line="360" w:lineRule="auto"/>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6.《采购清单及技术参数要求》中所有产品包含该设备安装和使用必需的辅材、配件以及该设备运行所必需的，但清单中未列出的相关设备及辅材设备需供应商自行考虑，供应商必须保证设备完好运行及系统的完整性，所需的费用一并考虑至投标报价中，后期采购单位将不再额外结算。</w:t>
      </w:r>
      <w:r>
        <w:rPr>
          <w:rFonts w:ascii="宋体" w:hAnsi="宋体" w:cs="宋体"/>
          <w:color w:val="000000"/>
          <w:sz w:val="24"/>
          <w:szCs w:val="24"/>
          <w:highlight w:val="none"/>
        </w:rPr>
      </w:r>
      <w:r/>
    </w:p>
    <w:p>
      <w:pPr>
        <w:pStyle w:val="768"/>
        <w:ind w:firstLine="480"/>
        <w:spacing w:line="360" w:lineRule="auto"/>
        <w:rPr>
          <w:rFonts w:ascii="宋体" w:hAnsi="宋体" w:cs="宋体"/>
          <w:color w:val="000000"/>
          <w:sz w:val="24"/>
          <w:szCs w:val="24"/>
          <w:highlight w:val="none"/>
        </w:rPr>
        <w:outlineLvl w:val="0"/>
      </w:pPr>
      <w:r>
        <w:rPr>
          <w:rFonts w:hint="eastAsia" w:ascii="宋体" w:hAnsi="宋体" w:cs="宋体"/>
          <w:color w:val="000000"/>
          <w:sz w:val="24"/>
          <w:szCs w:val="24"/>
          <w:highlight w:val="none"/>
        </w:rPr>
        <w:t xml:space="preserve">7. 所有产品质量必须严格按照国家规范及江苏省、宿迁市相应地方规范、招标文件、材料厂家的技术规范的有关要求执行，如果在合同履行过程中有新的国家或行业（部）规范和标准出台的，则供应商应确保其合同产品达到并符合新的国家或行业（部）规范和标准，因此而增加的费用及风险由供应商自行承担。</w:t>
      </w:r>
      <w:r>
        <w:rPr>
          <w:rFonts w:ascii="宋体" w:hAnsi="宋体" w:cs="宋体"/>
          <w:color w:val="000000"/>
          <w:sz w:val="24"/>
          <w:szCs w:val="24"/>
          <w:highlight w:val="none"/>
        </w:rPr>
      </w:r>
      <w:r/>
    </w:p>
    <w:p>
      <w:pPr>
        <w:pStyle w:val="768"/>
        <w:ind w:firstLine="480"/>
        <w:jc w:val="left"/>
        <w:spacing w:line="440" w:lineRule="exact"/>
        <w:rPr>
          <w:rFonts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五、项目实施方案要求</w:t>
      </w:r>
      <w:r>
        <w:rPr>
          <w:rFonts w:ascii="宋体" w:hAnsi="宋体" w:cs="宋体"/>
          <w:b/>
          <w:sz w:val="24"/>
          <w:szCs w:val="24"/>
          <w:highlight w:val="none"/>
        </w:rPr>
      </w:r>
      <w:r/>
    </w:p>
    <w:p>
      <w:pPr>
        <w:pStyle w:val="768"/>
        <w:ind w:firstLine="480"/>
        <w:spacing w:line="360" w:lineRule="auto"/>
        <w:rPr>
          <w:rFonts w:hint="eastAsia" w:ascii="宋体" w:hAnsi="宋体" w:cs="宋体"/>
          <w:sz w:val="24"/>
          <w:highlight w:val="none"/>
          <w:lang w:val="en-US" w:eastAsia="zh-CN"/>
        </w:rPr>
        <w:outlineLvl w:val="0"/>
      </w:pPr>
      <w:r>
        <w:rPr>
          <w:rFonts w:hint="eastAsia" w:ascii="宋体" w:hAnsi="宋体" w:cs="宋体"/>
          <w:sz w:val="24"/>
          <w:highlight w:val="none"/>
          <w:lang w:val="en-US" w:eastAsia="zh-CN"/>
        </w:rPr>
        <w:t xml:space="preserve">（一）现状分析与需求理解方案要求</w:t>
      </w:r>
      <w:r>
        <w:rPr>
          <w:rFonts w:hint="eastAsia" w:ascii="宋体" w:hAnsi="宋体" w:cs="宋体"/>
          <w:sz w:val="24"/>
          <w:highlight w:val="none"/>
          <w:lang w:val="en-US" w:eastAsia="zh-CN"/>
        </w:rPr>
      </w:r>
      <w:r/>
    </w:p>
    <w:p>
      <w:pPr>
        <w:pStyle w:val="768"/>
        <w:ind w:firstLine="480"/>
        <w:spacing w:line="360" w:lineRule="auto"/>
        <w:rPr>
          <w:rFonts w:ascii="宋体" w:hAnsi="宋体" w:cs="宋体"/>
          <w:sz w:val="24"/>
          <w:highlight w:val="none"/>
          <w:lang w:val="en-US" w:eastAsia="zh-CN"/>
        </w:rPr>
        <w:outlineLvl w:val="0"/>
      </w:pPr>
      <w:r>
        <w:rPr>
          <w:rFonts w:hint="eastAsia" w:ascii="宋体" w:hAnsi="宋体" w:cs="宋体"/>
          <w:sz w:val="24"/>
          <w:highlight w:val="none"/>
          <w:lang w:val="en-US" w:eastAsia="zh-CN"/>
        </w:rPr>
        <w:t xml:space="preserve">针对学校当前体育教学场地的具体布局、现有体育器材设施及使用状况、师资力量及学生规模等进行深入分析，准确理解本项目智慧操场建设、数据平台搭建、监控联网三大目标，结合采购清单设备配置提出针对性建设思路与分阶段实施路径。</w:t>
      </w:r>
      <w:r>
        <w:rPr>
          <w:rFonts w:ascii="宋体" w:hAnsi="宋体" w:cs="宋体"/>
          <w:sz w:val="24"/>
          <w:highlight w:val="none"/>
          <w:lang w:val="en-US" w:eastAsia="zh-CN"/>
        </w:rPr>
      </w:r>
      <w:r/>
    </w:p>
    <w:p>
      <w:pPr>
        <w:pStyle w:val="768"/>
        <w:ind w:firstLine="480"/>
        <w:spacing w:line="360" w:lineRule="auto"/>
        <w:rPr>
          <w:rFonts w:hint="eastAsia" w:ascii="宋体" w:hAnsi="宋体" w:cs="宋体"/>
          <w:sz w:val="24"/>
          <w:highlight w:val="none"/>
          <w:lang w:val="en-US" w:eastAsia="zh-CN"/>
        </w:rPr>
        <w:outlineLvl w:val="0"/>
      </w:pPr>
      <w:r>
        <w:rPr>
          <w:rFonts w:hint="eastAsia" w:ascii="宋体" w:hAnsi="宋体" w:cs="宋体"/>
          <w:sz w:val="24"/>
          <w:highlight w:val="none"/>
          <w:lang w:val="en-US" w:eastAsia="zh-CN"/>
        </w:rPr>
        <w:t xml:space="preserve">（二）</w:t>
      </w:r>
      <w:r>
        <w:rPr>
          <w:rFonts w:ascii="宋体" w:hAnsi="宋体" w:cs="宋体"/>
          <w:sz w:val="24"/>
          <w:highlight w:val="none"/>
          <w:lang w:val="en-US" w:eastAsia="zh-CN"/>
        </w:rPr>
        <w:t xml:space="preserve">智慧操场深化设计方案</w:t>
      </w:r>
      <w:r>
        <w:rPr>
          <w:rFonts w:hint="eastAsia" w:ascii="宋体" w:hAnsi="宋体" w:cs="宋体"/>
          <w:sz w:val="24"/>
          <w:highlight w:val="none"/>
          <w:lang w:val="en-US" w:eastAsia="zh-CN"/>
        </w:rPr>
        <w:t xml:space="preserve">要求</w:t>
      </w:r>
      <w:r>
        <w:rPr>
          <w:rFonts w:hint="eastAsia" w:ascii="宋体" w:hAnsi="宋体" w:cs="宋体"/>
          <w:sz w:val="24"/>
          <w:highlight w:val="none"/>
          <w:lang w:val="en-US" w:eastAsia="zh-CN"/>
        </w:rPr>
      </w:r>
      <w:r/>
    </w:p>
    <w:p>
      <w:pPr>
        <w:pStyle w:val="768"/>
        <w:ind w:firstLine="480"/>
        <w:spacing w:line="360" w:lineRule="auto"/>
        <w:rPr>
          <w:rFonts w:ascii="宋体" w:hAnsi="宋体" w:cs="宋体"/>
          <w:sz w:val="24"/>
          <w:highlight w:val="none"/>
          <w:lang w:val="en-US" w:eastAsia="zh-CN"/>
        </w:rPr>
        <w:outlineLvl w:val="0"/>
      </w:pPr>
      <w:r>
        <w:rPr>
          <w:rFonts w:hint="eastAsia" w:ascii="宋体" w:hAnsi="宋体" w:cs="宋体"/>
          <w:sz w:val="24"/>
          <w:highlight w:val="none"/>
          <w:lang w:val="en-US" w:eastAsia="zh-CN"/>
        </w:rPr>
        <w:t xml:space="preserve">根据采购人需求针对操场进行设备施工安装设计，设计内容包括不限于点位布局图及平面图等内容。平面布置图布局设计合理、整体兼具实用，要求采购清单内设备布局与操场实地空间利用合理，不影响操场其他教学活动的开展，电源、网络布局等满足设备使用和教学使用。</w:t>
      </w:r>
      <w:r>
        <w:rPr>
          <w:rFonts w:ascii="宋体" w:hAnsi="宋体" w:cs="宋体"/>
          <w:sz w:val="24"/>
          <w:highlight w:val="none"/>
          <w:lang w:val="en-US" w:eastAsia="zh-CN"/>
        </w:rPr>
      </w:r>
      <w:r/>
    </w:p>
    <w:p>
      <w:pPr>
        <w:pStyle w:val="768"/>
        <w:ind w:firstLine="480"/>
        <w:spacing w:line="360" w:lineRule="auto"/>
        <w:rPr>
          <w:rFonts w:ascii="宋体" w:hAnsi="宋体" w:cs="宋体"/>
          <w:sz w:val="24"/>
          <w:highlight w:val="none"/>
          <w:lang w:val="en-US" w:eastAsia="zh-CN"/>
        </w:rPr>
        <w:outlineLvl w:val="0"/>
      </w:pPr>
      <w:r>
        <w:rPr>
          <w:rFonts w:hint="eastAsia" w:ascii="宋体" w:hAnsi="宋体" w:cs="宋体"/>
          <w:sz w:val="24"/>
          <w:highlight w:val="none"/>
          <w:lang w:val="en-US" w:eastAsia="zh-CN"/>
        </w:rPr>
        <w:t xml:space="preserve">（三）</w:t>
      </w:r>
      <w:r>
        <w:rPr>
          <w:rFonts w:ascii="宋体" w:hAnsi="宋体" w:cs="宋体"/>
          <w:sz w:val="24"/>
          <w:highlight w:val="none"/>
          <w:lang w:val="en-US" w:eastAsia="zh-CN"/>
        </w:rPr>
        <w:t xml:space="preserve">学生个人信息保护方案</w:t>
      </w:r>
      <w:r>
        <w:rPr>
          <w:rFonts w:hint="eastAsia" w:ascii="宋体" w:hAnsi="宋体" w:cs="宋体"/>
          <w:sz w:val="24"/>
          <w:highlight w:val="none"/>
          <w:lang w:val="en-US" w:eastAsia="zh-CN"/>
        </w:rPr>
        <w:t xml:space="preserve">要求</w:t>
      </w:r>
      <w:r>
        <w:rPr>
          <w:rFonts w:ascii="宋体" w:hAnsi="宋体" w:cs="宋体"/>
          <w:sz w:val="24"/>
          <w:highlight w:val="none"/>
          <w:lang w:val="en-US" w:eastAsia="zh-CN"/>
        </w:rPr>
      </w:r>
      <w:r/>
    </w:p>
    <w:p>
      <w:pPr>
        <w:pStyle w:val="768"/>
        <w:ind w:firstLine="480"/>
        <w:spacing w:line="360" w:lineRule="auto"/>
        <w:rPr>
          <w:rFonts w:hint="eastAsia" w:ascii="宋体" w:hAnsi="宋体" w:cs="宋体"/>
          <w:sz w:val="24"/>
          <w:highlight w:val="none"/>
        </w:rPr>
        <w:outlineLvl w:val="0"/>
      </w:pPr>
      <w:r>
        <w:rPr>
          <w:rFonts w:hint="eastAsia" w:ascii="宋体" w:hAnsi="宋体" w:cs="宋体"/>
          <w:sz w:val="24"/>
          <w:highlight w:val="none"/>
        </w:rPr>
        <w:t xml:space="preserve">方案需对照《个人信息保护法》《未成年人保护法》要求，重点明确人脸特征值存储方案，将学生信息进行分类存储，建立多级信息访问权限，确保未成年人信息安全。</w:t>
      </w:r>
      <w:r>
        <w:rPr>
          <w:rFonts w:hint="eastAsia" w:ascii="宋体" w:hAnsi="宋体" w:cs="宋体"/>
          <w:sz w:val="24"/>
          <w:highlight w:val="none"/>
        </w:rPr>
      </w:r>
      <w:r/>
    </w:p>
    <w:p>
      <w:pPr>
        <w:pStyle w:val="768"/>
        <w:ind w:firstLine="480"/>
        <w:spacing w:line="360" w:lineRule="auto"/>
        <w:rPr>
          <w:rFonts w:hint="eastAsia" w:ascii="宋体" w:hAnsi="宋体" w:cs="宋体"/>
          <w:sz w:val="24"/>
          <w:highlight w:val="none"/>
        </w:rPr>
        <w:outlineLvl w:val="0"/>
      </w:pPr>
      <w:r>
        <w:rPr>
          <w:rFonts w:hint="eastAsia" w:ascii="宋体" w:hAnsi="宋体" w:cs="宋体"/>
          <w:sz w:val="24"/>
          <w:highlight w:val="none"/>
          <w:lang w:val="en-US" w:eastAsia="zh-CN"/>
        </w:rPr>
        <w:t xml:space="preserve">（四）</w:t>
      </w:r>
      <w:r>
        <w:rPr>
          <w:rFonts w:ascii="宋体" w:hAnsi="宋体" w:cs="宋体"/>
          <w:sz w:val="24"/>
          <w:highlight w:val="none"/>
          <w:lang w:val="en-US" w:eastAsia="zh-CN"/>
        </w:rPr>
        <w:t xml:space="preserve">本地化部署设计方案</w:t>
      </w:r>
      <w:r>
        <w:rPr>
          <w:rFonts w:hint="eastAsia" w:ascii="宋体" w:hAnsi="宋体" w:cs="宋体"/>
          <w:sz w:val="24"/>
          <w:highlight w:val="none"/>
          <w:lang w:val="en-US" w:eastAsia="zh-CN"/>
        </w:rPr>
        <w:t xml:space="preserve">要求</w:t>
      </w:r>
      <w:r>
        <w:rPr>
          <w:rFonts w:hint="eastAsia" w:ascii="宋体" w:hAnsi="宋体" w:cs="宋体"/>
          <w:sz w:val="24"/>
          <w:highlight w:val="none"/>
        </w:rPr>
      </w:r>
      <w:r/>
    </w:p>
    <w:p>
      <w:pPr>
        <w:pStyle w:val="768"/>
        <w:ind w:firstLine="480"/>
        <w:spacing w:line="360" w:lineRule="auto"/>
        <w:rPr>
          <w:rFonts w:hint="eastAsia" w:ascii="宋体" w:hAnsi="宋体" w:cs="宋体"/>
          <w:sz w:val="24"/>
          <w:highlight w:val="none"/>
        </w:rPr>
        <w:outlineLvl w:val="0"/>
      </w:pPr>
      <w:r>
        <w:rPr>
          <w:rFonts w:hint="eastAsia" w:ascii="宋体" w:hAnsi="宋体" w:cs="宋体"/>
          <w:sz w:val="24"/>
          <w:highlight w:val="none"/>
          <w:lang w:val="en-US" w:eastAsia="zh-CN"/>
        </w:rPr>
        <w:t xml:space="preserve">详细介绍</w:t>
      </w:r>
      <w:r>
        <w:rPr>
          <w:rFonts w:hint="eastAsia" w:ascii="宋体" w:hAnsi="宋体" w:cs="宋体"/>
          <w:sz w:val="24"/>
          <w:highlight w:val="none"/>
        </w:rPr>
        <w:t xml:space="preserve">校级数据平台架构</w:t>
      </w:r>
      <w:r>
        <w:rPr>
          <w:rFonts w:hint="eastAsia" w:ascii="宋体" w:hAnsi="宋体" w:cs="宋体"/>
          <w:sz w:val="24"/>
          <w:highlight w:val="none"/>
          <w:lang w:val="en-US" w:eastAsia="zh-CN"/>
        </w:rPr>
        <w:t xml:space="preserve">设计</w:t>
      </w:r>
      <w:r>
        <w:rPr>
          <w:rFonts w:hint="eastAsia" w:ascii="宋体" w:hAnsi="宋体" w:cs="宋体"/>
          <w:sz w:val="24"/>
          <w:highlight w:val="none"/>
        </w:rPr>
        <w:t xml:space="preserve">方案</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确保</w:t>
      </w:r>
      <w:r>
        <w:rPr>
          <w:rFonts w:hint="eastAsia" w:ascii="宋体" w:hAnsi="宋体" w:cs="宋体"/>
          <w:sz w:val="24"/>
          <w:highlight w:val="none"/>
        </w:rPr>
        <w:t xml:space="preserve">人脸识别信息、测试视频回放等学生隐私数据存储于学校本地，严格执行《中华人民共和国个人信息保护法》等相关法规要求，确保隐私数据不出校园</w:t>
      </w:r>
      <w:r>
        <w:rPr>
          <w:rFonts w:hint="eastAsia" w:ascii="宋体" w:hAnsi="宋体" w:cs="宋体"/>
          <w:sz w:val="24"/>
          <w:highlight w:val="none"/>
          <w:lang w:eastAsia="zh-CN"/>
        </w:rPr>
        <w:t xml:space="preserve">。</w:t>
      </w:r>
      <w:r>
        <w:rPr>
          <w:rFonts w:hint="eastAsia" w:ascii="宋体" w:hAnsi="宋体" w:cs="宋体"/>
          <w:sz w:val="24"/>
          <w:highlight w:val="none"/>
        </w:rPr>
      </w:r>
      <w:r/>
    </w:p>
    <w:p>
      <w:pPr>
        <w:pStyle w:val="768"/>
        <w:ind w:firstLine="480"/>
        <w:spacing w:line="360" w:lineRule="auto"/>
        <w:rPr>
          <w:rFonts w:hint="eastAsia" w:ascii="宋体" w:hAnsi="宋体" w:cs="宋体"/>
          <w:sz w:val="24"/>
          <w:highlight w:val="none"/>
          <w:lang w:val="en-US" w:eastAsia="zh-CN"/>
        </w:rPr>
        <w:outlineLvl w:val="0"/>
      </w:pPr>
      <w:r>
        <w:rPr>
          <w:rFonts w:hint="eastAsia" w:ascii="宋体" w:hAnsi="宋体" w:cs="宋体"/>
          <w:sz w:val="24"/>
          <w:highlight w:val="none"/>
          <w:lang w:val="en-US" w:eastAsia="zh-CN"/>
        </w:rPr>
        <w:t xml:space="preserve">（五）设备安装调试方案要求</w:t>
      </w:r>
      <w:r>
        <w:rPr>
          <w:rFonts w:hint="eastAsia" w:ascii="宋体" w:hAnsi="宋体" w:cs="宋体"/>
          <w:sz w:val="24"/>
          <w:highlight w:val="none"/>
          <w:lang w:val="en-US" w:eastAsia="zh-CN"/>
        </w:rPr>
      </w:r>
      <w:r/>
    </w:p>
    <w:p>
      <w:pPr>
        <w:pStyle w:val="768"/>
        <w:ind w:firstLine="480"/>
        <w:spacing w:line="360" w:lineRule="auto"/>
        <w:rPr>
          <w:rFonts w:ascii="宋体" w:hAnsi="宋体" w:cs="宋体"/>
          <w:sz w:val="24"/>
          <w:highlight w:val="none"/>
          <w:lang w:val="en-US" w:eastAsia="zh-CN"/>
        </w:rPr>
        <w:outlineLvl w:val="0"/>
      </w:pPr>
      <w:r>
        <w:rPr>
          <w:rFonts w:hint="eastAsia" w:ascii="宋体" w:hAnsi="宋体" w:cs="宋体"/>
          <w:sz w:val="24"/>
          <w:highlight w:val="none"/>
          <w:lang w:val="en-US" w:eastAsia="zh-CN"/>
        </w:rPr>
        <w:t xml:space="preserve">至少包含智慧体育设备、监控设备的安装调试方案和科技与体育相结合产品布局优化设计方案。需明确智慧体育设备与监控设备施工前的现场勘测与基础条件确认流程，制定详细的设备进场、安装、接线及调试步骤，明确各类测试终端、数据采集装置的点位布设、安装固定，保障数据采集精准、功能稳定。出具科技与体育相结合产品布局优化设计效果图及布置安装方案。方案须同步明确施工组织、安全管控、进度节点，确保项目合规有序实施。</w:t>
      </w:r>
      <w:r>
        <w:rPr>
          <w:rFonts w:ascii="宋体" w:hAnsi="宋体" w:cs="宋体"/>
          <w:sz w:val="24"/>
          <w:highlight w:val="none"/>
          <w:lang w:val="en-US" w:eastAsia="zh-CN"/>
        </w:rPr>
      </w:r>
      <w:r/>
    </w:p>
    <w:p>
      <w:pPr>
        <w:pStyle w:val="768"/>
        <w:ind w:firstLine="482"/>
        <w:spacing w:line="360" w:lineRule="auto"/>
        <w:rPr>
          <w:rFonts w:ascii="宋体" w:hAnsi="宋体" w:cs="宋体"/>
          <w:b/>
          <w:bCs/>
          <w:sz w:val="24"/>
          <w:highlight w:val="none"/>
          <w:lang w:val="en-US" w:eastAsia="zh-CN"/>
        </w:rPr>
        <w:outlineLvl w:val="0"/>
      </w:pPr>
      <w:r>
        <w:rPr>
          <w:rFonts w:hint="eastAsia" w:ascii="宋体" w:hAnsi="宋体" w:cs="宋体"/>
          <w:b/>
          <w:bCs/>
          <w:sz w:val="24"/>
          <w:highlight w:val="none"/>
          <w:lang w:val="en-US" w:eastAsia="zh-CN"/>
        </w:rPr>
        <w:t xml:space="preserve">（六）售后服务方案要求</w:t>
      </w:r>
      <w:r>
        <w:rPr>
          <w:rFonts w:ascii="宋体" w:hAnsi="宋体" w:cs="宋体"/>
          <w:b/>
          <w:bCs/>
          <w:sz w:val="24"/>
          <w:highlight w:val="none"/>
          <w:lang w:val="en-US" w:eastAsia="zh-CN"/>
        </w:rPr>
      </w:r>
      <w:r/>
    </w:p>
    <w:p>
      <w:pPr>
        <w:pStyle w:val="768"/>
        <w:ind w:firstLine="480"/>
        <w:spacing w:line="360" w:lineRule="auto"/>
        <w:rPr>
          <w:rFonts w:ascii="宋体" w:hAnsi="宋体" w:cs="宋体"/>
          <w:sz w:val="24"/>
          <w:highlight w:val="none"/>
          <w:lang w:val="en-US" w:eastAsia="zh-CN"/>
        </w:rPr>
        <w:outlineLvl w:val="0"/>
      </w:pPr>
      <w:r>
        <w:rPr>
          <w:rFonts w:ascii="宋体" w:hAnsi="宋体" w:cs="宋体"/>
          <w:sz w:val="24"/>
          <w:highlight w:val="none"/>
          <w:lang w:val="en-US" w:eastAsia="zh-CN"/>
        </w:rPr>
        <w:t xml:space="preserve">内容包含但不限于服务内容</w:t>
      </w:r>
      <w:r>
        <w:rPr>
          <w:rFonts w:hint="eastAsia" w:ascii="宋体" w:hAnsi="宋体" w:cs="宋体"/>
          <w:sz w:val="24"/>
          <w:highlight w:val="none"/>
          <w:lang w:val="en-US" w:eastAsia="zh-CN"/>
        </w:rPr>
        <w:t xml:space="preserve">、</w:t>
      </w:r>
      <w:r>
        <w:rPr>
          <w:rFonts w:ascii="宋体" w:hAnsi="宋体" w:cs="宋体"/>
          <w:sz w:val="24"/>
          <w:highlight w:val="none"/>
          <w:lang w:val="en-US" w:eastAsia="zh-CN"/>
        </w:rPr>
        <w:t xml:space="preserve">售后人员配备情况、响应时间，以及售后服务期满后主要产品、配件优惠方案等。</w:t>
      </w:r>
      <w:r>
        <w:rPr>
          <w:rFonts w:ascii="宋体" w:hAnsi="宋体" w:cs="宋体"/>
          <w:sz w:val="24"/>
          <w:highlight w:val="none"/>
          <w:lang w:val="en-US" w:eastAsia="zh-CN"/>
        </w:rPr>
      </w:r>
      <w:r/>
    </w:p>
    <w:p>
      <w:pPr>
        <w:pStyle w:val="768"/>
        <w:ind w:firstLine="480"/>
        <w:spacing w:line="360" w:lineRule="auto"/>
        <w:rPr>
          <w:rFonts w:ascii="宋体" w:hAnsi="宋体" w:cs="宋体"/>
          <w:sz w:val="24"/>
          <w:highlight w:val="none"/>
          <w:lang w:val="en-US" w:eastAsia="zh-CN"/>
        </w:rPr>
        <w:outlineLvl w:val="0"/>
      </w:pPr>
      <w:r>
        <w:rPr>
          <w:rFonts w:ascii="宋体" w:hAnsi="宋体" w:cs="宋体"/>
          <w:sz w:val="24"/>
          <w:highlight w:val="none"/>
          <w:lang w:val="en-US" w:eastAsia="zh-CN"/>
        </w:rPr>
        <w:t xml:space="preserve">1.服务内容：本项目要求售后服务期：三年（自货物最终交付验收合格后）。售后服务期内投标人对产品质量实行三包，免费为本项目采购的所有产品提供维修、保养、替换故障部件等服务。因设备配置或制造质量问题而引起的故障，供应商应在24小时内立即予以维修或更换。</w:t>
      </w:r>
      <w:r>
        <w:rPr>
          <w:rFonts w:ascii="宋体" w:hAnsi="宋体" w:cs="宋体"/>
          <w:sz w:val="24"/>
          <w:highlight w:val="none"/>
          <w:lang w:val="en-US" w:eastAsia="zh-CN"/>
        </w:rPr>
      </w:r>
      <w:r/>
    </w:p>
    <w:p>
      <w:pPr>
        <w:pStyle w:val="768"/>
        <w:ind w:firstLine="480"/>
        <w:spacing w:line="360" w:lineRule="auto"/>
        <w:rPr>
          <w:rFonts w:ascii="宋体" w:hAnsi="宋体" w:cs="宋体"/>
          <w:sz w:val="24"/>
          <w:highlight w:val="none"/>
          <w:lang w:val="en-US" w:eastAsia="zh-CN"/>
        </w:rPr>
        <w:outlineLvl w:val="0"/>
      </w:pPr>
      <w:r>
        <w:rPr>
          <w:rFonts w:ascii="宋体" w:hAnsi="宋体" w:cs="宋体"/>
          <w:sz w:val="24"/>
          <w:highlight w:val="none"/>
          <w:lang w:val="en-US" w:eastAsia="zh-CN"/>
        </w:rPr>
        <w:t xml:space="preserve">2.售后人员配备情况：本项目的保修服务方式均为供应商上门保修，即由供应商派技术人员到采购单位使用现场维修，由此产生的一切费用均由供应商承担。售后人员配备不少于3人。</w:t>
      </w:r>
      <w:r>
        <w:rPr>
          <w:rFonts w:ascii="宋体" w:hAnsi="宋体" w:cs="宋体"/>
          <w:sz w:val="24"/>
          <w:highlight w:val="none"/>
          <w:lang w:val="en-US" w:eastAsia="zh-CN"/>
        </w:rPr>
      </w:r>
      <w:r/>
    </w:p>
    <w:p>
      <w:pPr>
        <w:pStyle w:val="768"/>
        <w:ind w:firstLine="480"/>
        <w:spacing w:line="360" w:lineRule="auto"/>
        <w:rPr>
          <w:rFonts w:ascii="宋体" w:hAnsi="宋体" w:cs="宋体"/>
          <w:sz w:val="24"/>
          <w:highlight w:val="none"/>
          <w:lang w:val="en-US" w:eastAsia="zh-CN"/>
        </w:rPr>
        <w:outlineLvl w:val="0"/>
      </w:pPr>
      <w:r>
        <w:rPr>
          <w:rFonts w:ascii="宋体" w:hAnsi="宋体" w:cs="宋体"/>
          <w:sz w:val="24"/>
          <w:highlight w:val="none"/>
          <w:lang w:val="en-US" w:eastAsia="zh-CN"/>
        </w:rPr>
        <w:t xml:space="preserve">3.响应时间：供应商应严格按照招标文件的有关规定提供合格产品，保证货物为全新未使用的原装正品；一旦发生质量问题，投标人在接到采购人通知的10分钟内快速响应服务，简单问题2小时内解决，排除故障恢复正常运行；如果需要到现场维修的须在12小时内派技术人员到达现场，开展维修维护工作，12小时内排除故障恢复正常运行。并为采购人提供每周7天、每天24小时售后技术支持和服务。</w:t>
      </w:r>
      <w:r>
        <w:rPr>
          <w:rFonts w:ascii="宋体" w:hAnsi="宋体" w:cs="宋体"/>
          <w:sz w:val="24"/>
          <w:highlight w:val="none"/>
          <w:lang w:val="en-US" w:eastAsia="zh-CN"/>
        </w:rPr>
      </w:r>
      <w:r/>
    </w:p>
    <w:p>
      <w:pPr>
        <w:pStyle w:val="768"/>
        <w:ind w:firstLine="480"/>
        <w:spacing w:line="360" w:lineRule="auto"/>
        <w:rPr>
          <w:rFonts w:ascii="宋体" w:hAnsi="宋体" w:cs="宋体"/>
          <w:sz w:val="24"/>
          <w:highlight w:val="none"/>
          <w:lang w:val="en-US" w:eastAsia="zh-CN"/>
        </w:rPr>
        <w:outlineLvl w:val="0"/>
      </w:pPr>
      <w:r>
        <w:rPr>
          <w:rFonts w:ascii="宋体" w:hAnsi="宋体" w:cs="宋体"/>
          <w:sz w:val="24"/>
          <w:highlight w:val="none"/>
          <w:lang w:val="en-US" w:eastAsia="zh-CN"/>
        </w:rPr>
      </w:r>
      <w:r/>
    </w:p>
    <w:p>
      <w:pPr>
        <w:pStyle w:val="768"/>
        <w:ind w:firstLine="482"/>
        <w:spacing w:line="360" w:lineRule="auto"/>
        <w:rPr>
          <w:rFonts w:ascii="宋体" w:hAnsi="宋体" w:cs="宋体"/>
          <w:b/>
          <w:bCs/>
          <w:sz w:val="24"/>
          <w:highlight w:val="none"/>
          <w:lang w:val="en-US" w:eastAsia="zh-CN"/>
        </w:rPr>
        <w:outlineLvl w:val="0"/>
      </w:pPr>
      <w:r>
        <w:rPr>
          <w:rFonts w:hint="eastAsia" w:ascii="宋体" w:hAnsi="宋体" w:cs="宋体"/>
          <w:b/>
          <w:bCs/>
          <w:sz w:val="24"/>
          <w:highlight w:val="none"/>
          <w:lang w:val="en-US" w:eastAsia="zh-CN"/>
        </w:rPr>
        <w:t xml:space="preserve">（七）</w:t>
      </w:r>
      <w:r>
        <w:rPr>
          <w:rFonts w:ascii="宋体" w:hAnsi="宋体" w:cs="宋体"/>
          <w:b/>
          <w:bCs/>
          <w:sz w:val="24"/>
          <w:highlight w:val="none"/>
          <w:lang w:val="en-US" w:eastAsia="zh-CN"/>
        </w:rPr>
        <w:t xml:space="preserve">培训方案</w:t>
      </w:r>
      <w:r>
        <w:rPr>
          <w:rFonts w:hint="eastAsia" w:ascii="宋体" w:hAnsi="宋体" w:cs="宋体"/>
          <w:b/>
          <w:bCs/>
          <w:sz w:val="24"/>
          <w:highlight w:val="none"/>
          <w:lang w:val="en-US" w:eastAsia="zh-CN"/>
        </w:rPr>
        <w:t xml:space="preserve">要求</w:t>
      </w:r>
      <w:r>
        <w:rPr>
          <w:rFonts w:ascii="宋体" w:hAnsi="宋体" w:cs="宋体"/>
          <w:b/>
          <w:bCs/>
          <w:sz w:val="24"/>
          <w:highlight w:val="none"/>
          <w:lang w:val="en-US" w:eastAsia="zh-CN"/>
        </w:rPr>
      </w:r>
      <w:r/>
    </w:p>
    <w:p>
      <w:pPr>
        <w:pStyle w:val="768"/>
        <w:ind w:firstLine="480"/>
        <w:spacing w:line="360" w:lineRule="auto"/>
        <w:rPr>
          <w:rFonts w:ascii="宋体" w:hAnsi="宋体" w:cs="宋体"/>
          <w:sz w:val="24"/>
          <w:highlight w:val="none"/>
          <w:lang w:val="en-US" w:eastAsia="zh-CN"/>
        </w:rPr>
        <w:outlineLvl w:val="0"/>
      </w:pPr>
      <w:r>
        <w:rPr>
          <w:rFonts w:ascii="宋体" w:hAnsi="宋体" w:cs="宋体"/>
          <w:sz w:val="24"/>
          <w:highlight w:val="none"/>
          <w:lang w:val="en-US" w:eastAsia="zh-CN"/>
        </w:rPr>
        <w:t xml:space="preserve">提供完善的</w:t>
      </w:r>
      <w:r>
        <w:rPr>
          <w:rFonts w:hint="eastAsia" w:ascii="宋体" w:hAnsi="宋体" w:cs="宋体"/>
          <w:sz w:val="24"/>
          <w:highlight w:val="none"/>
          <w:lang w:val="en-US" w:eastAsia="zh-CN"/>
        </w:rPr>
        <w:t xml:space="preserve">基础操作培训、维护保养培训、</w:t>
      </w:r>
      <w:r>
        <w:rPr>
          <w:rFonts w:ascii="宋体" w:hAnsi="宋体" w:cs="宋体"/>
          <w:sz w:val="24"/>
          <w:highlight w:val="none"/>
          <w:lang w:val="en-US" w:eastAsia="zh-CN"/>
        </w:rPr>
        <w:t xml:space="preserve">教师培训、学生使用培训；提供纸质和电子培训教材；培训时间不少于</w:t>
      </w:r>
      <w:r>
        <w:rPr>
          <w:rFonts w:hint="eastAsia" w:ascii="宋体" w:hAnsi="宋体" w:cs="宋体"/>
          <w:sz w:val="24"/>
          <w:highlight w:val="none"/>
          <w:lang w:val="en-US" w:eastAsia="zh-CN"/>
        </w:rPr>
        <w:t xml:space="preserve">1</w:t>
      </w:r>
      <w:r>
        <w:rPr>
          <w:rFonts w:ascii="宋体" w:hAnsi="宋体" w:cs="宋体"/>
          <w:sz w:val="24"/>
          <w:highlight w:val="none"/>
          <w:lang w:val="en-US" w:eastAsia="zh-CN"/>
        </w:rPr>
        <w:t xml:space="preserve">天，确保所有使用人员熟练操作；提供长期线上培训支持。 </w:t>
      </w:r>
      <w:r>
        <w:rPr>
          <w:rFonts w:ascii="宋体" w:hAnsi="宋体" w:cs="宋体"/>
          <w:sz w:val="24"/>
          <w:highlight w:val="none"/>
          <w:lang w:val="en-US" w:eastAsia="zh-CN"/>
        </w:rPr>
      </w:r>
      <w:r/>
    </w:p>
    <w:p>
      <w:pPr>
        <w:pStyle w:val="768"/>
        <w:ind w:firstLine="480"/>
        <w:spacing w:line="360" w:lineRule="auto"/>
        <w:rPr>
          <w:rFonts w:ascii="宋体" w:hAnsi="宋体" w:cs="宋体"/>
          <w:sz w:val="24"/>
          <w:highlight w:val="none"/>
          <w:lang w:val="en-US" w:eastAsia="zh-CN"/>
        </w:rPr>
        <w:outlineLvl w:val="0"/>
      </w:pPr>
      <w:r>
        <w:rPr>
          <w:rFonts w:ascii="宋体" w:hAnsi="宋体" w:cs="宋体"/>
          <w:sz w:val="24"/>
          <w:highlight w:val="none"/>
          <w:lang w:val="en-US" w:eastAsia="zh-CN"/>
        </w:rPr>
        <w:t xml:space="preserve">培训要求：</w:t>
      </w:r>
      <w:r>
        <w:rPr>
          <w:rFonts w:ascii="宋体" w:hAnsi="宋体" w:cs="宋体"/>
          <w:sz w:val="24"/>
          <w:highlight w:val="none"/>
          <w:lang w:val="en-US" w:eastAsia="zh-CN"/>
        </w:rPr>
      </w:r>
      <w:r/>
    </w:p>
    <w:p>
      <w:pPr>
        <w:pStyle w:val="768"/>
        <w:ind w:firstLine="480"/>
        <w:spacing w:line="360" w:lineRule="auto"/>
        <w:rPr>
          <w:rFonts w:ascii="宋体" w:hAnsi="宋体" w:cs="宋体"/>
          <w:sz w:val="24"/>
          <w:highlight w:val="none"/>
          <w:lang w:val="en-US" w:eastAsia="zh-CN"/>
        </w:rPr>
        <w:outlineLvl w:val="0"/>
      </w:pPr>
      <w:r>
        <w:rPr>
          <w:rFonts w:ascii="宋体" w:hAnsi="宋体" w:cs="宋体"/>
          <w:sz w:val="24"/>
          <w:highlight w:val="none"/>
          <w:lang w:val="en-US" w:eastAsia="zh-CN"/>
        </w:rPr>
        <w:t xml:space="preserve">提供全面的培训计划，包括基础操作和维护保养培训，通过现场指导、详细文档支持，帮助用户快速掌握系统使用，确保项目长期成功运营。</w:t>
      </w:r>
      <w:r>
        <w:rPr>
          <w:rFonts w:ascii="宋体" w:hAnsi="宋体" w:cs="宋体"/>
          <w:sz w:val="24"/>
          <w:highlight w:val="none"/>
          <w:lang w:val="en-US" w:eastAsia="zh-CN"/>
        </w:rPr>
      </w:r>
      <w:r/>
    </w:p>
    <w:p>
      <w:pPr>
        <w:pStyle w:val="768"/>
        <w:ind w:firstLine="480"/>
        <w:spacing w:line="360" w:lineRule="auto"/>
        <w:rPr>
          <w:rFonts w:ascii="宋体" w:hAnsi="宋体" w:cs="宋体"/>
          <w:sz w:val="24"/>
          <w:highlight w:val="none"/>
          <w:lang w:val="en-US" w:eastAsia="zh-CN"/>
        </w:rPr>
        <w:outlineLvl w:val="0"/>
      </w:pPr>
      <w:r>
        <w:rPr>
          <w:rFonts w:ascii="宋体" w:hAnsi="宋体" w:cs="宋体"/>
          <w:sz w:val="24"/>
          <w:highlight w:val="none"/>
          <w:lang w:val="en-US" w:eastAsia="zh-CN"/>
        </w:rPr>
        <w:t xml:space="preserve">培训目的：通过对用户的培训，使其对设备的使用、操作、维护进行培训，以确保使用单位能够对设备有足够的了解，能够独立进行日常操作、管理和维护。</w:t>
      </w:r>
      <w:r>
        <w:rPr>
          <w:rFonts w:ascii="宋体" w:hAnsi="宋体" w:cs="宋体"/>
          <w:sz w:val="24"/>
          <w:highlight w:val="none"/>
          <w:lang w:val="en-US" w:eastAsia="zh-CN"/>
        </w:rPr>
      </w:r>
      <w:r/>
    </w:p>
    <w:p>
      <w:pPr>
        <w:pStyle w:val="768"/>
        <w:ind w:firstLine="480"/>
        <w:spacing w:line="360" w:lineRule="auto"/>
        <w:rPr>
          <w:rFonts w:ascii="宋体" w:hAnsi="宋体" w:cs="宋体"/>
          <w:sz w:val="24"/>
          <w:highlight w:val="none"/>
          <w:lang w:val="en-US" w:eastAsia="zh-CN"/>
        </w:rPr>
        <w:outlineLvl w:val="0"/>
      </w:pPr>
      <w:r>
        <w:rPr>
          <w:rFonts w:ascii="宋体" w:hAnsi="宋体" w:cs="宋体"/>
          <w:sz w:val="24"/>
          <w:highlight w:val="none"/>
          <w:lang w:val="en-US" w:eastAsia="zh-CN"/>
        </w:rPr>
        <w:t xml:space="preserve">培训时间：投标人完成供货并交付用户使用之日起两周内对用户完成培训。</w:t>
      </w:r>
      <w:r>
        <w:rPr>
          <w:rFonts w:ascii="宋体" w:hAnsi="宋体" w:cs="宋体"/>
          <w:sz w:val="24"/>
          <w:highlight w:val="none"/>
          <w:lang w:val="en-US" w:eastAsia="zh-CN"/>
        </w:rPr>
      </w:r>
      <w:r/>
    </w:p>
    <w:p>
      <w:pPr>
        <w:pStyle w:val="768"/>
        <w:ind w:firstLine="480"/>
        <w:spacing w:line="360" w:lineRule="auto"/>
        <w:rPr>
          <w:rFonts w:ascii="宋体" w:hAnsi="宋体" w:cs="宋体"/>
          <w:sz w:val="24"/>
          <w:highlight w:val="none"/>
          <w:lang w:val="en-US" w:eastAsia="zh-CN"/>
        </w:rPr>
        <w:outlineLvl w:val="0"/>
      </w:pPr>
      <w:r>
        <w:rPr>
          <w:rFonts w:ascii="宋体" w:hAnsi="宋体" w:cs="宋体"/>
          <w:sz w:val="24"/>
          <w:highlight w:val="none"/>
          <w:lang w:val="en-US" w:eastAsia="zh-CN"/>
        </w:rPr>
        <w:t xml:space="preserve">培训内容：本项目重点培训设备的安装调试、数据维护、故障诊断等内容。培训模块将包括理论讲解、实际操作演示，例如设备组装流程、数据备份以及常见故障的排查与解决技巧。通过互动式学习，增强学员的实战能力和问题处理效率。</w:t>
      </w:r>
      <w:r>
        <w:rPr>
          <w:rFonts w:ascii="宋体" w:hAnsi="宋体" w:cs="宋体"/>
          <w:sz w:val="24"/>
          <w:highlight w:val="none"/>
          <w:lang w:val="en-US" w:eastAsia="zh-CN"/>
        </w:rPr>
      </w:r>
      <w:r/>
    </w:p>
    <w:p>
      <w:pPr>
        <w:pStyle w:val="768"/>
        <w:ind w:firstLine="480"/>
        <w:spacing w:line="360" w:lineRule="auto"/>
        <w:rPr>
          <w:rFonts w:ascii="宋体" w:hAnsi="宋体" w:cs="宋体"/>
          <w:sz w:val="24"/>
          <w:highlight w:val="none"/>
          <w:lang w:val="en-US" w:eastAsia="zh-CN"/>
        </w:rPr>
        <w:outlineLvl w:val="0"/>
      </w:pPr>
      <w:r>
        <w:rPr>
          <w:rFonts w:ascii="宋体" w:hAnsi="宋体" w:cs="宋体"/>
          <w:sz w:val="24"/>
          <w:highlight w:val="none"/>
          <w:lang w:val="en-US" w:eastAsia="zh-CN"/>
        </w:rPr>
        <w:t xml:space="preserve">培训对象：针对实际工作和业务需要，本次培训对象主要为管理员、教师、</w:t>
      </w:r>
      <w:r>
        <w:rPr>
          <w:rFonts w:ascii="宋体" w:hAnsi="宋体" w:cs="宋体"/>
          <w:sz w:val="24"/>
          <w:highlight w:val="none"/>
          <w:lang w:val="en-US" w:eastAsia="zh-CN"/>
        </w:rPr>
        <w:t xml:space="preserve">学生。</w:t>
      </w:r>
      <w:r>
        <w:rPr>
          <w:rFonts w:ascii="宋体" w:hAnsi="宋体" w:cs="宋体"/>
          <w:sz w:val="24"/>
          <w:highlight w:val="none"/>
          <w:lang w:val="en-US" w:eastAsia="zh-CN"/>
        </w:rPr>
        <w:t xml:space="preserve">这些人员负责日常设备的运行和维护，培训旨在提升他们的专业技能和操作水平，以确保系统稳定性和工作效率。</w:t>
      </w:r>
      <w:r>
        <w:rPr>
          <w:rFonts w:ascii="宋体" w:hAnsi="宋体" w:cs="宋体"/>
          <w:sz w:val="24"/>
          <w:highlight w:val="none"/>
          <w:lang w:val="en-US" w:eastAsia="zh-CN"/>
        </w:rPr>
      </w:r>
      <w:r/>
    </w:p>
    <w:p>
      <w:pPr>
        <w:pStyle w:val="768"/>
        <w:ind w:firstLine="480"/>
        <w:spacing w:line="360" w:lineRule="auto"/>
        <w:rPr>
          <w:rFonts w:ascii="宋体" w:hAnsi="宋体" w:cs="宋体"/>
          <w:sz w:val="24"/>
          <w:highlight w:val="none"/>
          <w:lang w:val="en-US" w:eastAsia="zh-CN"/>
        </w:rPr>
        <w:outlineLvl w:val="0"/>
      </w:pPr>
      <w:r>
        <w:rPr>
          <w:rFonts w:ascii="宋体" w:hAnsi="宋体" w:cs="宋体"/>
          <w:sz w:val="24"/>
          <w:highlight w:val="none"/>
          <w:lang w:val="en-US" w:eastAsia="zh-CN"/>
        </w:rPr>
        <w:t xml:space="preserve">培训地点：同交货地点。</w:t>
      </w:r>
      <w:r>
        <w:rPr>
          <w:rFonts w:ascii="宋体" w:hAnsi="宋体" w:cs="宋体"/>
          <w:sz w:val="24"/>
          <w:highlight w:val="none"/>
          <w:lang w:val="en-US" w:eastAsia="zh-CN"/>
        </w:rPr>
      </w:r>
      <w:r/>
    </w:p>
    <w:p>
      <w:pPr>
        <w:pStyle w:val="768"/>
        <w:ind w:firstLine="480"/>
        <w:spacing w:line="360" w:lineRule="auto"/>
        <w:rPr>
          <w:rFonts w:ascii="宋体" w:hAnsi="宋体" w:cs="宋体"/>
          <w:sz w:val="24"/>
          <w:highlight w:val="none"/>
          <w:lang w:val="en-US" w:eastAsia="zh-CN"/>
        </w:rPr>
        <w:outlineLvl w:val="0"/>
      </w:pPr>
      <w:r>
        <w:rPr>
          <w:rFonts w:ascii="宋体" w:hAnsi="宋体" w:cs="宋体"/>
          <w:sz w:val="24"/>
          <w:highlight w:val="none"/>
          <w:lang w:val="en-US" w:eastAsia="zh-CN"/>
        </w:rPr>
        <w:t xml:space="preserve">培训方式及课时安排：培训时间每次1天，具体根据采购单位待培训人员总数情况确定。培训以最小化对日常工作的影响，并可灵活调整次数和时长，确保所有相关人员都能参与并受益。</w:t>
      </w:r>
      <w:r>
        <w:rPr>
          <w:rFonts w:ascii="宋体" w:hAnsi="宋体" w:cs="宋体"/>
          <w:sz w:val="24"/>
          <w:highlight w:val="none"/>
          <w:lang w:val="en-US" w:eastAsia="zh-CN"/>
        </w:rPr>
      </w:r>
      <w:r/>
    </w:p>
    <w:p>
      <w:pPr>
        <w:pStyle w:val="768"/>
        <w:ind w:firstLine="480"/>
        <w:spacing w:line="360" w:lineRule="auto"/>
        <w:rPr>
          <w:rFonts w:ascii="宋体" w:hAnsi="宋体" w:cs="宋体"/>
          <w:sz w:val="24"/>
          <w:highlight w:val="none"/>
          <w:lang w:val="en-US" w:eastAsia="zh-CN"/>
        </w:rPr>
        <w:outlineLvl w:val="0"/>
      </w:pPr>
      <w:r>
        <w:rPr>
          <w:rFonts w:ascii="宋体" w:hAnsi="宋体" w:cs="宋体"/>
          <w:sz w:val="24"/>
          <w:highlight w:val="none"/>
          <w:lang w:val="en-US" w:eastAsia="zh-CN"/>
        </w:rPr>
        <w:t xml:space="preserve">培训教材：免费提供培训教材纸质版或电子版（含使用手册）等。</w:t>
      </w:r>
      <w:r>
        <w:rPr>
          <w:rFonts w:ascii="宋体" w:hAnsi="宋体" w:cs="宋体"/>
          <w:sz w:val="24"/>
          <w:highlight w:val="none"/>
          <w:lang w:val="en-US" w:eastAsia="zh-CN"/>
        </w:rPr>
      </w:r>
      <w:r/>
    </w:p>
    <w:p>
      <w:pPr>
        <w:pStyle w:val="768"/>
        <w:ind w:firstLine="482"/>
        <w:spacing w:line="360" w:lineRule="auto"/>
        <w:rPr>
          <w:rFonts w:ascii="宋体" w:hAnsi="宋体" w:cs="宋体"/>
          <w:b/>
          <w:bCs/>
          <w:sz w:val="24"/>
          <w:highlight w:val="none"/>
          <w:lang w:val="en-US" w:eastAsia="zh-CN"/>
        </w:rPr>
        <w:outlineLvl w:val="0"/>
      </w:pPr>
      <w:r>
        <w:rPr>
          <w:rFonts w:ascii="宋体" w:hAnsi="宋体" w:cs="宋体"/>
          <w:b/>
          <w:bCs/>
          <w:sz w:val="24"/>
          <w:highlight w:val="none"/>
          <w:lang w:val="en-US" w:eastAsia="zh-CN"/>
        </w:rPr>
        <w:t xml:space="preserve">（</w:t>
      </w:r>
      <w:r>
        <w:rPr>
          <w:rFonts w:hint="eastAsia" w:ascii="宋体" w:hAnsi="宋体" w:cs="宋体"/>
          <w:b/>
          <w:bCs/>
          <w:sz w:val="24"/>
          <w:highlight w:val="none"/>
          <w:lang w:val="en-US" w:eastAsia="zh-CN"/>
        </w:rPr>
        <w:t xml:space="preserve">八</w:t>
      </w:r>
      <w:r>
        <w:rPr>
          <w:rFonts w:ascii="宋体" w:hAnsi="宋体" w:cs="宋体"/>
          <w:b/>
          <w:bCs/>
          <w:sz w:val="24"/>
          <w:highlight w:val="none"/>
          <w:lang w:val="en-US" w:eastAsia="zh-CN"/>
        </w:rPr>
        <w:t xml:space="preserve">）视频演示方案要求</w:t>
      </w:r>
      <w:r>
        <w:rPr>
          <w:rFonts w:ascii="宋体" w:hAnsi="宋体" w:cs="宋体"/>
          <w:b/>
          <w:bCs/>
          <w:sz w:val="24"/>
          <w:highlight w:val="none"/>
          <w:lang w:val="en-US" w:eastAsia="zh-CN"/>
        </w:rPr>
      </w:r>
      <w:r/>
    </w:p>
    <w:p>
      <w:pPr>
        <w:pStyle w:val="768"/>
        <w:ind w:firstLine="480"/>
        <w:spacing w:line="360" w:lineRule="auto"/>
        <w:rPr>
          <w:rFonts w:ascii="宋体" w:hAnsi="宋体" w:cs="宋体"/>
          <w:sz w:val="24"/>
          <w:highlight w:val="none"/>
          <w:lang w:val="en-US" w:eastAsia="zh-CN"/>
        </w:rPr>
        <w:outlineLvl w:val="0"/>
      </w:pPr>
      <w:r>
        <w:rPr>
          <w:rFonts w:ascii="宋体" w:hAnsi="宋体" w:cs="宋体"/>
          <w:sz w:val="24"/>
          <w:highlight w:val="none"/>
          <w:lang w:val="en-US" w:eastAsia="zh-CN"/>
        </w:rPr>
        <w:t xml:space="preserve">（1）立定跳远功能：作弊检测：支持作弊识别检测，如学生单脚跳、侧边跨越跳、地面翻滚至某距离，系统自动检测并</w:t>
      </w:r>
      <w:r>
        <w:rPr>
          <w:rFonts w:hint="eastAsia" w:ascii="宋体" w:hAnsi="宋体" w:cs="宋体"/>
          <w:sz w:val="24"/>
          <w:highlight w:val="none"/>
          <w:lang w:val="en-US" w:eastAsia="zh-CN"/>
        </w:rPr>
        <w:t xml:space="preserve">进行</w:t>
      </w:r>
      <w:r>
        <w:rPr>
          <w:rFonts w:ascii="宋体" w:hAnsi="宋体" w:cs="宋体"/>
          <w:sz w:val="24"/>
          <w:highlight w:val="none"/>
          <w:lang w:val="en-US" w:eastAsia="zh-CN"/>
        </w:rPr>
        <w:t xml:space="preserve">语音播报</w:t>
      </w:r>
      <w:r>
        <w:rPr>
          <w:rFonts w:hint="eastAsia" w:ascii="宋体" w:hAnsi="宋体" w:cs="宋体"/>
          <w:sz w:val="24"/>
          <w:highlight w:val="none"/>
          <w:lang w:val="en-US" w:eastAsia="zh-CN"/>
        </w:rPr>
        <w:t xml:space="preserve">。</w:t>
      </w:r>
      <w:r>
        <w:rPr>
          <w:rFonts w:ascii="宋体" w:hAnsi="宋体" w:cs="宋体"/>
          <w:sz w:val="24"/>
          <w:highlight w:val="none"/>
          <w:lang w:val="en-US" w:eastAsia="zh-CN"/>
        </w:rPr>
      </w:r>
      <w:r/>
    </w:p>
    <w:p>
      <w:pPr>
        <w:pStyle w:val="768"/>
        <w:ind w:firstLine="480"/>
        <w:spacing w:line="360" w:lineRule="auto"/>
        <w:rPr>
          <w:rFonts w:ascii="宋体" w:hAnsi="宋体" w:cs="宋体"/>
          <w:sz w:val="24"/>
          <w:highlight w:val="none"/>
          <w:lang w:val="en-US" w:eastAsia="zh-CN"/>
        </w:rPr>
        <w:outlineLvl w:val="0"/>
      </w:pPr>
      <w:r>
        <w:rPr>
          <w:rFonts w:ascii="宋体" w:hAnsi="宋体" w:cs="宋体"/>
          <w:sz w:val="24"/>
          <w:highlight w:val="none"/>
          <w:lang w:val="en-US" w:eastAsia="zh-CN"/>
        </w:rPr>
        <w:t xml:space="preserve">（2）50m接力作弊功能演示视频：测试者站在50m起跑线前面向摄像头，通过摄像头识别人脸信息，系统语音播报学生姓名，自动进行起跑发令。测试过程中若测试者出现“接力作弊”的行为，系统自动识别进行成绩过滤；</w:t>
      </w:r>
      <w:r>
        <w:rPr>
          <w:rFonts w:ascii="宋体" w:hAnsi="宋体" w:cs="宋体"/>
          <w:sz w:val="24"/>
          <w:highlight w:val="none"/>
          <w:lang w:val="en-US" w:eastAsia="zh-CN"/>
        </w:rPr>
      </w:r>
      <w:r/>
    </w:p>
    <w:p>
      <w:pPr>
        <w:pStyle w:val="768"/>
        <w:ind w:firstLine="480"/>
        <w:spacing w:line="360" w:lineRule="auto"/>
        <w:rPr>
          <w:rFonts w:ascii="宋体" w:hAnsi="宋体" w:cs="宋体"/>
          <w:sz w:val="24"/>
          <w:highlight w:val="none"/>
          <w:lang w:val="en-US" w:eastAsia="zh-CN"/>
        </w:rPr>
        <w:outlineLvl w:val="0"/>
      </w:pPr>
      <w:r>
        <w:rPr>
          <w:rFonts w:ascii="宋体" w:hAnsi="宋体" w:cs="宋体"/>
          <w:sz w:val="24"/>
          <w:highlight w:val="none"/>
          <w:lang w:val="en-US" w:eastAsia="zh-CN"/>
        </w:rPr>
        <w:t xml:space="preserve">（3）坐位体前屈功能演示视频：采用单设备单摄像头硬件可同时支持</w:t>
      </w:r>
      <w:r>
        <w:rPr>
          <w:rFonts w:hint="eastAsia" w:ascii="宋体" w:hAnsi="宋体" w:cs="宋体"/>
          <w:sz w:val="24"/>
          <w:highlight w:val="none"/>
          <w:lang w:val="en-US" w:eastAsia="zh-CN"/>
        </w:rPr>
        <w:t xml:space="preserve">不少于</w:t>
      </w:r>
      <w:r>
        <w:rPr>
          <w:rFonts w:ascii="宋体" w:hAnsi="宋体" w:cs="宋体"/>
          <w:sz w:val="24"/>
          <w:highlight w:val="none"/>
          <w:lang w:val="en-US" w:eastAsia="zh-CN"/>
        </w:rPr>
        <w:t xml:space="preserve">6个测试人员进行测试，</w:t>
      </w:r>
      <w:r>
        <w:rPr>
          <w:rFonts w:hint="eastAsia" w:ascii="宋体" w:hAnsi="宋体" w:cs="宋体"/>
          <w:sz w:val="24"/>
          <w:highlight w:val="none"/>
          <w:lang w:val="en-US" w:eastAsia="zh-CN"/>
        </w:rPr>
        <w:t xml:space="preserve">对学生进行人脸识别</w:t>
      </w:r>
      <w:r>
        <w:rPr>
          <w:rFonts w:ascii="宋体" w:hAnsi="宋体" w:cs="宋体"/>
          <w:sz w:val="24"/>
          <w:highlight w:val="none"/>
          <w:lang w:val="en-US" w:eastAsia="zh-CN"/>
        </w:rPr>
        <w:t xml:space="preserve">分别开启测试，测完即可离开测试区域，不会影响其他在测人员测试。同时，测试者的姓名、成绩和违规状态可同步显示；</w:t>
      </w:r>
      <w:r>
        <w:rPr>
          <w:rFonts w:ascii="宋体" w:hAnsi="宋体" w:cs="宋体"/>
          <w:sz w:val="24"/>
          <w:highlight w:val="none"/>
          <w:lang w:val="en-US" w:eastAsia="zh-CN"/>
        </w:rPr>
      </w:r>
      <w:r/>
    </w:p>
    <w:p>
      <w:pPr>
        <w:pStyle w:val="768"/>
        <w:ind w:firstLine="480"/>
        <w:spacing w:line="360" w:lineRule="auto"/>
        <w:rPr>
          <w:rFonts w:ascii="宋体" w:hAnsi="宋体" w:cs="宋体"/>
          <w:sz w:val="24"/>
          <w:highlight w:val="none"/>
          <w:lang w:val="en-US" w:eastAsia="zh-CN"/>
        </w:rPr>
        <w:outlineLvl w:val="0"/>
      </w:pPr>
      <w:r>
        <w:rPr>
          <w:rFonts w:ascii="宋体" w:hAnsi="宋体" w:cs="宋体"/>
          <w:sz w:val="24"/>
          <w:highlight w:val="none"/>
          <w:lang w:val="en-US" w:eastAsia="zh-CN"/>
        </w:rPr>
        <w:t xml:space="preserve">（4）仰卧起坐功能演示视频：采用单设备单摄像头硬件可同时支持</w:t>
      </w:r>
      <w:r>
        <w:rPr>
          <w:rFonts w:hint="eastAsia" w:ascii="宋体" w:hAnsi="宋体" w:cs="宋体"/>
          <w:sz w:val="24"/>
          <w:highlight w:val="none"/>
          <w:lang w:val="en-US" w:eastAsia="zh-CN"/>
        </w:rPr>
        <w:t xml:space="preserve">不少于</w:t>
      </w:r>
      <w:r>
        <w:rPr>
          <w:rFonts w:ascii="宋体" w:hAnsi="宋体" w:cs="宋体"/>
          <w:sz w:val="24"/>
          <w:highlight w:val="none"/>
          <w:lang w:val="en-US" w:eastAsia="zh-CN"/>
        </w:rPr>
        <w:t xml:space="preserve">10个测试人员进行测试，并支持多名学生人脸识别同时开启测试。</w:t>
      </w:r>
      <w:r>
        <w:rPr>
          <w:rFonts w:ascii="宋体" w:hAnsi="宋体" w:cs="宋体"/>
          <w:sz w:val="24"/>
          <w:highlight w:val="none"/>
          <w:lang w:val="en-US" w:eastAsia="zh-CN"/>
        </w:rPr>
      </w:r>
      <w:r/>
    </w:p>
    <w:p>
      <w:pPr>
        <w:pStyle w:val="768"/>
        <w:ind w:firstLine="482"/>
        <w:spacing w:line="360" w:lineRule="auto"/>
        <w:rPr>
          <w:rFonts w:ascii="宋体" w:hAnsi="宋体" w:eastAsia="宋体" w:cs="宋体"/>
          <w:b/>
          <w:sz w:val="24"/>
          <w:highlight w:val="none"/>
        </w:rPr>
        <w:outlineLvl w:val="0"/>
      </w:pPr>
      <w:r>
        <w:rPr>
          <w:rFonts w:hint="eastAsia" w:ascii="宋体" w:hAnsi="宋体" w:eastAsia="宋体" w:cs="宋体"/>
          <w:b/>
          <w:sz w:val="24"/>
          <w:highlight w:val="none"/>
        </w:rPr>
        <w:t xml:space="preserve">六、质量标准</w:t>
      </w:r>
      <w:r>
        <w:rPr>
          <w:rFonts w:ascii="宋体" w:hAnsi="宋体" w:eastAsia="宋体" w:cs="宋体"/>
          <w:b/>
          <w:sz w:val="24"/>
          <w:highlight w:val="none"/>
        </w:rPr>
      </w:r>
      <w:r/>
    </w:p>
    <w:p>
      <w:pPr>
        <w:pStyle w:val="768"/>
        <w:ind w:firstLine="480"/>
        <w:spacing w:line="360" w:lineRule="auto"/>
        <w:rPr>
          <w:rFonts w:ascii="宋体" w:hAnsi="宋体" w:cs="宋体"/>
          <w:sz w:val="24"/>
          <w:highlight w:val="none"/>
        </w:rPr>
        <w:outlineLvl w:val="0"/>
      </w:pPr>
      <w:r>
        <w:rPr>
          <w:rFonts w:hint="eastAsia" w:ascii="宋体" w:hAnsi="宋体" w:cs="宋体"/>
          <w:sz w:val="24"/>
          <w:highlight w:val="none"/>
        </w:rPr>
        <w:t xml:space="preserve">1、投标文件及供应商所响应货物的质量、技术和其他要求货物制造标准、安装标准及技术规范等，须符合最新国家标准，无国家标准的应符合行业标准或企业标准， 并满足招标文件要求。 </w:t>
      </w:r>
      <w:r>
        <w:rPr>
          <w:rFonts w:ascii="宋体" w:hAnsi="宋体" w:cs="宋体"/>
          <w:sz w:val="24"/>
          <w:highlight w:val="none"/>
        </w:rPr>
      </w:r>
      <w:r/>
    </w:p>
    <w:p>
      <w:pPr>
        <w:pStyle w:val="768"/>
        <w:ind w:firstLine="480"/>
        <w:spacing w:line="360" w:lineRule="auto"/>
        <w:rPr>
          <w:rFonts w:ascii="宋体" w:hAnsi="宋体" w:cs="宋体"/>
          <w:sz w:val="24"/>
          <w:highlight w:val="none"/>
        </w:rPr>
        <w:outlineLvl w:val="0"/>
      </w:pPr>
      <w:r>
        <w:rPr>
          <w:rFonts w:hint="eastAsia" w:ascii="宋体" w:hAnsi="宋体" w:cs="宋体"/>
          <w:sz w:val="24"/>
          <w:highlight w:val="none"/>
        </w:rPr>
        <w:t xml:space="preserve">2、所投的货物是经检验合格的全新、未使用过的原装合格正品，提供的货物，密封包装不得拆开。若开箱检验中发现有诸如数量、型号和外观尺寸与合同不符，或密封包装物本身的短少和损坏，如产生更换或补货等情形并导致工期延误，采购人有权根据合同有关条款的规定对因此造成的直接损失向成交供应商索赔。</w:t>
      </w:r>
      <w:r>
        <w:rPr>
          <w:rFonts w:ascii="宋体" w:hAnsi="宋体" w:cs="宋体"/>
          <w:sz w:val="24"/>
          <w:highlight w:val="none"/>
        </w:rPr>
      </w:r>
      <w:r/>
    </w:p>
    <w:p>
      <w:pPr>
        <w:pStyle w:val="768"/>
        <w:ind w:firstLine="482"/>
        <w:spacing w:line="360" w:lineRule="auto"/>
        <w:rPr>
          <w:rFonts w:ascii="宋体" w:hAnsi="宋体" w:cs="宋体"/>
          <w:b/>
          <w:sz w:val="24"/>
          <w:highlight w:val="none"/>
        </w:rPr>
        <w:outlineLvl w:val="0"/>
      </w:pPr>
      <w:r>
        <w:rPr>
          <w:rFonts w:hint="eastAsia" w:ascii="宋体" w:hAnsi="宋体" w:cs="宋体"/>
          <w:b/>
          <w:bCs/>
          <w:sz w:val="24"/>
          <w:highlight w:val="none"/>
        </w:rPr>
        <w:t xml:space="preserve">七、</w:t>
      </w:r>
      <w:r>
        <w:rPr>
          <w:rFonts w:hint="eastAsia" w:cs="Courier New"/>
          <w:b/>
          <w:sz w:val="24"/>
          <w:szCs w:val="24"/>
          <w:highlight w:val="none"/>
        </w:rPr>
        <w:t xml:space="preserve">验收标准及要求</w:t>
      </w:r>
      <w:r>
        <w:rPr>
          <w:rFonts w:ascii="宋体" w:hAnsi="宋体" w:cs="宋体"/>
          <w:b/>
          <w:sz w:val="24"/>
          <w:highlight w:val="none"/>
        </w:rPr>
      </w:r>
      <w:r/>
    </w:p>
    <w:p>
      <w:pPr>
        <w:pStyle w:val="768"/>
        <w:ind w:firstLine="480"/>
        <w:spacing w:line="360" w:lineRule="auto"/>
        <w:rPr>
          <w:rFonts w:ascii="宋体" w:hAnsi="宋体" w:cs="宋体"/>
          <w:sz w:val="24"/>
          <w:highlight w:val="none"/>
        </w:rPr>
        <w:outlineLvl w:val="0"/>
      </w:pPr>
      <w:r>
        <w:rPr>
          <w:rFonts w:hint="eastAsia" w:ascii="宋体" w:hAnsi="宋体" w:cs="宋体"/>
          <w:sz w:val="24"/>
          <w:highlight w:val="none"/>
        </w:rPr>
        <w:t xml:space="preserve">所提供项目质量必须符合国家相关标准且必须满足本次采购的要求，如有不合格，造成的损失和后果由该供应商负全责。符合项目验收标准后，采购人根据技术要求，组织验收并出具验收书。</w:t>
      </w:r>
      <w:r>
        <w:rPr>
          <w:rFonts w:ascii="宋体" w:hAnsi="宋体" w:cs="宋体"/>
          <w:sz w:val="24"/>
          <w:highlight w:val="none"/>
        </w:rPr>
      </w:r>
      <w:r/>
    </w:p>
    <w:p>
      <w:pPr>
        <w:pStyle w:val="768"/>
        <w:ind w:firstLine="480"/>
        <w:spacing w:line="360" w:lineRule="auto"/>
        <w:rPr>
          <w:rFonts w:hint="eastAsia" w:ascii="宋体" w:hAnsi="宋体" w:cs="宋体"/>
          <w:sz w:val="24"/>
          <w:highlight w:val="none"/>
          <w:lang w:val="en-US" w:eastAsia="zh"/>
        </w:rPr>
        <w:outlineLvl w:val="0"/>
      </w:pPr>
      <w:r>
        <w:rPr>
          <w:rFonts w:hint="eastAsia" w:ascii="宋体" w:hAnsi="宋体" w:cs="宋体"/>
          <w:sz w:val="24"/>
          <w:highlight w:val="none"/>
        </w:rPr>
        <w:t xml:space="preserve">1.</w:t>
      </w:r>
      <w:r>
        <w:rPr>
          <w:rFonts w:hint="eastAsia" w:ascii="宋体" w:hAnsi="宋体" w:cs="宋体"/>
          <w:sz w:val="24"/>
          <w:highlight w:val="none"/>
          <w:lang w:val="en-US" w:eastAsia="zh"/>
        </w:rPr>
        <w:t xml:space="preserve">验收时间：设备安装调试经采购人试用并达到验收标准后，采购人根据合同约定组织验收。</w:t>
      </w:r>
      <w:r>
        <w:rPr>
          <w:rFonts w:hint="eastAsia" w:ascii="宋体" w:hAnsi="宋体" w:cs="宋体"/>
          <w:sz w:val="24"/>
          <w:highlight w:val="none"/>
          <w:lang w:val="en-US" w:eastAsia="zh"/>
        </w:rPr>
      </w:r>
      <w:r/>
    </w:p>
    <w:p>
      <w:pPr>
        <w:pStyle w:val="768"/>
        <w:ind w:firstLine="480"/>
        <w:spacing w:line="360" w:lineRule="auto"/>
        <w:rPr>
          <w:rFonts w:ascii="宋体" w:hAnsi="宋体" w:cs="宋体"/>
          <w:sz w:val="24"/>
          <w:highlight w:val="none"/>
        </w:rPr>
        <w:outlineLvl w:val="0"/>
      </w:pPr>
      <w:r>
        <w:rPr>
          <w:rFonts w:hint="eastAsia" w:ascii="宋体" w:hAnsi="宋体" w:cs="宋体"/>
          <w:sz w:val="24"/>
          <w:highlight w:val="none"/>
          <w:lang w:val="en-US" w:eastAsia="zh-CN"/>
        </w:rPr>
        <w:t xml:space="preserve">3.</w:t>
      </w:r>
      <w:r>
        <w:rPr>
          <w:rFonts w:hint="eastAsia" w:ascii="宋体" w:hAnsi="宋体" w:cs="宋体"/>
          <w:sz w:val="24"/>
          <w:highlight w:val="none"/>
          <w:lang w:val="en-US" w:eastAsia="zh"/>
        </w:rPr>
        <w:t xml:space="preserve">验收内容：包括设备品牌、型号、规格、数量是否符合合同规定，外观质量、产品包装是否完好、安装调试是否合格，所提供设备装箱清单、操作说明、维修手册等是否齐全。</w:t>
      </w:r>
      <w:r>
        <w:rPr>
          <w:rFonts w:ascii="宋体" w:hAnsi="宋体" w:cs="宋体"/>
          <w:sz w:val="24"/>
          <w:highlight w:val="none"/>
        </w:rPr>
      </w:r>
      <w:r/>
    </w:p>
    <w:p>
      <w:pPr>
        <w:pStyle w:val="768"/>
        <w:ind w:firstLine="480"/>
        <w:spacing w:line="360" w:lineRule="auto"/>
        <w:rPr>
          <w:rFonts w:ascii="宋体" w:hAnsi="宋体" w:cs="宋体"/>
          <w:sz w:val="24"/>
          <w:highlight w:val="none"/>
        </w:rPr>
        <w:outlineLvl w:val="0"/>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.验收标准</w:t>
      </w:r>
      <w:r>
        <w:rPr>
          <w:rFonts w:ascii="宋体" w:hAnsi="宋体" w:cs="宋体"/>
          <w:sz w:val="24"/>
          <w:highlight w:val="none"/>
        </w:rPr>
      </w:r>
      <w:r/>
    </w:p>
    <w:p>
      <w:pPr>
        <w:pStyle w:val="768"/>
        <w:ind w:firstLine="480"/>
        <w:spacing w:line="360" w:lineRule="auto"/>
        <w:rPr>
          <w:rFonts w:ascii="宋体" w:hAnsi="宋体" w:cs="宋体"/>
          <w:sz w:val="24"/>
          <w:highlight w:val="none"/>
        </w:rPr>
        <w:outlineLvl w:val="0"/>
      </w:pPr>
      <w:r>
        <w:rPr>
          <w:rFonts w:hint="eastAsia" w:ascii="宋体" w:hAnsi="宋体" w:cs="宋体"/>
          <w:sz w:val="24"/>
          <w:highlight w:val="none"/>
        </w:rPr>
        <w:t xml:space="preserve">成交供应商提供的货物有国家标准的应符合国家标准，根据产品对外观、数量、规格型号、外包装等进行验收。无国家标准的应符合行业标准、地方标准或者其他标准、规范，并满足采购文件及采购人需求。</w:t>
      </w:r>
      <w:r>
        <w:rPr>
          <w:rFonts w:ascii="宋体" w:hAnsi="宋体" w:cs="宋体"/>
          <w:sz w:val="24"/>
          <w:highlight w:val="none"/>
        </w:rPr>
      </w:r>
      <w:r/>
    </w:p>
    <w:p>
      <w:pPr>
        <w:pStyle w:val="768"/>
        <w:numPr>
          <w:ilvl w:val="0"/>
          <w:numId w:val="0"/>
        </w:numPr>
        <w:ind w:firstLine="480"/>
        <w:spacing w:line="360" w:lineRule="auto"/>
        <w:rPr>
          <w:rFonts w:ascii="宋体" w:hAnsi="宋体" w:cs="宋体"/>
          <w:sz w:val="24"/>
          <w:highlight w:val="none"/>
        </w:rPr>
        <w:outlineLvl w:val="0"/>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不能通过验收的，将按照退货处理，供应商应在采购人限定时间内予以更换符合要求的货物。</w:t>
      </w:r>
      <w:r>
        <w:rPr>
          <w:rFonts w:ascii="宋体" w:hAnsi="宋体" w:cs="宋体"/>
          <w:sz w:val="24"/>
          <w:highlight w:val="none"/>
        </w:rPr>
      </w:r>
      <w:r/>
    </w:p>
    <w:p>
      <w:pPr>
        <w:pStyle w:val="768"/>
        <w:ind w:firstLine="482"/>
        <w:spacing w:line="360" w:lineRule="auto"/>
        <w:rPr>
          <w:rFonts w:ascii="宋体" w:hAnsi="宋体" w:cs="宋体"/>
          <w:sz w:val="24"/>
          <w:highlight w:val="none"/>
        </w:rPr>
        <w:outlineLvl w:val="0"/>
      </w:pPr>
      <w:r>
        <w:rPr>
          <w:rFonts w:hint="eastAsia" w:ascii="宋体" w:hAnsi="宋体" w:cs="宋体"/>
          <w:b/>
          <w:bCs/>
          <w:sz w:val="24"/>
          <w:highlight w:val="none"/>
        </w:rPr>
        <w:t xml:space="preserve">八、商品包装环保要求</w:t>
      </w:r>
      <w:r>
        <w:rPr>
          <w:rFonts w:ascii="宋体" w:hAnsi="宋体" w:cs="宋体"/>
          <w:sz w:val="24"/>
          <w:highlight w:val="none"/>
        </w:rPr>
      </w:r>
      <w:r/>
    </w:p>
    <w:p>
      <w:pPr>
        <w:pStyle w:val="1213"/>
        <w:ind w:firstLine="480"/>
        <w:jc w:val="left"/>
        <w:spacing w:line="360" w:lineRule="auto"/>
        <w:rPr>
          <w:rFonts w:ascii="宋体" w:hAnsi="宋体" w:cs="宋体"/>
          <w:sz w:val="24"/>
          <w:highlight w:val="none"/>
        </w:rPr>
      </w:pPr>
      <w:r>
        <w:rPr>
          <w:rFonts w:hint="eastAsia" w:ascii="宋体" w:hAnsi="宋体" w:cs="宋体"/>
          <w:sz w:val="24"/>
          <w:highlight w:val="none"/>
        </w:rPr>
        <w:t xml:space="preserve">投标人所投产品需进行商品包装和快递包装的，应不低于《关于印发〈商品包装政府采购需求标准（试行）〉、〈快递包装政府采购需求标准（试行）〉的通知》（财办库〔2020〕123 号）文件规定的参考标准。在履约验收时按照本条款执行，违反本约定的对照合同违约条款追究违约责任。投标人一旦参与本项目投标，即完全响应本条款要求。</w:t>
      </w:r>
      <w:r>
        <w:rPr>
          <w:rFonts w:ascii="宋体" w:hAnsi="宋体" w:cs="宋体"/>
          <w:sz w:val="24"/>
          <w:highlight w:val="none"/>
        </w:rPr>
      </w:r>
      <w:r/>
    </w:p>
    <w:p>
      <w:pPr>
        <w:pStyle w:val="768"/>
        <w:ind w:firstLine="482"/>
        <w:spacing w:line="360" w:lineRule="auto"/>
        <w:rPr>
          <w:rFonts w:ascii="宋体" w:hAnsi="宋体" w:eastAsia="宋体" w:cs="宋体"/>
          <w:b/>
          <w:bCs/>
          <w:sz w:val="24"/>
          <w:highlight w:val="none"/>
        </w:rPr>
        <w:outlineLvl w:val="0"/>
      </w:pPr>
      <w:r>
        <w:rPr>
          <w:rFonts w:hint="eastAsia" w:ascii="宋体" w:hAnsi="宋体" w:eastAsia="宋体" w:cs="宋体"/>
          <w:b/>
          <w:bCs/>
          <w:sz w:val="24"/>
          <w:highlight w:val="none"/>
        </w:rPr>
        <w:t xml:space="preserve">九、快递包装环保要求</w:t>
      </w:r>
      <w:r>
        <w:rPr>
          <w:rFonts w:ascii="宋体" w:hAnsi="宋体" w:eastAsia="宋体" w:cs="宋体"/>
          <w:b/>
          <w:bCs/>
          <w:sz w:val="24"/>
          <w:highlight w:val="none"/>
        </w:rPr>
      </w:r>
      <w:r/>
    </w:p>
    <w:p>
      <w:pPr>
        <w:pStyle w:val="1213"/>
        <w:ind w:firstLine="480"/>
        <w:jc w:val="left"/>
        <w:spacing w:line="360" w:lineRule="auto"/>
        <w:rPr>
          <w:rFonts w:ascii="宋体" w:hAnsi="宋体" w:cs="宋体"/>
          <w:sz w:val="24"/>
          <w:highlight w:val="none"/>
        </w:rPr>
      </w:pPr>
      <w:r>
        <w:rPr>
          <w:rFonts w:hint="eastAsia" w:ascii="宋体" w:hAnsi="宋体" w:eastAsia="宋体" w:cs="宋体"/>
          <w:sz w:val="24"/>
          <w:highlight w:val="none"/>
        </w:rPr>
        <w:t xml:space="preserve">对照财库〔2019〕9 号、财库〔2019〕19 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rPr>
          <w:rFonts w:ascii="宋体" w:hAnsi="宋体" w:cs="宋体"/>
          <w:sz w:val="24"/>
          <w:highlight w:val="none"/>
        </w:rPr>
      </w:r>
      <w:r/>
    </w:p>
    <w:p>
      <w:pPr>
        <w:pStyle w:val="1213"/>
        <w:ind w:firstLine="482"/>
        <w:jc w:val="left"/>
        <w:spacing w:line="360" w:lineRule="auto"/>
        <w:rPr>
          <w:rFonts w:ascii="宋体" w:hAnsi="宋体" w:cs="宋体"/>
          <w:b/>
          <w:bCs/>
          <w:sz w:val="24"/>
          <w:highlight w:val="none"/>
        </w:rPr>
      </w:pPr>
      <w:r>
        <w:rPr>
          <w:rFonts w:hint="eastAsia" w:ascii="宋体" w:hAnsi="宋体" w:cs="宋体"/>
          <w:b/>
          <w:bCs/>
          <w:sz w:val="24"/>
          <w:highlight w:val="none"/>
        </w:rPr>
        <w:t xml:space="preserve">十、其他要求</w:t>
      </w:r>
      <w:r>
        <w:rPr>
          <w:rFonts w:ascii="宋体" w:hAnsi="宋体" w:cs="宋体"/>
          <w:b/>
          <w:bCs/>
          <w:sz w:val="24"/>
          <w:highlight w:val="none"/>
        </w:rPr>
      </w:r>
      <w:r/>
    </w:p>
    <w:p>
      <w:pPr>
        <w:pStyle w:val="908"/>
        <w:ind w:firstLine="480"/>
        <w:spacing w:line="480" w:lineRule="exact"/>
        <w:rPr>
          <w:rFonts w:ascii="宋体" w:hAnsi="宋体" w:cs="宋体"/>
          <w:sz w:val="24"/>
          <w:highlight w:val="none"/>
        </w:rPr>
      </w:pPr>
      <w:r>
        <w:rPr>
          <w:rFonts w:hint="eastAsia" w:ascii="宋体" w:hAnsi="宋体" w:cs="宋体"/>
          <w:sz w:val="24"/>
          <w:highlight w:val="none"/>
        </w:rPr>
        <w:t xml:space="preserve">1.本项目不接受备选的投标方案或有选择的报价，只允许有一个投标报价。投标报价内容包括：货款、标准附件、备品备件、专用工具、包装、运输、装卸、保险、税金、货到就位以及安装、调试、培训、保修等完成本项目所涉及到的一切相关费用。</w:t>
      </w:r>
      <w:r>
        <w:rPr>
          <w:rFonts w:ascii="宋体" w:hAnsi="宋体" w:cs="宋体"/>
          <w:sz w:val="24"/>
          <w:highlight w:val="none"/>
        </w:rPr>
      </w:r>
      <w:r/>
    </w:p>
    <w:p>
      <w:pPr>
        <w:pStyle w:val="908"/>
        <w:ind w:firstLine="480"/>
        <w:spacing w:line="480" w:lineRule="exact"/>
        <w:rPr>
          <w:rFonts w:ascii="宋体" w:hAnsi="宋体" w:cs="宋体"/>
          <w:bCs/>
          <w:sz w:val="24"/>
          <w:szCs w:val="24"/>
          <w:highlight w:val="none"/>
        </w:rPr>
      </w:pPr>
      <w:r>
        <w:rPr>
          <w:rFonts w:hint="eastAsia" w:ascii="宋体" w:hAnsi="宋体" w:cs="宋体"/>
          <w:sz w:val="24"/>
          <w:highlight w:val="none"/>
        </w:rPr>
        <w:t xml:space="preserve">2.供应商报价时应充分考虑所有可能影响到报价的因素，一旦最终中标，总价将包定。不予调整。如发生漏、缺、少项，都将被认为是中标人的报价让利行为，损失自负。</w:t>
      </w:r>
      <w:r>
        <w:rPr>
          <w:rFonts w:ascii="宋体" w:hAnsi="宋体" w:cs="宋体"/>
          <w:bCs/>
          <w:sz w:val="24"/>
          <w:szCs w:val="24"/>
          <w:highlight w:val="none"/>
        </w:rPr>
      </w:r>
      <w:r/>
    </w:p>
    <w:p>
      <w:pPr>
        <w:pStyle w:val="768"/>
        <w:rPr>
          <w:highlight w:val="none"/>
        </w:rPr>
      </w:pPr>
      <w:r>
        <w:rPr>
          <w:highlight w:val="none"/>
        </w:rPr>
      </w:r>
      <w:r/>
    </w:p>
    <w:p>
      <w:pPr>
        <w:pStyle w:val="908"/>
        <w:ind w:firstLine="480"/>
        <w:spacing w:line="480" w:lineRule="exact"/>
        <w:rPr>
          <w:rFonts w:ascii="宋体" w:hAnsi="宋体" w:cs="宋体"/>
          <w:bCs/>
          <w:sz w:val="24"/>
          <w:szCs w:val="24"/>
          <w:highlight w:val="none"/>
        </w:rPr>
      </w:pPr>
      <w:r>
        <w:rPr>
          <w:rFonts w:ascii="宋体" w:hAnsi="宋体" w:cs="宋体"/>
          <w:bCs/>
          <w:sz w:val="24"/>
          <w:szCs w:val="24"/>
          <w:highlight w:val="none"/>
        </w:rPr>
      </w:r>
      <w:r/>
    </w:p>
    <w:p>
      <w:pPr>
        <w:pStyle w:val="768"/>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pStyle w:val="768"/>
        <w:rPr>
          <w:highlight w:val="none"/>
        </w:rPr>
      </w:pPr>
      <w:r>
        <w:rPr>
          <w:highlight w:val="none"/>
        </w:rPr>
      </w:r>
      <w:r/>
    </w:p>
    <w:p>
      <w:pPr>
        <w:pStyle w:val="1225"/>
        <w:ind w:firstLine="480"/>
        <w:jc w:val="both"/>
        <w:spacing w:before="0" w:beforeAutospacing="0" w:after="0" w:afterAutospacing="0" w:line="400" w:lineRule="exact"/>
        <w:widowControl w:val="off"/>
        <w:rPr>
          <w:rFonts w:ascii="Times New Roman" w:hAnsi="Times New Roman" w:eastAsia="等线" w:cs="仿宋"/>
          <w:highlight w:val="none"/>
        </w:rPr>
      </w:pPr>
      <w:r>
        <w:rPr>
          <w:rFonts w:ascii="Times New Roman" w:hAnsi="Times New Roman" w:eastAsia="等线" w:cs="仿宋"/>
          <w:highlight w:val="none"/>
        </w:rPr>
      </w:r>
      <w:r/>
    </w:p>
    <w:p>
      <w:pPr>
        <w:pStyle w:val="1225"/>
        <w:ind w:firstLine="480"/>
        <w:jc w:val="both"/>
        <w:spacing w:before="0" w:beforeAutospacing="0" w:after="0" w:afterAutospacing="0" w:line="400" w:lineRule="exact"/>
        <w:widowControl w:val="off"/>
        <w:rPr>
          <w:rFonts w:ascii="Times New Roman" w:hAnsi="Times New Roman" w:eastAsia="等线" w:cs="仿宋"/>
          <w:highlight w:val="none"/>
        </w:rPr>
      </w:pPr>
      <w:r>
        <w:rPr>
          <w:rFonts w:ascii="Times New Roman" w:hAnsi="Times New Roman" w:eastAsia="等线" w:cs="仿宋"/>
          <w:highlight w:val="none"/>
        </w:rPr>
      </w:r>
      <w:r/>
    </w:p>
    <w:p>
      <w:pPr>
        <w:pStyle w:val="1225"/>
        <w:ind w:firstLine="480"/>
        <w:jc w:val="both"/>
        <w:spacing w:before="0" w:beforeAutospacing="0" w:after="0" w:afterAutospacing="0" w:line="500" w:lineRule="exact"/>
        <w:widowControl w:val="off"/>
        <w:rPr>
          <w:rFonts w:ascii="Times New Roman" w:hAnsi="Times New Roman" w:eastAsia="等线" w:cs="仿宋"/>
          <w:highlight w:val="none"/>
        </w:rPr>
      </w:pPr>
      <w:r>
        <w:rPr>
          <w:rFonts w:ascii="Times New Roman" w:hAnsi="Times New Roman" w:eastAsia="等线" w:cs="仿宋"/>
          <w:highlight w:val="none"/>
        </w:rPr>
      </w:r>
      <w:r/>
    </w:p>
    <w:p>
      <w:pPr>
        <w:pStyle w:val="1225"/>
        <w:ind w:firstLine="480"/>
        <w:jc w:val="both"/>
        <w:spacing w:before="0" w:beforeAutospacing="0" w:after="0" w:afterAutospacing="0" w:line="500" w:lineRule="exact"/>
        <w:widowControl w:val="off"/>
        <w:rPr>
          <w:rFonts w:ascii="Times New Roman" w:hAnsi="Times New Roman" w:eastAsia="等线" w:cs="仿宋"/>
          <w:highlight w:val="none"/>
        </w:rPr>
      </w:pPr>
      <w:r>
        <w:rPr>
          <w:rFonts w:ascii="Times New Roman" w:hAnsi="Times New Roman" w:eastAsia="等线" w:cs="仿宋"/>
          <w:highlight w:val="none"/>
        </w:rPr>
      </w:r>
      <w:r/>
    </w:p>
    <w:p>
      <w:pPr>
        <w:pStyle w:val="1225"/>
        <w:jc w:val="both"/>
        <w:spacing w:before="0" w:beforeAutospacing="0" w:after="0" w:afterAutospacing="0" w:line="500" w:lineRule="exact"/>
        <w:widowControl w:val="off"/>
        <w:rPr>
          <w:rFonts w:ascii="Times New Roman" w:hAnsi="Times New Roman" w:eastAsia="等线" w:cs="仿宋"/>
          <w:highlight w:val="none"/>
        </w:rPr>
      </w:pPr>
      <w:r>
        <w:rPr>
          <w:rFonts w:ascii="Times New Roman" w:hAnsi="Times New Roman" w:eastAsia="等线" w:cs="仿宋"/>
          <w:highlight w:val="none"/>
        </w:rPr>
      </w:r>
      <w:r/>
    </w:p>
    <w:p>
      <w:pPr>
        <w:pStyle w:val="769"/>
        <w:jc w:val="center"/>
        <w:spacing w:before="200"/>
        <w:rPr>
          <w:rFonts w:hint="eastAsia" w:ascii="Calibri" w:hAnsi="Calibri" w:eastAsia="宋体"/>
          <w:b/>
          <w:sz w:val="44"/>
          <w:szCs w:val="44"/>
          <w:highlight w:val="none"/>
        </w:rPr>
      </w:pPr>
      <w:r/>
      <w:bookmarkStart w:id="122" w:name="_Toc2513"/>
      <w:r/>
      <w:bookmarkStart w:id="123" w:name="_Toc81575206"/>
      <w:r/>
      <w:bookmarkStart w:id="124" w:name="_Toc22098"/>
      <w:r/>
      <w:bookmarkStart w:id="125" w:name="_Toc81575169"/>
      <w:r/>
      <w:bookmarkStart w:id="126" w:name="_Toc31499"/>
      <w:r>
        <w:rPr>
          <w:rFonts w:hint="eastAsia" w:ascii="Calibri" w:hAnsi="Calibri" w:eastAsia="宋体"/>
          <w:b/>
          <w:sz w:val="44"/>
          <w:szCs w:val="44"/>
          <w:highlight w:val="none"/>
        </w:rPr>
        <w:br w:type="page" w:clear="all"/>
      </w:r>
      <w:r>
        <w:rPr>
          <w:rFonts w:hint="eastAsia" w:ascii="Calibri" w:hAnsi="Calibri" w:eastAsia="宋体"/>
          <w:b/>
          <w:sz w:val="44"/>
          <w:szCs w:val="44"/>
          <w:highlight w:val="none"/>
        </w:rPr>
        <w:t xml:space="preserve">第五章</w:t>
      </w:r>
      <w:r>
        <w:rPr>
          <w:rFonts w:ascii="Calibri" w:hAnsi="Calibri" w:eastAsia="宋体"/>
          <w:b/>
          <w:sz w:val="44"/>
          <w:szCs w:val="44"/>
          <w:highlight w:val="none"/>
        </w:rPr>
        <w:t xml:space="preserve">  </w:t>
      </w:r>
      <w:r>
        <w:rPr>
          <w:rFonts w:hint="eastAsia" w:ascii="Calibri" w:hAnsi="Calibri" w:eastAsia="宋体"/>
          <w:b/>
          <w:sz w:val="44"/>
          <w:szCs w:val="44"/>
          <w:highlight w:val="none"/>
        </w:rPr>
        <w:t xml:space="preserve">合同文本</w:t>
      </w:r>
      <w:bookmarkEnd w:id="122"/>
      <w:r/>
      <w:bookmarkEnd w:id="123"/>
      <w:r/>
      <w:bookmarkEnd w:id="124"/>
      <w:r/>
      <w:bookmarkEnd w:id="125"/>
      <w:r/>
      <w:bookmarkEnd w:id="126"/>
      <w:r/>
      <w:bookmarkStart w:id="127" w:name="_Toc20823315"/>
      <w:r/>
      <w:bookmarkStart w:id="128" w:name="_Toc16938559"/>
      <w:r/>
      <w:bookmarkStart w:id="129" w:name="_Toc513029243"/>
      <w:r>
        <w:rPr>
          <w:rFonts w:hint="eastAsia" w:ascii="Calibri" w:hAnsi="Calibri" w:eastAsia="宋体"/>
          <w:b/>
          <w:sz w:val="44"/>
          <w:szCs w:val="44"/>
          <w:highlight w:val="none"/>
        </w:rPr>
      </w:r>
      <w:r/>
    </w:p>
    <w:p>
      <w:pPr>
        <w:pStyle w:val="805"/>
        <w:jc w:val="center"/>
        <w:rPr>
          <w:rFonts w:hint="eastAsia"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r>
      <w:r/>
    </w:p>
    <w:p>
      <w:pPr>
        <w:pStyle w:val="805"/>
        <w:jc w:val="center"/>
        <w:rPr>
          <w:rFonts w:hint="eastAsia"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r>
      <w:r/>
    </w:p>
    <w:p>
      <w:pPr>
        <w:pStyle w:val="805"/>
        <w:jc w:val="center"/>
        <w:rPr>
          <w:rFonts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财政部 政府采购货物买卖合同（试行）</w:t>
      </w:r>
      <w:r>
        <w:rPr>
          <w:rFonts w:ascii="宋体" w:hAnsi="宋体" w:eastAsia="宋体" w:cs="宋体"/>
          <w:b/>
          <w:bCs/>
          <w:color w:val="000000"/>
          <w:spacing w:val="-20"/>
          <w:sz w:val="32"/>
          <w:szCs w:val="32"/>
          <w:highlight w:val="none"/>
        </w:rPr>
      </w:r>
      <w:r/>
    </w:p>
    <w:p>
      <w:pPr>
        <w:pStyle w:val="805"/>
        <w:jc w:val="center"/>
        <w:rPr>
          <w:rFonts w:ascii="宋体" w:hAnsi="宋体" w:eastAsia="宋体" w:cs="宋体"/>
          <w:b/>
          <w:bCs/>
          <w:color w:val="000000"/>
          <w:spacing w:val="-20"/>
          <w:sz w:val="32"/>
          <w:szCs w:val="32"/>
          <w:highlight w:val="none"/>
        </w:rPr>
      </w:pPr>
      <w:r>
        <w:rPr>
          <w:rFonts w:hint="eastAsia" w:ascii="宋体" w:hAnsi="宋体" w:eastAsia="宋体" w:cs="宋体"/>
          <w:b/>
          <w:bCs/>
          <w:color w:val="000000"/>
          <w:spacing w:val="-20"/>
          <w:sz w:val="32"/>
          <w:szCs w:val="32"/>
          <w:highlight w:val="none"/>
        </w:rPr>
        <w:t xml:space="preserve">范    本</w:t>
      </w:r>
      <w:r>
        <w:rPr>
          <w:rFonts w:ascii="宋体" w:hAnsi="宋体" w:eastAsia="宋体" w:cs="宋体"/>
          <w:b/>
          <w:bCs/>
          <w:color w:val="000000"/>
          <w:spacing w:val="-20"/>
          <w:sz w:val="32"/>
          <w:szCs w:val="32"/>
          <w:highlight w:val="none"/>
        </w:rPr>
      </w:r>
      <w:r/>
    </w:p>
    <w:p>
      <w:pPr>
        <w:pStyle w:val="768"/>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768"/>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768"/>
        <w:rPr>
          <w:rFonts w:ascii="宋体" w:hAnsi="宋体" w:cs="宋体"/>
          <w:b/>
          <w:bCs/>
          <w:color w:val="000000"/>
          <w:spacing w:val="-20"/>
          <w:sz w:val="40"/>
          <w:szCs w:val="40"/>
          <w:highlight w:val="none"/>
        </w:rPr>
      </w:pPr>
      <w:r>
        <w:rPr>
          <w:rFonts w:ascii="宋体" w:hAnsi="宋体" w:cs="宋体"/>
          <w:b/>
          <w:bCs/>
          <w:color w:val="000000"/>
          <w:spacing w:val="-20"/>
          <w:sz w:val="40"/>
          <w:szCs w:val="40"/>
          <w:highlight w:val="none"/>
        </w:rPr>
      </w:r>
      <w:r/>
    </w:p>
    <w:p>
      <w:pPr>
        <w:pStyle w:val="768"/>
        <w:ind w:left="420"/>
        <w:spacing w:line="360" w:lineRule="auto"/>
        <w:rPr>
          <w:color w:val="000000"/>
          <w:sz w:val="28"/>
          <w:szCs w:val="28"/>
          <w:highlight w:val="none"/>
        </w:rPr>
      </w:pPr>
      <w:r>
        <w:rPr>
          <w:rFonts w:hint="eastAsia" w:ascii="宋体" w:hAnsi="宋体" w:cs="宋体"/>
          <w:color w:val="000000"/>
          <w:sz w:val="28"/>
          <w:szCs w:val="28"/>
          <w:highlight w:val="none"/>
        </w:rPr>
        <w:t xml:space="preserve">项目名称：</w:t>
      </w:r>
      <w:r>
        <w:rPr>
          <w:rFonts w:hint="eastAsia"/>
          <w:color w:val="000000"/>
          <w:sz w:val="28"/>
          <w:szCs w:val="28"/>
          <w:highlight w:val="none"/>
          <w:u w:val="single"/>
        </w:rPr>
        <w:t xml:space="preserve">                             </w:t>
      </w:r>
      <w:r>
        <w:rPr>
          <w:color w:val="000000"/>
          <w:sz w:val="28"/>
          <w:szCs w:val="28"/>
          <w:highlight w:val="none"/>
        </w:rPr>
      </w:r>
      <w:r/>
    </w:p>
    <w:p>
      <w:pPr>
        <w:pStyle w:val="768"/>
        <w:ind w:left="420"/>
        <w:spacing w:line="360" w:lineRule="auto"/>
        <w:rPr>
          <w:color w:val="000000"/>
          <w:sz w:val="28"/>
          <w:szCs w:val="28"/>
          <w:highlight w:val="none"/>
          <w:u w:val="single"/>
        </w:rPr>
      </w:pPr>
      <w:r>
        <w:rPr>
          <w:rFonts w:hint="eastAsia"/>
          <w:color w:val="000000"/>
          <w:sz w:val="28"/>
          <w:szCs w:val="28"/>
          <w:highlight w:val="none"/>
        </w:rPr>
        <w:t xml:space="preserve">合同编号：</w:t>
      </w:r>
      <w:r>
        <w:rPr>
          <w:rFonts w:hint="eastAsia"/>
          <w:color w:val="000000"/>
          <w:sz w:val="28"/>
          <w:szCs w:val="28"/>
          <w:highlight w:val="none"/>
          <w:u w:val="single"/>
        </w:rPr>
        <w:t xml:space="preserve">                             </w:t>
      </w:r>
      <w:r>
        <w:rPr>
          <w:color w:val="000000"/>
          <w:sz w:val="28"/>
          <w:szCs w:val="28"/>
          <w:highlight w:val="none"/>
          <w:u w:val="single"/>
        </w:rPr>
      </w:r>
      <w:r/>
    </w:p>
    <w:p>
      <w:pPr>
        <w:pStyle w:val="768"/>
        <w:ind w:left="420"/>
        <w:spacing w:line="360" w:lineRule="auto"/>
        <w:rPr>
          <w:color w:val="000000"/>
          <w:sz w:val="28"/>
          <w:szCs w:val="28"/>
          <w:highlight w:val="none"/>
        </w:rPr>
      </w:pPr>
      <w:r>
        <w:rPr>
          <w:rFonts w:hint="eastAsia"/>
          <w:color w:val="000000"/>
          <w:sz w:val="28"/>
          <w:szCs w:val="28"/>
          <w:highlight w:val="none"/>
        </w:rPr>
        <w:t xml:space="preserve">甲    方：</w:t>
      </w:r>
      <w:r>
        <w:rPr>
          <w:rFonts w:hint="eastAsia"/>
          <w:color w:val="000000"/>
          <w:sz w:val="28"/>
          <w:szCs w:val="28"/>
          <w:highlight w:val="none"/>
          <w:u w:val="single"/>
        </w:rPr>
        <w:t xml:space="preserve">                             </w:t>
      </w:r>
      <w:r>
        <w:rPr>
          <w:color w:val="000000"/>
          <w:sz w:val="28"/>
          <w:szCs w:val="28"/>
          <w:highlight w:val="none"/>
        </w:rPr>
      </w:r>
      <w:r/>
    </w:p>
    <w:p>
      <w:pPr>
        <w:pStyle w:val="768"/>
        <w:ind w:left="420"/>
        <w:spacing w:line="360" w:lineRule="auto"/>
        <w:rPr>
          <w:color w:val="000000"/>
          <w:sz w:val="28"/>
          <w:szCs w:val="28"/>
          <w:highlight w:val="none"/>
          <w:u w:val="single"/>
        </w:rPr>
      </w:pPr>
      <w:r>
        <w:rPr>
          <w:rFonts w:hint="eastAsia"/>
          <w:color w:val="000000"/>
          <w:sz w:val="28"/>
          <w:szCs w:val="28"/>
          <w:highlight w:val="none"/>
        </w:rPr>
        <w:t xml:space="preserve">乙    方：</w:t>
      </w:r>
      <w:r>
        <w:rPr>
          <w:rFonts w:hint="eastAsia"/>
          <w:color w:val="000000"/>
          <w:sz w:val="28"/>
          <w:szCs w:val="28"/>
          <w:highlight w:val="none"/>
          <w:u w:val="single"/>
        </w:rPr>
        <w:t xml:space="preserve">                             </w:t>
      </w:r>
      <w:r>
        <w:rPr>
          <w:color w:val="000000"/>
          <w:sz w:val="28"/>
          <w:szCs w:val="28"/>
          <w:highlight w:val="none"/>
          <w:u w:val="single"/>
        </w:rPr>
      </w:r>
      <w:r/>
    </w:p>
    <w:p>
      <w:pPr>
        <w:pStyle w:val="768"/>
        <w:ind w:left="420"/>
        <w:spacing w:line="360" w:lineRule="auto"/>
        <w:rPr>
          <w:color w:val="000000"/>
          <w:sz w:val="28"/>
          <w:szCs w:val="28"/>
          <w:highlight w:val="none"/>
        </w:rPr>
      </w:pPr>
      <w:r>
        <w:rPr>
          <w:rFonts w:hint="eastAsia"/>
          <w:color w:val="000000"/>
          <w:sz w:val="28"/>
          <w:szCs w:val="28"/>
          <w:highlight w:val="none"/>
        </w:rPr>
        <w:t xml:space="preserve">签订时间：</w:t>
      </w:r>
      <w:r>
        <w:rPr>
          <w:rFonts w:hint="eastAsia"/>
          <w:color w:val="000000"/>
          <w:sz w:val="28"/>
          <w:szCs w:val="28"/>
          <w:highlight w:val="none"/>
          <w:u w:val="single"/>
        </w:rPr>
        <w:t xml:space="preserve">      </w:t>
      </w:r>
      <w:r>
        <w:rPr>
          <w:color w:val="000000"/>
          <w:sz w:val="28"/>
          <w:szCs w:val="28"/>
          <w:highlight w:val="none"/>
          <w:u w:val="single"/>
        </w:rPr>
        <w:t xml:space="preserve">           </w:t>
      </w:r>
      <w:r>
        <w:rPr>
          <w:rFonts w:hint="eastAsia"/>
          <w:color w:val="000000"/>
          <w:sz w:val="28"/>
          <w:szCs w:val="28"/>
          <w:highlight w:val="none"/>
          <w:u w:val="single"/>
        </w:rPr>
        <w:t xml:space="preserve">            </w:t>
      </w:r>
      <w:r>
        <w:rPr>
          <w:color w:val="000000"/>
          <w:sz w:val="28"/>
          <w:szCs w:val="28"/>
          <w:highlight w:val="none"/>
        </w:rPr>
      </w:r>
      <w:r/>
    </w:p>
    <w:p>
      <w:pPr>
        <w:pStyle w:val="768"/>
        <w:rPr>
          <w:color w:val="000000"/>
          <w:highlight w:val="none"/>
        </w:rPr>
      </w:pPr>
      <w:r>
        <w:rPr>
          <w:color w:val="000000"/>
          <w:highlight w:val="none"/>
        </w:rPr>
      </w:r>
      <w:r/>
    </w:p>
    <w:p>
      <w:pPr>
        <w:pStyle w:val="768"/>
        <w:rPr>
          <w:rFonts w:eastAsia="黑体"/>
          <w:color w:val="000000"/>
          <w:sz w:val="44"/>
          <w:szCs w:val="44"/>
          <w:highlight w:val="none"/>
        </w:rPr>
      </w:pPr>
      <w:r>
        <w:rPr>
          <w:rFonts w:eastAsia="黑体"/>
          <w:color w:val="000000"/>
          <w:sz w:val="44"/>
          <w:szCs w:val="44"/>
          <w:highlight w:val="none"/>
        </w:rPr>
      </w:r>
      <w:r/>
    </w:p>
    <w:p>
      <w:pPr>
        <w:pStyle w:val="768"/>
        <w:rPr>
          <w:rFonts w:eastAsia="黑体"/>
          <w:color w:val="000000"/>
          <w:sz w:val="44"/>
          <w:szCs w:val="44"/>
          <w:highlight w:val="none"/>
        </w:rPr>
      </w:pPr>
      <w:r>
        <w:rPr>
          <w:rFonts w:eastAsia="黑体"/>
          <w:color w:val="000000"/>
          <w:sz w:val="44"/>
          <w:szCs w:val="44"/>
          <w:highlight w:val="none"/>
        </w:rPr>
      </w:r>
      <w:r/>
    </w:p>
    <w:p>
      <w:pPr>
        <w:pStyle w:val="768"/>
        <w:rPr>
          <w:rFonts w:eastAsia="黑体"/>
          <w:color w:val="000000"/>
          <w:sz w:val="44"/>
          <w:szCs w:val="44"/>
          <w:highlight w:val="none"/>
        </w:rPr>
      </w:pPr>
      <w:r>
        <w:rPr>
          <w:rFonts w:eastAsia="黑体"/>
          <w:color w:val="000000"/>
          <w:sz w:val="44"/>
          <w:szCs w:val="44"/>
          <w:highlight w:val="none"/>
        </w:rPr>
      </w:r>
      <w:r/>
    </w:p>
    <w:p>
      <w:pPr>
        <w:pStyle w:val="768"/>
        <w:rPr>
          <w:rFonts w:eastAsia="黑体"/>
          <w:color w:val="000000"/>
          <w:sz w:val="44"/>
          <w:szCs w:val="44"/>
          <w:highlight w:val="none"/>
        </w:rPr>
      </w:pPr>
      <w:r>
        <w:rPr>
          <w:rFonts w:eastAsia="黑体"/>
          <w:color w:val="000000"/>
          <w:sz w:val="44"/>
          <w:szCs w:val="44"/>
          <w:highlight w:val="none"/>
        </w:rPr>
      </w:r>
      <w:r/>
    </w:p>
    <w:p>
      <w:pPr>
        <w:pStyle w:val="768"/>
        <w:rPr>
          <w:rFonts w:eastAsia="黑体"/>
          <w:color w:val="000000"/>
          <w:sz w:val="44"/>
          <w:szCs w:val="44"/>
          <w:highlight w:val="none"/>
        </w:rPr>
      </w:pPr>
      <w:r>
        <w:rPr>
          <w:rFonts w:eastAsia="黑体"/>
          <w:color w:val="000000"/>
          <w:sz w:val="44"/>
          <w:szCs w:val="44"/>
          <w:highlight w:val="none"/>
        </w:rPr>
      </w:r>
      <w:r/>
    </w:p>
    <w:p>
      <w:pPr>
        <w:pStyle w:val="768"/>
        <w:jc w:val="center"/>
        <w:rPr>
          <w:rFonts w:ascii="宋体" w:hAnsi="宋体"/>
          <w:color w:val="000000"/>
          <w:sz w:val="32"/>
          <w:szCs w:val="32"/>
          <w:highlight w:val="none"/>
        </w:rPr>
      </w:pPr>
      <w:r>
        <w:rPr>
          <w:rFonts w:hint="eastAsia" w:ascii="宋体" w:hAnsi="宋体"/>
          <w:color w:val="000000"/>
          <w:sz w:val="32"/>
          <w:szCs w:val="32"/>
          <w:highlight w:val="none"/>
        </w:rPr>
        <w:t xml:space="preserve">使 用 说 明</w:t>
      </w:r>
      <w:r>
        <w:rPr>
          <w:rFonts w:ascii="宋体" w:hAnsi="宋体"/>
          <w:color w:val="000000"/>
          <w:sz w:val="32"/>
          <w:szCs w:val="32"/>
          <w:highlight w:val="none"/>
        </w:rPr>
      </w:r>
      <w:r/>
    </w:p>
    <w:p>
      <w:pPr>
        <w:pStyle w:val="768"/>
        <w:ind w:firstLine="640"/>
        <w:rPr>
          <w:rFonts w:ascii="仿宋_GB2312" w:hAnsi="仿宋_GB2312" w:eastAsia="仿宋_GB2312" w:cs="仿宋_GB2312"/>
          <w:color w:val="000000"/>
          <w:sz w:val="32"/>
          <w:szCs w:val="32"/>
          <w:highlight w:val="none"/>
        </w:rPr>
      </w:pPr>
      <w:r>
        <w:rPr>
          <w:rFonts w:ascii="仿宋_GB2312" w:hAnsi="仿宋_GB2312" w:eastAsia="仿宋_GB2312" w:cs="仿宋_GB2312"/>
          <w:color w:val="000000"/>
          <w:sz w:val="32"/>
          <w:szCs w:val="32"/>
          <w:highlight w:val="none"/>
        </w:rPr>
      </w:r>
      <w:r/>
    </w:p>
    <w:p>
      <w:pPr>
        <w:pStyle w:val="768"/>
        <w:ind w:firstLine="560"/>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1.本合同标准文本适用于购买现成货物的采购项目，不包括需要供应商定制开发、创新研发的货物采购项目。</w:t>
      </w:r>
      <w:r>
        <w:rPr>
          <w:rFonts w:ascii="宋体" w:hAnsi="宋体" w:cs="仿宋_GB2312"/>
          <w:color w:val="000000"/>
          <w:sz w:val="28"/>
          <w:szCs w:val="28"/>
          <w:highlight w:val="none"/>
        </w:rPr>
      </w:r>
      <w:r/>
    </w:p>
    <w:p>
      <w:pPr>
        <w:pStyle w:val="768"/>
        <w:rPr>
          <w:rFonts w:ascii="宋体" w:hAnsi="宋体"/>
          <w:color w:val="000000"/>
          <w:sz w:val="28"/>
          <w:szCs w:val="28"/>
          <w:highlight w:val="none"/>
        </w:rPr>
      </w:pPr>
      <w:r>
        <w:rPr>
          <w:rFonts w:hint="eastAsia" w:ascii="宋体" w:hAnsi="宋体"/>
          <w:color w:val="000000"/>
          <w:sz w:val="28"/>
          <w:szCs w:val="28"/>
          <w:highlight w:val="none"/>
        </w:rPr>
        <w:t xml:space="preserve">   </w:t>
      </w:r>
      <w:r>
        <w:rPr>
          <w:rFonts w:ascii="宋体" w:hAnsi="宋体"/>
          <w:color w:val="000000"/>
          <w:sz w:val="28"/>
          <w:szCs w:val="28"/>
          <w:highlight w:val="none"/>
        </w:rPr>
        <w:t xml:space="preserve"> </w:t>
      </w:r>
      <w:r>
        <w:rPr>
          <w:rFonts w:hint="eastAsia" w:ascii="宋体" w:hAnsi="宋体" w:cs="仿宋_GB2312"/>
          <w:color w:val="000000"/>
          <w:sz w:val="28"/>
          <w:szCs w:val="28"/>
          <w:highlight w:val="none"/>
        </w:rPr>
        <w:t xml:space="preserve">2.本合同标准文本为政府采购货物买卖合同编制提供参考，可以结合采购项目具体情况，对文本作必要的调整修订后使用。</w:t>
      </w:r>
      <w:r>
        <w:rPr>
          <w:rFonts w:ascii="宋体" w:hAnsi="宋体"/>
          <w:color w:val="000000"/>
          <w:sz w:val="28"/>
          <w:szCs w:val="28"/>
          <w:highlight w:val="none"/>
        </w:rPr>
      </w:r>
      <w:r/>
    </w:p>
    <w:p>
      <w:pPr>
        <w:pStyle w:val="768"/>
        <w:ind w:firstLine="560"/>
        <w:rPr>
          <w:rFonts w:ascii="宋体" w:hAnsi="宋体" w:cs="仿宋_GB2312"/>
          <w:color w:val="000000"/>
          <w:sz w:val="28"/>
          <w:szCs w:val="28"/>
          <w:highlight w:val="none"/>
        </w:rPr>
      </w:pPr>
      <w:r>
        <w:rPr>
          <w:rFonts w:hint="eastAsia" w:ascii="宋体" w:hAnsi="宋体" w:cs="仿宋_GB2312"/>
          <w:color w:val="000000"/>
          <w:sz w:val="28"/>
          <w:szCs w:val="28"/>
          <w:highlight w:val="none"/>
        </w:rPr>
        <w:t xml:space="preserve">3.本合同标准文本各条款中，如涉及填写多家供应商、制造商，多种采购标的、分包主要内容等信息的，可根据采购项目具体情况添加信息项。</w:t>
      </w:r>
      <w:r>
        <w:rPr>
          <w:rFonts w:ascii="宋体" w:hAnsi="宋体" w:cs="仿宋_GB2312"/>
          <w:color w:val="000000"/>
          <w:sz w:val="28"/>
          <w:szCs w:val="28"/>
          <w:highlight w:val="none"/>
        </w:rPr>
      </w:r>
      <w:r/>
    </w:p>
    <w:p>
      <w:pPr>
        <w:pStyle w:val="768"/>
        <w:ind w:firstLine="880"/>
        <w:rPr>
          <w:rFonts w:eastAsia="黑体"/>
          <w:color w:val="000000"/>
          <w:sz w:val="44"/>
          <w:szCs w:val="44"/>
          <w:highlight w:val="none"/>
        </w:rPr>
        <w:sectPr>
          <w:footerReference w:type="default" r:id="rId13"/>
          <w:footnotePr/>
          <w:endnotePr/>
          <w:type w:val="continuous"/>
          <w:pgSz w:w="11906" w:h="16838" w:orient="portrait"/>
          <w:pgMar w:top="1440" w:right="1797" w:bottom="1440" w:left="1797" w:header="851" w:footer="992" w:gutter="0"/>
          <w:cols w:num="1" w:sep="0" w:space="1701" w:equalWidth="1"/>
          <w:docGrid w:linePitch="360"/>
        </w:sectPr>
      </w:pPr>
      <w:r>
        <w:rPr>
          <w:rFonts w:eastAsia="黑体"/>
          <w:color w:val="000000"/>
          <w:sz w:val="44"/>
          <w:szCs w:val="44"/>
          <w:highlight w:val="none"/>
        </w:rPr>
        <w:br w:type="page" w:clear="all"/>
      </w:r>
      <w:r/>
    </w:p>
    <w:p>
      <w:pPr>
        <w:pStyle w:val="770"/>
        <w:spacing w:line="400" w:lineRule="exact"/>
        <w:rPr>
          <w:rFonts w:hint="eastAsia" w:ascii="黑体" w:hAnsi="黑体" w:eastAsia="黑体"/>
          <w:b w:val="0"/>
          <w:bCs w:val="0"/>
          <w:color w:val="000000"/>
          <w:sz w:val="28"/>
          <w:szCs w:val="28"/>
          <w:highlight w:val="none"/>
        </w:rPr>
      </w:pPr>
      <w:r>
        <w:rPr>
          <w:rFonts w:hint="eastAsia" w:ascii="黑体" w:hAnsi="黑体" w:eastAsia="黑体"/>
          <w:b w:val="0"/>
          <w:bCs w:val="0"/>
          <w:color w:val="000000"/>
          <w:sz w:val="28"/>
          <w:szCs w:val="28"/>
          <w:highlight w:val="none"/>
        </w:rPr>
      </w:r>
      <w:r/>
    </w:p>
    <w:p>
      <w:pPr>
        <w:pStyle w:val="770"/>
        <w:spacing w:line="400" w:lineRule="exact"/>
        <w:rPr>
          <w:rFonts w:ascii="黑体" w:hAnsi="华文中宋" w:eastAsia="黑体"/>
          <w:b w:val="0"/>
          <w:bCs w:val="0"/>
          <w:color w:val="000000"/>
          <w:sz w:val="28"/>
          <w:szCs w:val="28"/>
          <w:highlight w:val="none"/>
        </w:rPr>
      </w:pPr>
      <w:r>
        <w:rPr>
          <w:rFonts w:hint="eastAsia" w:ascii="黑体" w:hAnsi="黑体" w:eastAsia="黑体"/>
          <w:b w:val="0"/>
          <w:bCs w:val="0"/>
          <w:color w:val="000000"/>
          <w:sz w:val="28"/>
          <w:szCs w:val="28"/>
          <w:highlight w:val="none"/>
        </w:rPr>
        <w:t xml:space="preserve">第一节 </w:t>
      </w:r>
      <w:r>
        <w:rPr>
          <w:rFonts w:hint="eastAsia" w:ascii="黑体" w:hAnsi="华文中宋" w:eastAsia="黑体"/>
          <w:b w:val="0"/>
          <w:bCs w:val="0"/>
          <w:color w:val="000000"/>
          <w:sz w:val="28"/>
          <w:szCs w:val="28"/>
          <w:highlight w:val="none"/>
        </w:rPr>
        <w:t xml:space="preserve">政府采购合同协议书</w:t>
      </w:r>
      <w:r>
        <w:rPr>
          <w:rFonts w:ascii="黑体" w:hAnsi="华文中宋" w:eastAsia="黑体"/>
          <w:b w:val="0"/>
          <w:bCs w:val="0"/>
          <w:color w:val="000000"/>
          <w:sz w:val="28"/>
          <w:szCs w:val="28"/>
          <w:highlight w:val="none"/>
        </w:rPr>
      </w:r>
      <w:r/>
    </w:p>
    <w:p>
      <w:pPr>
        <w:pStyle w:val="768"/>
        <w:spacing w:line="400" w:lineRule="exact"/>
        <w:rPr>
          <w:rFonts w:ascii="宋体" w:hAnsi="宋体"/>
          <w:color w:val="000000"/>
          <w:szCs w:val="21"/>
          <w:highlight w:val="none"/>
        </w:rPr>
      </w:pPr>
      <w:r>
        <w:rPr>
          <w:rFonts w:hint="eastAsia" w:ascii="宋体" w:hAnsi="宋体"/>
          <w:color w:val="000000"/>
          <w:szCs w:val="21"/>
          <w:highlight w:val="none"/>
        </w:rPr>
        <w:t xml:space="preserve">甲方（全称）：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（采购人）</w:t>
      </w:r>
      <w:r>
        <w:rPr>
          <w:rFonts w:ascii="宋体" w:hAnsi="宋体"/>
          <w:color w:val="000000"/>
          <w:szCs w:val="21"/>
          <w:highlight w:val="none"/>
        </w:rPr>
      </w:r>
      <w:r/>
    </w:p>
    <w:p>
      <w:pPr>
        <w:pStyle w:val="768"/>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乙方（全称）：</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（供应商）</w:t>
      </w:r>
      <w:r>
        <w:rPr>
          <w:rFonts w:hint="eastAsia" w:ascii="宋体" w:hAnsi="宋体"/>
          <w:color w:val="000000"/>
          <w:szCs w:val="21"/>
          <w:highlight w:val="none"/>
        </w:rPr>
      </w:r>
      <w:r/>
    </w:p>
    <w:p>
      <w:pPr>
        <w:pStyle w:val="768"/>
        <w:ind w:firstLine="420"/>
        <w:keepLines w:val="0"/>
        <w:keepNext w:val="0"/>
        <w:pageBreakBefore w:val="0"/>
        <w:spacing w:line="400" w:lineRule="exact"/>
        <w:widowControl w:val="off"/>
        <w:rPr>
          <w:rFonts w:ascii="宋体" w:hAnsi="宋体"/>
          <w:color w:val="000000"/>
          <w:szCs w:val="21"/>
          <w:highlight w:val="none"/>
        </w:rPr>
      </w:pPr>
      <w:r>
        <w:rPr>
          <w:rFonts w:hint="eastAsia" w:ascii="宋体" w:hAnsi="宋体"/>
          <w:color w:val="000000"/>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color w:val="000000"/>
          <w:szCs w:val="21"/>
          <w:highlight w:val="none"/>
        </w:rPr>
      </w:r>
      <w:r/>
    </w:p>
    <w:p>
      <w:pPr>
        <w:pStyle w:val="768"/>
        <w:numPr>
          <w:ilvl w:val="0"/>
          <w:numId w:val="1"/>
        </w:numPr>
        <w:ind w:firstLine="422"/>
        <w:spacing w:line="400" w:lineRule="exact"/>
        <w:rPr>
          <w:rFonts w:ascii="宋体" w:hAnsi="宋体"/>
          <w:b/>
          <w:color w:val="000000"/>
          <w:szCs w:val="21"/>
          <w:highlight w:val="none"/>
        </w:rPr>
      </w:pPr>
      <w:r>
        <w:rPr>
          <w:rFonts w:hint="eastAsia" w:ascii="宋体" w:hAnsi="宋体"/>
          <w:b/>
          <w:color w:val="000000"/>
          <w:szCs w:val="21"/>
          <w:highlight w:val="none"/>
        </w:rPr>
        <w:t xml:space="preserve">项目信息</w:t>
      </w:r>
      <w:r>
        <w:rPr>
          <w:rFonts w:ascii="宋体" w:hAnsi="宋体"/>
          <w:b/>
          <w:color w:val="000000"/>
          <w:szCs w:val="21"/>
          <w:highlight w:val="none"/>
        </w:rPr>
      </w:r>
      <w:r/>
    </w:p>
    <w:p>
      <w:pPr>
        <w:pStyle w:val="768"/>
        <w:ind w:firstLine="420"/>
        <w:spacing w:line="400" w:lineRule="exact"/>
        <w:rPr>
          <w:rFonts w:ascii="宋体" w:hAnsi="宋体"/>
          <w:color w:val="000000"/>
          <w:szCs w:val="21"/>
          <w:highlight w:val="none"/>
          <w:u w:val="single"/>
        </w:rPr>
      </w:pPr>
      <w:r>
        <w:rPr>
          <w:rFonts w:hint="eastAsia" w:ascii="宋体" w:hAnsi="宋体" w:eastAsia="宋体" w:cs="Times New Roman"/>
          <w:color w:val="000000"/>
          <w:sz w:val="21"/>
          <w:szCs w:val="21"/>
          <w:highlight w:val="none"/>
          <w:lang w:val="en-US" w:eastAsia="zh-CN" w:bidi="ar-SA"/>
        </w:rPr>
        <w:t xml:space="preserve">（1）采购项目名称：</w:t>
      </w:r>
      <w:r>
        <w:rPr>
          <w:rFonts w:ascii="宋体" w:hAnsi="宋体"/>
          <w:color w:val="000000"/>
          <w:szCs w:val="21"/>
          <w:highlight w:val="none"/>
          <w:u w:val="single"/>
        </w:rPr>
        <w:t xml:space="preserve">                                          </w:t>
      </w:r>
      <w:r>
        <w:rPr>
          <w:rFonts w:ascii="宋体" w:hAnsi="宋体"/>
          <w:color w:val="000000"/>
          <w:szCs w:val="21"/>
          <w:highlight w:val="none"/>
          <w:u w:val="single"/>
        </w:rPr>
      </w:r>
      <w:r/>
    </w:p>
    <w:p>
      <w:pPr>
        <w:pStyle w:val="806"/>
        <w:ind w:left="0"/>
        <w:spacing w:after="0" w:line="400" w:lineRule="exact"/>
        <w:tabs>
          <w:tab w:val="left" w:pos="999" w:leader="none"/>
        </w:tabs>
        <w:rPr>
          <w:rFonts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eastAsia="宋体" w:cs="Times New Roman"/>
          <w:color w:val="000000"/>
          <w:sz w:val="21"/>
          <w:szCs w:val="21"/>
          <w:highlight w:val="none"/>
          <w:lang w:val="en-US" w:eastAsia="zh-CN" w:bidi="ar-SA"/>
        </w:rPr>
        <w:t xml:space="preserve">采购项目编号：</w:t>
      </w:r>
      <w:r>
        <w:rPr>
          <w:rFonts w:ascii="宋体" w:hAnsi="宋体"/>
          <w:color w:val="000000"/>
          <w:szCs w:val="21"/>
          <w:highlight w:val="none"/>
          <w:u w:val="single"/>
        </w:rPr>
        <w:t xml:space="preserve">                                          </w:t>
      </w:r>
      <w:r>
        <w:rPr>
          <w:rFonts w:ascii="宋体" w:hAnsi="宋体"/>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eastAsia="宋体" w:cs="Times New Roman"/>
          <w:color w:val="000000"/>
          <w:sz w:val="21"/>
          <w:szCs w:val="21"/>
          <w:highlight w:val="none"/>
          <w:lang w:val="en-US" w:eastAsia="zh-CN" w:bidi="ar-SA"/>
        </w:rPr>
        <w:t xml:space="preserve">采购计划编号：</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 </w:t>
      </w:r>
      <w:r>
        <w:rPr>
          <w:rFonts w:ascii="宋体" w:hAnsi="宋体"/>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（3）项目内容：</w:t>
      </w:r>
      <w:r>
        <w:rPr>
          <w:rFonts w:ascii="宋体" w:hAnsi="宋体"/>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     采购标的及数量（台/套</w:t>
      </w:r>
      <w:r>
        <w:rPr>
          <w:rFonts w:ascii="宋体" w:hAnsi="宋体"/>
          <w:color w:val="000000"/>
          <w:szCs w:val="21"/>
          <w:highlight w:val="none"/>
          <w:lang w:val="en"/>
        </w:rPr>
        <w:t xml:space="preserve">/</w:t>
      </w:r>
      <w:r>
        <w:rPr>
          <w:rFonts w:hint="eastAsia" w:ascii="宋体" w:hAnsi="宋体"/>
          <w:color w:val="000000"/>
          <w:szCs w:val="21"/>
          <w:highlight w:val="none"/>
          <w:lang w:val="en"/>
        </w:rPr>
        <w:t xml:space="preserve">个</w:t>
      </w:r>
      <w:r>
        <w:rPr>
          <w:rFonts w:ascii="宋体" w:hAnsi="宋体"/>
          <w:color w:val="000000"/>
          <w:szCs w:val="21"/>
          <w:highlight w:val="none"/>
          <w:lang w:val="en"/>
        </w:rPr>
        <w:t xml:space="preserve">/</w:t>
      </w:r>
      <w:r>
        <w:rPr>
          <w:rFonts w:hint="eastAsia" w:ascii="宋体" w:hAnsi="宋体"/>
          <w:color w:val="000000"/>
          <w:szCs w:val="21"/>
          <w:highlight w:val="none"/>
          <w:lang w:val="en"/>
        </w:rPr>
        <w:t xml:space="preserve">架</w:t>
      </w:r>
      <w:r>
        <w:rPr>
          <w:rFonts w:ascii="宋体" w:hAnsi="宋体"/>
          <w:color w:val="000000"/>
          <w:szCs w:val="21"/>
          <w:highlight w:val="none"/>
          <w:lang w:val="en"/>
        </w:rPr>
        <w:t xml:space="preserve">/</w:t>
      </w:r>
      <w:r>
        <w:rPr>
          <w:rFonts w:hint="eastAsia" w:ascii="宋体" w:hAnsi="宋体"/>
          <w:color w:val="000000"/>
          <w:szCs w:val="21"/>
          <w:highlight w:val="none"/>
          <w:lang w:val="en"/>
        </w:rPr>
        <w:t xml:space="preserve">组等</w:t>
      </w:r>
      <w:r>
        <w:rPr>
          <w:rFonts w:hint="eastAsia" w:ascii="宋体" w:hAnsi="宋体"/>
          <w:color w:val="000000"/>
          <w:szCs w:val="21"/>
          <w:highlight w:val="none"/>
        </w:rPr>
        <w:t xml:space="preserve">）：</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 </w:t>
      </w:r>
      <w:r>
        <w:rPr>
          <w:rFonts w:ascii="宋体" w:hAnsi="宋体"/>
          <w:color w:val="000000"/>
          <w:szCs w:val="21"/>
          <w:highlight w:val="none"/>
        </w:rPr>
      </w:r>
      <w:r/>
    </w:p>
    <w:p>
      <w:pPr>
        <w:pStyle w:val="768"/>
        <w:ind w:firstLine="420"/>
        <w:spacing w:line="400" w:lineRule="exact"/>
        <w:rPr>
          <w:rFonts w:ascii="宋体" w:hAnsi="宋体" w:cs="宋体"/>
          <w:color w:val="000000"/>
          <w:szCs w:val="21"/>
          <w:highlight w:val="none"/>
          <w:lang w:val="en"/>
        </w:rPr>
      </w:pPr>
      <w:r>
        <w:rPr>
          <w:rFonts w:hint="eastAsia" w:ascii="宋体" w:hAnsi="宋体"/>
          <w:color w:val="000000"/>
          <w:szCs w:val="21"/>
          <w:highlight w:val="none"/>
        </w:rPr>
        <w:t xml:space="preserve">     </w:t>
      </w:r>
      <w:r>
        <w:rPr>
          <w:rFonts w:hint="eastAsia" w:ascii="宋体" w:hAnsi="宋体" w:cs="宋体"/>
          <w:color w:val="000000"/>
          <w:szCs w:val="21"/>
          <w:highlight w:val="none"/>
        </w:rPr>
        <w:t xml:space="preserve">品牌：</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lang w:val="en"/>
        </w:rPr>
        <w:t xml:space="preserve">     </w:t>
      </w:r>
      <w:r>
        <w:rPr>
          <w:rFonts w:hint="eastAsia" w:ascii="宋体" w:hAnsi="宋体" w:cs="宋体"/>
          <w:color w:val="000000"/>
          <w:szCs w:val="21"/>
          <w:highlight w:val="none"/>
        </w:rPr>
        <w:t xml:space="preserve">规格型号：</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ascii="宋体" w:hAnsi="宋体" w:cs="宋体"/>
          <w:color w:val="000000"/>
          <w:szCs w:val="21"/>
          <w:highlight w:val="none"/>
          <w:lang w:val="en"/>
        </w:rPr>
      </w:r>
      <w:r/>
    </w:p>
    <w:p>
      <w:pPr>
        <w:pStyle w:val="768"/>
        <w:ind w:firstLine="945"/>
        <w:spacing w:line="400" w:lineRule="exact"/>
        <w:rPr>
          <w:rFonts w:ascii="宋体" w:hAnsi="宋体"/>
          <w:color w:val="000000"/>
          <w:szCs w:val="21"/>
          <w:highlight w:val="none"/>
          <w:u w:val="single"/>
        </w:rPr>
      </w:pPr>
      <w:r>
        <w:rPr>
          <w:rFonts w:hint="eastAsia" w:ascii="宋体" w:hAnsi="宋体"/>
          <w:color w:val="000000"/>
          <w:szCs w:val="21"/>
          <w:highlight w:val="none"/>
        </w:rPr>
        <w:t xml:space="preserve">采购标的的技术要求、商务要求具体见附件。</w:t>
      </w:r>
      <w:r>
        <w:rPr>
          <w:rFonts w:ascii="宋体" w:hAnsi="宋体"/>
          <w:color w:val="000000"/>
          <w:szCs w:val="21"/>
          <w:highlight w:val="none"/>
          <w:u w:val="single"/>
        </w:rPr>
      </w:r>
      <w:r/>
    </w:p>
    <w:p>
      <w:pPr>
        <w:pStyle w:val="768"/>
        <w:ind w:firstLine="945"/>
        <w:spacing w:line="400" w:lineRule="exact"/>
        <w:rPr>
          <w:rFonts w:ascii="宋体" w:hAnsi="宋体" w:cs="宋体"/>
          <w:color w:val="000000"/>
          <w:szCs w:val="21"/>
          <w:highlight w:val="none"/>
        </w:rPr>
      </w:pPr>
      <w:r>
        <w:rPr>
          <w:rFonts w:hint="eastAsia" w:ascii="汉仪书宋二S" w:hAnsi="汉仪书宋二S" w:eastAsia="汉仪书宋二S" w:cs="汉仪书宋二S"/>
          <w:color w:val="000000"/>
          <w:szCs w:val="21"/>
          <w:highlight w:val="none"/>
        </w:rPr>
        <w:t xml:space="preserve">①</w:t>
      </w:r>
      <w:r>
        <w:rPr>
          <w:rFonts w:hint="eastAsia" w:ascii="宋体" w:hAnsi="宋体" w:cs="宋体"/>
          <w:color w:val="000000"/>
          <w:szCs w:val="21"/>
          <w:highlight w:val="none"/>
        </w:rPr>
        <w:t xml:space="preserve">涉及信息类产品，请填写该产品关键部件的品牌、型号：</w:t>
      </w:r>
      <w:r>
        <w:rPr>
          <w:rFonts w:ascii="宋体" w:hAnsi="宋体" w:cs="宋体"/>
          <w:color w:val="000000"/>
          <w:szCs w:val="21"/>
          <w:highlight w:val="none"/>
        </w:rPr>
      </w:r>
      <w:r/>
    </w:p>
    <w:p>
      <w:pPr>
        <w:pStyle w:val="768"/>
        <w:ind w:firstLine="42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标的名称：</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lang w:val="en"/>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76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     关键部件：</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型号：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122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rPr>
          <w:rFonts w:ascii="宋体" w:hAnsi="宋体" w:eastAsia="宋体" w:cs="宋体"/>
          <w:color w:val="000000"/>
          <w:sz w:val="21"/>
          <w:highlight w:val="none"/>
        </w:rPr>
      </w:r>
      <w:r/>
    </w:p>
    <w:p>
      <w:pPr>
        <w:pStyle w:val="122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关键部件：</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品牌：</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型号：</w:t>
      </w:r>
      <w:r>
        <w:rPr>
          <w:rFonts w:hint="eastAsia" w:ascii="宋体" w:hAnsi="宋体" w:eastAsia="宋体" w:cs="宋体"/>
          <w:color w:val="000000"/>
          <w:sz w:val="21"/>
          <w:highlight w:val="none"/>
          <w:u w:val="single"/>
        </w:rPr>
        <w:t xml:space="preserve">       </w:t>
      </w:r>
      <w:r>
        <w:rPr>
          <w:rFonts w:ascii="宋体" w:hAnsi="宋体" w:eastAsia="宋体" w:cs="宋体"/>
          <w:color w:val="000000"/>
          <w:sz w:val="21"/>
          <w:highlight w:val="none"/>
        </w:rPr>
      </w:r>
      <w:r/>
    </w:p>
    <w:p>
      <w:pPr>
        <w:pStyle w:val="1228"/>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color w:val="000000"/>
          <w:sz w:val="21"/>
          <w:highlight w:val="none"/>
        </w:rPr>
      </w:r>
      <w:r/>
    </w:p>
    <w:p>
      <w:pPr>
        <w:pStyle w:val="1228"/>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hint="eastAsia" w:ascii="汉仪书宋二S" w:hAnsi="汉仪书宋二S" w:eastAsia="汉仪书宋二S" w:cs="汉仪书宋二S"/>
          <w:color w:val="000000"/>
          <w:sz w:val="21"/>
          <w:highlight w:val="none"/>
        </w:rPr>
        <w:t xml:space="preserve">②</w:t>
      </w:r>
      <w:r>
        <w:rPr>
          <w:rFonts w:hint="eastAsia" w:ascii="宋体" w:hAnsi="宋体" w:eastAsia="宋体" w:cs="宋体"/>
          <w:color w:val="000000"/>
          <w:sz w:val="21"/>
          <w:highlight w:val="none"/>
        </w:rPr>
        <w:t xml:space="preserve">涉及车辆采购，请填写是否属于新能源汽车：</w:t>
      </w:r>
      <w:r>
        <w:rPr>
          <w:rFonts w:ascii="宋体" w:hAnsi="宋体" w:eastAsia="宋体" w:cs="宋体"/>
          <w:color w:val="000000"/>
          <w:sz w:val="21"/>
          <w:highlight w:val="none"/>
        </w:rPr>
      </w:r>
      <w:r/>
    </w:p>
    <w:p>
      <w:pPr>
        <w:pStyle w:val="1228"/>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是，《政府采购品目分类目录》底级品目名称：</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数量：</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金额：</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w:t>
      </w:r>
      <w:r>
        <w:rPr>
          <w:rFonts w:ascii="宋体" w:hAnsi="宋体" w:eastAsia="宋体" w:cs="宋体"/>
          <w:color w:val="000000"/>
          <w:sz w:val="21"/>
          <w:highlight w:val="none"/>
        </w:rPr>
      </w:r>
      <w:r/>
    </w:p>
    <w:p>
      <w:pPr>
        <w:pStyle w:val="1228"/>
        <w:ind w:firstLine="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否</w:t>
      </w:r>
      <w:r>
        <w:rPr>
          <w:rFonts w:ascii="宋体" w:hAnsi="宋体" w:eastAsia="宋体" w:cs="宋体"/>
          <w:color w:val="000000"/>
          <w:sz w:val="21"/>
          <w:highlight w:val="none"/>
        </w:rPr>
      </w:r>
      <w:r/>
    </w:p>
    <w:p>
      <w:pPr>
        <w:pStyle w:val="1228"/>
        <w:ind w:firstLine="0"/>
        <w:rPr>
          <w:rFonts w:ascii="宋体" w:hAnsi="宋体" w:eastAsia="宋体" w:cs="宋体"/>
          <w:color w:val="000000"/>
          <w:sz w:val="21"/>
          <w:highlight w:val="none"/>
        </w:rPr>
      </w:pPr>
      <w:r>
        <w:rPr>
          <w:rFonts w:hint="eastAsia"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szCs w:val="21"/>
          <w:highlight w:val="none"/>
          <w:lang w:val="en" w:eastAsia="zh-CN" w:bidi="ar-SA"/>
        </w:rPr>
        <w:t xml:space="preserve">4</w:t>
      </w:r>
      <w:r>
        <w:rPr>
          <w:rFonts w:hint="eastAsia" w:ascii="宋体" w:hAnsi="宋体" w:eastAsia="宋体" w:cs="Times New Roman"/>
          <w:color w:val="000000"/>
          <w:sz w:val="21"/>
          <w:szCs w:val="21"/>
          <w:highlight w:val="none"/>
          <w:lang w:val="en-US" w:eastAsia="zh-CN" w:bidi="ar-SA"/>
        </w:rPr>
        <w:t xml:space="preserve">）政</w:t>
      </w:r>
      <w:r>
        <w:rPr>
          <w:rFonts w:hint="eastAsia" w:ascii="宋体" w:hAnsi="宋体" w:eastAsia="宋体" w:cs="宋体"/>
          <w:color w:val="000000"/>
          <w:sz w:val="21"/>
          <w:highlight w:val="none"/>
        </w:rPr>
        <w:t xml:space="preserve">府采购组织形式：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政府集中采购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部门集中采购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分散采购</w:t>
      </w:r>
      <w:r>
        <w:rPr>
          <w:rFonts w:ascii="宋体" w:hAnsi="宋体" w:eastAsia="宋体" w:cs="宋体"/>
          <w:color w:val="000000"/>
          <w:sz w:val="21"/>
          <w:highlight w:val="none"/>
        </w:rPr>
      </w:r>
      <w:r/>
    </w:p>
    <w:p>
      <w:pPr>
        <w:pStyle w:val="122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w:t>
      </w:r>
      <w:r>
        <w:rPr>
          <w:rFonts w:ascii="宋体" w:hAnsi="宋体" w:eastAsia="宋体" w:cs="宋体"/>
          <w:color w:val="000000"/>
          <w:sz w:val="21"/>
          <w:highlight w:val="none"/>
          <w:lang w:val="en"/>
        </w:rPr>
        <w:t xml:space="preserve">5</w:t>
      </w:r>
      <w:r>
        <w:rPr>
          <w:rFonts w:hint="eastAsia" w:ascii="宋体" w:hAnsi="宋体" w:eastAsia="宋体" w:cs="宋体"/>
          <w:color w:val="000000"/>
          <w:sz w:val="21"/>
          <w:highlight w:val="none"/>
        </w:rPr>
        <w:t xml:space="preserve">）政府采购方式：</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公开招标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邀请招标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竞争性谈判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竞争性磋商</w:t>
      </w:r>
      <w:r>
        <w:rPr>
          <w:rFonts w:ascii="宋体" w:hAnsi="宋体" w:eastAsia="宋体" w:cs="宋体"/>
          <w:color w:val="000000"/>
          <w:sz w:val="21"/>
          <w:highlight w:val="none"/>
        </w:rPr>
      </w:r>
      <w:r/>
    </w:p>
    <w:p>
      <w:pPr>
        <w:pStyle w:val="1228"/>
        <w:ind w:firstLine="420"/>
        <w:rPr>
          <w:rFonts w:ascii="宋体" w:hAnsi="宋体" w:eastAsia="宋体" w:cs="宋体"/>
          <w:color w:val="000000"/>
          <w:sz w:val="21"/>
          <w:highlight w:val="none"/>
          <w:u w:val="single"/>
        </w:rPr>
      </w:pPr>
      <w:r>
        <w:rPr>
          <w:rFonts w:hint="eastAsia" w:ascii="宋体" w:hAnsi="宋体" w:cs="宋体"/>
          <w:color w:val="000000"/>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询价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单一来源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框架协议 </w:t>
      </w:r>
      <w:r>
        <w:rPr>
          <w:rFonts w:ascii="Wingdings" w:hAnsi="Wingdings" w:eastAsia="Wingdings" w:cs="Wingdings"/>
          <w:color w:val="000000"/>
          <w:sz w:val="21"/>
          <w:highlight w:val="none"/>
        </w:rPr>
        <w:t xml:space="preserve">¨</w:t>
      </w:r>
      <w:r>
        <w:rPr>
          <w:rFonts w:hint="eastAsia" w:ascii="宋体" w:hAnsi="宋体" w:eastAsia="宋体" w:cs="宋体"/>
          <w:color w:val="000000"/>
          <w:sz w:val="21"/>
          <w:highlight w:val="none"/>
        </w:rPr>
        <w:t xml:space="preserve">其他：</w:t>
      </w:r>
      <w:r>
        <w:rPr>
          <w:rFonts w:hint="eastAsia" w:ascii="宋体" w:hAnsi="宋体" w:eastAsia="宋体" w:cs="宋体"/>
          <w:color w:val="000000"/>
          <w:sz w:val="21"/>
          <w:highlight w:val="none"/>
          <w:u w:val="single"/>
        </w:rPr>
        <w:t xml:space="preserve">          </w:t>
      </w:r>
      <w:r>
        <w:rPr>
          <w:rFonts w:ascii="宋体" w:hAnsi="宋体" w:eastAsia="宋体" w:cs="宋体"/>
          <w:color w:val="000000"/>
          <w:sz w:val="21"/>
          <w:highlight w:val="none"/>
          <w:u w:val="single"/>
        </w:rPr>
      </w:r>
      <w:r/>
    </w:p>
    <w:p>
      <w:pPr>
        <w:pStyle w:val="122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（注：在框架协议采购的第二阶段，可选择使用该合同文本）</w:t>
      </w:r>
      <w:r>
        <w:rPr>
          <w:rFonts w:ascii="宋体" w:hAnsi="宋体" w:eastAsia="宋体" w:cs="宋体"/>
          <w:color w:val="000000"/>
          <w:sz w:val="21"/>
          <w:highlight w:val="none"/>
        </w:rPr>
      </w:r>
      <w:r/>
    </w:p>
    <w:p>
      <w:pPr>
        <w:pStyle w:val="1228"/>
        <w:ind w:firstLine="220"/>
        <w:rPr>
          <w:rFonts w:ascii="宋体" w:hAnsi="宋体" w:eastAsia="宋体" w:cs="Times New Roman"/>
          <w:color w:val="000000"/>
          <w:sz w:val="21"/>
          <w:highlight w:val="none"/>
        </w:rPr>
      </w:pPr>
      <w:r>
        <w:rPr>
          <w:rFonts w:hint="eastAsia" w:ascii="宋体" w:hAnsi="宋体" w:eastAsia="宋体" w:cs="Times New Roman"/>
          <w:color w:val="000000"/>
          <w:sz w:val="21"/>
          <w:szCs w:val="21"/>
          <w:highlight w:val="none"/>
          <w:lang w:val="en-US" w:eastAsia="zh-CN" w:bidi="ar-SA"/>
        </w:rPr>
        <w:t xml:space="preserve"> （</w:t>
      </w:r>
      <w:r>
        <w:rPr>
          <w:rFonts w:hint="eastAsia" w:ascii="宋体" w:hAnsi="宋体" w:eastAsia="宋体" w:cs="Times New Roman"/>
          <w:color w:val="000000"/>
          <w:sz w:val="21"/>
          <w:szCs w:val="21"/>
          <w:highlight w:val="none"/>
          <w:lang w:val="en" w:eastAsia="zh-CN" w:bidi="ar-SA"/>
        </w:rPr>
        <w:t xml:space="preserve">6</w:t>
      </w:r>
      <w:r>
        <w:rPr>
          <w:rFonts w:hint="eastAsia" w:ascii="宋体" w:hAnsi="宋体" w:eastAsia="宋体" w:cs="Times New Roman"/>
          <w:color w:val="000000"/>
          <w:sz w:val="21"/>
          <w:szCs w:val="21"/>
          <w:highlight w:val="none"/>
          <w:lang w:val="en-US" w:eastAsia="zh-CN" w:bidi="ar-SA"/>
        </w:rPr>
        <w:t xml:space="preserve">）</w:t>
      </w:r>
      <w:r>
        <w:rPr>
          <w:rFonts w:hint="eastAsia" w:ascii="宋体" w:hAnsi="宋体" w:eastAsia="宋体" w:cs="Times New Roman"/>
          <w:color w:val="000000"/>
          <w:sz w:val="21"/>
          <w:highlight w:val="none"/>
        </w:rPr>
        <w:t xml:space="preserve">中标（成交）采购标的制造商是否为中小企业：</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rPr>
          <w:rFonts w:ascii="宋体" w:hAnsi="宋体" w:eastAsia="宋体" w:cs="Times New Roman"/>
          <w:color w:val="000000"/>
          <w:sz w:val="21"/>
          <w:highlight w:val="none"/>
        </w:rPr>
      </w:r>
      <w:r/>
    </w:p>
    <w:p>
      <w:pPr>
        <w:pStyle w:val="768"/>
        <w:spacing w:line="400" w:lineRule="exact"/>
        <w:rPr>
          <w:rFonts w:ascii="宋体" w:hAnsi="宋体"/>
          <w:iCs/>
          <w:color w:val="000000"/>
          <w:szCs w:val="21"/>
          <w:highlight w:val="none"/>
        </w:rPr>
      </w:pPr>
      <w:r>
        <w:rPr>
          <w:rFonts w:hint="eastAsia" w:ascii="宋体" w:hAnsi="宋体"/>
          <w:color w:val="000000"/>
          <w:szCs w:val="21"/>
          <w:highlight w:val="none"/>
        </w:rPr>
        <w:t xml:space="preserve">        本合同是否为专门面向中小企业的采购合同（中小企业预留合同）：</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ascii="宋体" w:hAnsi="宋体"/>
          <w:iCs/>
          <w:color w:val="000000"/>
          <w:szCs w:val="21"/>
          <w:highlight w:val="none"/>
        </w:rPr>
      </w:r>
      <w:r/>
    </w:p>
    <w:p>
      <w:pPr>
        <w:pStyle w:val="768"/>
        <w:spacing w:line="400" w:lineRule="exact"/>
        <w:rPr>
          <w:rFonts w:ascii="宋体" w:hAnsi="宋体"/>
          <w:iCs/>
          <w:color w:val="000000"/>
          <w:szCs w:val="21"/>
          <w:highlight w:val="none"/>
        </w:rPr>
      </w:pPr>
      <w:r>
        <w:rPr>
          <w:rFonts w:hint="eastAsia"/>
          <w:color w:val="000000"/>
          <w:highlight w:val="none"/>
        </w:rPr>
        <w:t xml:space="preserve">        若本项目不专门面向中小企业采购，是否给予小微企业评审优惠：</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ascii="宋体" w:hAnsi="宋体"/>
          <w:iCs/>
          <w:color w:val="000000"/>
          <w:szCs w:val="21"/>
          <w:highlight w:val="none"/>
        </w:rPr>
      </w:r>
      <w:r/>
    </w:p>
    <w:p>
      <w:pPr>
        <w:pStyle w:val="768"/>
        <w:spacing w:line="400" w:lineRule="exact"/>
        <w:rPr>
          <w:rFonts w:ascii="宋体" w:hAnsi="宋体"/>
          <w:iCs/>
          <w:color w:val="000000"/>
          <w:szCs w:val="21"/>
          <w:highlight w:val="none"/>
        </w:rPr>
      </w:pPr>
      <w:r>
        <w:rPr>
          <w:rFonts w:hint="eastAsia"/>
          <w:color w:val="000000"/>
          <w:highlight w:val="none"/>
        </w:rPr>
        <w:t xml:space="preserve">        中标（成交）采购标的制造商是否为残疾人福利性单位：</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ascii="宋体" w:hAnsi="宋体"/>
          <w:iCs/>
          <w:color w:val="000000"/>
          <w:szCs w:val="21"/>
          <w:highlight w:val="none"/>
        </w:rPr>
      </w:r>
      <w:r/>
    </w:p>
    <w:p>
      <w:pPr>
        <w:pStyle w:val="768"/>
        <w:spacing w:line="400" w:lineRule="exact"/>
        <w:rPr>
          <w:color w:val="000000"/>
          <w:highlight w:val="none"/>
        </w:rPr>
      </w:pPr>
      <w:r>
        <w:rPr>
          <w:rFonts w:hint="eastAsia"/>
          <w:color w:val="000000"/>
          <w:highlight w:val="none"/>
        </w:rPr>
        <w:t xml:space="preserve">        中标（成交）采购标的制造商是否为监狱企业：</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color w:val="000000"/>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lang w:val="en"/>
        </w:rPr>
        <w:t xml:space="preserve">7</w:t>
      </w:r>
      <w:r>
        <w:rPr>
          <w:rFonts w:hint="eastAsia" w:ascii="宋体" w:hAnsi="宋体"/>
          <w:color w:val="000000"/>
          <w:szCs w:val="21"/>
          <w:highlight w:val="none"/>
        </w:rPr>
        <w:t xml:space="preserve">）合同是否分包：</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否</w:t>
      </w:r>
      <w:r>
        <w:rPr>
          <w:rFonts w:ascii="宋体" w:hAnsi="宋体"/>
          <w:color w:val="000000"/>
          <w:szCs w:val="21"/>
          <w:highlight w:val="none"/>
        </w:rPr>
      </w:r>
      <w:r/>
    </w:p>
    <w:p>
      <w:pPr>
        <w:pStyle w:val="768"/>
        <w:ind w:firstLine="84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分包主要内容：</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768"/>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分包供应商/制造商名称（如供应商和制造商不同，请分别填写）：</w:t>
      </w:r>
      <w:r>
        <w:rPr>
          <w:rFonts w:ascii="宋体" w:hAnsi="宋体"/>
          <w:color w:val="000000"/>
          <w:szCs w:val="21"/>
          <w:highlight w:val="none"/>
        </w:rPr>
      </w:r>
      <w:r/>
    </w:p>
    <w:p>
      <w:pPr>
        <w:pStyle w:val="768"/>
        <w:ind w:firstLine="840"/>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768"/>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分包供应商/制造商类型（如果供应商和制造商不同，只填写制造商类型）：</w:t>
      </w:r>
      <w:r>
        <w:rPr>
          <w:rFonts w:ascii="宋体" w:hAnsi="宋体"/>
          <w:color w:val="000000"/>
          <w:szCs w:val="21"/>
          <w:highlight w:val="none"/>
        </w:rPr>
      </w:r>
      <w:r/>
    </w:p>
    <w:p>
      <w:pPr>
        <w:pStyle w:val="768"/>
        <w:ind w:firstLine="840"/>
        <w:spacing w:line="400" w:lineRule="exact"/>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大型企业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中型企业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小微型企业  </w:t>
      </w:r>
      <w:r>
        <w:rPr>
          <w:rFonts w:ascii="宋体" w:hAnsi="宋体"/>
          <w:iCs/>
          <w:color w:val="000000"/>
          <w:szCs w:val="21"/>
          <w:highlight w:val="none"/>
        </w:rPr>
      </w:r>
      <w:r/>
    </w:p>
    <w:p>
      <w:pPr>
        <w:pStyle w:val="768"/>
        <w:ind w:firstLine="840"/>
        <w:spacing w:line="400" w:lineRule="exact"/>
        <w:rPr>
          <w:rFonts w:eastAsia="华文楷体"/>
          <w:color w:val="000000"/>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残疾人福利性单位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监狱企业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rPr>
          <w:rFonts w:eastAsia="华文楷体"/>
          <w:color w:val="000000"/>
          <w:highlight w:val="none"/>
        </w:rPr>
      </w:r>
      <w:r/>
    </w:p>
    <w:p>
      <w:pPr>
        <w:pStyle w:val="768"/>
        <w:spacing w:line="400" w:lineRule="exact"/>
        <w:rPr>
          <w:rFonts w:ascii="宋体" w:hAnsi="宋体" w:cs="宋体"/>
          <w:iCs/>
          <w:color w:val="000000"/>
          <w:szCs w:val="21"/>
          <w:highlight w:val="none"/>
        </w:rPr>
      </w:pPr>
      <w:r>
        <w:rPr>
          <w:rFonts w:hint="eastAsia" w:ascii="宋体" w:hAnsi="宋体"/>
          <w:color w:val="000000"/>
          <w:szCs w:val="21"/>
          <w:highlight w:val="non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lang w:val="en"/>
        </w:rPr>
        <w:t xml:space="preserve">8</w:t>
      </w:r>
      <w:r>
        <w:rPr>
          <w:rFonts w:hint="eastAsia" w:ascii="宋体" w:hAnsi="宋体" w:cs="宋体"/>
          <w:color w:val="000000"/>
          <w:szCs w:val="21"/>
          <w:highlight w:val="none"/>
        </w:rPr>
        <w:t xml:space="preserve">）中标（成交）供应商是否为外商投资企业：</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是       </w:t>
      </w:r>
      <w:r>
        <w:rPr>
          <w:rFonts w:ascii="Wingdings" w:hAnsi="Wingdings" w:eastAsia="Wingdings" w:cs="Wingdings"/>
          <w:iCs/>
          <w:color w:val="000000"/>
          <w:szCs w:val="21"/>
          <w:highlight w:val="none"/>
        </w:rPr>
        <w:t xml:space="preserve">¨</w:t>
      </w:r>
      <w:r>
        <w:rPr>
          <w:rFonts w:hint="eastAsia" w:ascii="宋体" w:hAnsi="宋体" w:cs="宋体"/>
          <w:iCs/>
          <w:color w:val="000000"/>
          <w:szCs w:val="21"/>
          <w:highlight w:val="none"/>
        </w:rPr>
        <w:t xml:space="preserve">否</w:t>
      </w:r>
      <w:r>
        <w:rPr>
          <w:rFonts w:ascii="宋体" w:hAnsi="宋体" w:cs="宋体"/>
          <w:iCs/>
          <w:color w:val="000000"/>
          <w:szCs w:val="21"/>
          <w:highlight w:val="none"/>
        </w:rPr>
      </w:r>
      <w:r/>
    </w:p>
    <w:p>
      <w:pPr>
        <w:pStyle w:val="1228"/>
        <w:ind w:firstLine="420"/>
        <w:tabs>
          <w:tab w:val="left" w:pos="1340" w:leader="none"/>
        </w:tabs>
        <w:rPr>
          <w:rFonts w:ascii="宋体" w:hAnsi="宋体" w:eastAsia="宋体" w:cs="宋体"/>
          <w:color w:val="000000"/>
          <w:sz w:val="21"/>
          <w:highlight w:val="none"/>
          <w:u w:val="single"/>
        </w:rPr>
      </w:pPr>
      <w:r>
        <w:rPr>
          <w:rFonts w:hint="eastAsia" w:ascii="宋体" w:hAnsi="宋体" w:eastAsia="宋体" w:cs="宋体"/>
          <w:color w:val="000000"/>
          <w:sz w:val="21"/>
          <w:highlight w:val="none"/>
        </w:rPr>
        <w:t xml:space="preserve">     外商投资企业类型：</w:t>
      </w:r>
      <w:r>
        <w:rPr>
          <w:rFonts w:ascii="Wingdings" w:hAnsi="Wingdings" w:eastAsia="Wingdings" w:cs="Wingdings"/>
          <w:iCs/>
          <w:color w:val="000000"/>
          <w:sz w:val="21"/>
          <w:highlight w:val="none"/>
        </w:rPr>
        <w:t xml:space="preserve">¨</w:t>
      </w:r>
      <w:r>
        <w:rPr>
          <w:rFonts w:hint="eastAsia" w:ascii="宋体" w:hAnsi="宋体" w:eastAsia="宋体" w:cs="宋体"/>
          <w:color w:val="000000"/>
          <w:sz w:val="21"/>
          <w:highlight w:val="none"/>
        </w:rPr>
        <w:t xml:space="preserve">全部由外国投资者投资  </w:t>
      </w:r>
      <w:r>
        <w:rPr>
          <w:rFonts w:ascii="Wingdings" w:hAnsi="Wingdings" w:eastAsia="Wingdings" w:cs="Wingdings"/>
          <w:iCs/>
          <w:color w:val="000000"/>
          <w:sz w:val="21"/>
          <w:highlight w:val="none"/>
        </w:rPr>
        <w:t xml:space="preserve">¨</w:t>
      </w:r>
      <w:r>
        <w:rPr>
          <w:rFonts w:hint="eastAsia" w:ascii="宋体" w:hAnsi="宋体" w:eastAsia="宋体" w:cs="宋体"/>
          <w:iCs/>
          <w:color w:val="000000"/>
          <w:sz w:val="21"/>
          <w:highlight w:val="none"/>
        </w:rPr>
        <w:t xml:space="preserve">部分由外国投资者投资</w:t>
      </w:r>
      <w:r>
        <w:rPr>
          <w:rFonts w:ascii="宋体" w:hAnsi="宋体" w:eastAsia="宋体" w:cs="宋体"/>
          <w:color w:val="000000"/>
          <w:sz w:val="21"/>
          <w:highlight w:val="none"/>
          <w:u w:val="single"/>
        </w:rPr>
      </w:r>
      <w:r/>
    </w:p>
    <w:p>
      <w:pPr>
        <w:pStyle w:val="76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lang w:val="en"/>
        </w:rPr>
        <w:t xml:space="preserve">9</w:t>
      </w:r>
      <w:r>
        <w:rPr>
          <w:rFonts w:hint="eastAsia" w:ascii="宋体" w:hAnsi="宋体" w:cs="宋体"/>
          <w:color w:val="000000"/>
          <w:szCs w:val="21"/>
          <w:highlight w:val="none"/>
        </w:rPr>
        <w:t xml:space="preserve">）是否涉及进口产品：</w:t>
      </w:r>
      <w:r>
        <w:rPr>
          <w:rFonts w:ascii="宋体" w:hAnsi="宋体" w:cs="宋体"/>
          <w:color w:val="000000"/>
          <w:szCs w:val="21"/>
          <w:highlight w:val="none"/>
        </w:rPr>
      </w:r>
      <w:r/>
    </w:p>
    <w:p>
      <w:pPr>
        <w:pStyle w:val="768"/>
        <w:ind w:firstLine="84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是，《政府采购品目分类目录》底级品目名称：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金额：</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768"/>
        <w:ind w:firstLine="840"/>
        <w:spacing w:line="400" w:lineRule="exact"/>
        <w:rPr>
          <w:rFonts w:ascii="宋体" w:hAnsi="宋体"/>
          <w:color w:val="000000"/>
          <w:szCs w:val="21"/>
          <w:highlight w:val="none"/>
        </w:rPr>
      </w:pPr>
      <w:r>
        <w:rPr>
          <w:rFonts w:hint="eastAsia" w:ascii="宋体" w:hAnsi="宋体" w:cs="宋体"/>
          <w:color w:val="000000"/>
          <w:szCs w:val="21"/>
          <w:highlight w:val="none"/>
        </w:rPr>
        <w:t xml:space="preserve"> 国别：</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品牌：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规格型号：</w:t>
      </w:r>
      <w:r>
        <w:rPr>
          <w:rFonts w:hint="eastAsia" w:ascii="宋体" w:hAnsi="宋体" w:cs="宋体"/>
          <w:color w:val="000000"/>
          <w:szCs w:val="21"/>
          <w:highlight w:val="none"/>
          <w:u w:val="single"/>
        </w:rPr>
        <w:t xml:space="preserve">        </w:t>
      </w:r>
      <w:r>
        <w:rPr>
          <w:rFonts w:hint="eastAsia" w:ascii="宋体" w:hAnsi="宋体"/>
          <w:color w:val="000000"/>
          <w:szCs w:val="21"/>
          <w:highlight w:val="none"/>
        </w:rPr>
        <w:t xml:space="preserve">      </w:t>
      </w:r>
      <w:r>
        <w:rPr>
          <w:rFonts w:ascii="宋体" w:hAnsi="宋体"/>
          <w:color w:val="000000"/>
          <w:szCs w:val="21"/>
          <w:highlight w:val="none"/>
        </w:rPr>
      </w:r>
      <w:r/>
    </w:p>
    <w:p>
      <w:pPr>
        <w:pStyle w:val="768"/>
        <w:ind w:firstLine="840"/>
        <w:spacing w:line="400" w:lineRule="exact"/>
        <w:rPr>
          <w:rFonts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rPr>
          <w:rFonts w:ascii="宋体" w:hAnsi="宋体"/>
          <w:color w:val="000000"/>
          <w:szCs w:val="21"/>
          <w:highlight w:val="none"/>
        </w:rPr>
      </w:r>
      <w:r/>
    </w:p>
    <w:p>
      <w:pPr>
        <w:pStyle w:val="768"/>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（1</w:t>
      </w:r>
      <w:r>
        <w:rPr>
          <w:rFonts w:ascii="宋体" w:hAnsi="宋体"/>
          <w:color w:val="000000"/>
          <w:szCs w:val="21"/>
          <w:highlight w:val="none"/>
          <w:lang w:val="en"/>
        </w:rPr>
        <w:t xml:space="preserve">0</w:t>
      </w:r>
      <w:r>
        <w:rPr>
          <w:rFonts w:hint="eastAsia" w:ascii="宋体" w:hAnsi="宋体"/>
          <w:color w:val="000000"/>
          <w:szCs w:val="21"/>
          <w:highlight w:val="none"/>
        </w:rPr>
        <w:t xml:space="preserve">）是否涉及节能产品：</w:t>
      </w:r>
      <w:r>
        <w:rPr>
          <w:rFonts w:ascii="宋体" w:hAnsi="宋体"/>
          <w:color w:val="000000"/>
          <w:szCs w:val="21"/>
          <w:highlight w:val="none"/>
        </w:rPr>
      </w:r>
      <w:r/>
    </w:p>
    <w:p>
      <w:pPr>
        <w:pStyle w:val="768"/>
        <w:spacing w:line="400" w:lineRule="exact"/>
        <w:tabs>
          <w:tab w:val="left" w:pos="740" w:leader="none"/>
        </w:tabs>
        <w:rPr>
          <w:rFonts w:ascii="宋体" w:hAnsi="宋体"/>
          <w:iCs/>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是，《节能产品政府采购品目清单》的底级品目名称：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r>
        <w:rPr>
          <w:rFonts w:ascii="宋体" w:hAnsi="宋体"/>
          <w:iCs/>
          <w:color w:val="000000"/>
          <w:szCs w:val="21"/>
          <w:highlight w:val="none"/>
        </w:rPr>
      </w:r>
      <w:r/>
    </w:p>
    <w:p>
      <w:pPr>
        <w:pStyle w:val="768"/>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宋体" w:hAnsi="宋体"/>
          <w:iCs/>
          <w:color w:val="000000"/>
          <w:szCs w:val="21"/>
          <w:highlight w:val="none"/>
        </w:rPr>
        <w:t xml:space="preserve">       </w:t>
      </w: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rPr>
          <w:rFonts w:ascii="宋体" w:hAnsi="宋体"/>
          <w:iCs/>
          <w:color w:val="000000"/>
          <w:szCs w:val="21"/>
          <w:highlight w:val="none"/>
        </w:rPr>
      </w:r>
      <w:r/>
    </w:p>
    <w:p>
      <w:pPr>
        <w:pStyle w:val="768"/>
        <w:spacing w:line="400" w:lineRule="exact"/>
        <w:tabs>
          <w:tab w:val="left" w:pos="740" w:leader="none"/>
        </w:tabs>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rPr>
          <w:rFonts w:ascii="宋体" w:hAnsi="宋体"/>
          <w:color w:val="000000"/>
          <w:szCs w:val="21"/>
          <w:highlight w:val="none"/>
        </w:rPr>
      </w:r>
      <w:r/>
    </w:p>
    <w:p>
      <w:pPr>
        <w:pStyle w:val="768"/>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是否涉及环境标志产品：</w:t>
      </w:r>
      <w:r>
        <w:rPr>
          <w:rFonts w:ascii="宋体" w:hAnsi="宋体"/>
          <w:color w:val="000000"/>
          <w:szCs w:val="21"/>
          <w:highlight w:val="none"/>
        </w:rPr>
      </w:r>
      <w:r/>
    </w:p>
    <w:p>
      <w:pPr>
        <w:pStyle w:val="768"/>
        <w:spacing w:line="400" w:lineRule="exact"/>
        <w:tabs>
          <w:tab w:val="left" w:pos="740" w:leader="none"/>
        </w:tabs>
        <w:rPr>
          <w:rFonts w:ascii="宋体" w:hAnsi="宋体"/>
          <w:color w:val="000000"/>
          <w:szCs w:val="21"/>
          <w:highlight w:val="none"/>
        </w:rPr>
      </w:pPr>
      <w:r>
        <w:rPr>
          <w:rFonts w:hint="eastAsia" w:ascii="宋体" w:hAnsi="宋体"/>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是，《环境标志产品政府采购品目清单》的底级品目名称：</w:t>
      </w:r>
      <w:r>
        <w:rPr>
          <w:rFonts w:hint="eastAsia" w:ascii="宋体" w:hAnsi="宋体"/>
          <w:color w:val="000000"/>
          <w:szCs w:val="21"/>
          <w:highlight w:val="none"/>
          <w:u w:val="single"/>
        </w:rPr>
        <w:t xml:space="preserve">         </w:t>
      </w:r>
      <w:r>
        <w:rPr>
          <w:rFonts w:hint="eastAsia" w:ascii="宋体" w:hAnsi="宋体"/>
          <w:iCs/>
          <w:color w:val="000000"/>
          <w:szCs w:val="21"/>
          <w:highlight w:val="none"/>
        </w:rPr>
        <w:t xml:space="preserve"> </w:t>
      </w:r>
      <w:r>
        <w:rPr>
          <w:rFonts w:ascii="宋体" w:hAnsi="宋体"/>
          <w:color w:val="000000"/>
          <w:szCs w:val="21"/>
          <w:highlight w:val="none"/>
        </w:rPr>
      </w:r>
      <w:r/>
    </w:p>
    <w:p>
      <w:pPr>
        <w:pStyle w:val="768"/>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rPr>
          <w:rFonts w:ascii="宋体" w:hAnsi="宋体"/>
          <w:iCs/>
          <w:color w:val="000000"/>
          <w:szCs w:val="21"/>
          <w:highlight w:val="none"/>
        </w:rPr>
      </w:r>
      <w:r/>
    </w:p>
    <w:p>
      <w:pPr>
        <w:pStyle w:val="768"/>
        <w:spacing w:line="400" w:lineRule="exact"/>
        <w:tabs>
          <w:tab w:val="left" w:pos="740" w:leader="none"/>
        </w:tabs>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w:t>
      </w:r>
      <w:r>
        <w:rPr>
          <w:rFonts w:ascii="宋体" w:hAnsi="宋体"/>
          <w:color w:val="000000"/>
          <w:szCs w:val="21"/>
          <w:highlight w:val="none"/>
        </w:rPr>
      </w:r>
      <w:r/>
    </w:p>
    <w:p>
      <w:pPr>
        <w:pStyle w:val="1228"/>
        <w:ind w:firstLine="0"/>
        <w:rPr>
          <w:rFonts w:ascii="宋体" w:hAnsi="宋体" w:eastAsia="宋体" w:cs="Times New Roman"/>
          <w:color w:val="000000"/>
          <w:sz w:val="21"/>
          <w:highlight w:val="none"/>
        </w:rPr>
      </w:pPr>
      <w:r>
        <w:rPr>
          <w:rFonts w:hint="eastAsia" w:ascii="宋体" w:hAnsi="宋体"/>
          <w:color w:val="000000"/>
          <w:sz w:val="21"/>
          <w:highlight w:val="none"/>
        </w:rPr>
        <w:t xml:space="preserve">          </w:t>
      </w:r>
      <w:r>
        <w:rPr>
          <w:rFonts w:hint="eastAsia" w:ascii="宋体" w:hAnsi="宋体" w:eastAsia="宋体" w:cs="Times New Roman"/>
          <w:color w:val="000000"/>
          <w:sz w:val="21"/>
          <w:highlight w:val="none"/>
        </w:rPr>
        <w:t xml:space="preserve">是否涉及绿色产品： </w:t>
      </w:r>
      <w:r>
        <w:rPr>
          <w:rFonts w:ascii="宋体" w:hAnsi="宋体" w:eastAsia="宋体" w:cs="Times New Roman"/>
          <w:color w:val="000000"/>
          <w:sz w:val="21"/>
          <w:highlight w:val="none"/>
        </w:rPr>
      </w:r>
      <w:r/>
    </w:p>
    <w:p>
      <w:pPr>
        <w:pStyle w:val="1228"/>
        <w:ind w:firstLine="420"/>
        <w:rPr>
          <w:rFonts w:ascii="宋体" w:hAnsi="宋体" w:eastAsia="宋体"/>
          <w:color w:val="000000"/>
          <w:highlight w:val="none"/>
          <w:u w:val="singl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是，绿色产品政府采购相关政策确定的底级品目名称：</w:t>
      </w:r>
      <w:r>
        <w:rPr>
          <w:rFonts w:hint="eastAsia" w:ascii="宋体" w:hAnsi="宋体" w:eastAsia="宋体"/>
          <w:color w:val="000000"/>
          <w:highlight w:val="none"/>
          <w:u w:val="single"/>
        </w:rPr>
        <w:t xml:space="preserve">         </w:t>
      </w:r>
      <w:r>
        <w:rPr>
          <w:rFonts w:ascii="宋体" w:hAnsi="宋体" w:eastAsia="宋体"/>
          <w:color w:val="000000"/>
          <w:highlight w:val="none"/>
          <w:u w:val="single"/>
        </w:rPr>
      </w:r>
      <w:r/>
    </w:p>
    <w:p>
      <w:pPr>
        <w:pStyle w:val="768"/>
        <w:spacing w:line="400" w:lineRule="exact"/>
        <w:tabs>
          <w:tab w:val="left" w:pos="740" w:leader="none"/>
        </w:tabs>
        <w:rPr>
          <w:rFonts w:ascii="宋体" w:hAnsi="宋体"/>
          <w:iCs/>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强制采购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优先采购    </w:t>
      </w:r>
      <w:r>
        <w:rPr>
          <w:rFonts w:ascii="宋体" w:hAnsi="宋体"/>
          <w:iCs/>
          <w:color w:val="000000"/>
          <w:szCs w:val="21"/>
          <w:highlight w:val="none"/>
        </w:rPr>
      </w:r>
      <w:r/>
    </w:p>
    <w:p>
      <w:pPr>
        <w:pStyle w:val="1228"/>
        <w:ind w:firstLine="420"/>
        <w:rPr>
          <w:rFonts w:ascii="宋体" w:hAnsi="宋体"/>
          <w:color w:val="000000"/>
          <w:sz w:val="21"/>
          <w:highlight w:val="none"/>
        </w:rPr>
      </w:pPr>
      <w:r>
        <w:rPr>
          <w:rFonts w:hint="eastAsia" w:ascii="宋体" w:hAnsi="宋体" w:eastAsia="宋体" w:cs="Times New Roman"/>
          <w:color w:val="000000"/>
          <w:sz w:val="21"/>
          <w:highlight w:val="none"/>
        </w:rPr>
        <w:t xml:space="preserve">     </w:t>
      </w:r>
      <w:r>
        <w:rPr>
          <w:rFonts w:ascii="Wingdings" w:hAnsi="Wingdings" w:eastAsia="Wingdings" w:cs="Wingdings"/>
          <w:color w:val="000000"/>
          <w:sz w:val="21"/>
          <w:highlight w:val="none"/>
        </w:rPr>
        <w:t xml:space="preserve">¨</w:t>
      </w:r>
      <w:r>
        <w:rPr>
          <w:rFonts w:hint="eastAsia" w:ascii="宋体" w:hAnsi="宋体" w:eastAsia="宋体" w:cs="Times New Roman"/>
          <w:color w:val="000000"/>
          <w:sz w:val="21"/>
          <w:highlight w:val="none"/>
        </w:rPr>
        <w:t xml:space="preserve">否</w:t>
      </w:r>
      <w:r>
        <w:rPr>
          <w:rFonts w:ascii="宋体" w:hAnsi="宋体"/>
          <w:color w:val="000000"/>
          <w:sz w:val="21"/>
          <w:highlight w:val="none"/>
        </w:rPr>
      </w:r>
      <w:r/>
    </w:p>
    <w:p>
      <w:pPr>
        <w:pStyle w:val="768"/>
        <w:spacing w:line="400" w:lineRule="exact"/>
        <w:rPr>
          <w:rFonts w:ascii="宋体" w:hAnsi="宋体"/>
          <w:color w:val="000000"/>
          <w:szCs w:val="21"/>
          <w:highlight w:val="none"/>
        </w:rPr>
      </w:pPr>
      <w:r>
        <w:rPr>
          <w:rFonts w:hint="eastAsia" w:ascii="宋体" w:hAnsi="宋体"/>
          <w:color w:val="000000"/>
          <w:szCs w:val="21"/>
          <w:highlight w:val="none"/>
        </w:rPr>
        <w:t xml:space="preserve">    （1</w:t>
      </w:r>
      <w:r>
        <w:rPr>
          <w:rFonts w:ascii="宋体" w:hAnsi="宋体"/>
          <w:color w:val="000000"/>
          <w:szCs w:val="21"/>
          <w:highlight w:val="none"/>
          <w:lang w:val="en"/>
        </w:rPr>
        <w:t xml:space="preserve">1</w:t>
      </w:r>
      <w:r>
        <w:rPr>
          <w:rFonts w:hint="eastAsia" w:ascii="宋体" w:hAnsi="宋体"/>
          <w:color w:val="000000"/>
          <w:szCs w:val="21"/>
          <w:highlight w:val="none"/>
        </w:rPr>
        <w:t xml:space="preserve">）涉及商品包装和快递包装的，是否参考《商品包装政府采购需求标准（试行）》、《快递包装政府采购需求标准（试行）》明确产品及相关快递服务的具体包装要求：</w:t>
      </w:r>
      <w:r>
        <w:rPr>
          <w:rFonts w:ascii="宋体" w:hAnsi="宋体"/>
          <w:color w:val="000000"/>
          <w:szCs w:val="21"/>
          <w:highlight w:val="none"/>
        </w:rPr>
      </w:r>
      <w:r/>
    </w:p>
    <w:p>
      <w:pPr>
        <w:pStyle w:val="768"/>
        <w:ind w:firstLine="840"/>
        <w:spacing w:line="400" w:lineRule="exact"/>
        <w:rPr>
          <w:rFonts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否      </w:t>
      </w: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不涉及</w:t>
      </w:r>
      <w:r>
        <w:rPr>
          <w:rFonts w:ascii="宋体" w:hAnsi="宋体"/>
          <w:color w:val="000000"/>
          <w:szCs w:val="21"/>
          <w:highlight w:val="none"/>
        </w:rPr>
      </w:r>
      <w:r/>
    </w:p>
    <w:p>
      <w:pPr>
        <w:pStyle w:val="768"/>
        <w:numPr>
          <w:ilvl w:val="0"/>
          <w:numId w:val="1"/>
        </w:numPr>
        <w:ind w:firstLine="422"/>
        <w:spacing w:line="400" w:lineRule="exact"/>
        <w:rPr>
          <w:rFonts w:ascii="宋体" w:hAnsi="宋体"/>
          <w:b/>
          <w:color w:val="000000"/>
          <w:szCs w:val="21"/>
          <w:highlight w:val="none"/>
        </w:rPr>
      </w:pPr>
      <w:r>
        <w:rPr>
          <w:rFonts w:hint="eastAsia" w:ascii="宋体" w:hAnsi="宋体"/>
          <w:b/>
          <w:color w:val="000000"/>
          <w:szCs w:val="21"/>
          <w:highlight w:val="none"/>
        </w:rPr>
        <w:t xml:space="preserve">合同金额</w:t>
      </w:r>
      <w:r>
        <w:rPr>
          <w:rFonts w:ascii="宋体" w:hAnsi="宋体"/>
          <w:b/>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（1）合同金额小写：</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768"/>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大写：</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768"/>
        <w:spacing w:line="400" w:lineRule="exact"/>
        <w:rPr>
          <w:rFonts w:ascii="宋体" w:hAnsi="宋体"/>
          <w:color w:val="000000"/>
          <w:szCs w:val="21"/>
          <w:highlight w:val="none"/>
        </w:rPr>
      </w:pPr>
      <w:r>
        <w:rPr>
          <w:rFonts w:hint="eastAsia" w:ascii="宋体" w:hAnsi="宋体"/>
          <w:color w:val="000000"/>
          <w:szCs w:val="21"/>
          <w:highlight w:val="none"/>
        </w:rPr>
        <w:t xml:space="preserve">         分包金额（如有）小写：</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768"/>
        <w:spacing w:line="400" w:lineRule="exact"/>
        <w:rPr>
          <w:rFonts w:ascii="宋体" w:hAnsi="宋体"/>
          <w:color w:val="000000"/>
          <w:szCs w:val="21"/>
          <w:highlight w:val="none"/>
          <w:u w:val="single"/>
        </w:rPr>
      </w:pPr>
      <w:r>
        <w:rPr>
          <w:rFonts w:hint="eastAsia" w:ascii="宋体" w:hAnsi="宋体"/>
          <w:color w:val="000000"/>
          <w:szCs w:val="21"/>
          <w:highlight w:val="none"/>
        </w:rPr>
        <w:t xml:space="preserve">                     </w:t>
      </w:r>
      <w:r>
        <w:rPr>
          <w:rFonts w:ascii="宋体" w:hAnsi="宋体"/>
          <w:color w:val="000000"/>
          <w:szCs w:val="21"/>
          <w:highlight w:val="none"/>
        </w:rPr>
        <w:t xml:space="preserve">    </w:t>
      </w:r>
      <w:r>
        <w:rPr>
          <w:rFonts w:hint="eastAsia" w:ascii="宋体" w:hAnsi="宋体"/>
          <w:color w:val="000000"/>
          <w:szCs w:val="21"/>
          <w:highlight w:val="none"/>
        </w:rPr>
        <w:t xml:space="preserve">大写：</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768"/>
        <w:spacing w:line="400" w:lineRule="exact"/>
        <w:rPr>
          <w:rFonts w:ascii="宋体" w:hAnsi="宋体"/>
          <w:color w:val="000000"/>
          <w:szCs w:val="21"/>
          <w:highlight w:val="none"/>
        </w:rPr>
      </w:pPr>
      <w:r>
        <w:rPr>
          <w:rFonts w:hint="eastAsia" w:ascii="宋体" w:hAnsi="宋体"/>
          <w:color w:val="000000"/>
          <w:szCs w:val="21"/>
          <w:highlight w:val="none"/>
        </w:rPr>
        <w:t xml:space="preserve">    （注：固定单价合同应填写单价和最高限价）</w:t>
      </w:r>
      <w:r>
        <w:rPr>
          <w:rFonts w:ascii="宋体" w:hAnsi="宋体"/>
          <w:color w:val="000000"/>
          <w:szCs w:val="21"/>
          <w:highlight w:val="none"/>
        </w:rPr>
      </w:r>
      <w:r/>
    </w:p>
    <w:p>
      <w:pPr>
        <w:pStyle w:val="768"/>
        <w:spacing w:line="400" w:lineRule="exact"/>
        <w:rPr>
          <w:rFonts w:ascii="宋体" w:hAnsi="宋体"/>
          <w:color w:val="000000"/>
          <w:szCs w:val="21"/>
          <w:highlight w:val="none"/>
        </w:rPr>
      </w:pPr>
      <w:r>
        <w:rPr>
          <w:rFonts w:hint="eastAsia" w:ascii="宋体" w:hAnsi="宋体"/>
          <w:color w:val="000000"/>
          <w:szCs w:val="21"/>
          <w:highlight w:val="none"/>
        </w:rPr>
        <w:t xml:space="preserve">    （2）合同定价方式（采用组合定价方式的，可以勾选多项）：</w:t>
      </w:r>
      <w:r>
        <w:rPr>
          <w:rFonts w:ascii="宋体" w:hAnsi="宋体"/>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iCs/>
          <w:color w:val="000000"/>
          <w:szCs w:val="21"/>
          <w:highlight w:val="none"/>
        </w:rPr>
        <w:t xml:space="preserve">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固定总价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固定单价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固定费率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成本补偿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绩效激励 </w:t>
      </w:r>
      <w:r>
        <w:rPr>
          <w:rFonts w:ascii="Wingdings" w:hAnsi="Wingdings" w:eastAsia="Wingdings" w:cs="Wingdings"/>
          <w:iCs/>
          <w:color w:val="000000"/>
          <w:szCs w:val="21"/>
          <w:highlight w:val="none"/>
        </w:rPr>
        <w:t xml:space="preserve">¨</w:t>
      </w:r>
      <w:r>
        <w:rPr>
          <w:rFonts w:hint="eastAsia" w:ascii="宋体" w:hAnsi="宋体"/>
          <w:iCs/>
          <w:color w:val="000000"/>
          <w:szCs w:val="21"/>
          <w:highlight w:val="none"/>
        </w:rPr>
        <w:t xml:space="preserve">其他</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1177"/>
        <w:ind w:left="0" w:firstLine="420"/>
        <w:spacing w:line="400" w:lineRule="exact"/>
        <w:rPr>
          <w:color w:val="000000"/>
          <w:sz w:val="21"/>
          <w:szCs w:val="21"/>
          <w:highlight w:val="none"/>
          <w:lang w:eastAsia="zh-CN"/>
        </w:rPr>
      </w:pPr>
      <w:r>
        <w:rPr>
          <w:rFonts w:hint="eastAsia" w:ascii="宋体" w:hAnsi="宋体"/>
          <w:color w:val="000000"/>
          <w:sz w:val="21"/>
          <w:szCs w:val="21"/>
          <w:highlight w:val="none"/>
          <w:lang w:eastAsia="zh-CN"/>
        </w:rPr>
        <w:t xml:space="preserve">（3）付款方式（按项目实际勾选填写）：</w:t>
      </w:r>
      <w:r>
        <w:rPr>
          <w:color w:val="000000"/>
          <w:sz w:val="21"/>
          <w:szCs w:val="21"/>
          <w:highlight w:val="none"/>
          <w:lang w:eastAsia="zh-CN"/>
        </w:rPr>
      </w:r>
      <w:r/>
    </w:p>
    <w:p>
      <w:pPr>
        <w:pStyle w:val="768"/>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全额付款：</w:t>
      </w:r>
      <w:r>
        <w:rPr>
          <w:rFonts w:hint="eastAsia" w:ascii="宋体" w:hAnsi="宋体"/>
          <w:color w:val="000000"/>
          <w:szCs w:val="21"/>
          <w:highlight w:val="none"/>
          <w:u w:val="single"/>
        </w:rPr>
        <w:t xml:space="preserve">  （应明确一次性支付合同款项的条件）                    </w:t>
      </w:r>
      <w:r>
        <w:rPr>
          <w:rFonts w:ascii="宋体" w:hAnsi="宋体"/>
          <w:color w:val="000000"/>
          <w:szCs w:val="21"/>
          <w:highlight w:val="none"/>
          <w:u w:val="single"/>
        </w:rPr>
      </w:r>
      <w:r/>
    </w:p>
    <w:p>
      <w:pPr>
        <w:pStyle w:val="768"/>
        <w:ind w:firstLine="630"/>
        <w:spacing w:line="400" w:lineRule="exact"/>
        <w:rPr>
          <w:rFonts w:hint="eastAsia" w:ascii="宋体" w:hAnsi="宋体"/>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分期付款：1.合同签订后，采购人向中标人支付合同金额的30%；</w:t>
      </w:r>
      <w:r>
        <w:rPr>
          <w:rFonts w:hint="eastAsia" w:ascii="宋体" w:hAnsi="宋体"/>
          <w:color w:val="000000"/>
          <w:szCs w:val="21"/>
          <w:highlight w:val="none"/>
        </w:rPr>
      </w:r>
      <w:r/>
    </w:p>
    <w:p>
      <w:pPr>
        <w:pStyle w:val="768"/>
        <w:ind w:firstLine="63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2.进度款：项目完成，供应商提供项目完整技术文档，验收</w:t>
      </w:r>
      <w:r>
        <w:rPr>
          <w:rFonts w:hint="eastAsia" w:ascii="宋体" w:hAnsi="宋体"/>
          <w:color w:val="000000"/>
          <w:szCs w:val="21"/>
          <w:highlight w:val="none"/>
          <w:lang w:val="en-US" w:eastAsia="zh-CN"/>
        </w:rPr>
        <w:t xml:space="preserve">合格</w:t>
      </w:r>
      <w:r>
        <w:rPr>
          <w:rFonts w:hint="eastAsia" w:ascii="宋体" w:hAnsi="宋体"/>
          <w:color w:val="000000"/>
          <w:szCs w:val="21"/>
          <w:highlight w:val="none"/>
        </w:rPr>
        <w:t xml:space="preserve">后</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以验收报告为准</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付至结算金额</w:t>
      </w:r>
      <w:r>
        <w:rPr>
          <w:rFonts w:hint="eastAsia" w:ascii="宋体" w:hAnsi="宋体"/>
          <w:color w:val="000000"/>
          <w:szCs w:val="21"/>
          <w:highlight w:val="none"/>
        </w:rPr>
        <w:t xml:space="preserve">的100%。（合同款支付方式可采用数字人民币支付）。</w:t>
      </w:r>
      <w:r>
        <w:rPr>
          <w:rFonts w:hint="eastAsia" w:ascii="宋体" w:hAnsi="宋体"/>
          <w:color w:val="000000"/>
          <w:szCs w:val="21"/>
          <w:highlight w:val="none"/>
        </w:rPr>
      </w:r>
      <w:r/>
    </w:p>
    <w:p>
      <w:pPr>
        <w:pStyle w:val="768"/>
        <w:ind w:firstLine="63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3.资金支付的时间：收到供应商发票10个工作日内。</w:t>
      </w:r>
      <w:r>
        <w:rPr>
          <w:rFonts w:hint="eastAsia" w:ascii="宋体" w:hAnsi="宋体"/>
          <w:color w:val="000000"/>
          <w:szCs w:val="21"/>
          <w:highlight w:val="none"/>
        </w:rPr>
      </w:r>
      <w:r/>
    </w:p>
    <w:p>
      <w:pPr>
        <w:pStyle w:val="768"/>
        <w:ind w:firstLine="63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4.资金支付的条件：满足相应阶段的要求且收到供应商发票。</w:t>
      </w:r>
      <w:r>
        <w:rPr>
          <w:rFonts w:hint="eastAsia" w:ascii="宋体" w:hAnsi="宋体"/>
          <w:color w:val="000000"/>
          <w:szCs w:val="21"/>
          <w:highlight w:val="none"/>
        </w:rPr>
      </w:r>
      <w:r/>
    </w:p>
    <w:p>
      <w:pPr>
        <w:pStyle w:val="768"/>
        <w:ind w:firstLine="63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注：在签订合同时，中标人明确表示无需预付款或者主动要求降低预付款比例的，采购人可不适用前述规定。</w:t>
      </w:r>
      <w:r>
        <w:rPr>
          <w:rFonts w:hint="eastAsia" w:ascii="宋体" w:hAnsi="宋体"/>
          <w:color w:val="000000"/>
          <w:szCs w:val="21"/>
          <w:highlight w:val="none"/>
        </w:rPr>
      </w:r>
      <w:r/>
    </w:p>
    <w:p>
      <w:pPr>
        <w:pStyle w:val="768"/>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成本补偿：</w:t>
      </w:r>
      <w:r>
        <w:rPr>
          <w:rFonts w:hint="eastAsia" w:ascii="宋体" w:hAnsi="宋体"/>
          <w:color w:val="000000"/>
          <w:szCs w:val="21"/>
          <w:highlight w:val="none"/>
          <w:u w:val="single"/>
          <w:lang w:val="en-US" w:eastAsia="zh-CN"/>
        </w:rPr>
        <w:t xml:space="preserve">/</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768"/>
        <w:ind w:firstLine="630"/>
        <w:spacing w:line="400" w:lineRule="exact"/>
        <w:rPr>
          <w:rFonts w:ascii="宋体" w:hAnsi="宋体"/>
          <w:color w:val="000000"/>
          <w:szCs w:val="21"/>
          <w:highlight w:val="none"/>
          <w:u w:val="single"/>
        </w:rPr>
      </w:pPr>
      <w:r>
        <w:rPr>
          <w:rFonts w:ascii="Wingdings" w:hAnsi="Wingdings" w:eastAsia="Wingdings" w:cs="Wingdings"/>
          <w:color w:val="000000"/>
          <w:szCs w:val="21"/>
          <w:highlight w:val="none"/>
        </w:rPr>
        <w:t xml:space="preserve">¨</w:t>
      </w:r>
      <w:r>
        <w:rPr>
          <w:rFonts w:hint="eastAsia" w:ascii="宋体" w:hAnsi="宋体"/>
          <w:color w:val="000000"/>
          <w:szCs w:val="21"/>
          <w:highlight w:val="none"/>
        </w:rPr>
        <w:t xml:space="preserve">绩效激励：</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w:t>
      </w:r>
      <w:r>
        <w:rPr>
          <w:rFonts w:hint="eastAsia" w:ascii="宋体" w:hAnsi="宋体"/>
          <w:color w:val="000000"/>
          <w:szCs w:val="21"/>
          <w:highlight w:val="none"/>
          <w:u w:val="single"/>
        </w:rPr>
        <w:t xml:space="preserve">   </w:t>
      </w:r>
      <w:r>
        <w:rPr>
          <w:rFonts w:ascii="宋体" w:hAnsi="宋体"/>
          <w:color w:val="000000"/>
          <w:szCs w:val="21"/>
          <w:highlight w:val="none"/>
          <w:u w:val="single"/>
        </w:rPr>
      </w:r>
      <w:r/>
    </w:p>
    <w:p>
      <w:pPr>
        <w:pStyle w:val="768"/>
        <w:numPr>
          <w:ilvl w:val="0"/>
          <w:numId w:val="1"/>
        </w:numPr>
        <w:ind w:firstLine="422"/>
        <w:spacing w:line="400" w:lineRule="exact"/>
        <w:rPr>
          <w:rFonts w:ascii="宋体" w:hAnsi="宋体"/>
          <w:b/>
          <w:color w:val="000000"/>
          <w:szCs w:val="21"/>
          <w:highlight w:val="none"/>
          <w:u w:val="single"/>
        </w:rPr>
      </w:pPr>
      <w:r>
        <w:rPr>
          <w:rFonts w:hint="eastAsia" w:ascii="宋体" w:hAnsi="宋体"/>
          <w:b/>
          <w:color w:val="000000"/>
          <w:szCs w:val="21"/>
          <w:highlight w:val="none"/>
        </w:rPr>
        <w:t xml:space="preserve">合同履行</w:t>
      </w:r>
      <w:r>
        <w:rPr>
          <w:rFonts w:ascii="宋体" w:hAnsi="宋体"/>
          <w:b/>
          <w:color w:val="000000"/>
          <w:szCs w:val="21"/>
          <w:highlight w:val="none"/>
          <w:u w:val="single"/>
        </w:rPr>
      </w:r>
      <w:r/>
    </w:p>
    <w:p>
      <w:pPr>
        <w:pStyle w:val="76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（1）起始日期：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日，完成日期：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ascii="宋体" w:hAnsi="宋体" w:cs="宋体"/>
          <w:color w:val="000000"/>
          <w:szCs w:val="21"/>
          <w:highlight w:val="none"/>
        </w:rPr>
      </w:r>
      <w:r/>
    </w:p>
    <w:p>
      <w:pPr>
        <w:pStyle w:val="768"/>
        <w:ind w:firstLine="420"/>
        <w:spacing w:line="40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（2）履约地点</w:t>
      </w:r>
      <w:r>
        <w:rPr>
          <w:rFonts w:hint="eastAsia" w:ascii="宋体" w:hAnsi="宋体" w:cs="宋体"/>
          <w:bCs/>
          <w:color w:val="000000"/>
          <w:szCs w:val="21"/>
          <w:highlight w:val="none"/>
        </w:rPr>
        <w:t xml:space="preserve">：</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768"/>
        <w:ind w:firstLine="420"/>
        <w:spacing w:line="400" w:lineRule="exact"/>
        <w:rPr>
          <w:rFonts w:ascii="宋体" w:hAnsi="宋体" w:cs="宋体"/>
          <w:color w:val="000000"/>
          <w:szCs w:val="21"/>
          <w:highlight w:val="none"/>
        </w:rPr>
      </w:pPr>
      <w:r>
        <w:rPr>
          <w:rFonts w:hint="eastAsia" w:ascii="宋体" w:hAnsi="宋体" w:cs="宋体"/>
          <w:bCs/>
          <w:color w:val="000000"/>
          <w:szCs w:val="21"/>
          <w:highlight w:val="none"/>
        </w:rPr>
        <w:t xml:space="preserve">（3）履约担保：</w:t>
      </w:r>
      <w:r>
        <w:rPr>
          <w:rFonts w:hint="eastAsia" w:ascii="宋体" w:hAnsi="宋体" w:cs="宋体"/>
          <w:color w:val="000000"/>
          <w:highlight w:val="none"/>
        </w:rPr>
        <w:t xml:space="preserve">是否收取履约保证金：</w:t>
      </w:r>
      <w:r>
        <w:rPr>
          <w:rFonts w:ascii="Wingdings" w:hAnsi="Wingdings" w:eastAsia="Wingdings" w:cs="Wingdings"/>
          <w:color w:val="000000"/>
          <w:szCs w:val="21"/>
          <w:highlight w:val="none"/>
        </w:rPr>
        <w:t xml:space="preserve">þ</w:t>
      </w:r>
      <w:r>
        <w:rPr>
          <w:rFonts w:hint="eastAsia" w:ascii="宋体" w:hAnsi="宋体" w:cs="宋体"/>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cs="宋体"/>
          <w:color w:val="000000"/>
          <w:szCs w:val="21"/>
          <w:highlight w:val="none"/>
        </w:rPr>
        <w:t xml:space="preserve">否</w:t>
      </w:r>
      <w:r>
        <w:rPr>
          <w:rFonts w:ascii="宋体" w:hAnsi="宋体" w:cs="宋体"/>
          <w:color w:val="000000"/>
          <w:szCs w:val="21"/>
          <w:highlight w:val="none"/>
        </w:rPr>
      </w:r>
      <w:r/>
    </w:p>
    <w:p>
      <w:pPr>
        <w:pStyle w:val="1228"/>
        <w:rPr>
          <w:rFonts w:hint="eastAsia" w:ascii="宋体" w:hAnsi="宋体" w:eastAsia="宋体" w:cs="宋体"/>
          <w:bCs/>
          <w:color w:val="000000"/>
          <w:sz w:val="21"/>
          <w:highlight w:val="none"/>
          <w:u w:val="single"/>
        </w:rPr>
      </w:pPr>
      <w:r>
        <w:rPr>
          <w:rFonts w:hint="eastAsia" w:ascii="宋体" w:hAnsi="宋体" w:cs="宋体"/>
          <w:bCs/>
          <w:color w:val="000000"/>
          <w:highlight w:val="none"/>
        </w:rPr>
        <w:t xml:space="preserve"> </w:t>
      </w:r>
      <w:r>
        <w:rPr>
          <w:rFonts w:hint="eastAsia" w:ascii="宋体" w:hAnsi="宋体" w:eastAsia="宋体" w:cs="宋体"/>
          <w:color w:val="000000"/>
          <w:sz w:val="21"/>
          <w:highlight w:val="none"/>
        </w:rPr>
        <w:t xml:space="preserve">收取履约保证金形式：</w:t>
      </w:r>
      <w:r>
        <w:rPr>
          <w:rFonts w:hint="eastAsia" w:ascii="宋体" w:hAnsi="宋体" w:eastAsia="宋体" w:cs="宋体"/>
          <w:bCs/>
          <w:color w:val="000000"/>
          <w:sz w:val="21"/>
          <w:highlight w:val="none"/>
          <w:u w:val="single"/>
        </w:rPr>
        <w:t xml:space="preserve">履约保证金应在中标公告发布之日起7日历天内提交。除银行电汇、网上银行、数字人民币外，投标人还可选用银行保函、担保公司的保证担保或保险公司的保证保险等多种形式向采购人缴纳。</w:t>
      </w:r>
      <w:r>
        <w:rPr>
          <w:rFonts w:hint="eastAsia" w:ascii="宋体" w:hAnsi="宋体" w:eastAsia="宋体" w:cs="宋体"/>
          <w:bCs/>
          <w:color w:val="000000"/>
          <w:sz w:val="21"/>
          <w:highlight w:val="none"/>
          <w:u w:val="single"/>
        </w:rPr>
      </w:r>
      <w:r/>
    </w:p>
    <w:p>
      <w:pPr>
        <w:pStyle w:val="1228"/>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支持和鼓励投标人使用江苏政府采购电子履约保函（保险）代替缴纳履约保证金，投标人如使用江苏政府采购电子履约保函（保险）的，可按采购合同总价的 1.2 %（履约保证金原提交金额的6折）提交。办理流程、偿付等内容见江苏政府采购网“保险保函”模块。</w:t>
      </w:r>
      <w:r>
        <w:rPr>
          <w:rFonts w:hint="eastAsia" w:ascii="宋体" w:hAnsi="宋体" w:eastAsia="宋体" w:cs="宋体"/>
          <w:bCs/>
          <w:color w:val="000000"/>
          <w:sz w:val="21"/>
          <w:highlight w:val="none"/>
          <w:u w:val="single"/>
        </w:rPr>
      </w:r>
      <w:r/>
    </w:p>
    <w:p>
      <w:pPr>
        <w:pStyle w:val="1228"/>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3履约保证金退还方式</w:t>
      </w:r>
      <w:r>
        <w:rPr>
          <w:rFonts w:hint="eastAsia" w:ascii="宋体" w:hAnsi="宋体" w:eastAsia="宋体" w:cs="宋体"/>
          <w:bCs/>
          <w:color w:val="000000"/>
          <w:sz w:val="21"/>
          <w:highlight w:val="none"/>
          <w:u w:val="single"/>
        </w:rPr>
      </w:r>
      <w:r/>
    </w:p>
    <w:p>
      <w:pPr>
        <w:pStyle w:val="1228"/>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rPr>
          <w:rFonts w:hint="eastAsia" w:ascii="宋体" w:hAnsi="宋体" w:eastAsia="宋体" w:cs="宋体"/>
          <w:bCs/>
          <w:color w:val="000000"/>
          <w:sz w:val="21"/>
          <w:highlight w:val="none"/>
          <w:u w:val="single"/>
        </w:rPr>
      </w:r>
      <w:r/>
    </w:p>
    <w:p>
      <w:pPr>
        <w:pStyle w:val="1228"/>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履约保证金退还条件，按以下第 a 方式实行：</w:t>
      </w:r>
      <w:r>
        <w:rPr>
          <w:rFonts w:hint="eastAsia" w:ascii="宋体" w:hAnsi="宋体" w:eastAsia="宋体" w:cs="宋体"/>
          <w:bCs/>
          <w:color w:val="000000"/>
          <w:sz w:val="21"/>
          <w:highlight w:val="none"/>
          <w:u w:val="single"/>
        </w:rPr>
      </w:r>
      <w:r/>
    </w:p>
    <w:p>
      <w:pPr>
        <w:pStyle w:val="1228"/>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a、货物类项目，项目验收合格，出具验收报告及履约保证金收据申请退付；</w:t>
      </w:r>
      <w:r>
        <w:rPr>
          <w:rFonts w:hint="eastAsia" w:ascii="宋体" w:hAnsi="宋体" w:eastAsia="宋体" w:cs="宋体"/>
          <w:bCs/>
          <w:color w:val="000000"/>
          <w:sz w:val="21"/>
          <w:highlight w:val="none"/>
          <w:u w:val="single"/>
        </w:rPr>
      </w:r>
      <w:r/>
    </w:p>
    <w:p>
      <w:pPr>
        <w:pStyle w:val="1228"/>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b、服务类项目，项目履约期满评价合格，出具履约评价报告及履约保证金收据申请退付；</w:t>
      </w:r>
      <w:r>
        <w:rPr>
          <w:rFonts w:hint="eastAsia" w:ascii="宋体" w:hAnsi="宋体" w:eastAsia="宋体" w:cs="宋体"/>
          <w:bCs/>
          <w:color w:val="000000"/>
          <w:sz w:val="21"/>
          <w:highlight w:val="none"/>
          <w:u w:val="single"/>
        </w:rPr>
      </w:r>
      <w:r/>
    </w:p>
    <w:p>
      <w:pPr>
        <w:pStyle w:val="1228"/>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c、工程类项目，项目完工验收合格，出具完工证明及履约保证金收据申请退付；</w:t>
      </w:r>
      <w:r>
        <w:rPr>
          <w:rFonts w:hint="eastAsia" w:ascii="宋体" w:hAnsi="宋体" w:eastAsia="宋体" w:cs="宋体"/>
          <w:bCs/>
          <w:color w:val="000000"/>
          <w:sz w:val="21"/>
          <w:highlight w:val="none"/>
          <w:u w:val="single"/>
        </w:rPr>
      </w:r>
      <w:r/>
    </w:p>
    <w:p>
      <w:pPr>
        <w:pStyle w:val="1228"/>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履约保证金退还时间</w:t>
      </w:r>
      <w:r>
        <w:rPr>
          <w:rFonts w:hint="eastAsia" w:ascii="宋体" w:hAnsi="宋体" w:eastAsia="宋体" w:cs="宋体"/>
          <w:bCs/>
          <w:color w:val="000000"/>
          <w:sz w:val="21"/>
          <w:highlight w:val="none"/>
          <w:u w:val="single"/>
        </w:rPr>
      </w:r>
      <w:r/>
    </w:p>
    <w:p>
      <w:pPr>
        <w:pStyle w:val="1228"/>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采购人收到投标人退付申请后5个工作日内退还。</w:t>
      </w:r>
      <w:r>
        <w:rPr>
          <w:rFonts w:hint="eastAsia" w:ascii="宋体" w:hAnsi="宋体" w:eastAsia="宋体" w:cs="宋体"/>
          <w:bCs/>
          <w:color w:val="000000"/>
          <w:sz w:val="21"/>
          <w:highlight w:val="none"/>
          <w:u w:val="single"/>
        </w:rPr>
      </w:r>
      <w:r/>
    </w:p>
    <w:p>
      <w:pPr>
        <w:pStyle w:val="1228"/>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履约保证金不予退还情形</w:t>
      </w:r>
      <w:r>
        <w:rPr>
          <w:rFonts w:hint="eastAsia" w:ascii="宋体" w:hAnsi="宋体" w:eastAsia="宋体" w:cs="宋体"/>
          <w:bCs/>
          <w:color w:val="000000"/>
          <w:sz w:val="21"/>
          <w:highlight w:val="none"/>
          <w:u w:val="single"/>
        </w:rPr>
      </w:r>
      <w:r/>
    </w:p>
    <w:p>
      <w:pPr>
        <w:pStyle w:val="1228"/>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除不可抗力外，中标人不履行与采购人订立的采购合同的，履约保证金不予退还，给采购人造成的损失超过履约保证金数额的，还应对超过部分予以赔偿。</w:t>
      </w:r>
      <w:r>
        <w:rPr>
          <w:rFonts w:hint="eastAsia" w:ascii="宋体" w:hAnsi="宋体" w:eastAsia="宋体" w:cs="宋体"/>
          <w:bCs/>
          <w:color w:val="000000"/>
          <w:sz w:val="21"/>
          <w:highlight w:val="none"/>
          <w:u w:val="single"/>
        </w:rPr>
      </w:r>
      <w:r/>
    </w:p>
    <w:p>
      <w:pPr>
        <w:pStyle w:val="1228"/>
        <w:rPr>
          <w:rFonts w:hint="eastAsia" w:ascii="宋体" w:hAnsi="宋体" w:eastAsia="宋体" w:cs="宋体"/>
          <w:bCs/>
          <w:color w:val="000000"/>
          <w:sz w:val="21"/>
          <w:highlight w:val="none"/>
          <w:u w:val="single"/>
        </w:rPr>
      </w:pPr>
      <w:r>
        <w:rPr>
          <w:rFonts w:hint="eastAsia" w:ascii="宋体" w:hAnsi="宋体" w:eastAsia="宋体" w:cs="宋体"/>
          <w:bCs/>
          <w:color w:val="000000"/>
          <w:sz w:val="21"/>
          <w:highlight w:val="none"/>
          <w:u w:val="single"/>
        </w:rPr>
        <w:t xml:space="preserve">逾期退还履约保证金违约责任</w:t>
      </w:r>
      <w:r>
        <w:rPr>
          <w:rFonts w:hint="eastAsia" w:ascii="宋体" w:hAnsi="宋体" w:eastAsia="宋体" w:cs="宋体"/>
          <w:bCs/>
          <w:color w:val="000000"/>
          <w:sz w:val="21"/>
          <w:highlight w:val="none"/>
          <w:u w:val="single"/>
        </w:rPr>
      </w:r>
      <w:r/>
    </w:p>
    <w:p>
      <w:pPr>
        <w:pStyle w:val="1228"/>
        <w:rPr>
          <w:rFonts w:ascii="宋体" w:hAnsi="宋体" w:eastAsia="宋体" w:cs="宋体"/>
          <w:color w:val="000000"/>
          <w:sz w:val="21"/>
          <w:highlight w:val="none"/>
        </w:rPr>
      </w:pPr>
      <w:r>
        <w:rPr>
          <w:rFonts w:hint="eastAsia" w:ascii="宋体" w:hAnsi="宋体" w:eastAsia="宋体" w:cs="宋体"/>
          <w:bCs/>
          <w:color w:val="000000"/>
          <w:sz w:val="21"/>
          <w:highlight w:val="none"/>
          <w:u w:val="single"/>
        </w:rPr>
        <w:t xml:space="preserve">采购人逾期退还履约保证金的，除应退还履约保证金外，还应按中国人民银行同期贷款基准利率上浮20％后的利率支付超期资金占用费，但因投标人自身原因导致无法及时退还的除外。</w:t>
      </w:r>
      <w:r>
        <w:rPr>
          <w:rFonts w:ascii="宋体" w:hAnsi="宋体" w:eastAsia="宋体" w:cs="宋体"/>
          <w:color w:val="000000"/>
          <w:sz w:val="21"/>
          <w:highlight w:val="none"/>
        </w:rPr>
      </w:r>
      <w:r/>
    </w:p>
    <w:p>
      <w:pPr>
        <w:pStyle w:val="122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 收取履约保证金金额：</w:t>
      </w:r>
      <w:r>
        <w:rPr>
          <w:rFonts w:hint="eastAsia" w:ascii="宋体" w:hAnsi="宋体" w:eastAsia="宋体" w:cs="宋体"/>
          <w:bCs/>
          <w:color w:val="000000"/>
          <w:sz w:val="21"/>
          <w:highlight w:val="none"/>
          <w:u w:val="single"/>
        </w:rPr>
        <w:t xml:space="preserve">按采购合同总价的2%提交</w:t>
      </w:r>
      <w:r>
        <w:rPr>
          <w:rFonts w:hint="eastAsia" w:ascii="宋体" w:hAnsi="宋体" w:eastAsia="宋体" w:cs="宋体"/>
          <w:bCs/>
          <w:color w:val="000000"/>
          <w:sz w:val="21"/>
          <w:highlight w:val="none"/>
          <w:u w:val="single"/>
          <w:lang w:eastAsia="zh-CN"/>
        </w:rPr>
        <w:t xml:space="preserve">，</w:t>
      </w:r>
      <w:r>
        <w:rPr>
          <w:rFonts w:hint="eastAsia" w:ascii="宋体" w:hAnsi="宋体" w:eastAsia="宋体" w:cs="宋体"/>
          <w:bCs/>
          <w:color w:val="000000"/>
          <w:sz w:val="21"/>
          <w:highlight w:val="none"/>
          <w:u w:val="single"/>
        </w:rPr>
        <w:t xml:space="preserve">投标人如使用江苏政府采购电子履约保函（保险）的，可按采购合同总价的 1.2 %（履约保证金原提交金额的6折）提交。</w:t>
      </w:r>
      <w:r>
        <w:rPr>
          <w:rFonts w:ascii="宋体" w:hAnsi="宋体" w:eastAsia="宋体" w:cs="宋体"/>
          <w:color w:val="000000"/>
          <w:sz w:val="21"/>
          <w:highlight w:val="none"/>
        </w:rPr>
      </w:r>
      <w:r/>
    </w:p>
    <w:p>
      <w:pPr>
        <w:pStyle w:val="768"/>
        <w:ind w:firstLine="420"/>
        <w:spacing w:line="400" w:lineRule="exact"/>
        <w:rPr>
          <w:rFonts w:ascii="宋体" w:hAnsi="宋体" w:cs="宋体"/>
          <w:color w:val="000000"/>
          <w:highlight w:val="none"/>
        </w:rPr>
      </w:pPr>
      <w:r>
        <w:rPr>
          <w:rFonts w:hint="eastAsia" w:ascii="宋体" w:hAnsi="宋体" w:cs="宋体"/>
          <w:bCs/>
          <w:color w:val="000000"/>
          <w:szCs w:val="21"/>
          <w:highlight w:val="none"/>
        </w:rPr>
        <w:t xml:space="preserve"> 履约担保期限：</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同合同履约期限，</w:t>
      </w:r>
      <w:r>
        <w:rPr>
          <w:rFonts w:hint="eastAsia" w:ascii="宋体" w:hAnsi="宋体" w:cs="宋体"/>
          <w:bCs/>
          <w:color w:val="000000"/>
          <w:szCs w:val="21"/>
          <w:highlight w:val="none"/>
          <w:u w:val="single"/>
        </w:rPr>
        <w:t xml:space="preserve">货物类项目，项目验收合格，出具验收报告及履约保证金收据申请退付；</w:t>
      </w:r>
      <w:r>
        <w:rPr>
          <w:rFonts w:ascii="宋体" w:hAnsi="宋体" w:cs="宋体"/>
          <w:color w:val="000000"/>
          <w:highlight w:val="none"/>
        </w:rPr>
      </w:r>
      <w:r/>
    </w:p>
    <w:p>
      <w:pPr>
        <w:pStyle w:val="768"/>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（4）分期履行要求：</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w:t>
      </w:r>
      <w:r>
        <w:rPr>
          <w:rFonts w:hint="eastAsia" w:ascii="宋体" w:hAnsi="宋体" w:cs="宋体"/>
          <w:bCs/>
          <w:color w:val="000000"/>
          <w:szCs w:val="21"/>
          <w:highlight w:val="none"/>
          <w:u w:val="single"/>
        </w:rPr>
        <w:t xml:space="preserve">   </w:t>
      </w:r>
      <w:r>
        <w:rPr>
          <w:rFonts w:ascii="宋体" w:hAnsi="宋体" w:cs="宋体"/>
          <w:bCs/>
          <w:color w:val="000000"/>
          <w:szCs w:val="21"/>
          <w:highlight w:val="none"/>
        </w:rPr>
      </w:r>
      <w:r/>
    </w:p>
    <w:p>
      <w:pPr>
        <w:pStyle w:val="768"/>
        <w:ind w:firstLine="420"/>
        <w:spacing w:line="400" w:lineRule="exact"/>
        <w:rPr>
          <w:rFonts w:ascii="宋体" w:hAnsi="宋体" w:cs="宋体"/>
          <w:color w:val="000000"/>
          <w:szCs w:val="21"/>
          <w:highlight w:val="none"/>
          <w:u w:val="single"/>
        </w:rPr>
      </w:pPr>
      <w:r>
        <w:rPr>
          <w:rFonts w:hint="eastAsia" w:ascii="宋体" w:hAnsi="宋体" w:cs="宋体"/>
          <w:bCs/>
          <w:color w:val="000000"/>
          <w:szCs w:val="21"/>
          <w:highlight w:val="none"/>
        </w:rPr>
        <w:t xml:space="preserve">（5）风险处置措施和替代方案：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r>
      <w:r/>
    </w:p>
    <w:p>
      <w:pPr>
        <w:pStyle w:val="768"/>
        <w:numPr>
          <w:ilvl w:val="0"/>
          <w:numId w:val="1"/>
        </w:numPr>
        <w:ind w:firstLine="422"/>
        <w:spacing w:line="400" w:lineRule="exact"/>
        <w:rPr>
          <w:rFonts w:ascii="宋体" w:hAnsi="宋体"/>
          <w:b/>
          <w:color w:val="000000"/>
          <w:szCs w:val="21"/>
          <w:highlight w:val="none"/>
        </w:rPr>
      </w:pPr>
      <w:r>
        <w:rPr>
          <w:rFonts w:hint="eastAsia" w:ascii="宋体" w:hAnsi="宋体"/>
          <w:b/>
          <w:color w:val="000000"/>
          <w:szCs w:val="21"/>
          <w:highlight w:val="none"/>
        </w:rPr>
        <w:t xml:space="preserve">合同验收</w:t>
      </w:r>
      <w:r>
        <w:rPr>
          <w:rFonts w:ascii="宋体" w:hAnsi="宋体"/>
          <w:b/>
          <w:color w:val="000000"/>
          <w:szCs w:val="21"/>
          <w:highlight w:val="none"/>
        </w:rPr>
      </w:r>
      <w:r/>
    </w:p>
    <w:p>
      <w:pPr>
        <w:pStyle w:val="768"/>
        <w:numPr>
          <w:ilvl w:val="0"/>
          <w:numId w:val="2"/>
        </w:num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验收组织方式：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自行组织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委托第三方组织</w:t>
      </w:r>
      <w:r>
        <w:rPr>
          <w:rFonts w:ascii="宋体" w:hAnsi="宋体"/>
          <w:bCs/>
          <w:color w:val="000000"/>
          <w:szCs w:val="21"/>
          <w:highlight w:val="none"/>
        </w:rPr>
      </w:r>
      <w:r/>
    </w:p>
    <w:p>
      <w:pPr>
        <w:pStyle w:val="768"/>
        <w:spacing w:line="400" w:lineRule="exact"/>
        <w:rPr>
          <w:rFonts w:ascii="宋体" w:hAnsi="宋体"/>
          <w:bCs/>
          <w:color w:val="000000"/>
          <w:szCs w:val="21"/>
          <w:highlight w:val="none"/>
        </w:rPr>
      </w:pPr>
      <w:r>
        <w:rPr>
          <w:rFonts w:hint="eastAsia" w:ascii="宋体" w:hAnsi="宋体"/>
          <w:bCs/>
          <w:color w:val="000000"/>
          <w:szCs w:val="21"/>
          <w:highlight w:val="none"/>
        </w:rPr>
        <w:t xml:space="preserve">     验收主体：</w:t>
      </w:r>
      <w:r>
        <w:rPr>
          <w:rFonts w:hint="eastAsia" w:ascii="宋体" w:hAnsi="宋体"/>
          <w:bCs/>
          <w:color w:val="000000"/>
          <w:szCs w:val="21"/>
          <w:highlight w:val="none"/>
          <w:u w:val="single"/>
        </w:rPr>
        <w:t xml:space="preserve">                  </w:t>
      </w:r>
      <w:r>
        <w:rPr>
          <w:rFonts w:ascii="宋体" w:hAnsi="宋体"/>
          <w:bCs/>
          <w:color w:val="000000"/>
          <w:szCs w:val="21"/>
          <w:highlight w:val="none"/>
        </w:rPr>
      </w:r>
      <w:r/>
    </w:p>
    <w:p>
      <w:pPr>
        <w:pStyle w:val="768"/>
        <w:spacing w:line="400" w:lineRule="exact"/>
        <w:rPr>
          <w:rFonts w:ascii="宋体" w:hAnsi="宋体"/>
          <w:bCs/>
          <w:color w:val="000000"/>
          <w:szCs w:val="21"/>
          <w:highlight w:val="none"/>
        </w:rPr>
      </w:pPr>
      <w:r>
        <w:rPr>
          <w:rFonts w:hint="eastAsia" w:ascii="宋体" w:hAnsi="宋体"/>
          <w:bCs/>
          <w:color w:val="000000"/>
          <w:szCs w:val="21"/>
          <w:highlight w:val="none"/>
        </w:rPr>
        <w:t xml:space="preserve">     是否邀请本项目的其他供应商参加验收：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768"/>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是否邀请专家参加验收：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768"/>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是否邀请服务对象参加验收：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768"/>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是否邀请第三方检测机构参加验收：</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768"/>
        <w:ind w:firstLine="525"/>
        <w:spacing w:line="400" w:lineRule="exact"/>
        <w:rPr>
          <w:rFonts w:ascii="宋体" w:hAnsi="宋体"/>
          <w:bCs/>
          <w:color w:val="000000"/>
          <w:szCs w:val="21"/>
          <w:highlight w:val="none"/>
        </w:rPr>
      </w:pPr>
      <w:r>
        <w:rPr>
          <w:rFonts w:hint="eastAsia" w:ascii="宋体" w:hAnsi="宋体"/>
          <w:bCs/>
          <w:color w:val="000000"/>
          <w:szCs w:val="21"/>
          <w:highlight w:val="none"/>
        </w:rPr>
        <w:t xml:space="preserve">是否进行抽查检测：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是，抽查比例：</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768"/>
        <w:ind w:firstLine="525"/>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是否存在破坏性检测：</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是，</w:t>
      </w:r>
      <w:r>
        <w:rPr>
          <w:rFonts w:hint="eastAsia" w:ascii="宋体" w:hAnsi="宋体"/>
          <w:bCs/>
          <w:color w:val="000000"/>
          <w:szCs w:val="21"/>
          <w:highlight w:val="none"/>
          <w:u w:val="single"/>
        </w:rPr>
        <w:t xml:space="preserve">（应明确对被破坏的检测产品的处理方式）</w:t>
      </w:r>
      <w:r>
        <w:rPr>
          <w:rFonts w:ascii="宋体" w:hAnsi="宋体"/>
          <w:bCs/>
          <w:color w:val="000000"/>
          <w:szCs w:val="21"/>
          <w:highlight w:val="none"/>
          <w:u w:val="single"/>
        </w:rPr>
      </w:r>
      <w:r/>
    </w:p>
    <w:p>
      <w:pPr>
        <w:pStyle w:val="768"/>
        <w:ind w:firstLine="525"/>
        <w:spacing w:line="400" w:lineRule="exact"/>
        <w:rPr>
          <w:rFonts w:ascii="宋体" w:hAnsi="宋体"/>
          <w:bCs/>
          <w:color w:val="000000"/>
          <w:szCs w:val="21"/>
          <w:highlight w:val="none"/>
        </w:rPr>
      </w:pP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否</w:t>
      </w:r>
      <w:r>
        <w:rPr>
          <w:rFonts w:ascii="宋体" w:hAnsi="宋体"/>
          <w:bCs/>
          <w:color w:val="000000"/>
          <w:szCs w:val="21"/>
          <w:highlight w:val="none"/>
        </w:rPr>
      </w:r>
      <w:r/>
    </w:p>
    <w:p>
      <w:pPr>
        <w:pStyle w:val="768"/>
        <w:ind w:firstLine="525"/>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验收组织的其他事项：</w:t>
      </w:r>
      <w:r>
        <w:rPr>
          <w:rFonts w:hint="eastAsia" w:ascii="宋体" w:hAnsi="宋体"/>
          <w:bCs/>
          <w:color w:val="000000"/>
          <w:szCs w:val="21"/>
          <w:highlight w:val="none"/>
          <w:u w:val="single"/>
        </w:rPr>
        <w:t xml:space="preserve">                </w:t>
      </w:r>
      <w:r>
        <w:rPr>
          <w:rFonts w:ascii="宋体" w:hAnsi="宋体"/>
          <w:bCs/>
          <w:color w:val="000000"/>
          <w:szCs w:val="21"/>
          <w:highlight w:val="none"/>
          <w:u w:val="single"/>
        </w:rPr>
      </w:r>
      <w:r/>
    </w:p>
    <w:p>
      <w:pPr>
        <w:pStyle w:val="768"/>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（2）履约验收时间：</w:t>
      </w:r>
      <w:r>
        <w:rPr>
          <w:rFonts w:hint="eastAsia" w:ascii="宋体" w:hAnsi="宋体"/>
          <w:bCs/>
          <w:color w:val="000000"/>
          <w:szCs w:val="21"/>
          <w:highlight w:val="none"/>
          <w:u w:val="single"/>
        </w:rPr>
        <w:t xml:space="preserve">（计划于何时验收/供应商提出验收申请之日起   日内组织验收） </w:t>
      </w:r>
      <w:r>
        <w:rPr>
          <w:rFonts w:ascii="宋体" w:hAnsi="宋体"/>
          <w:bCs/>
          <w:color w:val="000000"/>
          <w:szCs w:val="21"/>
          <w:highlight w:val="none"/>
          <w:u w:val="single"/>
        </w:rPr>
      </w:r>
      <w:r/>
    </w:p>
    <w:p>
      <w:pPr>
        <w:pStyle w:val="768"/>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（3）履约验收方式：</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一次性验收         </w:t>
      </w:r>
      <w:r>
        <w:rPr>
          <w:rFonts w:ascii="宋体" w:hAnsi="宋体"/>
          <w:bCs/>
          <w:color w:val="000000"/>
          <w:szCs w:val="21"/>
          <w:highlight w:val="none"/>
        </w:rPr>
      </w:r>
      <w:r/>
    </w:p>
    <w:p>
      <w:pPr>
        <w:pStyle w:val="768"/>
        <w:spacing w:line="400" w:lineRule="exact"/>
        <w:rPr>
          <w:rFonts w:ascii="宋体" w:hAnsi="宋体"/>
          <w:bCs/>
          <w:color w:val="000000"/>
          <w:szCs w:val="21"/>
          <w:highlight w:val="none"/>
        </w:rPr>
      </w:pPr>
      <w:r>
        <w:rPr>
          <w:rFonts w:hint="eastAsia" w:ascii="宋体" w:hAnsi="宋体"/>
          <w:bCs/>
          <w:color w:val="000000"/>
          <w:szCs w:val="21"/>
          <w:highlight w:val="none"/>
        </w:rPr>
        <w:t xml:space="preserve">                       </w:t>
      </w:r>
      <w:r>
        <w:rPr>
          <w:rFonts w:ascii="Wingdings" w:hAnsi="Wingdings" w:eastAsia="Wingdings" w:cs="Wingdings"/>
          <w:color w:val="000000"/>
          <w:szCs w:val="21"/>
          <w:highlight w:val="none"/>
        </w:rPr>
        <w:t xml:space="preserve">¨</w:t>
      </w:r>
      <w:r>
        <w:rPr>
          <w:rFonts w:hint="eastAsia" w:ascii="宋体" w:hAnsi="宋体"/>
          <w:bCs/>
          <w:color w:val="000000"/>
          <w:szCs w:val="21"/>
          <w:highlight w:val="none"/>
        </w:rPr>
        <w:t xml:space="preserve">分期/分项验收：</w:t>
      </w:r>
      <w:r>
        <w:rPr>
          <w:rFonts w:hint="eastAsia" w:ascii="宋体" w:hAnsi="宋体"/>
          <w:bCs/>
          <w:color w:val="000000"/>
          <w:szCs w:val="21"/>
          <w:highlight w:val="none"/>
          <w:u w:val="single"/>
        </w:rPr>
        <w:t xml:space="preserve"> （应明确分期</w:t>
      </w:r>
      <w:r>
        <w:rPr>
          <w:rFonts w:ascii="宋体" w:hAnsi="宋体"/>
          <w:bCs/>
          <w:color w:val="000000"/>
          <w:szCs w:val="21"/>
          <w:highlight w:val="none"/>
          <w:u w:val="single"/>
          <w:lang w:val="en"/>
        </w:rPr>
        <w:t xml:space="preserve">/</w:t>
      </w:r>
      <w:r>
        <w:rPr>
          <w:rFonts w:hint="eastAsia" w:ascii="宋体" w:hAnsi="宋体"/>
          <w:bCs/>
          <w:color w:val="000000"/>
          <w:szCs w:val="21"/>
          <w:highlight w:val="none"/>
          <w:u w:val="single"/>
          <w:lang w:val="en"/>
        </w:rPr>
        <w:t xml:space="preserve">分项验收的工作安排</w:t>
      </w:r>
      <w:r>
        <w:rPr>
          <w:rFonts w:hint="eastAsia" w:ascii="宋体" w:hAnsi="宋体"/>
          <w:bCs/>
          <w:color w:val="000000"/>
          <w:szCs w:val="21"/>
          <w:highlight w:val="none"/>
          <w:u w:val="single"/>
        </w:rPr>
        <w:t xml:space="preserve">）  </w:t>
      </w:r>
      <w:r>
        <w:rPr>
          <w:rFonts w:ascii="宋体" w:hAnsi="宋体"/>
          <w:bCs/>
          <w:color w:val="000000"/>
          <w:szCs w:val="21"/>
          <w:highlight w:val="none"/>
        </w:rPr>
      </w:r>
      <w:r/>
    </w:p>
    <w:p>
      <w:pPr>
        <w:pStyle w:val="768"/>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（4）履约验收程序：</w:t>
      </w:r>
      <w:r>
        <w:rPr>
          <w:rFonts w:hint="eastAsia" w:ascii="宋体" w:hAnsi="宋体"/>
          <w:bCs/>
          <w:color w:val="000000"/>
          <w:szCs w:val="21"/>
          <w:highlight w:val="none"/>
          <w:u w:val="single"/>
        </w:rPr>
        <w:t xml:space="preserve">                                         </w:t>
      </w:r>
      <w:r>
        <w:rPr>
          <w:rFonts w:ascii="宋体" w:hAnsi="宋体"/>
          <w:bCs/>
          <w:color w:val="000000"/>
          <w:szCs w:val="21"/>
          <w:highlight w:val="none"/>
        </w:rPr>
      </w:r>
      <w:r/>
    </w:p>
    <w:p>
      <w:pPr>
        <w:pStyle w:val="768"/>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（5）履约验收的内容：</w:t>
      </w:r>
      <w:r>
        <w:rPr>
          <w:rFonts w:hint="eastAsia" w:ascii="宋体" w:hAnsi="宋体"/>
          <w:bCs/>
          <w:color w:val="000000"/>
          <w:szCs w:val="21"/>
          <w:highlight w:val="none"/>
          <w:u w:val="single"/>
        </w:rPr>
        <w:t xml:space="preserve"> （应当包括每一项技术和商务要求的履约情况，特别是落实政府采购扶持中小企业，支持绿色发展和乡村振兴等政策情况）                                      </w:t>
      </w:r>
      <w:r>
        <w:rPr>
          <w:rFonts w:ascii="宋体" w:hAnsi="宋体"/>
          <w:bCs/>
          <w:color w:val="000000"/>
          <w:szCs w:val="21"/>
          <w:highlight w:val="none"/>
          <w:u w:val="single"/>
        </w:rPr>
      </w:r>
      <w:r/>
    </w:p>
    <w:p>
      <w:pPr>
        <w:pStyle w:val="768"/>
        <w:ind w:firstLine="420"/>
        <w:spacing w:line="400" w:lineRule="exact"/>
        <w:rPr>
          <w:rFonts w:ascii="宋体" w:hAnsi="宋体"/>
          <w:bCs/>
          <w:color w:val="000000"/>
          <w:szCs w:val="21"/>
          <w:highlight w:val="none"/>
          <w:u w:val="single"/>
        </w:rPr>
      </w:pPr>
      <w:r>
        <w:rPr>
          <w:rFonts w:hint="eastAsia" w:ascii="宋体" w:hAnsi="宋体"/>
          <w:bCs/>
          <w:color w:val="000000"/>
          <w:szCs w:val="21"/>
          <w:highlight w:val="none"/>
        </w:rPr>
        <w:t xml:space="preserve">（6）履约验收标准：</w:t>
      </w:r>
      <w:r>
        <w:rPr>
          <w:rFonts w:hint="eastAsia" w:ascii="宋体" w:hAnsi="宋体"/>
          <w:bCs/>
          <w:color w:val="000000"/>
          <w:szCs w:val="21"/>
          <w:highlight w:val="none"/>
          <w:u w:val="single"/>
        </w:rPr>
        <w:t xml:space="preserve">                                         </w:t>
      </w:r>
      <w:r>
        <w:rPr>
          <w:rFonts w:ascii="宋体" w:hAnsi="宋体"/>
          <w:bCs/>
          <w:color w:val="000000"/>
          <w:szCs w:val="21"/>
          <w:highlight w:val="none"/>
          <w:u w:val="single"/>
        </w:rPr>
      </w:r>
      <w:r/>
    </w:p>
    <w:p>
      <w:pPr>
        <w:pStyle w:val="1228"/>
        <w:ind w:firstLine="420"/>
        <w:rPr>
          <w:rFonts w:ascii="宋体" w:hAnsi="宋体" w:eastAsia="宋体" w:cs="宋体"/>
          <w:color w:val="000000"/>
          <w:sz w:val="21"/>
          <w:highlight w:val="none"/>
        </w:rPr>
      </w:pPr>
      <w:r>
        <w:rPr>
          <w:rFonts w:hint="eastAsia" w:ascii="宋体" w:hAnsi="宋体" w:eastAsia="宋体" w:cs="宋体"/>
          <w:bCs/>
          <w:color w:val="000000"/>
          <w:sz w:val="21"/>
          <w:highlight w:val="none"/>
        </w:rPr>
        <w:t xml:space="preserve">（7）是否以采购活动中供应商提供的样品作为参考：</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是  </w:t>
      </w:r>
      <w:r>
        <w:rPr>
          <w:rFonts w:ascii="Wingdings" w:hAnsi="Wingdings" w:eastAsia="Wingdings" w:cs="Wingdings"/>
          <w:color w:val="000000"/>
          <w:sz w:val="21"/>
          <w:highlight w:val="none"/>
        </w:rPr>
        <w:t xml:space="preserve">¨</w:t>
      </w:r>
      <w:r>
        <w:rPr>
          <w:rFonts w:hint="eastAsia" w:ascii="宋体" w:hAnsi="宋体" w:eastAsia="宋体" w:cs="宋体"/>
          <w:bCs/>
          <w:color w:val="000000"/>
          <w:sz w:val="21"/>
          <w:highlight w:val="none"/>
        </w:rPr>
        <w:t xml:space="preserve">否</w:t>
      </w:r>
      <w:r>
        <w:rPr>
          <w:rFonts w:ascii="宋体" w:hAnsi="宋体" w:eastAsia="宋体" w:cs="宋体"/>
          <w:color w:val="000000"/>
          <w:sz w:val="21"/>
          <w:highlight w:val="none"/>
        </w:rPr>
      </w:r>
      <w:r/>
    </w:p>
    <w:p>
      <w:pPr>
        <w:pStyle w:val="768"/>
        <w:ind w:firstLine="420"/>
        <w:spacing w:line="40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（8）履约验收其他事项：</w:t>
      </w:r>
      <w:r>
        <w:rPr>
          <w:rFonts w:hint="eastAsia" w:ascii="宋体" w:hAnsi="宋体" w:cs="宋体"/>
          <w:bCs/>
          <w:color w:val="000000"/>
          <w:szCs w:val="21"/>
          <w:highlight w:val="none"/>
          <w:u w:val="single"/>
        </w:rPr>
        <w:t xml:space="preserve">      （产权过户登记等）          </w:t>
      </w:r>
      <w:r>
        <w:rPr>
          <w:rFonts w:ascii="宋体" w:hAnsi="宋体" w:cs="宋体"/>
          <w:bCs/>
          <w:color w:val="000000"/>
          <w:szCs w:val="21"/>
          <w:highlight w:val="none"/>
          <w:u w:val="single"/>
        </w:rPr>
      </w:r>
      <w:r/>
    </w:p>
    <w:p>
      <w:pPr>
        <w:pStyle w:val="768"/>
        <w:numPr>
          <w:ilvl w:val="0"/>
          <w:numId w:val="1"/>
        </w:numPr>
        <w:ind w:firstLine="422"/>
        <w:spacing w:line="400" w:lineRule="exact"/>
        <w:rPr>
          <w:rFonts w:ascii="宋体" w:hAnsi="宋体"/>
          <w:b/>
          <w:color w:val="000000"/>
          <w:szCs w:val="21"/>
          <w:highlight w:val="none"/>
        </w:rPr>
      </w:pPr>
      <w:r>
        <w:rPr>
          <w:rFonts w:hint="eastAsia" w:ascii="宋体" w:hAnsi="宋体"/>
          <w:b/>
          <w:color w:val="000000"/>
          <w:szCs w:val="21"/>
          <w:highlight w:val="none"/>
        </w:rPr>
        <w:t xml:space="preserve">组成合同的文件</w:t>
      </w:r>
      <w:r>
        <w:rPr>
          <w:rFonts w:ascii="宋体" w:hAnsi="宋体"/>
          <w:b/>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本协议书与下列文件一起构成合同文件，如下述文件之间有任何抵触、矛盾或歧义，应按以下顺序解释：</w:t>
      </w:r>
      <w:r>
        <w:rPr>
          <w:rFonts w:ascii="宋体" w:hAnsi="宋体"/>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（1）政府采购合同协议书及其变更、补充协议</w:t>
      </w:r>
      <w:r>
        <w:rPr>
          <w:rFonts w:ascii="宋体" w:hAnsi="宋体"/>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（2）政府采购合同专用条款</w:t>
      </w:r>
      <w:r>
        <w:rPr>
          <w:rFonts w:ascii="宋体" w:hAnsi="宋体"/>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（3）政府采购合同通用条款</w:t>
      </w:r>
      <w:r>
        <w:rPr>
          <w:rFonts w:ascii="宋体" w:hAnsi="宋体"/>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（4）中标（成交）通知书</w:t>
      </w:r>
      <w:r>
        <w:rPr>
          <w:rFonts w:ascii="宋体" w:hAnsi="宋体"/>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（5）投标（响应）文件</w:t>
      </w:r>
      <w:r>
        <w:rPr>
          <w:rFonts w:ascii="宋体" w:hAnsi="宋体"/>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（6）采购文件</w:t>
      </w:r>
      <w:r>
        <w:rPr>
          <w:rFonts w:ascii="宋体" w:hAnsi="宋体"/>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（7）有关技术文件，图纸</w:t>
      </w:r>
      <w:r>
        <w:rPr>
          <w:rFonts w:ascii="宋体" w:hAnsi="宋体"/>
          <w:color w:val="000000"/>
          <w:szCs w:val="21"/>
          <w:highlight w:val="none"/>
        </w:rPr>
      </w:r>
      <w:r/>
    </w:p>
    <w:p>
      <w:pPr>
        <w:pStyle w:val="122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（8）国家法律、行政法规和规章制度规定或合同约定的作为合同组成部分的其他文件</w:t>
      </w:r>
      <w:r>
        <w:rPr>
          <w:rFonts w:ascii="宋体" w:hAnsi="宋体" w:eastAsia="宋体" w:cs="宋体"/>
          <w:color w:val="000000"/>
          <w:sz w:val="21"/>
          <w:highlight w:val="none"/>
        </w:rPr>
      </w:r>
      <w:r/>
    </w:p>
    <w:p>
      <w:pPr>
        <w:pStyle w:val="768"/>
        <w:numPr>
          <w:ilvl w:val="0"/>
          <w:numId w:val="1"/>
        </w:numPr>
        <w:ind w:firstLine="422"/>
        <w:spacing w:line="400" w:lineRule="exact"/>
        <w:rPr>
          <w:rFonts w:ascii="宋体" w:hAnsi="宋体"/>
          <w:b/>
          <w:color w:val="000000"/>
          <w:szCs w:val="21"/>
          <w:highlight w:val="none"/>
        </w:rPr>
      </w:pPr>
      <w:r>
        <w:rPr>
          <w:rFonts w:hint="eastAsia" w:ascii="宋体" w:hAnsi="宋体"/>
          <w:b/>
          <w:color w:val="000000"/>
          <w:szCs w:val="21"/>
          <w:highlight w:val="none"/>
        </w:rPr>
        <w:t xml:space="preserve">合同生效</w:t>
      </w:r>
      <w:r>
        <w:rPr>
          <w:rFonts w:ascii="宋体" w:hAnsi="宋体"/>
          <w:b/>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本合同自</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生效。</w:t>
      </w:r>
      <w:r>
        <w:rPr>
          <w:rFonts w:ascii="宋体" w:hAnsi="宋体"/>
          <w:color w:val="000000"/>
          <w:szCs w:val="21"/>
          <w:highlight w:val="none"/>
        </w:rPr>
      </w:r>
      <w:r/>
    </w:p>
    <w:p>
      <w:pPr>
        <w:pStyle w:val="768"/>
        <w:numPr>
          <w:ilvl w:val="0"/>
          <w:numId w:val="1"/>
        </w:numPr>
        <w:ind w:firstLine="422"/>
        <w:spacing w:line="400" w:lineRule="exact"/>
        <w:rPr>
          <w:rFonts w:ascii="宋体" w:hAnsi="宋体"/>
          <w:b/>
          <w:color w:val="000000"/>
          <w:szCs w:val="21"/>
          <w:highlight w:val="none"/>
        </w:rPr>
      </w:pPr>
      <w:r>
        <w:rPr>
          <w:rFonts w:hint="eastAsia" w:ascii="宋体" w:hAnsi="宋体"/>
          <w:b/>
          <w:color w:val="000000"/>
          <w:szCs w:val="21"/>
          <w:highlight w:val="none"/>
        </w:rPr>
        <w:t xml:space="preserve">合同份数</w:t>
      </w:r>
      <w:r>
        <w:rPr>
          <w:rFonts w:ascii="宋体" w:hAnsi="宋体"/>
          <w:b/>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本合同一式</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份，甲方执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份，乙方执</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份，均具有同等法律效力。</w:t>
      </w:r>
      <w:r>
        <w:rPr>
          <w:rFonts w:ascii="宋体" w:hAnsi="宋体"/>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合同订立时间：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月</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日</w:t>
      </w:r>
      <w:r>
        <w:rPr>
          <w:rFonts w:ascii="宋体" w:hAnsi="宋体"/>
          <w:color w:val="000000"/>
          <w:szCs w:val="21"/>
          <w:highlight w:val="none"/>
        </w:rPr>
      </w:r>
      <w:r/>
    </w:p>
    <w:p>
      <w:pPr>
        <w:pStyle w:val="76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合同订立地点：</w:t>
      </w:r>
      <w:r>
        <w:rPr>
          <w:rFonts w:hint="eastAsia" w:ascii="宋体" w:hAnsi="宋体"/>
          <w:color w:val="000000"/>
          <w:szCs w:val="21"/>
          <w:highlight w:val="none"/>
          <w:u w:val="single"/>
        </w:rPr>
        <w:t xml:space="preserve">                           </w:t>
      </w:r>
      <w:r>
        <w:rPr>
          <w:rFonts w:ascii="宋体" w:hAnsi="宋体"/>
          <w:color w:val="000000"/>
          <w:szCs w:val="21"/>
          <w:highlight w:val="none"/>
        </w:rPr>
      </w:r>
      <w:r/>
    </w:p>
    <w:p>
      <w:pPr>
        <w:pStyle w:val="768"/>
        <w:ind w:firstLine="420"/>
        <w:spacing w:line="400" w:lineRule="exact"/>
        <w:rPr>
          <w:rFonts w:ascii="宋体" w:hAnsi="宋体"/>
          <w:b/>
          <w:bCs/>
          <w:color w:val="000000"/>
          <w:szCs w:val="21"/>
          <w:highlight w:val="none"/>
        </w:rPr>
      </w:pPr>
      <w:r>
        <w:rPr>
          <w:rFonts w:hint="eastAsia" w:ascii="宋体" w:hAnsi="宋体"/>
          <w:color w:val="000000"/>
          <w:szCs w:val="21"/>
          <w:highlight w:val="none"/>
        </w:rPr>
        <w:t xml:space="preserve">附件：具体标的及其技术要求和商务要求、联合协议、分包意向协议等</w:t>
      </w:r>
      <w:r>
        <w:rPr>
          <w:color w:val="000000"/>
          <w:highlight w:val="none"/>
          <w:lang w:val="en"/>
        </w:rPr>
        <w:t xml:space="preserve">   </w:t>
      </w:r>
      <w:r>
        <w:rPr>
          <w:rFonts w:ascii="宋体" w:hAnsi="宋体"/>
          <w:b/>
          <w:bCs/>
          <w:color w:val="000000"/>
          <w:szCs w:val="21"/>
          <w:highlight w:val="none"/>
        </w:rPr>
      </w:r>
      <w:r/>
    </w:p>
    <w:p>
      <w:pPr>
        <w:pStyle w:val="1177"/>
        <w:rPr>
          <w:color w:val="000000"/>
          <w:highlight w:val="none"/>
          <w:lang w:eastAsia="zh-CN"/>
        </w:rPr>
      </w:pPr>
      <w:r>
        <w:rPr>
          <w:color w:val="000000"/>
          <w:highlight w:val="none"/>
          <w:lang w:eastAsia="zh-CN"/>
        </w:rPr>
      </w:r>
      <w:r/>
    </w:p>
    <w:tbl>
      <w:tblPr>
        <w:tblW w:w="4927" w:type="pct"/>
        <w:tblInd w:w="-222"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768"/>
              <w:jc w:val="center"/>
              <w:spacing w:line="300" w:lineRule="exact"/>
              <w:rPr>
                <w:color w:val="000000"/>
                <w:highlight w:val="none"/>
              </w:rPr>
            </w:pPr>
            <w:r>
              <w:rPr>
                <w:color w:val="000000"/>
                <w:szCs w:val="21"/>
                <w:highlight w:val="none"/>
              </w:rPr>
              <w:t xml:space="preserve">甲方</w:t>
            </w:r>
            <w:r>
              <w:rPr>
                <w:rFonts w:hint="eastAsia"/>
                <w:color w:val="000000"/>
                <w:szCs w:val="21"/>
                <w:highlight w:val="none"/>
              </w:rPr>
              <w:t xml:space="preserve">（采购人</w:t>
            </w:r>
            <w:r>
              <w:rPr>
                <w:rFonts w:hint="eastAsia" w:ascii="宋体" w:hAnsi="宋体"/>
                <w:color w:val="000000"/>
                <w:szCs w:val="21"/>
                <w:highlight w:val="none"/>
              </w:rPr>
              <w:t xml:space="preserve">、受采购人委托签订合同的单位或</w:t>
            </w:r>
            <w:r>
              <w:rPr>
                <w:rFonts w:hint="eastAsia"/>
                <w:color w:val="000000"/>
                <w:szCs w:val="21"/>
                <w:highlight w:val="none"/>
              </w:rPr>
              <w:t xml:space="preserve">采购文件约定的合同甲方）</w:t>
            </w:r>
            <w:r>
              <w:rPr>
                <w:color w:val="000000"/>
                <w:highlight w:val="none"/>
              </w:rPr>
            </w:r>
            <w:r/>
          </w:p>
        </w:tc>
        <w:tc>
          <w:tcPr>
            <w:gridSpan w:val="2"/>
            <w:tcW w:w="4095" w:type="dxa"/>
            <w:vAlign w:val="center"/>
            <w:textDirection w:val="lrTb"/>
            <w:noWrap w:val="false"/>
          </w:tcPr>
          <w:p>
            <w:pPr>
              <w:pStyle w:val="768"/>
              <w:jc w:val="center"/>
              <w:spacing w:line="300" w:lineRule="exact"/>
              <w:rPr>
                <w:color w:val="000000"/>
                <w:highlight w:val="none"/>
              </w:rPr>
            </w:pPr>
            <w:r>
              <w:rPr>
                <w:color w:val="000000"/>
                <w:szCs w:val="21"/>
                <w:highlight w:val="none"/>
              </w:rPr>
              <w:t xml:space="preserve">乙方</w:t>
            </w:r>
            <w:r>
              <w:rPr>
                <w:rFonts w:hint="eastAsia"/>
                <w:color w:val="000000"/>
                <w:szCs w:val="21"/>
                <w:highlight w:val="none"/>
              </w:rPr>
              <w:t xml:space="preserve">（供应商）</w:t>
            </w:r>
            <w:r>
              <w:rPr>
                <w:color w:val="000000"/>
                <w:highlight w:val="none"/>
              </w:rPr>
            </w:r>
            <w:r/>
          </w:p>
        </w:tc>
      </w:tr>
      <w:tr>
        <w:trPr>
          <w:trHeight w:val="917"/>
        </w:trPr>
        <w:tc>
          <w:tcPr>
            <w:tcW w:w="112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t xml:space="preserve">单位名称</w:t>
            </w:r>
            <w:r>
              <w:rPr>
                <w:rFonts w:hint="eastAsia"/>
                <w:color w:val="000000"/>
                <w:szCs w:val="21"/>
                <w:highlight w:val="none"/>
              </w:rPr>
              <w:t xml:space="preserve">（公章或合同章）</w:t>
            </w:r>
            <w:r>
              <w:rPr>
                <w:color w:val="000000"/>
                <w:szCs w:val="21"/>
                <w:highlight w:val="none"/>
              </w:rPr>
            </w:r>
            <w:r/>
          </w:p>
        </w:tc>
        <w:tc>
          <w:tcPr>
            <w:tcW w:w="143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t xml:space="preserve">单位名称</w:t>
            </w:r>
            <w:r>
              <w:rPr>
                <w:rFonts w:hint="eastAsia"/>
                <w:color w:val="000000"/>
                <w:szCs w:val="21"/>
                <w:highlight w:val="none"/>
              </w:rPr>
              <w:t xml:space="preserve">（公章或合同章）</w:t>
            </w:r>
            <w:r>
              <w:rPr>
                <w:color w:val="000000"/>
                <w:szCs w:val="21"/>
                <w:highlight w:val="none"/>
              </w:rPr>
            </w:r>
            <w:r/>
          </w:p>
        </w:tc>
        <w:tc>
          <w:tcPr>
            <w:tcW w:w="1259" w:type="dxa"/>
            <w:vAlign w:val="center"/>
            <w:textDirection w:val="lrTb"/>
            <w:noWrap w:val="false"/>
          </w:tcPr>
          <w:p>
            <w:pPr>
              <w:pStyle w:val="768"/>
              <w:jc w:val="center"/>
              <w:spacing w:line="300" w:lineRule="exact"/>
              <w:rPr>
                <w:color w:val="000000"/>
                <w:spacing w:val="20"/>
                <w:szCs w:val="21"/>
                <w:highlight w:val="none"/>
              </w:rPr>
            </w:pPr>
            <w:r>
              <w:rPr>
                <w:color w:val="000000"/>
                <w:spacing w:val="20"/>
                <w:szCs w:val="21"/>
                <w:highlight w:val="none"/>
              </w:rPr>
            </w:r>
            <w:r/>
          </w:p>
        </w:tc>
      </w:tr>
      <w:tr>
        <w:trPr>
          <w:trHeight w:val="1171"/>
        </w:trPr>
        <w:tc>
          <w:tcPr>
            <w:tcW w:w="1126" w:type="dxa"/>
            <w:vAlign w:val="center"/>
            <w:vMerge w:val="restart"/>
            <w:textDirection w:val="lrTb"/>
            <w:noWrap w:val="false"/>
          </w:tcPr>
          <w:p>
            <w:pPr>
              <w:pStyle w:val="768"/>
              <w:jc w:val="center"/>
              <w:spacing w:line="300" w:lineRule="exact"/>
              <w:rPr>
                <w:color w:val="000000"/>
                <w:szCs w:val="21"/>
                <w:highlight w:val="none"/>
              </w:rPr>
            </w:pPr>
            <w:r>
              <w:rPr>
                <w:color w:val="000000"/>
                <w:szCs w:val="21"/>
                <w:highlight w:val="none"/>
              </w:rPr>
              <w:t xml:space="preserve">法定代表人</w:t>
            </w:r>
            <w:r>
              <w:rPr>
                <w:color w:val="000000"/>
                <w:szCs w:val="21"/>
                <w:highlight w:val="none"/>
              </w:rPr>
            </w:r>
            <w:r/>
          </w:p>
          <w:p>
            <w:pPr>
              <w:pStyle w:val="768"/>
              <w:ind w:firstLine="100"/>
              <w:jc w:val="center"/>
              <w:spacing w:line="300" w:lineRule="exact"/>
              <w:rPr>
                <w:color w:val="000000"/>
                <w:szCs w:val="21"/>
                <w:highlight w:val="none"/>
              </w:rPr>
            </w:pPr>
            <w:r>
              <w:rPr>
                <w:rFonts w:hint="eastAsia"/>
                <w:color w:val="000000"/>
                <w:szCs w:val="21"/>
                <w:highlight w:val="none"/>
              </w:rPr>
              <w:t xml:space="preserve">或其</w:t>
            </w:r>
            <w:r>
              <w:rPr>
                <w:color w:val="000000"/>
                <w:szCs w:val="21"/>
                <w:highlight w:val="none"/>
              </w:rPr>
              <w:t xml:space="preserve">委托代理人</w:t>
            </w:r>
            <w:r>
              <w:rPr>
                <w:rFonts w:hint="eastAsia"/>
                <w:color w:val="000000"/>
                <w:szCs w:val="21"/>
                <w:highlight w:val="none"/>
              </w:rPr>
              <w:t xml:space="preserve">（签章）</w:t>
            </w:r>
            <w:r>
              <w:rPr>
                <w:color w:val="000000"/>
                <w:szCs w:val="21"/>
                <w:highlight w:val="none"/>
              </w:rPr>
            </w:r>
            <w:r/>
          </w:p>
        </w:tc>
        <w:tc>
          <w:tcPr>
            <w:tcW w:w="1436" w:type="dxa"/>
            <w:vAlign w:val="center"/>
            <w:vMerge w:val="restart"/>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t xml:space="preserve">法定代表人</w:t>
            </w:r>
            <w:r>
              <w:rPr>
                <w:color w:val="000000"/>
                <w:szCs w:val="21"/>
                <w:highlight w:val="none"/>
              </w:rPr>
            </w:r>
            <w:r/>
          </w:p>
          <w:p>
            <w:pPr>
              <w:pStyle w:val="768"/>
              <w:jc w:val="center"/>
              <w:spacing w:line="300" w:lineRule="exact"/>
              <w:rPr>
                <w:color w:val="000000"/>
                <w:szCs w:val="21"/>
                <w:highlight w:val="none"/>
              </w:rPr>
            </w:pPr>
            <w:r>
              <w:rPr>
                <w:rFonts w:hint="eastAsia"/>
                <w:color w:val="000000"/>
                <w:szCs w:val="21"/>
                <w:highlight w:val="none"/>
              </w:rPr>
              <w:t xml:space="preserve">或其</w:t>
            </w:r>
            <w:r>
              <w:rPr>
                <w:color w:val="000000"/>
                <w:szCs w:val="21"/>
                <w:highlight w:val="none"/>
              </w:rPr>
              <w:t xml:space="preserve">委托代理人</w:t>
            </w:r>
            <w:r>
              <w:rPr>
                <w:rFonts w:hint="eastAsia"/>
                <w:color w:val="000000"/>
                <w:szCs w:val="21"/>
                <w:highlight w:val="none"/>
              </w:rPr>
              <w:t xml:space="preserve">（签章）</w:t>
            </w:r>
            <w:r>
              <w:rPr>
                <w:color w:val="000000"/>
                <w:szCs w:val="21"/>
                <w:highlight w:val="none"/>
              </w:rPr>
            </w:r>
            <w:r/>
          </w:p>
        </w:tc>
        <w:tc>
          <w:tcPr>
            <w:tcW w:w="1259"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r>
            <w:r/>
          </w:p>
        </w:tc>
      </w:tr>
      <w:tr>
        <w:trPr>
          <w:trHeight w:val="483"/>
        </w:trPr>
        <w:tc>
          <w:tcPr>
            <w:tcW w:w="1126" w:type="dxa"/>
            <w:vAlign w:val="center"/>
            <w:vMerge w:val="continue"/>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436" w:type="dxa"/>
            <w:vAlign w:val="center"/>
            <w:vMerge w:val="continue"/>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68"/>
              <w:jc w:val="center"/>
              <w:spacing w:line="300" w:lineRule="exact"/>
              <w:rPr>
                <w:color w:val="000000"/>
                <w:szCs w:val="21"/>
                <w:highlight w:val="none"/>
              </w:rPr>
            </w:pPr>
            <w:r>
              <w:rPr>
                <w:rFonts w:hint="eastAsia"/>
                <w:color w:val="000000"/>
                <w:szCs w:val="21"/>
                <w:highlight w:val="none"/>
              </w:rPr>
              <w:t xml:space="preserve">拥有者性别</w:t>
            </w:r>
            <w:r>
              <w:rPr>
                <w:color w:val="000000"/>
                <w:szCs w:val="21"/>
                <w:highlight w:val="none"/>
              </w:rPr>
            </w:r>
            <w:r/>
          </w:p>
        </w:tc>
        <w:tc>
          <w:tcPr>
            <w:tcW w:w="1259" w:type="dxa"/>
            <w:vAlign w:val="center"/>
            <w:textDirection w:val="lrTb"/>
            <w:noWrap w:val="false"/>
          </w:tcPr>
          <w:p>
            <w:pPr>
              <w:pStyle w:val="768"/>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68"/>
              <w:jc w:val="center"/>
              <w:spacing w:line="300" w:lineRule="exact"/>
              <w:rPr>
                <w:color w:val="000000"/>
                <w:szCs w:val="21"/>
                <w:highlight w:val="none"/>
              </w:rPr>
            </w:pPr>
            <w:r>
              <w:rPr>
                <w:rFonts w:hint="eastAsia"/>
                <w:color w:val="000000"/>
                <w:szCs w:val="21"/>
                <w:highlight w:val="none"/>
              </w:rPr>
              <w:t xml:space="preserve">住  所</w:t>
            </w:r>
            <w:r>
              <w:rPr>
                <w:color w:val="000000"/>
                <w:szCs w:val="21"/>
                <w:highlight w:val="none"/>
              </w:rPr>
            </w:r>
            <w:r/>
          </w:p>
        </w:tc>
        <w:tc>
          <w:tcPr>
            <w:tcW w:w="143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68"/>
              <w:jc w:val="center"/>
              <w:spacing w:line="300" w:lineRule="exact"/>
              <w:rPr>
                <w:color w:val="000000"/>
                <w:szCs w:val="21"/>
                <w:highlight w:val="none"/>
              </w:rPr>
            </w:pPr>
            <w:r>
              <w:rPr>
                <w:rFonts w:hint="eastAsia"/>
                <w:color w:val="000000"/>
                <w:szCs w:val="21"/>
                <w:highlight w:val="none"/>
              </w:rPr>
              <w:t xml:space="preserve">住  所</w:t>
            </w:r>
            <w:r>
              <w:rPr>
                <w:color w:val="000000"/>
                <w:szCs w:val="21"/>
                <w:highlight w:val="none"/>
              </w:rPr>
            </w:r>
            <w:r/>
          </w:p>
        </w:tc>
        <w:tc>
          <w:tcPr>
            <w:tcW w:w="1259" w:type="dxa"/>
            <w:vAlign w:val="center"/>
            <w:textDirection w:val="lrTb"/>
            <w:noWrap w:val="false"/>
          </w:tcPr>
          <w:p>
            <w:pPr>
              <w:pStyle w:val="768"/>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t xml:space="preserve">联 系 人</w:t>
            </w:r>
            <w:r>
              <w:rPr>
                <w:color w:val="000000"/>
                <w:szCs w:val="21"/>
                <w:highlight w:val="none"/>
              </w:rPr>
            </w:r>
            <w:r/>
          </w:p>
        </w:tc>
        <w:tc>
          <w:tcPr>
            <w:tcW w:w="143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t xml:space="preserve">联 系 人</w:t>
            </w:r>
            <w:r>
              <w:rPr>
                <w:color w:val="000000"/>
                <w:szCs w:val="21"/>
                <w:highlight w:val="none"/>
              </w:rPr>
            </w:r>
            <w:r/>
          </w:p>
        </w:tc>
        <w:tc>
          <w:tcPr>
            <w:tcW w:w="1259" w:type="dxa"/>
            <w:vAlign w:val="center"/>
            <w:textDirection w:val="lrTb"/>
            <w:noWrap w:val="false"/>
          </w:tcPr>
          <w:p>
            <w:pPr>
              <w:pStyle w:val="768"/>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t xml:space="preserve">联系电话</w:t>
            </w:r>
            <w:r>
              <w:rPr>
                <w:color w:val="000000"/>
                <w:szCs w:val="21"/>
                <w:highlight w:val="none"/>
              </w:rPr>
            </w:r>
            <w:r/>
          </w:p>
        </w:tc>
        <w:tc>
          <w:tcPr>
            <w:tcW w:w="143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t xml:space="preserve">联系电话</w:t>
            </w:r>
            <w:r>
              <w:rPr>
                <w:color w:val="000000"/>
                <w:szCs w:val="21"/>
                <w:highlight w:val="none"/>
              </w:rPr>
            </w:r>
            <w:r/>
          </w:p>
        </w:tc>
        <w:tc>
          <w:tcPr>
            <w:tcW w:w="1259" w:type="dxa"/>
            <w:vAlign w:val="center"/>
            <w:textDirection w:val="lrTb"/>
            <w:noWrap w:val="false"/>
          </w:tcPr>
          <w:p>
            <w:pPr>
              <w:pStyle w:val="768"/>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68"/>
              <w:jc w:val="center"/>
              <w:spacing w:line="300" w:lineRule="exact"/>
              <w:rPr>
                <w:color w:val="000000"/>
                <w:szCs w:val="21"/>
                <w:highlight w:val="none"/>
              </w:rPr>
            </w:pPr>
            <w:r>
              <w:rPr>
                <w:rFonts w:hint="eastAsia"/>
                <w:color w:val="000000"/>
                <w:szCs w:val="21"/>
                <w:highlight w:val="none"/>
              </w:rPr>
              <w:t xml:space="preserve">通信地址</w:t>
            </w:r>
            <w:r>
              <w:rPr>
                <w:color w:val="000000"/>
                <w:szCs w:val="21"/>
                <w:highlight w:val="none"/>
              </w:rPr>
            </w:r>
            <w:r/>
          </w:p>
        </w:tc>
        <w:tc>
          <w:tcPr>
            <w:tcW w:w="143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68"/>
              <w:jc w:val="center"/>
              <w:spacing w:line="300" w:lineRule="exact"/>
              <w:rPr>
                <w:color w:val="000000"/>
                <w:szCs w:val="21"/>
                <w:highlight w:val="none"/>
              </w:rPr>
            </w:pPr>
            <w:r>
              <w:rPr>
                <w:rFonts w:hint="eastAsia"/>
                <w:color w:val="000000"/>
                <w:szCs w:val="21"/>
                <w:highlight w:val="none"/>
              </w:rPr>
              <w:t xml:space="preserve">通信地址</w:t>
            </w:r>
            <w:r>
              <w:rPr>
                <w:color w:val="000000"/>
                <w:szCs w:val="21"/>
                <w:highlight w:val="none"/>
              </w:rPr>
            </w:r>
            <w:r/>
          </w:p>
        </w:tc>
        <w:tc>
          <w:tcPr>
            <w:tcW w:w="1259" w:type="dxa"/>
            <w:vAlign w:val="center"/>
            <w:textDirection w:val="lrTb"/>
            <w:noWrap w:val="false"/>
          </w:tcPr>
          <w:p>
            <w:pPr>
              <w:pStyle w:val="768"/>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t xml:space="preserve">邮政编码</w:t>
            </w:r>
            <w:r>
              <w:rPr>
                <w:color w:val="000000"/>
                <w:szCs w:val="21"/>
                <w:highlight w:val="none"/>
              </w:rPr>
            </w:r>
            <w:r/>
          </w:p>
        </w:tc>
        <w:tc>
          <w:tcPr>
            <w:tcW w:w="143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t xml:space="preserve">邮政编码</w:t>
            </w:r>
            <w:r>
              <w:rPr>
                <w:color w:val="000000"/>
                <w:szCs w:val="21"/>
                <w:highlight w:val="none"/>
              </w:rPr>
            </w:r>
            <w:r/>
          </w:p>
        </w:tc>
        <w:tc>
          <w:tcPr>
            <w:tcW w:w="1259" w:type="dxa"/>
            <w:vAlign w:val="center"/>
            <w:textDirection w:val="lrTb"/>
            <w:noWrap w:val="false"/>
          </w:tcPr>
          <w:p>
            <w:pPr>
              <w:pStyle w:val="768"/>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68"/>
              <w:jc w:val="center"/>
              <w:spacing w:line="300" w:lineRule="exact"/>
              <w:rPr>
                <w:color w:val="000000"/>
                <w:szCs w:val="21"/>
                <w:highlight w:val="none"/>
              </w:rPr>
            </w:pPr>
            <w:r>
              <w:rPr>
                <w:rFonts w:hint="eastAsia"/>
                <w:color w:val="000000"/>
                <w:szCs w:val="21"/>
                <w:highlight w:val="none"/>
              </w:rPr>
              <w:t xml:space="preserve">电子邮箱</w:t>
            </w:r>
            <w:r>
              <w:rPr>
                <w:color w:val="000000"/>
                <w:szCs w:val="21"/>
                <w:highlight w:val="none"/>
              </w:rPr>
            </w:r>
            <w:r/>
          </w:p>
        </w:tc>
        <w:tc>
          <w:tcPr>
            <w:tcW w:w="143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68"/>
              <w:jc w:val="center"/>
              <w:spacing w:line="300" w:lineRule="exact"/>
              <w:rPr>
                <w:color w:val="000000"/>
                <w:szCs w:val="21"/>
                <w:highlight w:val="none"/>
              </w:rPr>
            </w:pPr>
            <w:r>
              <w:rPr>
                <w:rFonts w:hint="eastAsia"/>
                <w:color w:val="000000"/>
                <w:szCs w:val="21"/>
                <w:highlight w:val="none"/>
              </w:rPr>
              <w:t xml:space="preserve">电子邮箱</w:t>
            </w:r>
            <w:r>
              <w:rPr>
                <w:color w:val="000000"/>
                <w:szCs w:val="21"/>
                <w:highlight w:val="none"/>
              </w:rPr>
            </w:r>
            <w:r/>
          </w:p>
        </w:tc>
        <w:tc>
          <w:tcPr>
            <w:tcW w:w="1259" w:type="dxa"/>
            <w:vAlign w:val="center"/>
            <w:textDirection w:val="lrTb"/>
            <w:noWrap w:val="false"/>
          </w:tcPr>
          <w:p>
            <w:pPr>
              <w:pStyle w:val="768"/>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68"/>
              <w:jc w:val="center"/>
              <w:spacing w:line="300" w:lineRule="exact"/>
              <w:rPr>
                <w:color w:val="000000"/>
                <w:szCs w:val="21"/>
                <w:highlight w:val="none"/>
              </w:rPr>
            </w:pPr>
            <w:r>
              <w:rPr>
                <w:rFonts w:hint="eastAsia"/>
                <w:color w:val="000000"/>
                <w:szCs w:val="21"/>
                <w:highlight w:val="none"/>
              </w:rPr>
              <w:t xml:space="preserve">统一社会信用代码</w:t>
            </w:r>
            <w:r>
              <w:rPr>
                <w:color w:val="000000"/>
                <w:szCs w:val="21"/>
                <w:highlight w:val="none"/>
              </w:rPr>
            </w:r>
            <w:r/>
          </w:p>
        </w:tc>
        <w:tc>
          <w:tcPr>
            <w:tcW w:w="143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68"/>
              <w:jc w:val="center"/>
              <w:spacing w:line="300" w:lineRule="exact"/>
              <w:rPr>
                <w:color w:val="000000"/>
                <w:szCs w:val="21"/>
                <w:highlight w:val="none"/>
              </w:rPr>
            </w:pPr>
            <w:r>
              <w:rPr>
                <w:rFonts w:hint="eastAsia"/>
                <w:color w:val="000000"/>
                <w:szCs w:val="21"/>
                <w:highlight w:val="none"/>
              </w:rPr>
              <w:t xml:space="preserve">统一社会信用代码</w:t>
            </w:r>
            <w:r>
              <w:rPr>
                <w:color w:val="000000"/>
                <w:szCs w:val="21"/>
                <w:highlight w:val="none"/>
              </w:rPr>
            </w:r>
            <w:r/>
          </w:p>
        </w:tc>
        <w:tc>
          <w:tcPr>
            <w:tcW w:w="1259" w:type="dxa"/>
            <w:vAlign w:val="center"/>
            <w:textDirection w:val="lrTb"/>
            <w:noWrap w:val="false"/>
          </w:tcPr>
          <w:p>
            <w:pPr>
              <w:pStyle w:val="768"/>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43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t xml:space="preserve">开户名称</w:t>
            </w:r>
            <w:r>
              <w:rPr>
                <w:color w:val="000000"/>
                <w:szCs w:val="21"/>
                <w:highlight w:val="none"/>
              </w:rPr>
            </w:r>
            <w:r/>
          </w:p>
        </w:tc>
        <w:tc>
          <w:tcPr>
            <w:tcW w:w="1259" w:type="dxa"/>
            <w:vAlign w:val="center"/>
            <w:textDirection w:val="lrTb"/>
            <w:noWrap w:val="false"/>
          </w:tcPr>
          <w:p>
            <w:pPr>
              <w:pStyle w:val="768"/>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43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t xml:space="preserve">开户银行</w:t>
            </w:r>
            <w:r>
              <w:rPr>
                <w:color w:val="000000"/>
                <w:szCs w:val="21"/>
                <w:highlight w:val="none"/>
              </w:rPr>
            </w:r>
            <w:r/>
          </w:p>
        </w:tc>
        <w:tc>
          <w:tcPr>
            <w:tcW w:w="1259" w:type="dxa"/>
            <w:vAlign w:val="center"/>
            <w:textDirection w:val="lrTb"/>
            <w:noWrap w:val="false"/>
          </w:tcPr>
          <w:p>
            <w:pPr>
              <w:pStyle w:val="768"/>
              <w:jc w:val="center"/>
              <w:spacing w:line="300" w:lineRule="exact"/>
              <w:rPr>
                <w:color w:val="000000"/>
                <w:spacing w:val="20"/>
                <w:szCs w:val="21"/>
                <w:highlight w:val="none"/>
              </w:rPr>
            </w:pPr>
            <w:r>
              <w:rPr>
                <w:color w:val="000000"/>
                <w:spacing w:val="20"/>
                <w:szCs w:val="21"/>
                <w:highlight w:val="none"/>
              </w:rPr>
            </w:r>
            <w:r/>
          </w:p>
        </w:tc>
      </w:tr>
      <w:tr>
        <w:trPr>
          <w:trHeight w:val="483"/>
        </w:trPr>
        <w:tc>
          <w:tcPr>
            <w:tcW w:w="112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436"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r>
            <w:r/>
          </w:p>
        </w:tc>
        <w:tc>
          <w:tcPr>
            <w:tcW w:w="1178" w:type="dxa"/>
            <w:vAlign w:val="center"/>
            <w:textDirection w:val="lrTb"/>
            <w:noWrap w:val="false"/>
          </w:tcPr>
          <w:p>
            <w:pPr>
              <w:pStyle w:val="768"/>
              <w:jc w:val="center"/>
              <w:spacing w:line="300" w:lineRule="exact"/>
              <w:rPr>
                <w:color w:val="000000"/>
                <w:szCs w:val="21"/>
                <w:highlight w:val="none"/>
              </w:rPr>
            </w:pPr>
            <w:r>
              <w:rPr>
                <w:color w:val="000000"/>
                <w:szCs w:val="21"/>
                <w:highlight w:val="none"/>
              </w:rPr>
              <w:t xml:space="preserve">银行账号</w:t>
            </w:r>
            <w:r>
              <w:rPr>
                <w:color w:val="000000"/>
                <w:szCs w:val="21"/>
                <w:highlight w:val="none"/>
              </w:rPr>
            </w:r>
            <w:r/>
          </w:p>
        </w:tc>
        <w:tc>
          <w:tcPr>
            <w:tcW w:w="1259" w:type="dxa"/>
            <w:vAlign w:val="center"/>
            <w:textDirection w:val="lrTb"/>
            <w:noWrap w:val="false"/>
          </w:tcPr>
          <w:p>
            <w:pPr>
              <w:pStyle w:val="768"/>
              <w:jc w:val="center"/>
              <w:spacing w:line="300" w:lineRule="exact"/>
              <w:rPr>
                <w:color w:val="000000"/>
                <w:spacing w:val="20"/>
                <w:szCs w:val="21"/>
                <w:highlight w:val="none"/>
              </w:rPr>
            </w:pPr>
            <w:r>
              <w:rPr>
                <w:color w:val="000000"/>
                <w:spacing w:val="20"/>
                <w:szCs w:val="21"/>
                <w:highlight w:val="none"/>
              </w:rPr>
            </w:r>
            <w:r/>
          </w:p>
        </w:tc>
      </w:tr>
      <w:tr>
        <w:trPr>
          <w:trHeight w:val="586"/>
        </w:trPr>
        <w:tc>
          <w:tcPr>
            <w:gridSpan w:val="4"/>
            <w:tcW w:w="8398" w:type="dxa"/>
            <w:vAlign w:val="center"/>
            <w:textDirection w:val="lrTb"/>
            <w:noWrap w:val="false"/>
          </w:tcPr>
          <w:p>
            <w:pPr>
              <w:pStyle w:val="806"/>
              <w:ind w:left="0"/>
              <w:jc w:val="left"/>
              <w:spacing w:before="156" w:after="0" w:line="360" w:lineRule="auto"/>
              <w:rPr>
                <w:color w:val="000000"/>
                <w:spacing w:val="20"/>
                <w:szCs w:val="21"/>
                <w:highlight w:val="none"/>
              </w:rPr>
            </w:pPr>
            <w:r>
              <w:rPr>
                <w:rFonts w:hint="eastAsia" w:ascii="宋体" w:hAnsi="宋体"/>
                <w:color w:val="000000"/>
                <w:szCs w:val="21"/>
                <w:highlight w:val="none"/>
              </w:rPr>
              <w:t xml:space="preserve">注：涉及联合体或其他合同主体的信息应按上表格式加列。</w:t>
            </w:r>
            <w:r>
              <w:rPr>
                <w:color w:val="000000"/>
                <w:spacing w:val="20"/>
                <w:szCs w:val="21"/>
                <w:highlight w:val="none"/>
              </w:rPr>
            </w:r>
            <w:r/>
          </w:p>
        </w:tc>
      </w:tr>
    </w:tbl>
    <w:p>
      <w:pPr>
        <w:pStyle w:val="770"/>
        <w:spacing w:before="156"/>
        <w:rPr>
          <w:rFonts w:ascii="黑体" w:hAnsi="黑体" w:eastAsia="黑体"/>
          <w:color w:val="000000"/>
          <w:sz w:val="28"/>
          <w:szCs w:val="28"/>
          <w:highlight w:val="none"/>
        </w:rPr>
      </w:pPr>
      <w:r>
        <w:rPr>
          <w:rFonts w:ascii="宋体" w:hAnsi="宋体"/>
          <w:color w:val="000000"/>
          <w:sz w:val="21"/>
          <w:szCs w:val="21"/>
          <w:highlight w:val="none"/>
          <w:u w:val="single"/>
        </w:rPr>
        <w:br w:type="page" w:clear="all"/>
      </w:r>
      <w:r>
        <w:rPr>
          <w:rFonts w:hint="eastAsia" w:ascii="黑体" w:hAnsi="黑体" w:eastAsia="黑体"/>
          <w:b w:val="0"/>
          <w:bCs w:val="0"/>
          <w:color w:val="000000"/>
          <w:sz w:val="28"/>
          <w:szCs w:val="28"/>
          <w:highlight w:val="none"/>
        </w:rPr>
        <w:t xml:space="preserve">第二节 政府采购合同通用条款</w:t>
      </w:r>
      <w:r>
        <w:rPr>
          <w:rFonts w:ascii="黑体" w:hAnsi="黑体" w:eastAsia="黑体"/>
          <w:color w:val="000000"/>
          <w:sz w:val="28"/>
          <w:szCs w:val="28"/>
          <w:highlight w:val="none"/>
        </w:rPr>
      </w:r>
      <w:r/>
    </w:p>
    <w:p>
      <w:pPr>
        <w:pStyle w:val="768"/>
        <w:jc w:val="left"/>
        <w:spacing w:line="400" w:lineRule="exact"/>
        <w:tabs>
          <w:tab w:val="left" w:pos="8820" w:leader="none"/>
          <w:tab w:val="left" w:pos="9345" w:leader="none"/>
          <w:tab w:val="left" w:pos="9765" w:leader="none"/>
        </w:tabs>
        <w:rPr>
          <w:rFonts w:ascii="宋体" w:hAnsi="宋体"/>
          <w:b/>
          <w:bCs/>
          <w:color w:val="000000"/>
          <w:sz w:val="24"/>
          <w:highlight w:val="none"/>
        </w:rPr>
      </w:pPr>
      <w:r>
        <w:rPr>
          <w:rFonts w:hint="eastAsia" w:ascii="宋体" w:hAnsi="宋体"/>
          <w:b/>
          <w:color w:val="000000"/>
          <w:sz w:val="24"/>
          <w:highlight w:val="none"/>
        </w:rPr>
        <w:t xml:space="preserve">1. </w:t>
      </w:r>
      <w:r>
        <w:rPr>
          <w:rFonts w:hint="eastAsia" w:ascii="宋体" w:hAnsi="宋体"/>
          <w:b/>
          <w:bCs/>
          <w:color w:val="000000"/>
          <w:sz w:val="24"/>
          <w:highlight w:val="none"/>
        </w:rPr>
        <w:t xml:space="preserve">定义</w:t>
      </w:r>
      <w:r>
        <w:rPr>
          <w:rFonts w:ascii="宋体" w:hAnsi="宋体"/>
          <w:b/>
          <w:bCs/>
          <w:color w:val="000000"/>
          <w:sz w:val="24"/>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1.1合同当事人</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（1）采购人（以下称甲方）是指使用财政性资金，通过政府采购方式向供应商购买货物及其相关服务的国家机关、事业单位、团体组织。</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（2）供应商（以下称乙方）是指参加政府采购活动并且中标（成交），向采购人提供合同约定的货物及其相关服务的法人、非法人组织或者自然人。</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color w:val="000000"/>
          <w:szCs w:val="21"/>
          <w:highlight w:val="none"/>
        </w:rPr>
        <w:t xml:space="preserve">。</w:t>
      </w:r>
      <w:r>
        <w:rPr>
          <w:rFonts w:ascii="宋体" w:hAnsi="宋体"/>
          <w:color w:val="000000"/>
          <w:szCs w:val="21"/>
          <w:highlight w:val="none"/>
        </w:rPr>
      </w:r>
      <w:r/>
    </w:p>
    <w:p>
      <w:pPr>
        <w:pStyle w:val="768"/>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1.2本合同下列术语应解释为：</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color w:val="000000"/>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color w:val="000000"/>
          <w:szCs w:val="21"/>
          <w:highlight w:val="none"/>
        </w:rPr>
        <w:t xml:space="preserve">。</w:t>
      </w:r>
      <w:r>
        <w:rPr>
          <w:rFonts w:ascii="宋体" w:hAnsi="宋体"/>
          <w:color w:val="000000"/>
          <w:szCs w:val="21"/>
          <w:highlight w:val="none"/>
        </w:rPr>
      </w:r>
      <w:r/>
    </w:p>
    <w:p>
      <w:pPr>
        <w:pStyle w:val="768"/>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（2）“合同价款”系指根据本合同规定乙方在全面履行合同义务后甲方应支付给乙方的价款。</w:t>
      </w:r>
      <w:r>
        <w:rPr>
          <w:rFonts w:ascii="宋体" w:hAnsi="宋体"/>
          <w:color w:val="000000"/>
          <w:szCs w:val="21"/>
          <w:highlight w:val="none"/>
        </w:rPr>
      </w:r>
      <w:r/>
    </w:p>
    <w:p>
      <w:pPr>
        <w:pStyle w:val="768"/>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（3）“货物”系指乙方根据本合同规定须向甲方提供的各种形态和种类的物品，包括原材料、设备、产品（包括软件）及相关的备品备件、工具、手册及</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技术资料和材料等。</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（4）“相关服务”系指根据合同规定，乙方应提供的与货物有关的技术、管理和</w:t>
      </w:r>
      <w:r>
        <w:rPr>
          <w:rFonts w:ascii="宋体" w:hAnsi="宋体"/>
          <w:color w:val="000000"/>
          <w:szCs w:val="21"/>
          <w:highlight w:val="none"/>
          <w:lang w:val="en"/>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义务。</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none"/>
        </w:rPr>
      </w:r>
      <w:r/>
    </w:p>
    <w:p>
      <w:pPr>
        <w:pStyle w:val="768"/>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768"/>
        <w:ind w:firstLine="420"/>
        <w:jc w:val="left"/>
        <w:spacing w:line="400" w:lineRule="exact"/>
        <w:tabs>
          <w:tab w:val="left" w:pos="570" w:leader="none"/>
          <w:tab w:val="left" w:pos="9240" w:leader="none"/>
          <w:tab w:val="left" w:pos="9555" w:leader="none"/>
        </w:tabs>
        <w:rPr>
          <w:rFonts w:ascii="宋体" w:hAnsi="宋体"/>
          <w:color w:val="000000"/>
          <w:szCs w:val="21"/>
          <w:highlight w:val="none"/>
        </w:rP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rPr>
          <w:rFonts w:ascii="宋体" w:hAnsi="宋体"/>
          <w:color w:val="000000"/>
          <w:szCs w:val="21"/>
          <w:highlight w:val="none"/>
        </w:rPr>
      </w:r>
      <w:r/>
    </w:p>
    <w:p>
      <w:pPr>
        <w:pStyle w:val="768"/>
        <w:numPr>
          <w:ilvl w:val="0"/>
          <w:numId w:val="3"/>
        </w:numPr>
        <w:jc w:val="left"/>
        <w:spacing w:line="400" w:lineRule="exact"/>
        <w:rPr>
          <w:rFonts w:ascii="宋体" w:hAnsi="宋体"/>
          <w:b/>
          <w:bCs/>
          <w:color w:val="000000"/>
          <w:sz w:val="24"/>
          <w:highlight w:val="none"/>
        </w:rPr>
      </w:pPr>
      <w:r>
        <w:rPr>
          <w:rFonts w:hint="eastAsia" w:ascii="宋体" w:hAnsi="宋体"/>
          <w:b/>
          <w:color w:val="000000"/>
          <w:sz w:val="24"/>
          <w:highlight w:val="none"/>
        </w:rPr>
        <w:t xml:space="preserve">合同标的及金额</w:t>
      </w:r>
      <w:r>
        <w:rPr>
          <w:rFonts w:ascii="宋体" w:hAnsi="宋体"/>
          <w:b/>
          <w:bCs/>
          <w:color w:val="000000"/>
          <w:sz w:val="24"/>
          <w:highlight w:val="none"/>
        </w:rPr>
      </w:r>
      <w:r/>
    </w:p>
    <w:p>
      <w:pPr>
        <w:pStyle w:val="768"/>
        <w:ind w:firstLine="420"/>
        <w:jc w:val="left"/>
        <w:spacing w:line="400" w:lineRule="exact"/>
        <w:rPr>
          <w:rFonts w:ascii="宋体" w:hAnsi="宋体"/>
          <w:b/>
          <w:bCs/>
          <w:i/>
          <w:iCs/>
          <w:color w:val="000000"/>
          <w:szCs w:val="21"/>
          <w:highlight w:val="none"/>
        </w:rP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lang w:val="en"/>
        </w:rPr>
        <w:t xml:space="preserve">其他</w:t>
      </w:r>
      <w:r>
        <w:rPr>
          <w:rFonts w:hint="eastAsia" w:ascii="宋体" w:hAnsi="宋体"/>
          <w:color w:val="000000"/>
          <w:szCs w:val="21"/>
          <w:highlight w:val="none"/>
        </w:rPr>
        <w:t xml:space="preserve">任何费用。</w:t>
      </w:r>
      <w:r>
        <w:rPr>
          <w:rFonts w:ascii="宋体" w:hAnsi="宋体"/>
          <w:b/>
          <w:bCs/>
          <w:i/>
          <w:iCs/>
          <w:color w:val="000000"/>
          <w:szCs w:val="21"/>
          <w:highlight w:val="none"/>
        </w:rPr>
      </w:r>
      <w:r/>
    </w:p>
    <w:p>
      <w:pPr>
        <w:pStyle w:val="768"/>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3. 履行合同的时间、地点和方式</w:t>
      </w:r>
      <w:r>
        <w:rPr>
          <w:rFonts w:ascii="宋体" w:hAnsi="宋体"/>
          <w:b/>
          <w:color w:val="000000"/>
          <w:sz w:val="24"/>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3.1 </w:t>
      </w:r>
      <w:r>
        <w:rPr>
          <w:rFonts w:hint="eastAsia" w:ascii="宋体" w:hAnsi="宋体" w:cs="宋体"/>
          <w:color w:val="000000"/>
          <w:szCs w:val="21"/>
          <w:highlight w:val="none"/>
        </w:rPr>
        <w:t xml:space="preserve">乙方应当在约定的时间、地点，按照约定方式履行合同。</w:t>
      </w:r>
      <w:r>
        <w:rPr>
          <w:rFonts w:ascii="宋体" w:hAnsi="宋体"/>
          <w:color w:val="000000"/>
          <w:szCs w:val="21"/>
          <w:highlight w:val="none"/>
        </w:rPr>
      </w:r>
      <w:r/>
    </w:p>
    <w:p>
      <w:pPr>
        <w:pStyle w:val="76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4. 甲方的权利和义务</w:t>
      </w:r>
      <w:r>
        <w:rPr>
          <w:rFonts w:ascii="宋体" w:hAnsi="宋体"/>
          <w:b/>
          <w:bCs/>
          <w:color w:val="000000"/>
          <w:sz w:val="24"/>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4.1</w:t>
      </w:r>
      <w:r>
        <w:rPr>
          <w:rFonts w:ascii="宋体" w:hAnsi="宋体"/>
          <w:color w:val="000000"/>
          <w:szCs w:val="21"/>
          <w:highlight w:val="none"/>
        </w:rPr>
        <w:t xml:space="preserve"> 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w:t>
      </w:r>
      <w:r>
        <w:rPr>
          <w:rFonts w:hint="eastAsia" w:ascii="宋体" w:hAnsi="宋体"/>
          <w:color w:val="000000"/>
          <w:szCs w:val="21"/>
          <w:highlight w:val="none"/>
        </w:rPr>
        <w:t xml:space="preserve"> </w:t>
      </w:r>
      <w:r>
        <w:rPr>
          <w:rFonts w:ascii="宋体" w:hAnsi="宋体"/>
          <w:color w:val="000000"/>
          <w:szCs w:val="21"/>
          <w:highlight w:val="none"/>
        </w:rPr>
        <w:t xml:space="preserve">甲方</w:t>
      </w:r>
      <w:r>
        <w:rPr>
          <w:rFonts w:hint="eastAsia" w:ascii="宋体" w:hAnsi="宋体"/>
          <w:color w:val="000000"/>
          <w:szCs w:val="21"/>
          <w:highlight w:val="none"/>
        </w:rPr>
        <w:t xml:space="preserve">有权要求乙方对缺陷部分予以修复，并按合同约定享有货物保修及其他合同约定的权利。</w:t>
      </w:r>
      <w:r>
        <w:rPr>
          <w:rFonts w:ascii="宋体" w:hAnsi="宋体"/>
          <w:color w:val="000000"/>
          <w:szCs w:val="21"/>
          <w:highlight w:val="none"/>
        </w:rPr>
      </w:r>
      <w:r/>
    </w:p>
    <w:p>
      <w:pPr>
        <w:pStyle w:val="768"/>
        <w:ind w:firstLine="420"/>
        <w:spacing w:line="400" w:lineRule="exact"/>
        <w:rPr>
          <w:rFonts w:eastAsia="华文楷体"/>
          <w:color w:val="000000"/>
          <w:highlight w:val="none"/>
        </w:rPr>
      </w:pPr>
      <w:r>
        <w:rPr>
          <w:rFonts w:ascii="宋体" w:hAnsi="宋体"/>
          <w:color w:val="000000"/>
          <w:szCs w:val="21"/>
          <w:highlight w:val="none"/>
        </w:rPr>
        <w:t xml:space="preserve">4.4 甲方应当按照合同约定及时对交付的货物进行验收</w:t>
      </w:r>
      <w:r>
        <w:rPr>
          <w:rFonts w:hint="eastAsia" w:ascii="宋体" w:hAnsi="宋体"/>
          <w:color w:val="000000"/>
          <w:szCs w:val="21"/>
          <w:highlight w:val="none"/>
        </w:rPr>
        <w:t xml:space="preserve">，</w:t>
      </w:r>
      <w:r>
        <w:rPr>
          <w:rFonts w:hint="eastAsia" w:ascii="宋体" w:hAnsi="宋体" w:cs="宋体"/>
          <w:color w:val="000000"/>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color w:val="000000"/>
          <w:szCs w:val="21"/>
          <w:highlight w:val="none"/>
        </w:rPr>
        <w:t xml:space="preserve">【政府采购合同专用条款】</w:t>
      </w:r>
      <w:r>
        <w:rPr>
          <w:rFonts w:hint="eastAsia" w:ascii="宋体" w:hAnsi="宋体" w:cs="宋体"/>
          <w:color w:val="000000"/>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rPr>
          <w:rFonts w:eastAsia="华文楷体"/>
          <w:color w:val="000000"/>
          <w:highlight w:val="none"/>
        </w:rPr>
      </w:r>
      <w:r/>
    </w:p>
    <w:p>
      <w:pPr>
        <w:pStyle w:val="768"/>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 </w:t>
      </w:r>
      <w:r>
        <w:rPr>
          <w:rFonts w:hint="eastAsia" w:ascii="宋体" w:hAnsi="宋体"/>
          <w:color w:val="000000"/>
          <w:szCs w:val="21"/>
          <w:highlight w:val="none"/>
        </w:rPr>
        <w:t xml:space="preserve">甲方应当根据合同约定及时向乙方支付合同价款</w:t>
      </w:r>
      <w:r>
        <w:rPr>
          <w:rFonts w:ascii="宋体" w:hAnsi="宋体"/>
          <w:color w:val="000000"/>
          <w:szCs w:val="21"/>
          <w:highlight w:val="none"/>
        </w:rPr>
        <w:t xml:space="preserve">，不得以内部人员变更、履行内部付款流程等为由，拒绝或迟延支付。</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4.6</w:t>
      </w:r>
      <w:r>
        <w:rPr>
          <w:rFonts w:ascii="宋体" w:hAnsi="宋体"/>
          <w:color w:val="000000"/>
          <w:szCs w:val="21"/>
          <w:highlight w:val="none"/>
        </w:rPr>
        <w:t xml:space="preserve"> </w:t>
      </w:r>
      <w:r>
        <w:rPr>
          <w:rFonts w:hint="eastAsia" w:ascii="宋体" w:hAnsi="宋体"/>
          <w:color w:val="000000"/>
          <w:szCs w:val="21"/>
          <w:highlight w:val="none"/>
        </w:rPr>
        <w:t xml:space="preserve">国家法律法规规定及</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rPr>
          <w:rFonts w:ascii="宋体" w:hAnsi="宋体"/>
          <w:color w:val="000000"/>
          <w:szCs w:val="21"/>
          <w:highlight w:val="none"/>
        </w:rPr>
      </w:r>
      <w:r/>
    </w:p>
    <w:p>
      <w:pPr>
        <w:pStyle w:val="76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5. 乙方的权利和义务</w:t>
      </w:r>
      <w:r>
        <w:rPr>
          <w:rFonts w:ascii="宋体" w:hAnsi="宋体"/>
          <w:b/>
          <w:bCs/>
          <w:color w:val="000000"/>
          <w:sz w:val="24"/>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2 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乙方有权根据合同约定向甲方收取合同价款。</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olor w:val="000000"/>
          <w:szCs w:val="21"/>
          <w:highlight w:val="none"/>
        </w:rPr>
        <w:t xml:space="preserve">国家法律法规规定及</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约定应由乙方承担的其他义务和责任。</w:t>
      </w:r>
      <w:r>
        <w:rPr>
          <w:rFonts w:ascii="宋体" w:hAnsi="宋体"/>
          <w:color w:val="000000"/>
          <w:szCs w:val="21"/>
          <w:highlight w:val="none"/>
        </w:rPr>
      </w:r>
      <w:r/>
    </w:p>
    <w:p>
      <w:pPr>
        <w:pStyle w:val="768"/>
        <w:numPr>
          <w:ilvl w:val="0"/>
          <w:numId w:val="4"/>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合同履行</w:t>
      </w:r>
      <w:r>
        <w:rPr>
          <w:rFonts w:ascii="宋体" w:hAnsi="宋体"/>
          <w:b/>
          <w:bCs/>
          <w:color w:val="000000"/>
          <w:sz w:val="24"/>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6.1 甲乙双方应当按照</w:t>
      </w:r>
      <w:r>
        <w:rPr>
          <w:rFonts w:hint="eastAsia" w:ascii="宋体" w:hAnsi="宋体" w:cs="宋体"/>
          <w:b/>
          <w:bCs/>
          <w:color w:val="000000"/>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rPr>
          <w:rFonts w:ascii="宋体" w:hAnsi="宋体"/>
          <w:color w:val="000000"/>
          <w:szCs w:val="21"/>
          <w:highlight w:val="none"/>
        </w:rPr>
      </w:r>
      <w:r/>
    </w:p>
    <w:p>
      <w:pPr>
        <w:pStyle w:val="768"/>
        <w:ind w:firstLine="420"/>
        <w:jc w:val="left"/>
        <w:spacing w:line="400" w:lineRule="exact"/>
        <w:rPr>
          <w:color w:val="000000"/>
          <w:highlight w:val="none"/>
        </w:rP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color w:val="000000"/>
          <w:highlight w:val="none"/>
        </w:rPr>
      </w:r>
      <w:r/>
    </w:p>
    <w:p>
      <w:pPr>
        <w:pStyle w:val="76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7. 货物包装、运输、保险和交付要求</w:t>
      </w:r>
      <w:r>
        <w:rPr>
          <w:rFonts w:ascii="宋体" w:hAnsi="宋体"/>
          <w:b/>
          <w:bCs/>
          <w:color w:val="000000"/>
          <w:sz w:val="24"/>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rPr>
          <w:rFonts w:ascii="宋体" w:hAnsi="宋体"/>
          <w:color w:val="000000"/>
          <w:szCs w:val="21"/>
          <w:highlight w:val="none"/>
        </w:rPr>
      </w:r>
      <w:r/>
    </w:p>
    <w:p>
      <w:pPr>
        <w:pStyle w:val="1228"/>
        <w:ind w:firstLine="420"/>
        <w:rPr>
          <w:color w:val="000000"/>
          <w:sz w:val="21"/>
          <w:highlight w:val="none"/>
        </w:rP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rPr>
          <w:color w:val="000000"/>
          <w:sz w:val="21"/>
          <w:highlight w:val="none"/>
        </w:rPr>
      </w:r>
      <w:r/>
    </w:p>
    <w:p>
      <w:pPr>
        <w:pStyle w:val="768"/>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8. 质量标准和保证</w:t>
      </w:r>
      <w:r>
        <w:rPr>
          <w:rFonts w:ascii="宋体" w:hAnsi="宋体"/>
          <w:b/>
          <w:color w:val="000000"/>
          <w:sz w:val="24"/>
          <w:highlight w:val="none"/>
        </w:rPr>
      </w:r>
      <w:r/>
    </w:p>
    <w:p>
      <w:pPr>
        <w:pStyle w:val="811"/>
        <w:ind w:firstLine="420"/>
        <w:jc w:val="left"/>
        <w:spacing w:line="400" w:lineRule="exact"/>
        <w:rPr>
          <w:rFonts w:hAnsi="宋体"/>
          <w:b/>
          <w:color w:val="000000"/>
          <w:highlight w:val="none"/>
        </w:rPr>
      </w:pPr>
      <w:r>
        <w:rPr>
          <w:rFonts w:hint="eastAsia" w:hAnsi="宋体"/>
          <w:color w:val="000000"/>
          <w:highlight w:val="none"/>
        </w:rPr>
        <w:t xml:space="preserve">8.1 质量标准</w:t>
      </w:r>
      <w:r>
        <w:rPr>
          <w:rFonts w:hAnsi="宋体"/>
          <w:b/>
          <w:color w:val="000000"/>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（1）本合同下提供的货物应符合合同</w:t>
      </w:r>
      <w:r>
        <w:rPr>
          <w:rFonts w:hint="eastAsia" w:ascii="宋体" w:hAnsi="宋体" w:cs="宋体"/>
          <w:color w:val="000000"/>
          <w:szCs w:val="21"/>
          <w:highlight w:val="none"/>
        </w:rPr>
        <w:t xml:space="preserve">约定的品牌、规格型号、技术性能、配置、质量、数量等要求。</w:t>
      </w:r>
      <w:r>
        <w:rPr>
          <w:rFonts w:hint="eastAsia" w:ascii="宋体" w:hAnsi="宋体"/>
          <w:color w:val="000000"/>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color w:val="000000"/>
          <w:szCs w:val="21"/>
          <w:highlight w:val="none"/>
        </w:rPr>
      </w:r>
      <w:r/>
    </w:p>
    <w:p>
      <w:pPr>
        <w:pStyle w:val="811"/>
        <w:ind w:firstLine="420"/>
        <w:jc w:val="left"/>
        <w:spacing w:line="400" w:lineRule="exact"/>
        <w:rPr>
          <w:rFonts w:hAnsi="宋体"/>
          <w:color w:val="000000"/>
          <w:highlight w:val="none"/>
        </w:rPr>
      </w:pPr>
      <w:r>
        <w:rPr>
          <w:rFonts w:hint="eastAsia" w:hAnsi="宋体"/>
          <w:color w:val="000000"/>
          <w:highlight w:val="none"/>
        </w:rPr>
        <w:t xml:space="preserve">（2）采用中华人民共和国法定计量单位。</w:t>
      </w:r>
      <w:r>
        <w:rPr>
          <w:rFonts w:hAnsi="宋体"/>
          <w:color w:val="000000"/>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（3）乙方所提供的货物应符合国家有关安全、环保、卫生的规定。</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8.2 保证</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000000"/>
          <w:szCs w:val="21"/>
          <w:highlight w:val="none"/>
        </w:rPr>
        <w:t xml:space="preserve">在其使用寿命期内具备合同约定的性能</w:t>
      </w:r>
      <w:r>
        <w:rPr>
          <w:rFonts w:hint="eastAsia" w:ascii="宋体" w:hAnsi="宋体"/>
          <w:color w:val="000000"/>
          <w:szCs w:val="21"/>
          <w:highlight w:val="none"/>
        </w:rPr>
        <w:t xml:space="preserve">。存在质量保证期的，货物最终交付验收合格后在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规定或乙方书面承诺（两者以较长的为准）的质量保证期内，本保证保持有效。</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（2）在质量保证期内所发现的缺陷，甲方应尽快以书面形式通知乙方。</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（3）乙方收到通知后，应在</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规定的响应时间内以合理的速度免费维修或更换有缺陷的货物或部件。</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color w:val="000000"/>
          <w:szCs w:val="21"/>
          <w:highlight w:val="none"/>
        </w:rPr>
      </w:r>
      <w:r/>
    </w:p>
    <w:p>
      <w:pPr>
        <w:pStyle w:val="768"/>
        <w:ind w:firstLine="420"/>
        <w:jc w:val="left"/>
        <w:spacing w:line="400" w:lineRule="exact"/>
        <w:rPr>
          <w:color w:val="000000"/>
          <w:highlight w:val="none"/>
        </w:rPr>
      </w:pPr>
      <w:r>
        <w:rPr>
          <w:rFonts w:hint="eastAsia" w:ascii="宋体" w:hAnsi="宋体"/>
          <w:color w:val="000000"/>
          <w:szCs w:val="21"/>
          <w:highlight w:val="none"/>
        </w:rPr>
        <w:t xml:space="preserve">（5）乙方在约定的时间内未能弥补缺陷，甲方可采取必要的补救措施，但其风险和费用将由乙方承担，甲方根据合同约定对乙方行使的其他权利不受影响。</w:t>
      </w:r>
      <w:r>
        <w:rPr>
          <w:color w:val="000000"/>
          <w:highlight w:val="none"/>
        </w:rPr>
      </w:r>
      <w:r/>
    </w:p>
    <w:p>
      <w:pPr>
        <w:pStyle w:val="76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9. 权利瑕疵担保</w:t>
      </w:r>
      <w:r>
        <w:rPr>
          <w:rFonts w:ascii="宋体" w:hAnsi="宋体"/>
          <w:b/>
          <w:bCs/>
          <w:color w:val="000000"/>
          <w:sz w:val="24"/>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9.1 乙方保证对其出售的货物享有合法的权利。</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9.2 </w:t>
      </w:r>
      <w:r>
        <w:rPr>
          <w:rFonts w:hint="eastAsia" w:ascii="宋体" w:hAnsi="宋体" w:cs="宋体"/>
          <w:color w:val="000000"/>
          <w:szCs w:val="15"/>
          <w:highlight w:val="none"/>
        </w:rPr>
        <w:t xml:space="preserve">乙方保证在交付的货物上不存在抵押权等担保物权。</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9.3 如甲方使用上述货物构成对第三人侵权的，则由乙方承担全部责任。</w:t>
      </w:r>
      <w:r>
        <w:rPr>
          <w:rFonts w:ascii="宋体" w:hAnsi="宋体"/>
          <w:color w:val="000000"/>
          <w:szCs w:val="21"/>
          <w:highlight w:val="none"/>
        </w:rPr>
      </w:r>
      <w:r/>
    </w:p>
    <w:p>
      <w:pPr>
        <w:pStyle w:val="76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10. 知识产权保护</w:t>
      </w:r>
      <w:r>
        <w:rPr>
          <w:rFonts w:ascii="宋体" w:hAnsi="宋体"/>
          <w:b/>
          <w:bCs/>
          <w:color w:val="000000"/>
          <w:sz w:val="24"/>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10.1 乙方对其所销售的货物应当享有知识产权或经权利人合法授权，保证没有侵犯任何第三人的知识产权等权利。</w:t>
      </w:r>
      <w:r>
        <w:rPr>
          <w:rFonts w:hint="eastAsia" w:ascii="宋体" w:hAnsi="宋体" w:cs="宋体"/>
          <w:color w:val="000000"/>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szCs w:val="21"/>
          <w:highlight w:val="none"/>
        </w:rPr>
        <w:t xml:space="preserve">。</w:t>
      </w:r>
      <w:r>
        <w:rPr>
          <w:rFonts w:ascii="宋体" w:hAnsi="宋体"/>
          <w:color w:val="000000"/>
          <w:szCs w:val="21"/>
          <w:highlight w:val="none"/>
        </w:rPr>
      </w:r>
      <w:r/>
    </w:p>
    <w:p>
      <w:pPr>
        <w:pStyle w:val="76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11. 保密义务</w:t>
      </w:r>
      <w:r>
        <w:rPr>
          <w:rFonts w:ascii="宋体" w:hAnsi="宋体"/>
          <w:b/>
          <w:bCs/>
          <w:color w:val="000000"/>
          <w:sz w:val="24"/>
          <w:highlight w:val="none"/>
        </w:rPr>
      </w:r>
      <w:r/>
    </w:p>
    <w:p>
      <w:pPr>
        <w:pStyle w:val="768"/>
        <w:ind w:firstLine="420"/>
        <w:jc w:val="left"/>
        <w:spacing w:line="400" w:lineRule="exact"/>
        <w:rPr>
          <w:rFonts w:ascii="宋体" w:hAnsi="宋体" w:cs="宋体"/>
          <w:color w:val="000000"/>
          <w:szCs w:val="15"/>
          <w:highlight w:val="none"/>
        </w:rPr>
      </w:pPr>
      <w:r>
        <w:rPr>
          <w:rFonts w:hint="eastAsia" w:ascii="宋体" w:hAnsi="宋体" w:cs="宋体"/>
          <w:color w:val="000000"/>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中约定。</w:t>
      </w:r>
      <w:r>
        <w:rPr>
          <w:rFonts w:ascii="宋体" w:hAnsi="宋体" w:cs="宋体"/>
          <w:color w:val="000000"/>
          <w:szCs w:val="15"/>
          <w:highlight w:val="none"/>
        </w:rPr>
      </w:r>
      <w:r/>
    </w:p>
    <w:p>
      <w:pPr>
        <w:pStyle w:val="76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12. 合同价款支付</w:t>
      </w:r>
      <w:r>
        <w:rPr>
          <w:rFonts w:ascii="宋体" w:hAnsi="宋体"/>
          <w:b/>
          <w:bCs/>
          <w:color w:val="000000"/>
          <w:sz w:val="24"/>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12.1 合同价款支付按照国库集中支付制度及财政管理相关规定执行。</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】中约定。</w:t>
      </w:r>
      <w:r>
        <w:rPr>
          <w:rFonts w:ascii="宋体" w:hAnsi="宋体"/>
          <w:color w:val="000000"/>
          <w:szCs w:val="21"/>
          <w:highlight w:val="none"/>
        </w:rPr>
      </w:r>
      <w:r/>
    </w:p>
    <w:p>
      <w:pPr>
        <w:pStyle w:val="76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13. 履约保证金</w:t>
      </w:r>
      <w:r>
        <w:rPr>
          <w:rFonts w:ascii="宋体" w:hAnsi="宋体"/>
          <w:b/>
          <w:bCs/>
          <w:color w:val="000000"/>
          <w:sz w:val="24"/>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13.1 </w:t>
      </w:r>
      <w:r>
        <w:rPr>
          <w:rFonts w:hint="eastAsia" w:ascii="宋体" w:hAnsi="宋体" w:cs="宋体"/>
          <w:color w:val="000000"/>
          <w:szCs w:val="15"/>
          <w:highlight w:val="none"/>
        </w:rPr>
        <w:t xml:space="preserve">乙方应当以支票、汇票、本票或者金融机构、担保机构出具的保函等非现金形式提交。</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13.2 如果乙方出现</w:t>
      </w:r>
      <w:r>
        <w:rPr>
          <w:rFonts w:hint="eastAsia" w:ascii="宋体" w:hAnsi="宋体" w:cs="宋体"/>
          <w:b/>
          <w:bCs/>
          <w:color w:val="000000"/>
          <w:szCs w:val="15"/>
          <w:highlight w:val="none"/>
        </w:rPr>
        <w:t xml:space="preserve">【政府采购合同专用条款】</w:t>
      </w:r>
      <w:r>
        <w:rPr>
          <w:rFonts w:hint="eastAsia" w:ascii="宋体" w:hAnsi="宋体" w:cs="宋体"/>
          <w:color w:val="000000"/>
          <w:szCs w:val="15"/>
          <w:highlight w:val="none"/>
        </w:rPr>
        <w:t xml:space="preserve">约定情形的</w:t>
      </w:r>
      <w:r>
        <w:rPr>
          <w:rFonts w:hint="eastAsia" w:ascii="宋体" w:hAnsi="宋体"/>
          <w:color w:val="000000"/>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color w:val="000000"/>
          <w:szCs w:val="21"/>
          <w:highlight w:val="none"/>
        </w:rPr>
      </w:r>
      <w:r/>
    </w:p>
    <w:p>
      <w:pPr>
        <w:pStyle w:val="768"/>
        <w:ind w:firstLine="420"/>
        <w:spacing w:line="400" w:lineRule="exact"/>
        <w:rPr>
          <w:color w:val="000000"/>
          <w:highlight w:val="none"/>
        </w:rPr>
      </w:pPr>
      <w:r>
        <w:rPr>
          <w:rFonts w:hint="eastAsia" w:ascii="宋体" w:hAnsi="宋体"/>
          <w:color w:val="000000"/>
          <w:szCs w:val="21"/>
          <w:highlight w:val="none"/>
        </w:rPr>
        <w:t xml:space="preserve">13.3 甲方在项目通过验收后按照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规定的时间内将履约保证金退还乙方；逾期退还的，乙方可要求甲方支付违约金，违约金按照</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规定支付。</w:t>
      </w:r>
      <w:r>
        <w:rPr>
          <w:color w:val="000000"/>
          <w:highlight w:val="none"/>
        </w:rPr>
      </w:r>
      <w:r/>
    </w:p>
    <w:p>
      <w:pPr>
        <w:pStyle w:val="768"/>
        <w:jc w:val="left"/>
        <w:spacing w:line="400" w:lineRule="exact"/>
        <w:rPr>
          <w:rFonts w:ascii="宋体" w:hAnsi="宋体"/>
          <w:b/>
          <w:color w:val="000000"/>
          <w:sz w:val="24"/>
          <w:highlight w:val="none"/>
        </w:rPr>
      </w:pPr>
      <w:r>
        <w:rPr>
          <w:rFonts w:hint="eastAsia" w:ascii="宋体" w:hAnsi="宋体"/>
          <w:b/>
          <w:bCs/>
          <w:color w:val="000000"/>
          <w:sz w:val="24"/>
          <w:highlight w:val="none"/>
        </w:rPr>
        <w:t xml:space="preserve">14. </w:t>
      </w:r>
      <w:r>
        <w:rPr>
          <w:rFonts w:hint="eastAsia"/>
          <w:b/>
          <w:color w:val="000000"/>
          <w:sz w:val="24"/>
          <w:highlight w:val="none"/>
        </w:rPr>
        <w:t xml:space="preserve">售后</w:t>
      </w:r>
      <w:r>
        <w:rPr>
          <w:rFonts w:hint="eastAsia" w:ascii="宋体" w:hAnsi="宋体"/>
          <w:b/>
          <w:color w:val="000000"/>
          <w:sz w:val="24"/>
          <w:highlight w:val="none"/>
        </w:rPr>
        <w:t xml:space="preserve">服务</w:t>
      </w:r>
      <w:r>
        <w:rPr>
          <w:rFonts w:ascii="宋体" w:hAnsi="宋体"/>
          <w:b/>
          <w:color w:val="000000"/>
          <w:sz w:val="24"/>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14.1 除项目不涉及或采购活动中明确约定无须承担外，乙方还应提供下列服务：</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（1）货物的现场移动、安装、调试、启动监督及技术支持；</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（2）提供货物组装和维修所需的专用工具和辅助材料；</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（3）在</w:t>
      </w:r>
      <w:r>
        <w:rPr>
          <w:rFonts w:hint="eastAsia" w:ascii="宋体" w:hAnsi="宋体" w:cs="宋体"/>
          <w:b/>
          <w:bCs/>
          <w:color w:val="000000"/>
          <w:szCs w:val="15"/>
          <w:highlight w:val="none"/>
        </w:rPr>
        <w:t xml:space="preserve">【政府采购合同专用条款】</w:t>
      </w:r>
      <w:r>
        <w:rPr>
          <w:rFonts w:hint="eastAsia" w:ascii="宋体" w:hAnsi="宋体"/>
          <w:color w:val="000000"/>
          <w:szCs w:val="21"/>
          <w:highlight w:val="none"/>
        </w:rPr>
        <w:t xml:space="preserve">约定的期限内对所有的货物实施运行监督、维修，但前提条件是该服务并不能免除乙方在质量保证期内所承担的义务；</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（4）在制造商所在地或指定现场就货物的安装、启动、运营、维护、废弃处置等对甲方操作人员进行培训</w:t>
      </w:r>
      <w:r>
        <w:rPr>
          <w:rFonts w:hint="eastAsia" w:ascii="宋体" w:hAnsi="宋体" w:cs="宋体"/>
          <w:color w:val="000000"/>
          <w:szCs w:val="15"/>
          <w:highlight w:val="none"/>
        </w:rPr>
        <w:t xml:space="preserve">；</w:t>
      </w:r>
      <w:r>
        <w:rPr>
          <w:rFonts w:ascii="宋体" w:hAnsi="宋体"/>
          <w:color w:val="000000"/>
          <w:szCs w:val="21"/>
          <w:highlight w:val="none"/>
        </w:rPr>
      </w:r>
      <w:r/>
    </w:p>
    <w:p>
      <w:pPr>
        <w:pStyle w:val="1228"/>
        <w:ind w:firstLine="420"/>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（5）依照法律、行政法规的规定或者按照</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约定，货物在有效使用年限届满后应予回收的，乙方负有自行或者委托第三人对货物予以回收的义务；</w:t>
      </w:r>
      <w:r>
        <w:rPr>
          <w:rFonts w:ascii="宋体" w:hAnsi="宋体" w:eastAsia="宋体" w:cs="宋体"/>
          <w:color w:val="000000"/>
          <w:sz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（6）</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规定由乙方提供的其他服务。</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14.2 乙方提供的售后服务的费用已包含在合同价款中，甲方不再另行支付。</w:t>
      </w:r>
      <w:r>
        <w:rPr>
          <w:rFonts w:ascii="宋体" w:hAnsi="宋体"/>
          <w:color w:val="000000"/>
          <w:szCs w:val="21"/>
          <w:highlight w:val="none"/>
        </w:rPr>
      </w:r>
      <w:r/>
    </w:p>
    <w:p>
      <w:pPr>
        <w:pStyle w:val="76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15. 违约责任</w:t>
      </w:r>
      <w:r>
        <w:rPr>
          <w:rFonts w:ascii="宋体" w:hAnsi="宋体"/>
          <w:b/>
          <w:bCs/>
          <w:color w:val="000000"/>
          <w:sz w:val="24"/>
          <w:highlight w:val="none"/>
        </w:rPr>
      </w:r>
      <w:r/>
    </w:p>
    <w:p>
      <w:pPr>
        <w:pStyle w:val="768"/>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15.1质量瑕疵的违约责任</w:t>
      </w:r>
      <w:r>
        <w:rPr>
          <w:rFonts w:ascii="宋体" w:hAnsi="宋体"/>
          <w:bCs/>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乙方提供的产品不符合合同约定的质量标准或存在产品质量缺陷，甲方有权要求乙方根据</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要求</w:t>
      </w:r>
      <w:r>
        <w:rPr>
          <w:rFonts w:hint="eastAsia" w:ascii="宋体" w:hAnsi="宋体"/>
          <w:color w:val="000000"/>
          <w:szCs w:val="21"/>
          <w:highlight w:val="none"/>
        </w:rPr>
        <w:t xml:space="preserve">及时修理、重作、更换，并承担由此给甲方造成的损失。</w:t>
      </w:r>
      <w:r>
        <w:rPr>
          <w:rFonts w:ascii="宋体" w:hAnsi="宋体"/>
          <w:color w:val="000000"/>
          <w:szCs w:val="21"/>
          <w:highlight w:val="none"/>
        </w:rPr>
      </w:r>
      <w:r/>
    </w:p>
    <w:p>
      <w:pPr>
        <w:pStyle w:val="768"/>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15.2 迟延交货的违约责任</w:t>
      </w:r>
      <w:r>
        <w:rPr>
          <w:rFonts w:ascii="宋体" w:hAnsi="宋体"/>
          <w:bCs/>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000000"/>
          <w:szCs w:val="21"/>
          <w:highlight w:val="none"/>
        </w:rPr>
        <w:t xml:space="preserve">【政府采购合同专用条款】</w:t>
      </w:r>
      <w:r>
        <w:rPr>
          <w:rFonts w:hint="eastAsia" w:ascii="宋体" w:hAnsi="宋体"/>
          <w:color w:val="000000"/>
          <w:szCs w:val="21"/>
          <w:highlight w:val="none"/>
        </w:rPr>
        <w:t xml:space="preserve">规定执行。如果涉及公共利益，且赔偿金额无法弥补公共利益损失，甲方可要求继续履行或者采取其他补救措施。</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15.3 迟延支付的违约责任</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甲方存在迟延支付乙方合同款项的，应当承担</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规定的逾期付款利息。</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bCs/>
          <w:color w:val="000000"/>
          <w:szCs w:val="21"/>
          <w:highlight w:val="none"/>
        </w:rPr>
        <w:t xml:space="preserve">15.4其他违约责任根据项目实际需要按</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规定执行。</w:t>
      </w:r>
      <w:r>
        <w:rPr>
          <w:rFonts w:ascii="宋体" w:hAnsi="宋体"/>
          <w:color w:val="000000"/>
          <w:szCs w:val="21"/>
          <w:highlight w:val="none"/>
        </w:rPr>
      </w:r>
      <w:r/>
    </w:p>
    <w:p>
      <w:pPr>
        <w:pStyle w:val="768"/>
        <w:numPr>
          <w:ilvl w:val="0"/>
          <w:numId w:val="5"/>
        </w:numPr>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合同变更、中止与终止</w:t>
      </w:r>
      <w:r>
        <w:rPr>
          <w:rFonts w:ascii="宋体" w:hAnsi="宋体"/>
          <w:b/>
          <w:color w:val="000000"/>
          <w:sz w:val="24"/>
          <w:highlight w:val="none"/>
        </w:rPr>
      </w:r>
      <w:r/>
    </w:p>
    <w:p>
      <w:pPr>
        <w:pStyle w:val="768"/>
        <w:jc w:val="left"/>
        <w:spacing w:line="400" w:lineRule="exact"/>
        <w:rPr>
          <w:rFonts w:ascii="宋体" w:hAnsi="宋体"/>
          <w:color w:val="000000"/>
          <w:szCs w:val="21"/>
          <w:highlight w:val="none"/>
        </w:rPr>
      </w:pPr>
      <w:r>
        <w:rPr>
          <w:rFonts w:hint="eastAsia" w:ascii="宋体" w:hAnsi="宋体"/>
          <w:color w:val="000000"/>
          <w:szCs w:val="21"/>
          <w:highlight w:val="none"/>
        </w:rPr>
        <w:t xml:space="preserve">    16.1合同的变更</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政府采购合同履行中，在不改变合同其他条款的前提下，甲方可以在合同价款10%的范围内追加与合同标的相同的货物，并就此与乙方协商一致后签订补充协议。</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16.2合同的中止</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（1）合同履行过程中因供应商就采购文件、采购过程或结果提起投诉的，甲方认为有必要的，可以中止合同的履行。</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color w:val="000000"/>
          <w:szCs w:val="21"/>
          <w:highlight w:val="none"/>
        </w:rPr>
      </w:r>
      <w:r/>
    </w:p>
    <w:p>
      <w:pPr>
        <w:pStyle w:val="1228"/>
        <w:ind w:firstLine="420"/>
        <w:jc w:val="both"/>
        <w:rPr>
          <w:color w:val="000000"/>
          <w:sz w:val="21"/>
          <w:highlight w:val="none"/>
        </w:rPr>
      </w:pPr>
      <w:r>
        <w:rPr>
          <w:rFonts w:hint="eastAsia" w:ascii="宋体" w:hAnsi="宋体" w:eastAsia="宋体" w:cs="宋体"/>
          <w:color w:val="000000"/>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sz w:val="21"/>
          <w:highlight w:val="none"/>
        </w:rPr>
      </w:r>
      <w:r/>
    </w:p>
    <w:p>
      <w:pPr>
        <w:pStyle w:val="768"/>
        <w:ind w:firstLine="420"/>
        <w:jc w:val="left"/>
        <w:spacing w:line="400" w:lineRule="exact"/>
        <w:rPr>
          <w:color w:val="000000"/>
          <w:highlight w:val="none"/>
        </w:rPr>
      </w:pPr>
      <w:r>
        <w:rPr>
          <w:rFonts w:hint="eastAsia" w:ascii="宋体" w:hAnsi="宋体"/>
          <w:color w:val="000000"/>
          <w:szCs w:val="21"/>
          <w:highlight w:val="none"/>
        </w:rPr>
        <w:t xml:space="preserve">（4）甲方不得以行政区划调整、政府换届、机构或者职能调整以及相关责任人更替为由中止合同。</w:t>
      </w:r>
      <w:r>
        <w:rPr>
          <w:color w:val="000000"/>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16.3合同的终止</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（1）合同因有效期限届满而终止；</w:t>
      </w:r>
      <w:r>
        <w:rPr>
          <w:rFonts w:ascii="宋体" w:hAnsi="宋体"/>
          <w:color w:val="000000"/>
          <w:szCs w:val="21"/>
          <w:highlight w:val="none"/>
        </w:rPr>
      </w:r>
      <w:r/>
    </w:p>
    <w:p>
      <w:pPr>
        <w:pStyle w:val="768"/>
        <w:ind w:firstLine="420"/>
        <w:spacing w:line="400" w:lineRule="exact"/>
        <w:rPr>
          <w:rFonts w:ascii="宋体" w:hAnsi="宋体" w:cs="宋体"/>
          <w:color w:val="000000"/>
          <w:szCs w:val="21"/>
          <w:highlight w:val="none"/>
        </w:rPr>
      </w:pPr>
      <w:r>
        <w:rPr>
          <w:rFonts w:hint="eastAsia" w:ascii="宋体" w:hAnsi="宋体"/>
          <w:color w:val="000000"/>
          <w:szCs w:val="21"/>
          <w:highlight w:val="none"/>
        </w:rPr>
        <w:t xml:space="preserve">（2）乙方未按合同约定履行，构成根本性违约的，甲方有权终止合同，</w:t>
      </w:r>
      <w:r>
        <w:rPr>
          <w:rFonts w:hint="eastAsia" w:ascii="宋体" w:hAnsi="宋体" w:cs="宋体"/>
          <w:color w:val="000000"/>
          <w:szCs w:val="21"/>
          <w:highlight w:val="none"/>
        </w:rPr>
        <w:t xml:space="preserve">并追究乙方的违约责任</w:t>
      </w:r>
      <w:r>
        <w:rPr>
          <w:rFonts w:hint="eastAsia" w:ascii="宋体" w:hAnsi="宋体"/>
          <w:color w:val="000000"/>
          <w:szCs w:val="21"/>
          <w:highlight w:val="none"/>
        </w:rPr>
        <w:t xml:space="preserve">。</w:t>
      </w:r>
      <w:r>
        <w:rPr>
          <w:rFonts w:ascii="宋体" w:hAnsi="宋体" w:cs="宋体"/>
          <w:color w:val="000000"/>
          <w:szCs w:val="21"/>
          <w:highlight w:val="none"/>
        </w:rPr>
      </w:r>
      <w:r/>
    </w:p>
    <w:p>
      <w:pPr>
        <w:pStyle w:val="1228"/>
        <w:rPr>
          <w:rFonts w:ascii="宋体" w:hAnsi="宋体"/>
          <w:color w:val="000000"/>
          <w:highlight w:val="none"/>
        </w:rPr>
      </w:pPr>
      <w:r>
        <w:rPr>
          <w:rFonts w:hint="eastAsia" w:ascii="宋体" w:hAnsi="宋体"/>
          <w:color w:val="000000"/>
          <w:highlight w:val="none"/>
        </w:rPr>
        <w:t xml:space="preserve">16.4 </w:t>
      </w:r>
      <w:r>
        <w:rPr>
          <w:rFonts w:hint="eastAsia" w:ascii="宋体" w:hAnsi="宋体" w:eastAsia="宋体" w:cs="Times New Roman"/>
          <w:color w:val="000000"/>
          <w:sz w:val="21"/>
          <w:highlight w:val="none"/>
        </w:rPr>
        <w:t xml:space="preserve">涉及国家利益、社会公共利益的情形</w:t>
      </w:r>
      <w:r>
        <w:rPr>
          <w:rFonts w:ascii="宋体" w:hAnsi="宋体"/>
          <w:color w:val="000000"/>
          <w:highlight w:val="none"/>
        </w:rPr>
      </w:r>
      <w:r/>
    </w:p>
    <w:p>
      <w:pPr>
        <w:pStyle w:val="1228"/>
        <w:ind w:firstLine="420"/>
        <w:jc w:val="both"/>
        <w:rPr>
          <w:color w:val="000000"/>
          <w:sz w:val="21"/>
          <w:highlight w:val="none"/>
        </w:rPr>
      </w:pPr>
      <w:r>
        <w:rPr>
          <w:rFonts w:hint="eastAsia" w:ascii="宋体" w:hAnsi="宋体" w:eastAsia="宋体" w:cs="宋体"/>
          <w:color w:val="000000"/>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rPr>
          <w:color w:val="000000"/>
          <w:sz w:val="21"/>
          <w:highlight w:val="none"/>
        </w:rPr>
      </w:r>
      <w:r/>
    </w:p>
    <w:p>
      <w:pPr>
        <w:pStyle w:val="76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17. 合同分包</w:t>
      </w:r>
      <w:r>
        <w:rPr>
          <w:rFonts w:ascii="宋体" w:hAnsi="宋体"/>
          <w:b/>
          <w:bCs/>
          <w:color w:val="000000"/>
          <w:sz w:val="24"/>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17.1 乙方不得将合同转包给其他供应商。涉及合同分包的，乙方应根据采购文件和投标（响应）文件规定进行合同分包。</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17.2 乙方执行政府采购政策向中小企业依法分包的，乙方应当按采购文件和投标（响应）文件签订分包意向协议，分包意向协议属于本合同组成部分。</w:t>
      </w:r>
      <w:r>
        <w:rPr>
          <w:rFonts w:ascii="宋体" w:hAnsi="宋体"/>
          <w:color w:val="000000"/>
          <w:szCs w:val="21"/>
          <w:highlight w:val="none"/>
        </w:rPr>
      </w:r>
      <w:r/>
    </w:p>
    <w:p>
      <w:pPr>
        <w:pStyle w:val="76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18. 不可抗力</w:t>
      </w:r>
      <w:r>
        <w:rPr>
          <w:rFonts w:ascii="宋体" w:hAnsi="宋体"/>
          <w:b/>
          <w:bCs/>
          <w:color w:val="000000"/>
          <w:sz w:val="24"/>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18.1 不可抗力是指合同双方不能预见、不能避免且不能克服的客观情况。</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18.2 任何一方对由于不可抗力造成的部分或全部不能履行合同不承担违约责任。但迟延履行后发生不可抗力的，不能免除责任。</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color w:val="000000"/>
          <w:szCs w:val="21"/>
          <w:highlight w:val="none"/>
        </w:rPr>
      </w:r>
      <w:r/>
    </w:p>
    <w:p>
      <w:pPr>
        <w:pStyle w:val="768"/>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19. 解决争议的方法</w:t>
      </w:r>
      <w:r>
        <w:rPr>
          <w:rFonts w:ascii="宋体" w:hAnsi="宋体"/>
          <w:b/>
          <w:bCs/>
          <w:color w:val="000000"/>
          <w:sz w:val="24"/>
          <w:highlight w:val="none"/>
        </w:rPr>
      </w:r>
      <w:r/>
    </w:p>
    <w:p>
      <w:pPr>
        <w:pStyle w:val="122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1"/>
          <w:highlight w:val="none"/>
        </w:rPr>
      </w:r>
      <w:r/>
    </w:p>
    <w:p>
      <w:pPr>
        <w:pStyle w:val="122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19.2 选择仲裁的，应在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中明确仲裁机构及仲裁地；通过诉讼方式解决的，可以在</w:t>
      </w:r>
      <w:r>
        <w:rPr>
          <w:rFonts w:hint="eastAsia" w:ascii="宋体" w:hAnsi="宋体" w:eastAsia="宋体" w:cs="宋体"/>
          <w:b/>
          <w:bCs/>
          <w:color w:val="000000"/>
          <w:sz w:val="21"/>
          <w:highlight w:val="none"/>
        </w:rPr>
        <w:t xml:space="preserve">【政府采购合同专用条款】</w:t>
      </w:r>
      <w:r>
        <w:rPr>
          <w:rFonts w:hint="eastAsia" w:ascii="宋体" w:hAnsi="宋体" w:eastAsia="宋体" w:cs="宋体"/>
          <w:color w:val="000000"/>
          <w:sz w:val="21"/>
          <w:highlight w:val="none"/>
        </w:rPr>
        <w:t xml:space="preserve">中进一步约定选择与争议有实际联系的地点的人民法院管辖，但管辖法院的约定不得违反级别管辖和专属管辖的规定。</w:t>
      </w:r>
      <w:r>
        <w:rPr>
          <w:rFonts w:ascii="宋体" w:hAnsi="宋体" w:eastAsia="宋体" w:cs="宋体"/>
          <w:color w:val="000000"/>
          <w:sz w:val="21"/>
          <w:highlight w:val="none"/>
        </w:rPr>
      </w:r>
      <w:r/>
    </w:p>
    <w:p>
      <w:pPr>
        <w:pStyle w:val="122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19.3 如甲乙双方有争议的事项不影响合同其他部分的履行，在争议解决期间，合同其他部分应当继续履行。</w:t>
      </w:r>
      <w:r>
        <w:rPr>
          <w:rFonts w:ascii="宋体" w:hAnsi="宋体" w:eastAsia="宋体" w:cs="宋体"/>
          <w:color w:val="000000"/>
          <w:sz w:val="21"/>
          <w:highlight w:val="none"/>
        </w:rPr>
      </w:r>
      <w:r/>
    </w:p>
    <w:p>
      <w:pPr>
        <w:pStyle w:val="768"/>
        <w:jc w:val="left"/>
        <w:spacing w:line="400" w:lineRule="exact"/>
        <w:rPr>
          <w:rFonts w:ascii="宋体" w:hAnsi="宋体"/>
          <w:color w:val="000000"/>
          <w:sz w:val="24"/>
          <w:highlight w:val="none"/>
        </w:rPr>
      </w:pPr>
      <w:r>
        <w:rPr>
          <w:rFonts w:hint="eastAsia" w:ascii="宋体" w:hAnsi="宋体"/>
          <w:b/>
          <w:color w:val="000000"/>
          <w:sz w:val="24"/>
          <w:highlight w:val="none"/>
        </w:rPr>
        <w:t xml:space="preserve">20. 政府采购政策</w:t>
      </w:r>
      <w:r>
        <w:rPr>
          <w:rFonts w:ascii="宋体" w:hAnsi="宋体"/>
          <w:color w:val="000000"/>
          <w:sz w:val="24"/>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20.1 </w:t>
      </w:r>
      <w:r>
        <w:rPr>
          <w:rFonts w:hint="eastAsia" w:ascii="宋体" w:hAnsi="宋体" w:cs="宋体"/>
          <w:color w:val="000000"/>
          <w:highlight w:val="none"/>
          <w:lang w:val="en-GB"/>
        </w:rPr>
        <w:t xml:space="preserve">本合同应当按照规定执行政府采购政策。</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0.2 本合同依法执行政府采购政策的方式和内容，属于合同履约验收的范围。</w:t>
      </w:r>
      <w:r>
        <w:rPr>
          <w:rFonts w:hint="eastAsia" w:ascii="宋体" w:hAnsi="宋体" w:cs="宋体"/>
          <w:color w:val="000000"/>
          <w:highlight w:val="none"/>
        </w:rPr>
        <w:t xml:space="preserve">甲乙双方</w:t>
      </w:r>
      <w:r>
        <w:rPr>
          <w:rFonts w:hint="eastAsia" w:ascii="宋体" w:hAnsi="宋体" w:cs="宋体"/>
          <w:color w:val="000000"/>
          <w:highlight w:val="none"/>
          <w:lang w:val="en-GB"/>
        </w:rPr>
        <w:t xml:space="preserve">未按规定要求执行政府采购政策造成损失的</w:t>
      </w:r>
      <w:r>
        <w:rPr>
          <w:rFonts w:hint="eastAsia" w:ascii="宋体" w:hAnsi="宋体"/>
          <w:color w:val="000000"/>
          <w:szCs w:val="21"/>
          <w:highlight w:val="none"/>
        </w:rPr>
        <w:t xml:space="preserve">，有过错的一方应当承担赔偿责任，双方都有过错的，各自承担相应的责任。</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color w:val="000000"/>
          <w:szCs w:val="21"/>
          <w:highlight w:val="none"/>
        </w:rPr>
      </w:r>
      <w:r/>
    </w:p>
    <w:p>
      <w:pPr>
        <w:pStyle w:val="768"/>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21. 法律适用</w:t>
      </w:r>
      <w:r>
        <w:rPr>
          <w:rFonts w:ascii="宋体" w:hAnsi="宋体"/>
          <w:b/>
          <w:color w:val="000000"/>
          <w:sz w:val="24"/>
          <w:highlight w:val="none"/>
        </w:rPr>
      </w:r>
      <w:r/>
    </w:p>
    <w:p>
      <w:pPr>
        <w:pStyle w:val="122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21.1 本合同的订立、生效、解释、履行及与本合同有关的争议解决，均适用法律、行政法规。</w:t>
      </w:r>
      <w:r>
        <w:rPr>
          <w:rFonts w:ascii="宋体" w:hAnsi="宋体" w:eastAsia="宋体" w:cs="宋体"/>
          <w:color w:val="000000"/>
          <w:sz w:val="21"/>
          <w:highlight w:val="none"/>
        </w:rPr>
      </w:r>
      <w:r/>
    </w:p>
    <w:p>
      <w:pPr>
        <w:pStyle w:val="122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21.2 本合同条款与法律、行政法规的强制性规定不一致的，双方当事人应按照法律、行政法规的强制性规定修改本合同的相关条款。</w:t>
      </w:r>
      <w:r>
        <w:rPr>
          <w:rFonts w:ascii="宋体" w:hAnsi="宋体" w:eastAsia="宋体" w:cs="宋体"/>
          <w:color w:val="000000"/>
          <w:sz w:val="21"/>
          <w:highlight w:val="none"/>
        </w:rPr>
      </w:r>
      <w:r/>
    </w:p>
    <w:p>
      <w:pPr>
        <w:pStyle w:val="768"/>
        <w:jc w:val="left"/>
        <w:spacing w:line="400" w:lineRule="exact"/>
        <w:rPr>
          <w:rFonts w:ascii="宋体" w:hAnsi="宋体"/>
          <w:b/>
          <w:color w:val="000000"/>
          <w:sz w:val="24"/>
          <w:highlight w:val="none"/>
        </w:rPr>
      </w:pPr>
      <w:r>
        <w:rPr>
          <w:rFonts w:hint="eastAsia" w:ascii="宋体" w:hAnsi="宋体"/>
          <w:b/>
          <w:color w:val="000000"/>
          <w:sz w:val="24"/>
          <w:highlight w:val="none"/>
        </w:rPr>
        <w:t xml:space="preserve">22. 通知</w:t>
      </w:r>
      <w:r>
        <w:rPr>
          <w:rFonts w:ascii="宋体" w:hAnsi="宋体"/>
          <w:b/>
          <w:color w:val="000000"/>
          <w:sz w:val="24"/>
          <w:highlight w:val="none"/>
        </w:rPr>
      </w:r>
      <w:r/>
    </w:p>
    <w:p>
      <w:pPr>
        <w:pStyle w:val="1228"/>
        <w:ind w:firstLine="420"/>
        <w:jc w:val="both"/>
        <w:rPr>
          <w:rFonts w:ascii="宋体" w:hAnsi="宋体" w:eastAsia="宋体" w:cs="宋体"/>
          <w:color w:val="000000"/>
          <w:sz w:val="21"/>
          <w:highlight w:val="none"/>
        </w:rPr>
      </w:pPr>
      <w:r>
        <w:rPr>
          <w:rFonts w:hint="eastAsia" w:ascii="宋体" w:hAnsi="宋体" w:eastAsia="宋体" w:cs="宋体"/>
          <w:color w:val="000000"/>
          <w:sz w:val="21"/>
          <w:highlight w:val="none"/>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color w:val="000000"/>
          <w:sz w:val="21"/>
          <w:highlight w:val="none"/>
        </w:rPr>
      </w:r>
      <w:r/>
    </w:p>
    <w:p>
      <w:pPr>
        <w:pStyle w:val="1228"/>
        <w:ind w:firstLine="0"/>
        <w:jc w:val="both"/>
        <w:rPr>
          <w:color w:val="000000"/>
          <w:sz w:val="21"/>
          <w:highlight w:val="none"/>
        </w:rPr>
      </w:pPr>
      <w:r>
        <w:rPr>
          <w:rFonts w:hint="eastAsia" w:ascii="宋体" w:hAnsi="宋体" w:eastAsia="宋体" w:cs="宋体"/>
          <w:color w:val="000000"/>
          <w:sz w:val="21"/>
          <w:highlight w:val="none"/>
        </w:rPr>
        <w:t xml:space="preserve">    22.2 一方当事人变更名称、住所、联系人、联系电话或电子邮箱等信息的，应当在变更后3日内及时书面通知对方，对方实际收到变更通知前的送达仍为有效送达。</w:t>
      </w:r>
      <w:r>
        <w:rPr>
          <w:color w:val="000000"/>
          <w:sz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22.3本合同一方给另一方的通知均应采用书面形式，传真或快递送到本合同中规定的对方的地址和办理签收手续。</w:t>
      </w:r>
      <w:r>
        <w:rPr>
          <w:rFonts w:ascii="宋体" w:hAnsi="宋体"/>
          <w:color w:val="000000"/>
          <w:szCs w:val="21"/>
          <w:highlight w:val="none"/>
        </w:rPr>
      </w:r>
      <w:r/>
    </w:p>
    <w:p>
      <w:pPr>
        <w:pStyle w:val="768"/>
        <w:ind w:firstLine="420"/>
        <w:jc w:val="left"/>
        <w:spacing w:line="400" w:lineRule="exact"/>
        <w:rPr>
          <w:rFonts w:ascii="宋体" w:hAnsi="宋体"/>
          <w:color w:val="000000"/>
          <w:szCs w:val="21"/>
          <w:highlight w:val="none"/>
        </w:rPr>
      </w:pPr>
      <w:r>
        <w:rPr>
          <w:rFonts w:hint="eastAsia" w:ascii="宋体" w:hAnsi="宋体"/>
          <w:color w:val="000000"/>
          <w:szCs w:val="21"/>
          <w:highlight w:val="none"/>
        </w:rPr>
        <w:t xml:space="preserve">22.4通知以送达之日或通知书中规定的生效之日起生效，两者中以较迟之日为准。</w:t>
      </w:r>
      <w:r>
        <w:rPr>
          <w:rFonts w:ascii="宋体" w:hAnsi="宋体"/>
          <w:color w:val="000000"/>
          <w:szCs w:val="21"/>
          <w:highlight w:val="none"/>
        </w:rPr>
      </w:r>
      <w:r/>
    </w:p>
    <w:p>
      <w:pPr>
        <w:pStyle w:val="768"/>
        <w:numPr>
          <w:ilvl w:val="0"/>
          <w:numId w:val="6"/>
        </w:numPr>
        <w:jc w:val="left"/>
        <w:spacing w:line="400" w:lineRule="exact"/>
        <w:rPr>
          <w:rFonts w:ascii="宋体" w:hAnsi="宋体"/>
          <w:b/>
          <w:bCs/>
          <w:color w:val="000000"/>
          <w:sz w:val="24"/>
          <w:highlight w:val="none"/>
        </w:rPr>
      </w:pPr>
      <w:r>
        <w:rPr>
          <w:rFonts w:hint="eastAsia" w:ascii="宋体" w:hAnsi="宋体"/>
          <w:b/>
          <w:bCs/>
          <w:color w:val="000000"/>
          <w:sz w:val="24"/>
          <w:highlight w:val="none"/>
        </w:rPr>
        <w:t xml:space="preserve">合同未尽事项</w:t>
      </w:r>
      <w:r>
        <w:rPr>
          <w:rFonts w:ascii="宋体" w:hAnsi="宋体"/>
          <w:b/>
          <w:bCs/>
          <w:color w:val="000000"/>
          <w:sz w:val="24"/>
          <w:highlight w:val="none"/>
        </w:rPr>
      </w:r>
      <w:r/>
    </w:p>
    <w:p>
      <w:pPr>
        <w:pStyle w:val="768"/>
        <w:ind w:firstLine="420"/>
        <w:jc w:val="left"/>
        <w:spacing w:line="400" w:lineRule="exact"/>
        <w:rPr>
          <w:rFonts w:ascii="宋体" w:hAnsi="宋体"/>
          <w:bCs/>
          <w:color w:val="000000"/>
          <w:szCs w:val="21"/>
          <w:highlight w:val="none"/>
        </w:rPr>
      </w:pPr>
      <w:r>
        <w:rPr>
          <w:rFonts w:hint="eastAsia" w:ascii="宋体" w:hAnsi="宋体"/>
          <w:bCs/>
          <w:color w:val="000000"/>
          <w:szCs w:val="21"/>
          <w:highlight w:val="none"/>
        </w:rPr>
        <w:t xml:space="preserve">23.1合同未尽事项见</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768"/>
        <w:jc w:val="left"/>
        <w:spacing w:line="400" w:lineRule="exact"/>
        <w:rPr>
          <w:rFonts w:ascii="黑体" w:hAnsi="华文中宋" w:eastAsia="黑体"/>
          <w:color w:val="000000"/>
          <w:sz w:val="28"/>
          <w:szCs w:val="28"/>
          <w:highlight w:val="none"/>
        </w:rPr>
      </w:pPr>
      <w:r>
        <w:rPr>
          <w:rFonts w:hint="eastAsia" w:ascii="宋体" w:hAnsi="宋体"/>
          <w:bCs/>
          <w:color w:val="000000"/>
          <w:szCs w:val="21"/>
          <w:highlight w:val="none"/>
        </w:rPr>
        <w:t xml:space="preserve">    23.2 合同附件与合同正文具有同等的法律效力。</w:t>
      </w:r>
      <w:r>
        <w:rPr>
          <w:rFonts w:ascii="黑体" w:hAnsi="华文中宋" w:eastAsia="黑体"/>
          <w:color w:val="000000"/>
          <w:sz w:val="28"/>
          <w:szCs w:val="28"/>
          <w:highlight w:val="none"/>
        </w:rPr>
      </w:r>
      <w:r/>
    </w:p>
    <w:p>
      <w:pPr>
        <w:pStyle w:val="768"/>
        <w:jc w:val="center"/>
        <w:rPr>
          <w:rFonts w:ascii="黑体" w:hAnsi="华文中宋" w:eastAsia="黑体"/>
          <w:b/>
          <w:bCs/>
          <w:color w:val="000000"/>
          <w:sz w:val="28"/>
          <w:szCs w:val="28"/>
          <w:highlight w:val="none"/>
        </w:rPr>
      </w:pPr>
      <w:r>
        <w:rPr>
          <w:rFonts w:hint="eastAsia" w:ascii="黑体" w:hAnsi="华文中宋" w:eastAsia="黑体"/>
          <w:color w:val="000000"/>
          <w:sz w:val="28"/>
          <w:szCs w:val="28"/>
          <w:highlight w:val="none"/>
        </w:rPr>
        <w:br w:type="page" w:clear="all"/>
      </w:r>
      <w:r>
        <w:rPr>
          <w:rFonts w:hint="eastAsia" w:ascii="黑体" w:hAnsi="华文中宋" w:eastAsia="黑体"/>
          <w:b/>
          <w:bCs/>
          <w:color w:val="000000"/>
          <w:sz w:val="28"/>
          <w:szCs w:val="28"/>
          <w:highlight w:val="none"/>
        </w:rPr>
        <w:t xml:space="preserve">第三节 政府采购合同专用条款</w:t>
      </w:r>
      <w:r>
        <w:rPr>
          <w:rFonts w:ascii="黑体" w:hAnsi="华文中宋" w:eastAsia="黑体"/>
          <w:b/>
          <w:bCs/>
          <w:color w:val="000000"/>
          <w:sz w:val="28"/>
          <w:szCs w:val="28"/>
          <w:highlight w:val="none"/>
        </w:rPr>
      </w:r>
      <w:r/>
    </w:p>
    <w:tbl>
      <w:tblPr>
        <w:tblW w:w="8519" w:type="dxa"/>
        <w:tblInd w:w="-12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第1.2（6）项</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联合体具体要求</w:t>
            </w:r>
            <w:r>
              <w:rPr>
                <w:rFonts w:ascii="宋体" w:hAnsi="宋体"/>
                <w:color w:val="000000"/>
                <w:szCs w:val="21"/>
                <w:highlight w:val="none"/>
              </w:rPr>
            </w:r>
            <w:r/>
          </w:p>
        </w:tc>
        <w:tc>
          <w:tcPr>
            <w:tcW w:w="5170" w:type="dxa"/>
            <w:vAlign w:val="center"/>
            <w:textDirection w:val="lrTb"/>
            <w:noWrap w:val="false"/>
          </w:tcPr>
          <w:p>
            <w:pPr>
              <w:pStyle w:val="768"/>
              <w:jc w:val="left"/>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不接受</w:t>
            </w:r>
            <w:r>
              <w:rPr>
                <w:rFonts w:hint="eastAsia" w:ascii="宋体" w:hAnsi="宋体" w:eastAsia="宋体"/>
                <w:color w:val="000000"/>
                <w:szCs w:val="21"/>
                <w:highlight w:val="none"/>
                <w:lang w:val="en-US" w:eastAsia="zh-CN"/>
              </w:rPr>
            </w:r>
            <w:r/>
          </w:p>
        </w:tc>
      </w:tr>
      <w:tr>
        <w:trPr>
          <w:trHeight w:val="604"/>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第1.2（7）项</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其他术语解释</w:t>
            </w:r>
            <w:r>
              <w:rPr>
                <w:rFonts w:ascii="宋体" w:hAnsi="宋体"/>
                <w:color w:val="000000"/>
                <w:szCs w:val="21"/>
                <w:highlight w:val="none"/>
              </w:rPr>
            </w:r>
            <w:r/>
          </w:p>
        </w:tc>
        <w:tc>
          <w:tcPr>
            <w:tcW w:w="5170" w:type="dxa"/>
            <w:vAlign w:val="center"/>
            <w:textDirection w:val="lrTb"/>
            <w:noWrap w:val="false"/>
          </w:tcPr>
          <w:p>
            <w:pPr>
              <w:pStyle w:val="768"/>
              <w:jc w:val="left"/>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无</w:t>
            </w:r>
            <w:r>
              <w:rPr>
                <w:rFonts w:hint="eastAsia" w:ascii="宋体" w:hAnsi="宋体" w:eastAsia="宋体"/>
                <w:color w:val="000000"/>
                <w:szCs w:val="21"/>
                <w:highlight w:val="none"/>
                <w:lang w:val="en-US" w:eastAsia="zh-CN"/>
              </w:rPr>
            </w:r>
            <w:r/>
          </w:p>
        </w:tc>
      </w:tr>
      <w:tr>
        <w:trPr>
          <w:trHeight w:val="736"/>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第4.4款</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履约验收中甲方提出异议或作出说明的期限</w:t>
            </w:r>
            <w:r>
              <w:rPr>
                <w:rFonts w:ascii="宋体" w:hAnsi="宋体"/>
                <w:color w:val="000000"/>
                <w:szCs w:val="21"/>
                <w:highlight w:val="none"/>
              </w:rPr>
            </w:r>
            <w:r/>
          </w:p>
        </w:tc>
        <w:tc>
          <w:tcPr>
            <w:tcW w:w="5170"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highlight w:val="none"/>
              </w:rPr>
              <w:t xml:space="preserve">收到验收申请后3个工作</w:t>
            </w:r>
            <w:r>
              <w:rPr>
                <w:rFonts w:hint="eastAsia" w:ascii="宋体" w:hAnsi="宋体"/>
                <w:color w:val="000000"/>
                <w:highlight w:val="none"/>
                <w:lang w:eastAsia="zh-CN"/>
              </w:rPr>
              <w:t xml:space="preserve">日内</w:t>
            </w:r>
            <w:r>
              <w:rPr>
                <w:rFonts w:ascii="宋体" w:hAnsi="宋体"/>
                <w:color w:val="000000"/>
                <w:szCs w:val="21"/>
                <w:highlight w:val="none"/>
              </w:rPr>
            </w:r>
            <w:r/>
          </w:p>
        </w:tc>
      </w:tr>
      <w:tr>
        <w:trPr>
          <w:trHeight w:val="736"/>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第4.6款</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约定甲方承担的其他义务和责任</w:t>
            </w:r>
            <w:r>
              <w:rPr>
                <w:rFonts w:ascii="宋体" w:hAnsi="宋体"/>
                <w:color w:val="000000"/>
                <w:szCs w:val="21"/>
                <w:highlight w:val="none"/>
              </w:rPr>
            </w:r>
            <w:r/>
          </w:p>
        </w:tc>
        <w:tc>
          <w:tcPr>
            <w:tcW w:w="5170"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highlight w:val="none"/>
              </w:rPr>
              <w:t xml:space="preserve">甲方无正当理由拒收货物的，甲方向乙方偿付拒收货款总值0.5% 的违约金</w:t>
            </w:r>
            <w:r>
              <w:rPr>
                <w:rFonts w:ascii="宋体" w:hAnsi="宋体"/>
                <w:color w:val="000000"/>
                <w:szCs w:val="21"/>
                <w:highlight w:val="none"/>
              </w:rPr>
            </w:r>
            <w:r/>
          </w:p>
        </w:tc>
      </w:tr>
      <w:tr>
        <w:trPr>
          <w:trHeight w:val="736"/>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color w:val="000000"/>
                <w:highlight w:val="none"/>
              </w:rPr>
            </w:pPr>
            <w:r>
              <w:rPr>
                <w:rFonts w:hint="eastAsia" w:ascii="宋体" w:hAnsi="宋体"/>
                <w:color w:val="000000"/>
                <w:szCs w:val="21"/>
                <w:highlight w:val="none"/>
              </w:rPr>
              <w:t xml:space="preserve">第5.4款</w:t>
            </w:r>
            <w:r>
              <w:rPr>
                <w:color w:val="000000"/>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约定乙方承担的其他义务和责任</w:t>
            </w:r>
            <w:r>
              <w:rPr>
                <w:rFonts w:ascii="宋体" w:hAnsi="宋体"/>
                <w:color w:val="000000"/>
                <w:szCs w:val="21"/>
                <w:highlight w:val="none"/>
              </w:rPr>
            </w:r>
            <w:r/>
          </w:p>
        </w:tc>
        <w:tc>
          <w:tcPr>
            <w:tcW w:w="5170" w:type="dxa"/>
            <w:vAlign w:val="center"/>
            <w:textDirection w:val="lrTb"/>
            <w:noWrap w:val="false"/>
          </w:tcPr>
          <w:p>
            <w:pPr>
              <w:pStyle w:val="768"/>
              <w:jc w:val="left"/>
              <w:rPr>
                <w:rFonts w:hint="eastAsia" w:ascii="宋体" w:hAnsi="宋体"/>
                <w:color w:val="000000"/>
                <w:highlight w:val="none"/>
              </w:rPr>
            </w:pPr>
            <w:r>
              <w:rPr>
                <w:rFonts w:hint="eastAsia" w:ascii="宋体" w:hAnsi="宋体"/>
                <w:color w:val="000000"/>
                <w:highlight w:val="none"/>
              </w:rPr>
              <w:t xml:space="preserve">乙方保证所交付的货物（包含与货物相关的服务）的所有权完全属于乙方且无任何抵押、查封等产权瑕疵；</w:t>
            </w:r>
            <w:r>
              <w:rPr>
                <w:rFonts w:hint="eastAsia" w:ascii="宋体" w:hAnsi="宋体"/>
                <w:color w:val="000000"/>
                <w:highlight w:val="none"/>
              </w:rPr>
            </w:r>
            <w:r/>
          </w:p>
          <w:p>
            <w:pPr>
              <w:pStyle w:val="768"/>
              <w:jc w:val="left"/>
              <w:rPr>
                <w:rFonts w:hint="eastAsia" w:ascii="宋体" w:hAnsi="宋体"/>
                <w:color w:val="000000"/>
                <w:highlight w:val="none"/>
              </w:rPr>
            </w:pPr>
            <w:r>
              <w:rPr>
                <w:rFonts w:hint="eastAsia" w:ascii="宋体" w:hAnsi="宋体"/>
                <w:color w:val="000000"/>
                <w:highlight w:val="none"/>
              </w:rPr>
              <w:t xml:space="preserve">乙方所供货物质量不符合规定的，由其负责包换或包修，并承担修理、调换或退货而支付的实际费用；</w:t>
            </w:r>
            <w:r>
              <w:rPr>
                <w:rFonts w:hint="eastAsia" w:ascii="宋体" w:hAnsi="宋体"/>
                <w:color w:val="000000"/>
                <w:highlight w:val="none"/>
              </w:rPr>
            </w:r>
            <w:r/>
          </w:p>
          <w:p>
            <w:pPr>
              <w:pStyle w:val="768"/>
              <w:jc w:val="left"/>
              <w:rPr>
                <w:rFonts w:ascii="宋体" w:hAnsi="宋体"/>
                <w:color w:val="000000"/>
                <w:szCs w:val="21"/>
                <w:highlight w:val="none"/>
              </w:rPr>
            </w:pPr>
            <w:r>
              <w:rPr>
                <w:rFonts w:hint="eastAsia" w:ascii="宋体" w:hAnsi="宋体"/>
                <w:color w:val="000000"/>
                <w:highlight w:val="none"/>
              </w:rPr>
              <w:t xml:space="preserve">非因甲方原因，乙方不履行本合同规定的义务，致使工期延误，甲方有权要求其强制履行或解除合同，并要求乙方等额赔偿由此造成的一切损失。</w:t>
            </w:r>
            <w:r>
              <w:rPr>
                <w:rFonts w:ascii="宋体" w:hAnsi="宋体"/>
                <w:color w:val="000000"/>
                <w:szCs w:val="21"/>
                <w:highlight w:val="none"/>
              </w:rPr>
            </w:r>
            <w:r/>
          </w:p>
        </w:tc>
      </w:tr>
      <w:tr>
        <w:trPr>
          <w:trHeight w:val="736"/>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第6.1款</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履行合同义务的顺序</w:t>
            </w:r>
            <w:r>
              <w:rPr>
                <w:rFonts w:ascii="宋体" w:hAnsi="宋体"/>
                <w:color w:val="000000"/>
                <w:szCs w:val="21"/>
                <w:highlight w:val="none"/>
              </w:rPr>
            </w:r>
            <w:r/>
          </w:p>
        </w:tc>
        <w:tc>
          <w:tcPr>
            <w:tcW w:w="5170"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highlight w:val="none"/>
              </w:rPr>
              <w:t xml:space="preserve">合同协议书、招标文件、投标文件、合同专用条款、合同通用条款、补充协议</w:t>
            </w:r>
            <w:r>
              <w:rPr>
                <w:rFonts w:ascii="宋体" w:hAnsi="宋体"/>
                <w:color w:val="000000"/>
                <w:szCs w:val="21"/>
                <w:highlight w:val="none"/>
              </w:rPr>
            </w:r>
            <w:r/>
          </w:p>
        </w:tc>
      </w:tr>
      <w:tr>
        <w:trPr>
          <w:trHeight w:val="667"/>
        </w:trPr>
        <w:tc>
          <w:tcPr>
            <w:tcW w:w="1607" w:type="dxa"/>
            <w:vAlign w:val="center"/>
            <w:vMerge w:val="restart"/>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第7.1款</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包装特殊要求</w:t>
            </w:r>
            <w:r>
              <w:rPr>
                <w:rFonts w:ascii="宋体" w:hAnsi="宋体"/>
                <w:color w:val="000000"/>
                <w:szCs w:val="21"/>
                <w:highlight w:val="none"/>
              </w:rPr>
            </w:r>
            <w:r/>
          </w:p>
        </w:tc>
        <w:tc>
          <w:tcPr>
            <w:tcW w:w="5170" w:type="dxa"/>
            <w:vAlign w:val="center"/>
            <w:textDirection w:val="lrTb"/>
            <w:noWrap w:val="false"/>
          </w:tcPr>
          <w:p>
            <w:pPr>
              <w:pStyle w:val="768"/>
              <w:jc w:val="left"/>
              <w:rPr>
                <w:rFonts w:hint="eastAsia" w:ascii="宋体" w:hAnsi="宋体"/>
                <w:color w:val="000000"/>
                <w:highlight w:val="none"/>
              </w:rPr>
            </w:pPr>
            <w:r>
              <w:rPr>
                <w:rFonts w:hint="eastAsia" w:ascii="宋体" w:hAnsi="宋体"/>
                <w:color w:val="000000"/>
                <w:highlight w:val="none"/>
              </w:rPr>
              <w:t xml:space="preserve">1、乙方应在货物发运前对其进行满足运输距离、防潮、防震、防锈和防破损装卸等要求包装，以保证货物安全运达甲方指定地点。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需求标准的产品及相关快递服务的包装。</w:t>
            </w:r>
            <w:r>
              <w:rPr>
                <w:rFonts w:hint="eastAsia" w:ascii="宋体" w:hAnsi="宋体"/>
                <w:color w:val="000000"/>
                <w:highlight w:val="none"/>
              </w:rPr>
            </w:r>
            <w:r/>
          </w:p>
          <w:p>
            <w:pPr>
              <w:pStyle w:val="768"/>
              <w:jc w:val="left"/>
              <w:rPr>
                <w:color w:val="000000"/>
                <w:highlight w:val="none"/>
              </w:rPr>
            </w:pPr>
            <w:r>
              <w:rPr>
                <w:rFonts w:hint="eastAsia" w:ascii="宋体" w:hAnsi="宋体"/>
                <w:color w:val="000000"/>
                <w:highlight w:val="none"/>
              </w:rPr>
              <w:t xml:space="preserve">2、使用说明书、质量检验证明书、随配附件和工具以及清单一并附于货物内。</w:t>
            </w:r>
            <w:r>
              <w:rPr>
                <w:color w:val="000000"/>
                <w:highlight w:val="none"/>
              </w:rPr>
            </w:r>
            <w:r/>
          </w:p>
        </w:tc>
      </w:tr>
      <w:tr>
        <w:trPr>
          <w:trHeight w:val="667"/>
        </w:trPr>
        <w:tc>
          <w:tcPr>
            <w:tcW w:w="1607" w:type="dxa"/>
            <w:vAlign w:val="center"/>
            <w:vMerge w:val="continue"/>
            <w:textDirection w:val="lrTb"/>
            <w:noWrap w:val="false"/>
          </w:tcPr>
          <w:p>
            <w:pPr>
              <w:pStyle w:val="768"/>
              <w:jc w:val="center"/>
              <w:rPr>
                <w:rFonts w:ascii="宋体" w:hAnsi="宋体"/>
                <w:color w:val="000000"/>
                <w:szCs w:val="21"/>
                <w:highlight w:val="none"/>
              </w:rPr>
            </w:pP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指定现场</w:t>
            </w:r>
            <w:r>
              <w:rPr>
                <w:rFonts w:ascii="宋体" w:hAnsi="宋体"/>
                <w:color w:val="000000"/>
                <w:szCs w:val="21"/>
                <w:highlight w:val="none"/>
              </w:rPr>
            </w:r>
            <w:r/>
          </w:p>
        </w:tc>
        <w:tc>
          <w:tcPr>
            <w:tcW w:w="5170" w:type="dxa"/>
            <w:vAlign w:val="center"/>
            <w:textDirection w:val="lrTb"/>
            <w:noWrap w:val="false"/>
          </w:tcPr>
          <w:p>
            <w:pPr>
              <w:pStyle w:val="768"/>
              <w:jc w:val="left"/>
              <w:rPr>
                <w:color w:val="000000"/>
                <w:highlight w:val="none"/>
              </w:rPr>
            </w:pPr>
            <w:r>
              <w:rPr>
                <w:rFonts w:hint="eastAsia" w:ascii="宋体" w:hAnsi="宋体" w:cs="宋体"/>
                <w:color w:val="000000"/>
                <w:sz w:val="21"/>
                <w:szCs w:val="21"/>
                <w:highlight w:val="none"/>
                <w:lang w:val="en-US" w:eastAsia="zh-CN"/>
              </w:rPr>
              <w:t xml:space="preserve">所有货物必须严格按照甲方指定的地点及位置安装、摆放等，否则甲方有权拒绝接受相关货物。</w:t>
            </w:r>
            <w:r>
              <w:rPr>
                <w:color w:val="000000"/>
                <w:highlight w:val="none"/>
              </w:rPr>
            </w:r>
            <w:r/>
          </w:p>
        </w:tc>
      </w:tr>
      <w:tr>
        <w:trPr>
          <w:trHeight w:val="772"/>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第7.2款</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运输特殊要求</w:t>
            </w:r>
            <w:r>
              <w:rPr>
                <w:rFonts w:ascii="宋体" w:hAnsi="宋体"/>
                <w:color w:val="000000"/>
                <w:szCs w:val="21"/>
                <w:highlight w:val="none"/>
              </w:rPr>
            </w:r>
            <w:r/>
          </w:p>
        </w:tc>
        <w:tc>
          <w:tcPr>
            <w:tcW w:w="5170" w:type="dxa"/>
            <w:vAlign w:val="center"/>
            <w:textDirection w:val="lrTb"/>
            <w:noWrap w:val="false"/>
          </w:tcPr>
          <w:p>
            <w:pPr>
              <w:pStyle w:val="768"/>
              <w:jc w:val="left"/>
              <w:rPr>
                <w:color w:val="000000"/>
                <w:highlight w:val="none"/>
              </w:rPr>
            </w:pPr>
            <w:r>
              <w:rPr>
                <w:rFonts w:hint="eastAsia" w:ascii="宋体" w:hAnsi="宋体"/>
                <w:color w:val="000000"/>
                <w:highlight w:val="none"/>
              </w:rPr>
              <w:t xml:space="preserve">无</w:t>
            </w:r>
            <w:r>
              <w:rPr>
                <w:color w:val="000000"/>
                <w:highlight w:val="none"/>
              </w:rPr>
            </w:r>
            <w:r/>
          </w:p>
        </w:tc>
      </w:tr>
      <w:tr>
        <w:trPr>
          <w:trHeight w:val="667"/>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第7.3款</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保险要求</w:t>
            </w:r>
            <w:r>
              <w:rPr>
                <w:rFonts w:ascii="宋体" w:hAnsi="宋体"/>
                <w:color w:val="000000"/>
                <w:szCs w:val="21"/>
                <w:highlight w:val="none"/>
              </w:rPr>
            </w:r>
            <w:r/>
          </w:p>
        </w:tc>
        <w:tc>
          <w:tcPr>
            <w:tcW w:w="5170" w:type="dxa"/>
            <w:vAlign w:val="center"/>
            <w:textDirection w:val="lrTb"/>
            <w:noWrap w:val="false"/>
          </w:tcPr>
          <w:p>
            <w:pPr>
              <w:pStyle w:val="768"/>
              <w:jc w:val="left"/>
              <w:rPr>
                <w:color w:val="000000"/>
                <w:highlight w:val="none"/>
              </w:rPr>
            </w:pPr>
            <w:r>
              <w:rPr>
                <w:rFonts w:hint="eastAsia" w:ascii="宋体" w:hAnsi="宋体"/>
                <w:color w:val="000000"/>
                <w:highlight w:val="none"/>
              </w:rPr>
              <w:t xml:space="preserve">货物在交付甲方前发生的风险均由乙方负责</w:t>
            </w:r>
            <w:r>
              <w:rPr>
                <w:color w:val="000000"/>
                <w:highlight w:val="none"/>
              </w:rPr>
            </w:r>
            <w:r/>
          </w:p>
        </w:tc>
      </w:tr>
      <w:tr>
        <w:trPr>
          <w:trHeight w:val="736"/>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第8.2（1）项</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质量保证期</w:t>
            </w:r>
            <w:r>
              <w:rPr>
                <w:rFonts w:ascii="宋体" w:hAnsi="宋体"/>
                <w:color w:val="000000"/>
                <w:szCs w:val="21"/>
                <w:highlight w:val="none"/>
              </w:rPr>
            </w:r>
            <w:r/>
          </w:p>
        </w:tc>
        <w:tc>
          <w:tcPr>
            <w:tcW w:w="5170"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不低于</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年。发现设备缺陷等质量问题，</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负责无条件维修或调换；</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货物经过双方检验认可后，签署验收报告，按国家及相关部门的 “三包”要求（特别要求的按特别要求执行），免费维护期自货物最终交付验收合格之</w:t>
            </w:r>
            <w:r>
              <w:rPr>
                <w:rFonts w:hint="eastAsia" w:ascii="宋体" w:hAnsi="宋体"/>
                <w:color w:val="000000"/>
                <w:szCs w:val="21"/>
                <w:highlight w:val="none"/>
                <w:lang w:eastAsia="zh-CN"/>
              </w:rPr>
              <w:t xml:space="preserve">日起</w:t>
            </w:r>
            <w:r>
              <w:rPr>
                <w:rFonts w:hint="eastAsia" w:ascii="宋体" w:hAnsi="宋体"/>
                <w:color w:val="000000"/>
                <w:szCs w:val="21"/>
                <w:highlight w:val="none"/>
              </w:rPr>
              <w:t xml:space="preserve">计算(设备厂家维护期大于</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年的，以设备厂家维护期为准，货物清单及技术规范中设备质保期有特殊要求的应不低于特殊要求）。</w:t>
            </w:r>
            <w:r>
              <w:rPr>
                <w:rFonts w:ascii="宋体" w:hAnsi="宋体"/>
                <w:color w:val="000000"/>
                <w:szCs w:val="21"/>
                <w:highlight w:val="none"/>
              </w:rPr>
            </w:r>
            <w:r/>
          </w:p>
        </w:tc>
      </w:tr>
      <w:tr>
        <w:trPr>
          <w:trHeight w:val="736"/>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第8.2（3）项</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货物质量缺陷</w:t>
            </w:r>
            <w:r>
              <w:rPr>
                <w:rFonts w:ascii="宋体" w:hAnsi="宋体"/>
                <w:color w:val="000000"/>
                <w:szCs w:val="21"/>
                <w:highlight w:val="none"/>
              </w:rPr>
            </w:r>
            <w:r/>
          </w:p>
          <w:p>
            <w:pPr>
              <w:pStyle w:val="768"/>
              <w:jc w:val="left"/>
              <w:rPr>
                <w:rFonts w:ascii="宋体" w:hAnsi="宋体"/>
                <w:color w:val="000000"/>
                <w:szCs w:val="21"/>
                <w:highlight w:val="none"/>
              </w:rPr>
            </w:pPr>
            <w:r>
              <w:rPr>
                <w:rFonts w:hint="eastAsia" w:ascii="宋体" w:hAnsi="宋体"/>
                <w:color w:val="000000"/>
                <w:szCs w:val="21"/>
                <w:highlight w:val="none"/>
              </w:rPr>
              <w:t xml:space="preserve">响应时间</w:t>
            </w:r>
            <w:r>
              <w:rPr>
                <w:rFonts w:ascii="宋体" w:hAnsi="宋体"/>
                <w:color w:val="000000"/>
                <w:szCs w:val="21"/>
                <w:highlight w:val="none"/>
              </w:rPr>
            </w:r>
            <w:r/>
          </w:p>
        </w:tc>
        <w:tc>
          <w:tcPr>
            <w:tcW w:w="5170"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应严格按照招标文件的有关规定提供合格产品，保证货物为全新未使用的原装正品，货物上均有合格证，包括品牌的有关标志等；一旦发生质量问题，</w:t>
            </w:r>
            <w:r>
              <w:rPr>
                <w:rFonts w:hint="eastAsia" w:ascii="宋体" w:hAnsi="宋体"/>
                <w:color w:val="000000"/>
                <w:szCs w:val="21"/>
                <w:highlight w:val="none"/>
                <w:lang w:val="en-US" w:eastAsia="zh-CN"/>
              </w:rPr>
              <w:t xml:space="preserve">在接到报修后2小时内初步响应，24小时内提供解决方案。</w:t>
            </w:r>
            <w:r>
              <w:rPr>
                <w:rFonts w:hint="eastAsia" w:ascii="宋体" w:hAnsi="宋体"/>
                <w:color w:val="000000"/>
                <w:szCs w:val="21"/>
                <w:highlight w:val="none"/>
              </w:rPr>
              <w:t xml:space="preserve">并为</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提供每周7天、每天24小时售后技术支持和服务。如</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在接到通知工作日的24小时内没有答复或处理问题，则视为</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承认质量问题并承担由此而发生的一切费用。</w:t>
            </w:r>
            <w:r>
              <w:rPr>
                <w:rFonts w:ascii="宋体" w:hAnsi="宋体"/>
                <w:color w:val="000000"/>
                <w:szCs w:val="21"/>
                <w:highlight w:val="none"/>
              </w:rPr>
            </w:r>
            <w:r/>
          </w:p>
        </w:tc>
      </w:tr>
      <w:tr>
        <w:trPr>
          <w:trHeight w:val="736"/>
        </w:trPr>
        <w:tc>
          <w:tcPr>
            <w:tcW w:w="1607" w:type="dxa"/>
            <w:vAlign w:val="center"/>
            <w:textDirection w:val="lrTb"/>
            <w:noWrap w:val="false"/>
          </w:tcPr>
          <w:p>
            <w:pPr>
              <w:pStyle w:val="768"/>
              <w:jc w:val="center"/>
              <w:rPr>
                <w:rFonts w:ascii="宋体" w:hAnsi="宋体" w:cs="宋体"/>
                <w:color w:val="000000"/>
                <w:szCs w:val="21"/>
                <w:highlight w:val="none"/>
              </w:rPr>
            </w:pPr>
            <w:r>
              <w:rPr>
                <w:rFonts w:hint="eastAsia" w:ascii="宋体" w:hAnsi="宋体" w:cs="宋体"/>
                <w:color w:val="000000"/>
                <w:szCs w:val="21"/>
                <w:highlight w:val="none"/>
              </w:rPr>
              <w:t xml:space="preserve">第二节</w:t>
            </w:r>
            <w:r>
              <w:rPr>
                <w:rFonts w:ascii="宋体" w:hAnsi="宋体" w:cs="宋体"/>
                <w:color w:val="000000"/>
                <w:szCs w:val="21"/>
                <w:highlight w:val="none"/>
              </w:rPr>
            </w:r>
            <w:r/>
          </w:p>
          <w:p>
            <w:pPr>
              <w:pStyle w:val="1228"/>
              <w:ind w:firstLine="0"/>
              <w:jc w:val="center"/>
              <w:rPr>
                <w:color w:val="000000"/>
                <w:highlight w:val="none"/>
              </w:rPr>
            </w:pPr>
            <w:r>
              <w:rPr>
                <w:rFonts w:hint="eastAsia" w:ascii="宋体" w:hAnsi="宋体" w:eastAsia="宋体" w:cs="宋体"/>
                <w:color w:val="000000"/>
                <w:highlight w:val="none"/>
              </w:rPr>
              <w:t xml:space="preserve">第11.1款</w:t>
            </w:r>
            <w:r>
              <w:rPr>
                <w:color w:val="000000"/>
                <w:highlight w:val="none"/>
              </w:rPr>
            </w:r>
            <w:r/>
          </w:p>
        </w:tc>
        <w:tc>
          <w:tcPr>
            <w:tcW w:w="1742" w:type="dxa"/>
            <w:vAlign w:val="center"/>
            <w:textDirection w:val="lrTb"/>
            <w:noWrap w:val="false"/>
          </w:tcPr>
          <w:p>
            <w:pPr>
              <w:pStyle w:val="768"/>
              <w:rPr>
                <w:rFonts w:ascii="宋体" w:hAnsi="宋体"/>
                <w:color w:val="000000"/>
                <w:szCs w:val="21"/>
                <w:highlight w:val="none"/>
              </w:rPr>
            </w:pPr>
            <w:r>
              <w:rPr>
                <w:rFonts w:hint="eastAsia" w:ascii="宋体" w:hAnsi="宋体"/>
                <w:color w:val="000000"/>
                <w:szCs w:val="21"/>
                <w:highlight w:val="none"/>
              </w:rPr>
              <w:t xml:space="preserve">其他应当保密的信息</w:t>
            </w:r>
            <w:r>
              <w:rPr>
                <w:rFonts w:ascii="宋体" w:hAnsi="宋体"/>
                <w:color w:val="000000"/>
                <w:szCs w:val="21"/>
                <w:highlight w:val="none"/>
              </w:rPr>
            </w:r>
            <w:r/>
          </w:p>
        </w:tc>
        <w:tc>
          <w:tcPr>
            <w:tcW w:w="5170"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olor w:val="000000"/>
                <w:szCs w:val="21"/>
                <w:highlight w:val="none"/>
              </w:rPr>
            </w:r>
            <w:r/>
          </w:p>
        </w:tc>
      </w:tr>
      <w:tr>
        <w:trPr>
          <w:trHeight w:val="697"/>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第12.2款</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合同价款支付时间</w:t>
            </w:r>
            <w:r>
              <w:rPr>
                <w:rFonts w:ascii="宋体" w:hAnsi="宋体"/>
                <w:color w:val="000000"/>
                <w:szCs w:val="21"/>
                <w:highlight w:val="none"/>
              </w:rPr>
            </w:r>
            <w:r/>
          </w:p>
        </w:tc>
        <w:tc>
          <w:tcPr>
            <w:tcW w:w="5170" w:type="dxa"/>
            <w:vAlign w:val="center"/>
            <w:textDirection w:val="lrTb"/>
            <w:noWrap w:val="false"/>
          </w:tcPr>
          <w:p>
            <w:pPr>
              <w:pStyle w:val="768"/>
              <w:jc w:val="left"/>
              <w:rPr>
                <w:rFonts w:hint="eastAsia" w:ascii="宋体" w:hAnsi="宋体"/>
                <w:color w:val="000000"/>
                <w:szCs w:val="21"/>
                <w:highlight w:val="none"/>
              </w:rPr>
            </w:pPr>
            <w:r>
              <w:rPr>
                <w:rFonts w:hint="eastAsia" w:ascii="宋体" w:hAnsi="宋体"/>
                <w:color w:val="000000"/>
                <w:szCs w:val="21"/>
                <w:highlight w:val="none"/>
              </w:rPr>
              <w:t xml:space="preserve">预付款：签订合同后，自收到</w:t>
            </w:r>
            <w:r>
              <w:rPr>
                <w:rFonts w:hint="eastAsia" w:ascii="宋体" w:hAnsi="宋体"/>
                <w:color w:val="000000"/>
                <w:highlight w:val="none"/>
              </w:rPr>
              <w:t xml:space="preserve">乙方</w:t>
            </w:r>
            <w:r>
              <w:rPr>
                <w:rFonts w:hint="eastAsia" w:ascii="宋体" w:hAnsi="宋体"/>
                <w:color w:val="000000"/>
                <w:szCs w:val="21"/>
                <w:highlight w:val="none"/>
              </w:rPr>
              <w:t xml:space="preserve">发票后10个工作日内支付合同总价款的30% 。</w:t>
            </w:r>
            <w:r>
              <w:rPr>
                <w:rFonts w:hint="eastAsia" w:ascii="宋体" w:hAnsi="宋体"/>
                <w:color w:val="000000"/>
                <w:szCs w:val="21"/>
                <w:highlight w:val="none"/>
              </w:rPr>
            </w:r>
            <w:r/>
          </w:p>
          <w:p>
            <w:pPr>
              <w:pStyle w:val="768"/>
              <w:jc w:val="left"/>
              <w:rPr>
                <w:rFonts w:hint="eastAsia" w:ascii="宋体" w:hAnsi="宋体"/>
                <w:color w:val="000000"/>
                <w:szCs w:val="21"/>
                <w:highlight w:val="none"/>
              </w:rPr>
            </w:pPr>
            <w:r>
              <w:rPr>
                <w:rFonts w:hint="eastAsia" w:ascii="宋体" w:hAnsi="宋体"/>
                <w:color w:val="000000"/>
                <w:szCs w:val="21"/>
                <w:highlight w:val="none"/>
              </w:rPr>
              <w:t xml:space="preserve">进度款：货物到现场安装调试完毕，系统稳定运行并经</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验收合格后，自收到</w:t>
            </w:r>
            <w:r>
              <w:rPr>
                <w:rFonts w:hint="eastAsia" w:ascii="宋体" w:hAnsi="宋体"/>
                <w:color w:val="000000"/>
                <w:highlight w:val="none"/>
              </w:rPr>
              <w:t xml:space="preserve">乙方</w:t>
            </w:r>
            <w:r>
              <w:rPr>
                <w:rFonts w:hint="eastAsia" w:ascii="宋体" w:hAnsi="宋体"/>
                <w:color w:val="000000"/>
                <w:szCs w:val="21"/>
                <w:highlight w:val="none"/>
              </w:rPr>
              <w:t xml:space="preserve">发票后10个工作日内支付至合同总价款的100%。</w:t>
            </w:r>
            <w:r>
              <w:rPr>
                <w:rFonts w:hint="eastAsia" w:ascii="宋体" w:hAnsi="宋体"/>
                <w:color w:val="000000"/>
                <w:szCs w:val="21"/>
                <w:highlight w:val="none"/>
              </w:rPr>
            </w:r>
            <w:r/>
          </w:p>
          <w:p>
            <w:pPr>
              <w:pStyle w:val="768"/>
              <w:jc w:val="left"/>
              <w:rPr>
                <w:rFonts w:hint="eastAsia" w:ascii="宋体" w:hAnsi="宋体"/>
                <w:color w:val="000000"/>
                <w:szCs w:val="21"/>
                <w:highlight w:val="none"/>
              </w:rPr>
            </w:pPr>
            <w:r>
              <w:rPr>
                <w:rFonts w:hint="eastAsia" w:ascii="宋体" w:hAnsi="宋体"/>
                <w:color w:val="000000"/>
                <w:szCs w:val="21"/>
                <w:highlight w:val="none"/>
              </w:rPr>
              <w:t xml:space="preserve">备注:</w:t>
            </w:r>
            <w:r>
              <w:rPr>
                <w:rFonts w:hint="eastAsia" w:ascii="宋体" w:hAnsi="宋体"/>
                <w:color w:val="000000"/>
                <w:szCs w:val="21"/>
                <w:highlight w:val="none"/>
              </w:rPr>
            </w:r>
            <w:r/>
          </w:p>
          <w:p>
            <w:pPr>
              <w:pStyle w:val="768"/>
              <w:jc w:val="left"/>
              <w:rPr>
                <w:rFonts w:hint="eastAsia" w:ascii="宋体" w:hAnsi="宋体"/>
                <w:color w:val="000000"/>
                <w:szCs w:val="21"/>
                <w:highlight w:val="none"/>
              </w:rPr>
            </w:pPr>
            <w:r>
              <w:rPr>
                <w:rFonts w:hint="eastAsia" w:ascii="宋体" w:hAnsi="宋体"/>
                <w:color w:val="000000"/>
                <w:szCs w:val="21"/>
                <w:highlight w:val="none"/>
              </w:rPr>
              <w:t xml:space="preserve">(1)可以采用数字人民币支付。</w:t>
            </w:r>
            <w:r>
              <w:rPr>
                <w:rFonts w:hint="eastAsia" w:ascii="宋体" w:hAnsi="宋体"/>
                <w:color w:val="000000"/>
                <w:szCs w:val="21"/>
                <w:highlight w:val="none"/>
              </w:rPr>
            </w:r>
            <w:r/>
          </w:p>
          <w:p>
            <w:pPr>
              <w:pStyle w:val="768"/>
              <w:jc w:val="left"/>
              <w:rPr>
                <w:rFonts w:hint="eastAsia" w:ascii="宋体" w:hAnsi="宋体"/>
                <w:color w:val="000000"/>
                <w:szCs w:val="21"/>
                <w:highlight w:val="none"/>
              </w:rPr>
            </w:pPr>
            <w:r>
              <w:rPr>
                <w:rFonts w:hint="eastAsia" w:ascii="宋体" w:hAnsi="宋体"/>
                <w:color w:val="000000"/>
                <w:szCs w:val="21"/>
                <w:highlight w:val="none"/>
              </w:rPr>
              <w:t xml:space="preserve">(2)资金支付的时间:收到</w:t>
            </w:r>
            <w:r>
              <w:rPr>
                <w:rFonts w:hint="eastAsia" w:ascii="宋体" w:hAnsi="宋体"/>
                <w:color w:val="000000"/>
                <w:highlight w:val="none"/>
              </w:rPr>
              <w:t xml:space="preserve">乙方</w:t>
            </w:r>
            <w:r>
              <w:rPr>
                <w:rFonts w:hint="eastAsia" w:ascii="宋体" w:hAnsi="宋体"/>
                <w:color w:val="000000"/>
                <w:szCs w:val="21"/>
                <w:highlight w:val="none"/>
              </w:rPr>
              <w:t xml:space="preserve">发票后10个工作日内。</w:t>
            </w:r>
            <w:r>
              <w:rPr>
                <w:rFonts w:hint="eastAsia" w:ascii="宋体" w:hAnsi="宋体"/>
                <w:color w:val="000000"/>
                <w:szCs w:val="21"/>
                <w:highlight w:val="none"/>
              </w:rPr>
            </w:r>
            <w:r/>
          </w:p>
          <w:p>
            <w:pPr>
              <w:pStyle w:val="768"/>
              <w:jc w:val="left"/>
              <w:rPr>
                <w:rFonts w:hint="eastAsia" w:ascii="宋体" w:hAnsi="宋体"/>
                <w:color w:val="000000"/>
                <w:szCs w:val="21"/>
                <w:highlight w:val="none"/>
              </w:rPr>
            </w:pPr>
            <w:r>
              <w:rPr>
                <w:rFonts w:hint="eastAsia" w:ascii="宋体" w:hAnsi="宋体"/>
                <w:color w:val="000000"/>
                <w:szCs w:val="21"/>
                <w:highlight w:val="none"/>
              </w:rPr>
              <w:t xml:space="preserve">(3)资金支付的条件:满足相应阶段的要求且收到</w:t>
            </w:r>
            <w:r>
              <w:rPr>
                <w:rFonts w:hint="eastAsia" w:ascii="宋体" w:hAnsi="宋体"/>
                <w:color w:val="000000"/>
                <w:highlight w:val="none"/>
              </w:rPr>
              <w:t xml:space="preserve">乙方</w:t>
            </w:r>
            <w:r>
              <w:rPr>
                <w:rFonts w:hint="eastAsia" w:ascii="宋体" w:hAnsi="宋体"/>
                <w:color w:val="000000"/>
                <w:szCs w:val="21"/>
                <w:highlight w:val="none"/>
              </w:rPr>
              <w:t xml:space="preserve">发票。</w:t>
            </w:r>
            <w:r>
              <w:rPr>
                <w:rFonts w:hint="eastAsia" w:ascii="宋体" w:hAnsi="宋体"/>
                <w:color w:val="000000"/>
                <w:szCs w:val="21"/>
                <w:highlight w:val="none"/>
              </w:rPr>
            </w:r>
            <w:r/>
          </w:p>
          <w:p>
            <w:pPr>
              <w:pStyle w:val="768"/>
              <w:jc w:val="left"/>
              <w:rPr>
                <w:rFonts w:hint="eastAsia" w:ascii="宋体" w:hAnsi="宋体"/>
                <w:color w:val="000000"/>
                <w:szCs w:val="21"/>
                <w:highlight w:val="none"/>
              </w:rPr>
            </w:pPr>
            <w:r>
              <w:rPr>
                <w:rFonts w:hint="eastAsia" w:ascii="宋体" w:hAnsi="宋体"/>
                <w:color w:val="000000"/>
                <w:szCs w:val="21"/>
                <w:highlight w:val="none"/>
              </w:rPr>
              <w:t xml:space="preserve">(4)当采购数量与实际使用数量不一致时，</w:t>
            </w:r>
            <w:r>
              <w:rPr>
                <w:rFonts w:hint="eastAsia" w:ascii="宋体" w:hAnsi="宋体"/>
                <w:color w:val="000000"/>
                <w:highlight w:val="none"/>
              </w:rPr>
              <w:t xml:space="preserve">乙方</w:t>
            </w:r>
            <w:r>
              <w:rPr>
                <w:rFonts w:hint="eastAsia" w:ascii="宋体" w:hAnsi="宋体"/>
                <w:color w:val="000000"/>
                <w:szCs w:val="21"/>
                <w:highlight w:val="none"/>
              </w:rPr>
              <w:t xml:space="preserve">应根据实际使用量供货，合同的最终结算金额按实际使用量乘以中标单价进行计算。</w:t>
            </w:r>
            <w:r>
              <w:rPr>
                <w:rFonts w:hint="eastAsia" w:ascii="宋体" w:hAnsi="宋体"/>
                <w:color w:val="000000"/>
                <w:szCs w:val="21"/>
                <w:highlight w:val="none"/>
              </w:rPr>
            </w:r>
            <w:r/>
          </w:p>
          <w:p>
            <w:pPr>
              <w:pStyle w:val="768"/>
              <w:jc w:val="left"/>
              <w:rPr>
                <w:rFonts w:ascii="宋体" w:hAnsi="宋体"/>
                <w:color w:val="000000"/>
                <w:szCs w:val="21"/>
                <w:highlight w:val="none"/>
              </w:rPr>
            </w:pPr>
            <w:r>
              <w:rPr>
                <w:rFonts w:hint="eastAsia" w:ascii="宋体" w:hAnsi="宋体"/>
                <w:color w:val="000000"/>
                <w:szCs w:val="21"/>
                <w:highlight w:val="none"/>
              </w:rPr>
              <w:t xml:space="preserve">(5)在签订合同时，</w:t>
            </w:r>
            <w:r>
              <w:rPr>
                <w:rFonts w:hint="eastAsia" w:ascii="宋体" w:hAnsi="宋体"/>
                <w:color w:val="000000"/>
                <w:highlight w:val="none"/>
              </w:rPr>
              <w:t xml:space="preserve">乙方</w:t>
            </w:r>
            <w:r>
              <w:rPr>
                <w:rFonts w:hint="eastAsia" w:ascii="宋体" w:hAnsi="宋体"/>
                <w:color w:val="000000"/>
                <w:szCs w:val="21"/>
                <w:highlight w:val="none"/>
              </w:rPr>
              <w:t xml:space="preserve">明确表示无需预付款或者主动要求降低预付款比例的，</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可不适用前述规定。</w:t>
            </w:r>
            <w:r>
              <w:rPr>
                <w:rFonts w:ascii="宋体" w:hAnsi="宋体"/>
                <w:color w:val="000000"/>
                <w:szCs w:val="21"/>
                <w:highlight w:val="none"/>
              </w:rPr>
            </w:r>
            <w:r/>
          </w:p>
        </w:tc>
      </w:tr>
      <w:tr>
        <w:trPr>
          <w:trHeight w:val="697"/>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第13.2款</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履约保证金不予退还的情形</w:t>
            </w:r>
            <w:r>
              <w:rPr>
                <w:rFonts w:ascii="宋体" w:hAnsi="宋体"/>
                <w:color w:val="000000"/>
                <w:szCs w:val="21"/>
                <w:highlight w:val="none"/>
              </w:rPr>
            </w:r>
            <w:r/>
          </w:p>
        </w:tc>
        <w:tc>
          <w:tcPr>
            <w:tcW w:w="5170"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highlight w:val="none"/>
                <w:lang w:val="zh-CN"/>
              </w:rPr>
              <w:t xml:space="preserve">履约保证金不予退还情形：除不可抗力外，投标人不履行与甲方订立的采购合同的，履约保证金不予退还，给甲方造成的损失超过履约保证金数额的，还应当对超过部分予以赔偿。</w:t>
            </w:r>
            <w:r>
              <w:rPr>
                <w:rFonts w:ascii="宋体" w:hAnsi="宋体"/>
                <w:color w:val="000000"/>
                <w:szCs w:val="21"/>
                <w:highlight w:val="none"/>
              </w:rPr>
            </w:r>
            <w:r/>
          </w:p>
        </w:tc>
      </w:tr>
      <w:tr>
        <w:trPr>
          <w:trHeight w:val="736"/>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第13.3款</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履约保证金退还时间及逾期退还的违约金</w:t>
            </w:r>
            <w:r>
              <w:rPr>
                <w:rFonts w:ascii="宋体" w:hAnsi="宋体"/>
                <w:color w:val="000000"/>
                <w:szCs w:val="21"/>
                <w:highlight w:val="none"/>
              </w:rPr>
            </w:r>
            <w:r/>
          </w:p>
        </w:tc>
        <w:tc>
          <w:tcPr>
            <w:tcW w:w="5170" w:type="dxa"/>
            <w:vAlign w:val="center"/>
            <w:textDirection w:val="lrTb"/>
            <w:noWrap w:val="false"/>
          </w:tcPr>
          <w:p>
            <w:pPr>
              <w:pStyle w:val="768"/>
              <w:jc w:val="left"/>
              <w:rPr>
                <w:rFonts w:hint="eastAsia" w:ascii="宋体" w:hAnsi="宋体"/>
                <w:color w:val="000000"/>
                <w:highlight w:val="none"/>
                <w:lang w:val="zh-CN"/>
              </w:rPr>
            </w:pPr>
            <w:r>
              <w:rPr>
                <w:rFonts w:hint="eastAsia" w:ascii="宋体" w:hAnsi="宋体"/>
                <w:color w:val="000000"/>
                <w:highlight w:val="none"/>
                <w:lang w:val="zh-CN"/>
              </w:rPr>
              <w:t xml:space="preserve">货物类项目，项目验收合格，出具验收报告及履约保证金收据申请退付；</w:t>
            </w:r>
            <w:r>
              <w:rPr>
                <w:rFonts w:hint="eastAsia" w:ascii="宋体" w:hAnsi="宋体"/>
                <w:color w:val="000000"/>
                <w:highlight w:val="none"/>
                <w:lang w:val="zh-CN"/>
              </w:rPr>
            </w:r>
            <w:r/>
          </w:p>
          <w:p>
            <w:pPr>
              <w:pStyle w:val="768"/>
              <w:jc w:val="left"/>
              <w:rPr>
                <w:rFonts w:hint="eastAsia" w:ascii="宋体" w:hAnsi="宋体"/>
                <w:color w:val="000000"/>
                <w:highlight w:val="none"/>
                <w:lang w:val="zh-CN"/>
              </w:rPr>
            </w:pPr>
            <w:r>
              <w:rPr>
                <w:rFonts w:hint="eastAsia" w:ascii="宋体" w:hAnsi="宋体"/>
                <w:color w:val="000000"/>
                <w:highlight w:val="none"/>
                <w:lang w:val="zh-CN"/>
              </w:rPr>
              <w:t xml:space="preserve">履约保证金退还时间：</w:t>
            </w:r>
            <w:r>
              <w:rPr>
                <w:rFonts w:hint="eastAsia" w:ascii="宋体" w:hAnsi="宋体"/>
                <w:color w:val="000000"/>
                <w:highlight w:val="none"/>
                <w:lang w:val="en-US" w:eastAsia="zh-CN"/>
              </w:rPr>
              <w:t xml:space="preserve">甲方</w:t>
            </w:r>
            <w:r>
              <w:rPr>
                <w:rFonts w:hint="eastAsia" w:ascii="宋体" w:hAnsi="宋体"/>
                <w:color w:val="000000"/>
                <w:highlight w:val="none"/>
                <w:lang w:val="zh-CN"/>
              </w:rPr>
              <w:t xml:space="preserve">收到</w:t>
            </w:r>
            <w:r>
              <w:rPr>
                <w:rFonts w:hint="eastAsia" w:ascii="宋体" w:hAnsi="宋体"/>
                <w:color w:val="000000"/>
                <w:highlight w:val="none"/>
                <w:lang w:val="en-US" w:eastAsia="zh-CN"/>
              </w:rPr>
              <w:t xml:space="preserve">乙方</w:t>
            </w:r>
            <w:r>
              <w:rPr>
                <w:rFonts w:hint="eastAsia" w:ascii="宋体" w:hAnsi="宋体"/>
                <w:color w:val="000000"/>
                <w:highlight w:val="none"/>
                <w:lang w:val="zh-CN"/>
              </w:rPr>
              <w:t xml:space="preserve">退付申请后5个工作日内退还；</w:t>
            </w:r>
            <w:r>
              <w:rPr>
                <w:rFonts w:hint="eastAsia" w:ascii="宋体" w:hAnsi="宋体"/>
                <w:color w:val="000000"/>
                <w:highlight w:val="none"/>
                <w:lang w:val="zh-CN"/>
              </w:rPr>
            </w:r>
            <w:r/>
          </w:p>
          <w:p>
            <w:pPr>
              <w:pStyle w:val="768"/>
              <w:jc w:val="left"/>
              <w:rPr>
                <w:rFonts w:ascii="宋体" w:hAnsi="宋体"/>
                <w:color w:val="000000"/>
                <w:szCs w:val="21"/>
                <w:highlight w:val="none"/>
              </w:rPr>
            </w:pPr>
            <w:r>
              <w:rPr>
                <w:rFonts w:hint="eastAsia" w:ascii="宋体" w:hAnsi="宋体"/>
                <w:color w:val="000000"/>
                <w:highlight w:val="none"/>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color w:val="000000"/>
                <w:highlight w:val="none"/>
                <w:lang w:val="en-US" w:eastAsia="zh-CN"/>
              </w:rPr>
              <w:t xml:space="preserve">乙方</w:t>
            </w:r>
            <w:r>
              <w:rPr>
                <w:rFonts w:hint="eastAsia" w:ascii="宋体" w:hAnsi="宋体"/>
                <w:color w:val="000000"/>
                <w:highlight w:val="none"/>
                <w:lang w:val="zh-CN"/>
              </w:rPr>
              <w:t xml:space="preserve">自身原因导致无法及时退还的除外。</w:t>
            </w:r>
            <w:r>
              <w:rPr>
                <w:rFonts w:ascii="宋体" w:hAnsi="宋体"/>
                <w:color w:val="000000"/>
                <w:szCs w:val="21"/>
                <w:highlight w:val="none"/>
              </w:rPr>
            </w:r>
            <w:r/>
          </w:p>
        </w:tc>
      </w:tr>
      <w:tr>
        <w:trPr>
          <w:trHeight w:val="784"/>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第14.1（3）项</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运行监督、维修期限</w:t>
            </w:r>
            <w:r>
              <w:rPr>
                <w:rFonts w:ascii="宋体" w:hAnsi="宋体"/>
                <w:color w:val="000000"/>
                <w:szCs w:val="21"/>
                <w:highlight w:val="none"/>
              </w:rPr>
            </w:r>
            <w:r/>
          </w:p>
        </w:tc>
        <w:tc>
          <w:tcPr>
            <w:tcW w:w="5170"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highlight w:val="none"/>
                <w:lang w:val="en-US" w:eastAsia="zh-CN"/>
              </w:rPr>
              <w:t xml:space="preserve">货物交付前应试运行，试运行时间包含在项目供货期内，试运行结束后乙方应当提交试运行报告作为验收资料组成，项目维修期限不少于3</w:t>
            </w:r>
            <w:r>
              <w:rPr>
                <w:rFonts w:hint="eastAsia" w:ascii="宋体" w:hAnsi="宋体"/>
                <w:color w:val="000000"/>
                <w:highlight w:val="none"/>
              </w:rPr>
              <w:t xml:space="preserve">年</w:t>
            </w:r>
            <w:r>
              <w:rPr>
                <w:rFonts w:hint="eastAsia"/>
                <w:color w:val="000000"/>
                <w:highlight w:val="none"/>
              </w:rPr>
              <w:t xml:space="preserve">（自货物最终交付验收合格后）</w:t>
            </w:r>
            <w:r>
              <w:rPr>
                <w:rFonts w:ascii="宋体" w:hAnsi="宋体"/>
                <w:color w:val="000000"/>
                <w:szCs w:val="21"/>
                <w:highlight w:val="none"/>
              </w:rPr>
            </w:r>
            <w:r/>
          </w:p>
        </w:tc>
      </w:tr>
      <w:tr>
        <w:trPr>
          <w:trHeight w:val="784"/>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第14.1（5）项</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货物回收的约定</w:t>
            </w:r>
            <w:r>
              <w:rPr>
                <w:rFonts w:ascii="宋体" w:hAnsi="宋体"/>
                <w:color w:val="000000"/>
                <w:szCs w:val="21"/>
                <w:highlight w:val="none"/>
              </w:rPr>
            </w:r>
            <w:r/>
          </w:p>
        </w:tc>
        <w:tc>
          <w:tcPr>
            <w:tcW w:w="5170"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highlight w:val="none"/>
              </w:rPr>
              <w:t xml:space="preserve">无</w:t>
            </w:r>
            <w:r>
              <w:rPr>
                <w:rFonts w:ascii="宋体" w:hAnsi="宋体"/>
                <w:color w:val="000000"/>
                <w:szCs w:val="21"/>
                <w:highlight w:val="none"/>
              </w:rPr>
            </w:r>
            <w:r/>
          </w:p>
        </w:tc>
      </w:tr>
      <w:tr>
        <w:trPr>
          <w:trHeight w:val="736"/>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第14.1（6）项</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乙方提供的其他服务</w:t>
            </w:r>
            <w:r>
              <w:rPr>
                <w:rFonts w:ascii="宋体" w:hAnsi="宋体"/>
                <w:color w:val="000000"/>
                <w:szCs w:val="21"/>
                <w:highlight w:val="none"/>
              </w:rPr>
            </w:r>
            <w:r/>
          </w:p>
        </w:tc>
        <w:tc>
          <w:tcPr>
            <w:tcW w:w="5170"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highlight w:val="none"/>
              </w:rPr>
              <w:t xml:space="preserve">无</w:t>
            </w:r>
            <w:r>
              <w:rPr>
                <w:rFonts w:ascii="宋体" w:hAnsi="宋体"/>
                <w:color w:val="000000"/>
                <w:szCs w:val="21"/>
                <w:highlight w:val="none"/>
              </w:rPr>
            </w:r>
            <w:r/>
          </w:p>
        </w:tc>
      </w:tr>
      <w:tr>
        <w:trPr>
          <w:trHeight w:val="736"/>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第15.1款</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修理、重</w:t>
            </w:r>
            <w:r>
              <w:rPr>
                <w:rFonts w:hint="eastAsia" w:ascii="宋体" w:hAnsi="宋体"/>
                <w:color w:val="000000"/>
                <w:szCs w:val="21"/>
                <w:highlight w:val="none"/>
                <w:lang w:eastAsia="zh-CN"/>
              </w:rPr>
              <w:t xml:space="preserve">做</w:t>
            </w:r>
            <w:r>
              <w:rPr>
                <w:rFonts w:hint="eastAsia" w:ascii="宋体" w:hAnsi="宋体"/>
                <w:color w:val="000000"/>
                <w:szCs w:val="21"/>
                <w:highlight w:val="none"/>
              </w:rPr>
              <w:t xml:space="preserve">、更换相关具体规定</w:t>
            </w:r>
            <w:r>
              <w:rPr>
                <w:rFonts w:ascii="宋体" w:hAnsi="宋体"/>
                <w:color w:val="000000"/>
                <w:szCs w:val="21"/>
                <w:highlight w:val="none"/>
              </w:rPr>
            </w:r>
            <w:r/>
          </w:p>
        </w:tc>
        <w:tc>
          <w:tcPr>
            <w:tcW w:w="5170" w:type="dxa"/>
            <w:vAlign w:val="center"/>
            <w:textDirection w:val="lrTb"/>
            <w:noWrap w:val="false"/>
          </w:tcPr>
          <w:p>
            <w:pPr>
              <w:pStyle w:val="768"/>
              <w:jc w:val="left"/>
              <w:rPr>
                <w:rFonts w:hint="eastAsia" w:ascii="宋体" w:hAnsi="宋体"/>
                <w:color w:val="000000"/>
                <w:highlight w:val="none"/>
              </w:rPr>
            </w:pPr>
            <w:r>
              <w:rPr>
                <w:rFonts w:hint="eastAsia" w:ascii="宋体" w:hAnsi="宋体"/>
                <w:color w:val="000000"/>
                <w:highlight w:val="none"/>
              </w:rPr>
              <w:t xml:space="preserve">乙方提供的货物在质量期内因货物本身的质量问题发生故障，乙方应负责免费更换。对达不到技术要求者，根据实际情况，经双方协商，可按以下办法处理：</w:t>
            </w:r>
            <w:r>
              <w:rPr>
                <w:rFonts w:hint="eastAsia" w:ascii="宋体" w:hAnsi="宋体"/>
                <w:color w:val="000000"/>
                <w:highlight w:val="none"/>
              </w:rPr>
            </w:r>
            <w:r/>
          </w:p>
          <w:p>
            <w:pPr>
              <w:pStyle w:val="768"/>
              <w:jc w:val="left"/>
              <w:rPr>
                <w:rFonts w:hint="eastAsia" w:ascii="宋体" w:hAnsi="宋体"/>
                <w:color w:val="000000"/>
                <w:highlight w:val="none"/>
              </w:rPr>
            </w:pPr>
            <w:r>
              <w:rPr>
                <w:rFonts w:hint="eastAsia" w:ascii="宋体" w:hAnsi="宋体"/>
                <w:color w:val="000000"/>
                <w:highlight w:val="none"/>
              </w:rPr>
              <w:t xml:space="preserve">⑴更换：由乙方承担所发生的全部费用。</w:t>
            </w:r>
            <w:r>
              <w:rPr>
                <w:rFonts w:hint="eastAsia" w:ascii="宋体" w:hAnsi="宋体"/>
                <w:color w:val="000000"/>
                <w:highlight w:val="none"/>
              </w:rPr>
            </w:r>
            <w:r/>
          </w:p>
          <w:p>
            <w:pPr>
              <w:pStyle w:val="768"/>
              <w:jc w:val="left"/>
              <w:rPr>
                <w:rFonts w:hint="eastAsia" w:ascii="宋体" w:hAnsi="宋体"/>
                <w:color w:val="000000"/>
                <w:highlight w:val="none"/>
              </w:rPr>
            </w:pPr>
            <w:r>
              <w:rPr>
                <w:rFonts w:hint="eastAsia" w:ascii="宋体" w:hAnsi="宋体"/>
                <w:color w:val="000000"/>
                <w:highlight w:val="none"/>
              </w:rPr>
              <w:t xml:space="preserve">⑵贬值处理：由甲乙双方合议定价。</w:t>
            </w:r>
            <w:r>
              <w:rPr>
                <w:rFonts w:hint="eastAsia" w:ascii="宋体" w:hAnsi="宋体"/>
                <w:color w:val="000000"/>
                <w:highlight w:val="none"/>
              </w:rPr>
            </w:r>
            <w:r/>
          </w:p>
          <w:p>
            <w:pPr>
              <w:pStyle w:val="768"/>
              <w:jc w:val="left"/>
              <w:rPr>
                <w:rFonts w:ascii="宋体" w:hAnsi="宋体"/>
                <w:color w:val="000000"/>
                <w:szCs w:val="21"/>
                <w:highlight w:val="none"/>
              </w:rPr>
            </w:pPr>
            <w:r>
              <w:rPr>
                <w:rFonts w:hint="eastAsia" w:ascii="宋体" w:hAnsi="宋体"/>
                <w:color w:val="000000"/>
                <w:highlight w:val="none"/>
              </w:rPr>
              <w:t xml:space="preserve">⑶退货处理：乙方应退还甲方支付的合同款，同时应承担该货物的直接费用（运输、保险、检验、货款利息及银行手续费等）。</w:t>
            </w:r>
            <w:r>
              <w:rPr>
                <w:rFonts w:ascii="宋体" w:hAnsi="宋体"/>
                <w:color w:val="000000"/>
                <w:szCs w:val="21"/>
                <w:highlight w:val="none"/>
              </w:rPr>
            </w:r>
            <w:r/>
          </w:p>
        </w:tc>
      </w:tr>
      <w:tr>
        <w:trPr>
          <w:trHeight w:val="736"/>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第15.2（2）项</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迟延交货赔偿费</w:t>
            </w:r>
            <w:r>
              <w:rPr>
                <w:rFonts w:ascii="宋体" w:hAnsi="宋体"/>
                <w:color w:val="000000"/>
                <w:szCs w:val="21"/>
                <w:highlight w:val="none"/>
              </w:rPr>
            </w:r>
            <w:r/>
          </w:p>
        </w:tc>
        <w:tc>
          <w:tcPr>
            <w:tcW w:w="5170" w:type="dxa"/>
            <w:vAlign w:val="center"/>
            <w:textDirection w:val="lrTb"/>
            <w:noWrap w:val="false"/>
          </w:tcPr>
          <w:p>
            <w:pPr>
              <w:pStyle w:val="768"/>
              <w:jc w:val="left"/>
              <w:rPr>
                <w:rFonts w:ascii="宋体" w:hAnsi="宋体"/>
                <w:color w:val="000000"/>
                <w:szCs w:val="21"/>
                <w:highlight w:val="none"/>
                <w:u w:val="single"/>
              </w:rPr>
            </w:pPr>
            <w:r>
              <w:rPr>
                <w:rFonts w:hint="eastAsia" w:ascii="宋体" w:hAnsi="宋体"/>
                <w:color w:val="000000"/>
                <w:highlight w:val="none"/>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rPr>
                <w:rFonts w:ascii="宋体" w:hAnsi="宋体"/>
                <w:color w:val="000000"/>
                <w:szCs w:val="21"/>
                <w:highlight w:val="none"/>
                <w:u w:val="single"/>
              </w:rPr>
            </w:r>
            <w:r/>
          </w:p>
        </w:tc>
      </w:tr>
      <w:tr>
        <w:trPr>
          <w:trHeight w:val="736"/>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第15.3款</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逾期付款利息</w:t>
            </w:r>
            <w:r>
              <w:rPr>
                <w:rFonts w:ascii="宋体" w:hAnsi="宋体"/>
                <w:color w:val="000000"/>
                <w:szCs w:val="21"/>
                <w:highlight w:val="none"/>
              </w:rPr>
            </w:r>
            <w:r/>
          </w:p>
        </w:tc>
        <w:tc>
          <w:tcPr>
            <w:tcW w:w="5170" w:type="dxa"/>
            <w:vAlign w:val="center"/>
            <w:textDirection w:val="lrTb"/>
            <w:noWrap w:val="false"/>
          </w:tcPr>
          <w:p>
            <w:pPr>
              <w:pStyle w:val="768"/>
              <w:jc w:val="left"/>
              <w:rPr>
                <w:rFonts w:ascii="宋体" w:hAnsi="宋体"/>
                <w:color w:val="000000"/>
                <w:szCs w:val="21"/>
                <w:highlight w:val="none"/>
                <w:u w:val="single"/>
              </w:rPr>
            </w:pPr>
            <w:r>
              <w:rPr>
                <w:rFonts w:hint="eastAsia" w:ascii="宋体" w:hAnsi="宋体"/>
                <w:color w:val="000000"/>
                <w:highlight w:val="none"/>
              </w:rPr>
              <w:t xml:space="preserve">甲方无故逾期验收和办理货款支付手续的</w:t>
            </w:r>
            <w:r>
              <w:rPr>
                <w:rFonts w:hint="eastAsia" w:ascii="宋体" w:hAnsi="宋体"/>
                <w:color w:val="000000"/>
                <w:highlight w:val="none"/>
                <w:lang w:eastAsia="zh-CN"/>
              </w:rPr>
              <w:t xml:space="preserve">，</w:t>
            </w:r>
            <w:r>
              <w:rPr>
                <w:rFonts w:hint="eastAsia" w:ascii="宋体" w:hAnsi="宋体"/>
                <w:color w:val="000000"/>
                <w:highlight w:val="none"/>
              </w:rPr>
              <w:t xml:space="preserve">甲方应按逾期付款总额每日万分之一向乙方支付违约金</w:t>
            </w:r>
            <w:r>
              <w:rPr>
                <w:rFonts w:ascii="宋体" w:hAnsi="宋体"/>
                <w:color w:val="000000"/>
                <w:szCs w:val="21"/>
                <w:highlight w:val="none"/>
                <w:u w:val="single"/>
              </w:rPr>
            </w:r>
            <w:r/>
          </w:p>
        </w:tc>
      </w:tr>
      <w:tr>
        <w:trPr>
          <w:trHeight w:val="876"/>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第15.4款</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其他违约责任</w:t>
            </w:r>
            <w:r>
              <w:rPr>
                <w:rFonts w:ascii="宋体" w:hAnsi="宋体"/>
                <w:color w:val="000000"/>
                <w:szCs w:val="21"/>
                <w:highlight w:val="none"/>
              </w:rPr>
            </w:r>
            <w:r/>
          </w:p>
        </w:tc>
        <w:tc>
          <w:tcPr>
            <w:tcW w:w="5170" w:type="dxa"/>
            <w:vAlign w:val="center"/>
            <w:textDirection w:val="lrTb"/>
            <w:noWrap w:val="false"/>
          </w:tcPr>
          <w:p>
            <w:pPr>
              <w:pStyle w:val="768"/>
              <w:jc w:val="left"/>
              <w:rPr>
                <w:rFonts w:ascii="宋体" w:hAnsi="宋体"/>
                <w:color w:val="000000"/>
                <w:szCs w:val="21"/>
                <w:highlight w:val="none"/>
                <w:u w:val="single"/>
              </w:rPr>
            </w:pPr>
            <w:r>
              <w:rPr>
                <w:rFonts w:hint="eastAsia" w:ascii="宋体" w:hAnsi="宋体"/>
                <w:color w:val="000000"/>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color w:val="000000"/>
                <w:szCs w:val="21"/>
                <w:highlight w:val="none"/>
                <w:u w:val="single"/>
              </w:rPr>
            </w:r>
            <w:r/>
          </w:p>
        </w:tc>
      </w:tr>
      <w:tr>
        <w:trPr>
          <w:trHeight w:val="90"/>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第19.2款</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color w:val="000000"/>
                <w:szCs w:val="21"/>
                <w:highlight w:val="none"/>
              </w:rPr>
              <w:t xml:space="preserve">解决争议的方法</w:t>
            </w:r>
            <w:r>
              <w:rPr>
                <w:rFonts w:ascii="宋体" w:hAnsi="宋体"/>
                <w:color w:val="000000"/>
                <w:szCs w:val="21"/>
                <w:highlight w:val="none"/>
              </w:rPr>
            </w:r>
            <w:r/>
          </w:p>
        </w:tc>
        <w:tc>
          <w:tcPr>
            <w:tcW w:w="5170" w:type="dxa"/>
            <w:vAlign w:val="center"/>
            <w:textDirection w:val="lrTb"/>
            <w:noWrap w:val="false"/>
          </w:tcPr>
          <w:p>
            <w:pPr>
              <w:pStyle w:val="768"/>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因本合同及合同有关事项发生的争议，按下列第</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u w:val="single"/>
                <w:lang w:eastAsia="zh-CN"/>
              </w:rPr>
              <w:t xml:space="preserve">（</w:t>
            </w:r>
            <w:r>
              <w:rPr>
                <w:rFonts w:hint="eastAsia" w:ascii="宋体" w:hAnsi="宋体" w:cs="宋体"/>
                <w:iCs/>
                <w:color w:val="000000"/>
                <w:szCs w:val="21"/>
                <w:highlight w:val="none"/>
                <w:u w:val="single"/>
                <w:lang w:val="en-US" w:eastAsia="zh-CN"/>
              </w:rPr>
              <w:t xml:space="preserve">2</w:t>
            </w:r>
            <w:r>
              <w:rPr>
                <w:rFonts w:hint="eastAsia" w:ascii="宋体" w:hAnsi="宋体" w:cs="宋体"/>
                <w:iCs/>
                <w:color w:val="000000"/>
                <w:szCs w:val="21"/>
                <w:highlight w:val="none"/>
                <w:u w:val="single"/>
                <w:lang w:eastAsia="zh-CN"/>
              </w:rPr>
              <w:t xml:space="preserve">）</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种方式解决：</w:t>
            </w:r>
            <w:r>
              <w:rPr>
                <w:rFonts w:ascii="宋体" w:hAnsi="宋体" w:cs="宋体"/>
                <w:iCs/>
                <w:color w:val="000000"/>
                <w:szCs w:val="21"/>
                <w:highlight w:val="none"/>
              </w:rPr>
            </w:r>
            <w:r/>
          </w:p>
          <w:p>
            <w:pPr>
              <w:pStyle w:val="768"/>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（1）向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u w:val="single"/>
                <w:lang w:val="en-US" w:eastAsia="zh-CN"/>
              </w:rPr>
              <w:t xml:space="preserve">/</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仲裁委员会申请仲裁，仲裁地点为</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u w:val="single"/>
                <w:lang w:val="en-US" w:eastAsia="zh-CN"/>
              </w:rPr>
              <w:t xml:space="preserve">/</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w:t>
            </w:r>
            <w:r>
              <w:rPr>
                <w:rFonts w:ascii="宋体" w:hAnsi="宋体" w:cs="宋体"/>
                <w:iCs/>
                <w:color w:val="000000"/>
                <w:szCs w:val="21"/>
                <w:highlight w:val="none"/>
              </w:rPr>
            </w:r>
            <w:r/>
          </w:p>
          <w:p>
            <w:pPr>
              <w:pStyle w:val="768"/>
              <w:jc w:val="left"/>
              <w:rPr>
                <w:rFonts w:ascii="宋体" w:hAnsi="宋体"/>
                <w:color w:val="000000"/>
                <w:szCs w:val="21"/>
                <w:highlight w:val="none"/>
                <w:u w:val="single"/>
              </w:rPr>
            </w:pPr>
            <w:r>
              <w:rPr>
                <w:rFonts w:hint="eastAsia" w:ascii="宋体" w:hAnsi="宋体" w:cs="宋体"/>
                <w:iCs/>
                <w:color w:val="000000"/>
                <w:szCs w:val="21"/>
                <w:highlight w:val="none"/>
              </w:rPr>
              <w:t xml:space="preserve">（2）向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u w:val="single"/>
                <w:lang w:val="en-US" w:eastAsia="zh-CN"/>
              </w:rPr>
              <w:t xml:space="preserve">泗洪县</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人民法院起诉。</w:t>
            </w:r>
            <w:r>
              <w:rPr>
                <w:rFonts w:ascii="宋体" w:hAnsi="宋体"/>
                <w:color w:val="000000"/>
                <w:szCs w:val="21"/>
                <w:highlight w:val="none"/>
                <w:u w:val="single"/>
              </w:rPr>
            </w:r>
            <w:r/>
          </w:p>
        </w:tc>
      </w:tr>
      <w:tr>
        <w:trPr>
          <w:trHeight w:val="770"/>
        </w:trPr>
        <w:tc>
          <w:tcPr>
            <w:tcW w:w="1607" w:type="dxa"/>
            <w:vAlign w:val="center"/>
            <w:textDirection w:val="lrTb"/>
            <w:noWrap w:val="false"/>
          </w:tcPr>
          <w:p>
            <w:pPr>
              <w:pStyle w:val="768"/>
              <w:jc w:val="center"/>
              <w:rPr>
                <w:rFonts w:ascii="宋体" w:hAnsi="宋体"/>
                <w:color w:val="000000"/>
                <w:szCs w:val="21"/>
                <w:highlight w:val="none"/>
              </w:rPr>
            </w:pPr>
            <w:r>
              <w:rPr>
                <w:rFonts w:hint="eastAsia" w:ascii="宋体" w:hAnsi="宋体"/>
                <w:color w:val="000000"/>
                <w:szCs w:val="21"/>
                <w:highlight w:val="none"/>
              </w:rPr>
              <w:t xml:space="preserve">第二节</w:t>
            </w:r>
            <w:r>
              <w:rPr>
                <w:rFonts w:ascii="宋体" w:hAnsi="宋体"/>
                <w:color w:val="000000"/>
                <w:szCs w:val="21"/>
                <w:highlight w:val="none"/>
              </w:rPr>
            </w:r>
            <w:r/>
          </w:p>
          <w:p>
            <w:pPr>
              <w:pStyle w:val="768"/>
              <w:jc w:val="center"/>
              <w:rPr>
                <w:rFonts w:ascii="宋体" w:hAnsi="宋体"/>
                <w:color w:val="000000"/>
                <w:szCs w:val="21"/>
                <w:highlight w:val="none"/>
              </w:rPr>
            </w:pPr>
            <w:r>
              <w:rPr>
                <w:rFonts w:hint="eastAsia" w:ascii="宋体" w:hAnsi="宋体"/>
                <w:color w:val="000000"/>
                <w:szCs w:val="21"/>
                <w:highlight w:val="none"/>
              </w:rPr>
              <w:t xml:space="preserve">第23.1款</w:t>
            </w:r>
            <w:r>
              <w:rPr>
                <w:rFonts w:ascii="宋体" w:hAnsi="宋体"/>
                <w:color w:val="000000"/>
                <w:szCs w:val="21"/>
                <w:highlight w:val="none"/>
              </w:rPr>
            </w:r>
            <w:r/>
          </w:p>
        </w:tc>
        <w:tc>
          <w:tcPr>
            <w:tcW w:w="1742" w:type="dxa"/>
            <w:vAlign w:val="center"/>
            <w:textDirection w:val="lrTb"/>
            <w:noWrap w:val="false"/>
          </w:tcPr>
          <w:p>
            <w:pPr>
              <w:pStyle w:val="768"/>
              <w:jc w:val="left"/>
              <w:rPr>
                <w:rFonts w:ascii="宋体" w:hAnsi="宋体"/>
                <w:color w:val="000000"/>
                <w:szCs w:val="21"/>
                <w:highlight w:val="none"/>
              </w:rPr>
            </w:pPr>
            <w:r>
              <w:rPr>
                <w:rFonts w:hint="eastAsia" w:ascii="宋体" w:hAnsi="宋体"/>
                <w:bCs/>
                <w:color w:val="000000"/>
                <w:szCs w:val="21"/>
                <w:highlight w:val="none"/>
              </w:rPr>
              <w:t xml:space="preserve">其他专用条款</w:t>
            </w:r>
            <w:r>
              <w:rPr>
                <w:rFonts w:ascii="宋体" w:hAnsi="宋体"/>
                <w:color w:val="000000"/>
                <w:szCs w:val="21"/>
                <w:highlight w:val="none"/>
              </w:rPr>
            </w:r>
            <w:r/>
          </w:p>
        </w:tc>
        <w:tc>
          <w:tcPr>
            <w:tcW w:w="5170" w:type="dxa"/>
            <w:vAlign w:val="center"/>
            <w:textDirection w:val="lrTb"/>
            <w:noWrap w:val="false"/>
          </w:tcPr>
          <w:p>
            <w:pPr>
              <w:pStyle w:val="768"/>
              <w:jc w:val="left"/>
              <w:rPr>
                <w:rFonts w:ascii="宋体" w:hAnsi="宋体"/>
                <w:color w:val="000000"/>
                <w:szCs w:val="21"/>
                <w:highlight w:val="none"/>
              </w:rPr>
            </w:pPr>
            <w:r>
              <w:rPr>
                <w:rFonts w:ascii="宋体" w:hAnsi="宋体"/>
                <w:color w:val="000000"/>
                <w:szCs w:val="21"/>
                <w:highlight w:val="none"/>
              </w:rPr>
            </w:r>
            <w:r/>
          </w:p>
        </w:tc>
      </w:tr>
    </w:tbl>
    <w:p>
      <w:pPr>
        <w:pStyle w:val="1153"/>
        <w:jc w:val="both"/>
        <w:spacing w:before="0" w:beforeAutospacing="0" w:after="0" w:afterAutospacing="0" w:line="440" w:lineRule="exact"/>
        <w:rPr>
          <w:rFonts w:hint="eastAsia" w:ascii="宋体" w:cs="宋体"/>
          <w:b/>
          <w:bCs/>
          <w:color w:val="000000"/>
          <w:highlight w:val="none"/>
          <w:shd w:val="clear" w:color="auto" w:fill="ffffff"/>
          <w:lang w:bidi="ar-SA"/>
        </w:rPr>
      </w:pPr>
      <w:r>
        <w:rPr>
          <w:rFonts w:hint="eastAsia" w:ascii="宋体" w:cs="宋体"/>
          <w:b/>
          <w:bCs/>
          <w:color w:val="000000"/>
          <w:highlight w:val="none"/>
          <w:shd w:val="clear" w:color="auto" w:fill="ffffff"/>
          <w:lang w:bidi="ar-SA"/>
        </w:rPr>
      </w:r>
      <w:r/>
    </w:p>
    <w:p>
      <w:pPr>
        <w:pStyle w:val="1153"/>
        <w:jc w:val="both"/>
        <w:spacing w:before="0" w:beforeAutospacing="0" w:after="0" w:afterAutospacing="0" w:line="440" w:lineRule="exact"/>
        <w:rPr>
          <w:rFonts w:hint="eastAsia" w:ascii="宋体" w:cs="宋体"/>
          <w:b/>
          <w:bCs/>
          <w:color w:val="000000"/>
          <w:highlight w:val="none"/>
          <w:shd w:val="clear" w:color="auto" w:fill="ffffff"/>
          <w:lang w:bidi="ar-SA"/>
        </w:rPr>
      </w:pPr>
      <w:r>
        <w:rPr>
          <w:rFonts w:hint="eastAsia" w:ascii="宋体" w:cs="宋体"/>
          <w:b/>
          <w:bCs/>
          <w:color w:val="000000"/>
          <w:highlight w:val="none"/>
          <w:shd w:val="clear" w:color="auto" w:fill="ffffff"/>
          <w:lang w:bidi="ar-SA"/>
        </w:rPr>
      </w:r>
      <w:r/>
    </w:p>
    <w:p>
      <w:pPr>
        <w:pStyle w:val="1153"/>
        <w:jc w:val="both"/>
        <w:spacing w:before="0" w:beforeAutospacing="0" w:after="0" w:afterAutospacing="0" w:line="440" w:lineRule="exact"/>
        <w:rPr>
          <w:rFonts w:hint="eastAsia" w:ascii="宋体" w:cs="宋体"/>
          <w:b/>
          <w:bCs/>
          <w:color w:val="000000"/>
          <w:highlight w:val="none"/>
          <w:shd w:val="clear" w:color="auto" w:fill="ffffff"/>
          <w:lang w:bidi="ar-SA"/>
        </w:rPr>
      </w:pPr>
      <w:r>
        <w:rPr>
          <w:rFonts w:hint="eastAsia" w:ascii="宋体" w:cs="宋体"/>
          <w:b/>
          <w:bCs/>
          <w:color w:val="000000"/>
          <w:highlight w:val="none"/>
          <w:shd w:val="clear" w:color="auto" w:fill="ffffff"/>
          <w:lang w:bidi="ar-SA"/>
        </w:rPr>
      </w:r>
      <w:r/>
    </w:p>
    <w:p>
      <w:pPr>
        <w:pStyle w:val="768"/>
        <w:spacing w:line="400" w:lineRule="exact"/>
        <w:rPr>
          <w:rFonts w:ascii="宋体" w:hAnsi="宋体"/>
          <w:bCs/>
          <w:sz w:val="24"/>
          <w:szCs w:val="24"/>
          <w:highlight w:val="none"/>
        </w:rPr>
      </w:pPr>
      <w:r>
        <w:rPr>
          <w:rFonts w:ascii="宋体" w:hAnsi="宋体"/>
          <w:bCs/>
          <w:sz w:val="24"/>
          <w:szCs w:val="24"/>
          <w:highlight w:val="none"/>
        </w:rPr>
      </w:r>
      <w:r/>
    </w:p>
    <w:p>
      <w:pPr>
        <w:pStyle w:val="768"/>
        <w:jc w:val="center"/>
        <w:keepLines/>
        <w:keepNext/>
        <w:pageBreakBefore/>
        <w:rPr>
          <w:b/>
          <w:sz w:val="44"/>
          <w:szCs w:val="44"/>
          <w:highlight w:val="none"/>
        </w:rPr>
        <w:outlineLvl w:val="0"/>
      </w:pPr>
      <w:r/>
      <w:bookmarkEnd w:id="127"/>
      <w:r/>
      <w:bookmarkEnd w:id="128"/>
      <w:r/>
      <w:bookmarkEnd w:id="129"/>
      <w:r/>
      <w:bookmarkStart w:id="130" w:name="_Toc81575207"/>
      <w:r/>
      <w:bookmarkStart w:id="131" w:name="_Toc81575170"/>
      <w:r/>
      <w:bookmarkStart w:id="132" w:name="_Toc22853"/>
      <w:r/>
      <w:bookmarkStart w:id="133" w:name="_Toc12937"/>
      <w:r/>
      <w:bookmarkStart w:id="134" w:name="_Toc9003"/>
      <w:r/>
      <w:bookmarkStart w:id="135" w:name="_Toc19649"/>
      <w:r>
        <w:rPr>
          <w:rFonts w:hint="eastAsia"/>
          <w:b/>
          <w:sz w:val="44"/>
          <w:szCs w:val="44"/>
          <w:highlight w:val="none"/>
        </w:rPr>
        <w:t xml:space="preserve">第六章  投标文件格式</w:t>
      </w:r>
      <w:bookmarkEnd w:id="130"/>
      <w:r/>
      <w:bookmarkEnd w:id="131"/>
      <w:r/>
      <w:bookmarkEnd w:id="132"/>
      <w:r/>
      <w:bookmarkEnd w:id="133"/>
      <w:r/>
      <w:bookmarkEnd w:id="134"/>
      <w:r/>
      <w:bookmarkEnd w:id="135"/>
      <w:r>
        <w:rPr>
          <w:b/>
          <w:sz w:val="44"/>
          <w:szCs w:val="44"/>
          <w:highlight w:val="none"/>
        </w:rPr>
      </w:r>
      <w:r/>
    </w:p>
    <w:p>
      <w:pPr>
        <w:pStyle w:val="768"/>
        <w:rPr>
          <w:highlight w:val="none"/>
        </w:rPr>
      </w:pPr>
      <w:r/>
      <w:bookmarkStart w:id="136" w:name="EB819316f773b24a75aef829f9b72900c0"/>
      <w:r>
        <w:rPr>
          <w:highlight w:val="none"/>
        </w:rPr>
      </w:r>
      <w:r/>
    </w:p>
    <w:p>
      <w:pPr>
        <w:pStyle w:val="768"/>
        <w:rPr>
          <w:rFonts w:ascii="Times New Roman" w:hAnsi="Times New Roman"/>
          <w:b/>
          <w:sz w:val="72"/>
          <w:highlight w:val="none"/>
        </w:rPr>
      </w:pPr>
      <w:r/>
      <w:bookmarkStart w:id="137" w:name="_Toc15716"/>
      <w:r>
        <w:rPr>
          <w:rFonts w:ascii="Times New Roman" w:hAnsi="Times New Roman"/>
          <w:b/>
          <w:sz w:val="72"/>
          <w:highlight w:val="none"/>
        </w:rPr>
      </w:r>
      <w:r/>
    </w:p>
    <w:p>
      <w:pPr>
        <w:pStyle w:val="768"/>
        <w:rPr>
          <w:rFonts w:ascii="Times New Roman" w:hAnsi="Times New Roman"/>
          <w:b/>
          <w:sz w:val="72"/>
          <w:highlight w:val="none"/>
        </w:rPr>
      </w:pPr>
      <w:r>
        <w:rPr>
          <w:rFonts w:ascii="Times New Roman" w:hAnsi="Times New Roman"/>
          <w:b/>
          <w:sz w:val="72"/>
          <w:highlight w:val="none"/>
        </w:rPr>
      </w:r>
      <w:r/>
    </w:p>
    <w:p>
      <w:pPr>
        <w:pStyle w:val="768"/>
        <w:rPr>
          <w:rFonts w:ascii="Times New Roman" w:hAnsi="Times New Roman"/>
          <w:b/>
          <w:sz w:val="72"/>
          <w:highlight w:val="none"/>
        </w:rPr>
      </w:pPr>
      <w:r>
        <w:rPr>
          <w:rFonts w:ascii="Times New Roman" w:hAnsi="Times New Roman"/>
          <w:b/>
          <w:sz w:val="72"/>
          <w:highlight w:val="none"/>
        </w:rPr>
      </w:r>
      <w:r/>
    </w:p>
    <w:p>
      <w:pPr>
        <w:pStyle w:val="768"/>
        <w:jc w:val="center"/>
        <w:rPr>
          <w:rFonts w:ascii="Times New Roman" w:hAnsi="Times New Roman"/>
          <w:b/>
          <w:sz w:val="72"/>
          <w:highlight w:val="none"/>
        </w:rPr>
      </w:pPr>
      <w:r>
        <w:rPr>
          <w:rFonts w:hint="eastAsia" w:ascii="Times New Roman" w:hAnsi="Times New Roman"/>
          <w:b/>
          <w:sz w:val="72"/>
          <w:highlight w:val="none"/>
        </w:rPr>
        <w:t xml:space="preserve">投  标  文  件</w:t>
      </w:r>
      <w:r>
        <w:rPr>
          <w:rFonts w:ascii="Times New Roman" w:hAnsi="Times New Roman"/>
          <w:b/>
          <w:sz w:val="72"/>
          <w:highlight w:val="none"/>
        </w:rPr>
      </w:r>
      <w:r/>
    </w:p>
    <w:p>
      <w:pPr>
        <w:pStyle w:val="768"/>
        <w:jc w:val="center"/>
        <w:rPr>
          <w:rFonts w:ascii="Times New Roman" w:hAnsi="Times New Roman"/>
          <w:b/>
          <w:sz w:val="72"/>
          <w:highlight w:val="none"/>
        </w:rPr>
      </w:pPr>
      <w:r>
        <w:rPr>
          <w:rFonts w:ascii="Times New Roman" w:hAnsi="Times New Roman"/>
          <w:b/>
          <w:sz w:val="72"/>
          <w:highlight w:val="none"/>
        </w:rPr>
      </w:r>
      <w:r/>
    </w:p>
    <w:p>
      <w:pPr>
        <w:pStyle w:val="768"/>
        <w:jc w:val="center"/>
        <w:rPr>
          <w:rFonts w:ascii="Times New Roman" w:hAnsi="Times New Roman"/>
          <w:b/>
          <w:sz w:val="72"/>
          <w:highlight w:val="none"/>
        </w:rPr>
      </w:pPr>
      <w:r>
        <w:rPr>
          <w:rFonts w:ascii="Times New Roman" w:hAnsi="Times New Roman"/>
          <w:b/>
          <w:sz w:val="72"/>
          <w:highlight w:val="none"/>
        </w:rPr>
      </w:r>
      <w:r/>
    </w:p>
    <w:p>
      <w:pPr>
        <w:pStyle w:val="768"/>
        <w:jc w:val="center"/>
        <w:rPr>
          <w:rFonts w:ascii="Times New Roman" w:hAnsi="Times New Roman"/>
          <w:b/>
          <w:sz w:val="72"/>
          <w:highlight w:val="none"/>
        </w:rPr>
      </w:pPr>
      <w:r>
        <w:rPr>
          <w:rFonts w:ascii="Times New Roman" w:hAnsi="Times New Roman"/>
          <w:b/>
          <w:sz w:val="72"/>
          <w:highlight w:val="none"/>
        </w:rPr>
      </w:r>
      <w:r/>
    </w:p>
    <w:p>
      <w:pPr>
        <w:pStyle w:val="768"/>
        <w:jc w:val="center"/>
        <w:rPr>
          <w:rFonts w:ascii="Times New Roman" w:hAnsi="Times New Roman"/>
          <w:b/>
          <w:sz w:val="72"/>
          <w:highlight w:val="none"/>
        </w:rPr>
      </w:pPr>
      <w:r>
        <w:rPr>
          <w:rFonts w:ascii="Times New Roman" w:hAnsi="Times New Roman"/>
          <w:b/>
          <w:sz w:val="72"/>
          <w:highlight w:val="none"/>
        </w:rPr>
      </w:r>
      <w:r/>
    </w:p>
    <w:p>
      <w:pPr>
        <w:pStyle w:val="768"/>
        <w:jc w:val="center"/>
        <w:rPr>
          <w:rFonts w:ascii="Times New Roman" w:hAnsi="Times New Roman"/>
          <w:b/>
          <w:sz w:val="72"/>
          <w:highlight w:val="none"/>
        </w:rPr>
      </w:pPr>
      <w:r>
        <w:rPr>
          <w:rFonts w:ascii="Times New Roman" w:hAnsi="Times New Roman"/>
          <w:b/>
          <w:sz w:val="72"/>
          <w:highlight w:val="none"/>
        </w:rPr>
      </w:r>
      <w:r/>
    </w:p>
    <w:p>
      <w:pPr>
        <w:pStyle w:val="768"/>
        <w:jc w:val="center"/>
        <w:rPr>
          <w:rFonts w:ascii="Times New Roman" w:hAnsi="Times New Roman"/>
          <w:b/>
          <w:sz w:val="36"/>
          <w:highlight w:val="none"/>
        </w:rPr>
      </w:pPr>
      <w:r>
        <w:rPr>
          <w:rFonts w:ascii="Times New Roman" w:hAnsi="Times New Roman"/>
          <w:b/>
          <w:sz w:val="36"/>
          <w:highlight w:val="none"/>
        </w:rPr>
      </w:r>
      <w:r/>
    </w:p>
    <w:p>
      <w:pPr>
        <w:pStyle w:val="768"/>
        <w:jc w:val="center"/>
        <w:rPr>
          <w:rFonts w:ascii="Times New Roman" w:hAnsi="Times New Roman"/>
          <w:b/>
          <w:sz w:val="36"/>
          <w:highlight w:val="none"/>
        </w:rPr>
      </w:pPr>
      <w:r>
        <w:rPr>
          <w:rFonts w:ascii="Times New Roman" w:hAnsi="Times New Roman"/>
          <w:b/>
          <w:sz w:val="36"/>
          <w:highlight w:val="none"/>
        </w:rPr>
      </w:r>
      <w:r/>
    </w:p>
    <w:p>
      <w:pPr>
        <w:pStyle w:val="768"/>
        <w:jc w:val="center"/>
        <w:rPr>
          <w:rFonts w:ascii="Times New Roman" w:hAnsi="Times New Roman"/>
          <w:b/>
          <w:sz w:val="36"/>
          <w:highlight w:val="none"/>
        </w:rPr>
      </w:pPr>
      <w:r>
        <w:rPr>
          <w:rFonts w:ascii="Times New Roman" w:hAnsi="Times New Roman"/>
          <w:b/>
          <w:sz w:val="36"/>
          <w:highlight w:val="none"/>
        </w:rPr>
      </w:r>
      <w:r/>
    </w:p>
    <w:p>
      <w:pPr>
        <w:pStyle w:val="768"/>
        <w:ind w:firstLine="1084"/>
        <w:rPr>
          <w:rFonts w:ascii="Times New Roman" w:hAnsi="Times New Roman"/>
          <w:b/>
          <w:sz w:val="36"/>
          <w:highlight w:val="none"/>
        </w:rPr>
      </w:pPr>
      <w:r>
        <w:rPr>
          <w:rFonts w:hint="eastAsia" w:ascii="Times New Roman" w:hAnsi="Times New Roman"/>
          <w:b/>
          <w:sz w:val="36"/>
          <w:highlight w:val="none"/>
        </w:rPr>
        <w:t xml:space="preserve">项 目 名 称：</w:t>
      </w:r>
      <w:r>
        <w:rPr>
          <w:rFonts w:hint="eastAsia" w:ascii="Times New Roman" w:hAnsi="Times New Roman"/>
          <w:b/>
          <w:sz w:val="36"/>
          <w:highlight w:val="none"/>
          <w:u w:val="single"/>
        </w:rPr>
        <w:t xml:space="preserve">               </w:t>
      </w:r>
      <w:r>
        <w:rPr>
          <w:rFonts w:ascii="Times New Roman" w:hAnsi="Times New Roman"/>
          <w:b/>
          <w:sz w:val="36"/>
          <w:highlight w:val="none"/>
        </w:rPr>
      </w:r>
      <w:r/>
    </w:p>
    <w:p>
      <w:pPr>
        <w:pStyle w:val="768"/>
        <w:ind w:firstLine="1084"/>
        <w:rPr>
          <w:rFonts w:ascii="Times New Roman" w:hAnsi="Times New Roman"/>
          <w:b/>
          <w:sz w:val="36"/>
          <w:highlight w:val="none"/>
          <w:u w:val="single"/>
        </w:rPr>
      </w:pPr>
      <w:r>
        <w:rPr>
          <w:rFonts w:hint="eastAsia" w:ascii="Times New Roman" w:hAnsi="Times New Roman"/>
          <w:b/>
          <w:sz w:val="36"/>
          <w:highlight w:val="none"/>
        </w:rPr>
        <w:t xml:space="preserve">项 目 编 号：</w:t>
      </w:r>
      <w:r>
        <w:rPr>
          <w:rFonts w:hint="eastAsia" w:ascii="Times New Roman" w:hAnsi="Times New Roman"/>
          <w:b/>
          <w:sz w:val="36"/>
          <w:highlight w:val="none"/>
          <w:u w:val="single"/>
        </w:rPr>
        <w:t xml:space="preserve">               </w:t>
      </w:r>
      <w:r>
        <w:rPr>
          <w:rFonts w:ascii="Times New Roman" w:hAnsi="Times New Roman"/>
          <w:b/>
          <w:sz w:val="36"/>
          <w:highlight w:val="none"/>
          <w:u w:val="single"/>
        </w:rPr>
      </w:r>
      <w:r/>
    </w:p>
    <w:p>
      <w:pPr>
        <w:pStyle w:val="768"/>
        <w:rPr>
          <w:rFonts w:ascii="Times New Roman" w:hAnsi="Times New Roman"/>
          <w:b/>
          <w:sz w:val="36"/>
          <w:highlight w:val="none"/>
          <w:u w:val="single"/>
        </w:rPr>
      </w:pPr>
      <w:r>
        <w:rPr>
          <w:rFonts w:hint="eastAsia" w:ascii="Times New Roman" w:hAnsi="Times New Roman"/>
          <w:b/>
          <w:sz w:val="36"/>
          <w:highlight w:val="none"/>
        </w:rPr>
        <w:t xml:space="preserve">      投标人名称 ：</w:t>
      </w:r>
      <w:r>
        <w:rPr>
          <w:rFonts w:hint="eastAsia" w:ascii="Times New Roman" w:hAnsi="Times New Roman"/>
          <w:b/>
          <w:sz w:val="36"/>
          <w:highlight w:val="none"/>
          <w:u w:val="single"/>
        </w:rPr>
        <w:t xml:space="preserve">（盖CA电子公章）</w:t>
      </w:r>
      <w:r>
        <w:rPr>
          <w:rFonts w:ascii="Times New Roman" w:hAnsi="Times New Roman"/>
          <w:b/>
          <w:sz w:val="36"/>
          <w:highlight w:val="none"/>
          <w:u w:val="single"/>
        </w:rPr>
      </w:r>
      <w:r/>
    </w:p>
    <w:p>
      <w:pPr>
        <w:pStyle w:val="768"/>
        <w:rPr>
          <w:rFonts w:ascii="Times New Roman" w:hAnsi="Times New Roman"/>
          <w:b/>
          <w:sz w:val="36"/>
          <w:highlight w:val="none"/>
          <w:u w:val="single"/>
        </w:rPr>
      </w:pPr>
      <w:r>
        <w:rPr>
          <w:rFonts w:hint="eastAsia" w:ascii="Times New Roman" w:hAnsi="Times New Roman"/>
          <w:b/>
          <w:sz w:val="36"/>
          <w:highlight w:val="none"/>
        </w:rPr>
        <w:t xml:space="preserve">      日      期 ：</w:t>
      </w:r>
      <w:r>
        <w:rPr>
          <w:rFonts w:hint="eastAsia" w:ascii="Times New Roman" w:hAnsi="Times New Roman"/>
          <w:b/>
          <w:sz w:val="36"/>
          <w:highlight w:val="none"/>
          <w:u w:val="single"/>
        </w:rPr>
        <w:t xml:space="preserve">               </w:t>
      </w:r>
      <w:bookmarkEnd w:id="137"/>
      <w:r>
        <w:rPr>
          <w:rFonts w:ascii="Times New Roman" w:hAnsi="Times New Roman"/>
          <w:b/>
          <w:sz w:val="36"/>
          <w:highlight w:val="none"/>
          <w:u w:val="single"/>
        </w:rPr>
      </w:r>
      <w:r/>
    </w:p>
    <w:p>
      <w:pPr>
        <w:pStyle w:val="1051"/>
        <w:rPr>
          <w:rFonts w:ascii="宋体" w:hAnsi="宋体" w:eastAsia="宋体" w:cs="宋体"/>
          <w:highlight w:val="none"/>
        </w:rPr>
      </w:pPr>
      <w:r>
        <w:rPr>
          <w:rFonts w:ascii="宋体" w:hAnsi="宋体" w:eastAsia="宋体" w:cs="宋体"/>
          <w:highlight w:val="none"/>
        </w:rPr>
      </w:r>
      <w:r/>
    </w:p>
    <w:p>
      <w:pPr>
        <w:pStyle w:val="1051"/>
        <w:rPr>
          <w:rFonts w:ascii="宋体" w:hAnsi="宋体" w:eastAsia="宋体" w:cs="宋体"/>
          <w:highlight w:val="none"/>
        </w:rPr>
      </w:pPr>
      <w:r>
        <w:rPr>
          <w:rFonts w:ascii="宋体" w:hAnsi="宋体" w:eastAsia="宋体" w:cs="宋体"/>
          <w:highlight w:val="none"/>
        </w:rPr>
      </w:r>
      <w:r/>
    </w:p>
    <w:p>
      <w:pPr>
        <w:pStyle w:val="1051"/>
        <w:rPr>
          <w:rFonts w:ascii="宋体" w:hAnsi="宋体" w:eastAsia="宋体" w:cs="宋体"/>
          <w:highlight w:val="none"/>
        </w:rPr>
      </w:pPr>
      <w:r>
        <w:rPr>
          <w:rFonts w:ascii="宋体" w:hAnsi="宋体" w:eastAsia="宋体" w:cs="宋体"/>
          <w:highlight w:val="none"/>
        </w:rPr>
      </w:r>
      <w:r/>
    </w:p>
    <w:p>
      <w:pPr>
        <w:pStyle w:val="1051"/>
        <w:rPr>
          <w:rFonts w:ascii="宋体" w:hAnsi="宋体" w:eastAsia="宋体" w:cs="宋体"/>
          <w:highlight w:val="none"/>
        </w:rPr>
      </w:pPr>
      <w:r>
        <w:rPr>
          <w:rFonts w:ascii="宋体" w:hAnsi="宋体" w:eastAsia="宋体" w:cs="宋体"/>
          <w:highlight w:val="none"/>
        </w:rPr>
      </w:r>
      <w:r/>
    </w:p>
    <w:p>
      <w:pPr>
        <w:pStyle w:val="1051"/>
        <w:rPr>
          <w:rFonts w:ascii="宋体" w:hAnsi="宋体" w:eastAsia="宋体" w:cs="宋体"/>
          <w:highlight w:val="none"/>
        </w:rPr>
      </w:pPr>
      <w:r>
        <w:rPr>
          <w:rFonts w:ascii="宋体" w:hAnsi="宋体" w:eastAsia="宋体" w:cs="宋体"/>
          <w:highlight w:val="none"/>
        </w:rPr>
      </w:r>
      <w:r/>
    </w:p>
    <w:p>
      <w:pPr>
        <w:pStyle w:val="1051"/>
        <w:rPr>
          <w:rFonts w:ascii="宋体" w:hAnsi="宋体" w:eastAsia="宋体" w:cs="宋体"/>
          <w:highlight w:val="none"/>
        </w:rPr>
      </w:pPr>
      <w:r>
        <w:rPr>
          <w:rFonts w:ascii="宋体" w:hAnsi="宋体" w:eastAsia="宋体" w:cs="宋体"/>
          <w:highlight w:val="none"/>
        </w:rPr>
      </w:r>
      <w:r/>
    </w:p>
    <w:p>
      <w:pPr>
        <w:pStyle w:val="1051"/>
        <w:rPr>
          <w:rFonts w:ascii="宋体" w:hAnsi="宋体" w:eastAsia="宋体" w:cs="宋体"/>
          <w:highlight w:val="none"/>
        </w:rPr>
      </w:pPr>
      <w:r/>
      <w:bookmarkEnd w:id="136"/>
      <w:r>
        <w:rPr>
          <w:rFonts w:ascii="宋体" w:hAnsi="宋体" w:eastAsia="宋体" w:cs="宋体"/>
          <w:highlight w:val="none"/>
        </w:rPr>
      </w:r>
      <w:r/>
    </w:p>
    <w:p>
      <w:pPr>
        <w:pStyle w:val="1051"/>
        <w:jc w:val="center"/>
        <w:spacing w:line="360" w:lineRule="auto"/>
        <w:rPr>
          <w:rFonts w:ascii="宋体" w:hAnsi="宋体" w:eastAsia="宋体" w:cs="宋体"/>
          <w:b/>
          <w:bCs/>
          <w:sz w:val="32"/>
          <w:szCs w:val="32"/>
          <w:highlight w:val="none"/>
        </w:rPr>
      </w:pPr>
      <w:r>
        <w:rPr>
          <w:rFonts w:ascii="宋体" w:hAnsi="宋体" w:eastAsia="宋体" w:cs="宋体"/>
          <w:b/>
          <w:bCs/>
          <w:sz w:val="32"/>
          <w:szCs w:val="32"/>
          <w:highlight w:val="none"/>
        </w:rPr>
      </w:r>
      <w:r/>
    </w:p>
    <w:p>
      <w:pPr>
        <w:pStyle w:val="1051"/>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rPr>
          <w:rFonts w:ascii="宋体" w:hAnsi="宋体" w:eastAsia="宋体" w:cs="宋体"/>
          <w:b/>
          <w:bCs/>
          <w:color w:val="000000"/>
          <w:sz w:val="32"/>
          <w:szCs w:val="32"/>
          <w:highlight w:val="none"/>
        </w:rPr>
      </w:r>
      <w:r/>
    </w:p>
    <w:p>
      <w:pPr>
        <w:pStyle w:val="1051"/>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768"/>
        <w:spacing w:line="360" w:lineRule="auto"/>
        <w:rPr>
          <w:rFonts w:ascii="Times New Roman" w:hAnsi="Times New Roman"/>
          <w:color w:val="000000"/>
          <w:sz w:val="28"/>
          <w:szCs w:val="28"/>
          <w:highlight w:val="none"/>
        </w:rPr>
      </w:pPr>
      <w:r/>
      <w:bookmarkStart w:id="138" w:name="_Toc26005"/>
      <w:r/>
      <w:bookmarkStart w:id="139" w:name="_Toc20577"/>
      <w:r>
        <w:rPr>
          <w:rFonts w:hint="eastAsia" w:ascii="Times New Roman" w:hAnsi="Times New Roman"/>
          <w:color w:val="000000"/>
          <w:sz w:val="28"/>
          <w:szCs w:val="28"/>
          <w:highlight w:val="none"/>
        </w:rPr>
        <w:t xml:space="preserve">一、投标函</w:t>
      </w:r>
      <w:r>
        <w:rPr>
          <w:rFonts w:ascii="Times New Roman" w:hAnsi="Times New Roman"/>
          <w:color w:val="000000"/>
          <w:sz w:val="28"/>
          <w:szCs w:val="28"/>
          <w:highlight w:val="none"/>
        </w:rPr>
      </w:r>
      <w:r/>
    </w:p>
    <w:p>
      <w:pPr>
        <w:pStyle w:val="768"/>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二、投标人基本情况</w:t>
      </w:r>
      <w:r>
        <w:rPr>
          <w:rFonts w:ascii="Times New Roman" w:hAnsi="Times New Roman"/>
          <w:color w:val="000000"/>
          <w:sz w:val="28"/>
          <w:szCs w:val="28"/>
          <w:highlight w:val="none"/>
        </w:rPr>
      </w:r>
      <w:r/>
    </w:p>
    <w:p>
      <w:pPr>
        <w:pStyle w:val="768"/>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三</w:t>
      </w:r>
      <w:r>
        <w:rPr>
          <w:rFonts w:hint="eastAsia" w:ascii="Times New Roman" w:hAnsi="Times New Roman"/>
          <w:color w:val="000000"/>
          <w:sz w:val="28"/>
          <w:szCs w:val="28"/>
          <w:highlight w:val="none"/>
        </w:rPr>
        <w:t xml:space="preserve">、法人授权书</w:t>
      </w:r>
      <w:r>
        <w:rPr>
          <w:rFonts w:ascii="Times New Roman" w:hAnsi="Times New Roman"/>
          <w:color w:val="000000"/>
          <w:sz w:val="28"/>
          <w:szCs w:val="28"/>
          <w:highlight w:val="none"/>
        </w:rPr>
      </w:r>
      <w:r/>
    </w:p>
    <w:p>
      <w:pPr>
        <w:pStyle w:val="768"/>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四</w:t>
      </w:r>
      <w:r>
        <w:rPr>
          <w:rFonts w:hint="eastAsia" w:ascii="Times New Roman" w:hAnsi="Times New Roman"/>
          <w:color w:val="000000"/>
          <w:sz w:val="28"/>
          <w:szCs w:val="28"/>
          <w:highlight w:val="none"/>
        </w:rPr>
        <w:t xml:space="preserve">、开标一览表</w:t>
      </w:r>
      <w:r>
        <w:rPr>
          <w:rFonts w:ascii="Times New Roman" w:hAnsi="Times New Roman"/>
          <w:color w:val="000000"/>
          <w:sz w:val="28"/>
          <w:szCs w:val="28"/>
          <w:highlight w:val="none"/>
        </w:rPr>
      </w:r>
      <w:r/>
    </w:p>
    <w:p>
      <w:pPr>
        <w:pStyle w:val="768"/>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五</w:t>
      </w:r>
      <w:r>
        <w:rPr>
          <w:rFonts w:hint="eastAsia" w:ascii="Times New Roman" w:hAnsi="Times New Roman"/>
          <w:color w:val="000000"/>
          <w:sz w:val="28"/>
          <w:szCs w:val="28"/>
          <w:highlight w:val="none"/>
        </w:rPr>
        <w:t xml:space="preserve">、分项报价表</w:t>
      </w:r>
      <w:r>
        <w:rPr>
          <w:rFonts w:ascii="Times New Roman" w:hAnsi="Times New Roman"/>
          <w:color w:val="000000"/>
          <w:sz w:val="28"/>
          <w:szCs w:val="28"/>
          <w:highlight w:val="none"/>
        </w:rPr>
      </w:r>
      <w:r/>
    </w:p>
    <w:p>
      <w:pPr>
        <w:pStyle w:val="768"/>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六</w:t>
      </w:r>
      <w:r>
        <w:rPr>
          <w:rFonts w:hint="eastAsia" w:ascii="Times New Roman" w:hAnsi="Times New Roman"/>
          <w:color w:val="000000"/>
          <w:sz w:val="28"/>
          <w:szCs w:val="28"/>
          <w:highlight w:val="none"/>
        </w:rPr>
        <w:t xml:space="preserve">、中小微企业声明函</w:t>
      </w:r>
      <w:r>
        <w:rPr>
          <w:rFonts w:ascii="Times New Roman" w:hAnsi="Times New Roman"/>
          <w:color w:val="000000"/>
          <w:sz w:val="28"/>
          <w:szCs w:val="28"/>
          <w:highlight w:val="none"/>
        </w:rPr>
      </w:r>
      <w:r/>
    </w:p>
    <w:p>
      <w:pPr>
        <w:pStyle w:val="768"/>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七</w:t>
      </w:r>
      <w:r>
        <w:rPr>
          <w:rFonts w:hint="eastAsia" w:ascii="Times New Roman" w:hAnsi="Times New Roman"/>
          <w:color w:val="000000"/>
          <w:sz w:val="28"/>
          <w:szCs w:val="28"/>
          <w:highlight w:val="none"/>
        </w:rPr>
        <w:t xml:space="preserve">、技术要求响应及偏离表</w:t>
      </w:r>
      <w:r>
        <w:rPr>
          <w:rFonts w:ascii="Times New Roman" w:hAnsi="Times New Roman"/>
          <w:color w:val="000000"/>
          <w:sz w:val="28"/>
          <w:szCs w:val="28"/>
          <w:highlight w:val="none"/>
        </w:rPr>
      </w:r>
      <w:r/>
    </w:p>
    <w:p>
      <w:pPr>
        <w:pStyle w:val="768"/>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八</w:t>
      </w:r>
      <w:r>
        <w:rPr>
          <w:rFonts w:hint="eastAsia" w:ascii="Times New Roman" w:hAnsi="Times New Roman"/>
          <w:color w:val="000000"/>
          <w:sz w:val="28"/>
          <w:szCs w:val="28"/>
          <w:highlight w:val="none"/>
        </w:rPr>
        <w:t xml:space="preserve">、项目组</w:t>
      </w:r>
      <w:r>
        <w:rPr>
          <w:rFonts w:hint="eastAsia" w:ascii="Times New Roman" w:hAnsi="Times New Roman"/>
          <w:color w:val="000000"/>
          <w:sz w:val="28"/>
          <w:szCs w:val="28"/>
          <w:highlight w:val="none"/>
          <w:lang w:val="en-US" w:eastAsia="zh-CN"/>
        </w:rPr>
        <w:t xml:space="preserve">人</w:t>
      </w:r>
      <w:r>
        <w:rPr>
          <w:rFonts w:hint="eastAsia" w:ascii="Times New Roman" w:hAnsi="Times New Roman"/>
          <w:color w:val="000000"/>
          <w:sz w:val="28"/>
          <w:szCs w:val="28"/>
          <w:highlight w:val="none"/>
        </w:rPr>
        <w:t xml:space="preserve">员</w:t>
      </w:r>
      <w:r>
        <w:rPr>
          <w:rFonts w:ascii="Times New Roman" w:hAnsi="Times New Roman"/>
          <w:color w:val="000000"/>
          <w:sz w:val="28"/>
          <w:szCs w:val="28"/>
          <w:highlight w:val="none"/>
        </w:rPr>
      </w:r>
      <w:r/>
    </w:p>
    <w:p>
      <w:pPr>
        <w:pStyle w:val="768"/>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lang w:val="en-US" w:eastAsia="zh-CN"/>
        </w:rPr>
        <w:t xml:space="preserve">九</w:t>
      </w:r>
      <w:r>
        <w:rPr>
          <w:rFonts w:hint="eastAsia" w:ascii="Times New Roman" w:hAnsi="Times New Roman"/>
          <w:color w:val="000000"/>
          <w:sz w:val="28"/>
          <w:szCs w:val="28"/>
          <w:highlight w:val="none"/>
        </w:rPr>
        <w:t xml:space="preserve">、企业业绩</w:t>
      </w:r>
      <w:r>
        <w:rPr>
          <w:rFonts w:ascii="Times New Roman" w:hAnsi="Times New Roman"/>
          <w:color w:val="000000"/>
          <w:sz w:val="28"/>
          <w:szCs w:val="28"/>
          <w:highlight w:val="none"/>
        </w:rPr>
      </w:r>
      <w:r/>
    </w:p>
    <w:p>
      <w:pPr>
        <w:pStyle w:val="768"/>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十、项目实施方案</w:t>
      </w:r>
      <w:r>
        <w:rPr>
          <w:rFonts w:ascii="Times New Roman" w:hAnsi="Times New Roman"/>
          <w:color w:val="000000"/>
          <w:sz w:val="28"/>
          <w:szCs w:val="28"/>
          <w:highlight w:val="none"/>
        </w:rPr>
      </w:r>
      <w:r/>
    </w:p>
    <w:p>
      <w:pPr>
        <w:pStyle w:val="768"/>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十</w:t>
      </w:r>
      <w:r>
        <w:rPr>
          <w:rFonts w:hint="eastAsia" w:ascii="Times New Roman" w:hAnsi="Times New Roman"/>
          <w:color w:val="000000"/>
          <w:sz w:val="28"/>
          <w:szCs w:val="28"/>
          <w:highlight w:val="none"/>
          <w:lang w:val="en-US" w:eastAsia="zh-CN"/>
        </w:rPr>
        <w:t xml:space="preserve">一</w:t>
      </w:r>
      <w:r>
        <w:rPr>
          <w:rFonts w:hint="eastAsia" w:ascii="Times New Roman" w:hAnsi="Times New Roman"/>
          <w:color w:val="000000"/>
          <w:sz w:val="28"/>
          <w:szCs w:val="28"/>
          <w:highlight w:val="none"/>
        </w:rPr>
        <w:t xml:space="preserve">、</w:t>
      </w:r>
      <w:r>
        <w:rPr>
          <w:rFonts w:hint="eastAsia" w:ascii="Times New Roman" w:hAnsi="Times New Roman"/>
          <w:color w:val="000000"/>
          <w:sz w:val="28"/>
          <w:szCs w:val="28"/>
          <w:highlight w:val="none"/>
        </w:rPr>
        <w:t xml:space="preserve">关于符合本国产品标准的声明函</w:t>
      </w:r>
      <w:r>
        <w:rPr>
          <w:rFonts w:ascii="Times New Roman" w:hAnsi="Times New Roman"/>
          <w:color w:val="000000"/>
          <w:sz w:val="28"/>
          <w:szCs w:val="28"/>
          <w:highlight w:val="none"/>
        </w:rPr>
      </w:r>
      <w:r/>
    </w:p>
    <w:p>
      <w:pPr>
        <w:pStyle w:val="768"/>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十</w:t>
      </w:r>
      <w:r>
        <w:rPr>
          <w:rFonts w:hint="eastAsia" w:ascii="Times New Roman" w:hAnsi="Times New Roman"/>
          <w:color w:val="000000"/>
          <w:sz w:val="28"/>
          <w:szCs w:val="28"/>
          <w:highlight w:val="none"/>
          <w:lang w:val="en-US" w:eastAsia="zh-CN"/>
        </w:rPr>
        <w:t xml:space="preserve">二</w:t>
      </w:r>
      <w:r>
        <w:rPr>
          <w:rFonts w:hint="eastAsia" w:ascii="Times New Roman" w:hAnsi="Times New Roman"/>
          <w:color w:val="000000"/>
          <w:sz w:val="28"/>
          <w:szCs w:val="28"/>
          <w:highlight w:val="none"/>
        </w:rPr>
        <w:t xml:space="preserve">、</w:t>
      </w:r>
      <w:r>
        <w:rPr>
          <w:rFonts w:hint="eastAsia" w:ascii="Times New Roman" w:hAnsi="Times New Roman"/>
          <w:color w:val="000000"/>
          <w:sz w:val="28"/>
          <w:szCs w:val="28"/>
          <w:highlight w:val="none"/>
        </w:rPr>
        <w:t xml:space="preserve">演示</w:t>
      </w:r>
      <w:r>
        <w:rPr>
          <w:rFonts w:ascii="Times New Roman" w:hAnsi="Times New Roman"/>
          <w:color w:val="000000"/>
          <w:sz w:val="28"/>
          <w:szCs w:val="28"/>
          <w:highlight w:val="none"/>
        </w:rPr>
      </w:r>
      <w:r/>
    </w:p>
    <w:p>
      <w:pPr>
        <w:pStyle w:val="768"/>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十</w:t>
      </w:r>
      <w:r>
        <w:rPr>
          <w:rFonts w:hint="eastAsia" w:ascii="Times New Roman" w:hAnsi="Times New Roman"/>
          <w:color w:val="000000"/>
          <w:sz w:val="28"/>
          <w:szCs w:val="28"/>
          <w:highlight w:val="none"/>
          <w:lang w:val="en-US" w:eastAsia="zh-CN"/>
        </w:rPr>
        <w:t xml:space="preserve">三</w:t>
      </w:r>
      <w:r>
        <w:rPr>
          <w:rFonts w:hint="eastAsia" w:ascii="Times New Roman" w:hAnsi="Times New Roman"/>
          <w:color w:val="000000"/>
          <w:sz w:val="28"/>
          <w:szCs w:val="28"/>
          <w:highlight w:val="none"/>
        </w:rPr>
        <w:t xml:space="preserve">、</w:t>
      </w:r>
      <w:r>
        <w:rPr>
          <w:rFonts w:hint="eastAsia" w:ascii="Times New Roman" w:hAnsi="Times New Roman"/>
          <w:color w:val="000000"/>
          <w:sz w:val="28"/>
          <w:szCs w:val="28"/>
          <w:highlight w:val="none"/>
        </w:rPr>
        <w:t xml:space="preserve">投标所需其他材料</w:t>
      </w:r>
      <w:r>
        <w:rPr>
          <w:rFonts w:hint="eastAsia" w:ascii="Times New Roman" w:hAnsi="Times New Roman"/>
          <w:color w:val="000000"/>
          <w:sz w:val="28"/>
          <w:szCs w:val="28"/>
          <w:highlight w:val="none"/>
        </w:rPr>
      </w:r>
      <w:r/>
    </w:p>
    <w:p>
      <w:pPr>
        <w:pStyle w:val="768"/>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十</w:t>
      </w:r>
      <w:r>
        <w:rPr>
          <w:rFonts w:hint="eastAsia" w:ascii="Times New Roman" w:hAnsi="Times New Roman"/>
          <w:color w:val="000000"/>
          <w:sz w:val="28"/>
          <w:szCs w:val="28"/>
          <w:highlight w:val="none"/>
          <w:lang w:val="en-US" w:eastAsia="zh-CN"/>
        </w:rPr>
        <w:t xml:space="preserve">四</w:t>
      </w:r>
      <w:r>
        <w:rPr>
          <w:rFonts w:hint="eastAsia" w:ascii="Times New Roman" w:hAnsi="Times New Roman"/>
          <w:color w:val="000000"/>
          <w:sz w:val="28"/>
          <w:szCs w:val="28"/>
          <w:highlight w:val="none"/>
        </w:rPr>
        <w:t xml:space="preserve">、分包意向协议书</w:t>
      </w:r>
      <w:r>
        <w:rPr>
          <w:rFonts w:hint="eastAsia" w:ascii="Times New Roman" w:hAnsi="Times New Roman"/>
          <w:color w:val="000000"/>
          <w:sz w:val="28"/>
          <w:szCs w:val="28"/>
          <w:highlight w:val="none"/>
        </w:rPr>
      </w:r>
      <w:r/>
    </w:p>
    <w:p>
      <w:pPr>
        <w:pStyle w:val="768"/>
        <w:spacing w:line="360" w:lineRule="auto"/>
        <w:rPr>
          <w:rFonts w:ascii="Times New Roman" w:hAnsi="Times New Roman"/>
          <w:color w:val="000000"/>
          <w:sz w:val="28"/>
          <w:szCs w:val="28"/>
          <w:highlight w:val="none"/>
        </w:rPr>
      </w:pPr>
      <w:r>
        <w:rPr>
          <w:rFonts w:ascii="Times New Roman" w:hAnsi="Times New Roman"/>
          <w:color w:val="000000"/>
          <w:sz w:val="28"/>
          <w:szCs w:val="28"/>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1061"/>
        <w:rPr>
          <w:b w:val="0"/>
          <w:bCs/>
          <w:color w:val="000000"/>
          <w:highlight w:val="none"/>
        </w:rPr>
        <w:outlineLvl w:val="1"/>
      </w:pPr>
      <w:r/>
      <w:bookmarkStart w:id="140" w:name="_Toc8978"/>
      <w:r>
        <w:rPr>
          <w:rFonts w:hint="eastAsia"/>
          <w:b w:val="0"/>
          <w:bCs/>
          <w:color w:val="000000"/>
          <w:highlight w:val="none"/>
        </w:rPr>
        <w:t xml:space="preserve">一</w:t>
      </w:r>
      <w:r>
        <w:rPr>
          <w:b w:val="0"/>
          <w:bCs/>
          <w:color w:val="000000"/>
          <w:highlight w:val="none"/>
        </w:rPr>
        <w:t xml:space="preserve">、投标函</w:t>
      </w:r>
      <w:bookmarkEnd w:id="138"/>
      <w:r/>
      <w:bookmarkEnd w:id="139"/>
      <w:r/>
      <w:bookmarkEnd w:id="140"/>
      <w:r>
        <w:rPr>
          <w:b w:val="0"/>
          <w:bCs/>
          <w:color w:val="000000"/>
          <w:highlight w:val="none"/>
        </w:rPr>
      </w:r>
      <w:r/>
    </w:p>
    <w:p>
      <w:pPr>
        <w:pStyle w:val="1062"/>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062"/>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rPr>
          <w:rFonts w:ascii="方正小标宋_GBK" w:eastAsia="方正小标宋_GBK"/>
          <w:bCs/>
          <w:color w:val="000000"/>
          <w:sz w:val="32"/>
          <w:szCs w:val="32"/>
          <w:highlight w:val="none"/>
        </w:rPr>
      </w:r>
      <w:r/>
    </w:p>
    <w:p>
      <w:pPr>
        <w:pStyle w:val="1062"/>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rPr>
          <w:rFonts w:ascii="宋体" w:hAnsi="宋体"/>
          <w:color w:val="000000"/>
          <w:sz w:val="24"/>
          <w:szCs w:val="24"/>
          <w:highlight w:val="none"/>
          <w:u w:val="single"/>
        </w:rPr>
      </w:r>
      <w:r/>
    </w:p>
    <w:p>
      <w:pPr>
        <w:pStyle w:val="1062"/>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rPr>
          <w:rFonts w:ascii="宋体" w:hAnsi="宋体"/>
          <w:color w:val="000000"/>
          <w:sz w:val="24"/>
          <w:szCs w:val="24"/>
          <w:highlight w:val="none"/>
        </w:rPr>
      </w:r>
      <w:r/>
    </w:p>
    <w:p>
      <w:pPr>
        <w:pStyle w:val="1062"/>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rPr>
          <w:rFonts w:ascii="宋体" w:hAnsi="宋体"/>
          <w:color w:val="000000"/>
          <w:sz w:val="24"/>
          <w:highlight w:val="none"/>
        </w:rPr>
      </w:r>
      <w:r/>
    </w:p>
    <w:p>
      <w:pPr>
        <w:pStyle w:val="1062"/>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宋体" w:hAnsi="宋体"/>
          <w:color w:val="000000"/>
          <w:sz w:val="24"/>
          <w:szCs w:val="24"/>
          <w:highlight w:val="none"/>
        </w:rPr>
      </w:r>
      <w:r/>
    </w:p>
    <w:p>
      <w:pPr>
        <w:pStyle w:val="1062"/>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rPr>
          <w:rFonts w:ascii="宋体" w:hAnsi="宋体"/>
          <w:color w:val="000000"/>
          <w:sz w:val="24"/>
          <w:szCs w:val="24"/>
          <w:highlight w:val="none"/>
        </w:rPr>
      </w:r>
      <w:r/>
    </w:p>
    <w:p>
      <w:pPr>
        <w:pStyle w:val="1062"/>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四、如果我方的投标文件被接受，我方将按照《中华人民共和国民法典（第三编合同）》及其他有关法律、法规的规定，按期、按质、按量交付采购单位，全面做到履约守信；</w:t>
      </w:r>
      <w:r>
        <w:rPr>
          <w:rFonts w:ascii="宋体" w:hAnsi="宋体"/>
          <w:color w:val="000000"/>
          <w:sz w:val="24"/>
          <w:szCs w:val="24"/>
          <w:highlight w:val="none"/>
        </w:rPr>
      </w:r>
      <w:r/>
    </w:p>
    <w:p>
      <w:pPr>
        <w:pStyle w:val="1062"/>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rPr>
          <w:rFonts w:ascii="宋体" w:hAnsi="宋体"/>
          <w:color w:val="000000"/>
          <w:sz w:val="24"/>
          <w:szCs w:val="24"/>
          <w:highlight w:val="none"/>
        </w:rPr>
      </w:r>
      <w:r/>
    </w:p>
    <w:p>
      <w:pPr>
        <w:pStyle w:val="1062"/>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六、我方同意采购人、采购代理机构将本函上网公开。</w:t>
      </w:r>
      <w:r>
        <w:rPr>
          <w:rFonts w:ascii="宋体" w:hAnsi="宋体"/>
          <w:color w:val="000000"/>
          <w:sz w:val="24"/>
          <w:szCs w:val="24"/>
          <w:highlight w:val="none"/>
        </w:rPr>
      </w:r>
      <w:r/>
    </w:p>
    <w:p>
      <w:pPr>
        <w:pStyle w:val="1062"/>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062"/>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062"/>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rPr>
          <w:rFonts w:ascii="宋体" w:hAnsi="宋体"/>
          <w:color w:val="000000"/>
          <w:sz w:val="24"/>
          <w:szCs w:val="24"/>
          <w:highlight w:val="none"/>
        </w:rPr>
      </w:r>
      <w:r/>
    </w:p>
    <w:p>
      <w:pPr>
        <w:pStyle w:val="1062"/>
        <w:ind w:firstLine="480"/>
        <w:rPr>
          <w:rFonts w:ascii="宋体" w:hAnsi="宋体"/>
          <w:color w:val="000000"/>
          <w:sz w:val="24"/>
          <w:szCs w:val="24"/>
          <w:highlight w:val="none"/>
        </w:rPr>
      </w:pPr>
      <w:r>
        <w:rPr>
          <w:rFonts w:ascii="宋体" w:hAnsi="宋体"/>
          <w:color w:val="000000"/>
          <w:sz w:val="24"/>
          <w:szCs w:val="24"/>
          <w:highlight w:val="none"/>
        </w:rPr>
      </w:r>
      <w:r/>
    </w:p>
    <w:p>
      <w:pPr>
        <w:pStyle w:val="1062"/>
        <w:ind w:firstLine="480"/>
        <w:rPr>
          <w:rFonts w:ascii="宋体" w:hAnsi="宋体"/>
          <w:color w:val="000000"/>
          <w:highlight w:val="none"/>
        </w:rPr>
      </w:pPr>
      <w:r>
        <w:rPr>
          <w:rFonts w:hint="eastAsia" w:ascii="宋体" w:hAnsi="宋体"/>
          <w:color w:val="000000"/>
          <w:sz w:val="24"/>
          <w:szCs w:val="24"/>
          <w:highlight w:val="none"/>
        </w:rPr>
        <w:t xml:space="preserve">日期：    年    月   日</w:t>
      </w:r>
      <w:r>
        <w:rPr>
          <w:rFonts w:ascii="宋体" w:hAnsi="宋体"/>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1051"/>
        <w:spacing w:line="440" w:lineRule="exact"/>
        <w:rPr>
          <w:rFonts w:ascii="宋体" w:eastAsia="宋体" w:cs="宋体"/>
          <w:color w:val="000000"/>
          <w:highlight w:val="none"/>
        </w:rPr>
        <w:outlineLvl w:val="1"/>
      </w:pPr>
      <w:r>
        <w:rPr>
          <w:rFonts w:hint="eastAsia" w:ascii="宋体" w:eastAsia="宋体" w:cs="宋体"/>
          <w:b/>
          <w:color w:val="000000"/>
          <w:highlight w:val="none"/>
        </w:rPr>
        <w:t xml:space="preserve">二、投标人基本情况</w:t>
      </w:r>
      <w:r>
        <w:rPr>
          <w:rFonts w:ascii="宋体" w:eastAsia="宋体" w:cs="宋体"/>
          <w:color w:val="000000"/>
          <w:highlight w:val="none"/>
        </w:rPr>
      </w:r>
      <w:r/>
    </w:p>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投标人基本情况表</w:t>
      </w:r>
      <w:r>
        <w:rPr>
          <w:rFonts w:ascii="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投标人名称</w:t>
            </w:r>
            <w:r>
              <w:rPr>
                <w:rFonts w:ascii="宋体" w:cs="宋体"/>
                <w:color w:val="000000"/>
                <w:sz w:val="24"/>
                <w:szCs w:val="24"/>
                <w:highlight w:val="none"/>
              </w:rPr>
            </w:r>
            <w:r/>
          </w:p>
        </w:tc>
        <w:tc>
          <w:tcPr>
            <w:gridSpan w:val="3"/>
            <w:tcW w:w="6998" w:type="dxa"/>
            <w:vAlign w:val="center"/>
            <w:textDirection w:val="lrTb"/>
            <w:noWrap/>
          </w:tcPr>
          <w:p>
            <w:pPr>
              <w:pStyle w:val="1047"/>
              <w:jc w:val="center"/>
              <w:spacing w:line="440" w:lineRule="exact"/>
              <w:rPr>
                <w:rFonts w:ascii="宋体" w:cs="宋体"/>
                <w:color w:val="000000"/>
                <w:sz w:val="24"/>
                <w:szCs w:val="24"/>
                <w:highlight w:val="none"/>
              </w:rPr>
            </w:pPr>
            <w:r>
              <w:rPr>
                <w:rFonts w:ascii="宋体" w:cs="宋体"/>
                <w:color w:val="000000"/>
                <w:sz w:val="24"/>
                <w:szCs w:val="24"/>
                <w:highlight w:val="none"/>
              </w:rPr>
            </w:r>
            <w:r/>
          </w:p>
        </w:tc>
      </w:tr>
      <w:tr>
        <w:trPr/>
        <w:tc>
          <w:tcPr>
            <w:tcW w:w="152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法定代表人</w:t>
            </w:r>
            <w:r>
              <w:rPr>
                <w:rFonts w:ascii="宋体" w:cs="宋体"/>
                <w:color w:val="000000"/>
                <w:sz w:val="24"/>
                <w:szCs w:val="24"/>
                <w:highlight w:val="none"/>
              </w:rPr>
            </w:r>
            <w:r/>
          </w:p>
        </w:tc>
        <w:tc>
          <w:tcPr>
            <w:tcW w:w="3118" w:type="dxa"/>
            <w:vAlign w:val="center"/>
            <w:textDirection w:val="lrTb"/>
            <w:noWrap/>
          </w:tcPr>
          <w:p>
            <w:pPr>
              <w:pStyle w:val="1047"/>
              <w:jc w:val="center"/>
              <w:spacing w:line="440" w:lineRule="exact"/>
              <w:rPr>
                <w:rFonts w:ascii="宋体" w:cs="宋体"/>
                <w:color w:val="000000"/>
                <w:sz w:val="24"/>
                <w:szCs w:val="24"/>
                <w:highlight w:val="none"/>
              </w:rPr>
            </w:pPr>
            <w:r>
              <w:rPr>
                <w:rFonts w:ascii="宋体" w:cs="宋体"/>
                <w:color w:val="000000"/>
                <w:sz w:val="24"/>
                <w:szCs w:val="24"/>
                <w:highlight w:val="none"/>
              </w:rPr>
            </w:r>
            <w:r/>
          </w:p>
        </w:tc>
        <w:tc>
          <w:tcPr>
            <w:tcW w:w="127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注册地区</w:t>
            </w:r>
            <w:r>
              <w:rPr>
                <w:rFonts w:ascii="宋体" w:cs="宋体"/>
                <w:color w:val="000000"/>
                <w:sz w:val="24"/>
                <w:szCs w:val="24"/>
                <w:highlight w:val="none"/>
              </w:rPr>
            </w:r>
            <w:r/>
          </w:p>
        </w:tc>
        <w:tc>
          <w:tcPr>
            <w:tcW w:w="2604" w:type="dxa"/>
            <w:vAlign w:val="center"/>
            <w:textDirection w:val="lrTb"/>
            <w:noWrap/>
          </w:tcPr>
          <w:p>
            <w:pPr>
              <w:pStyle w:val="1047"/>
              <w:jc w:val="center"/>
              <w:spacing w:line="440" w:lineRule="exact"/>
              <w:rPr>
                <w:rFonts w:ascii="宋体" w:cs="宋体"/>
                <w:color w:val="000000"/>
                <w:sz w:val="24"/>
                <w:szCs w:val="24"/>
                <w:highlight w:val="none"/>
              </w:rPr>
            </w:pPr>
            <w:r>
              <w:rPr>
                <w:rFonts w:ascii="宋体" w:cs="宋体"/>
                <w:color w:val="000000"/>
                <w:sz w:val="24"/>
                <w:szCs w:val="24"/>
                <w:highlight w:val="none"/>
              </w:rPr>
            </w:r>
            <w:r/>
          </w:p>
        </w:tc>
      </w:tr>
      <w:tr>
        <w:trPr/>
        <w:tc>
          <w:tcPr>
            <w:tcW w:w="152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地址</w:t>
            </w:r>
            <w:r>
              <w:rPr>
                <w:rFonts w:ascii="宋体" w:cs="宋体"/>
                <w:color w:val="000000"/>
                <w:sz w:val="24"/>
                <w:szCs w:val="24"/>
                <w:highlight w:val="none"/>
              </w:rPr>
            </w:r>
            <w:r/>
          </w:p>
        </w:tc>
        <w:tc>
          <w:tcPr>
            <w:tcW w:w="3118" w:type="dxa"/>
            <w:vAlign w:val="center"/>
            <w:textDirection w:val="lrTb"/>
            <w:noWrap/>
          </w:tcPr>
          <w:p>
            <w:pPr>
              <w:pStyle w:val="1047"/>
              <w:jc w:val="center"/>
              <w:spacing w:line="440" w:lineRule="exact"/>
              <w:rPr>
                <w:rFonts w:ascii="宋体" w:cs="宋体"/>
                <w:color w:val="000000"/>
                <w:sz w:val="24"/>
                <w:szCs w:val="24"/>
                <w:highlight w:val="none"/>
              </w:rPr>
            </w:pPr>
            <w:r>
              <w:rPr>
                <w:rFonts w:ascii="宋体" w:cs="宋体"/>
                <w:color w:val="000000"/>
                <w:sz w:val="24"/>
                <w:szCs w:val="24"/>
                <w:highlight w:val="none"/>
              </w:rPr>
            </w:r>
            <w:r/>
          </w:p>
        </w:tc>
        <w:tc>
          <w:tcPr>
            <w:tcW w:w="127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邮政编码</w:t>
            </w:r>
            <w:r>
              <w:rPr>
                <w:rFonts w:ascii="宋体" w:cs="宋体"/>
                <w:color w:val="000000"/>
                <w:sz w:val="24"/>
                <w:szCs w:val="24"/>
                <w:highlight w:val="none"/>
              </w:rPr>
            </w:r>
            <w:r/>
          </w:p>
        </w:tc>
        <w:tc>
          <w:tcPr>
            <w:tcW w:w="2604" w:type="dxa"/>
            <w:vAlign w:val="center"/>
            <w:textDirection w:val="lrTb"/>
            <w:noWrap/>
          </w:tcPr>
          <w:p>
            <w:pPr>
              <w:pStyle w:val="1047"/>
              <w:jc w:val="center"/>
              <w:spacing w:line="440" w:lineRule="exact"/>
              <w:rPr>
                <w:rFonts w:ascii="宋体" w:cs="宋体"/>
                <w:color w:val="000000"/>
                <w:sz w:val="24"/>
                <w:szCs w:val="24"/>
                <w:highlight w:val="none"/>
              </w:rPr>
            </w:pPr>
            <w:r>
              <w:rPr>
                <w:rFonts w:ascii="宋体" w:cs="宋体"/>
                <w:color w:val="000000"/>
                <w:sz w:val="24"/>
                <w:szCs w:val="24"/>
                <w:highlight w:val="none"/>
              </w:rPr>
            </w:r>
            <w:r/>
          </w:p>
        </w:tc>
      </w:tr>
      <w:tr>
        <w:trPr/>
        <w:tc>
          <w:tcPr>
            <w:tcW w:w="152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成立时间</w:t>
            </w:r>
            <w:r>
              <w:rPr>
                <w:rFonts w:ascii="宋体" w:cs="宋体"/>
                <w:color w:val="000000"/>
                <w:sz w:val="24"/>
                <w:szCs w:val="24"/>
                <w:highlight w:val="none"/>
              </w:rPr>
            </w:r>
            <w:r/>
          </w:p>
        </w:tc>
        <w:tc>
          <w:tcPr>
            <w:tcW w:w="3118" w:type="dxa"/>
            <w:vAlign w:val="center"/>
            <w:textDirection w:val="lrTb"/>
            <w:noWrap/>
          </w:tcPr>
          <w:p>
            <w:pPr>
              <w:pStyle w:val="1047"/>
              <w:jc w:val="center"/>
              <w:spacing w:line="440" w:lineRule="exact"/>
              <w:rPr>
                <w:rFonts w:ascii="宋体" w:cs="宋体"/>
                <w:color w:val="000000"/>
                <w:sz w:val="24"/>
                <w:szCs w:val="24"/>
                <w:highlight w:val="none"/>
              </w:rPr>
            </w:pPr>
            <w:r>
              <w:rPr>
                <w:rFonts w:ascii="宋体" w:cs="宋体"/>
                <w:color w:val="000000"/>
                <w:sz w:val="24"/>
                <w:szCs w:val="24"/>
                <w:highlight w:val="none"/>
              </w:rPr>
            </w:r>
            <w:r/>
          </w:p>
        </w:tc>
        <w:tc>
          <w:tcPr>
            <w:tcW w:w="127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单位性质</w:t>
            </w:r>
            <w:r>
              <w:rPr>
                <w:rFonts w:ascii="宋体" w:cs="宋体"/>
                <w:color w:val="000000"/>
                <w:sz w:val="24"/>
                <w:szCs w:val="24"/>
                <w:highlight w:val="none"/>
              </w:rPr>
            </w:r>
            <w:r/>
          </w:p>
        </w:tc>
        <w:tc>
          <w:tcPr>
            <w:tcW w:w="2604" w:type="dxa"/>
            <w:vAlign w:val="center"/>
            <w:textDirection w:val="lrTb"/>
            <w:noWrap/>
          </w:tcPr>
          <w:p>
            <w:pPr>
              <w:pStyle w:val="1047"/>
              <w:jc w:val="center"/>
              <w:spacing w:line="440" w:lineRule="exact"/>
              <w:rPr>
                <w:rFonts w:ascii="宋体" w:cs="宋体"/>
                <w:color w:val="000000"/>
                <w:sz w:val="24"/>
                <w:szCs w:val="24"/>
                <w:highlight w:val="none"/>
              </w:rPr>
            </w:pPr>
            <w:r>
              <w:rPr>
                <w:rFonts w:ascii="宋体" w:cs="宋体"/>
                <w:color w:val="000000"/>
                <w:sz w:val="24"/>
                <w:szCs w:val="24"/>
                <w:highlight w:val="none"/>
              </w:rPr>
            </w:r>
            <w:r/>
          </w:p>
        </w:tc>
      </w:tr>
      <w:tr>
        <w:trPr/>
        <w:tc>
          <w:tcPr>
            <w:tcW w:w="152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注册号或社会信用代码</w:t>
            </w:r>
            <w:r>
              <w:rPr>
                <w:rFonts w:ascii="宋体" w:cs="宋体"/>
                <w:color w:val="000000"/>
                <w:sz w:val="24"/>
                <w:szCs w:val="24"/>
                <w:highlight w:val="none"/>
              </w:rPr>
            </w:r>
            <w:r/>
          </w:p>
        </w:tc>
        <w:tc>
          <w:tcPr>
            <w:tcW w:w="3118" w:type="dxa"/>
            <w:vAlign w:val="center"/>
            <w:textDirection w:val="lrTb"/>
            <w:noWrap/>
          </w:tcPr>
          <w:p>
            <w:pPr>
              <w:pStyle w:val="1047"/>
              <w:jc w:val="center"/>
              <w:spacing w:line="440" w:lineRule="exact"/>
              <w:rPr>
                <w:rFonts w:ascii="宋体" w:cs="宋体"/>
                <w:color w:val="000000"/>
                <w:sz w:val="24"/>
                <w:szCs w:val="24"/>
                <w:highlight w:val="none"/>
              </w:rPr>
            </w:pPr>
            <w:r>
              <w:rPr>
                <w:rFonts w:ascii="宋体" w:cs="宋体"/>
                <w:color w:val="000000"/>
                <w:sz w:val="24"/>
                <w:szCs w:val="24"/>
                <w:highlight w:val="none"/>
              </w:rPr>
            </w:r>
            <w:r/>
          </w:p>
        </w:tc>
        <w:tc>
          <w:tcPr>
            <w:tcW w:w="127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注册资本（万元）</w:t>
            </w:r>
            <w:r>
              <w:rPr>
                <w:rFonts w:ascii="宋体" w:cs="宋体"/>
                <w:color w:val="000000"/>
                <w:sz w:val="24"/>
                <w:szCs w:val="24"/>
                <w:highlight w:val="none"/>
              </w:rPr>
            </w:r>
            <w:r/>
          </w:p>
        </w:tc>
        <w:tc>
          <w:tcPr>
            <w:tcW w:w="2604" w:type="dxa"/>
            <w:vAlign w:val="center"/>
            <w:textDirection w:val="lrTb"/>
            <w:noWrap/>
          </w:tcPr>
          <w:p>
            <w:pPr>
              <w:pStyle w:val="1047"/>
              <w:jc w:val="center"/>
              <w:spacing w:line="440" w:lineRule="exact"/>
              <w:rPr>
                <w:rFonts w:ascii="宋体" w:cs="宋体"/>
                <w:color w:val="000000"/>
                <w:sz w:val="24"/>
                <w:szCs w:val="24"/>
                <w:highlight w:val="none"/>
              </w:rPr>
            </w:pPr>
            <w:r>
              <w:rPr>
                <w:rFonts w:ascii="宋体" w:cs="宋体"/>
                <w:color w:val="000000"/>
                <w:sz w:val="24"/>
                <w:szCs w:val="24"/>
                <w:highlight w:val="none"/>
              </w:rPr>
            </w:r>
            <w:r/>
          </w:p>
        </w:tc>
      </w:tr>
      <w:tr>
        <w:trPr/>
        <w:tc>
          <w:tcPr>
            <w:tcW w:w="152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投标人类别</w:t>
            </w:r>
            <w:r>
              <w:rPr>
                <w:rFonts w:ascii="宋体" w:cs="宋体"/>
                <w:color w:val="000000"/>
                <w:sz w:val="24"/>
                <w:szCs w:val="24"/>
                <w:highlight w:val="none"/>
              </w:rPr>
            </w:r>
            <w:r/>
          </w:p>
        </w:tc>
        <w:tc>
          <w:tcPr>
            <w:gridSpan w:val="3"/>
            <w:tcW w:w="6998" w:type="dxa"/>
            <w:vAlign w:val="center"/>
            <w:textDirection w:val="lrTb"/>
            <w:noWrap/>
          </w:tcPr>
          <w:p>
            <w:pPr>
              <w:pStyle w:val="1047"/>
              <w:jc w:val="center"/>
              <w:spacing w:line="440" w:lineRule="exact"/>
              <w:rPr>
                <w:rFonts w:ascii="宋体" w:cs="宋体"/>
                <w:color w:val="000000"/>
                <w:sz w:val="24"/>
                <w:szCs w:val="24"/>
                <w:highlight w:val="none"/>
              </w:rPr>
            </w:pPr>
            <w:r>
              <w:rPr>
                <w:rFonts w:ascii="宋体" w:cs="宋体"/>
                <w:color w:val="000000"/>
                <w:sz w:val="24"/>
                <w:szCs w:val="24"/>
                <w:highlight w:val="none"/>
              </w:rPr>
            </w:r>
            <w:r/>
          </w:p>
        </w:tc>
      </w:tr>
      <w:tr>
        <w:trPr/>
        <w:tc>
          <w:tcPr>
            <w:tcW w:w="152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开户银行</w:t>
            </w:r>
            <w:r>
              <w:rPr>
                <w:rFonts w:ascii="宋体" w:cs="宋体"/>
                <w:color w:val="000000"/>
                <w:sz w:val="24"/>
                <w:szCs w:val="24"/>
                <w:highlight w:val="none"/>
              </w:rPr>
            </w:r>
            <w:r/>
          </w:p>
        </w:tc>
        <w:tc>
          <w:tcPr>
            <w:tcW w:w="3118" w:type="dxa"/>
            <w:vAlign w:val="center"/>
            <w:textDirection w:val="lrTb"/>
            <w:noWrap/>
          </w:tcPr>
          <w:p>
            <w:pPr>
              <w:pStyle w:val="1047"/>
              <w:jc w:val="center"/>
              <w:spacing w:line="440" w:lineRule="exact"/>
              <w:rPr>
                <w:rFonts w:ascii="宋体" w:cs="宋体"/>
                <w:color w:val="000000"/>
                <w:sz w:val="24"/>
                <w:szCs w:val="24"/>
                <w:highlight w:val="none"/>
              </w:rPr>
            </w:pPr>
            <w:r>
              <w:rPr>
                <w:rFonts w:ascii="宋体" w:cs="宋体"/>
                <w:color w:val="000000"/>
                <w:sz w:val="24"/>
                <w:szCs w:val="24"/>
                <w:highlight w:val="none"/>
              </w:rPr>
            </w:r>
            <w:r/>
          </w:p>
        </w:tc>
        <w:tc>
          <w:tcPr>
            <w:tcW w:w="127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账号</w:t>
            </w:r>
            <w:r>
              <w:rPr>
                <w:rFonts w:ascii="宋体" w:cs="宋体"/>
                <w:color w:val="000000"/>
                <w:sz w:val="24"/>
                <w:szCs w:val="24"/>
                <w:highlight w:val="none"/>
              </w:rPr>
            </w:r>
            <w:r/>
          </w:p>
        </w:tc>
        <w:tc>
          <w:tcPr>
            <w:tcW w:w="2604" w:type="dxa"/>
            <w:vAlign w:val="center"/>
            <w:textDirection w:val="lrTb"/>
            <w:noWrap/>
          </w:tcPr>
          <w:p>
            <w:pPr>
              <w:pStyle w:val="1047"/>
              <w:jc w:val="center"/>
              <w:spacing w:line="440" w:lineRule="exact"/>
              <w:rPr>
                <w:rFonts w:ascii="宋体" w:cs="宋体"/>
                <w:color w:val="000000"/>
                <w:sz w:val="24"/>
                <w:szCs w:val="24"/>
                <w:highlight w:val="none"/>
              </w:rPr>
            </w:pPr>
            <w:r>
              <w:rPr>
                <w:rFonts w:ascii="宋体" w:cs="宋体"/>
                <w:color w:val="000000"/>
                <w:sz w:val="24"/>
                <w:szCs w:val="24"/>
                <w:highlight w:val="none"/>
              </w:rPr>
            </w:r>
            <w:r/>
          </w:p>
        </w:tc>
      </w:tr>
      <w:tr>
        <w:trPr/>
        <w:tc>
          <w:tcPr>
            <w:tcW w:w="152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联系人</w:t>
            </w:r>
            <w:r>
              <w:rPr>
                <w:rFonts w:ascii="宋体" w:cs="宋体"/>
                <w:color w:val="000000"/>
                <w:sz w:val="24"/>
                <w:szCs w:val="24"/>
                <w:highlight w:val="none"/>
              </w:rPr>
            </w:r>
            <w:r/>
          </w:p>
        </w:tc>
        <w:tc>
          <w:tcPr>
            <w:tcW w:w="3118" w:type="dxa"/>
            <w:vAlign w:val="center"/>
            <w:textDirection w:val="lrTb"/>
            <w:noWrap/>
          </w:tcPr>
          <w:p>
            <w:pPr>
              <w:pStyle w:val="1047"/>
              <w:jc w:val="center"/>
              <w:spacing w:line="440" w:lineRule="exact"/>
              <w:rPr>
                <w:rFonts w:ascii="宋体" w:cs="宋体"/>
                <w:color w:val="000000"/>
                <w:sz w:val="24"/>
                <w:szCs w:val="24"/>
                <w:highlight w:val="none"/>
              </w:rPr>
            </w:pPr>
            <w:r>
              <w:rPr>
                <w:rFonts w:ascii="宋体" w:cs="宋体"/>
                <w:color w:val="000000"/>
                <w:sz w:val="24"/>
                <w:szCs w:val="24"/>
                <w:highlight w:val="none"/>
              </w:rPr>
            </w:r>
            <w:r/>
          </w:p>
        </w:tc>
        <w:tc>
          <w:tcPr>
            <w:tcW w:w="127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联系电话</w:t>
            </w:r>
            <w:r>
              <w:rPr>
                <w:rFonts w:ascii="宋体" w:cs="宋体"/>
                <w:color w:val="000000"/>
                <w:sz w:val="24"/>
                <w:szCs w:val="24"/>
                <w:highlight w:val="none"/>
              </w:rPr>
            </w:r>
            <w:r/>
          </w:p>
        </w:tc>
        <w:tc>
          <w:tcPr>
            <w:tcW w:w="2604" w:type="dxa"/>
            <w:vAlign w:val="center"/>
            <w:textDirection w:val="lrTb"/>
            <w:noWrap/>
          </w:tcPr>
          <w:p>
            <w:pPr>
              <w:pStyle w:val="1047"/>
              <w:jc w:val="center"/>
              <w:spacing w:line="440" w:lineRule="exact"/>
              <w:rPr>
                <w:rFonts w:ascii="宋体" w:cs="宋体"/>
                <w:color w:val="000000"/>
                <w:sz w:val="24"/>
                <w:szCs w:val="24"/>
                <w:highlight w:val="none"/>
              </w:rPr>
            </w:pPr>
            <w:r>
              <w:rPr>
                <w:rFonts w:ascii="宋体" w:cs="宋体"/>
                <w:color w:val="000000"/>
                <w:sz w:val="24"/>
                <w:szCs w:val="24"/>
                <w:highlight w:val="none"/>
              </w:rPr>
            </w:r>
            <w:r/>
          </w:p>
        </w:tc>
      </w:tr>
      <w:tr>
        <w:trPr>
          <w:trHeight w:val="1046"/>
        </w:trPr>
        <w:tc>
          <w:tcPr>
            <w:tcW w:w="152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经营范围</w:t>
            </w:r>
            <w:r>
              <w:rPr>
                <w:rFonts w:ascii="宋体" w:cs="宋体"/>
                <w:color w:val="000000"/>
                <w:sz w:val="24"/>
                <w:szCs w:val="24"/>
                <w:highlight w:val="none"/>
              </w:rPr>
            </w:r>
            <w:r/>
          </w:p>
        </w:tc>
        <w:tc>
          <w:tcPr>
            <w:gridSpan w:val="3"/>
            <w:tcW w:w="6998" w:type="dxa"/>
            <w:vAlign w:val="top"/>
            <w:textDirection w:val="lrTb"/>
            <w:noWrap/>
          </w:tcPr>
          <w:p>
            <w:pPr>
              <w:pStyle w:val="1047"/>
              <w:ind w:firstLine="1432"/>
              <w:spacing w:line="440" w:lineRule="exact"/>
              <w:rPr>
                <w:rFonts w:ascii="宋体" w:cs="宋体"/>
                <w:color w:val="000000"/>
                <w:sz w:val="24"/>
                <w:szCs w:val="24"/>
                <w:highlight w:val="none"/>
              </w:rPr>
            </w:pPr>
            <w:r>
              <w:rPr>
                <w:rFonts w:ascii="宋体" w:cs="宋体"/>
                <w:color w:val="000000"/>
                <w:sz w:val="24"/>
                <w:szCs w:val="24"/>
                <w:highlight w:val="none"/>
              </w:rPr>
            </w:r>
            <w:r/>
          </w:p>
        </w:tc>
      </w:tr>
      <w:tr>
        <w:trPr>
          <w:trHeight w:val="1134"/>
        </w:trPr>
        <w:tc>
          <w:tcPr>
            <w:tcW w:w="1526" w:type="dxa"/>
            <w:vAlign w:val="center"/>
            <w:textDirection w:val="lrTb"/>
            <w:noWrap/>
          </w:tcPr>
          <w:p>
            <w:pPr>
              <w:pStyle w:val="1047"/>
              <w:jc w:val="center"/>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备注</w:t>
            </w:r>
            <w:r>
              <w:rPr>
                <w:rFonts w:ascii="宋体" w:cs="宋体"/>
                <w:color w:val="000000"/>
                <w:sz w:val="24"/>
                <w:szCs w:val="24"/>
                <w:highlight w:val="none"/>
              </w:rPr>
            </w:r>
            <w:r/>
          </w:p>
        </w:tc>
        <w:tc>
          <w:tcPr>
            <w:gridSpan w:val="3"/>
            <w:tcW w:w="6998" w:type="dxa"/>
            <w:vAlign w:val="center"/>
            <w:textDirection w:val="lrTb"/>
            <w:noWrap/>
          </w:tcPr>
          <w:p>
            <w:pPr>
              <w:pStyle w:val="1047"/>
              <w:spacing w:line="440" w:lineRule="exact"/>
              <w:rPr>
                <w:rFonts w:ascii="宋体" w:cs="宋体"/>
                <w:color w:val="000000"/>
                <w:sz w:val="24"/>
                <w:szCs w:val="24"/>
                <w:highlight w:val="none"/>
              </w:rPr>
            </w:pPr>
            <w:r>
              <w:rPr>
                <w:rFonts w:hint="eastAsia" w:ascii="宋体" w:cs="宋体"/>
                <w:color w:val="000000"/>
                <w:sz w:val="24"/>
                <w:szCs w:val="24"/>
                <w:highlight w:val="none"/>
              </w:rPr>
              <w:t xml:space="preserve">附营业执照</w:t>
            </w:r>
            <w:r>
              <w:rPr>
                <w:rFonts w:ascii="宋体" w:cs="宋体"/>
                <w:color w:val="000000"/>
                <w:sz w:val="24"/>
                <w:szCs w:val="24"/>
                <w:highlight w:val="none"/>
              </w:rPr>
            </w:r>
            <w:r/>
          </w:p>
        </w:tc>
      </w:tr>
    </w:tbl>
    <w:p>
      <w:pPr>
        <w:pStyle w:val="768"/>
        <w:ind w:firstLine="480"/>
        <w:spacing w:line="440" w:lineRule="exact"/>
        <w:rPr>
          <w:rFonts w:ascii="宋体" w:cs="宋体"/>
          <w:color w:val="000000"/>
          <w:sz w:val="24"/>
          <w:highlight w:val="none"/>
        </w:rPr>
      </w:pPr>
      <w:r>
        <w:rPr>
          <w:rFonts w:ascii="宋体" w:cs="宋体"/>
          <w:color w:val="000000"/>
          <w:sz w:val="24"/>
          <w:highlight w:val="none"/>
        </w:rPr>
      </w:r>
      <w:r/>
    </w:p>
    <w:p>
      <w:pPr>
        <w:pStyle w:val="768"/>
        <w:ind w:firstLine="480"/>
        <w:spacing w:line="440" w:lineRule="exact"/>
        <w:rPr>
          <w:rFonts w:ascii="宋体" w:cs="宋体"/>
          <w:color w:val="000000"/>
          <w:sz w:val="24"/>
          <w:highlight w:val="none"/>
        </w:rPr>
      </w:pPr>
      <w:r>
        <w:rPr>
          <w:rFonts w:ascii="宋体" w:cs="宋体"/>
          <w:color w:val="000000"/>
          <w:sz w:val="24"/>
          <w:highlight w:val="none"/>
        </w:rPr>
      </w:r>
      <w:r/>
    </w:p>
    <w:p>
      <w:pPr>
        <w:pStyle w:val="768"/>
        <w:ind w:firstLine="420"/>
        <w:spacing w:line="440" w:lineRule="exact"/>
        <w:rPr>
          <w:rFonts w:ascii="宋体" w:cs="宋体"/>
          <w:bCs/>
          <w:color w:val="000000"/>
          <w:sz w:val="24"/>
          <w:highlight w:val="none"/>
        </w:rPr>
      </w:pPr>
      <w:r>
        <w:rPr>
          <w:rFonts w:ascii="宋体" w:cs="宋体"/>
          <w:bCs/>
          <w:color w:val="000000"/>
          <w:sz w:val="24"/>
          <w:highlight w:val="none"/>
        </w:rPr>
      </w:r>
      <w:r/>
    </w:p>
    <w:p>
      <w:pPr>
        <w:pStyle w:val="768"/>
        <w:rPr>
          <w:color w:val="000000"/>
          <w:highlight w:val="none"/>
        </w:rPr>
        <w:outlineLvl w:val="1"/>
      </w:pPr>
      <w:r>
        <w:rPr>
          <w:rFonts w:hint="eastAsia"/>
          <w:color w:val="000000"/>
          <w:highlight w:val="none"/>
        </w:rPr>
        <w:br w:type="page" w:clear="all"/>
      </w:r>
      <w:bookmarkStart w:id="141" w:name="_Toc29506"/>
      <w:r/>
      <w:bookmarkStart w:id="142" w:name="_Toc3680"/>
      <w:r/>
      <w:bookmarkStart w:id="143" w:name="_Toc27409"/>
      <w:r>
        <w:rPr>
          <w:rFonts w:hint="eastAsia"/>
          <w:color w:val="000000"/>
          <w:highlight w:val="none"/>
          <w:lang w:val="en-US" w:eastAsia="zh-CN"/>
        </w:rPr>
        <w:t xml:space="preserve">三</w:t>
      </w:r>
      <w:r>
        <w:rPr>
          <w:rFonts w:hint="eastAsia" w:ascii="黑体" w:hAnsi="黑体" w:eastAsia="黑体" w:cs="黑体"/>
          <w:bCs/>
          <w:color w:val="000000"/>
          <w:sz w:val="32"/>
          <w:szCs w:val="24"/>
          <w:highlight w:val="none"/>
        </w:rPr>
        <w:t xml:space="preserve">、</w:t>
      </w:r>
      <w:bookmarkEnd w:id="141"/>
      <w:r/>
      <w:bookmarkEnd w:id="142"/>
      <w:r>
        <w:rPr>
          <w:rFonts w:hint="eastAsia" w:ascii="黑体" w:hAnsi="黑体" w:eastAsia="黑体" w:cs="黑体"/>
          <w:bCs/>
          <w:color w:val="000000"/>
          <w:sz w:val="32"/>
          <w:szCs w:val="24"/>
          <w:highlight w:val="none"/>
        </w:rPr>
        <w:t xml:space="preserve">法人授权书</w:t>
      </w:r>
      <w:bookmarkEnd w:id="143"/>
      <w:r>
        <w:rPr>
          <w:color w:val="000000"/>
          <w:highlight w:val="none"/>
        </w:rPr>
      </w:r>
      <w:r/>
    </w:p>
    <w:p>
      <w:pPr>
        <w:pStyle w:val="1062"/>
        <w:jc w:val="center"/>
        <w:rPr>
          <w:rFonts w:ascii="方正小标宋_GBK" w:eastAsia="方正小标宋_GBK"/>
          <w:bCs/>
          <w:color w:val="000000"/>
          <w:sz w:val="32"/>
          <w:szCs w:val="32"/>
          <w:highlight w:val="none"/>
        </w:rPr>
      </w:pPr>
      <w:r/>
      <w:bookmarkStart w:id="144" w:name="OLE_LINK6"/>
      <w:r>
        <w:rPr>
          <w:rFonts w:hint="eastAsia" w:ascii="方正小标宋_GBK" w:eastAsia="方正小标宋_GBK"/>
          <w:bCs/>
          <w:color w:val="000000"/>
          <w:sz w:val="32"/>
          <w:szCs w:val="32"/>
          <w:highlight w:val="none"/>
        </w:rPr>
        <w:t xml:space="preserve">法人授权书</w:t>
      </w:r>
      <w:bookmarkEnd w:id="144"/>
      <w:r>
        <w:rPr>
          <w:rFonts w:ascii="方正小标宋_GBK" w:eastAsia="方正小标宋_GBK"/>
          <w:bCs/>
          <w:color w:val="000000"/>
          <w:sz w:val="32"/>
          <w:szCs w:val="32"/>
          <w:highlight w:val="none"/>
        </w:rPr>
      </w:r>
      <w:r/>
    </w:p>
    <w:p>
      <w:pPr>
        <w:pStyle w:val="768"/>
        <w:ind w:firstLine="480"/>
        <w:spacing w:line="40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本授权书声明：____________（投标人名称）授权________________（被授权人的姓名）为我方就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号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采购活动的合法代理人，以本单位名义全权处理一切与该项目采购有关的事务。</w:t>
      </w:r>
      <w:r>
        <w:rPr>
          <w:rFonts w:ascii="宋体" w:hAnsi="宋体" w:cs="宋体"/>
          <w:color w:val="000000"/>
          <w:highlight w:val="none"/>
        </w:rPr>
      </w:r>
      <w:r/>
    </w:p>
    <w:p>
      <w:pPr>
        <w:pStyle w:val="768"/>
        <w:ind w:firstLine="480"/>
        <w:spacing w:line="40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本授权书于______年____月____日起生效，特此声明。</w:t>
      </w:r>
      <w:r>
        <w:rPr>
          <w:rFonts w:ascii="宋体" w:hAnsi="宋体" w:cs="宋体"/>
          <w:color w:val="000000"/>
          <w:highlight w:val="none"/>
        </w:rPr>
      </w:r>
      <w:r/>
    </w:p>
    <w:p>
      <w:pPr>
        <w:pStyle w:val="768"/>
        <w:spacing w:line="40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被授权人身份证号码：</w:t>
      </w:r>
      <w:r>
        <w:rPr>
          <w:rFonts w:hint="eastAsia" w:ascii="宋体" w:hAnsi="宋体" w:cs="宋体"/>
          <w:color w:val="000000"/>
          <w:sz w:val="24"/>
          <w:highlight w:val="none"/>
          <w:u w:val="single"/>
        </w:rPr>
        <w:t xml:space="preserve">           </w:t>
      </w:r>
      <w:r>
        <w:rPr>
          <w:rFonts w:ascii="宋体" w:hAnsi="宋体" w:cs="宋体"/>
          <w:color w:val="000000"/>
          <w:highlight w:val="none"/>
        </w:rPr>
      </w:r>
      <w:r/>
    </w:p>
    <w:p>
      <w:pPr>
        <w:pStyle w:val="768"/>
        <w:spacing w:line="40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被授权人联系电话：（手机）</w:t>
      </w:r>
      <w:r>
        <w:rPr>
          <w:rFonts w:hint="eastAsia" w:ascii="宋体" w:hAnsi="宋体" w:cs="宋体"/>
          <w:color w:val="000000"/>
          <w:sz w:val="24"/>
          <w:highlight w:val="none"/>
          <w:u w:val="single"/>
        </w:rPr>
        <w:t xml:space="preserve">          </w:t>
      </w:r>
      <w:r>
        <w:rPr>
          <w:rFonts w:ascii="宋体" w:hAnsi="宋体" w:cs="宋体"/>
          <w:color w:val="000000"/>
          <w:highlight w:val="none"/>
        </w:rPr>
      </w:r>
      <w:r/>
    </w:p>
    <w:p>
      <w:pPr>
        <w:pStyle w:val="768"/>
        <w:ind w:firstLine="480"/>
        <w:spacing w:line="40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授权单位名称：</w:t>
      </w:r>
      <w:r>
        <w:rPr>
          <w:rFonts w:hint="eastAsia" w:ascii="宋体" w:hAnsi="宋体" w:cs="宋体"/>
          <w:color w:val="000000"/>
          <w:sz w:val="24"/>
          <w:highlight w:val="none"/>
          <w:u w:val="single"/>
        </w:rPr>
        <w:t xml:space="preserve">（加盖CA电子公章）</w:t>
      </w:r>
      <w:r>
        <w:rPr>
          <w:rFonts w:ascii="宋体" w:hAnsi="宋体" w:cs="宋体"/>
          <w:color w:val="000000"/>
          <w:highlight w:val="none"/>
        </w:rPr>
      </w:r>
      <w:r/>
    </w:p>
    <w:p>
      <w:pPr>
        <w:pStyle w:val="768"/>
        <w:ind w:firstLine="480"/>
        <w:spacing w:line="400"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单位地址：</w:t>
      </w:r>
      <w:r>
        <w:rPr>
          <w:rFonts w:hint="eastAsia" w:ascii="宋体" w:hAnsi="宋体" w:cs="宋体"/>
          <w:color w:val="000000"/>
          <w:sz w:val="24"/>
          <w:highlight w:val="none"/>
          <w:u w:val="single"/>
        </w:rPr>
        <w:t xml:space="preserve">                  </w:t>
      </w:r>
      <w:r>
        <w:rPr>
          <w:rFonts w:ascii="宋体" w:hAnsi="宋体" w:cs="宋体"/>
          <w:color w:val="000000"/>
          <w:highlight w:val="none"/>
        </w:rPr>
      </w:r>
      <w:r/>
    </w:p>
    <w:p>
      <w:pPr>
        <w:pStyle w:val="768"/>
        <w:spacing w:line="559"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  日期：</w:t>
      </w:r>
      <w:r>
        <w:rPr>
          <w:rFonts w:hint="eastAsia" w:ascii="宋体" w:hAnsi="宋体" w:cs="宋体"/>
          <w:color w:val="000000"/>
          <w:sz w:val="24"/>
          <w:highlight w:val="none"/>
          <w:u w:val="single"/>
        </w:rPr>
        <w:t xml:space="preserve">                      </w:t>
      </w:r>
      <w:r>
        <w:rPr>
          <w:rFonts w:ascii="宋体" w:hAnsi="宋体" w:cs="宋体"/>
          <w:color w:val="000000"/>
          <w:highlight w:val="none"/>
        </w:rPr>
      </w:r>
      <w:r/>
    </w:p>
    <w:p>
      <w:pPr>
        <w:pStyle w:val="1064"/>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768"/>
        <w:ind w:firstLine="480"/>
        <w:spacing w:line="499" w:lineRule="atLeast"/>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注：投标人代理人(授权委托人)必须为本单位正式员工，并在投标文件中提供投标截止日前6个月内由本单位为其缴纳的任意1个月社会养老保险证明资料电子件。</w:t>
      </w:r>
      <w:r>
        <w:rPr>
          <w:rFonts w:ascii="宋体" w:hAnsi="宋体" w:cs="宋体"/>
          <w:b/>
          <w:bCs/>
          <w:color w:val="000000"/>
          <w:sz w:val="24"/>
          <w:highlight w:val="none"/>
        </w:rPr>
      </w:r>
      <w:r/>
    </w:p>
    <w:p>
      <w:pPr>
        <w:pStyle w:val="1067"/>
        <w:rPr>
          <w:color w:val="000000"/>
          <w:highlight w:val="none"/>
        </w:rPr>
        <w:outlineLvl w:val="1"/>
      </w:pPr>
      <w:r>
        <w:rPr>
          <w:color w:val="000000"/>
          <w:highlight w:val="none"/>
        </w:rPr>
        <w:br w:type="page" w:clear="all"/>
      </w:r>
      <w:bookmarkStart w:id="145" w:name="_Toc30543"/>
      <w:r/>
      <w:bookmarkStart w:id="146" w:name="_Toc27199"/>
      <w:r/>
      <w:bookmarkStart w:id="147" w:name="_Toc13550"/>
      <w:r>
        <w:rPr>
          <w:rFonts w:hint="eastAsia"/>
          <w:b w:val="0"/>
          <w:bCs/>
          <w:color w:val="000000"/>
          <w:highlight w:val="none"/>
          <w:lang w:val="en-US" w:eastAsia="zh-CN"/>
        </w:rPr>
        <w:t xml:space="preserve">四</w:t>
      </w:r>
      <w:r>
        <w:rPr>
          <w:b w:val="0"/>
          <w:bCs/>
          <w:color w:val="000000"/>
          <w:highlight w:val="none"/>
        </w:rPr>
        <w:t xml:space="preserve">、开标一览表</w:t>
      </w:r>
      <w:bookmarkEnd w:id="145"/>
      <w:r/>
      <w:bookmarkEnd w:id="146"/>
      <w:r/>
      <w:bookmarkEnd w:id="147"/>
      <w:r>
        <w:rPr>
          <w:color w:val="000000"/>
          <w:highlight w:val="none"/>
        </w:rPr>
      </w:r>
      <w:r/>
    </w:p>
    <w:p>
      <w:pPr>
        <w:pStyle w:val="1068"/>
        <w:rPr>
          <w:rFonts w:ascii="宋体" w:hAnsi="宋体" w:eastAsia="宋体" w:cs="宋体"/>
          <w:color w:val="000000"/>
          <w:highlight w:val="none"/>
        </w:rPr>
      </w:pPr>
      <w:r>
        <w:rPr>
          <w:rFonts w:ascii="宋体" w:hAnsi="宋体" w:eastAsia="宋体" w:cs="宋体"/>
          <w:color w:val="000000"/>
          <w:highlight w:val="none"/>
        </w:rPr>
      </w:r>
      <w:r/>
    </w:p>
    <w:p>
      <w:pPr>
        <w:pStyle w:val="1068"/>
        <w:rPr>
          <w:color w:val="000000"/>
          <w:highlight w:val="none"/>
        </w:rPr>
      </w:pPr>
      <w:r>
        <w:rPr>
          <w:rFonts w:hint="eastAsia" w:ascii="宋体" w:hAnsi="宋体" w:eastAsia="宋体" w:cs="宋体"/>
          <w:color w:val="000000"/>
          <w:highlight w:val="none"/>
        </w:rPr>
        <w:t xml:space="preserve">投标人全称</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rPr>
          <w:color w:val="000000"/>
          <w:highlight w:val="none"/>
        </w:rPr>
      </w:r>
      <w:r/>
    </w:p>
    <w:p>
      <w:pPr>
        <w:pStyle w:val="768"/>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rPr>
          <w:rFonts w:ascii="宋体" w:hAnsi="宋体" w:cs="宋体"/>
          <w:color w:val="000000"/>
          <w:sz w:val="24"/>
          <w:szCs w:val="24"/>
          <w:highlight w:val="none"/>
        </w:rPr>
      </w:r>
      <w:r/>
    </w:p>
    <w:p>
      <w:pPr>
        <w:pStyle w:val="768"/>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rPr>
          <w:rFonts w:ascii="宋体" w:hAnsi="宋体" w:cs="宋体"/>
          <w:color w:val="000000"/>
          <w:sz w:val="24"/>
          <w:szCs w:val="24"/>
          <w:highlight w:val="none"/>
        </w:rPr>
      </w:r>
      <w:r/>
    </w:p>
    <w:p>
      <w:pPr>
        <w:pStyle w:val="768"/>
        <w:spacing w:line="500" w:lineRule="exact"/>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bl>
      <w:tblPr>
        <w:tblStyle w:val="123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0"/>
      </w:tblGrid>
      <w:tr>
        <w:trPr/>
        <w:tc>
          <w:tcPr>
            <w:tcW w:w="8630" w:type="dxa"/>
            <w:vAlign w:val="top"/>
            <w:textDirection w:val="lrTb"/>
            <w:noWrap w:val="false"/>
          </w:tcPr>
          <w:p>
            <w:pPr>
              <w:pStyle w:val="768"/>
              <w:jc w:val="center"/>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投标总报价</w:t>
            </w:r>
            <w:r>
              <w:rPr>
                <w:rFonts w:ascii="宋体" w:hAnsi="宋体" w:cs="宋体"/>
                <w:color w:val="000000"/>
                <w:sz w:val="24"/>
                <w:szCs w:val="24"/>
                <w:highlight w:val="none"/>
              </w:rPr>
            </w:r>
            <w:r/>
          </w:p>
        </w:tc>
      </w:tr>
      <w:tr>
        <w:trPr/>
        <w:tc>
          <w:tcPr>
            <w:tcW w:w="8630" w:type="dxa"/>
            <w:vAlign w:val="top"/>
            <w:textDirection w:val="lrTb"/>
            <w:noWrap w:val="false"/>
          </w:tcPr>
          <w:p>
            <w:pPr>
              <w:pStyle w:val="768"/>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总价（小写）：          </w:t>
            </w:r>
            <w:r>
              <w:rPr>
                <w:rFonts w:ascii="宋体" w:hAnsi="宋体" w:cs="宋体"/>
                <w:color w:val="000000"/>
                <w:sz w:val="24"/>
                <w:szCs w:val="24"/>
                <w:highlight w:val="none"/>
              </w:rPr>
              <w:t xml:space="preserve">（人民币：元）</w:t>
            </w:r>
            <w:r>
              <w:rPr>
                <w:rFonts w:ascii="宋体" w:hAnsi="宋体" w:cs="宋体"/>
                <w:color w:val="000000"/>
                <w:sz w:val="24"/>
                <w:szCs w:val="24"/>
                <w:highlight w:val="none"/>
              </w:rPr>
            </w:r>
            <w:r/>
          </w:p>
        </w:tc>
      </w:tr>
      <w:tr>
        <w:trPr/>
        <w:tc>
          <w:tcPr>
            <w:tcW w:w="8630" w:type="dxa"/>
            <w:vAlign w:val="top"/>
            <w:textDirection w:val="lrTb"/>
            <w:noWrap w:val="false"/>
          </w:tcPr>
          <w:p>
            <w:pPr>
              <w:pStyle w:val="768"/>
              <w:spacing w:line="500" w:lineRule="exact"/>
              <w:rPr>
                <w:rFonts w:ascii="宋体" w:hAnsi="宋体" w:cs="宋体"/>
                <w:color w:val="000000"/>
                <w:sz w:val="24"/>
                <w:szCs w:val="24"/>
                <w:highlight w:val="none"/>
              </w:rPr>
            </w:pPr>
            <w:r>
              <w:rPr>
                <w:rFonts w:ascii="宋体" w:hAnsi="宋体" w:cs="宋体"/>
                <w:color w:val="000000"/>
                <w:sz w:val="24"/>
                <w:szCs w:val="24"/>
                <w:highlight w:val="none"/>
              </w:rPr>
              <w:t xml:space="preserve">总价（大写）：</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（人民币：元）</w:t>
            </w:r>
            <w:r>
              <w:rPr>
                <w:rFonts w:ascii="宋体" w:hAnsi="宋体" w:cs="宋体"/>
                <w:color w:val="000000"/>
                <w:sz w:val="24"/>
                <w:szCs w:val="24"/>
                <w:highlight w:val="none"/>
              </w:rPr>
            </w:r>
            <w:r/>
          </w:p>
        </w:tc>
      </w:tr>
    </w:tbl>
    <w:p>
      <w:pPr>
        <w:pStyle w:val="768"/>
        <w:spacing w:line="500" w:lineRule="exact"/>
        <w:rPr>
          <w:rFonts w:ascii="宋体" w:hAnsi="宋体" w:cs="宋体"/>
          <w:color w:val="000000"/>
          <w:sz w:val="24"/>
          <w:szCs w:val="24"/>
          <w:highlight w:val="none"/>
        </w:rPr>
      </w:pPr>
      <w:r>
        <w:rPr>
          <w:rFonts w:ascii="宋体" w:hAnsi="宋体" w:cs="宋体"/>
          <w:color w:val="000000"/>
          <w:sz w:val="24"/>
          <w:szCs w:val="24"/>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color w:val="000000"/>
          <w:highlight w:val="none"/>
        </w:rPr>
      </w:pPr>
      <w:r>
        <w:rPr>
          <w:color w:val="000000"/>
          <w:highlight w:val="none"/>
        </w:rPr>
      </w:r>
      <w:r/>
    </w:p>
    <w:p>
      <w:pPr>
        <w:pStyle w:val="768"/>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48"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48"/>
      <w:r>
        <w:rPr>
          <w:rFonts w:ascii="宋体" w:hAnsi="宋体" w:cs="宋体"/>
          <w:color w:val="000000"/>
          <w:sz w:val="24"/>
          <w:highlight w:val="none"/>
        </w:rPr>
      </w:r>
      <w:r/>
    </w:p>
    <w:p>
      <w:pPr>
        <w:pStyle w:val="1070"/>
        <w:rPr>
          <w:color w:val="000000"/>
          <w:highlight w:val="none"/>
        </w:rPr>
        <w:outlineLvl w:val="1"/>
      </w:pPr>
      <w:r>
        <w:rPr>
          <w:color w:val="000000"/>
          <w:highlight w:val="none"/>
        </w:rPr>
        <w:br w:type="page" w:clear="all"/>
      </w:r>
      <w:bookmarkStart w:id="149" w:name="_Toc956"/>
      <w:r/>
      <w:bookmarkStart w:id="150" w:name="_Toc26543"/>
      <w:r/>
      <w:bookmarkStart w:id="151" w:name="_Toc12614"/>
      <w:r>
        <w:rPr>
          <w:rFonts w:hint="eastAsia"/>
          <w:color w:val="000000"/>
          <w:highlight w:val="none"/>
          <w:lang w:val="en-US" w:eastAsia="zh-CN"/>
        </w:rPr>
        <w:t xml:space="preserve">五</w:t>
      </w:r>
      <w:r>
        <w:rPr>
          <w:b w:val="0"/>
          <w:bCs/>
          <w:color w:val="000000"/>
          <w:highlight w:val="none"/>
        </w:rPr>
        <w:t xml:space="preserve">、</w:t>
      </w:r>
      <w:bookmarkEnd w:id="149"/>
      <w:r/>
      <w:bookmarkEnd w:id="150"/>
      <w:r>
        <w:rPr>
          <w:rFonts w:hint="eastAsia"/>
          <w:b w:val="0"/>
          <w:bCs/>
          <w:color w:val="000000"/>
          <w:highlight w:val="none"/>
        </w:rPr>
        <w:t xml:space="preserve">分项报价表</w:t>
      </w:r>
      <w:bookmarkEnd w:id="151"/>
      <w:r>
        <w:rPr>
          <w:color w:val="000000"/>
          <w:highlight w:val="none"/>
        </w:rPr>
      </w:r>
      <w:r/>
    </w:p>
    <w:p>
      <w:pPr>
        <w:pStyle w:val="1062"/>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分项报价表</w:t>
      </w:r>
      <w:r>
        <w:rPr>
          <w:rFonts w:ascii="方正小标宋_GBK" w:eastAsia="方正小标宋_GBK"/>
          <w:bCs/>
          <w:color w:val="000000"/>
          <w:sz w:val="32"/>
          <w:szCs w:val="32"/>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851"/>
        <w:gridCol w:w="660"/>
        <w:gridCol w:w="868"/>
        <w:gridCol w:w="1317"/>
        <w:gridCol w:w="1002"/>
        <w:gridCol w:w="748"/>
        <w:gridCol w:w="755"/>
        <w:gridCol w:w="1100"/>
        <w:gridCol w:w="760"/>
      </w:tblGrid>
      <w:tr>
        <w:trPr>
          <w:cantSplit/>
          <w:trHeight w:val="544"/>
        </w:trPr>
        <w:tc>
          <w:tcPr>
            <w:tcW w:w="267" w:type="dxa"/>
            <w:vAlign w:val="top"/>
            <w:textDirection w:val="lrTb"/>
            <w:noWrap w:val="false"/>
          </w:tcPr>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500" w:type="dxa"/>
            <w:vAlign w:val="center"/>
            <w:textDirection w:val="lrTb"/>
            <w:noWrap w:val="false"/>
          </w:tcPr>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产品</w:t>
            </w:r>
            <w:r>
              <w:rPr>
                <w:rFonts w:ascii="宋体" w:hAnsi="宋体"/>
                <w:color w:val="000000"/>
                <w:sz w:val="24"/>
                <w:szCs w:val="24"/>
                <w:highlight w:val="none"/>
              </w:rPr>
            </w:r>
            <w:r/>
          </w:p>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名称</w:t>
            </w:r>
            <w:r>
              <w:rPr>
                <w:rFonts w:ascii="宋体" w:hAnsi="宋体"/>
                <w:color w:val="000000"/>
                <w:sz w:val="24"/>
                <w:szCs w:val="24"/>
                <w:highlight w:val="none"/>
              </w:rPr>
            </w:r>
            <w:r/>
          </w:p>
        </w:tc>
        <w:tc>
          <w:tcPr>
            <w:tcW w:w="387" w:type="dxa"/>
            <w:vAlign w:val="center"/>
            <w:textDirection w:val="lrTb"/>
            <w:noWrap w:val="false"/>
          </w:tcPr>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品牌</w:t>
            </w:r>
            <w:r>
              <w:rPr>
                <w:rFonts w:ascii="宋体" w:hAnsi="宋体"/>
                <w:color w:val="000000"/>
                <w:sz w:val="24"/>
                <w:szCs w:val="24"/>
                <w:highlight w:val="none"/>
              </w:rPr>
            </w:r>
            <w:r/>
          </w:p>
        </w:tc>
        <w:tc>
          <w:tcPr>
            <w:tcW w:w="510" w:type="dxa"/>
            <w:vAlign w:val="center"/>
            <w:textDirection w:val="lrTb"/>
            <w:noWrap w:val="false"/>
          </w:tcPr>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规格</w:t>
            </w:r>
            <w:r>
              <w:rPr>
                <w:rFonts w:ascii="宋体" w:hAnsi="宋体"/>
                <w:color w:val="000000"/>
                <w:sz w:val="24"/>
                <w:szCs w:val="24"/>
                <w:highlight w:val="none"/>
              </w:rPr>
            </w:r>
            <w:r/>
          </w:p>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型号</w:t>
            </w:r>
            <w:r>
              <w:rPr>
                <w:rFonts w:ascii="宋体" w:hAnsi="宋体"/>
                <w:color w:val="000000"/>
                <w:sz w:val="24"/>
                <w:szCs w:val="24"/>
                <w:highlight w:val="none"/>
              </w:rPr>
            </w:r>
            <w:r/>
          </w:p>
        </w:tc>
        <w:tc>
          <w:tcPr>
            <w:tcW w:w="773" w:type="dxa"/>
            <w:vAlign w:val="center"/>
            <w:textDirection w:val="lrTb"/>
            <w:noWrap w:val="false"/>
          </w:tcPr>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制造商名称</w:t>
            </w:r>
            <w:r>
              <w:rPr>
                <w:rFonts w:ascii="宋体" w:hAnsi="宋体"/>
                <w:color w:val="000000"/>
                <w:sz w:val="24"/>
                <w:szCs w:val="24"/>
                <w:highlight w:val="none"/>
              </w:rPr>
            </w:r>
            <w:r/>
          </w:p>
        </w:tc>
        <w:tc>
          <w:tcPr>
            <w:tcW w:w="588" w:type="dxa"/>
            <w:vAlign w:val="center"/>
            <w:textDirection w:val="lrTb"/>
            <w:noWrap w:val="false"/>
          </w:tcPr>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产地</w:t>
            </w:r>
            <w:r>
              <w:rPr>
                <w:rFonts w:ascii="宋体" w:hAnsi="宋体"/>
                <w:color w:val="000000"/>
                <w:sz w:val="24"/>
                <w:szCs w:val="24"/>
                <w:highlight w:val="none"/>
              </w:rPr>
            </w:r>
            <w:r/>
          </w:p>
        </w:tc>
        <w:tc>
          <w:tcPr>
            <w:tcW w:w="439" w:type="dxa"/>
            <w:vAlign w:val="center"/>
            <w:textDirection w:val="lrTb"/>
            <w:noWrap w:val="false"/>
          </w:tcPr>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数量</w:t>
            </w:r>
            <w:r>
              <w:rPr>
                <w:rFonts w:ascii="宋体" w:hAnsi="宋体"/>
                <w:color w:val="000000"/>
                <w:sz w:val="24"/>
                <w:szCs w:val="24"/>
                <w:highlight w:val="none"/>
              </w:rPr>
            </w:r>
            <w:r/>
          </w:p>
        </w:tc>
        <w:tc>
          <w:tcPr>
            <w:tcW w:w="443" w:type="dxa"/>
            <w:vAlign w:val="center"/>
            <w:textDirection w:val="lrTb"/>
            <w:noWrap w:val="false"/>
          </w:tcPr>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分项</w:t>
            </w:r>
            <w:r>
              <w:rPr>
                <w:rFonts w:ascii="宋体" w:hAnsi="宋体"/>
                <w:color w:val="000000"/>
                <w:sz w:val="24"/>
                <w:szCs w:val="24"/>
                <w:highlight w:val="none"/>
              </w:rPr>
            </w:r>
            <w:r/>
          </w:p>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单价</w:t>
            </w:r>
            <w:r>
              <w:rPr>
                <w:rFonts w:ascii="宋体" w:hAnsi="宋体"/>
                <w:color w:val="000000"/>
                <w:sz w:val="24"/>
                <w:szCs w:val="24"/>
                <w:highlight w:val="none"/>
              </w:rPr>
            </w:r>
            <w:r/>
          </w:p>
        </w:tc>
        <w:tc>
          <w:tcPr>
            <w:tcW w:w="646" w:type="dxa"/>
            <w:vAlign w:val="center"/>
            <w:textDirection w:val="lrTb"/>
            <w:noWrap w:val="false"/>
          </w:tcPr>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分项</w:t>
            </w:r>
            <w:r>
              <w:rPr>
                <w:rFonts w:ascii="宋体" w:hAnsi="宋体"/>
                <w:color w:val="000000"/>
                <w:sz w:val="24"/>
                <w:szCs w:val="24"/>
                <w:highlight w:val="none"/>
              </w:rPr>
            </w:r>
            <w:r/>
          </w:p>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总价</w:t>
            </w:r>
            <w:r>
              <w:rPr>
                <w:rFonts w:ascii="宋体" w:hAnsi="宋体"/>
                <w:color w:val="000000"/>
                <w:sz w:val="24"/>
                <w:szCs w:val="24"/>
                <w:highlight w:val="none"/>
              </w:rPr>
            </w:r>
            <w:r/>
          </w:p>
        </w:tc>
        <w:tc>
          <w:tcPr>
            <w:tcW w:w="442" w:type="dxa"/>
            <w:vAlign w:val="center"/>
            <w:textDirection w:val="lrTb"/>
            <w:noWrap w:val="false"/>
          </w:tcPr>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tc>
      </w:tr>
      <w:tr>
        <w:trPr>
          <w:cantSplit/>
          <w:trHeight w:val="688"/>
        </w:trPr>
        <w:tc>
          <w:tcPr>
            <w:tcW w:w="267" w:type="dxa"/>
            <w:vAlign w:val="center"/>
            <w:textDirection w:val="lrTb"/>
            <w:noWrap w:val="false"/>
          </w:tcPr>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500"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387"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510"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73"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588"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39"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43"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646"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42"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696"/>
        </w:trPr>
        <w:tc>
          <w:tcPr>
            <w:tcW w:w="267" w:type="dxa"/>
            <w:vAlign w:val="center"/>
            <w:textDirection w:val="lrTb"/>
            <w:noWrap w:val="false"/>
          </w:tcPr>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500"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387"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510"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73"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588" w:type="dxa"/>
            <w:vAlign w:val="top"/>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39" w:type="dxa"/>
            <w:vAlign w:val="center"/>
            <w:textDirection w:val="lrTb"/>
            <w:noWrap w:val="false"/>
          </w:tcPr>
          <w:p>
            <w:pPr>
              <w:pStyle w:val="768"/>
              <w:jc w:val="left"/>
              <w:spacing w:line="0" w:lineRule="atLeast"/>
              <w:rPr>
                <w:rFonts w:ascii="宋体" w:hAnsi="宋体"/>
                <w:color w:val="000000"/>
                <w:sz w:val="24"/>
                <w:szCs w:val="24"/>
                <w:highlight w:val="none"/>
                <w:u w:val="single"/>
              </w:rPr>
            </w:pPr>
            <w:r>
              <w:rPr>
                <w:rFonts w:ascii="宋体" w:hAnsi="宋体"/>
                <w:color w:val="000000"/>
                <w:sz w:val="24"/>
                <w:szCs w:val="24"/>
                <w:highlight w:val="none"/>
                <w:u w:val="single"/>
              </w:rPr>
            </w:r>
            <w:r/>
          </w:p>
        </w:tc>
        <w:tc>
          <w:tcPr>
            <w:tcW w:w="443"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646"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42"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724"/>
        </w:trPr>
        <w:tc>
          <w:tcPr>
            <w:tcW w:w="267" w:type="dxa"/>
            <w:vAlign w:val="center"/>
            <w:textDirection w:val="lrTb"/>
            <w:noWrap w:val="false"/>
          </w:tcPr>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500"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387"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510"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73"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588" w:type="dxa"/>
            <w:vAlign w:val="top"/>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39"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43"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646"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42"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640"/>
        </w:trPr>
        <w:tc>
          <w:tcPr>
            <w:tcW w:w="267" w:type="dxa"/>
            <w:vAlign w:val="center"/>
            <w:textDirection w:val="lrTb"/>
            <w:noWrap w:val="false"/>
          </w:tcPr>
          <w:p>
            <w:pPr>
              <w:pStyle w:val="768"/>
              <w:jc w:val="left"/>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W w:w="500"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387"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510"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73"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588" w:type="dxa"/>
            <w:vAlign w:val="top"/>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39"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43"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646"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42"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677"/>
        </w:trPr>
        <w:tc>
          <w:tcPr>
            <w:tcW w:w="267"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500"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387"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510"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773"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588" w:type="dxa"/>
            <w:vAlign w:val="top"/>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39"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43"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646"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c>
          <w:tcPr>
            <w:tcW w:w="442" w:type="dxa"/>
            <w:vAlign w:val="center"/>
            <w:textDirection w:val="lrTb"/>
            <w:noWrap w:val="false"/>
          </w:tcPr>
          <w:p>
            <w:pPr>
              <w:pStyle w:val="768"/>
              <w:jc w:val="left"/>
              <w:spacing w:line="0" w:lineRule="atLeast"/>
              <w:rPr>
                <w:rFonts w:ascii="宋体" w:hAnsi="宋体"/>
                <w:color w:val="000000"/>
                <w:sz w:val="24"/>
                <w:szCs w:val="24"/>
                <w:highlight w:val="none"/>
              </w:rPr>
            </w:pPr>
            <w:r>
              <w:rPr>
                <w:rFonts w:ascii="宋体" w:hAnsi="宋体"/>
                <w:color w:val="000000"/>
                <w:sz w:val="24"/>
                <w:szCs w:val="24"/>
                <w:highlight w:val="none"/>
              </w:rPr>
            </w:r>
            <w:r/>
          </w:p>
        </w:tc>
      </w:tr>
      <w:tr>
        <w:trPr>
          <w:cantSplit/>
          <w:trHeight w:val="677"/>
        </w:trPr>
        <w:tc>
          <w:tcPr>
            <w:gridSpan w:val="3"/>
            <w:tcW w:w="1967" w:type="dxa"/>
            <w:vAlign w:val="center"/>
            <w:textDirection w:val="lrTb"/>
            <w:noWrap w:val="false"/>
          </w:tcPr>
          <w:p>
            <w:pPr>
              <w:pStyle w:val="1158"/>
              <w:jc w:val="left"/>
              <w:spacing w:line="500" w:lineRule="exact"/>
              <w:rPr>
                <w:rFonts w:ascii="宋体" w:hAnsi="宋体"/>
                <w:b/>
                <w:bCs/>
                <w:color w:val="000000"/>
                <w:sz w:val="24"/>
                <w:highlight w:val="none"/>
              </w:rPr>
            </w:pPr>
            <w:r>
              <w:rPr>
                <w:rFonts w:hint="eastAsia" w:ascii="宋体" w:hAnsi="宋体"/>
                <w:b/>
                <w:bCs/>
                <w:color w:val="000000"/>
                <w:sz w:val="28"/>
                <w:szCs w:val="28"/>
                <w:highlight w:val="none"/>
              </w:rPr>
              <w:t xml:space="preserve">投标总报价</w:t>
            </w:r>
            <w:r>
              <w:rPr>
                <w:rFonts w:ascii="宋体" w:hAnsi="宋体"/>
                <w:b/>
                <w:bCs/>
                <w:color w:val="000000"/>
                <w:sz w:val="24"/>
                <w:highlight w:val="none"/>
              </w:rPr>
            </w:r>
            <w:r/>
          </w:p>
        </w:tc>
        <w:tc>
          <w:tcPr>
            <w:gridSpan w:val="7"/>
            <w:tcW w:w="6550" w:type="dxa"/>
            <w:vAlign w:val="center"/>
            <w:textDirection w:val="lrTb"/>
            <w:noWrap w:val="false"/>
          </w:tcPr>
          <w:p>
            <w:pPr>
              <w:pStyle w:val="1158"/>
              <w:jc w:val="left"/>
              <w:spacing w:line="500" w:lineRule="exact"/>
              <w:rPr>
                <w:rFonts w:ascii="宋体" w:hAnsi="宋体"/>
                <w:b/>
                <w:bCs/>
                <w:color w:val="000000"/>
                <w:sz w:val="24"/>
                <w:highlight w:val="none"/>
              </w:rPr>
            </w:pPr>
            <w:r>
              <w:rPr>
                <w:rFonts w:hint="eastAsia" w:ascii="宋体" w:hAnsi="宋体"/>
                <w:b/>
                <w:bCs/>
                <w:color w:val="000000"/>
                <w:sz w:val="24"/>
                <w:highlight w:val="none"/>
              </w:rPr>
              <w:t xml:space="preserve">￥</w:t>
            </w:r>
            <w:r>
              <w:rPr>
                <w:rFonts w:hint="eastAsia" w:ascii="宋体" w:hAnsi="宋体"/>
                <w:color w:val="000000"/>
                <w:sz w:val="24"/>
                <w:highlight w:val="non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ascii="宋体" w:hAnsi="宋体"/>
                <w:b/>
                <w:bCs/>
                <w:color w:val="000000"/>
                <w:sz w:val="24"/>
                <w:highlight w:val="none"/>
              </w:rPr>
            </w:r>
            <w:r/>
          </w:p>
          <w:p>
            <w:pPr>
              <w:pStyle w:val="1158"/>
              <w:jc w:val="left"/>
              <w:spacing w:line="500" w:lineRule="exact"/>
              <w:rPr>
                <w:rFonts w:ascii="宋体" w:hAnsi="宋体"/>
                <w:b/>
                <w:bCs/>
                <w:color w:val="000000"/>
                <w:sz w:val="24"/>
                <w:highlight w:val="none"/>
              </w:rPr>
            </w:pPr>
            <w:r>
              <w:rPr>
                <w:rFonts w:hint="eastAsia" w:ascii="宋体" w:hAnsi="宋体"/>
                <w:b/>
                <w:bCs/>
                <w:color w:val="000000"/>
                <w:sz w:val="24"/>
                <w:highlight w:val="none"/>
              </w:rPr>
              <w:t xml:space="preserve">人民币（大写）：</w:t>
            </w:r>
            <w:r>
              <w:rPr>
                <w:rFonts w:hint="eastAsia" w:ascii="宋体" w:hAnsi="宋体"/>
                <w:b/>
                <w:bCs/>
                <w:color w:val="000000"/>
                <w:sz w:val="24"/>
                <w:highlight w:val="none"/>
                <w:u w:val="single"/>
              </w:rPr>
              <w:t xml:space="preserve"> </w:t>
            </w:r>
            <w:r>
              <w:rPr>
                <w:rFonts w:ascii="宋体" w:hAnsi="宋体"/>
                <w:b/>
                <w:bCs/>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仟     </w:t>
            </w:r>
            <w:r>
              <w:rPr>
                <w:rFonts w:hint="eastAsia" w:ascii="宋体" w:hAnsi="宋体"/>
                <w:bCs/>
                <w:color w:val="000000"/>
                <w:sz w:val="24"/>
                <w:highlight w:val="none"/>
              </w:rPr>
              <w:t xml:space="preserve">佰</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拾</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 万</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仟</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佰</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拾</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元</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角</w:t>
            </w:r>
            <w:r>
              <w:rPr>
                <w:rFonts w:hint="eastAsia" w:ascii="宋体" w:hAnsi="宋体"/>
                <w:color w:val="000000"/>
                <w:sz w:val="24"/>
                <w:highlight w:val="none"/>
                <w:u w:val="single"/>
              </w:rPr>
              <w:t xml:space="preserve">      </w:t>
            </w:r>
            <w:r>
              <w:rPr>
                <w:rFonts w:hint="eastAsia" w:ascii="宋体" w:hAnsi="宋体"/>
                <w:bCs/>
                <w:color w:val="000000"/>
                <w:sz w:val="24"/>
                <w:highlight w:val="none"/>
              </w:rPr>
              <w:t xml:space="preserve">分</w:t>
            </w:r>
            <w:r>
              <w:rPr>
                <w:rFonts w:ascii="宋体" w:hAnsi="宋体"/>
                <w:b/>
                <w:bCs/>
                <w:color w:val="000000"/>
                <w:sz w:val="24"/>
                <w:highlight w:val="none"/>
              </w:rPr>
            </w:r>
            <w:r/>
          </w:p>
        </w:tc>
      </w:tr>
      <w:tr>
        <w:trPr>
          <w:cantSplit/>
          <w:trHeight w:val="677"/>
        </w:trPr>
        <w:tc>
          <w:tcPr>
            <w:gridSpan w:val="10"/>
            <w:tcW w:w="8517" w:type="dxa"/>
            <w:vAlign w:val="center"/>
            <w:textDirection w:val="lrTb"/>
            <w:noWrap w:val="false"/>
          </w:tcPr>
          <w:p>
            <w:pPr>
              <w:pStyle w:val="1158"/>
              <w:jc w:val="left"/>
              <w:spacing w:line="500" w:lineRule="exact"/>
              <w:rPr>
                <w:rFonts w:ascii="宋体" w:hAnsi="宋体"/>
                <w:b/>
                <w:bCs/>
                <w:color w:val="000000"/>
                <w:sz w:val="24"/>
                <w:highlight w:val="none"/>
              </w:rPr>
            </w:pPr>
            <w:r>
              <w:rPr>
                <w:rFonts w:hint="eastAsia" w:ascii="方正魏碑_GBK" w:hAnsi="方正魏碑_GBK" w:eastAsia="方正魏碑_GBK" w:cs="方正魏碑_GBK"/>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sz w:val="28"/>
                <w:szCs w:val="28"/>
                <w:highlight w:val="none"/>
                <w:u w:val="single"/>
              </w:rPr>
              <w:t xml:space="preserve">      </w:t>
            </w:r>
            <w:r>
              <w:rPr>
                <w:rFonts w:hint="eastAsia" w:ascii="方正魏碑_GBK" w:hAnsi="方正魏碑_GBK" w:eastAsia="方正魏碑_GBK" w:cs="方正魏碑_GBK"/>
                <w:color w:val="000000"/>
                <w:sz w:val="28"/>
                <w:szCs w:val="28"/>
                <w:highlight w:val="none"/>
              </w:rPr>
              <w:t xml:space="preserve">%。</w:t>
            </w:r>
            <w:r>
              <w:rPr>
                <w:rFonts w:ascii="宋体" w:hAnsi="宋体"/>
                <w:b/>
                <w:bCs/>
                <w:color w:val="000000"/>
                <w:sz w:val="24"/>
                <w:highlight w:val="none"/>
              </w:rPr>
            </w:r>
            <w:r/>
          </w:p>
        </w:tc>
      </w:tr>
    </w:tbl>
    <w:p>
      <w:pPr>
        <w:pStyle w:val="768"/>
        <w:numPr>
          <w:ilvl w:val="0"/>
          <w:numId w:val="0"/>
        </w:numPr>
        <w:spacing w:line="276" w:lineRule="auto"/>
        <w:rPr>
          <w:rFonts w:hint="eastAsia" w:ascii="仿宋" w:hAnsi="仿宋" w:eastAsia="仿宋"/>
          <w:color w:val="000000"/>
          <w:sz w:val="24"/>
          <w:highlight w:val="none"/>
        </w:rPr>
      </w:pPr>
      <w:r>
        <w:rPr>
          <w:rFonts w:hint="eastAsia" w:ascii="宋体" w:hAnsi="宋体"/>
          <w:color w:val="000000"/>
          <w:sz w:val="24"/>
          <w:szCs w:val="24"/>
          <w:highlight w:val="none"/>
        </w:rPr>
        <w:t xml:space="preserve">备注：</w:t>
      </w:r>
      <w:r>
        <w:rPr>
          <w:rFonts w:hint="eastAsia" w:ascii="宋体" w:hAnsi="宋体"/>
          <w:color w:val="000000"/>
          <w:sz w:val="24"/>
          <w:szCs w:val="24"/>
          <w:highlight w:val="none"/>
          <w:lang w:val="en-US" w:eastAsia="zh-CN"/>
        </w:rPr>
        <w:t xml:space="preserve">1.</w:t>
      </w:r>
      <w:r>
        <w:rPr>
          <w:rFonts w:hint="eastAsia" w:ascii="仿宋" w:hAnsi="仿宋" w:eastAsia="仿宋"/>
          <w:color w:val="000000"/>
          <w:sz w:val="24"/>
          <w:highlight w:val="none"/>
        </w:rPr>
        <w:t xml:space="preserve">投标报价采用总承包方式，“投标总报价”应包括货款、标准附件、备品备件、专用工具、包装、运输、装卸、保险、税金、货到就位以及安装、调试、培训、保修等完成本项目所涉及到的一切相关费用，招标文件中另有规定的除外。</w:t>
      </w:r>
      <w:r>
        <w:rPr>
          <w:rFonts w:hint="eastAsia" w:ascii="仿宋" w:hAnsi="仿宋" w:eastAsia="仿宋"/>
          <w:color w:val="000000"/>
          <w:sz w:val="24"/>
          <w:highlight w:val="none"/>
        </w:rPr>
      </w:r>
      <w:r/>
    </w:p>
    <w:p>
      <w:pPr>
        <w:pStyle w:val="768"/>
        <w:ind w:firstLine="480"/>
        <w:spacing w:line="276" w:lineRule="auto"/>
        <w:rPr>
          <w:rFonts w:ascii="仿宋" w:hAnsi="仿宋" w:eastAsia="仿宋"/>
          <w:color w:val="000000"/>
          <w:sz w:val="24"/>
          <w:highlight w:val="none"/>
        </w:rPr>
      </w:pPr>
      <w:r>
        <w:rPr>
          <w:rFonts w:hint="eastAsia" w:ascii="仿宋" w:hAnsi="仿宋" w:eastAsia="仿宋"/>
          <w:color w:val="000000"/>
          <w:sz w:val="24"/>
          <w:highlight w:val="none"/>
        </w:rPr>
        <w:t xml:space="preserve">2.</w:t>
      </w:r>
      <w:r>
        <w:rPr>
          <w:rFonts w:hint="eastAsia" w:ascii="仿宋" w:hAnsi="仿宋" w:eastAsia="仿宋"/>
          <w:color w:val="000000"/>
          <w:highlight w:val="none"/>
        </w:rPr>
        <w:t xml:space="preserve">“</w:t>
      </w:r>
      <w:r>
        <w:rPr>
          <w:rFonts w:hint="eastAsia" w:ascii="仿宋" w:hAnsi="仿宋" w:eastAsia="仿宋"/>
          <w:color w:val="000000"/>
          <w:sz w:val="24"/>
          <w:highlight w:val="none"/>
        </w:rPr>
        <w:t xml:space="preserve">投标报价明细表</w:t>
      </w:r>
      <w:r>
        <w:rPr>
          <w:rFonts w:hint="eastAsia" w:ascii="仿宋" w:hAnsi="仿宋" w:eastAsia="仿宋"/>
          <w:color w:val="000000"/>
          <w:highlight w:val="none"/>
        </w:rPr>
        <w:t xml:space="preserve">”</w:t>
      </w:r>
      <w:r>
        <w:rPr>
          <w:rFonts w:hint="eastAsia" w:ascii="仿宋" w:hAnsi="仿宋" w:eastAsia="仿宋"/>
          <w:color w:val="000000"/>
          <w:sz w:val="24"/>
          <w:highlight w:val="none"/>
        </w:rPr>
        <w:t xml:space="preserve">中“投标总报价”数额应当与“开标一览表”中“投标总报价”数额一致。</w:t>
      </w:r>
      <w:r>
        <w:rPr>
          <w:rFonts w:ascii="仿宋" w:hAnsi="仿宋" w:eastAsia="仿宋"/>
          <w:color w:val="000000"/>
          <w:sz w:val="24"/>
          <w:highlight w:val="none"/>
        </w:rPr>
      </w:r>
      <w:r/>
    </w:p>
    <w:p>
      <w:pPr>
        <w:pStyle w:val="768"/>
        <w:ind w:firstLine="480"/>
        <w:spacing w:line="276" w:lineRule="auto"/>
        <w:rPr>
          <w:rFonts w:hint="eastAsia"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color w:val="000000"/>
          <w:sz w:val="24"/>
          <w:highlight w:val="none"/>
          <w:lang w:val="en-US" w:eastAsia="zh-CN"/>
        </w:rPr>
      </w:r>
      <w:r/>
    </w:p>
    <w:p>
      <w:pPr>
        <w:pStyle w:val="768"/>
        <w:ind w:firstLine="480"/>
        <w:spacing w:line="276" w:lineRule="auto"/>
        <w:rPr>
          <w:rFonts w:hint="eastAsia" w:ascii="仿宋" w:hAnsi="仿宋" w:eastAsia="仿宋"/>
          <w:b/>
          <w:bCs/>
          <w:color w:val="000000"/>
          <w:sz w:val="24"/>
          <w:highlight w:val="none"/>
          <w:lang w:val="en-US" w:eastAsia="zh-CN"/>
        </w:rPr>
      </w:pPr>
      <w:r>
        <w:rPr>
          <w:rFonts w:hint="eastAsia" w:ascii="仿宋" w:hAnsi="仿宋" w:eastAsia="仿宋"/>
          <w:color w:val="000000"/>
          <w:sz w:val="24"/>
          <w:highlight w:val="none"/>
          <w:lang w:val="en-US" w:eastAsia="zh-CN"/>
        </w:rPr>
        <w:t xml:space="preserve">4.</w:t>
      </w:r>
      <w:r>
        <w:rPr>
          <w:rFonts w:hint="eastAsia" w:ascii="仿宋" w:hAnsi="仿宋" w:eastAsia="仿宋"/>
          <w:b/>
          <w:bCs/>
          <w:color w:val="000000"/>
          <w:sz w:val="24"/>
          <w:highlight w:val="none"/>
          <w:lang w:val="en-US" w:eastAsia="zh-CN"/>
        </w:rPr>
        <w:t xml:space="preserve">投标人需认真填写本表，尤其注意设备品牌规格型号的准确填写。投标人须提供所投标的产品品牌、型号，须按照招标文件中投标文件格式要求填写完整。除辅材（含以施工为主的条目）和技术参数标明为定制的货物之外（具体为“清单及技术参数要求 二、AI智慧体育设备采购：序号44、序号45”）其它应该标明品牌和型号的产品，投标人在投标文件中必须标明品牌、型号，否则作无效投标处理。</w:t>
      </w:r>
      <w:r>
        <w:rPr>
          <w:rFonts w:hint="eastAsia" w:ascii="仿宋" w:hAnsi="仿宋" w:eastAsia="仿宋"/>
          <w:b/>
          <w:bCs/>
          <w:color w:val="000000"/>
          <w:sz w:val="24"/>
          <w:highlight w:val="none"/>
          <w:lang w:val="en-US" w:eastAsia="zh-CN"/>
        </w:rPr>
      </w:r>
      <w:r/>
    </w:p>
    <w:p>
      <w:pPr>
        <w:pStyle w:val="768"/>
        <w:spacing w:line="400" w:lineRule="exact"/>
        <w:rPr>
          <w:rFonts w:ascii="仿宋" w:hAnsi="仿宋" w:eastAsia="仿宋" w:cs="仿宋"/>
          <w:color w:val="000000"/>
          <w:highlight w:val="none"/>
        </w:rPr>
        <w:sectPr>
          <w:footnotePr/>
          <w:endnotePr/>
          <w:type w:val="continuous"/>
          <w:pgSz w:w="11906" w:h="16838" w:orient="portrait"/>
          <w:pgMar w:top="1440" w:right="1800" w:bottom="1440" w:left="1800" w:header="851" w:footer="992" w:gutter="0"/>
          <w:cols w:num="1" w:sep="0" w:space="1701" w:equalWidth="1"/>
          <w:docGrid w:linePitch="360"/>
        </w:sectPr>
      </w:pPr>
      <w:r>
        <w:rPr>
          <w:rFonts w:ascii="仿宋" w:hAnsi="仿宋" w:eastAsia="仿宋" w:cs="仿宋"/>
          <w:color w:val="000000"/>
          <w:highlight w:val="none"/>
        </w:rPr>
        <w:br w:type="page" w:clear="all"/>
      </w:r>
      <w:r/>
    </w:p>
    <w:p>
      <w:pPr>
        <w:pStyle w:val="864"/>
        <w:rPr>
          <w:rFonts w:ascii="仿宋" w:hAnsi="仿宋" w:eastAsia="仿宋" w:cs="仿宋"/>
          <w:color w:val="000000"/>
          <w:szCs w:val="32"/>
          <w:highlight w:val="none"/>
        </w:rPr>
        <w:outlineLvl w:val="1"/>
      </w:pPr>
      <w:r>
        <w:rPr>
          <w:rFonts w:hint="eastAsia" w:ascii="仿宋" w:hAnsi="仿宋" w:eastAsia="仿宋" w:cs="仿宋"/>
          <w:color w:val="000000"/>
          <w:highlight w:val="none"/>
          <w:lang w:val="en-US" w:eastAsia="zh-CN"/>
        </w:rPr>
        <w:t xml:space="preserve">六</w:t>
      </w:r>
      <w:r>
        <w:rPr>
          <w:rFonts w:hint="eastAsia" w:ascii="仿宋" w:hAnsi="仿宋" w:eastAsia="仿宋" w:cs="仿宋"/>
          <w:color w:val="000000"/>
          <w:highlight w:val="none"/>
        </w:rPr>
        <w:t xml:space="preserve">、中小微企业声明函</w:t>
      </w:r>
      <w:r>
        <w:rPr>
          <w:rFonts w:ascii="仿宋" w:hAnsi="仿宋" w:eastAsia="仿宋" w:cs="仿宋"/>
          <w:color w:val="000000"/>
          <w:szCs w:val="32"/>
          <w:highlight w:val="none"/>
        </w:rPr>
      </w:r>
      <w:r/>
    </w:p>
    <w:p>
      <w:pPr>
        <w:pStyle w:val="768"/>
        <w:ind w:firstLine="360"/>
        <w:jc w:val="center"/>
        <w:spacing w:line="560" w:lineRule="exact"/>
        <w:rPr>
          <w:rFonts w:ascii="仿宋" w:hAnsi="仿宋" w:eastAsia="仿宋" w:cs="仿宋"/>
          <w:color w:val="000000"/>
          <w:sz w:val="24"/>
          <w:highlight w:val="none"/>
        </w:rPr>
      </w:pPr>
      <w:r>
        <w:rPr>
          <w:rFonts w:hint="eastAsia" w:ascii="仿宋" w:hAnsi="仿宋" w:eastAsia="仿宋" w:cs="仿宋"/>
          <w:b/>
          <w:color w:val="000000"/>
          <w:sz w:val="32"/>
          <w:szCs w:val="24"/>
          <w:highlight w:val="none"/>
        </w:rPr>
        <w:t xml:space="preserve">中小微企业声明函（货物）</w:t>
      </w:r>
      <w:r>
        <w:rPr>
          <w:rFonts w:ascii="仿宋" w:hAnsi="仿宋" w:eastAsia="仿宋" w:cs="仿宋"/>
          <w:color w:val="000000"/>
          <w:sz w:val="24"/>
          <w:highlight w:val="none"/>
        </w:rPr>
      </w:r>
      <w:r/>
    </w:p>
    <w:p>
      <w:pPr>
        <w:pStyle w:val="768"/>
        <w:ind w:firstLine="360"/>
        <w:spacing w:line="4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（单位名称）</w:t>
      </w:r>
      <w:r>
        <w:rPr>
          <w:rFonts w:hint="eastAsia" w:ascii="仿宋" w:hAnsi="仿宋" w:eastAsia="仿宋" w:cs="仿宋"/>
          <w:color w:val="000000"/>
          <w:sz w:val="24"/>
          <w:szCs w:val="24"/>
          <w:highlight w:val="none"/>
        </w:rPr>
        <w:t xml:space="preserve">采购编号为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（采购包号：</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采购包意向协议的中小微企业）的具体情况如下：</w:t>
      </w:r>
      <w:r>
        <w:rPr>
          <w:rFonts w:ascii="仿宋" w:hAnsi="仿宋" w:eastAsia="仿宋" w:cs="仿宋"/>
          <w:color w:val="000000"/>
          <w:sz w:val="24"/>
          <w:szCs w:val="24"/>
          <w:highlight w:val="none"/>
        </w:rPr>
      </w:r>
      <w:r/>
    </w:p>
    <w:p>
      <w:pPr>
        <w:pStyle w:val="768"/>
        <w:spacing w:line="400" w:lineRule="exact"/>
        <w:rPr>
          <w:rFonts w:hint="eastAsia" w:ascii="仿宋" w:hAnsi="仿宋" w:eastAsia="仿宋" w:cs="仿宋"/>
          <w:color w:val="000000"/>
          <w:sz w:val="24"/>
          <w:szCs w:val="24"/>
          <w:highlight w:val="none"/>
          <w:u w:val="none"/>
          <w:lang w:val="en-US" w:eastAsia="zh-CN"/>
        </w:rPr>
      </w:pPr>
      <w:r>
        <w:rPr>
          <w:rFonts w:hint="eastAsia" w:ascii="仿宋" w:hAnsi="仿宋" w:eastAsia="仿宋" w:cs="仿宋"/>
          <w:color w:val="000000"/>
          <w:sz w:val="24"/>
          <w:szCs w:val="24"/>
          <w:highlight w:val="none"/>
          <w:u w:val="none"/>
          <w:lang w:val="en-US" w:eastAsia="zh-CN"/>
        </w:rPr>
        <w:t xml:space="preserve">  1.</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none"/>
          <w:lang w:val="en-US" w:eastAsia="zh-CN"/>
        </w:rPr>
        <w:t xml:space="preserve">,</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工业 </w:t>
      </w:r>
      <w:r>
        <w:rPr>
          <w:rFonts w:hint="eastAsia" w:ascii="仿宋" w:hAnsi="仿宋" w:eastAsia="仿宋" w:cs="仿宋"/>
          <w:color w:val="000000"/>
          <w:sz w:val="24"/>
          <w:szCs w:val="24"/>
          <w:highlight w:val="none"/>
        </w:rPr>
        <w:t xml:space="preserve">行业；制造商为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（□中型企业 □小型企业 □微型企业）；</w:t>
      </w:r>
      <w:r>
        <w:rPr>
          <w:rFonts w:hint="eastAsia" w:ascii="仿宋" w:hAnsi="仿宋" w:eastAsia="仿宋" w:cs="仿宋"/>
          <w:color w:val="000000"/>
          <w:sz w:val="24"/>
          <w:szCs w:val="24"/>
          <w:highlight w:val="none"/>
          <w:u w:val="none"/>
          <w:lang w:val="en-US" w:eastAsia="zh-CN"/>
        </w:rPr>
      </w:r>
      <w:r/>
    </w:p>
    <w:p>
      <w:pPr>
        <w:pStyle w:val="768"/>
        <w:spacing w:line="400" w:lineRule="exact"/>
        <w:rPr>
          <w:rFonts w:hint="eastAsia" w:ascii="仿宋" w:hAnsi="仿宋" w:eastAsia="仿宋" w:cs="仿宋"/>
          <w:color w:val="000000"/>
          <w:sz w:val="24"/>
          <w:szCs w:val="24"/>
          <w:highlight w:val="none"/>
          <w:u w:val="none"/>
          <w:lang w:val="en-US" w:eastAsia="zh-CN"/>
        </w:rPr>
      </w:pPr>
      <w:r>
        <w:rPr>
          <w:rFonts w:hint="eastAsia" w:ascii="仿宋" w:hAnsi="仿宋" w:eastAsia="仿宋" w:cs="仿宋"/>
          <w:color w:val="000000"/>
          <w:sz w:val="24"/>
          <w:szCs w:val="24"/>
          <w:highlight w:val="none"/>
          <w:u w:val="none"/>
          <w:lang w:val="en-US" w:eastAsia="zh-CN"/>
        </w:rPr>
        <w:t xml:space="preserve">2.</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none"/>
          <w:lang w:val="en-US" w:eastAsia="zh-CN"/>
        </w:rPr>
        <w:t xml:space="preserve">,</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工业 </w:t>
      </w:r>
      <w:r>
        <w:rPr>
          <w:rFonts w:hint="eastAsia" w:ascii="仿宋" w:hAnsi="仿宋" w:eastAsia="仿宋" w:cs="仿宋"/>
          <w:color w:val="000000"/>
          <w:sz w:val="24"/>
          <w:szCs w:val="24"/>
          <w:highlight w:val="none"/>
        </w:rPr>
        <w:t xml:space="preserve">行业；制造商为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（□中型企业 □小型企业 □微型企业）；</w:t>
      </w:r>
      <w:r>
        <w:rPr>
          <w:rFonts w:hint="eastAsia" w:ascii="仿宋" w:hAnsi="仿宋" w:eastAsia="仿宋" w:cs="仿宋"/>
          <w:color w:val="000000"/>
          <w:sz w:val="24"/>
          <w:szCs w:val="24"/>
          <w:highlight w:val="none"/>
          <w:u w:val="none"/>
          <w:lang w:val="en-US" w:eastAsia="zh-CN"/>
        </w:rPr>
      </w:r>
      <w:r/>
    </w:p>
    <w:p>
      <w:pPr>
        <w:pStyle w:val="768"/>
        <w:ind w:firstLine="240"/>
        <w:spacing w:line="400" w:lineRule="exact"/>
        <w:rPr>
          <w:rFonts w:hint="eastAsia" w:ascii="仿宋" w:hAnsi="仿宋" w:eastAsia="仿宋" w:cs="仿宋"/>
          <w:color w:val="000000"/>
          <w:sz w:val="24"/>
          <w:szCs w:val="24"/>
          <w:highlight w:val="none"/>
          <w:u w:val="none"/>
          <w:lang w:val="en-US" w:eastAsia="zh-CN"/>
        </w:rPr>
      </w:pPr>
      <w:r>
        <w:rPr>
          <w:rFonts w:hint="eastAsia" w:ascii="仿宋" w:hAnsi="仿宋" w:eastAsia="仿宋" w:cs="仿宋"/>
          <w:color w:val="000000"/>
          <w:sz w:val="24"/>
          <w:szCs w:val="24"/>
          <w:highlight w:val="none"/>
          <w:u w:val="none"/>
          <w:lang w:val="en-US" w:eastAsia="zh-CN"/>
        </w:rPr>
        <w:t xml:space="preserve">3.</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none"/>
          <w:lang w:val="en-US" w:eastAsia="zh-CN"/>
        </w:rPr>
        <w:t xml:space="preserve">,</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工业 </w:t>
      </w:r>
      <w:r>
        <w:rPr>
          <w:rFonts w:hint="eastAsia" w:ascii="仿宋" w:hAnsi="仿宋" w:eastAsia="仿宋" w:cs="仿宋"/>
          <w:color w:val="000000"/>
          <w:sz w:val="24"/>
          <w:szCs w:val="24"/>
          <w:highlight w:val="none"/>
        </w:rPr>
        <w:t xml:space="preserve">行业；制造商为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（□中型企业 □小型企业 □微型企业）；</w:t>
      </w:r>
      <w:r>
        <w:rPr>
          <w:rFonts w:hint="eastAsia" w:ascii="仿宋" w:hAnsi="仿宋" w:eastAsia="仿宋" w:cs="仿宋"/>
          <w:color w:val="000000"/>
          <w:sz w:val="24"/>
          <w:szCs w:val="24"/>
          <w:highlight w:val="none"/>
          <w:u w:val="none"/>
          <w:lang w:val="en-US" w:eastAsia="zh-CN"/>
        </w:rPr>
      </w:r>
      <w:r/>
    </w:p>
    <w:p>
      <w:pPr>
        <w:pStyle w:val="768"/>
        <w:ind w:firstLine="360"/>
        <w:spacing w:line="4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768"/>
        <w:ind w:firstLine="360"/>
        <w:spacing w:line="4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rPr>
          <w:rFonts w:ascii="仿宋" w:hAnsi="仿宋" w:eastAsia="仿宋" w:cs="仿宋"/>
          <w:color w:val="000000"/>
          <w:sz w:val="24"/>
          <w:szCs w:val="24"/>
          <w:highlight w:val="none"/>
        </w:rPr>
      </w:r>
      <w:r/>
    </w:p>
    <w:p>
      <w:pPr>
        <w:pStyle w:val="768"/>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本企业对上述声明内容的真实性负责。如有虚假，将依法承担相应责任</w:t>
      </w:r>
      <w:r>
        <w:rPr>
          <w:rFonts w:hint="eastAsia" w:ascii="仿宋" w:hAnsi="仿宋" w:eastAsia="仿宋" w:cs="仿宋"/>
          <w:color w:val="000000"/>
          <w:sz w:val="24"/>
          <w:highlight w:val="none"/>
        </w:rPr>
        <w:t xml:space="preserve">。</w:t>
      </w:r>
      <w:r>
        <w:rPr>
          <w:rFonts w:ascii="仿宋" w:hAnsi="仿宋" w:eastAsia="仿宋" w:cs="仿宋"/>
          <w:color w:val="000000"/>
          <w:sz w:val="24"/>
          <w:highlight w:val="none"/>
        </w:rPr>
      </w:r>
      <w:r/>
    </w:p>
    <w:p>
      <w:pPr>
        <w:pStyle w:val="768"/>
        <w:ind w:right="180" w:firstLine="360"/>
        <w:jc w:val="right"/>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768"/>
        <w:ind w:right="180" w:firstLine="360"/>
        <w:jc w:val="righ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企业名称：（加盖CA电子公章）</w:t>
      </w:r>
      <w:r>
        <w:rPr>
          <w:rFonts w:ascii="仿宋" w:hAnsi="仿宋" w:eastAsia="仿宋" w:cs="仿宋"/>
          <w:color w:val="000000"/>
          <w:sz w:val="24"/>
          <w:highlight w:val="none"/>
        </w:rPr>
      </w:r>
      <w:r/>
    </w:p>
    <w:p>
      <w:pPr>
        <w:pStyle w:val="768"/>
        <w:jc w:val="righ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日  期：   年  月  日</w:t>
      </w:r>
      <w:r>
        <w:rPr>
          <w:rFonts w:ascii="仿宋" w:hAnsi="仿宋" w:eastAsia="仿宋" w:cs="仿宋"/>
          <w:color w:val="000000"/>
          <w:sz w:val="24"/>
          <w:highlight w:val="none"/>
        </w:rPr>
      </w:r>
      <w:r/>
    </w:p>
    <w:p>
      <w:pPr>
        <w:pStyle w:val="768"/>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768"/>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rPr>
          <w:rFonts w:ascii="仿宋" w:hAnsi="仿宋" w:eastAsia="仿宋" w:cs="仿宋"/>
          <w:color w:val="000000"/>
          <w:sz w:val="24"/>
          <w:highlight w:val="none"/>
        </w:rPr>
      </w:r>
      <w:r/>
    </w:p>
    <w:p>
      <w:pPr>
        <w:pStyle w:val="768"/>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1.专门面向中小微型企业采购的项目，供应商如不提供此声明函，则不能通过资格审查；非专门面向中小微型企业采购的项目，供应商如不提供此声明函，价格将不做相应扣除。</w:t>
      </w:r>
      <w:r>
        <w:rPr>
          <w:rFonts w:ascii="仿宋" w:hAnsi="仿宋" w:eastAsia="仿宋" w:cs="仿宋"/>
          <w:color w:val="000000"/>
          <w:sz w:val="24"/>
          <w:highlight w:val="none"/>
        </w:rPr>
      </w:r>
      <w:r/>
    </w:p>
    <w:p>
      <w:pPr>
        <w:pStyle w:val="768"/>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2.供应商自行勾选制造商的企业规模类型。 </w:t>
      </w:r>
      <w:r>
        <w:rPr>
          <w:rFonts w:ascii="仿宋" w:hAnsi="仿宋" w:eastAsia="仿宋" w:cs="仿宋"/>
          <w:color w:val="000000"/>
          <w:sz w:val="24"/>
          <w:highlight w:val="none"/>
        </w:rPr>
      </w:r>
      <w:r/>
    </w:p>
    <w:p>
      <w:pPr>
        <w:pStyle w:val="768"/>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3.此声明函将随中标结果同时公告，</w:t>
      </w:r>
      <w:r>
        <w:rPr>
          <w:rFonts w:hint="eastAsia" w:ascii="仿宋" w:hAnsi="仿宋" w:eastAsia="仿宋" w:cs="仿宋"/>
          <w:color w:val="000000"/>
          <w:sz w:val="24"/>
          <w:highlight w:val="none"/>
          <w:lang w:eastAsia="zh-CN"/>
        </w:rPr>
        <w:t xml:space="preserve">接受</w:t>
      </w:r>
      <w:r>
        <w:rPr>
          <w:rFonts w:hint="eastAsia" w:ascii="仿宋" w:hAnsi="仿宋" w:eastAsia="仿宋" w:cs="仿宋"/>
          <w:color w:val="000000"/>
          <w:sz w:val="24"/>
          <w:highlight w:val="none"/>
        </w:rPr>
        <w:t xml:space="preserve">社会监督。</w:t>
      </w:r>
      <w:r>
        <w:rPr>
          <w:rFonts w:ascii="仿宋" w:hAnsi="仿宋" w:eastAsia="仿宋" w:cs="仿宋"/>
          <w:color w:val="000000"/>
          <w:sz w:val="24"/>
          <w:highlight w:val="none"/>
        </w:rPr>
      </w:r>
      <w:r/>
    </w:p>
    <w:p>
      <w:pPr>
        <w:pStyle w:val="768"/>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4.此声明函中的“标的名称”详见-招标文件-第四章 采购需求-采购清单-“名称”，请勿填写“项目名称”。</w:t>
      </w:r>
      <w:r>
        <w:rPr>
          <w:rFonts w:ascii="仿宋" w:hAnsi="仿宋" w:eastAsia="仿宋" w:cs="仿宋"/>
          <w:color w:val="000000"/>
          <w:sz w:val="24"/>
          <w:highlight w:val="none"/>
        </w:rPr>
      </w:r>
      <w:r/>
    </w:p>
    <w:p>
      <w:pPr>
        <w:pStyle w:val="768"/>
        <w:jc w:val="center"/>
        <w:spacing w:line="360" w:lineRule="auto"/>
        <w:rPr>
          <w:rFonts w:ascii="仿宋" w:hAnsi="仿宋" w:eastAsia="仿宋" w:cs="仿宋"/>
          <w:color w:val="000000"/>
          <w:sz w:val="32"/>
          <w:szCs w:val="32"/>
          <w:highlight w:val="none"/>
        </w:rPr>
        <w:outlineLvl w:val="1"/>
      </w:pPr>
      <w:r>
        <w:rPr>
          <w:rFonts w:ascii="仿宋" w:hAnsi="仿宋" w:eastAsia="仿宋" w:cs="仿宋"/>
          <w:color w:val="000000"/>
          <w:sz w:val="32"/>
          <w:szCs w:val="32"/>
          <w:highlight w:val="none"/>
        </w:rPr>
      </w:r>
      <w:r/>
    </w:p>
    <w:p>
      <w:pPr>
        <w:pStyle w:val="768"/>
        <w:jc w:val="center"/>
        <w:spacing w:line="360" w:lineRule="auto"/>
        <w:rPr>
          <w:rFonts w:ascii="仿宋" w:hAnsi="仿宋" w:eastAsia="仿宋" w:cs="仿宋"/>
          <w:color w:val="000000"/>
          <w:sz w:val="32"/>
          <w:szCs w:val="32"/>
          <w:highlight w:val="none"/>
        </w:rPr>
        <w:outlineLvl w:val="1"/>
      </w:pPr>
      <w:r>
        <w:rPr>
          <w:rFonts w:ascii="仿宋" w:hAnsi="仿宋" w:eastAsia="仿宋" w:cs="仿宋"/>
          <w:color w:val="000000"/>
          <w:sz w:val="32"/>
          <w:szCs w:val="32"/>
          <w:highlight w:val="none"/>
        </w:rPr>
      </w:r>
      <w:r/>
    </w:p>
    <w:p>
      <w:pPr>
        <w:pStyle w:val="768"/>
        <w:jc w:val="center"/>
        <w:spacing w:line="360" w:lineRule="auto"/>
        <w:rPr>
          <w:rFonts w:ascii="仿宋" w:hAnsi="仿宋" w:eastAsia="仿宋" w:cs="仿宋"/>
          <w:color w:val="000000"/>
          <w:sz w:val="32"/>
          <w:szCs w:val="32"/>
          <w:highlight w:val="none"/>
        </w:rPr>
        <w:outlineLvl w:val="1"/>
      </w:pPr>
      <w:r>
        <w:rPr>
          <w:rFonts w:ascii="仿宋" w:hAnsi="仿宋" w:eastAsia="仿宋" w:cs="仿宋"/>
          <w:color w:val="000000"/>
          <w:sz w:val="32"/>
          <w:szCs w:val="32"/>
          <w:highlight w:val="none"/>
        </w:rPr>
      </w:r>
      <w:r/>
    </w:p>
    <w:p>
      <w:pPr>
        <w:pStyle w:val="768"/>
        <w:ind w:firstLine="241"/>
        <w:jc w:val="center"/>
        <w:spacing w:line="559"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24"/>
          <w:highlight w:val="none"/>
        </w:rPr>
        <w:t xml:space="preserve"> </w:t>
      </w:r>
      <w:r>
        <w:rPr>
          <w:rFonts w:hint="eastAsia" w:ascii="仿宋" w:hAnsi="仿宋" w:eastAsia="仿宋" w:cs="仿宋"/>
          <w:b/>
          <w:color w:val="000000"/>
          <w:sz w:val="32"/>
          <w:szCs w:val="24"/>
          <w:highlight w:val="none"/>
        </w:rPr>
        <w:t xml:space="preserve">中小微企业声明函（服务/工程类项目）</w:t>
      </w:r>
      <w:r>
        <w:rPr>
          <w:rFonts w:ascii="宋体" w:hAnsi="宋体" w:cs="宋体"/>
          <w:b/>
          <w:color w:val="000000"/>
          <w:sz w:val="24"/>
          <w:highlight w:val="none"/>
        </w:rPr>
      </w:r>
      <w:r/>
    </w:p>
    <w:p>
      <w:pPr>
        <w:pStyle w:val="1078"/>
        <w:rPr>
          <w:rFonts w:ascii="宋体" w:hAnsi="宋体" w:cs="宋体"/>
          <w:b/>
          <w:color w:val="000000"/>
          <w:sz w:val="32"/>
          <w:szCs w:val="32"/>
          <w:highlight w:val="none"/>
        </w:rPr>
      </w:pPr>
      <w:r>
        <w:rPr>
          <w:rFonts w:ascii="宋体" w:hAnsi="宋体" w:cs="宋体"/>
          <w:b/>
          <w:color w:val="000000"/>
          <w:sz w:val="32"/>
          <w:szCs w:val="32"/>
          <w:highlight w:val="none"/>
        </w:rPr>
      </w:r>
      <w:r/>
    </w:p>
    <w:p>
      <w:pPr>
        <w:pStyle w:val="107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本公司（联合体）郑重声明，根据《政府采购促进中小企业发展管理办法》（财库〔2020〕46号）的规定，本公司（联合体）参加项目编号为</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szCs w:val="21"/>
          <w:highlight w:val="none"/>
        </w:rPr>
        <w:t xml:space="preserve">的</w:t>
      </w:r>
      <w:r>
        <w:rPr>
          <w:rFonts w:hint="eastAsia" w:ascii="仿宋" w:hAnsi="仿宋" w:eastAsia="仿宋" w:cs="仿宋"/>
          <w:color w:val="000000"/>
          <w:sz w:val="24"/>
          <w:szCs w:val="21"/>
          <w:highlight w:val="none"/>
          <w:u w:val="single"/>
        </w:rPr>
        <w:t xml:space="preserve"> </w:t>
      </w:r>
      <w:r>
        <w:rPr>
          <w:rFonts w:hint="eastAsia" w:ascii="仿宋" w:hAnsi="仿宋" w:eastAsia="仿宋" w:cs="仿宋"/>
          <w:bCs/>
          <w:iCs/>
          <w:color w:val="000000"/>
          <w:sz w:val="24"/>
          <w:szCs w:val="24"/>
          <w:highlight w:val="none"/>
          <w:u w:val="single"/>
        </w:rPr>
        <w:t xml:space="preserve">（</w:t>
      </w:r>
      <w:r>
        <w:rPr>
          <w:rFonts w:hint="eastAsia" w:ascii="仿宋" w:hAnsi="仿宋" w:eastAsia="仿宋" w:cs="仿宋"/>
          <w:color w:val="000000"/>
          <w:sz w:val="24"/>
          <w:szCs w:val="24"/>
          <w:highlight w:val="none"/>
          <w:u w:val="single"/>
        </w:rPr>
        <w:t xml:space="preserve">采购包号：</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bCs/>
          <w:iCs/>
          <w:color w:val="000000"/>
          <w:sz w:val="24"/>
          <w:szCs w:val="24"/>
          <w:highlight w:val="none"/>
          <w:u w:val="single"/>
        </w:rPr>
        <w:t xml:space="preserve">）</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szCs w:val="24"/>
          <w:highlight w:val="none"/>
        </w:rPr>
        <w:t xml:space="preserve">采购活动，服务全部由符合政策的中小微企业承接。相关企业（含联合体中的中小微企业、签订采购包意向协议的中小微企业）的具体情况如下：</w:t>
      </w:r>
      <w:r>
        <w:rPr>
          <w:rFonts w:ascii="仿宋" w:hAnsi="仿宋" w:eastAsia="仿宋" w:cs="仿宋"/>
          <w:color w:val="000000"/>
          <w:sz w:val="24"/>
          <w:szCs w:val="24"/>
          <w:highlight w:val="none"/>
        </w:rPr>
      </w:r>
      <w:r/>
    </w:p>
    <w:p>
      <w:pPr>
        <w:pStyle w:val="1078"/>
        <w:ind w:left="479" w:firstLine="64"/>
        <w:jc w:val="left"/>
        <w:spacing w:line="500" w:lineRule="exact"/>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建筑业 </w:t>
      </w:r>
      <w:r>
        <w:rPr>
          <w:rFonts w:hint="eastAsia" w:ascii="仿宋" w:hAnsi="仿宋" w:eastAsia="仿宋" w:cs="仿宋"/>
          <w:color w:val="000000"/>
          <w:sz w:val="24"/>
          <w:szCs w:val="24"/>
          <w:highlight w:val="none"/>
        </w:rPr>
        <w:t xml:space="preserve">行业；承接企业为</w:t>
      </w:r>
      <w:r>
        <w:rPr>
          <w:rFonts w:hint="eastAsia" w:ascii="仿宋" w:hAnsi="仿宋" w:eastAsia="仿宋" w:cs="仿宋"/>
          <w:color w:val="000000"/>
          <w:sz w:val="24"/>
          <w:szCs w:val="24"/>
          <w:highlight w:val="none"/>
          <w:u w:val="single"/>
        </w:rPr>
        <w:t xml:space="preserve">     （企业名称）</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□中型企业 □小型企业 □微型企业；</w:t>
      </w:r>
      <w:r>
        <w:rPr>
          <w:rFonts w:ascii="仿宋" w:hAnsi="仿宋" w:eastAsia="仿宋" w:cs="仿宋"/>
          <w:color w:val="000000"/>
          <w:sz w:val="24"/>
          <w:szCs w:val="24"/>
          <w:highlight w:val="none"/>
          <w:u w:val="single"/>
        </w:rPr>
      </w:r>
      <w:r/>
    </w:p>
    <w:p>
      <w:pPr>
        <w:pStyle w:val="1078"/>
        <w:ind w:left="479" w:firstLine="64"/>
        <w:jc w:val="left"/>
        <w:spacing w:line="500" w:lineRule="exact"/>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建筑业 </w:t>
      </w:r>
      <w:r>
        <w:rPr>
          <w:rFonts w:hint="eastAsia" w:ascii="仿宋" w:hAnsi="仿宋" w:eastAsia="仿宋" w:cs="仿宋"/>
          <w:color w:val="000000"/>
          <w:sz w:val="24"/>
          <w:szCs w:val="24"/>
          <w:highlight w:val="none"/>
        </w:rPr>
        <w:t xml:space="preserve">行业；承接企业为</w:t>
      </w:r>
      <w:r>
        <w:rPr>
          <w:rFonts w:hint="eastAsia" w:ascii="仿宋" w:hAnsi="仿宋" w:eastAsia="仿宋" w:cs="仿宋"/>
          <w:color w:val="000000"/>
          <w:sz w:val="24"/>
          <w:szCs w:val="24"/>
          <w:highlight w:val="none"/>
          <w:u w:val="single"/>
        </w:rPr>
        <w:t xml:space="preserve">     （企业名称）</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 □中型企业 □小型企业 □微型企业；</w:t>
      </w:r>
      <w:r>
        <w:rPr>
          <w:rFonts w:ascii="仿宋" w:hAnsi="仿宋" w:eastAsia="仿宋" w:cs="仿宋"/>
          <w:color w:val="000000"/>
          <w:sz w:val="24"/>
          <w:szCs w:val="24"/>
          <w:highlight w:val="none"/>
          <w:u w:val="single"/>
        </w:rPr>
      </w:r>
      <w:r/>
    </w:p>
    <w:p>
      <w:pPr>
        <w:pStyle w:val="1078"/>
        <w:ind w:left="543"/>
        <w:jc w:val="left"/>
        <w:spacing w:line="500" w:lineRule="exact"/>
        <w:rPr>
          <w:rFonts w:ascii="仿宋" w:hAnsi="仿宋" w:eastAsia="仿宋" w:cs="仿宋"/>
          <w:color w:val="000000"/>
          <w:sz w:val="24"/>
          <w:szCs w:val="24"/>
          <w:highlight w:val="none"/>
          <w:u w:val="single"/>
        </w:rPr>
      </w:pPr>
      <w:r>
        <w:rPr>
          <w:rFonts w:ascii="仿宋" w:hAnsi="仿宋" w:eastAsia="仿宋" w:cs="仿宋"/>
          <w:color w:val="000000"/>
          <w:sz w:val="24"/>
          <w:szCs w:val="24"/>
          <w:highlight w:val="none"/>
          <w:u w:val="single"/>
        </w:rPr>
      </w:r>
      <w:r/>
    </w:p>
    <w:p>
      <w:pPr>
        <w:pStyle w:val="768"/>
        <w:ind w:firstLine="650"/>
        <w:spacing w:line="400" w:lineRule="atLeast"/>
        <w:rPr>
          <w:rFonts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w:t>
      </w:r>
      <w:r>
        <w:rPr>
          <w:rFonts w:ascii="仿宋" w:hAnsi="仿宋" w:eastAsia="仿宋" w:cs="仿宋"/>
          <w:color w:val="000000"/>
          <w:sz w:val="24"/>
          <w:szCs w:val="24"/>
          <w:highlight w:val="none"/>
          <w:u w:val="single"/>
        </w:rPr>
      </w:r>
      <w:r/>
    </w:p>
    <w:p>
      <w:pPr>
        <w:pStyle w:val="107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rPr>
          <w:rFonts w:ascii="仿宋" w:hAnsi="仿宋" w:eastAsia="仿宋" w:cs="仿宋"/>
          <w:color w:val="000000"/>
          <w:sz w:val="24"/>
          <w:szCs w:val="24"/>
          <w:highlight w:val="none"/>
        </w:rPr>
      </w:r>
      <w:r/>
    </w:p>
    <w:p>
      <w:pPr>
        <w:pStyle w:val="1078"/>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本企业对上述声明内容的真实性负责。如有虚假，将依法承担相应责任。</w:t>
      </w:r>
      <w:r>
        <w:rPr>
          <w:rFonts w:ascii="仿宋" w:hAnsi="仿宋" w:eastAsia="仿宋" w:cs="仿宋"/>
          <w:color w:val="000000"/>
          <w:sz w:val="24"/>
          <w:szCs w:val="24"/>
          <w:highlight w:val="none"/>
        </w:rPr>
      </w:r>
      <w:r/>
    </w:p>
    <w:p>
      <w:pPr>
        <w:pStyle w:val="768"/>
        <w:ind w:right="720"/>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768"/>
        <w:ind w:right="1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企业名称：（加盖CA电子公章）</w:t>
      </w:r>
      <w:r>
        <w:rPr>
          <w:rFonts w:ascii="仿宋" w:hAnsi="仿宋" w:eastAsia="仿宋" w:cs="仿宋"/>
          <w:color w:val="000000"/>
          <w:sz w:val="24"/>
          <w:szCs w:val="24"/>
          <w:highlight w:val="none"/>
        </w:rPr>
      </w:r>
      <w:r/>
    </w:p>
    <w:p>
      <w:pPr>
        <w:pStyle w:val="768"/>
        <w:spacing w:line="360" w:lineRule="auto"/>
        <w:rPr>
          <w:rFonts w:ascii="仿宋" w:hAnsi="仿宋" w:eastAsia="仿宋" w:cs="仿宋"/>
          <w:color w:val="000000"/>
          <w:highlight w:val="none"/>
        </w:rPr>
      </w:pPr>
      <w:r>
        <w:rPr>
          <w:rFonts w:hint="eastAsia" w:ascii="仿宋" w:hAnsi="仿宋" w:eastAsia="仿宋" w:cs="仿宋"/>
          <w:color w:val="000000"/>
          <w:sz w:val="24"/>
          <w:szCs w:val="24"/>
          <w:highlight w:val="none"/>
        </w:rPr>
        <w:t xml:space="preserve">日  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___</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___</w:t>
      </w:r>
      <w:r>
        <w:rPr>
          <w:rFonts w:hint="eastAsia" w:ascii="仿宋" w:hAnsi="仿宋" w:eastAsia="仿宋" w:cs="仿宋"/>
          <w:color w:val="000000"/>
          <w:sz w:val="24"/>
          <w:szCs w:val="24"/>
          <w:highlight w:val="none"/>
        </w:rPr>
        <w:t xml:space="preserve">日</w:t>
      </w:r>
      <w:r>
        <w:rPr>
          <w:rFonts w:ascii="仿宋" w:hAnsi="仿宋" w:eastAsia="仿宋" w:cs="仿宋"/>
          <w:color w:val="000000"/>
          <w:highlight w:val="none"/>
        </w:rPr>
      </w:r>
      <w:r/>
    </w:p>
    <w:p>
      <w:pPr>
        <w:pStyle w:val="768"/>
        <w:ind w:firstLine="360"/>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768"/>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rPr>
          <w:rFonts w:ascii="仿宋" w:hAnsi="仿宋" w:eastAsia="仿宋" w:cs="仿宋"/>
          <w:color w:val="000000"/>
          <w:sz w:val="24"/>
          <w:highlight w:val="none"/>
        </w:rPr>
      </w:r>
      <w:r/>
    </w:p>
    <w:p>
      <w:pPr>
        <w:pStyle w:val="768"/>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1.专门面向中小微型企业采购的项目，供应商如不提供此声明函，则不能通过资格审查；非专门面向中小微型企业采购的项目，供应商如不提供此声明函，价格将不做相应扣除。</w:t>
      </w:r>
      <w:r>
        <w:rPr>
          <w:rFonts w:ascii="仿宋" w:hAnsi="仿宋" w:eastAsia="仿宋" w:cs="仿宋"/>
          <w:color w:val="000000"/>
          <w:sz w:val="24"/>
          <w:highlight w:val="none"/>
        </w:rPr>
      </w:r>
      <w:r/>
    </w:p>
    <w:p>
      <w:pPr>
        <w:pStyle w:val="768"/>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2.供应商自行勾选制造商的企业规模类型。 </w:t>
      </w:r>
      <w:r>
        <w:rPr>
          <w:rFonts w:ascii="仿宋" w:hAnsi="仿宋" w:eastAsia="仿宋" w:cs="仿宋"/>
          <w:color w:val="000000"/>
          <w:sz w:val="24"/>
          <w:highlight w:val="none"/>
        </w:rPr>
      </w:r>
      <w:r/>
    </w:p>
    <w:p>
      <w:pPr>
        <w:pStyle w:val="768"/>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3.此声明函将随中标结果同时公告，</w:t>
      </w:r>
      <w:r>
        <w:rPr>
          <w:rFonts w:hint="eastAsia" w:ascii="仿宋" w:hAnsi="仿宋" w:eastAsia="仿宋" w:cs="仿宋"/>
          <w:color w:val="000000"/>
          <w:sz w:val="24"/>
          <w:highlight w:val="none"/>
          <w:lang w:eastAsia="zh-CN"/>
        </w:rPr>
        <w:t xml:space="preserve">接受</w:t>
      </w:r>
      <w:r>
        <w:rPr>
          <w:rFonts w:hint="eastAsia" w:ascii="仿宋" w:hAnsi="仿宋" w:eastAsia="仿宋" w:cs="仿宋"/>
          <w:color w:val="000000"/>
          <w:sz w:val="24"/>
          <w:highlight w:val="none"/>
        </w:rPr>
        <w:t xml:space="preserve">社会监督。</w:t>
      </w:r>
      <w:r>
        <w:rPr>
          <w:rFonts w:ascii="仿宋" w:hAnsi="仿宋" w:eastAsia="仿宋" w:cs="仿宋"/>
          <w:color w:val="000000"/>
          <w:sz w:val="24"/>
          <w:highlight w:val="none"/>
        </w:rPr>
      </w:r>
      <w:r/>
    </w:p>
    <w:p>
      <w:pPr>
        <w:pStyle w:val="768"/>
        <w:ind w:firstLine="36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4.此声明函中的“标的名称”详见-招标文件-第四章 采购需求-采购清单-“名称”，请勿填写“项目名称”。</w:t>
      </w:r>
      <w:r>
        <w:rPr>
          <w:rFonts w:ascii="仿宋" w:hAnsi="仿宋" w:eastAsia="仿宋" w:cs="仿宋"/>
          <w:color w:val="000000"/>
          <w:sz w:val="24"/>
          <w:highlight w:val="none"/>
        </w:rPr>
      </w:r>
      <w:r/>
    </w:p>
    <w:p>
      <w:pPr>
        <w:pStyle w:val="768"/>
        <w:jc w:val="center"/>
        <w:spacing w:line="360" w:lineRule="auto"/>
        <w:rPr>
          <w:rFonts w:ascii="仿宋" w:hAnsi="仿宋" w:eastAsia="仿宋" w:cs="仿宋"/>
          <w:color w:val="000000"/>
          <w:sz w:val="32"/>
          <w:szCs w:val="32"/>
          <w:highlight w:val="none"/>
        </w:rPr>
        <w:outlineLvl w:val="1"/>
      </w:pPr>
      <w:r>
        <w:rPr>
          <w:rFonts w:hint="eastAsia" w:ascii="仿宋" w:hAnsi="仿宋" w:eastAsia="仿宋" w:cs="仿宋"/>
          <w:color w:val="000000"/>
          <w:sz w:val="32"/>
          <w:szCs w:val="32"/>
          <w:highlight w:val="none"/>
        </w:rPr>
        <w:br w:type="page" w:clear="all"/>
      </w:r>
      <w:bookmarkStart w:id="152" w:name="_Toc158281568"/>
      <w:r/>
      <w:bookmarkStart w:id="153" w:name="_Toc158133337"/>
      <w:r/>
      <w:bookmarkStart w:id="154" w:name="_Toc158125008"/>
      <w:r/>
      <w:bookmarkStart w:id="155" w:name="_Toc18617"/>
      <w:r>
        <w:rPr>
          <w:rFonts w:hint="eastAsia" w:ascii="仿宋" w:hAnsi="仿宋" w:eastAsia="仿宋" w:cs="仿宋"/>
          <w:color w:val="000000"/>
          <w:sz w:val="32"/>
          <w:szCs w:val="32"/>
          <w:highlight w:val="none"/>
        </w:rPr>
        <w:t xml:space="preserve">残疾人福利性单位声明函</w:t>
      </w:r>
      <w:bookmarkEnd w:id="152"/>
      <w:r/>
      <w:bookmarkEnd w:id="153"/>
      <w:r/>
      <w:bookmarkEnd w:id="154"/>
      <w:r/>
      <w:bookmarkEnd w:id="155"/>
      <w:r>
        <w:rPr>
          <w:rFonts w:ascii="仿宋" w:hAnsi="仿宋" w:eastAsia="仿宋" w:cs="仿宋"/>
          <w:color w:val="000000"/>
          <w:sz w:val="32"/>
          <w:szCs w:val="32"/>
          <w:highlight w:val="none"/>
        </w:rPr>
      </w:r>
      <w:r/>
    </w:p>
    <w:p>
      <w:pPr>
        <w:pStyle w:val="768"/>
        <w:ind w:firstLine="48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sz w:val="24"/>
          <w:szCs w:val="24"/>
          <w:highlight w:val="none"/>
          <w:u w:val="single"/>
        </w:rPr>
        <w:t xml:space="preserve">（单位名称）</w:t>
      </w:r>
      <w:r>
        <w:rPr>
          <w:rFonts w:hint="eastAsia" w:ascii="仿宋" w:hAnsi="仿宋" w:eastAsia="仿宋" w:cs="仿宋"/>
          <w:color w:val="000000"/>
          <w:sz w:val="24"/>
          <w:highlight w:val="none"/>
          <w:u w:val="single"/>
        </w:rPr>
        <w:t xml:space="preserve">项目编号为：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4"/>
          <w:highlight w:val="none"/>
          <w:u w:val="single"/>
        </w:rPr>
        <w:t xml:space="preserve">（项目名称：    ）</w:t>
      </w:r>
      <w:r>
        <w:rPr>
          <w:rFonts w:hint="eastAsia" w:ascii="仿宋" w:hAnsi="仿宋" w:eastAsia="仿宋" w:cs="仿宋"/>
          <w:color w:val="000000"/>
          <w:sz w:val="24"/>
          <w:highlight w:val="none"/>
          <w:u w:val="single"/>
        </w:rPr>
        <w:t xml:space="preserve">（采购包号：    ）</w:t>
      </w:r>
      <w:r>
        <w:rPr>
          <w:rFonts w:hint="eastAsia" w:ascii="仿宋" w:hAnsi="仿宋" w:eastAsia="仿宋" w:cs="仿宋"/>
          <w:color w:val="000000"/>
          <w:sz w:val="24"/>
          <w:highlight w:val="none"/>
        </w:rPr>
        <w:t xml:space="preserve">采购活动提供本单位制造的货物，或者提供其他残疾人福利性单位制造的货物（不包括使用非残疾人福利性单位注册商标的货物）。</w:t>
      </w:r>
      <w:r>
        <w:rPr>
          <w:rFonts w:ascii="仿宋" w:hAnsi="仿宋" w:eastAsia="仿宋" w:cs="仿宋"/>
          <w:color w:val="000000"/>
          <w:sz w:val="24"/>
          <w:highlight w:val="none"/>
        </w:rPr>
      </w:r>
      <w:r/>
    </w:p>
    <w:p>
      <w:pPr>
        <w:pStyle w:val="768"/>
        <w:ind w:firstLine="48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本单位对上述声明的真实性负责。如有虚假，将依法承担相应责任。</w:t>
      </w:r>
      <w:r>
        <w:rPr>
          <w:rFonts w:ascii="仿宋" w:hAnsi="仿宋" w:eastAsia="仿宋" w:cs="仿宋"/>
          <w:color w:val="000000"/>
          <w:sz w:val="24"/>
          <w:highlight w:val="none"/>
        </w:rPr>
      </w:r>
      <w:r/>
    </w:p>
    <w:p>
      <w:pPr>
        <w:pStyle w:val="768"/>
        <w:ind w:firstLine="480"/>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768"/>
        <w:ind w:firstLine="624"/>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rPr>
          <w:rFonts w:ascii="仿宋" w:hAnsi="仿宋" w:eastAsia="仿宋" w:cs="仿宋"/>
          <w:color w:val="000000"/>
          <w:sz w:val="24"/>
          <w:highlight w:val="none"/>
        </w:rPr>
      </w:r>
      <w:r/>
    </w:p>
    <w:p>
      <w:pPr>
        <w:pStyle w:val="768"/>
        <w:ind w:firstLine="624"/>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rFonts w:ascii="仿宋" w:hAnsi="仿宋" w:eastAsia="仿宋" w:cs="仿宋"/>
          <w:color w:val="000000"/>
          <w:sz w:val="24"/>
          <w:highlight w:val="none"/>
        </w:rPr>
      </w:r>
      <w:r/>
    </w:p>
    <w:p>
      <w:pPr>
        <w:pStyle w:val="768"/>
        <w:ind w:firstLine="624"/>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 非专门面向中小微型企业采购的项目，供应商如不提供此声明函，价格将不做相应扣除。</w:t>
      </w:r>
      <w:r>
        <w:rPr>
          <w:rFonts w:ascii="仿宋" w:hAnsi="仿宋" w:eastAsia="仿宋" w:cs="仿宋"/>
          <w:color w:val="000000"/>
          <w:sz w:val="24"/>
          <w:highlight w:val="none"/>
        </w:rPr>
      </w:r>
      <w:r/>
    </w:p>
    <w:p>
      <w:pPr>
        <w:pStyle w:val="768"/>
        <w:ind w:firstLine="624"/>
        <w:spacing w:line="360" w:lineRule="auto"/>
        <w:rPr>
          <w:rFonts w:ascii="仿宋" w:hAnsi="仿宋" w:eastAsia="仿宋" w:cs="仿宋"/>
          <w:color w:val="000000"/>
          <w:spacing w:val="6"/>
          <w:sz w:val="30"/>
          <w:szCs w:val="30"/>
          <w:highlight w:val="none"/>
        </w:rPr>
      </w:pPr>
      <w:r>
        <w:rPr>
          <w:rFonts w:hint="eastAsia" w:ascii="仿宋" w:hAnsi="仿宋" w:eastAsia="仿宋" w:cs="仿宋"/>
          <w:color w:val="000000"/>
          <w:sz w:val="24"/>
          <w:highlight w:val="none"/>
        </w:rPr>
        <w:t xml:space="preserve">3.中标/成交供应商为残疾人福利性单位的，此声明函将随中标/成交结果同时公告，接受社会监督。</w:t>
      </w:r>
      <w:r>
        <w:rPr>
          <w:rFonts w:ascii="仿宋" w:hAnsi="仿宋" w:eastAsia="仿宋" w:cs="仿宋"/>
          <w:color w:val="000000"/>
          <w:spacing w:val="6"/>
          <w:sz w:val="30"/>
          <w:szCs w:val="30"/>
          <w:highlight w:val="none"/>
        </w:rPr>
      </w:r>
      <w:r/>
    </w:p>
    <w:p>
      <w:pPr>
        <w:pStyle w:val="1207"/>
        <w:spacing w:line="360" w:lineRule="auto"/>
        <w:rPr>
          <w:rFonts w:ascii="仿宋" w:hAnsi="仿宋" w:eastAsia="仿宋" w:cs="仿宋"/>
          <w:color w:val="000000"/>
          <w:highlight w:val="none"/>
        </w:rPr>
      </w:pPr>
      <w:r>
        <w:rPr>
          <w:rFonts w:ascii="仿宋" w:hAnsi="仿宋" w:eastAsia="仿宋" w:cs="仿宋"/>
          <w:color w:val="000000"/>
          <w:highlight w:val="none"/>
        </w:rPr>
      </w:r>
      <w:r/>
    </w:p>
    <w:p>
      <w:pPr>
        <w:pStyle w:val="768"/>
        <w:ind w:right="180" w:firstLine="360"/>
        <w:jc w:val="righ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企业名称：（加盖CA电子公章）</w:t>
      </w:r>
      <w:r>
        <w:rPr>
          <w:rFonts w:ascii="仿宋" w:hAnsi="仿宋" w:eastAsia="仿宋" w:cs="仿宋"/>
          <w:color w:val="000000"/>
          <w:sz w:val="24"/>
          <w:highlight w:val="none"/>
        </w:rPr>
      </w:r>
      <w:r/>
    </w:p>
    <w:p>
      <w:pPr>
        <w:pStyle w:val="768"/>
        <w:jc w:val="righ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日  期：</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年___月___日</w:t>
      </w:r>
      <w:r>
        <w:rPr>
          <w:rFonts w:ascii="仿宋" w:hAnsi="仿宋" w:eastAsia="仿宋" w:cs="仿宋"/>
          <w:color w:val="000000"/>
          <w:sz w:val="24"/>
          <w:highlight w:val="none"/>
        </w:rPr>
      </w:r>
      <w:r/>
    </w:p>
    <w:p>
      <w:pPr>
        <w:pStyle w:val="768"/>
        <w:jc w:val="center"/>
        <w:rPr>
          <w:rFonts w:ascii="方正魏碑_GBK" w:hAnsi="方正魏碑_GBK" w:eastAsia="方正魏碑_GBK" w:cs="方正魏碑_GBK"/>
          <w:b/>
          <w:color w:val="000000"/>
          <w:sz w:val="24"/>
          <w:szCs w:val="24"/>
          <w:highlight w:val="none"/>
        </w:rPr>
      </w:pPr>
      <w:r>
        <w:rPr>
          <w:rFonts w:ascii="方正魏碑_GBK" w:hAnsi="方正魏碑_GBK" w:eastAsia="方正魏碑_GBK" w:cs="方正魏碑_GBK"/>
          <w:b/>
          <w:color w:val="000000"/>
          <w:sz w:val="24"/>
          <w:szCs w:val="24"/>
          <w:highlight w:val="none"/>
        </w:rPr>
      </w:r>
      <w:r/>
    </w:p>
    <w:p>
      <w:pPr>
        <w:pStyle w:val="768"/>
        <w:jc w:val="center"/>
        <w:rPr>
          <w:rFonts w:ascii="方正魏碑_GBK" w:hAnsi="方正魏碑_GBK" w:eastAsia="方正魏碑_GBK" w:cs="方正魏碑_GBK"/>
          <w:b/>
          <w:color w:val="000000"/>
          <w:sz w:val="24"/>
          <w:szCs w:val="24"/>
          <w:highlight w:val="none"/>
        </w:rPr>
      </w:pPr>
      <w:r>
        <w:rPr>
          <w:rFonts w:ascii="方正魏碑_GBK" w:hAnsi="方正魏碑_GBK" w:eastAsia="方正魏碑_GBK" w:cs="方正魏碑_GBK"/>
          <w:b/>
          <w:color w:val="000000"/>
          <w:sz w:val="24"/>
          <w:szCs w:val="24"/>
          <w:highlight w:val="none"/>
        </w:rPr>
      </w:r>
      <w:r/>
    </w:p>
    <w:p>
      <w:pPr>
        <w:pStyle w:val="768"/>
        <w:jc w:val="center"/>
        <w:rPr>
          <w:rFonts w:ascii="方正魏碑_GBK" w:hAnsi="方正魏碑_GBK" w:eastAsia="方正魏碑_GBK" w:cs="方正魏碑_GBK"/>
          <w:b/>
          <w:color w:val="000000"/>
          <w:sz w:val="24"/>
          <w:szCs w:val="24"/>
          <w:highlight w:val="none"/>
        </w:rPr>
      </w:pPr>
      <w:r>
        <w:rPr>
          <w:rFonts w:ascii="方正魏碑_GBK" w:hAnsi="方正魏碑_GBK" w:eastAsia="方正魏碑_GBK" w:cs="方正魏碑_GBK"/>
          <w:b/>
          <w:color w:val="000000"/>
          <w:sz w:val="24"/>
          <w:szCs w:val="24"/>
          <w:highlight w:val="none"/>
        </w:rPr>
      </w:r>
      <w:r/>
    </w:p>
    <w:p>
      <w:pPr>
        <w:pStyle w:val="768"/>
        <w:jc w:val="center"/>
        <w:rPr>
          <w:rFonts w:ascii="方正魏碑_GBK" w:hAnsi="方正魏碑_GBK" w:eastAsia="方正魏碑_GBK" w:cs="方正魏碑_GBK"/>
          <w:b/>
          <w:color w:val="000000"/>
          <w:sz w:val="24"/>
          <w:szCs w:val="24"/>
          <w:highlight w:val="none"/>
        </w:rPr>
      </w:pPr>
      <w:r>
        <w:rPr>
          <w:rFonts w:ascii="方正魏碑_GBK" w:hAnsi="方正魏碑_GBK" w:eastAsia="方正魏碑_GBK" w:cs="方正魏碑_GBK"/>
          <w:b/>
          <w:color w:val="000000"/>
          <w:sz w:val="24"/>
          <w:szCs w:val="24"/>
          <w:highlight w:val="none"/>
        </w:rPr>
      </w:r>
      <w:r/>
    </w:p>
    <w:p>
      <w:pPr>
        <w:pStyle w:val="768"/>
        <w:jc w:val="center"/>
        <w:rPr>
          <w:rFonts w:ascii="方正魏碑_GBK" w:hAnsi="方正魏碑_GBK" w:eastAsia="方正魏碑_GBK" w:cs="方正魏碑_GBK"/>
          <w:b/>
          <w:color w:val="000000"/>
          <w:sz w:val="24"/>
          <w:szCs w:val="24"/>
          <w:highlight w:val="none"/>
        </w:rPr>
      </w:pPr>
      <w:r>
        <w:rPr>
          <w:rFonts w:ascii="方正魏碑_GBK" w:hAnsi="方正魏碑_GBK" w:eastAsia="方正魏碑_GBK" w:cs="方正魏碑_GBK"/>
          <w:b/>
          <w:color w:val="000000"/>
          <w:sz w:val="24"/>
          <w:szCs w:val="24"/>
          <w:highlight w:val="none"/>
        </w:rPr>
      </w:r>
      <w:r/>
    </w:p>
    <w:p>
      <w:pPr>
        <w:pStyle w:val="768"/>
        <w:jc w:val="center"/>
        <w:rPr>
          <w:rFonts w:ascii="方正魏碑_GBK" w:hAnsi="方正魏碑_GBK" w:eastAsia="方正魏碑_GBK" w:cs="方正魏碑_GBK"/>
          <w:b/>
          <w:color w:val="000000"/>
          <w:sz w:val="24"/>
          <w:szCs w:val="24"/>
          <w:highlight w:val="none"/>
        </w:rPr>
      </w:pPr>
      <w:r>
        <w:rPr>
          <w:rFonts w:ascii="方正魏碑_GBK" w:hAnsi="方正魏碑_GBK" w:eastAsia="方正魏碑_GBK" w:cs="方正魏碑_GBK"/>
          <w:b/>
          <w:color w:val="000000"/>
          <w:sz w:val="24"/>
          <w:szCs w:val="24"/>
          <w:highlight w:val="none"/>
        </w:rPr>
      </w:r>
      <w:r/>
    </w:p>
    <w:p>
      <w:pPr>
        <w:pStyle w:val="768"/>
        <w:jc w:val="center"/>
        <w:rPr>
          <w:rFonts w:ascii="方正魏碑_GBK" w:hAnsi="方正魏碑_GBK" w:eastAsia="方正魏碑_GBK" w:cs="方正魏碑_GBK"/>
          <w:b/>
          <w:color w:val="000000"/>
          <w:sz w:val="24"/>
          <w:szCs w:val="24"/>
          <w:highlight w:val="none"/>
        </w:rPr>
      </w:pPr>
      <w:r>
        <w:rPr>
          <w:rFonts w:ascii="方正魏碑_GBK" w:hAnsi="方正魏碑_GBK" w:eastAsia="方正魏碑_GBK" w:cs="方正魏碑_GBK"/>
          <w:b/>
          <w:color w:val="000000"/>
          <w:sz w:val="24"/>
          <w:szCs w:val="24"/>
          <w:highlight w:val="none"/>
        </w:rPr>
      </w:r>
      <w:r/>
    </w:p>
    <w:p>
      <w:pPr>
        <w:pStyle w:val="1079"/>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768"/>
        <w:jc w:val="left"/>
        <w:spacing w:line="440" w:lineRule="exact"/>
        <w:rPr>
          <w:rFonts w:ascii="宋体" w:cs="宋体"/>
          <w:b/>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ascii="宋体" w:cs="宋体"/>
          <w:b/>
          <w:color w:val="000000"/>
          <w:sz w:val="24"/>
          <w:highlight w:val="none"/>
        </w:rPr>
      </w:r>
      <w:r/>
    </w:p>
    <w:p>
      <w:pPr>
        <w:pStyle w:val="768"/>
        <w:jc w:val="left"/>
        <w:spacing w:line="440" w:lineRule="exact"/>
        <w:rPr>
          <w:rFonts w:ascii="宋体" w:cs="宋体"/>
          <w:b/>
          <w:color w:val="000000"/>
          <w:sz w:val="24"/>
          <w:highlight w:val="none"/>
        </w:rPr>
        <w:outlineLvl w:val="1"/>
      </w:pPr>
      <w:r>
        <w:rPr>
          <w:rFonts w:hint="eastAsia" w:ascii="宋体" w:cs="宋体"/>
          <w:b/>
          <w:color w:val="000000"/>
          <w:sz w:val="24"/>
          <w:highlight w:val="none"/>
          <w:lang w:val="en-US" w:eastAsia="zh-CN"/>
        </w:rPr>
        <w:t xml:space="preserve">七</w:t>
      </w:r>
      <w:r>
        <w:rPr>
          <w:rFonts w:hint="eastAsia" w:ascii="宋体" w:cs="宋体"/>
          <w:b/>
          <w:color w:val="000000"/>
          <w:sz w:val="24"/>
          <w:highlight w:val="none"/>
        </w:rPr>
        <w:t xml:space="preserve">、技术要求响应及偏离表</w:t>
      </w:r>
      <w:r>
        <w:rPr>
          <w:rFonts w:ascii="宋体" w:cs="宋体"/>
          <w:b/>
          <w:color w:val="000000"/>
          <w:sz w:val="24"/>
          <w:highlight w:val="none"/>
        </w:rPr>
      </w:r>
      <w:r/>
    </w:p>
    <w:p>
      <w:pPr>
        <w:pStyle w:val="768"/>
        <w:ind w:firstLine="1446"/>
        <w:rPr>
          <w:rFonts w:asci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cs="宋体"/>
          <w:b/>
          <w:color w:val="000000"/>
          <w:sz w:val="24"/>
          <w:highlight w:val="none"/>
        </w:rPr>
      </w:r>
      <w:r/>
    </w:p>
    <w:p>
      <w:pPr>
        <w:pStyle w:val="768"/>
        <w:jc w:val="center"/>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b/>
          <w:color w:val="000000"/>
          <w:sz w:val="24"/>
          <w:highlight w:val="none"/>
        </w:rPr>
        <w:t xml:space="preserve">实质性要求响应及偏离表（采购包号：）</w:t>
      </w:r>
      <w:r>
        <w:rPr>
          <w:color w:val="000000"/>
          <w:highlight w:val="none"/>
        </w:rPr>
      </w:r>
      <w:r/>
    </w:p>
    <w:tbl>
      <w:tblPr>
        <w:tblW w:w="0" w:type="auto"/>
        <w:tblInd w:w="-216" w:type="dxa"/>
        <w:tblLayout w:type="autofit"/>
        <w:tblCellMar>
          <w:left w:w="108" w:type="dxa"/>
          <w:top w:w="0" w:type="dxa"/>
          <w:right w:w="108" w:type="dxa"/>
          <w:bottom w:w="0" w:type="dxa"/>
        </w:tblCellMar>
        <w:tblLook w:val="04A0" w:firstRow="1" w:lastRow="0" w:firstColumn="1" w:lastColumn="0" w:noHBand="0" w:noVBand="1"/>
      </w:tblPr>
      <w:tblGrid>
        <w:gridCol w:w="673"/>
        <w:gridCol w:w="3241"/>
        <w:gridCol w:w="2996"/>
        <w:gridCol w:w="1495"/>
      </w:tblGrid>
      <w:tr>
        <w:trPr/>
        <w:tc>
          <w:tcPr>
            <w:tcBorders>
              <w:top w:val="single" w:color="000000" w:sz="8" w:space="0"/>
              <w:left w:val="single" w:color="000000" w:sz="8" w:space="0"/>
              <w:bottom w:val="single" w:color="000000" w:sz="8" w:space="0"/>
              <w:right w:val="single" w:color="000000" w:sz="8" w:space="0"/>
            </w:tcBorders>
            <w:tcW w:w="673" w:type="dxa"/>
            <w:vAlign w:val="center"/>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序号</w:t>
            </w:r>
            <w:r>
              <w:rPr>
                <w:color w:val="000000"/>
                <w:highlight w:val="none"/>
              </w:rPr>
            </w:r>
            <w:r/>
          </w:p>
        </w:tc>
        <w:tc>
          <w:tcPr>
            <w:tcBorders>
              <w:top w:val="single" w:color="000000" w:sz="8" w:space="0"/>
              <w:left w:val="single" w:color="000000" w:sz="8" w:space="0"/>
              <w:bottom w:val="single" w:color="000000" w:sz="8" w:space="0"/>
              <w:right w:val="single" w:color="000000" w:sz="8" w:space="0"/>
            </w:tcBorders>
            <w:tcW w:w="3241" w:type="dxa"/>
            <w:vAlign w:val="center"/>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技术要求和商务要求中的实质性要求</w:t>
            </w:r>
            <w:r>
              <w:rPr>
                <w:rFonts w:hint="eastAsia" w:ascii="宋体" w:cs="宋体"/>
                <w:i/>
                <w:color w:val="000000"/>
                <w:sz w:val="24"/>
                <w:highlight w:val="none"/>
                <w:u w:val="single"/>
              </w:rPr>
              <w:t xml:space="preserve">（</w:t>
            </w:r>
            <w:r>
              <w:rPr>
                <w:rFonts w:hint="eastAsia" w:ascii="宋体" w:cs="宋体"/>
                <w:color w:val="000000"/>
                <w:sz w:val="24"/>
                <w:highlight w:val="none"/>
                <w:u w:val="single"/>
              </w:rPr>
              <w:t xml:space="preserve">打“★”内容）</w:t>
            </w:r>
            <w:r>
              <w:rPr>
                <w:color w:val="000000"/>
                <w:highlight w:val="none"/>
              </w:rPr>
            </w:r>
            <w:r/>
          </w:p>
        </w:tc>
        <w:tc>
          <w:tcPr>
            <w:tcBorders>
              <w:top w:val="single" w:color="000000" w:sz="8" w:space="0"/>
              <w:left w:val="single" w:color="000000" w:sz="8" w:space="0"/>
              <w:bottom w:val="single" w:color="000000" w:sz="8" w:space="0"/>
              <w:right w:val="single" w:color="000000" w:sz="8" w:space="0"/>
            </w:tcBorders>
            <w:tcW w:w="2996" w:type="dxa"/>
            <w:vAlign w:val="center"/>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投标响应情况</w:t>
            </w:r>
            <w:r>
              <w:rPr>
                <w:color w:val="000000"/>
                <w:highlight w:val="none"/>
              </w:rPr>
            </w:r>
            <w:r/>
          </w:p>
        </w:tc>
        <w:tc>
          <w:tcPr>
            <w:tcBorders>
              <w:top w:val="single" w:color="000000" w:sz="8" w:space="0"/>
              <w:left w:val="single" w:color="000000" w:sz="8" w:space="0"/>
              <w:bottom w:val="single" w:color="000000" w:sz="8" w:space="0"/>
              <w:right w:val="single" w:color="000000" w:sz="8" w:space="0"/>
            </w:tcBorders>
            <w:tcW w:w="1495" w:type="dxa"/>
            <w:vAlign w:val="center"/>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超出、符合或偏离</w:t>
            </w:r>
            <w:r>
              <w:rPr>
                <w:color w:val="000000"/>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1</w:t>
            </w:r>
            <w:r>
              <w:rPr>
                <w:color w:val="000000"/>
                <w:highlight w:val="none"/>
              </w:rPr>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 </w:t>
            </w:r>
            <w:r>
              <w:rPr>
                <w:color w:val="000000"/>
                <w:highlight w:val="none"/>
              </w:rPr>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 </w:t>
            </w:r>
            <w:r>
              <w:rPr>
                <w:color w:val="000000"/>
                <w:highlight w:val="none"/>
              </w:rPr>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 </w:t>
            </w:r>
            <w:r>
              <w:rPr>
                <w:color w:val="000000"/>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2</w:t>
            </w:r>
            <w:r>
              <w:rPr>
                <w:color w:val="000000"/>
                <w:highlight w:val="none"/>
              </w:rPr>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 </w:t>
            </w:r>
            <w:r>
              <w:rPr>
                <w:color w:val="000000"/>
                <w:highlight w:val="none"/>
              </w:rPr>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 </w:t>
            </w:r>
            <w:r>
              <w:rPr>
                <w:color w:val="000000"/>
                <w:highlight w:val="none"/>
              </w:rPr>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 </w:t>
            </w:r>
            <w:r>
              <w:rPr>
                <w:color w:val="000000"/>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 </w:t>
            </w:r>
            <w:r>
              <w:rPr>
                <w:color w:val="000000"/>
                <w:highlight w:val="none"/>
              </w:rPr>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w:t>
            </w:r>
            <w:r>
              <w:rPr>
                <w:color w:val="000000"/>
                <w:highlight w:val="none"/>
              </w:rPr>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 </w:t>
            </w:r>
            <w:r>
              <w:rPr>
                <w:color w:val="000000"/>
                <w:highlight w:val="none"/>
              </w:rPr>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pStyle w:val="768"/>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 </w:t>
            </w:r>
            <w:r>
              <w:rPr>
                <w:color w:val="000000"/>
                <w:highlight w:val="none"/>
              </w:rPr>
            </w:r>
            <w:r/>
          </w:p>
        </w:tc>
      </w:tr>
    </w:tbl>
    <w:p>
      <w:pPr>
        <w:pStyle w:val="76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附件 证明材料1，证明材料2，……</w:t>
      </w:r>
      <w:r>
        <w:rPr>
          <w:color w:val="000000"/>
          <w:highlight w:val="none"/>
        </w:rPr>
      </w:r>
      <w:r/>
    </w:p>
    <w:p>
      <w:pPr>
        <w:pStyle w:val="76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 </w:t>
      </w:r>
      <w:r>
        <w:rPr>
          <w:color w:val="000000"/>
          <w:highlight w:val="none"/>
        </w:rPr>
      </w:r>
      <w:r/>
    </w:p>
    <w:p>
      <w:pPr>
        <w:pStyle w:val="76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备注：</w:t>
      </w:r>
      <w:r>
        <w:rPr>
          <w:color w:val="000000"/>
          <w:highlight w:val="none"/>
        </w:rPr>
      </w:r>
      <w:r/>
    </w:p>
    <w:p>
      <w:pPr>
        <w:pStyle w:val="76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1.投标人必须对技术要求和商务要求中的实质性要求</w:t>
      </w:r>
      <w:r>
        <w:rPr>
          <w:rFonts w:hint="eastAsia" w:ascii="宋体" w:cs="宋体"/>
          <w:i/>
          <w:color w:val="000000"/>
          <w:sz w:val="24"/>
          <w:highlight w:val="none"/>
          <w:u w:val="single"/>
        </w:rPr>
        <w:t xml:space="preserve">（</w:t>
      </w:r>
      <w:r>
        <w:rPr>
          <w:rFonts w:hint="eastAsia" w:ascii="宋体" w:cs="宋体"/>
          <w:color w:val="000000"/>
          <w:sz w:val="24"/>
          <w:highlight w:val="none"/>
          <w:u w:val="single"/>
        </w:rPr>
        <w:t xml:space="preserve">打“★”内容）</w:t>
      </w:r>
      <w:r>
        <w:rPr>
          <w:rFonts w:hint="eastAsia" w:ascii="宋体" w:cs="宋体"/>
          <w:color w:val="000000"/>
          <w:sz w:val="24"/>
          <w:highlight w:val="none"/>
        </w:rPr>
        <w:t xml:space="preserve">逐条做出明确响应。</w:t>
      </w:r>
      <w:r>
        <w:rPr>
          <w:color w:val="000000"/>
          <w:highlight w:val="none"/>
        </w:rPr>
      </w:r>
      <w:r/>
    </w:p>
    <w:p>
      <w:pPr>
        <w:pStyle w:val="76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2.如果招标文件要求提供证明材料，投标人必须将证明材料列于该表之下。</w:t>
      </w:r>
      <w:r>
        <w:rPr>
          <w:color w:val="000000"/>
          <w:highlight w:val="none"/>
        </w:rPr>
      </w:r>
      <w:r/>
    </w:p>
    <w:p>
      <w:pPr>
        <w:pStyle w:val="768"/>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rPr>
        <w:t xml:space="preserve">3.投标人未对实质性要求逐条作出明确响应的，或未按招标文件要求提供证明材料的，该采购包作无效标处理。</w:t>
      </w:r>
      <w:r>
        <w:rPr>
          <w:color w:val="000000"/>
          <w:highlight w:val="none"/>
        </w:rPr>
      </w:r>
      <w:r/>
    </w:p>
    <w:p>
      <w:pPr>
        <w:pStyle w:val="768"/>
        <w:jc w:val="center"/>
        <w:spacing w:line="560" w:lineRule="exact"/>
        <w:rPr>
          <w:rFonts w:ascii="宋体" w:cs="宋体"/>
          <w:b/>
          <w:color w:val="000000"/>
          <w:sz w:val="32"/>
          <w:szCs w:val="32"/>
          <w:highlight w:val="none"/>
        </w:rPr>
      </w:pPr>
      <w:r>
        <w:rPr>
          <w:rFonts w:ascii="宋体" w:cs="宋体"/>
          <w:b/>
          <w:color w:val="000000"/>
          <w:sz w:val="32"/>
          <w:szCs w:val="32"/>
          <w:highlight w:val="none"/>
        </w:rPr>
      </w:r>
      <w:r/>
    </w:p>
    <w:p>
      <w:pPr>
        <w:pStyle w:val="768"/>
        <w:jc w:val="center"/>
        <w:spacing w:line="560" w:lineRule="exact"/>
        <w:rPr>
          <w:rFonts w:ascii="宋体" w:cs="宋体"/>
          <w:b/>
          <w:color w:val="000000"/>
          <w:sz w:val="32"/>
          <w:szCs w:val="32"/>
          <w:highlight w:val="none"/>
        </w:rPr>
      </w:pPr>
      <w:r>
        <w:rPr>
          <w:rFonts w:ascii="宋体" w:cs="宋体"/>
          <w:b/>
          <w:color w:val="000000"/>
          <w:sz w:val="32"/>
          <w:szCs w:val="32"/>
          <w:highlight w:val="none"/>
        </w:rPr>
      </w:r>
      <w:r/>
    </w:p>
    <w:p>
      <w:pPr>
        <w:pStyle w:val="768"/>
        <w:jc w:val="center"/>
        <w:rPr>
          <w:rFonts w:ascii="宋体" w:cs="宋体"/>
          <w:b/>
          <w:color w:val="000000"/>
          <w:sz w:val="24"/>
          <w:highlight w:val="none"/>
        </w:rPr>
      </w:pPr>
      <w:r>
        <w:rPr>
          <w:rFonts w:hint="eastAsia" w:ascii="宋体" w:cs="宋体"/>
          <w:b/>
          <w:color w:val="000000"/>
          <w:sz w:val="24"/>
          <w:highlight w:val="none"/>
        </w:rPr>
        <w:t xml:space="preserve">技术要求响应及偏离表（采购包号：）</w:t>
      </w:r>
      <w:r>
        <w:rPr>
          <w:rFonts w:ascii="宋体" w:cs="宋体"/>
          <w:b/>
          <w:color w:val="000000"/>
          <w:sz w:val="24"/>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pStyle w:val="768"/>
              <w:jc w:val="center"/>
              <w:spacing w:line="400" w:lineRule="exact"/>
              <w:rPr>
                <w:rFonts w:ascii="宋体" w:cs="宋体"/>
                <w:color w:val="000000"/>
                <w:sz w:val="24"/>
                <w:highlight w:val="none"/>
              </w:rPr>
            </w:pPr>
            <w:r>
              <w:rPr>
                <w:rFonts w:hint="eastAsia" w:ascii="宋体" w:cs="宋体"/>
                <w:color w:val="000000"/>
                <w:sz w:val="24"/>
                <w:highlight w:val="none"/>
              </w:rPr>
              <w:t xml:space="preserve">序号</w:t>
            </w:r>
            <w:r>
              <w:rPr>
                <w:rFonts w:ascii="宋体" w:cs="宋体"/>
                <w:color w:val="000000"/>
                <w:sz w:val="24"/>
                <w:highlight w:val="none"/>
              </w:rPr>
            </w:r>
            <w:r/>
          </w:p>
        </w:tc>
        <w:tc>
          <w:tcPr>
            <w:tcW w:w="3063" w:type="dxa"/>
            <w:vAlign w:val="center"/>
            <w:textDirection w:val="lrTb"/>
            <w:noWrap/>
          </w:tcPr>
          <w:p>
            <w:pPr>
              <w:pStyle w:val="768"/>
              <w:jc w:val="center"/>
              <w:spacing w:line="400" w:lineRule="exact"/>
              <w:rPr>
                <w:rFonts w:ascii="宋体" w:cs="宋体"/>
                <w:color w:val="000000"/>
                <w:sz w:val="24"/>
                <w:highlight w:val="none"/>
              </w:rPr>
            </w:pPr>
            <w:r>
              <w:rPr>
                <w:rFonts w:hint="eastAsia" w:ascii="宋体" w:cs="宋体"/>
                <w:color w:val="000000"/>
                <w:sz w:val="24"/>
                <w:highlight w:val="none"/>
              </w:rPr>
              <w:t xml:space="preserve">技术要求</w:t>
            </w:r>
            <w:r>
              <w:rPr>
                <w:rFonts w:ascii="宋体" w:cs="宋体"/>
                <w:color w:val="000000"/>
                <w:sz w:val="24"/>
                <w:highlight w:val="none"/>
              </w:rPr>
            </w:r>
            <w:r/>
          </w:p>
        </w:tc>
        <w:tc>
          <w:tcPr>
            <w:tcW w:w="3191" w:type="dxa"/>
            <w:vAlign w:val="center"/>
            <w:textDirection w:val="lrTb"/>
            <w:noWrap/>
          </w:tcPr>
          <w:p>
            <w:pPr>
              <w:pStyle w:val="768"/>
              <w:jc w:val="center"/>
              <w:spacing w:line="400" w:lineRule="exact"/>
              <w:rPr>
                <w:rFonts w:ascii="宋体" w:cs="宋体"/>
                <w:color w:val="000000"/>
                <w:sz w:val="24"/>
                <w:highlight w:val="none"/>
              </w:rPr>
            </w:pPr>
            <w:r>
              <w:rPr>
                <w:rFonts w:hint="eastAsia" w:ascii="宋体" w:cs="宋体"/>
                <w:color w:val="000000"/>
                <w:sz w:val="24"/>
                <w:highlight w:val="none"/>
              </w:rPr>
              <w:t xml:space="preserve">投标响应情况</w:t>
            </w:r>
            <w:r>
              <w:rPr>
                <w:rFonts w:ascii="宋体" w:cs="宋体"/>
                <w:color w:val="000000"/>
                <w:sz w:val="24"/>
                <w:highlight w:val="none"/>
              </w:rPr>
            </w:r>
            <w:r/>
          </w:p>
        </w:tc>
        <w:tc>
          <w:tcPr>
            <w:tcW w:w="2128" w:type="dxa"/>
            <w:vAlign w:val="center"/>
            <w:textDirection w:val="lrTb"/>
            <w:noWrap/>
          </w:tcPr>
          <w:p>
            <w:pPr>
              <w:pStyle w:val="768"/>
              <w:jc w:val="center"/>
              <w:spacing w:line="400" w:lineRule="exact"/>
              <w:rPr>
                <w:rFonts w:ascii="宋体" w:cs="宋体"/>
                <w:color w:val="000000"/>
                <w:sz w:val="24"/>
                <w:highlight w:val="none"/>
              </w:rPr>
            </w:pPr>
            <w:r>
              <w:rPr>
                <w:rFonts w:hint="eastAsia" w:ascii="宋体" w:cs="宋体"/>
                <w:color w:val="000000"/>
                <w:sz w:val="24"/>
                <w:highlight w:val="none"/>
              </w:rPr>
              <w:t xml:space="preserve">超出、符合或偏离</w:t>
            </w:r>
            <w:r>
              <w:rPr>
                <w:rFonts w:ascii="宋体" w:cs="宋体"/>
                <w:color w:val="000000"/>
                <w:sz w:val="24"/>
                <w:highlight w:val="none"/>
              </w:rPr>
            </w:r>
            <w:r/>
          </w:p>
        </w:tc>
      </w:tr>
      <w:tr>
        <w:trPr>
          <w:cantSplit/>
          <w:trHeight w:val="640"/>
        </w:trPr>
        <w:tc>
          <w:tcPr>
            <w:tcW w:w="545" w:type="dxa"/>
            <w:vAlign w:val="top"/>
            <w:textDirection w:val="lrTb"/>
            <w:noWrap/>
          </w:tcPr>
          <w:p>
            <w:pPr>
              <w:pStyle w:val="768"/>
              <w:jc w:val="center"/>
              <w:spacing w:line="400" w:lineRule="exact"/>
              <w:rPr>
                <w:rFonts w:ascii="宋体" w:cs="宋体"/>
                <w:color w:val="000000"/>
                <w:sz w:val="24"/>
                <w:highlight w:val="none"/>
              </w:rPr>
            </w:pPr>
            <w:r>
              <w:rPr>
                <w:rFonts w:hint="eastAsia" w:ascii="宋体" w:cs="宋体"/>
                <w:color w:val="000000"/>
                <w:sz w:val="24"/>
                <w:highlight w:val="none"/>
              </w:rPr>
              <w:t xml:space="preserve">1</w:t>
            </w:r>
            <w:r>
              <w:rPr>
                <w:rFonts w:ascii="宋体" w:cs="宋体"/>
                <w:color w:val="000000"/>
                <w:sz w:val="24"/>
                <w:highlight w:val="none"/>
              </w:rPr>
            </w:r>
            <w:r/>
          </w:p>
        </w:tc>
        <w:tc>
          <w:tcPr>
            <w:tcW w:w="3063" w:type="dxa"/>
            <w:vAlign w:val="top"/>
            <w:textDirection w:val="lrTb"/>
            <w:noWrap/>
          </w:tcPr>
          <w:p>
            <w:pPr>
              <w:pStyle w:val="768"/>
              <w:jc w:val="center"/>
              <w:spacing w:line="400" w:lineRule="exact"/>
              <w:rPr>
                <w:rFonts w:ascii="宋体" w:cs="宋体"/>
                <w:color w:val="000000"/>
                <w:sz w:val="24"/>
                <w:highlight w:val="none"/>
              </w:rPr>
            </w:pPr>
            <w:r>
              <w:rPr>
                <w:rFonts w:ascii="宋体" w:cs="宋体"/>
                <w:color w:val="000000"/>
                <w:sz w:val="24"/>
                <w:highlight w:val="none"/>
              </w:rPr>
            </w:r>
            <w:r/>
          </w:p>
        </w:tc>
        <w:tc>
          <w:tcPr>
            <w:tcW w:w="3191" w:type="dxa"/>
            <w:vAlign w:val="top"/>
            <w:textDirection w:val="lrTb"/>
            <w:noWrap/>
          </w:tcPr>
          <w:p>
            <w:pPr>
              <w:pStyle w:val="768"/>
              <w:jc w:val="center"/>
              <w:spacing w:line="400" w:lineRule="exact"/>
              <w:rPr>
                <w:rFonts w:ascii="宋体" w:cs="宋体"/>
                <w:color w:val="000000"/>
                <w:sz w:val="24"/>
                <w:highlight w:val="none"/>
              </w:rPr>
            </w:pPr>
            <w:r>
              <w:rPr>
                <w:rFonts w:ascii="宋体" w:cs="宋体"/>
                <w:color w:val="000000"/>
                <w:sz w:val="24"/>
                <w:highlight w:val="none"/>
              </w:rPr>
            </w:r>
            <w:r/>
          </w:p>
        </w:tc>
        <w:tc>
          <w:tcPr>
            <w:tcW w:w="2128" w:type="dxa"/>
            <w:vAlign w:val="top"/>
            <w:textDirection w:val="lrTb"/>
            <w:noWrap/>
          </w:tcPr>
          <w:p>
            <w:pPr>
              <w:pStyle w:val="768"/>
              <w:jc w:val="center"/>
              <w:spacing w:line="400" w:lineRule="exact"/>
              <w:rPr>
                <w:rFonts w:ascii="宋体" w:cs="宋体"/>
                <w:color w:val="000000"/>
                <w:sz w:val="24"/>
                <w:highlight w:val="none"/>
              </w:rPr>
            </w:pPr>
            <w:r>
              <w:rPr>
                <w:rFonts w:ascii="宋体" w:cs="宋体"/>
                <w:color w:val="000000"/>
                <w:sz w:val="24"/>
                <w:highlight w:val="none"/>
              </w:rPr>
            </w:r>
            <w:r/>
          </w:p>
        </w:tc>
      </w:tr>
      <w:tr>
        <w:trPr>
          <w:cantSplit/>
          <w:trHeight w:val="640"/>
        </w:trPr>
        <w:tc>
          <w:tcPr>
            <w:tcW w:w="545" w:type="dxa"/>
            <w:vAlign w:val="top"/>
            <w:textDirection w:val="lrTb"/>
            <w:noWrap/>
          </w:tcPr>
          <w:p>
            <w:pPr>
              <w:pStyle w:val="768"/>
              <w:jc w:val="center"/>
              <w:spacing w:line="400" w:lineRule="exact"/>
              <w:rPr>
                <w:rFonts w:ascii="宋体" w:cs="宋体"/>
                <w:color w:val="000000"/>
                <w:sz w:val="24"/>
                <w:highlight w:val="none"/>
              </w:rPr>
            </w:pPr>
            <w:r>
              <w:rPr>
                <w:rFonts w:ascii="宋体" w:cs="宋体"/>
                <w:color w:val="000000"/>
                <w:sz w:val="24"/>
                <w:highlight w:val="none"/>
              </w:rPr>
            </w:r>
            <w:r/>
          </w:p>
        </w:tc>
        <w:tc>
          <w:tcPr>
            <w:tcW w:w="3063" w:type="dxa"/>
            <w:vAlign w:val="top"/>
            <w:textDirection w:val="lrTb"/>
            <w:noWrap/>
          </w:tcPr>
          <w:p>
            <w:pPr>
              <w:pStyle w:val="768"/>
              <w:jc w:val="center"/>
              <w:spacing w:line="400" w:lineRule="exact"/>
              <w:rPr>
                <w:rFonts w:ascii="宋体" w:cs="宋体"/>
                <w:color w:val="000000"/>
                <w:sz w:val="24"/>
                <w:highlight w:val="none"/>
              </w:rPr>
            </w:pPr>
            <w:r>
              <w:rPr>
                <w:rFonts w:hint="eastAsia" w:ascii="宋体" w:cs="宋体"/>
                <w:color w:val="000000"/>
                <w:sz w:val="24"/>
                <w:highlight w:val="none"/>
              </w:rPr>
              <w:t xml:space="preserve">……</w:t>
            </w:r>
            <w:r>
              <w:rPr>
                <w:rFonts w:ascii="宋体" w:cs="宋体"/>
                <w:color w:val="000000"/>
                <w:sz w:val="24"/>
                <w:highlight w:val="none"/>
              </w:rPr>
            </w:r>
            <w:r/>
          </w:p>
        </w:tc>
        <w:tc>
          <w:tcPr>
            <w:tcW w:w="3191" w:type="dxa"/>
            <w:vAlign w:val="top"/>
            <w:textDirection w:val="lrTb"/>
            <w:noWrap/>
          </w:tcPr>
          <w:p>
            <w:pPr>
              <w:pStyle w:val="768"/>
              <w:jc w:val="center"/>
              <w:spacing w:line="400" w:lineRule="exact"/>
              <w:rPr>
                <w:rFonts w:ascii="宋体" w:cs="宋体"/>
                <w:color w:val="000000"/>
                <w:sz w:val="24"/>
                <w:highlight w:val="none"/>
              </w:rPr>
            </w:pPr>
            <w:r>
              <w:rPr>
                <w:rFonts w:ascii="宋体" w:cs="宋体"/>
                <w:color w:val="000000"/>
                <w:sz w:val="24"/>
                <w:highlight w:val="none"/>
              </w:rPr>
            </w:r>
            <w:r/>
          </w:p>
        </w:tc>
        <w:tc>
          <w:tcPr>
            <w:tcW w:w="2128" w:type="dxa"/>
            <w:vAlign w:val="top"/>
            <w:textDirection w:val="lrTb"/>
            <w:noWrap/>
          </w:tcPr>
          <w:p>
            <w:pPr>
              <w:pStyle w:val="768"/>
              <w:jc w:val="center"/>
              <w:spacing w:line="400" w:lineRule="exact"/>
              <w:rPr>
                <w:rFonts w:ascii="宋体" w:cs="宋体"/>
                <w:color w:val="000000"/>
                <w:sz w:val="24"/>
                <w:highlight w:val="none"/>
              </w:rPr>
            </w:pPr>
            <w:r>
              <w:rPr>
                <w:rFonts w:ascii="宋体" w:cs="宋体"/>
                <w:color w:val="000000"/>
                <w:sz w:val="24"/>
                <w:highlight w:val="none"/>
              </w:rPr>
            </w:r>
            <w:r/>
          </w:p>
        </w:tc>
      </w:tr>
    </w:tbl>
    <w:p>
      <w:pPr>
        <w:pStyle w:val="768"/>
        <w:spacing w:line="400" w:lineRule="exact"/>
        <w:rPr>
          <w:rFonts w:ascii="宋体" w:cs="宋体"/>
          <w:color w:val="000000"/>
          <w:sz w:val="24"/>
          <w:highlight w:val="none"/>
        </w:rPr>
      </w:pPr>
      <w:r>
        <w:rPr>
          <w:rFonts w:hint="eastAsia" w:ascii="宋体" w:cs="宋体"/>
          <w:color w:val="000000"/>
          <w:sz w:val="24"/>
          <w:highlight w:val="none"/>
        </w:rPr>
        <w:t xml:space="preserve">附件  证明材料1，证明材料2，……</w:t>
      </w:r>
      <w:r>
        <w:rPr>
          <w:rFonts w:ascii="宋体" w:cs="宋体"/>
          <w:color w:val="000000"/>
          <w:sz w:val="24"/>
          <w:highlight w:val="none"/>
        </w:rPr>
      </w:r>
      <w:r/>
    </w:p>
    <w:p>
      <w:pPr>
        <w:pStyle w:val="768"/>
        <w:spacing w:line="400" w:lineRule="exact"/>
        <w:rPr>
          <w:rFonts w:ascii="宋体" w:cs="宋体"/>
          <w:color w:val="000000"/>
          <w:sz w:val="24"/>
          <w:highlight w:val="none"/>
        </w:rPr>
      </w:pPr>
      <w:r>
        <w:rPr>
          <w:rFonts w:ascii="宋体" w:cs="宋体"/>
          <w:color w:val="000000"/>
          <w:sz w:val="24"/>
          <w:highlight w:val="none"/>
        </w:rPr>
      </w:r>
      <w:r/>
    </w:p>
    <w:p>
      <w:pPr>
        <w:pStyle w:val="768"/>
        <w:spacing w:line="400" w:lineRule="exact"/>
        <w:rPr>
          <w:rFonts w:ascii="宋体" w:cs="宋体"/>
          <w:color w:val="000000"/>
          <w:sz w:val="24"/>
          <w:highlight w:val="none"/>
        </w:rPr>
      </w:pPr>
      <w:r>
        <w:rPr>
          <w:rFonts w:hint="eastAsia" w:ascii="宋体" w:cs="宋体"/>
          <w:color w:val="000000"/>
          <w:sz w:val="24"/>
          <w:highlight w:val="none"/>
        </w:rPr>
        <w:t xml:space="preserve">备注：</w:t>
      </w:r>
      <w:r>
        <w:rPr>
          <w:rFonts w:ascii="宋体" w:cs="宋体"/>
          <w:color w:val="000000"/>
          <w:sz w:val="24"/>
          <w:highlight w:val="none"/>
        </w:rPr>
      </w:r>
      <w:r/>
    </w:p>
    <w:p>
      <w:pPr>
        <w:pStyle w:val="768"/>
        <w:spacing w:line="400" w:lineRule="exact"/>
        <w:rPr>
          <w:rFonts w:ascii="宋体" w:cs="宋体"/>
          <w:color w:val="000000"/>
          <w:sz w:val="24"/>
          <w:highlight w:val="none"/>
        </w:rPr>
      </w:pPr>
      <w:r>
        <w:rPr>
          <w:rFonts w:hint="eastAsia" w:ascii="宋体" w:cs="宋体"/>
          <w:color w:val="000000"/>
          <w:sz w:val="24"/>
          <w:highlight w:val="none"/>
        </w:rPr>
        <w:t xml:space="preserve">1.投标人需对技术要求（</w:t>
      </w:r>
      <w:r>
        <w:rPr>
          <w:rFonts w:hint="eastAsia" w:ascii="宋体" w:cs="宋体"/>
          <w:iCs/>
          <w:color w:val="000000"/>
          <w:sz w:val="24"/>
          <w:highlight w:val="none"/>
          <w:u w:val="single"/>
        </w:rPr>
        <w:t xml:space="preserve">未打“★”内容</w:t>
      </w:r>
      <w:r>
        <w:rPr>
          <w:rFonts w:hint="eastAsia" w:ascii="宋体" w:cs="宋体"/>
          <w:color w:val="000000"/>
          <w:sz w:val="24"/>
          <w:highlight w:val="none"/>
        </w:rPr>
        <w:t xml:space="preserve">）逐条做出明确响应。</w:t>
      </w:r>
      <w:r>
        <w:rPr>
          <w:rFonts w:ascii="宋体" w:cs="宋体"/>
          <w:color w:val="000000"/>
          <w:sz w:val="24"/>
          <w:highlight w:val="none"/>
        </w:rPr>
      </w:r>
      <w:r/>
    </w:p>
    <w:p>
      <w:pPr>
        <w:pStyle w:val="768"/>
        <w:spacing w:line="400" w:lineRule="exact"/>
        <w:rPr>
          <w:rFonts w:ascii="宋体" w:cs="宋体"/>
          <w:color w:val="000000"/>
          <w:sz w:val="24"/>
          <w:highlight w:val="none"/>
        </w:rPr>
      </w:pPr>
      <w:r>
        <w:rPr>
          <w:rFonts w:hint="eastAsia" w:ascii="宋体" w:cs="宋体"/>
          <w:color w:val="000000"/>
          <w:sz w:val="24"/>
          <w:highlight w:val="none"/>
        </w:rPr>
        <w:t xml:space="preserve">2.如果招标文件要求提供证明材料，投标人需将证明材料列于该表之下。</w:t>
      </w:r>
      <w:r>
        <w:rPr>
          <w:rFonts w:ascii="宋体" w:cs="宋体"/>
          <w:color w:val="000000"/>
          <w:sz w:val="24"/>
          <w:highlight w:val="none"/>
        </w:rPr>
      </w:r>
      <w:r/>
    </w:p>
    <w:p>
      <w:pPr>
        <w:pStyle w:val="768"/>
        <w:spacing w:line="400" w:lineRule="exact"/>
        <w:rPr>
          <w:rFonts w:ascii="宋体" w:cs="宋体"/>
          <w:color w:val="000000"/>
          <w:sz w:val="24"/>
          <w:highlight w:val="none"/>
        </w:rPr>
      </w:pPr>
      <w:r>
        <w:rPr>
          <w:rFonts w:ascii="宋体" w:cs="宋体"/>
          <w:color w:val="000000"/>
          <w:sz w:val="24"/>
          <w:highlight w:val="none"/>
        </w:rPr>
      </w:r>
      <w:r/>
    </w:p>
    <w:p>
      <w:pPr>
        <w:pStyle w:val="1096"/>
        <w:rPr>
          <w:rFonts w:ascii="宋体" w:eastAsia="宋体" w:cs="宋体"/>
          <w:color w:val="000000"/>
          <w:highlight w:val="none"/>
        </w:rPr>
      </w:pPr>
      <w:r>
        <w:rPr>
          <w:rFonts w:ascii="宋体" w:eastAsia="宋体" w:cs="宋体"/>
          <w:color w:val="000000"/>
          <w:highlight w:val="none"/>
        </w:rPr>
      </w:r>
      <w:r/>
    </w:p>
    <w:p>
      <w:pPr>
        <w:pStyle w:val="768"/>
        <w:jc w:val="left"/>
        <w:spacing w:line="360" w:lineRule="auto"/>
        <w:rPr>
          <w:rFonts w:ascii="宋体" w:cs="宋体"/>
          <w:b/>
          <w:color w:val="000000"/>
          <w:sz w:val="32"/>
          <w:highlight w:val="none"/>
        </w:rPr>
      </w:pPr>
      <w:r>
        <w:rPr>
          <w:rFonts w:ascii="宋体" w:cs="宋体"/>
          <w:b/>
          <w:color w:val="000000"/>
          <w:sz w:val="32"/>
          <w:highlight w:val="none"/>
        </w:rPr>
      </w:r>
      <w:r/>
    </w:p>
    <w:p>
      <w:pPr>
        <w:pStyle w:val="768"/>
        <w:jc w:val="center"/>
        <w:rPr>
          <w:rFonts w:ascii="宋体" w:cs="宋体"/>
          <w:b/>
          <w:color w:val="000000"/>
          <w:sz w:val="24"/>
          <w:highlight w:val="none"/>
        </w:rPr>
      </w:pPr>
      <w:r>
        <w:rPr>
          <w:rFonts w:hint="eastAsia" w:ascii="宋体" w:cs="宋体"/>
          <w:b/>
          <w:color w:val="000000"/>
          <w:sz w:val="24"/>
          <w:highlight w:val="none"/>
        </w:rPr>
        <w:t xml:space="preserve">商务要求响应及偏离表（采购包号：    ）</w:t>
      </w:r>
      <w:r>
        <w:rPr>
          <w:rFonts w:ascii="宋体" w:cs="宋体"/>
          <w:b/>
          <w:color w:val="000000"/>
          <w:sz w:val="24"/>
          <w:highlight w:val="none"/>
        </w:rPr>
      </w:r>
      <w:r/>
    </w:p>
    <w:tbl>
      <w:tblPr>
        <w:tblW w:w="844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508"/>
        <w:gridCol w:w="2324"/>
      </w:tblGrid>
      <w:tr>
        <w:trPr>
          <w:cantSplit/>
        </w:trPr>
        <w:tc>
          <w:tcPr>
            <w:tcW w:w="545" w:type="dxa"/>
            <w:vAlign w:val="center"/>
            <w:textDirection w:val="lrTb"/>
            <w:noWrap/>
          </w:tcPr>
          <w:p>
            <w:pPr>
              <w:pStyle w:val="768"/>
              <w:jc w:val="center"/>
              <w:spacing w:line="400" w:lineRule="exact"/>
              <w:rPr>
                <w:rFonts w:ascii="宋体" w:cs="宋体"/>
                <w:color w:val="000000"/>
                <w:sz w:val="24"/>
                <w:highlight w:val="none"/>
              </w:rPr>
            </w:pPr>
            <w:r>
              <w:rPr>
                <w:rFonts w:hint="eastAsia" w:ascii="宋体" w:cs="宋体"/>
                <w:color w:val="000000"/>
                <w:sz w:val="24"/>
                <w:highlight w:val="none"/>
              </w:rPr>
              <w:t xml:space="preserve">序号</w:t>
            </w:r>
            <w:r>
              <w:rPr>
                <w:rFonts w:ascii="宋体" w:cs="宋体"/>
                <w:color w:val="000000"/>
                <w:sz w:val="24"/>
                <w:highlight w:val="none"/>
              </w:rPr>
            </w:r>
            <w:r/>
          </w:p>
        </w:tc>
        <w:tc>
          <w:tcPr>
            <w:tcW w:w="3063" w:type="dxa"/>
            <w:vAlign w:val="center"/>
            <w:textDirection w:val="lrTb"/>
            <w:noWrap/>
          </w:tcPr>
          <w:p>
            <w:pPr>
              <w:pStyle w:val="768"/>
              <w:jc w:val="center"/>
              <w:spacing w:line="400" w:lineRule="exact"/>
              <w:rPr>
                <w:rFonts w:ascii="宋体" w:cs="宋体"/>
                <w:color w:val="000000"/>
                <w:sz w:val="24"/>
                <w:highlight w:val="none"/>
              </w:rPr>
            </w:pPr>
            <w:r>
              <w:rPr>
                <w:rFonts w:hint="eastAsia" w:ascii="宋体" w:cs="宋体"/>
                <w:color w:val="000000"/>
                <w:sz w:val="24"/>
                <w:highlight w:val="none"/>
              </w:rPr>
              <w:t xml:space="preserve">商务要求</w:t>
            </w:r>
            <w:r>
              <w:rPr>
                <w:rFonts w:ascii="宋体" w:cs="宋体"/>
                <w:color w:val="000000"/>
                <w:sz w:val="24"/>
                <w:highlight w:val="none"/>
              </w:rPr>
            </w:r>
            <w:r/>
          </w:p>
        </w:tc>
        <w:tc>
          <w:tcPr>
            <w:tcW w:w="2508" w:type="dxa"/>
            <w:vAlign w:val="center"/>
            <w:textDirection w:val="lrTb"/>
            <w:noWrap/>
          </w:tcPr>
          <w:p>
            <w:pPr>
              <w:pStyle w:val="768"/>
              <w:jc w:val="center"/>
              <w:spacing w:line="400" w:lineRule="exact"/>
              <w:rPr>
                <w:rFonts w:ascii="宋体" w:cs="宋体"/>
                <w:color w:val="000000"/>
                <w:sz w:val="24"/>
                <w:highlight w:val="none"/>
              </w:rPr>
            </w:pPr>
            <w:r>
              <w:rPr>
                <w:rFonts w:hint="eastAsia" w:ascii="宋体" w:cs="宋体"/>
                <w:color w:val="000000"/>
                <w:sz w:val="24"/>
                <w:highlight w:val="none"/>
              </w:rPr>
              <w:t xml:space="preserve">投标响应情况</w:t>
            </w:r>
            <w:r>
              <w:rPr>
                <w:rFonts w:ascii="宋体" w:cs="宋体"/>
                <w:color w:val="000000"/>
                <w:sz w:val="24"/>
                <w:highlight w:val="none"/>
              </w:rPr>
            </w:r>
            <w:r/>
          </w:p>
        </w:tc>
        <w:tc>
          <w:tcPr>
            <w:tcW w:w="2324" w:type="dxa"/>
            <w:vAlign w:val="center"/>
            <w:textDirection w:val="lrTb"/>
            <w:noWrap/>
          </w:tcPr>
          <w:p>
            <w:pPr>
              <w:pStyle w:val="768"/>
              <w:jc w:val="center"/>
              <w:spacing w:line="400" w:lineRule="exact"/>
              <w:rPr>
                <w:rFonts w:ascii="宋体" w:cs="宋体"/>
                <w:color w:val="000000"/>
                <w:sz w:val="24"/>
                <w:highlight w:val="none"/>
              </w:rPr>
            </w:pPr>
            <w:r>
              <w:rPr>
                <w:rFonts w:hint="eastAsia" w:ascii="宋体" w:cs="宋体"/>
                <w:color w:val="000000"/>
                <w:sz w:val="24"/>
                <w:highlight w:val="none"/>
              </w:rPr>
              <w:t xml:space="preserve">超出、符合或偏离</w:t>
            </w:r>
            <w:r>
              <w:rPr>
                <w:rFonts w:ascii="宋体" w:cs="宋体"/>
                <w:color w:val="000000"/>
                <w:sz w:val="24"/>
                <w:highlight w:val="none"/>
              </w:rPr>
            </w:r>
            <w:r/>
          </w:p>
        </w:tc>
      </w:tr>
      <w:tr>
        <w:trPr>
          <w:cantSplit/>
          <w:trHeight w:val="640"/>
        </w:trPr>
        <w:tc>
          <w:tcPr>
            <w:tcW w:w="545" w:type="dxa"/>
            <w:vAlign w:val="top"/>
            <w:textDirection w:val="lrTb"/>
            <w:noWrap/>
          </w:tcPr>
          <w:p>
            <w:pPr>
              <w:pStyle w:val="768"/>
              <w:jc w:val="center"/>
              <w:spacing w:line="400" w:lineRule="exact"/>
              <w:rPr>
                <w:rFonts w:ascii="宋体" w:cs="宋体"/>
                <w:color w:val="000000"/>
                <w:sz w:val="24"/>
                <w:highlight w:val="none"/>
              </w:rPr>
            </w:pPr>
            <w:r>
              <w:rPr>
                <w:rFonts w:hint="eastAsia" w:ascii="宋体" w:cs="宋体"/>
                <w:color w:val="000000"/>
                <w:sz w:val="24"/>
                <w:highlight w:val="none"/>
              </w:rPr>
              <w:t xml:space="preserve">1</w:t>
            </w:r>
            <w:r>
              <w:rPr>
                <w:rFonts w:ascii="宋体" w:cs="宋体"/>
                <w:color w:val="000000"/>
                <w:sz w:val="24"/>
                <w:highlight w:val="none"/>
              </w:rPr>
            </w:r>
            <w:r/>
          </w:p>
        </w:tc>
        <w:tc>
          <w:tcPr>
            <w:tcW w:w="3063" w:type="dxa"/>
            <w:vAlign w:val="top"/>
            <w:textDirection w:val="lrTb"/>
            <w:noWrap/>
          </w:tcPr>
          <w:p>
            <w:pPr>
              <w:pStyle w:val="768"/>
              <w:jc w:val="center"/>
              <w:spacing w:line="400" w:lineRule="exact"/>
              <w:rPr>
                <w:rFonts w:ascii="宋体" w:cs="宋体"/>
                <w:color w:val="000000"/>
                <w:sz w:val="24"/>
                <w:highlight w:val="none"/>
              </w:rPr>
            </w:pPr>
            <w:r>
              <w:rPr>
                <w:rFonts w:ascii="宋体" w:cs="宋体"/>
                <w:color w:val="000000"/>
                <w:sz w:val="24"/>
                <w:highlight w:val="none"/>
              </w:rPr>
            </w:r>
            <w:r/>
          </w:p>
        </w:tc>
        <w:tc>
          <w:tcPr>
            <w:tcW w:w="2508" w:type="dxa"/>
            <w:vAlign w:val="top"/>
            <w:textDirection w:val="lrTb"/>
            <w:noWrap/>
          </w:tcPr>
          <w:p>
            <w:pPr>
              <w:pStyle w:val="768"/>
              <w:jc w:val="center"/>
              <w:spacing w:line="400" w:lineRule="exact"/>
              <w:rPr>
                <w:rFonts w:ascii="宋体" w:cs="宋体"/>
                <w:color w:val="000000"/>
                <w:sz w:val="24"/>
                <w:highlight w:val="none"/>
              </w:rPr>
            </w:pPr>
            <w:r>
              <w:rPr>
                <w:rFonts w:ascii="宋体" w:cs="宋体"/>
                <w:color w:val="000000"/>
                <w:sz w:val="24"/>
                <w:highlight w:val="none"/>
              </w:rPr>
            </w:r>
            <w:r/>
          </w:p>
        </w:tc>
        <w:tc>
          <w:tcPr>
            <w:tcW w:w="2324" w:type="dxa"/>
            <w:vAlign w:val="top"/>
            <w:textDirection w:val="lrTb"/>
            <w:noWrap/>
          </w:tcPr>
          <w:p>
            <w:pPr>
              <w:pStyle w:val="768"/>
              <w:jc w:val="center"/>
              <w:spacing w:line="400" w:lineRule="exact"/>
              <w:rPr>
                <w:rFonts w:ascii="宋体" w:cs="宋体"/>
                <w:color w:val="000000"/>
                <w:sz w:val="24"/>
                <w:highlight w:val="none"/>
              </w:rPr>
            </w:pPr>
            <w:r>
              <w:rPr>
                <w:rFonts w:ascii="宋体" w:cs="宋体"/>
                <w:color w:val="000000"/>
                <w:sz w:val="24"/>
                <w:highlight w:val="none"/>
              </w:rPr>
            </w:r>
            <w:r/>
          </w:p>
        </w:tc>
      </w:tr>
      <w:tr>
        <w:trPr>
          <w:cantSplit/>
          <w:trHeight w:val="640"/>
        </w:trPr>
        <w:tc>
          <w:tcPr>
            <w:tcW w:w="545" w:type="dxa"/>
            <w:vAlign w:val="top"/>
            <w:textDirection w:val="lrTb"/>
            <w:noWrap/>
          </w:tcPr>
          <w:p>
            <w:pPr>
              <w:pStyle w:val="768"/>
              <w:jc w:val="center"/>
              <w:spacing w:line="400" w:lineRule="exact"/>
              <w:rPr>
                <w:rFonts w:ascii="宋体" w:cs="宋体"/>
                <w:color w:val="000000"/>
                <w:sz w:val="24"/>
                <w:highlight w:val="none"/>
              </w:rPr>
            </w:pPr>
            <w:r>
              <w:rPr>
                <w:rFonts w:ascii="宋体" w:cs="宋体"/>
                <w:color w:val="000000"/>
                <w:sz w:val="24"/>
                <w:highlight w:val="none"/>
              </w:rPr>
            </w:r>
            <w:r/>
          </w:p>
        </w:tc>
        <w:tc>
          <w:tcPr>
            <w:tcW w:w="3063" w:type="dxa"/>
            <w:vAlign w:val="top"/>
            <w:textDirection w:val="lrTb"/>
            <w:noWrap/>
          </w:tcPr>
          <w:p>
            <w:pPr>
              <w:pStyle w:val="768"/>
              <w:jc w:val="center"/>
              <w:spacing w:line="400" w:lineRule="exact"/>
              <w:rPr>
                <w:rFonts w:ascii="宋体" w:cs="宋体"/>
                <w:color w:val="000000"/>
                <w:sz w:val="24"/>
                <w:highlight w:val="none"/>
              </w:rPr>
            </w:pPr>
            <w:r>
              <w:rPr>
                <w:rFonts w:hint="eastAsia" w:ascii="宋体" w:cs="宋体"/>
                <w:color w:val="000000"/>
                <w:sz w:val="24"/>
                <w:highlight w:val="none"/>
              </w:rPr>
              <w:t xml:space="preserve">……</w:t>
            </w:r>
            <w:r>
              <w:rPr>
                <w:rFonts w:ascii="宋体" w:cs="宋体"/>
                <w:color w:val="000000"/>
                <w:sz w:val="24"/>
                <w:highlight w:val="none"/>
              </w:rPr>
            </w:r>
            <w:r/>
          </w:p>
        </w:tc>
        <w:tc>
          <w:tcPr>
            <w:tcW w:w="2508" w:type="dxa"/>
            <w:vAlign w:val="top"/>
            <w:textDirection w:val="lrTb"/>
            <w:noWrap/>
          </w:tcPr>
          <w:p>
            <w:pPr>
              <w:pStyle w:val="768"/>
              <w:jc w:val="center"/>
              <w:spacing w:line="400" w:lineRule="exact"/>
              <w:rPr>
                <w:rFonts w:ascii="宋体" w:cs="宋体"/>
                <w:color w:val="000000"/>
                <w:sz w:val="24"/>
                <w:highlight w:val="none"/>
              </w:rPr>
            </w:pPr>
            <w:r>
              <w:rPr>
                <w:rFonts w:ascii="宋体" w:cs="宋体"/>
                <w:color w:val="000000"/>
                <w:sz w:val="24"/>
                <w:highlight w:val="none"/>
              </w:rPr>
            </w:r>
            <w:r/>
          </w:p>
        </w:tc>
        <w:tc>
          <w:tcPr>
            <w:tcW w:w="2324" w:type="dxa"/>
            <w:vAlign w:val="top"/>
            <w:textDirection w:val="lrTb"/>
            <w:noWrap/>
          </w:tcPr>
          <w:p>
            <w:pPr>
              <w:pStyle w:val="768"/>
              <w:jc w:val="center"/>
              <w:spacing w:line="400" w:lineRule="exact"/>
              <w:rPr>
                <w:rFonts w:ascii="宋体" w:cs="宋体"/>
                <w:color w:val="000000"/>
                <w:sz w:val="24"/>
                <w:highlight w:val="none"/>
              </w:rPr>
            </w:pPr>
            <w:r>
              <w:rPr>
                <w:rFonts w:ascii="宋体" w:cs="宋体"/>
                <w:color w:val="000000"/>
                <w:sz w:val="24"/>
                <w:highlight w:val="none"/>
              </w:rPr>
            </w:r>
            <w:r/>
          </w:p>
        </w:tc>
      </w:tr>
    </w:tbl>
    <w:p>
      <w:pPr>
        <w:pStyle w:val="768"/>
        <w:spacing w:line="400" w:lineRule="exact"/>
        <w:rPr>
          <w:rFonts w:ascii="宋体" w:cs="宋体"/>
          <w:color w:val="000000"/>
          <w:sz w:val="24"/>
          <w:highlight w:val="none"/>
        </w:rPr>
      </w:pPr>
      <w:r>
        <w:rPr>
          <w:rFonts w:hint="eastAsia" w:ascii="宋体" w:cs="宋体"/>
          <w:color w:val="000000"/>
          <w:sz w:val="24"/>
          <w:highlight w:val="none"/>
        </w:rPr>
        <w:t xml:space="preserve">附件  证明材料1，证明材料2，……</w:t>
      </w:r>
      <w:r>
        <w:rPr>
          <w:rFonts w:ascii="宋体" w:cs="宋体"/>
          <w:color w:val="000000"/>
          <w:sz w:val="24"/>
          <w:highlight w:val="none"/>
        </w:rPr>
      </w:r>
      <w:r/>
    </w:p>
    <w:p>
      <w:pPr>
        <w:pStyle w:val="768"/>
        <w:spacing w:line="400" w:lineRule="exact"/>
        <w:rPr>
          <w:rFonts w:ascii="宋体" w:cs="宋体"/>
          <w:color w:val="000000"/>
          <w:sz w:val="24"/>
          <w:highlight w:val="none"/>
        </w:rPr>
      </w:pPr>
      <w:r>
        <w:rPr>
          <w:rFonts w:ascii="宋体" w:cs="宋体"/>
          <w:color w:val="000000"/>
          <w:sz w:val="24"/>
          <w:highlight w:val="none"/>
        </w:rPr>
      </w:r>
      <w:r/>
    </w:p>
    <w:p>
      <w:pPr>
        <w:pStyle w:val="768"/>
        <w:spacing w:line="400" w:lineRule="exact"/>
        <w:rPr>
          <w:rFonts w:ascii="宋体" w:cs="宋体"/>
          <w:color w:val="000000"/>
          <w:sz w:val="24"/>
          <w:highlight w:val="none"/>
        </w:rPr>
      </w:pPr>
      <w:r>
        <w:rPr>
          <w:rFonts w:hint="eastAsia" w:ascii="宋体" w:cs="宋体"/>
          <w:color w:val="000000"/>
          <w:sz w:val="24"/>
          <w:highlight w:val="none"/>
        </w:rPr>
        <w:t xml:space="preserve">备注：</w:t>
      </w:r>
      <w:r>
        <w:rPr>
          <w:rFonts w:ascii="宋体" w:cs="宋体"/>
          <w:color w:val="000000"/>
          <w:sz w:val="24"/>
          <w:highlight w:val="none"/>
        </w:rPr>
      </w:r>
      <w:r/>
    </w:p>
    <w:p>
      <w:pPr>
        <w:pStyle w:val="768"/>
        <w:spacing w:line="400" w:lineRule="exact"/>
        <w:rPr>
          <w:rFonts w:ascii="宋体" w:cs="宋体"/>
          <w:color w:val="000000"/>
          <w:sz w:val="24"/>
          <w:highlight w:val="none"/>
        </w:rPr>
      </w:pPr>
      <w:r>
        <w:rPr>
          <w:rFonts w:hint="eastAsia" w:ascii="宋体" w:cs="宋体"/>
          <w:color w:val="000000"/>
          <w:sz w:val="24"/>
          <w:highlight w:val="none"/>
        </w:rPr>
        <w:t xml:space="preserve">1.投标人需对商务要求（</w:t>
      </w:r>
      <w:r>
        <w:rPr>
          <w:rFonts w:hint="eastAsia" w:ascii="宋体" w:cs="宋体"/>
          <w:iCs/>
          <w:color w:val="000000"/>
          <w:sz w:val="24"/>
          <w:highlight w:val="none"/>
          <w:u w:val="single"/>
        </w:rPr>
        <w:t xml:space="preserve">未打“★”内容</w:t>
      </w:r>
      <w:r>
        <w:rPr>
          <w:rFonts w:hint="eastAsia" w:ascii="宋体" w:cs="宋体"/>
          <w:color w:val="000000"/>
          <w:sz w:val="24"/>
          <w:highlight w:val="none"/>
        </w:rPr>
        <w:t xml:space="preserve">）逐条做出明确响应。</w:t>
      </w:r>
      <w:r>
        <w:rPr>
          <w:rFonts w:ascii="宋体" w:cs="宋体"/>
          <w:color w:val="000000"/>
          <w:sz w:val="24"/>
          <w:highlight w:val="none"/>
        </w:rPr>
      </w:r>
      <w:r/>
    </w:p>
    <w:p>
      <w:pPr>
        <w:pStyle w:val="768"/>
        <w:spacing w:line="400" w:lineRule="exact"/>
        <w:rPr>
          <w:rFonts w:ascii="Times New Roman" w:hAnsi="Times New Roman"/>
          <w:color w:val="000000"/>
          <w:sz w:val="24"/>
          <w:szCs w:val="21"/>
          <w:highlight w:val="none"/>
        </w:rPr>
      </w:pPr>
      <w:r>
        <w:rPr>
          <w:rFonts w:hint="eastAsia" w:ascii="宋体" w:cs="宋体"/>
          <w:color w:val="000000"/>
          <w:sz w:val="24"/>
          <w:highlight w:val="none"/>
        </w:rPr>
        <w:t xml:space="preserve">2.如果招标文件要求提供证明材料，投标人需将证明材料列于该表之下。</w:t>
      </w:r>
      <w:r>
        <w:rPr>
          <w:rFonts w:ascii="Times New Roman" w:hAnsi="Times New Roman"/>
          <w:color w:val="000000"/>
          <w:sz w:val="24"/>
          <w:szCs w:val="21"/>
          <w:highlight w:val="none"/>
        </w:rPr>
      </w:r>
      <w:r/>
    </w:p>
    <w:p>
      <w:pPr>
        <w:pStyle w:val="768"/>
        <w:rPr>
          <w:rFonts w:ascii="宋体" w:hAnsi="宋体" w:cs="宋体"/>
          <w:color w:val="000000"/>
          <w:highlight w:val="none"/>
        </w:rPr>
      </w:pPr>
      <w:r>
        <w:rPr>
          <w:rFonts w:hint="eastAsia" w:ascii="宋体" w:hAnsi="宋体" w:cs="宋体"/>
          <w:bCs/>
          <w:color w:val="000000"/>
          <w:highlight w:val="none"/>
        </w:rPr>
        <w:br w:type="page" w:clear="all"/>
      </w:r>
      <w:r>
        <w:rPr>
          <w:rFonts w:ascii="宋体" w:hAnsi="宋体" w:cs="宋体"/>
          <w:color w:val="000000"/>
          <w:highlight w:val="none"/>
        </w:rPr>
      </w:r>
      <w:r/>
    </w:p>
    <w:p>
      <w:pPr>
        <w:pStyle w:val="1241"/>
        <w:rPr>
          <w:rFonts w:ascii="宋体" w:hAnsi="宋体" w:eastAsia="宋体" w:cs="宋体"/>
          <w:color w:val="000000"/>
          <w:highlight w:val="none"/>
        </w:rPr>
      </w:pPr>
      <w:r/>
      <w:bookmarkStart w:id="156" w:name="_Toc25337"/>
      <w:r/>
      <w:bookmarkStart w:id="157" w:name="_Toc15871"/>
      <w:r>
        <w:rPr>
          <w:rFonts w:hint="eastAsia" w:ascii="宋体" w:hAnsi="宋体" w:eastAsia="宋体" w:cs="宋体"/>
          <w:bCs/>
          <w:color w:val="000000"/>
          <w:highlight w:val="none"/>
          <w:lang w:val="en-US" w:eastAsia="zh-CN"/>
        </w:rPr>
        <w:t xml:space="preserve">八</w:t>
      </w:r>
      <w:r>
        <w:rPr>
          <w:rFonts w:hint="eastAsia" w:ascii="宋体" w:hAnsi="宋体" w:eastAsia="宋体" w:cs="宋体"/>
          <w:bCs/>
          <w:color w:val="000000"/>
          <w:highlight w:val="none"/>
        </w:rPr>
        <w:t xml:space="preserve">、项目组人员</w:t>
      </w:r>
      <w:r>
        <w:rPr>
          <w:rFonts w:ascii="宋体" w:hAnsi="宋体" w:eastAsia="宋体" w:cs="宋体"/>
          <w:color w:val="000000"/>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67"/>
              <w:jc w:val="center"/>
              <w:spacing w:beforeAutospacing="1" w:line="560" w:lineRule="exact"/>
              <w:widowControl/>
              <w:rPr>
                <w:rFonts w:ascii="宋体" w:hAnsi="宋体" w:cs="仿宋"/>
                <w:color w:val="000000"/>
                <w:sz w:val="28"/>
                <w:szCs w:val="28"/>
                <w:highlight w:val="none"/>
              </w:rPr>
              <w:framePr w:vAnchor="page" w:hAnchor="page" w:xAlign="center" w:y="74"/>
            </w:pPr>
            <w:r>
              <w:rPr>
                <w:rFonts w:hint="eastAsia" w:ascii="宋体" w:hAnsi="宋体" w:cs="仿宋"/>
                <w:color w:val="000000"/>
                <w:sz w:val="28"/>
                <w:szCs w:val="28"/>
                <w:highlight w:val="none"/>
              </w:rPr>
              <w:t xml:space="preserve">姓名</w:t>
            </w:r>
            <w:r>
              <w:rPr>
                <w:rFonts w:ascii="宋体" w:hAnsi="宋体" w:cs="仿宋"/>
                <w:color w:val="000000"/>
                <w:sz w:val="28"/>
                <w:szCs w:val="28"/>
                <w:highlight w:val="none"/>
              </w:rPr>
            </w:r>
            <w:r/>
          </w:p>
        </w:tc>
        <w:tc>
          <w:tcPr>
            <w:tcW w:w="1843" w:type="dxa"/>
            <w:vAlign w:val="center"/>
            <w:textDirection w:val="lrTb"/>
            <w:noWrap w:val="false"/>
          </w:tcPr>
          <w:p>
            <w:pPr>
              <w:pStyle w:val="1167"/>
              <w:jc w:val="center"/>
              <w:spacing w:beforeAutospacing="1" w:line="560" w:lineRule="exact"/>
              <w:widowControl/>
              <w:rPr>
                <w:rFonts w:ascii="宋体" w:hAnsi="宋体" w:cs="仿宋"/>
                <w:color w:val="000000"/>
                <w:sz w:val="28"/>
                <w:szCs w:val="28"/>
                <w:highlight w:val="none"/>
              </w:rPr>
              <w:framePr w:vAnchor="page" w:hAnchor="page" w:xAlign="center" w:y="74"/>
            </w:pPr>
            <w:r>
              <w:rPr>
                <w:rFonts w:hint="eastAsia" w:ascii="宋体" w:hAnsi="宋体" w:cs="仿宋"/>
                <w:color w:val="000000"/>
                <w:sz w:val="28"/>
                <w:szCs w:val="28"/>
                <w:highlight w:val="none"/>
              </w:rPr>
              <w:t xml:space="preserve">职务</w:t>
            </w:r>
            <w:r>
              <w:rPr>
                <w:rFonts w:ascii="宋体" w:hAnsi="宋体" w:cs="仿宋"/>
                <w:color w:val="000000"/>
                <w:sz w:val="28"/>
                <w:szCs w:val="28"/>
                <w:highlight w:val="none"/>
              </w:rPr>
            </w:r>
            <w:r/>
          </w:p>
        </w:tc>
        <w:tc>
          <w:tcPr>
            <w:tcW w:w="992" w:type="dxa"/>
            <w:vAlign w:val="center"/>
            <w:textDirection w:val="lrTb"/>
            <w:noWrap w:val="false"/>
          </w:tcPr>
          <w:p>
            <w:pPr>
              <w:pStyle w:val="1167"/>
              <w:jc w:val="center"/>
              <w:spacing w:beforeAutospacing="1" w:line="560" w:lineRule="exact"/>
              <w:widowControl/>
              <w:rPr>
                <w:rFonts w:ascii="宋体" w:hAnsi="宋体" w:cs="仿宋"/>
                <w:color w:val="000000"/>
                <w:sz w:val="28"/>
                <w:szCs w:val="28"/>
                <w:highlight w:val="none"/>
              </w:rPr>
              <w:framePr w:vAnchor="page" w:hAnchor="page" w:xAlign="center" w:y="74"/>
            </w:pPr>
            <w:r>
              <w:rPr>
                <w:rFonts w:hint="eastAsia" w:ascii="宋体" w:hAnsi="宋体" w:cs="仿宋"/>
                <w:color w:val="000000"/>
                <w:sz w:val="28"/>
                <w:szCs w:val="28"/>
                <w:highlight w:val="none"/>
              </w:rPr>
              <w:t xml:space="preserve">学历</w:t>
            </w:r>
            <w:r>
              <w:rPr>
                <w:rFonts w:ascii="宋体" w:hAnsi="宋体" w:cs="仿宋"/>
                <w:color w:val="000000"/>
                <w:sz w:val="28"/>
                <w:szCs w:val="28"/>
                <w:highlight w:val="none"/>
              </w:rPr>
            </w:r>
            <w:r/>
          </w:p>
        </w:tc>
        <w:tc>
          <w:tcPr>
            <w:tcW w:w="1984" w:type="dxa"/>
            <w:vAlign w:val="center"/>
            <w:textDirection w:val="lrTb"/>
            <w:noWrap w:val="false"/>
          </w:tcPr>
          <w:p>
            <w:pPr>
              <w:pStyle w:val="1167"/>
              <w:ind w:firstLine="280"/>
              <w:spacing w:beforeAutospacing="1" w:line="560" w:lineRule="exact"/>
              <w:widowControl/>
              <w:rPr>
                <w:rFonts w:ascii="宋体" w:hAnsi="宋体" w:cs="仿宋"/>
                <w:color w:val="000000"/>
                <w:sz w:val="28"/>
                <w:szCs w:val="28"/>
                <w:highlight w:val="none"/>
              </w:rPr>
              <w:framePr w:vAnchor="page" w:hAnchor="page" w:xAlign="center" w:y="74"/>
            </w:pPr>
            <w:r>
              <w:rPr>
                <w:rFonts w:hint="eastAsia" w:ascii="宋体" w:hAnsi="宋体" w:cs="仿宋"/>
                <w:color w:val="000000"/>
                <w:sz w:val="28"/>
                <w:szCs w:val="28"/>
                <w:highlight w:val="none"/>
              </w:rPr>
              <w:t xml:space="preserve">身份证号</w:t>
            </w:r>
            <w:r>
              <w:rPr>
                <w:rFonts w:ascii="宋体" w:hAnsi="宋体" w:cs="仿宋"/>
                <w:color w:val="000000"/>
                <w:sz w:val="28"/>
                <w:szCs w:val="28"/>
                <w:highlight w:val="none"/>
              </w:rPr>
            </w:r>
            <w:r/>
          </w:p>
        </w:tc>
        <w:tc>
          <w:tcPr>
            <w:tcW w:w="1702" w:type="dxa"/>
            <w:vAlign w:val="center"/>
            <w:textDirection w:val="lrTb"/>
            <w:noWrap w:val="false"/>
          </w:tcPr>
          <w:p>
            <w:pPr>
              <w:pStyle w:val="1167"/>
              <w:jc w:val="center"/>
              <w:spacing w:beforeAutospacing="1" w:line="560" w:lineRule="exact"/>
              <w:widowControl/>
              <w:rPr>
                <w:rFonts w:ascii="宋体" w:hAnsi="宋体" w:cs="仿宋"/>
                <w:color w:val="000000"/>
                <w:sz w:val="28"/>
                <w:szCs w:val="28"/>
                <w:highlight w:val="none"/>
              </w:rPr>
              <w:framePr w:vAnchor="page" w:hAnchor="page" w:xAlign="center" w:y="74"/>
            </w:pPr>
            <w:r>
              <w:rPr>
                <w:rFonts w:hint="eastAsia" w:ascii="宋体" w:hAnsi="宋体" w:cs="仿宋"/>
                <w:color w:val="000000"/>
                <w:sz w:val="28"/>
                <w:szCs w:val="28"/>
                <w:highlight w:val="none"/>
              </w:rPr>
              <w:t xml:space="preserve">相关证书</w:t>
            </w:r>
            <w:r>
              <w:rPr>
                <w:rFonts w:ascii="宋体" w:hAnsi="宋体" w:cs="仿宋"/>
                <w:color w:val="000000"/>
                <w:sz w:val="28"/>
                <w:szCs w:val="28"/>
                <w:highlight w:val="none"/>
              </w:rPr>
            </w:r>
            <w:r/>
          </w:p>
        </w:tc>
        <w:tc>
          <w:tcPr>
            <w:tcW w:w="962" w:type="dxa"/>
            <w:vAlign w:val="center"/>
            <w:textDirection w:val="lrTb"/>
            <w:noWrap w:val="false"/>
          </w:tcPr>
          <w:p>
            <w:pPr>
              <w:pStyle w:val="1167"/>
              <w:spacing w:beforeAutospacing="1" w:line="560" w:lineRule="exact"/>
              <w:widowControl/>
              <w:rPr>
                <w:rFonts w:ascii="宋体" w:hAnsi="宋体" w:cs="仿宋"/>
                <w:color w:val="000000"/>
                <w:sz w:val="28"/>
                <w:szCs w:val="28"/>
                <w:highlight w:val="none"/>
              </w:rPr>
              <w:framePr w:vAnchor="page" w:hAnchor="page" w:xAlign="center" w:y="74"/>
            </w:pPr>
            <w:r>
              <w:rPr>
                <w:rFonts w:hint="eastAsia" w:ascii="宋体" w:hAnsi="宋体" w:cs="仿宋"/>
                <w:color w:val="000000"/>
                <w:sz w:val="28"/>
                <w:szCs w:val="28"/>
                <w:highlight w:val="none"/>
              </w:rPr>
              <w:t xml:space="preserve">备注</w:t>
            </w:r>
            <w:r>
              <w:rPr>
                <w:rFonts w:ascii="宋体" w:hAnsi="宋体" w:cs="仿宋"/>
                <w:color w:val="000000"/>
                <w:sz w:val="28"/>
                <w:szCs w:val="28"/>
                <w:highlight w:val="none"/>
              </w:rPr>
            </w:r>
            <w:r/>
          </w:p>
        </w:tc>
      </w:tr>
      <w:tr>
        <w:trPr>
          <w:trHeight w:val="729"/>
        </w:trPr>
        <w:tc>
          <w:tcPr>
            <w:tcW w:w="959"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843" w:type="dxa"/>
            <w:vAlign w:val="center"/>
            <w:textDirection w:val="lrTb"/>
            <w:noWrap w:val="false"/>
          </w:tcPr>
          <w:p>
            <w:pPr>
              <w:pStyle w:val="1227"/>
              <w:jc w:val="center"/>
              <w:rPr>
                <w:rFonts w:ascii="仿宋" w:hAnsi="仿宋" w:eastAsia="仿宋" w:cs="仿宋"/>
                <w:color w:val="000000"/>
                <w:sz w:val="20"/>
                <w:szCs w:val="20"/>
                <w:highlight w:val="none"/>
              </w:rPr>
              <w:framePr w:vAnchor="page" w:hAnchor="page" w:xAlign="center" w:y="74"/>
            </w:pPr>
            <w:r>
              <w:rPr>
                <w:rFonts w:ascii="仿宋" w:hAnsi="仿宋" w:eastAsia="仿宋" w:cs="仿宋"/>
                <w:color w:val="000000"/>
                <w:sz w:val="20"/>
                <w:szCs w:val="20"/>
                <w:highlight w:val="none"/>
              </w:rPr>
            </w:r>
            <w:r/>
          </w:p>
        </w:tc>
        <w:tc>
          <w:tcPr>
            <w:tcW w:w="99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984"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70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96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843" w:type="dxa"/>
            <w:vAlign w:val="center"/>
            <w:textDirection w:val="lrTb"/>
            <w:noWrap w:val="false"/>
          </w:tcPr>
          <w:p>
            <w:pPr>
              <w:pStyle w:val="1227"/>
              <w:jc w:val="center"/>
              <w:rPr>
                <w:rFonts w:ascii="仿宋" w:hAnsi="仿宋" w:eastAsia="仿宋" w:cs="仿宋"/>
                <w:color w:val="000000"/>
                <w:sz w:val="20"/>
                <w:szCs w:val="20"/>
                <w:highlight w:val="none"/>
              </w:rPr>
              <w:framePr w:vAnchor="page" w:hAnchor="page" w:xAlign="center" w:y="74"/>
            </w:pPr>
            <w:r>
              <w:rPr>
                <w:rFonts w:ascii="仿宋" w:hAnsi="仿宋" w:eastAsia="仿宋" w:cs="仿宋"/>
                <w:color w:val="000000"/>
                <w:sz w:val="20"/>
                <w:szCs w:val="20"/>
                <w:highlight w:val="none"/>
              </w:rPr>
            </w:r>
            <w:r/>
          </w:p>
        </w:tc>
        <w:tc>
          <w:tcPr>
            <w:tcW w:w="99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984"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70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96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843" w:type="dxa"/>
            <w:vAlign w:val="center"/>
            <w:textDirection w:val="lrTb"/>
            <w:noWrap w:val="false"/>
          </w:tcPr>
          <w:p>
            <w:pPr>
              <w:pStyle w:val="1227"/>
              <w:jc w:val="center"/>
              <w:rPr>
                <w:rFonts w:ascii="仿宋" w:hAnsi="仿宋" w:eastAsia="仿宋" w:cs="仿宋"/>
                <w:color w:val="000000"/>
                <w:sz w:val="20"/>
                <w:szCs w:val="20"/>
                <w:highlight w:val="none"/>
              </w:rPr>
              <w:framePr w:vAnchor="page" w:hAnchor="page" w:xAlign="center" w:y="74"/>
            </w:pPr>
            <w:r>
              <w:rPr>
                <w:rFonts w:ascii="仿宋" w:hAnsi="仿宋" w:eastAsia="仿宋" w:cs="仿宋"/>
                <w:color w:val="000000"/>
                <w:sz w:val="20"/>
                <w:szCs w:val="20"/>
                <w:highlight w:val="none"/>
              </w:rPr>
            </w:r>
            <w:r/>
          </w:p>
        </w:tc>
        <w:tc>
          <w:tcPr>
            <w:tcW w:w="99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984"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70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96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843" w:type="dxa"/>
            <w:vAlign w:val="center"/>
            <w:textDirection w:val="lrTb"/>
            <w:noWrap w:val="false"/>
          </w:tcPr>
          <w:p>
            <w:pPr>
              <w:pStyle w:val="1227"/>
              <w:jc w:val="center"/>
              <w:rPr>
                <w:rFonts w:ascii="仿宋" w:hAnsi="仿宋" w:eastAsia="仿宋" w:cs="仿宋"/>
                <w:color w:val="000000"/>
                <w:sz w:val="20"/>
                <w:szCs w:val="20"/>
                <w:highlight w:val="none"/>
              </w:rPr>
              <w:framePr w:vAnchor="page" w:hAnchor="page" w:xAlign="center" w:y="74"/>
            </w:pPr>
            <w:r>
              <w:rPr>
                <w:rFonts w:ascii="仿宋" w:hAnsi="仿宋" w:eastAsia="仿宋" w:cs="仿宋"/>
                <w:color w:val="000000"/>
                <w:sz w:val="20"/>
                <w:szCs w:val="20"/>
                <w:highlight w:val="none"/>
              </w:rPr>
            </w:r>
            <w:r/>
          </w:p>
        </w:tc>
        <w:tc>
          <w:tcPr>
            <w:tcW w:w="99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984"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70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96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843" w:type="dxa"/>
            <w:vAlign w:val="center"/>
            <w:textDirection w:val="lrTb"/>
            <w:noWrap w:val="false"/>
          </w:tcPr>
          <w:p>
            <w:pPr>
              <w:pStyle w:val="1227"/>
              <w:jc w:val="center"/>
              <w:rPr>
                <w:rFonts w:ascii="仿宋" w:hAnsi="仿宋" w:eastAsia="仿宋" w:cs="仿宋"/>
                <w:color w:val="000000"/>
                <w:sz w:val="20"/>
                <w:szCs w:val="20"/>
                <w:highlight w:val="none"/>
              </w:rPr>
              <w:framePr w:vAnchor="page" w:hAnchor="page" w:xAlign="center" w:y="74"/>
            </w:pPr>
            <w:r>
              <w:rPr>
                <w:rFonts w:ascii="仿宋" w:hAnsi="仿宋" w:eastAsia="仿宋" w:cs="仿宋"/>
                <w:color w:val="000000"/>
                <w:sz w:val="20"/>
                <w:szCs w:val="20"/>
                <w:highlight w:val="none"/>
              </w:rPr>
            </w:r>
            <w:r/>
          </w:p>
        </w:tc>
        <w:tc>
          <w:tcPr>
            <w:tcW w:w="99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984"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70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96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843" w:type="dxa"/>
            <w:vAlign w:val="center"/>
            <w:textDirection w:val="lrTb"/>
            <w:noWrap w:val="false"/>
          </w:tcPr>
          <w:p>
            <w:pPr>
              <w:pStyle w:val="1227"/>
              <w:jc w:val="center"/>
              <w:rPr>
                <w:rFonts w:ascii="仿宋" w:hAnsi="仿宋" w:eastAsia="仿宋" w:cs="仿宋"/>
                <w:color w:val="000000"/>
                <w:sz w:val="20"/>
                <w:szCs w:val="20"/>
                <w:highlight w:val="none"/>
              </w:rPr>
              <w:framePr w:vAnchor="page" w:hAnchor="page" w:xAlign="center" w:y="74"/>
            </w:pPr>
            <w:r>
              <w:rPr>
                <w:rFonts w:ascii="仿宋" w:hAnsi="仿宋" w:eastAsia="仿宋" w:cs="仿宋"/>
                <w:color w:val="000000"/>
                <w:sz w:val="20"/>
                <w:szCs w:val="20"/>
                <w:highlight w:val="none"/>
              </w:rPr>
            </w:r>
            <w:r/>
          </w:p>
        </w:tc>
        <w:tc>
          <w:tcPr>
            <w:tcW w:w="99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984"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70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96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843" w:type="dxa"/>
            <w:vAlign w:val="center"/>
            <w:textDirection w:val="lrTb"/>
            <w:noWrap w:val="false"/>
          </w:tcPr>
          <w:p>
            <w:pPr>
              <w:pStyle w:val="1227"/>
              <w:jc w:val="center"/>
              <w:rPr>
                <w:rFonts w:ascii="仿宋" w:hAnsi="仿宋" w:eastAsia="仿宋" w:cs="仿宋"/>
                <w:color w:val="000000"/>
                <w:sz w:val="20"/>
                <w:szCs w:val="20"/>
                <w:highlight w:val="none"/>
              </w:rPr>
              <w:framePr w:vAnchor="page" w:hAnchor="page" w:xAlign="center" w:y="74"/>
            </w:pPr>
            <w:r>
              <w:rPr>
                <w:rFonts w:ascii="仿宋" w:hAnsi="仿宋" w:eastAsia="仿宋" w:cs="仿宋"/>
                <w:color w:val="000000"/>
                <w:sz w:val="20"/>
                <w:szCs w:val="20"/>
                <w:highlight w:val="none"/>
              </w:rPr>
            </w:r>
            <w:r/>
          </w:p>
        </w:tc>
        <w:tc>
          <w:tcPr>
            <w:tcW w:w="99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984"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70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96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843" w:type="dxa"/>
            <w:vAlign w:val="center"/>
            <w:textDirection w:val="lrTb"/>
            <w:noWrap w:val="false"/>
          </w:tcPr>
          <w:p>
            <w:pPr>
              <w:pStyle w:val="1227"/>
              <w:jc w:val="center"/>
              <w:rPr>
                <w:rFonts w:ascii="仿宋" w:hAnsi="仿宋" w:eastAsia="仿宋" w:cs="仿宋"/>
                <w:color w:val="000000"/>
                <w:sz w:val="20"/>
                <w:szCs w:val="20"/>
                <w:highlight w:val="none"/>
              </w:rPr>
              <w:framePr w:vAnchor="page" w:hAnchor="page" w:xAlign="center" w:y="74"/>
            </w:pPr>
            <w:r>
              <w:rPr>
                <w:rFonts w:ascii="仿宋" w:hAnsi="仿宋" w:eastAsia="仿宋" w:cs="仿宋"/>
                <w:color w:val="000000"/>
                <w:sz w:val="20"/>
                <w:szCs w:val="20"/>
                <w:highlight w:val="none"/>
              </w:rPr>
            </w:r>
            <w:r/>
          </w:p>
        </w:tc>
        <w:tc>
          <w:tcPr>
            <w:tcW w:w="99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984"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170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c>
          <w:tcPr>
            <w:tcW w:w="962" w:type="dxa"/>
            <w:vAlign w:val="center"/>
            <w:textDirection w:val="lrTb"/>
            <w:noWrap w:val="false"/>
          </w:tcPr>
          <w:p>
            <w:pPr>
              <w:pStyle w:val="1167"/>
              <w:ind w:firstLine="560"/>
              <w:jc w:val="center"/>
              <w:spacing w:line="560" w:lineRule="exact"/>
              <w:widowControl/>
              <w:rPr>
                <w:rFonts w:ascii="仿宋" w:hAnsi="仿宋" w:eastAsia="仿宋" w:cs="仿宋"/>
                <w:color w:val="000000"/>
                <w:sz w:val="28"/>
                <w:szCs w:val="28"/>
                <w:highlight w:val="none"/>
              </w:rPr>
              <w:framePr w:vAnchor="page" w:hAnchor="page" w:xAlign="center" w:y="74"/>
            </w:pPr>
            <w:r>
              <w:rPr>
                <w:rFonts w:ascii="仿宋" w:hAnsi="仿宋" w:eastAsia="仿宋" w:cs="仿宋"/>
                <w:color w:val="000000"/>
                <w:sz w:val="28"/>
                <w:szCs w:val="28"/>
                <w:highlight w:val="none"/>
              </w:rPr>
            </w:r>
            <w:r/>
          </w:p>
        </w:tc>
      </w:tr>
    </w:tbl>
    <w:p>
      <w:pPr>
        <w:pStyle w:val="768"/>
        <w:ind w:firstLine="210"/>
        <w:spacing w:line="480" w:lineRule="exact"/>
        <w:rPr>
          <w:rFonts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 xml:space="preserve">注：如投标人中标，项目组成员按本表承诺人员操作，不得随意更换。按招标文件要求附相关人员证书。</w:t>
      </w:r>
      <w:bookmarkStart w:id="158" w:name="_格式2__法定代表人授权书"/>
      <w:r/>
      <w:bookmarkEnd w:id="158"/>
      <w:r>
        <w:rPr>
          <w:rFonts w:ascii="Times New Roman" w:hAnsi="Times New Roman" w:cs="宋体"/>
          <w:color w:val="000000"/>
          <w:sz w:val="24"/>
          <w:szCs w:val="20"/>
          <w:highlight w:val="none"/>
        </w:rPr>
      </w:r>
      <w:r/>
    </w:p>
    <w:p>
      <w:pPr>
        <w:pStyle w:val="768"/>
        <w:ind w:firstLine="210"/>
        <w:rPr>
          <w:rFonts w:ascii="仿宋" w:hAnsi="仿宋" w:eastAsia="仿宋" w:cs="仿宋"/>
          <w:color w:val="000000"/>
          <w:szCs w:val="21"/>
          <w:highlight w:val="none"/>
        </w:rPr>
      </w:pPr>
      <w:r>
        <w:rPr>
          <w:rFonts w:ascii="仿宋" w:hAnsi="仿宋" w:eastAsia="仿宋" w:cs="仿宋"/>
          <w:color w:val="000000"/>
          <w:szCs w:val="21"/>
          <w:highlight w:val="none"/>
        </w:rPr>
      </w:r>
      <w:r/>
    </w:p>
    <w:p>
      <w:pPr>
        <w:pStyle w:val="768"/>
        <w:ind w:firstLine="210"/>
        <w:rPr>
          <w:rFonts w:ascii="仿宋" w:hAnsi="仿宋" w:eastAsia="仿宋" w:cs="仿宋"/>
          <w:color w:val="000000"/>
          <w:szCs w:val="21"/>
          <w:highlight w:val="none"/>
        </w:rPr>
      </w:pPr>
      <w:r>
        <w:rPr>
          <w:rFonts w:ascii="仿宋" w:hAnsi="仿宋" w:eastAsia="仿宋" w:cs="仿宋"/>
          <w:color w:val="000000"/>
          <w:szCs w:val="21"/>
          <w:highlight w:val="none"/>
        </w:rPr>
      </w:r>
      <w:r/>
    </w:p>
    <w:p>
      <w:pPr>
        <w:pStyle w:val="1096"/>
        <w:ind w:left="210"/>
        <w:rPr>
          <w:rFonts w:ascii="宋体"/>
          <w:b w:val="0"/>
          <w:color w:val="000000"/>
          <w:szCs w:val="32"/>
          <w:highlight w:val="none"/>
        </w:rPr>
        <w:outlineLvl w:val="1"/>
      </w:pPr>
      <w:r>
        <w:rPr>
          <w:rFonts w:hint="eastAsia" w:ascii="宋体"/>
          <w:b w:val="0"/>
          <w:color w:val="000000"/>
          <w:szCs w:val="32"/>
          <w:highlight w:val="none"/>
        </w:rPr>
        <w:br w:type="page" w:clear="all"/>
      </w:r>
      <w:r>
        <w:rPr>
          <w:rFonts w:hint="eastAsia" w:ascii="宋体"/>
          <w:b w:val="0"/>
          <w:color w:val="000000"/>
          <w:szCs w:val="32"/>
          <w:highlight w:val="none"/>
          <w:lang w:val="en-US" w:eastAsia="zh-CN"/>
        </w:rPr>
        <w:t xml:space="preserve">九</w:t>
      </w:r>
      <w:r>
        <w:rPr>
          <w:rFonts w:hint="eastAsia" w:ascii="宋体"/>
          <w:b w:val="0"/>
          <w:color w:val="000000"/>
          <w:szCs w:val="32"/>
          <w:highlight w:val="none"/>
        </w:rPr>
        <w:t xml:space="preserve">、企业业绩</w:t>
      </w:r>
      <w:bookmarkEnd w:id="156"/>
      <w:r/>
      <w:bookmarkEnd w:id="157"/>
      <w:r>
        <w:rPr>
          <w:rFonts w:ascii="宋体"/>
          <w:b w:val="0"/>
          <w:color w:val="000000"/>
          <w:szCs w:val="32"/>
          <w:highlight w:val="none"/>
        </w:rPr>
      </w:r>
      <w:r/>
    </w:p>
    <w:p>
      <w:pPr>
        <w:pStyle w:val="1104"/>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投标人</w:t>
      </w:r>
      <w:bookmarkStart w:id="159" w:name="_Hlk187935031"/>
      <w:r>
        <w:rPr>
          <w:rFonts w:hint="eastAsia" w:ascii="方正小标宋_GBK" w:eastAsia="方正小标宋_GBK"/>
          <w:bCs/>
          <w:color w:val="000000"/>
          <w:sz w:val="32"/>
          <w:szCs w:val="32"/>
          <w:highlight w:val="none"/>
        </w:rPr>
        <w:t xml:space="preserve">自</w:t>
      </w:r>
      <w:r>
        <w:rPr>
          <w:rFonts w:hint="eastAsia" w:ascii="方正小标宋_GBK" w:eastAsia="方正小标宋_GBK"/>
          <w:bCs/>
          <w:color w:val="000000"/>
          <w:sz w:val="32"/>
          <w:szCs w:val="32"/>
          <w:highlight w:val="none"/>
          <w:u w:val="single"/>
        </w:rPr>
        <w:t xml:space="preserve">   </w:t>
      </w:r>
      <w:r>
        <w:rPr>
          <w:rFonts w:hint="eastAsia" w:ascii="方正小标宋_GBK" w:eastAsia="方正小标宋_GBK"/>
          <w:bCs/>
          <w:color w:val="000000"/>
          <w:sz w:val="32"/>
          <w:szCs w:val="32"/>
          <w:highlight w:val="none"/>
        </w:rPr>
        <w:t xml:space="preserve">年</w:t>
      </w:r>
      <w:r>
        <w:rPr>
          <w:rFonts w:hint="eastAsia" w:ascii="方正小标宋_GBK" w:eastAsia="方正小标宋_GBK"/>
          <w:bCs/>
          <w:color w:val="000000"/>
          <w:sz w:val="32"/>
          <w:szCs w:val="32"/>
          <w:highlight w:val="none"/>
          <w:u w:val="single"/>
        </w:rPr>
        <w:t xml:space="preserve">   </w:t>
      </w:r>
      <w:r>
        <w:rPr>
          <w:rFonts w:hint="eastAsia" w:ascii="方正小标宋_GBK" w:eastAsia="方正小标宋_GBK"/>
          <w:bCs/>
          <w:color w:val="000000"/>
          <w:sz w:val="32"/>
          <w:szCs w:val="32"/>
          <w:highlight w:val="none"/>
        </w:rPr>
        <w:t xml:space="preserve">月</w:t>
      </w:r>
      <w:r>
        <w:rPr>
          <w:rFonts w:hint="eastAsia" w:ascii="方正小标宋_GBK" w:eastAsia="方正小标宋_GBK"/>
          <w:bCs/>
          <w:color w:val="000000"/>
          <w:sz w:val="32"/>
          <w:szCs w:val="32"/>
          <w:highlight w:val="none"/>
          <w:u w:val="single"/>
        </w:rPr>
        <w:t xml:space="preserve">   </w:t>
      </w:r>
      <w:r>
        <w:rPr>
          <w:rFonts w:hint="eastAsia" w:ascii="方正小标宋_GBK" w:eastAsia="方正小标宋_GBK"/>
          <w:bCs/>
          <w:color w:val="000000"/>
          <w:sz w:val="32"/>
          <w:szCs w:val="32"/>
          <w:highlight w:val="none"/>
        </w:rPr>
        <w:t xml:space="preserve">日以来承担</w:t>
      </w:r>
      <w:r>
        <w:rPr>
          <w:rFonts w:ascii="方正小标宋_GBK" w:eastAsia="方正小标宋_GBK"/>
          <w:bCs/>
          <w:color w:val="000000"/>
          <w:sz w:val="32"/>
          <w:szCs w:val="32"/>
          <w:highlight w:val="none"/>
        </w:rPr>
      </w:r>
      <w:r/>
    </w:p>
    <w:p>
      <w:pPr>
        <w:pStyle w:val="1104"/>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类似项目业绩一览表</w:t>
      </w:r>
      <w:bookmarkEnd w:id="159"/>
      <w:r>
        <w:rPr>
          <w:rFonts w:ascii="方正小标宋_GBK" w:eastAsia="方正小标宋_GBK"/>
          <w:bCs/>
          <w:color w:val="000000"/>
          <w:sz w:val="32"/>
          <w:szCs w:val="32"/>
          <w:highlight w:val="none"/>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105"/>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rPr>
                <w:rFonts w:ascii="仿宋_GB2312" w:eastAsia="仿宋_GB2312"/>
                <w:color w:val="000000"/>
                <w:sz w:val="28"/>
                <w:szCs w:val="28"/>
                <w:highlight w:val="none"/>
              </w:rPr>
            </w:r>
            <w:r/>
          </w:p>
        </w:tc>
        <w:tc>
          <w:tcPr>
            <w:tcW w:w="3827" w:type="dxa"/>
            <w:vAlign w:val="center"/>
            <w:textDirection w:val="lrTb"/>
            <w:noWrap w:val="false"/>
          </w:tcPr>
          <w:p>
            <w:pPr>
              <w:pStyle w:val="1105"/>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rPr>
                <w:rFonts w:ascii="仿宋_GB2312" w:eastAsia="仿宋_GB2312"/>
                <w:color w:val="000000"/>
                <w:sz w:val="28"/>
                <w:szCs w:val="28"/>
                <w:highlight w:val="none"/>
              </w:rPr>
            </w:r>
            <w:r/>
          </w:p>
        </w:tc>
        <w:tc>
          <w:tcPr>
            <w:tcW w:w="2433" w:type="dxa"/>
            <w:vAlign w:val="center"/>
            <w:textDirection w:val="lrTb"/>
            <w:noWrap w:val="false"/>
          </w:tcPr>
          <w:p>
            <w:pPr>
              <w:pStyle w:val="1105"/>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rPr>
                <w:rFonts w:ascii="仿宋_GB2312" w:eastAsia="仿宋_GB2312"/>
                <w:color w:val="000000"/>
                <w:sz w:val="28"/>
                <w:szCs w:val="28"/>
                <w:highlight w:val="none"/>
              </w:rPr>
            </w:r>
            <w:r/>
          </w:p>
        </w:tc>
        <w:tc>
          <w:tcPr>
            <w:tcW w:w="1395" w:type="dxa"/>
            <w:vAlign w:val="center"/>
            <w:textDirection w:val="lrTb"/>
            <w:noWrap w:val="false"/>
          </w:tcPr>
          <w:p>
            <w:pPr>
              <w:pStyle w:val="1105"/>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服务主要内容</w:t>
            </w:r>
            <w:r>
              <w:rPr>
                <w:rFonts w:ascii="仿宋_GB2312" w:eastAsia="仿宋_GB2312"/>
                <w:color w:val="000000"/>
                <w:sz w:val="28"/>
                <w:szCs w:val="28"/>
                <w:highlight w:val="none"/>
              </w:rPr>
            </w:r>
            <w:r/>
          </w:p>
        </w:tc>
      </w:tr>
      <w:tr>
        <w:trPr>
          <w:trHeight w:val="1510"/>
        </w:trPr>
        <w:tc>
          <w:tcPr>
            <w:tcW w:w="1229" w:type="dxa"/>
            <w:vAlign w:val="top"/>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trHeight w:val="1510"/>
        </w:trPr>
        <w:tc>
          <w:tcPr>
            <w:tcW w:w="1229" w:type="dxa"/>
            <w:vAlign w:val="top"/>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trHeight w:val="1510"/>
        </w:trPr>
        <w:tc>
          <w:tcPr>
            <w:tcW w:w="1229" w:type="dxa"/>
            <w:vAlign w:val="top"/>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trHeight w:val="1525"/>
        </w:trPr>
        <w:tc>
          <w:tcPr>
            <w:tcW w:w="1229" w:type="dxa"/>
            <w:vAlign w:val="top"/>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05"/>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104"/>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rPr>
          <w:rFonts w:ascii="宋体" w:hAnsi="宋体"/>
          <w:bCs/>
          <w:color w:val="000000"/>
          <w:highlight w:val="none"/>
        </w:rPr>
      </w:r>
      <w:r/>
    </w:p>
    <w:p>
      <w:pPr>
        <w:pStyle w:val="768"/>
        <w:spacing w:line="480" w:lineRule="exact"/>
        <w:rPr>
          <w:rFonts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br w:type="page" w:clear="all"/>
      </w:r>
      <w:r>
        <w:rPr>
          <w:rFonts w:hint="eastAsia" w:ascii="宋体" w:hAnsi="黑体" w:eastAsia="黑体" w:cs="黑体"/>
          <w:color w:val="000000"/>
          <w:sz w:val="32"/>
          <w:szCs w:val="32"/>
          <w:highlight w:val="none"/>
        </w:rPr>
        <w:t xml:space="preserve">十、</w:t>
      </w:r>
      <w:bookmarkStart w:id="160" w:name="_Toc9275"/>
      <w:r/>
      <w:bookmarkStart w:id="161" w:name="_Toc26048"/>
      <w:r>
        <w:rPr>
          <w:rFonts w:hint="eastAsia" w:ascii="宋体" w:hAnsi="黑体" w:eastAsia="黑体" w:cs="黑体"/>
          <w:color w:val="000000"/>
          <w:sz w:val="32"/>
          <w:szCs w:val="32"/>
          <w:highlight w:val="none"/>
        </w:rPr>
        <w:t xml:space="preserve">项目实施方案</w:t>
      </w:r>
      <w:r>
        <w:rPr>
          <w:rFonts w:ascii="宋体" w:hAnsi="黑体" w:eastAsia="黑体" w:cs="黑体"/>
          <w:color w:val="000000"/>
          <w:sz w:val="32"/>
          <w:szCs w:val="32"/>
          <w:highlight w:val="none"/>
        </w:rPr>
      </w:r>
      <w:r/>
    </w:p>
    <w:p>
      <w:pPr>
        <w:pStyle w:val="768"/>
        <w:spacing w:line="480" w:lineRule="exact"/>
        <w:rPr>
          <w:color w:val="000000"/>
          <w:sz w:val="24"/>
          <w:szCs w:val="24"/>
          <w:highlight w:val="none"/>
        </w:rPr>
        <w:outlineLvl w:val="1"/>
      </w:pPr>
      <w:r>
        <w:rPr>
          <w:rFonts w:hint="eastAsia"/>
          <w:color w:val="000000"/>
          <w:sz w:val="24"/>
          <w:szCs w:val="24"/>
          <w:highlight w:val="none"/>
        </w:rPr>
        <w:t xml:space="preserve">根据评分办法自行编制</w:t>
      </w:r>
      <w:r>
        <w:rPr>
          <w:color w:val="000000"/>
          <w:sz w:val="24"/>
          <w:szCs w:val="24"/>
          <w:highlight w:val="none"/>
        </w:rPr>
      </w:r>
      <w:r/>
    </w:p>
    <w:p>
      <w:pPr>
        <w:pStyle w:val="768"/>
        <w:spacing w:line="480" w:lineRule="exact"/>
        <w:rPr>
          <w:color w:val="000000"/>
          <w:sz w:val="24"/>
          <w:szCs w:val="24"/>
          <w:highlight w:val="none"/>
        </w:rPr>
        <w:outlineLvl w:val="1"/>
      </w:pPr>
      <w:r>
        <w:rPr>
          <w:color w:val="000000"/>
          <w:sz w:val="24"/>
          <w:szCs w:val="24"/>
          <w:highlight w:val="none"/>
        </w:rPr>
      </w:r>
      <w:r/>
    </w:p>
    <w:p>
      <w:pPr>
        <w:pStyle w:val="768"/>
        <w:spacing w:line="480" w:lineRule="exact"/>
        <w:rPr>
          <w:color w:val="000000"/>
          <w:sz w:val="24"/>
          <w:szCs w:val="24"/>
          <w:highlight w:val="none"/>
        </w:rPr>
        <w:outlineLvl w:val="1"/>
      </w:pPr>
      <w:r>
        <w:rPr>
          <w:color w:val="000000"/>
          <w:sz w:val="24"/>
          <w:szCs w:val="24"/>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cs="宋体"/>
          <w:b/>
          <w:color w:val="000000"/>
          <w:sz w:val="24"/>
          <w:szCs w:val="24"/>
          <w:highlight w:val="none"/>
        </w:rPr>
        <w:outlineLvl w:val="1"/>
      </w:pPr>
      <w:r>
        <w:rPr>
          <w:rFonts w:hint="eastAsia" w:ascii="宋体" w:cs="宋体"/>
          <w:b/>
          <w:color w:val="000000"/>
          <w:sz w:val="24"/>
          <w:szCs w:val="24"/>
          <w:highlight w:val="none"/>
        </w:rPr>
        <w:t xml:space="preserve">十</w:t>
      </w:r>
      <w:r>
        <w:rPr>
          <w:rFonts w:hint="eastAsia" w:ascii="宋体" w:cs="宋体"/>
          <w:b/>
          <w:color w:val="000000"/>
          <w:sz w:val="24"/>
          <w:szCs w:val="24"/>
          <w:highlight w:val="none"/>
          <w:lang w:val="en-US" w:eastAsia="zh-CN"/>
        </w:rPr>
        <w:t xml:space="preserve">一</w:t>
      </w:r>
      <w:r>
        <w:rPr>
          <w:rFonts w:hint="eastAsia" w:ascii="宋体" w:cs="宋体"/>
          <w:b/>
          <w:color w:val="000000"/>
          <w:sz w:val="24"/>
          <w:szCs w:val="24"/>
          <w:highlight w:val="none"/>
        </w:rPr>
        <w:t xml:space="preserve">、关于符合本国产品标准的声明函（采购包号：**）</w:t>
      </w:r>
      <w:r>
        <w:rPr>
          <w:rFonts w:ascii="宋体" w:cs="宋体"/>
          <w:b/>
          <w:color w:val="000000"/>
          <w:sz w:val="24"/>
          <w:szCs w:val="24"/>
          <w:highlight w:val="none"/>
        </w:rPr>
      </w:r>
      <w:r/>
    </w:p>
    <w:p>
      <w:pPr>
        <w:pStyle w:val="768"/>
        <w:spacing w:line="480" w:lineRule="exact"/>
        <w:rPr>
          <w:rFonts w:ascii="宋体" w:hAnsi="宋体" w:eastAsia="黑体" w:cs="黑体"/>
          <w:color w:val="000000"/>
          <w:sz w:val="32"/>
          <w:szCs w:val="32"/>
          <w:highlight w:val="none"/>
        </w:rPr>
      </w:pPr>
      <w:r>
        <w:rPr>
          <w:rFonts w:ascii="宋体" w:hAnsi="宋体" w:eastAsia="黑体" w:cs="黑体"/>
          <w:color w:val="000000"/>
          <w:sz w:val="32"/>
          <w:szCs w:val="32"/>
          <w:highlight w:val="none"/>
        </w:rPr>
      </w:r>
      <w:r/>
    </w:p>
    <w:p>
      <w:pPr>
        <w:pStyle w:val="768"/>
        <w:ind w:firstLine="480"/>
        <w:jc w:val="left"/>
        <w:spacing w:line="480" w:lineRule="exact"/>
        <w:widowControl/>
        <w:rPr>
          <w:rFonts w:ascii="宋体" w:cs="宋体"/>
          <w:color w:val="000000"/>
          <w:sz w:val="24"/>
          <w:szCs w:val="24"/>
          <w:highlight w:val="none"/>
        </w:rPr>
      </w:pPr>
      <w:r>
        <w:rPr>
          <w:rFonts w:hint="eastAsia" w:ascii="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cs="宋体"/>
          <w:color w:val="000000"/>
          <w:sz w:val="24"/>
          <w:szCs w:val="24"/>
          <w:highlight w:val="none"/>
        </w:rPr>
      </w:r>
      <w:r/>
    </w:p>
    <w:p>
      <w:pPr>
        <w:pStyle w:val="768"/>
        <w:numPr>
          <w:ilvl w:val="0"/>
          <w:numId w:val="7"/>
        </w:numPr>
        <w:ind w:firstLine="480"/>
        <w:jc w:val="left"/>
        <w:spacing w:line="480" w:lineRule="exact"/>
        <w:widowControl/>
        <w:rPr>
          <w:rFonts w:ascii="宋体" w:cs="宋体"/>
          <w:color w:val="000000"/>
          <w:sz w:val="24"/>
          <w:szCs w:val="24"/>
          <w:highlight w:val="none"/>
          <w:shd w:val="clear" w:color="auto" w:fill="ffffff"/>
        </w:rPr>
      </w:pPr>
      <w:r>
        <w:rPr>
          <w:rStyle w:val="1243"/>
          <w:rFonts w:hint="eastAsia" w:ascii="宋体" w:cs="宋体"/>
          <w:color w:val="000000"/>
          <w:sz w:val="24"/>
          <w:szCs w:val="24"/>
          <w:highlight w:val="none"/>
          <w:u w:val="single"/>
          <w:shd w:val="clear" w:color="auto" w:fill="ffffff"/>
        </w:rPr>
        <w:t xml:space="preserve">（产品名称1）</w:t>
      </w:r>
      <w:r>
        <w:rPr>
          <w:rFonts w:hint="eastAsia" w:ascii="宋体" w:cs="宋体"/>
          <w:color w:val="000000"/>
          <w:sz w:val="24"/>
          <w:szCs w:val="24"/>
          <w:highlight w:val="none"/>
          <w:shd w:val="clear" w:color="auto" w:fill="ffffff"/>
        </w:rPr>
        <w:t xml:space="preserve">，生产厂为</w:t>
      </w:r>
      <w:r>
        <w:rPr>
          <w:rStyle w:val="1243"/>
          <w:rFonts w:hint="eastAsia" w:ascii="宋体" w:cs="宋体"/>
          <w:color w:val="000000"/>
          <w:sz w:val="24"/>
          <w:szCs w:val="24"/>
          <w:highlight w:val="none"/>
          <w:u w:val="single"/>
          <w:shd w:val="clear" w:color="auto" w:fill="ffffff"/>
        </w:rPr>
        <w:t xml:space="preserve">（厂名）</w:t>
      </w:r>
      <w:r>
        <w:rPr>
          <w:rFonts w:hint="eastAsia" w:ascii="宋体" w:cs="宋体"/>
          <w:color w:val="000000"/>
          <w:sz w:val="24"/>
          <w:szCs w:val="24"/>
          <w:highlight w:val="none"/>
          <w:shd w:val="clear" w:color="auto" w:fill="ffffff"/>
        </w:rPr>
        <w:t xml:space="preserve">，厂址为</w:t>
      </w:r>
      <w:r>
        <w:rPr>
          <w:rStyle w:val="1243"/>
          <w:rFonts w:hint="eastAsia" w:ascii="宋体" w:cs="宋体"/>
          <w:color w:val="000000"/>
          <w:sz w:val="24"/>
          <w:szCs w:val="24"/>
          <w:highlight w:val="none"/>
          <w:u w:val="single"/>
          <w:shd w:val="clear" w:color="auto" w:fill="ffffff"/>
        </w:rPr>
        <w:t xml:space="preserve">（生产厂址）</w:t>
      </w:r>
      <w:r>
        <w:rPr>
          <w:rFonts w:hint="eastAsia" w:ascii="宋体" w:cs="宋体"/>
          <w:color w:val="000000"/>
          <w:sz w:val="24"/>
          <w:szCs w:val="24"/>
          <w:highlight w:val="none"/>
          <w:shd w:val="clear" w:color="auto" w:fill="ffffff"/>
        </w:rPr>
        <w:t xml:space="preserve">。</w:t>
      </w:r>
      <w:r>
        <w:rPr>
          <w:rFonts w:hint="eastAsia" w:ascii="宋体" w:cs="宋体"/>
          <w:color w:val="000000"/>
          <w:sz w:val="24"/>
          <w:szCs w:val="24"/>
          <w:highlight w:val="none"/>
          <w:u w:val="single"/>
          <w:shd w:val="clear" w:color="auto" w:fill="ffffff"/>
        </w:rPr>
        <w:t xml:space="preserve"> </w:t>
      </w:r>
      <w:r>
        <w:rPr>
          <w:rStyle w:val="1243"/>
          <w:rFonts w:hint="eastAsia" w:ascii="宋体" w:cs="宋体"/>
          <w:strike/>
          <w:color w:val="000000"/>
          <w:sz w:val="24"/>
          <w:szCs w:val="24"/>
          <w:highlight w:val="none"/>
          <w:u w:val="single"/>
          <w:shd w:val="clear" w:color="auto" w:fill="ffffff"/>
        </w:rPr>
        <w:t xml:space="preserve">（产品名称1）</w:t>
      </w:r>
      <w:r>
        <w:rPr>
          <w:rStyle w:val="1243"/>
          <w:rFonts w:hint="eastAsia" w:ascii="宋体" w:cs="宋体"/>
          <w:color w:val="000000"/>
          <w:sz w:val="24"/>
          <w:szCs w:val="24"/>
          <w:highlight w:val="none"/>
          <w:u w:val="single"/>
          <w:shd w:val="clear" w:color="auto" w:fill="ffffff"/>
        </w:rPr>
        <w:t xml:space="preserve"> </w:t>
      </w:r>
      <w:r>
        <w:rPr>
          <w:rFonts w:hint="eastAsia" w:ascii="宋体" w:cs="宋体"/>
          <w:color w:val="000000"/>
          <w:sz w:val="24"/>
          <w:szCs w:val="24"/>
          <w:highlight w:val="none"/>
          <w:shd w:val="clear" w:color="auto" w:fill="ffffff"/>
        </w:rPr>
        <w:t xml:space="preserve">的中国境内生产的组件成本占比≥</w:t>
      </w:r>
      <w:r>
        <w:rPr>
          <w:rStyle w:val="1243"/>
          <w:rFonts w:hint="eastAsia" w:ascii="宋体" w:cs="宋体"/>
          <w:strike/>
          <w:color w:val="000000"/>
          <w:sz w:val="24"/>
          <w:szCs w:val="24"/>
          <w:highlight w:val="none"/>
          <w:u w:val="single"/>
          <w:shd w:val="clear" w:color="auto" w:fill="ffffff"/>
        </w:rPr>
        <w:t xml:space="preserve">（规定比例）</w:t>
      </w:r>
      <w:r>
        <w:rPr>
          <w:rFonts w:hint="eastAsia" w:ascii="宋体" w:cs="宋体"/>
          <w:color w:val="000000"/>
          <w:sz w:val="24"/>
          <w:szCs w:val="24"/>
          <w:highlight w:val="none"/>
          <w:shd w:val="clear" w:color="auto" w:fill="ffffff"/>
        </w:rPr>
        <w:t xml:space="preserve">。</w:t>
      </w:r>
      <w:r>
        <w:rPr>
          <w:rStyle w:val="1243"/>
          <w:rFonts w:hint="eastAsia" w:ascii="宋体" w:cs="宋体"/>
          <w:strike/>
          <w:color w:val="000000"/>
          <w:sz w:val="24"/>
          <w:szCs w:val="24"/>
          <w:highlight w:val="none"/>
          <w:u w:val="single"/>
          <w:shd w:val="clear" w:color="auto" w:fill="ffffff"/>
        </w:rPr>
        <w:t xml:space="preserve">（产品名称1）</w:t>
      </w:r>
      <w:r>
        <w:rPr>
          <w:rFonts w:hint="eastAsia" w:ascii="宋体" w:cs="宋体"/>
          <w:color w:val="000000"/>
          <w:sz w:val="24"/>
          <w:szCs w:val="24"/>
          <w:highlight w:val="none"/>
          <w:shd w:val="clear" w:color="auto" w:fill="ffffff"/>
        </w:rPr>
        <w:t xml:space="preserve">的</w:t>
      </w:r>
      <w:r>
        <w:rPr>
          <w:rStyle w:val="1243"/>
          <w:rFonts w:hint="eastAsia" w:ascii="宋体" w:cs="宋体"/>
          <w:strike/>
          <w:color w:val="000000"/>
          <w:sz w:val="24"/>
          <w:szCs w:val="24"/>
          <w:highlight w:val="none"/>
          <w:u w:val="single"/>
          <w:shd w:val="clear" w:color="auto" w:fill="ffffff"/>
        </w:rPr>
        <w:t xml:space="preserve">（关键组件）</w:t>
      </w:r>
      <w:r>
        <w:rPr>
          <w:rFonts w:hint="eastAsia" w:ascii="宋体" w:cs="宋体"/>
          <w:color w:val="000000"/>
          <w:sz w:val="24"/>
          <w:szCs w:val="24"/>
          <w:highlight w:val="none"/>
          <w:shd w:val="clear" w:color="auto" w:fill="ffffff"/>
        </w:rPr>
        <w:t xml:space="preserve">在中国境内生产。</w:t>
      </w:r>
      <w:r>
        <w:rPr>
          <w:rStyle w:val="1243"/>
          <w:rFonts w:hint="eastAsia" w:ascii="宋体" w:cs="宋体"/>
          <w:strike/>
          <w:color w:val="000000"/>
          <w:sz w:val="24"/>
          <w:szCs w:val="24"/>
          <w:highlight w:val="none"/>
          <w:u w:val="single"/>
          <w:shd w:val="clear" w:color="auto" w:fill="ffffff"/>
        </w:rPr>
        <w:t xml:space="preserve">（产品名称1）</w:t>
      </w:r>
      <w:r>
        <w:rPr>
          <w:rFonts w:hint="eastAsia" w:ascii="宋体" w:cs="宋体"/>
          <w:color w:val="000000"/>
          <w:sz w:val="24"/>
          <w:szCs w:val="24"/>
          <w:highlight w:val="none"/>
          <w:shd w:val="clear" w:color="auto" w:fill="ffffff"/>
        </w:rPr>
        <w:t xml:space="preserve">的</w:t>
      </w:r>
      <w:r>
        <w:rPr>
          <w:rStyle w:val="1243"/>
          <w:rFonts w:hint="eastAsia" w:ascii="宋体" w:cs="宋体"/>
          <w:strike/>
          <w:color w:val="000000"/>
          <w:sz w:val="24"/>
          <w:szCs w:val="24"/>
          <w:highlight w:val="none"/>
          <w:u w:val="single"/>
          <w:shd w:val="clear" w:color="auto" w:fill="ffffff"/>
        </w:rPr>
        <w:t xml:space="preserve">（关键工序）</w:t>
      </w:r>
      <w:r>
        <w:rPr>
          <w:rFonts w:hint="eastAsia" w:ascii="宋体" w:cs="宋体"/>
          <w:color w:val="000000"/>
          <w:sz w:val="24"/>
          <w:szCs w:val="24"/>
          <w:highlight w:val="none"/>
          <w:shd w:val="clear" w:color="auto" w:fill="ffffff"/>
        </w:rPr>
        <w:t xml:space="preserve">在中国境内完成。</w:t>
      </w:r>
      <w:r>
        <w:rPr>
          <w:rFonts w:ascii="宋体" w:cs="宋体"/>
          <w:color w:val="000000"/>
          <w:sz w:val="24"/>
          <w:szCs w:val="24"/>
          <w:highlight w:val="none"/>
          <w:shd w:val="clear" w:color="auto" w:fill="ffffff"/>
        </w:rPr>
      </w:r>
      <w:r/>
    </w:p>
    <w:p>
      <w:pPr>
        <w:pStyle w:val="768"/>
        <w:ind w:firstLine="480"/>
        <w:jc w:val="left"/>
        <w:spacing w:line="480" w:lineRule="exact"/>
        <w:widowControl/>
        <w:rPr>
          <w:rFonts w:ascii="宋体" w:cs="宋体"/>
          <w:color w:val="000000"/>
          <w:sz w:val="24"/>
          <w:szCs w:val="24"/>
          <w:highlight w:val="none"/>
        </w:rPr>
      </w:pPr>
      <w:r>
        <w:rPr>
          <w:rFonts w:hint="eastAsia" w:ascii="宋体" w:cs="宋体"/>
          <w:color w:val="000000"/>
          <w:sz w:val="24"/>
          <w:szCs w:val="24"/>
          <w:highlight w:val="none"/>
          <w:shd w:val="clear" w:color="auto" w:fill="ffffff"/>
        </w:rPr>
        <w:t xml:space="preserve">2.</w:t>
      </w:r>
      <w:r>
        <w:rPr>
          <w:rStyle w:val="1243"/>
          <w:rFonts w:hint="eastAsia" w:ascii="宋体" w:cs="宋体"/>
          <w:color w:val="000000"/>
          <w:sz w:val="24"/>
          <w:szCs w:val="24"/>
          <w:highlight w:val="none"/>
          <w:u w:val="single"/>
          <w:shd w:val="clear" w:color="auto" w:fill="ffffff"/>
        </w:rPr>
        <w:t xml:space="preserve">（产品名称2）</w:t>
      </w:r>
      <w:r>
        <w:rPr>
          <w:rFonts w:hint="eastAsia" w:ascii="宋体" w:cs="宋体"/>
          <w:color w:val="000000"/>
          <w:sz w:val="24"/>
          <w:szCs w:val="24"/>
          <w:highlight w:val="none"/>
          <w:shd w:val="clear" w:color="auto" w:fill="ffffff"/>
        </w:rPr>
        <w:t xml:space="preserve">，生产厂为</w:t>
      </w:r>
      <w:r>
        <w:rPr>
          <w:rStyle w:val="1243"/>
          <w:rFonts w:hint="eastAsia" w:ascii="宋体" w:cs="宋体"/>
          <w:color w:val="000000"/>
          <w:sz w:val="24"/>
          <w:szCs w:val="24"/>
          <w:highlight w:val="none"/>
          <w:u w:val="single"/>
          <w:shd w:val="clear" w:color="auto" w:fill="ffffff"/>
        </w:rPr>
        <w:t xml:space="preserve">（厂名）</w:t>
      </w:r>
      <w:r>
        <w:rPr>
          <w:rFonts w:hint="eastAsia" w:ascii="宋体" w:cs="宋体"/>
          <w:color w:val="000000"/>
          <w:sz w:val="24"/>
          <w:szCs w:val="24"/>
          <w:highlight w:val="none"/>
          <w:shd w:val="clear" w:color="auto" w:fill="ffffff"/>
        </w:rPr>
        <w:t xml:space="preserve">，厂址为</w:t>
      </w:r>
      <w:r>
        <w:rPr>
          <w:rStyle w:val="1243"/>
          <w:rFonts w:hint="eastAsia" w:ascii="宋体" w:cs="宋体"/>
          <w:color w:val="000000"/>
          <w:sz w:val="24"/>
          <w:szCs w:val="24"/>
          <w:highlight w:val="none"/>
          <w:u w:val="single"/>
          <w:shd w:val="clear" w:color="auto" w:fill="ffffff"/>
        </w:rPr>
        <w:t xml:space="preserve">（生产厂址）</w:t>
      </w:r>
      <w:r>
        <w:rPr>
          <w:rFonts w:hint="eastAsia" w:ascii="宋体" w:cs="宋体"/>
          <w:color w:val="000000"/>
          <w:sz w:val="24"/>
          <w:szCs w:val="24"/>
          <w:highlight w:val="none"/>
          <w:shd w:val="clear" w:color="auto" w:fill="ffffff"/>
        </w:rPr>
        <w:t xml:space="preserve">。</w:t>
      </w:r>
      <w:r>
        <w:rPr>
          <w:rStyle w:val="1243"/>
          <w:rFonts w:hint="eastAsia" w:ascii="宋体" w:cs="宋体"/>
          <w:strike/>
          <w:color w:val="000000"/>
          <w:sz w:val="24"/>
          <w:szCs w:val="24"/>
          <w:highlight w:val="none"/>
          <w:u w:val="single"/>
          <w:shd w:val="clear" w:color="auto" w:fill="ffffff"/>
        </w:rPr>
        <w:t xml:space="preserve">（产品名称2）</w:t>
      </w:r>
      <w:r>
        <w:rPr>
          <w:rFonts w:hint="eastAsia" w:ascii="宋体" w:cs="宋体"/>
          <w:color w:val="000000"/>
          <w:sz w:val="24"/>
          <w:szCs w:val="24"/>
          <w:highlight w:val="none"/>
          <w:shd w:val="clear" w:color="auto" w:fill="ffffff"/>
        </w:rPr>
        <w:t xml:space="preserve">的中国境内生产的组件成本占比≥</w:t>
      </w:r>
      <w:r>
        <w:rPr>
          <w:rStyle w:val="1243"/>
          <w:rFonts w:hint="eastAsia" w:ascii="宋体" w:cs="宋体"/>
          <w:strike/>
          <w:color w:val="000000"/>
          <w:sz w:val="24"/>
          <w:szCs w:val="24"/>
          <w:highlight w:val="none"/>
          <w:u w:val="single"/>
          <w:shd w:val="clear" w:color="auto" w:fill="ffffff"/>
        </w:rPr>
        <w:t xml:space="preserve">（规定比例）</w:t>
      </w:r>
      <w:r>
        <w:rPr>
          <w:rFonts w:hint="eastAsia" w:ascii="宋体" w:cs="宋体"/>
          <w:color w:val="000000"/>
          <w:sz w:val="24"/>
          <w:szCs w:val="24"/>
          <w:highlight w:val="none"/>
          <w:shd w:val="clear" w:color="auto" w:fill="ffffff"/>
        </w:rPr>
        <w:t xml:space="preserve">。</w:t>
      </w:r>
      <w:r>
        <w:rPr>
          <w:rStyle w:val="1243"/>
          <w:rFonts w:hint="eastAsia" w:ascii="宋体" w:cs="宋体"/>
          <w:strike/>
          <w:color w:val="000000"/>
          <w:sz w:val="24"/>
          <w:szCs w:val="24"/>
          <w:highlight w:val="none"/>
          <w:u w:val="single"/>
          <w:shd w:val="clear" w:color="auto" w:fill="ffffff"/>
        </w:rPr>
        <w:t xml:space="preserve">（产品名称2）</w:t>
      </w:r>
      <w:r>
        <w:rPr>
          <w:rFonts w:hint="eastAsia" w:ascii="宋体" w:cs="宋体"/>
          <w:color w:val="000000"/>
          <w:sz w:val="24"/>
          <w:szCs w:val="24"/>
          <w:highlight w:val="none"/>
          <w:shd w:val="clear" w:color="auto" w:fill="ffffff"/>
        </w:rPr>
        <w:t xml:space="preserve">的</w:t>
      </w:r>
      <w:r>
        <w:rPr>
          <w:rStyle w:val="1243"/>
          <w:rFonts w:hint="eastAsia" w:ascii="宋体" w:cs="宋体"/>
          <w:strike/>
          <w:color w:val="000000"/>
          <w:sz w:val="24"/>
          <w:szCs w:val="24"/>
          <w:highlight w:val="none"/>
          <w:u w:val="single"/>
          <w:shd w:val="clear" w:color="auto" w:fill="ffffff"/>
        </w:rPr>
        <w:t xml:space="preserve">（关键组件）</w:t>
      </w:r>
      <w:r>
        <w:rPr>
          <w:rFonts w:hint="eastAsia" w:ascii="宋体" w:cs="宋体"/>
          <w:color w:val="000000"/>
          <w:sz w:val="24"/>
          <w:szCs w:val="24"/>
          <w:highlight w:val="none"/>
          <w:shd w:val="clear" w:color="auto" w:fill="ffffff"/>
        </w:rPr>
        <w:t xml:space="preserve">在中国境内生产。</w:t>
      </w:r>
      <w:r>
        <w:rPr>
          <w:rStyle w:val="1243"/>
          <w:rFonts w:hint="eastAsia" w:ascii="宋体" w:cs="宋体"/>
          <w:strike/>
          <w:color w:val="000000"/>
          <w:sz w:val="24"/>
          <w:szCs w:val="24"/>
          <w:highlight w:val="none"/>
          <w:u w:val="single"/>
          <w:shd w:val="clear" w:color="auto" w:fill="ffffff"/>
        </w:rPr>
        <w:t xml:space="preserve">（产品名称2）</w:t>
      </w:r>
      <w:r>
        <w:rPr>
          <w:rFonts w:hint="eastAsia" w:ascii="宋体" w:cs="宋体"/>
          <w:color w:val="000000"/>
          <w:sz w:val="24"/>
          <w:szCs w:val="24"/>
          <w:highlight w:val="none"/>
          <w:shd w:val="clear" w:color="auto" w:fill="ffffff"/>
        </w:rPr>
        <w:t xml:space="preserve">的</w:t>
      </w:r>
      <w:r>
        <w:rPr>
          <w:rStyle w:val="1243"/>
          <w:rFonts w:hint="eastAsia" w:ascii="宋体" w:cs="宋体"/>
          <w:strike/>
          <w:color w:val="000000"/>
          <w:sz w:val="24"/>
          <w:szCs w:val="24"/>
          <w:highlight w:val="none"/>
          <w:u w:val="single"/>
          <w:shd w:val="clear" w:color="auto" w:fill="ffffff"/>
        </w:rPr>
        <w:t xml:space="preserve">（关键工序）</w:t>
      </w:r>
      <w:r>
        <w:rPr>
          <w:rFonts w:hint="eastAsia" w:ascii="宋体" w:cs="宋体"/>
          <w:color w:val="000000"/>
          <w:sz w:val="24"/>
          <w:szCs w:val="24"/>
          <w:highlight w:val="none"/>
          <w:shd w:val="clear" w:color="auto" w:fill="ffffff"/>
        </w:rPr>
        <w:t xml:space="preserve">在中国境内完成。</w:t>
      </w:r>
      <w:r>
        <w:rPr>
          <w:rFonts w:ascii="宋体" w:cs="宋体"/>
          <w:color w:val="000000"/>
          <w:sz w:val="24"/>
          <w:szCs w:val="24"/>
          <w:highlight w:val="none"/>
        </w:rPr>
      </w:r>
      <w:r/>
    </w:p>
    <w:p>
      <w:pPr>
        <w:pStyle w:val="768"/>
        <w:ind w:firstLine="480"/>
        <w:jc w:val="left"/>
        <w:spacing w:line="480" w:lineRule="exact"/>
        <w:widowControl/>
        <w:rPr>
          <w:rFonts w:ascii="宋体" w:cs="宋体"/>
          <w:color w:val="000000"/>
          <w:sz w:val="24"/>
          <w:szCs w:val="24"/>
          <w:highlight w:val="none"/>
        </w:rPr>
      </w:pPr>
      <w:r>
        <w:rPr>
          <w:rFonts w:hint="eastAsia" w:ascii="宋体" w:cs="宋体"/>
          <w:color w:val="000000"/>
          <w:sz w:val="24"/>
          <w:szCs w:val="24"/>
          <w:highlight w:val="none"/>
          <w:shd w:val="clear" w:color="auto" w:fill="ffffff"/>
        </w:rPr>
        <w:t xml:space="preserve">……</w:t>
      </w:r>
      <w:r>
        <w:rPr>
          <w:rFonts w:ascii="宋体" w:cs="宋体"/>
          <w:color w:val="000000"/>
          <w:sz w:val="24"/>
          <w:szCs w:val="24"/>
          <w:highlight w:val="none"/>
        </w:rPr>
      </w:r>
      <w:r/>
    </w:p>
    <w:p>
      <w:pPr>
        <w:pStyle w:val="768"/>
        <w:ind w:firstLine="480"/>
        <w:jc w:val="left"/>
        <w:spacing w:line="480" w:lineRule="exact"/>
        <w:widowControl/>
        <w:rPr>
          <w:rFonts w:ascii="宋体" w:cs="宋体"/>
          <w:color w:val="000000"/>
          <w:sz w:val="24"/>
          <w:szCs w:val="24"/>
          <w:highlight w:val="none"/>
        </w:rPr>
      </w:pPr>
      <w:r>
        <w:rPr>
          <w:rFonts w:hint="eastAsia" w:ascii="宋体" w:cs="宋体"/>
          <w:color w:val="000000"/>
          <w:sz w:val="24"/>
          <w:szCs w:val="24"/>
          <w:highlight w:val="none"/>
          <w:shd w:val="clear" w:color="auto" w:fill="ffffff"/>
        </w:rPr>
        <w:t xml:space="preserve">本公司（单位）对上述声明内容的真实性负责。如有虚假，愿承担相应法律责任。</w:t>
      </w:r>
      <w:r>
        <w:rPr>
          <w:rFonts w:ascii="宋体" w:cs="宋体"/>
          <w:color w:val="000000"/>
          <w:sz w:val="24"/>
          <w:szCs w:val="24"/>
          <w:highlight w:val="none"/>
        </w:rPr>
      </w:r>
      <w:r/>
    </w:p>
    <w:p>
      <w:pPr>
        <w:pStyle w:val="768"/>
        <w:ind w:firstLine="480"/>
        <w:jc w:val="left"/>
        <w:spacing w:line="480" w:lineRule="exact"/>
        <w:widowControl/>
        <w:rPr>
          <w:rFonts w:ascii="宋体" w:cs="宋体"/>
          <w:color w:val="000000"/>
          <w:sz w:val="24"/>
          <w:szCs w:val="24"/>
          <w:highlight w:val="none"/>
        </w:rPr>
      </w:pPr>
      <w:r>
        <w:rPr>
          <w:rFonts w:ascii="宋体" w:cs="宋体"/>
          <w:color w:val="000000"/>
          <w:sz w:val="24"/>
          <w:szCs w:val="24"/>
          <w:highlight w:val="none"/>
        </w:rPr>
      </w:r>
      <w:r/>
    </w:p>
    <w:p>
      <w:pPr>
        <w:pStyle w:val="768"/>
        <w:ind w:firstLine="480"/>
        <w:jc w:val="left"/>
        <w:spacing w:line="480" w:lineRule="exact"/>
        <w:widowControl/>
        <w:rPr>
          <w:rFonts w:ascii="宋体" w:cs="宋体"/>
          <w:color w:val="000000"/>
          <w:sz w:val="24"/>
          <w:szCs w:val="24"/>
          <w:highlight w:val="none"/>
        </w:rPr>
      </w:pPr>
      <w:r>
        <w:rPr>
          <w:rFonts w:hint="eastAsia" w:ascii="宋体" w:cs="宋体"/>
          <w:color w:val="000000"/>
          <w:sz w:val="24"/>
          <w:szCs w:val="24"/>
          <w:highlight w:val="none"/>
          <w:shd w:val="clear" w:color="auto" w:fill="ffffff"/>
        </w:rPr>
        <w:t xml:space="preserve">公司（单位）名称（盖章）：　        </w:t>
      </w:r>
      <w:r>
        <w:rPr>
          <w:rFonts w:ascii="宋体" w:cs="宋体"/>
          <w:color w:val="000000"/>
          <w:sz w:val="24"/>
          <w:szCs w:val="24"/>
          <w:highlight w:val="none"/>
        </w:rPr>
      </w:r>
      <w:r/>
    </w:p>
    <w:p>
      <w:pPr>
        <w:pStyle w:val="768"/>
        <w:ind w:firstLine="480"/>
        <w:jc w:val="center"/>
        <w:spacing w:line="480" w:lineRule="exact"/>
        <w:widowControl/>
        <w:rPr>
          <w:rFonts w:ascii="宋体" w:cs="宋体"/>
          <w:color w:val="000000"/>
          <w:sz w:val="24"/>
          <w:szCs w:val="24"/>
          <w:highlight w:val="none"/>
        </w:rPr>
      </w:pPr>
      <w:r>
        <w:rPr>
          <w:rFonts w:hint="eastAsia" w:ascii="宋体" w:cs="宋体"/>
          <w:color w:val="000000"/>
          <w:sz w:val="24"/>
          <w:szCs w:val="24"/>
          <w:highlight w:val="none"/>
          <w:shd w:val="clear" w:color="auto" w:fill="ffffff"/>
        </w:rPr>
        <w:t xml:space="preserve">                                日期：　   年　  月　  日         </w:t>
      </w:r>
      <w:r>
        <w:rPr>
          <w:rFonts w:ascii="宋体" w:cs="宋体"/>
          <w:color w:val="000000"/>
          <w:sz w:val="24"/>
          <w:szCs w:val="24"/>
          <w:highlight w:val="none"/>
        </w:rPr>
      </w:r>
      <w:r/>
    </w:p>
    <w:p>
      <w:pPr>
        <w:pStyle w:val="768"/>
        <w:ind w:firstLine="480"/>
        <w:jc w:val="left"/>
        <w:spacing w:line="480" w:lineRule="exact"/>
        <w:widowControl/>
        <w:rPr>
          <w:rFonts w:ascii="宋体" w:cs="宋体"/>
          <w:color w:val="000000"/>
          <w:sz w:val="24"/>
          <w:szCs w:val="24"/>
          <w:highlight w:val="none"/>
        </w:rPr>
      </w:pPr>
      <w:r>
        <w:rPr>
          <w:rFonts w:hint="eastAsia" w:ascii="宋体" w:cs="宋体"/>
          <w:color w:val="000000"/>
          <w:sz w:val="24"/>
          <w:szCs w:val="24"/>
          <w:highlight w:val="none"/>
          <w:shd w:val="clear" w:color="auto" w:fill="ffffff"/>
        </w:rPr>
        <w:t xml:space="preserve">1.产品如有型号，请在“产品名称”栏一并填写。</w:t>
      </w:r>
      <w:r>
        <w:rPr>
          <w:rFonts w:ascii="宋体" w:cs="宋体"/>
          <w:color w:val="000000"/>
          <w:sz w:val="24"/>
          <w:szCs w:val="24"/>
          <w:highlight w:val="none"/>
        </w:rPr>
      </w:r>
      <w:r/>
    </w:p>
    <w:p>
      <w:pPr>
        <w:pStyle w:val="768"/>
        <w:ind w:firstLine="480"/>
        <w:jc w:val="left"/>
        <w:spacing w:line="480" w:lineRule="exact"/>
        <w:widowControl/>
        <w:rPr>
          <w:rFonts w:ascii="宋体" w:cs="宋体"/>
          <w:color w:val="000000"/>
          <w:sz w:val="24"/>
          <w:szCs w:val="24"/>
          <w:highlight w:val="none"/>
        </w:rPr>
      </w:pPr>
      <w:r>
        <w:rPr>
          <w:rFonts w:hint="eastAsia" w:ascii="宋体" w:cs="宋体"/>
          <w:color w:val="000000"/>
          <w:sz w:val="24"/>
          <w:szCs w:val="24"/>
          <w:highlight w:val="none"/>
          <w:shd w:val="clear" w:color="auto" w:fill="ffffff"/>
        </w:rPr>
        <w:t xml:space="preserve">2.生产厂名与厂址应与生产厂营业执照载明的相关信息保持一致。</w:t>
      </w:r>
      <w:r>
        <w:rPr>
          <w:rFonts w:ascii="宋体" w:cs="宋体"/>
          <w:color w:val="000000"/>
          <w:sz w:val="24"/>
          <w:szCs w:val="24"/>
          <w:highlight w:val="none"/>
        </w:rPr>
      </w:r>
      <w:r/>
    </w:p>
    <w:p>
      <w:pPr>
        <w:pStyle w:val="768"/>
        <w:ind w:firstLine="480"/>
        <w:jc w:val="left"/>
        <w:spacing w:line="480" w:lineRule="exact"/>
        <w:widowControl/>
        <w:rPr>
          <w:rFonts w:ascii="宋体" w:cs="宋体"/>
          <w:color w:val="000000"/>
          <w:sz w:val="24"/>
          <w:szCs w:val="24"/>
          <w:highlight w:val="none"/>
        </w:rPr>
      </w:pPr>
      <w:r>
        <w:rPr>
          <w:rFonts w:hint="eastAsia" w:ascii="宋体" w:cs="宋体"/>
          <w:color w:val="000000"/>
          <w:sz w:val="24"/>
          <w:szCs w:val="24"/>
          <w:highlight w:val="none"/>
          <w:shd w:val="clear" w:color="auto" w:fill="ffffff"/>
        </w:rPr>
        <w:t xml:space="preserve">3.该产品的中国境内生产的组件成本占比相关要求实施前，“规定比例”栏可不填，下同。</w:t>
      </w:r>
      <w:r>
        <w:rPr>
          <w:rFonts w:ascii="宋体" w:cs="宋体"/>
          <w:color w:val="000000"/>
          <w:sz w:val="24"/>
          <w:szCs w:val="24"/>
          <w:highlight w:val="none"/>
        </w:rPr>
      </w:r>
      <w:r/>
    </w:p>
    <w:p>
      <w:pPr>
        <w:pStyle w:val="768"/>
        <w:ind w:firstLine="480"/>
        <w:jc w:val="left"/>
        <w:spacing w:line="480" w:lineRule="exact"/>
        <w:widowControl/>
        <w:rPr>
          <w:rFonts w:ascii="宋体" w:cs="宋体"/>
          <w:color w:val="000000"/>
          <w:sz w:val="24"/>
          <w:szCs w:val="24"/>
          <w:highlight w:val="none"/>
        </w:rPr>
      </w:pPr>
      <w:r>
        <w:rPr>
          <w:rFonts w:hint="eastAsia" w:ascii="宋体" w:cs="宋体"/>
          <w:color w:val="000000"/>
          <w:sz w:val="24"/>
          <w:szCs w:val="24"/>
          <w:highlight w:val="none"/>
          <w:shd w:val="clear" w:color="auto" w:fill="ffffff"/>
        </w:rPr>
        <w:t xml:space="preserve">4.该产品的关键组件要求实施前，“关键组件”栏可不填，下同。</w:t>
      </w:r>
      <w:r>
        <w:rPr>
          <w:rFonts w:ascii="宋体" w:cs="宋体"/>
          <w:color w:val="000000"/>
          <w:sz w:val="24"/>
          <w:szCs w:val="24"/>
          <w:highlight w:val="none"/>
        </w:rPr>
      </w:r>
      <w:r/>
    </w:p>
    <w:p>
      <w:pPr>
        <w:pStyle w:val="768"/>
        <w:ind w:firstLine="480"/>
        <w:jc w:val="left"/>
        <w:spacing w:line="480" w:lineRule="exact"/>
        <w:widowControl/>
        <w:rPr>
          <w:rFonts w:ascii="宋体" w:cs="宋体"/>
          <w:color w:val="000000"/>
          <w:sz w:val="24"/>
          <w:szCs w:val="24"/>
          <w:highlight w:val="none"/>
          <w:shd w:val="clear" w:color="auto" w:fill="ffffff"/>
        </w:rPr>
      </w:pPr>
      <w:r>
        <w:rPr>
          <w:rFonts w:hint="eastAsia" w:ascii="宋体" w:cs="宋体"/>
          <w:color w:val="000000"/>
          <w:sz w:val="24"/>
          <w:szCs w:val="24"/>
          <w:highlight w:val="none"/>
          <w:shd w:val="clear" w:color="auto" w:fill="ffffff"/>
        </w:rPr>
        <w:t xml:space="preserve">5.该产品的关键工序要求实施前，“关键工序”栏可不填，下同。</w:t>
      </w:r>
      <w:r>
        <w:rPr>
          <w:rFonts w:ascii="宋体" w:cs="宋体"/>
          <w:color w:val="000000"/>
          <w:sz w:val="24"/>
          <w:szCs w:val="24"/>
          <w:highlight w:val="none"/>
          <w:shd w:val="clear" w:color="auto" w:fill="ffffff"/>
        </w:rPr>
      </w:r>
      <w:r/>
    </w:p>
    <w:p>
      <w:pPr>
        <w:pStyle w:val="864"/>
        <w:ind w:firstLine="480"/>
        <w:spacing w:line="440" w:lineRule="exact"/>
        <w:rPr>
          <w:rFonts w:ascii="宋体" w:eastAsia="宋体" w:cs="宋体"/>
          <w:b w:val="0"/>
          <w:color w:val="000000"/>
          <w:sz w:val="24"/>
          <w:highlight w:val="none"/>
          <w:shd w:val="clear" w:color="auto" w:fill="ffffff"/>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eastAsia="宋体" w:cs="宋体"/>
          <w:b w:val="0"/>
          <w:color w:val="000000"/>
          <w:sz w:val="24"/>
          <w:highlight w:val="none"/>
          <w:shd w:val="clear" w:color="auto" w:fill="ffffff"/>
        </w:rPr>
        <w:t xml:space="preserve">6.用线划除的地方无需填写。</w:t>
      </w:r>
      <w:r>
        <w:rPr>
          <w:rFonts w:ascii="宋体" w:eastAsia="宋体" w:cs="宋体"/>
          <w:b w:val="0"/>
          <w:color w:val="000000"/>
          <w:sz w:val="24"/>
          <w:highlight w:val="none"/>
          <w:shd w:val="clear" w:color="auto" w:fill="ffffff"/>
        </w:rPr>
      </w:r>
      <w:r/>
    </w:p>
    <w:p>
      <w:pPr>
        <w:pStyle w:val="768"/>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pStyle w:val="768"/>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pStyle w:val="768"/>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pStyle w:val="768"/>
        <w:ind w:firstLine="320"/>
        <w:spacing w:line="480" w:lineRule="exact"/>
        <w:rPr>
          <w:rFonts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t xml:space="preserve">十</w:t>
      </w:r>
      <w:r>
        <w:rPr>
          <w:rFonts w:hint="eastAsia" w:ascii="宋体" w:hAnsi="黑体" w:eastAsia="黑体" w:cs="黑体"/>
          <w:color w:val="000000"/>
          <w:sz w:val="32"/>
          <w:szCs w:val="32"/>
          <w:highlight w:val="none"/>
          <w:lang w:val="en-US" w:eastAsia="zh-CN"/>
        </w:rPr>
        <w:t xml:space="preserve">二</w:t>
      </w:r>
      <w:r>
        <w:rPr>
          <w:rFonts w:hint="eastAsia" w:ascii="宋体" w:hAnsi="黑体" w:eastAsia="黑体" w:cs="黑体"/>
          <w:color w:val="000000"/>
          <w:sz w:val="32"/>
          <w:szCs w:val="32"/>
          <w:highlight w:val="none"/>
        </w:rPr>
        <w:t xml:space="preserve">、演示</w:t>
      </w:r>
      <w:r>
        <w:rPr>
          <w:rFonts w:ascii="宋体" w:hAnsi="黑体" w:eastAsia="黑体" w:cs="黑体"/>
          <w:color w:val="000000"/>
          <w:sz w:val="32"/>
          <w:szCs w:val="32"/>
          <w:highlight w:val="none"/>
        </w:rPr>
      </w:r>
      <w:r/>
    </w:p>
    <w:p>
      <w:pPr>
        <w:pStyle w:val="768"/>
        <w:ind w:firstLine="440"/>
        <w:spacing w:line="499" w:lineRule="atLeast"/>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演示要求</w:t>
      </w:r>
      <w:r>
        <w:rPr>
          <w:rFonts w:ascii="宋体" w:hAnsi="宋体" w:cs="宋体"/>
          <w:color w:val="000000"/>
          <w:sz w:val="22"/>
          <w:highlight w:val="none"/>
        </w:rPr>
      </w:r>
      <w:r/>
    </w:p>
    <w:p>
      <w:pPr>
        <w:pStyle w:val="768"/>
        <w:ind w:firstLine="440"/>
        <w:spacing w:line="499" w:lineRule="atLeast"/>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上传视频演示</w:t>
      </w:r>
      <w:r>
        <w:rPr>
          <w:rFonts w:ascii="宋体" w:hAnsi="宋体" w:cs="宋体"/>
          <w:color w:val="000000"/>
          <w:sz w:val="22"/>
          <w:highlight w:val="none"/>
        </w:rPr>
      </w:r>
      <w:r/>
    </w:p>
    <w:p>
      <w:pPr>
        <w:pStyle w:val="768"/>
        <w:ind w:firstLine="440"/>
        <w:spacing w:line="499" w:lineRule="atLeast"/>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（1）投标人需按照招标文件规定的演示内容制作演示视频文件，视频文件的格式为</w:t>
      </w:r>
      <w:r>
        <w:rPr>
          <w:rFonts w:ascii="宋体" w:hAnsi="宋体" w:cs="宋体"/>
          <w:color w:val="000000"/>
          <w:sz w:val="22"/>
          <w:highlight w:val="none"/>
        </w:rPr>
        <w:t xml:space="preserve">*</w:t>
      </w:r>
      <w:r>
        <w:rPr>
          <w:rFonts w:hint="eastAsia" w:ascii="宋体" w:hAnsi="宋体" w:cs="宋体"/>
          <w:color w:val="000000"/>
          <w:sz w:val="22"/>
          <w:highlight w:val="none"/>
        </w:rPr>
        <w:t xml:space="preserve">.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ascii="宋体" w:hAnsi="宋体" w:cs="宋体"/>
          <w:color w:val="000000"/>
          <w:sz w:val="22"/>
          <w:highlight w:val="none"/>
        </w:rPr>
      </w:r>
      <w:r/>
    </w:p>
    <w:p>
      <w:pPr>
        <w:pStyle w:val="768"/>
        <w:ind w:firstLine="440"/>
        <w:spacing w:line="499" w:lineRule="atLeast"/>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（2）演示内容如下：</w:t>
      </w:r>
      <w:r>
        <w:rPr>
          <w:rFonts w:ascii="宋体" w:hAnsi="宋体" w:cs="宋体"/>
          <w:color w:val="000000"/>
          <w:sz w:val="22"/>
          <w:highlight w:val="none"/>
        </w:rPr>
      </w:r>
      <w:r/>
    </w:p>
    <w:p>
      <w:pPr>
        <w:pStyle w:val="768"/>
        <w:ind w:firstLine="440"/>
        <w:spacing w:line="499" w:lineRule="atLeast"/>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①……</w:t>
      </w:r>
      <w:r>
        <w:rPr>
          <w:rFonts w:ascii="宋体" w:hAnsi="宋体" w:cs="宋体"/>
          <w:color w:val="000000"/>
          <w:sz w:val="22"/>
          <w:highlight w:val="none"/>
        </w:rPr>
      </w:r>
      <w:r/>
    </w:p>
    <w:p>
      <w:pPr>
        <w:pStyle w:val="768"/>
        <w:ind w:firstLine="440"/>
        <w:spacing w:line="499" w:lineRule="atLeast"/>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②……</w:t>
      </w:r>
      <w:r>
        <w:rPr>
          <w:rFonts w:ascii="宋体" w:hAnsi="宋体" w:cs="宋体"/>
          <w:color w:val="000000"/>
          <w:sz w:val="22"/>
          <w:highlight w:val="none"/>
        </w:rPr>
      </w:r>
      <w:r/>
    </w:p>
    <w:p>
      <w:pPr>
        <w:pStyle w:val="768"/>
        <w:ind w:firstLine="440"/>
        <w:spacing w:line="499" w:lineRule="atLeast"/>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rPr>
        <w:t xml:space="preserve">③……</w:t>
      </w:r>
      <w:r>
        <w:rPr>
          <w:rFonts w:ascii="宋体" w:hAnsi="宋体" w:cs="宋体"/>
          <w:color w:val="000000"/>
          <w:sz w:val="22"/>
          <w:highlight w:val="none"/>
        </w:rPr>
      </w:r>
      <w:r/>
    </w:p>
    <w:p>
      <w:pPr>
        <w:pStyle w:val="768"/>
        <w:spacing w:line="480" w:lineRule="exact"/>
        <w:rPr>
          <w:rFonts w:ascii="宋体" w:hAnsi="黑体" w:eastAsia="黑体" w:cs="黑体"/>
          <w:color w:val="000000"/>
          <w:sz w:val="32"/>
          <w:szCs w:val="32"/>
          <w:highlight w:val="none"/>
        </w:rPr>
        <w:outlineLvl w:val="1"/>
      </w:pPr>
      <w:r>
        <w:rPr>
          <w:rFonts w:ascii="宋体" w:hAnsi="黑体" w:eastAsia="黑体" w:cs="黑体"/>
          <w:color w:val="000000"/>
          <w:sz w:val="32"/>
          <w:szCs w:val="32"/>
          <w:highlight w:val="none"/>
        </w:rPr>
      </w:r>
      <w:r/>
    </w:p>
    <w:p>
      <w:pPr>
        <w:pStyle w:val="768"/>
        <w:spacing w:line="480" w:lineRule="exact"/>
        <w:rPr>
          <w:rFonts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t xml:space="preserve">十</w:t>
      </w:r>
      <w:r>
        <w:rPr>
          <w:rFonts w:hint="eastAsia" w:ascii="宋体" w:hAnsi="黑体" w:eastAsia="黑体" w:cs="黑体"/>
          <w:color w:val="000000"/>
          <w:sz w:val="32"/>
          <w:szCs w:val="32"/>
          <w:highlight w:val="none"/>
          <w:lang w:val="en-US" w:eastAsia="zh-CN"/>
        </w:rPr>
        <w:t xml:space="preserve">三</w:t>
      </w:r>
      <w:r>
        <w:rPr>
          <w:rFonts w:hint="eastAsia" w:ascii="宋体" w:hAnsi="黑体" w:eastAsia="黑体" w:cs="黑体"/>
          <w:color w:val="000000"/>
          <w:sz w:val="32"/>
          <w:szCs w:val="32"/>
          <w:highlight w:val="none"/>
        </w:rPr>
        <w:t xml:space="preserve">、投标所需其他材料</w:t>
      </w:r>
      <w:bookmarkEnd w:id="160"/>
      <w:r/>
      <w:bookmarkEnd w:id="161"/>
      <w:r>
        <w:rPr>
          <w:rFonts w:ascii="宋体" w:hAnsi="黑体" w:eastAsia="黑体" w:cs="黑体"/>
          <w:color w:val="000000"/>
          <w:sz w:val="32"/>
          <w:szCs w:val="32"/>
          <w:highlight w:val="none"/>
        </w:rPr>
      </w:r>
      <w:r/>
    </w:p>
    <w:p>
      <w:pPr>
        <w:pStyle w:val="1108"/>
        <w:ind w:firstLine="420"/>
        <w:spacing w:line="480" w:lineRule="exact"/>
        <w:rPr>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rPr>
          <w:color w:val="000000"/>
          <w:sz w:val="24"/>
          <w:szCs w:val="24"/>
          <w:highlight w:val="none"/>
        </w:rPr>
      </w:r>
      <w:r/>
    </w:p>
    <w:p>
      <w:pPr>
        <w:pStyle w:val="864"/>
        <w:jc w:val="center"/>
        <w:rPr>
          <w:rFonts w:hint="eastAsia" w:ascii="仿宋" w:hAnsi="仿宋" w:eastAsia="仿宋" w:cs="仿宋"/>
          <w:bCs/>
          <w:color w:val="000000"/>
          <w:sz w:val="24"/>
          <w:highlight w:val="none"/>
        </w:rPr>
        <w:outlineLvl w:val="1"/>
      </w:pPr>
      <w:r>
        <w:rPr>
          <w:rFonts w:hint="eastAsia" w:ascii="仿宋" w:hAnsi="仿宋" w:eastAsia="仿宋" w:cs="仿宋"/>
          <w:bCs/>
          <w:color w:val="000000"/>
          <w:sz w:val="24"/>
          <w:highlight w:val="none"/>
        </w:rPr>
      </w:r>
      <w:r/>
    </w:p>
    <w:p>
      <w:pPr>
        <w:pStyle w:val="864"/>
        <w:jc w:val="center"/>
        <w:rPr>
          <w:rFonts w:hint="eastAsia" w:ascii="仿宋" w:hAnsi="仿宋" w:eastAsia="仿宋" w:cs="仿宋"/>
          <w:bCs/>
          <w:color w:val="000000"/>
          <w:sz w:val="24"/>
          <w:highlight w:val="none"/>
        </w:rPr>
        <w:outlineLvl w:val="1"/>
      </w:pPr>
      <w:r>
        <w:rPr>
          <w:rFonts w:hint="eastAsia" w:ascii="仿宋" w:hAnsi="仿宋" w:eastAsia="仿宋" w:cs="仿宋"/>
          <w:bCs/>
          <w:color w:val="000000"/>
          <w:sz w:val="24"/>
          <w:highlight w:val="none"/>
        </w:rPr>
      </w:r>
      <w:r/>
    </w:p>
    <w:p>
      <w:pPr>
        <w:pStyle w:val="864"/>
        <w:jc w:val="center"/>
        <w:rPr>
          <w:rFonts w:hint="eastAsia" w:ascii="仿宋" w:hAnsi="仿宋" w:eastAsia="仿宋" w:cs="仿宋"/>
          <w:bCs/>
          <w:color w:val="000000"/>
          <w:sz w:val="24"/>
          <w:highlight w:val="none"/>
        </w:rPr>
        <w:outlineLvl w:val="1"/>
      </w:pPr>
      <w:r>
        <w:rPr>
          <w:rFonts w:hint="eastAsia" w:ascii="仿宋" w:hAnsi="仿宋" w:eastAsia="仿宋" w:cs="仿宋"/>
          <w:bCs/>
          <w:color w:val="000000"/>
          <w:sz w:val="24"/>
          <w:highlight w:val="none"/>
        </w:rPr>
      </w:r>
      <w:r/>
    </w:p>
    <w:p>
      <w:pPr>
        <w:pStyle w:val="864"/>
        <w:jc w:val="center"/>
        <w:rPr>
          <w:rFonts w:hint="eastAsia" w:ascii="仿宋" w:hAnsi="仿宋" w:eastAsia="仿宋" w:cs="仿宋"/>
          <w:bCs/>
          <w:color w:val="000000"/>
          <w:sz w:val="24"/>
          <w:highlight w:val="none"/>
        </w:rPr>
        <w:outlineLvl w:val="1"/>
      </w:pPr>
      <w:r>
        <w:rPr>
          <w:rFonts w:hint="eastAsia" w:ascii="仿宋" w:hAnsi="仿宋" w:eastAsia="仿宋" w:cs="仿宋"/>
          <w:bCs/>
          <w:color w:val="000000"/>
          <w:sz w:val="24"/>
          <w:highlight w:val="none"/>
        </w:rPr>
      </w:r>
      <w:r/>
    </w:p>
    <w:p>
      <w:pPr>
        <w:pStyle w:val="864"/>
        <w:jc w:val="center"/>
        <w:rPr>
          <w:rFonts w:hint="eastAsia" w:ascii="仿宋" w:hAnsi="仿宋" w:eastAsia="仿宋" w:cs="仿宋"/>
          <w:bCs/>
          <w:color w:val="000000"/>
          <w:sz w:val="24"/>
          <w:highlight w:val="none"/>
        </w:rPr>
        <w:outlineLvl w:val="1"/>
      </w:pPr>
      <w:r>
        <w:rPr>
          <w:rFonts w:hint="eastAsia" w:ascii="仿宋" w:hAnsi="仿宋" w:eastAsia="仿宋" w:cs="仿宋"/>
          <w:bCs/>
          <w:color w:val="000000"/>
          <w:sz w:val="24"/>
          <w:highlight w:val="none"/>
        </w:rPr>
      </w:r>
      <w:r/>
    </w:p>
    <w:p>
      <w:pPr>
        <w:pStyle w:val="864"/>
        <w:jc w:val="center"/>
        <w:rPr>
          <w:rFonts w:hint="eastAsia" w:ascii="仿宋" w:hAnsi="仿宋" w:eastAsia="仿宋" w:cs="仿宋"/>
          <w:bCs/>
          <w:color w:val="000000"/>
          <w:sz w:val="24"/>
          <w:highlight w:val="none"/>
        </w:rPr>
        <w:outlineLvl w:val="1"/>
      </w:pPr>
      <w:r>
        <w:rPr>
          <w:rFonts w:hint="eastAsia" w:ascii="仿宋" w:hAnsi="仿宋" w:eastAsia="仿宋" w:cs="仿宋"/>
          <w:bCs/>
          <w:color w:val="000000"/>
          <w:sz w:val="24"/>
          <w:highlight w:val="none"/>
        </w:rPr>
      </w:r>
      <w:r/>
    </w:p>
    <w:p>
      <w:pPr>
        <w:pStyle w:val="768"/>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pStyle w:val="768"/>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lang w:val="en-US" w:eastAsia="zh-CN"/>
        </w:rPr>
        <w:t xml:space="preserve">十四、</w:t>
      </w:r>
      <w:r>
        <w:rPr>
          <w:rFonts w:hint="eastAsia" w:ascii="宋体" w:hAnsi="黑体" w:eastAsia="黑体" w:cs="黑体"/>
          <w:color w:val="000000"/>
          <w:sz w:val="32"/>
          <w:szCs w:val="32"/>
          <w:highlight w:val="none"/>
        </w:rPr>
        <w:t xml:space="preserve">分包意向协议书</w:t>
      </w:r>
      <w:r>
        <w:rPr>
          <w:rFonts w:hint="eastAsia" w:ascii="宋体" w:hAnsi="黑体" w:eastAsia="黑体" w:cs="黑体"/>
          <w:color w:val="000000"/>
          <w:sz w:val="32"/>
          <w:szCs w:val="32"/>
          <w:highlight w:val="none"/>
        </w:rPr>
      </w:r>
      <w:r/>
    </w:p>
    <w:p>
      <w:pPr>
        <w:pStyle w:val="864"/>
        <w:jc w:val="center"/>
        <w:rPr>
          <w:rFonts w:hint="eastAsia" w:ascii="仿宋" w:hAnsi="仿宋" w:eastAsia="仿宋" w:cs="仿宋"/>
          <w:bCs/>
          <w:color w:val="000000"/>
          <w:sz w:val="24"/>
          <w:highlight w:val="none"/>
        </w:rPr>
        <w:outlineLvl w:val="1"/>
      </w:pPr>
      <w:r>
        <w:rPr>
          <w:rFonts w:hint="eastAsia" w:ascii="仿宋" w:hAnsi="仿宋" w:eastAsia="仿宋" w:cs="仿宋"/>
          <w:bCs/>
          <w:color w:val="000000"/>
          <w:sz w:val="24"/>
          <w:highlight w:val="none"/>
        </w:rPr>
      </w:r>
      <w:r/>
    </w:p>
    <w:p>
      <w:pPr>
        <w:pStyle w:val="864"/>
        <w:jc w:val="center"/>
        <w:rPr>
          <w:rFonts w:ascii="仿宋" w:hAnsi="仿宋" w:eastAsia="仿宋" w:cs="仿宋"/>
          <w:bCs/>
          <w:color w:val="000000"/>
          <w:sz w:val="24"/>
          <w:highlight w:val="none"/>
        </w:rPr>
        <w:outlineLvl w:val="1"/>
      </w:pPr>
      <w:r>
        <w:rPr>
          <w:rFonts w:hint="eastAsia" w:ascii="仿宋" w:hAnsi="仿宋" w:eastAsia="仿宋" w:cs="仿宋"/>
          <w:bCs/>
          <w:color w:val="000000"/>
          <w:sz w:val="24"/>
          <w:highlight w:val="none"/>
        </w:rPr>
        <w:t xml:space="preserve">分包意向协议书</w:t>
      </w:r>
      <w:r>
        <w:rPr>
          <w:rFonts w:ascii="仿宋" w:hAnsi="仿宋" w:eastAsia="仿宋" w:cs="仿宋"/>
          <w:bCs/>
          <w:color w:val="000000"/>
          <w:sz w:val="24"/>
          <w:highlight w:val="none"/>
        </w:rPr>
      </w:r>
      <w:r/>
    </w:p>
    <w:p>
      <w:pPr>
        <w:pStyle w:val="1185"/>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立约方：</w:t>
      </w:r>
      <w:r>
        <w:rPr>
          <w:rFonts w:ascii="仿宋" w:hAnsi="仿宋" w:eastAsia="仿宋" w:cs="仿宋"/>
          <w:color w:val="000000"/>
          <w:sz w:val="24"/>
          <w:szCs w:val="24"/>
          <w:highlight w:val="none"/>
          <w:u w:val="single"/>
        </w:rPr>
        <w:t xml:space="preserve">（甲公司全称）</w:t>
      </w:r>
      <w:r>
        <w:rPr>
          <w:rFonts w:ascii="仿宋" w:hAnsi="仿宋" w:eastAsia="仿宋" w:cs="仿宋"/>
          <w:color w:val="000000"/>
          <w:sz w:val="24"/>
          <w:szCs w:val="24"/>
          <w:highlight w:val="none"/>
        </w:rPr>
      </w:r>
      <w:r/>
    </w:p>
    <w:p>
      <w:pPr>
        <w:pStyle w:val="1185"/>
        <w:ind w:firstLine="800"/>
        <w:rPr>
          <w:rFonts w:ascii="仿宋" w:hAnsi="仿宋" w:eastAsia="仿宋" w:cs="仿宋"/>
          <w:color w:val="000000"/>
          <w:sz w:val="24"/>
          <w:szCs w:val="24"/>
          <w:highlight w:val="none"/>
          <w:u w:val="single"/>
        </w:rPr>
      </w:pPr>
      <w:r>
        <w:rPr>
          <w:rFonts w:ascii="仿宋" w:hAnsi="仿宋" w:eastAsia="仿宋" w:cs="仿宋"/>
          <w:color w:val="000000"/>
          <w:sz w:val="24"/>
          <w:szCs w:val="24"/>
          <w:highlight w:val="none"/>
          <w:u w:val="single"/>
        </w:rPr>
        <w:t xml:space="preserve">（乙公司全称）</w:t>
      </w:r>
      <w:r>
        <w:rPr>
          <w:rFonts w:ascii="仿宋" w:hAnsi="仿宋" w:eastAsia="仿宋" w:cs="仿宋"/>
          <w:color w:val="000000"/>
          <w:sz w:val="24"/>
          <w:szCs w:val="24"/>
          <w:highlight w:val="none"/>
          <w:u w:val="single"/>
        </w:rPr>
      </w:r>
      <w:r/>
    </w:p>
    <w:p>
      <w:pPr>
        <w:pStyle w:val="1185"/>
        <w:ind w:firstLine="800"/>
        <w:rPr>
          <w:rFonts w:ascii="仿宋" w:hAnsi="仿宋" w:eastAsia="仿宋" w:cs="仿宋"/>
          <w:color w:val="000000"/>
          <w:sz w:val="24"/>
          <w:szCs w:val="24"/>
          <w:highlight w:val="none"/>
          <w:u w:val="single"/>
        </w:rPr>
      </w:pPr>
      <w:r>
        <w:rPr>
          <w:rFonts w:ascii="仿宋" w:hAnsi="仿宋" w:eastAsia="仿宋" w:cs="仿宋"/>
          <w:color w:val="000000"/>
          <w:sz w:val="24"/>
          <w:szCs w:val="24"/>
          <w:highlight w:val="none"/>
          <w:u w:val="single"/>
        </w:rPr>
        <w:t xml:space="preserve">（……公司全称）</w:t>
      </w:r>
      <w:r>
        <w:rPr>
          <w:rFonts w:ascii="仿宋" w:hAnsi="仿宋" w:eastAsia="仿宋" w:cs="仿宋"/>
          <w:color w:val="000000"/>
          <w:sz w:val="24"/>
          <w:szCs w:val="24"/>
          <w:highlight w:val="none"/>
          <w:u w:val="singl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u w:val="single"/>
        </w:rPr>
        <w:t xml:space="preserve">（甲公司全称）、（乙公司全称）、（……公司全称）</w:t>
      </w:r>
      <w:r>
        <w:rPr>
          <w:rFonts w:ascii="仿宋" w:hAnsi="仿宋" w:eastAsia="仿宋" w:cs="仿宋"/>
          <w:color w:val="000000"/>
          <w:sz w:val="24"/>
          <w:szCs w:val="24"/>
          <w:highlight w:val="none"/>
        </w:rPr>
        <w:t xml:space="preserve">自愿达成分包意向，参加</w:t>
      </w:r>
      <w:r>
        <w:rPr>
          <w:rFonts w:ascii="仿宋" w:hAnsi="仿宋" w:eastAsia="仿宋" w:cs="仿宋"/>
          <w:color w:val="000000"/>
          <w:sz w:val="24"/>
          <w:szCs w:val="24"/>
          <w:highlight w:val="none"/>
          <w:u w:val="single"/>
        </w:rPr>
        <w:t xml:space="preserve">（采购项目名称：）（采购项目编号：）（分包号：）</w:t>
      </w:r>
      <w:r>
        <w:rPr>
          <w:rFonts w:ascii="仿宋" w:hAnsi="仿宋" w:eastAsia="仿宋" w:cs="仿宋"/>
          <w:color w:val="000000"/>
          <w:sz w:val="24"/>
          <w:szCs w:val="24"/>
          <w:highlight w:val="none"/>
        </w:rPr>
        <w:t xml:space="preserve">的响应活动。经各方充分协商一致，就项目的响应和合同实施阶段的有关事务协商一致订立意向如下：</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一、分包意向各方关系</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u w:val="single"/>
        </w:rPr>
        <w:t xml:space="preserve">（甲公司全称）为投标方、（乙公司全称）、（……公司全称）</w:t>
      </w:r>
      <w:r>
        <w:rPr>
          <w:rFonts w:ascii="仿宋" w:hAnsi="仿宋" w:eastAsia="仿宋" w:cs="仿宋"/>
          <w:color w:val="000000"/>
          <w:sz w:val="24"/>
          <w:szCs w:val="24"/>
          <w:highlight w:val="none"/>
        </w:rPr>
        <w:t xml:space="preserve">为分包意向供应商，</w:t>
      </w:r>
      <w:r>
        <w:rPr>
          <w:rFonts w:ascii="仿宋" w:hAnsi="仿宋" w:eastAsia="仿宋" w:cs="仿宋"/>
          <w:color w:val="000000"/>
          <w:sz w:val="24"/>
          <w:szCs w:val="24"/>
          <w:highlight w:val="none"/>
          <w:u w:val="single"/>
        </w:rPr>
        <w:t xml:space="preserve">（甲公司全称）</w:t>
      </w:r>
      <w:r>
        <w:rPr>
          <w:rFonts w:ascii="仿宋" w:hAnsi="仿宋" w:eastAsia="仿宋" w:cs="仿宋"/>
          <w:color w:val="000000"/>
          <w:sz w:val="24"/>
          <w:szCs w:val="24"/>
          <w:highlight w:val="none"/>
        </w:rPr>
        <w:t xml:space="preserve">以投标供应商的身份参加本项目的响应。若中标，（甲公司全称）与采购人签订政府采购合同。承接分包意向的各供应商与（甲公司全称）签订分包合同。（甲公司全称）就采购项目和分包项目向采购人负责，分包供应商就分包项目承担责任。</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二、有关事项约定如下：</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1.如中标，分包供应商分别与</w:t>
      </w:r>
      <w:r>
        <w:rPr>
          <w:rFonts w:ascii="仿宋" w:hAnsi="仿宋" w:eastAsia="仿宋" w:cs="仿宋"/>
          <w:color w:val="000000"/>
          <w:sz w:val="24"/>
          <w:szCs w:val="24"/>
          <w:highlight w:val="none"/>
          <w:u w:val="single"/>
        </w:rPr>
        <w:t xml:space="preserve">（甲公司全称）</w:t>
      </w:r>
      <w:r>
        <w:rPr>
          <w:rFonts w:ascii="仿宋" w:hAnsi="仿宋" w:eastAsia="仿宋" w:cs="仿宋"/>
          <w:color w:val="000000"/>
          <w:sz w:val="24"/>
          <w:szCs w:val="24"/>
          <w:highlight w:val="none"/>
        </w:rPr>
        <w:t xml:space="preserve">签订合同书，并就中标项目分包部分向采购人负责有连带的和各自的法律责任；</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2.分包意向供应商</w:t>
      </w:r>
      <w:r>
        <w:rPr>
          <w:rFonts w:ascii="仿宋" w:hAnsi="仿宋" w:eastAsia="仿宋" w:cs="仿宋"/>
          <w:color w:val="000000"/>
          <w:sz w:val="24"/>
          <w:szCs w:val="24"/>
          <w:highlight w:val="none"/>
          <w:u w:val="single"/>
        </w:rPr>
        <w:t xml:space="preserve">1（公司全称）</w:t>
      </w:r>
      <w:r>
        <w:rPr>
          <w:rFonts w:ascii="仿宋" w:hAnsi="仿宋" w:eastAsia="仿宋" w:cs="仿宋"/>
          <w:color w:val="000000"/>
          <w:sz w:val="24"/>
          <w:szCs w:val="24"/>
          <w:highlight w:val="none"/>
        </w:rPr>
        <w:t xml:space="preserve">为</w:t>
      </w:r>
      <w:r>
        <w:rPr>
          <w:rFonts w:ascii="仿宋" w:hAnsi="仿宋" w:eastAsia="仿宋" w:cs="仿宋"/>
          <w:color w:val="000000"/>
          <w:sz w:val="24"/>
          <w:szCs w:val="24"/>
          <w:highlight w:val="none"/>
          <w:u w:val="single"/>
        </w:rPr>
        <w:t xml:space="preserve">（请填写：中型、小型、微型）</w:t>
      </w:r>
      <w:r>
        <w:rPr>
          <w:rFonts w:ascii="仿宋" w:hAnsi="仿宋" w:eastAsia="仿宋" w:cs="仿宋"/>
          <w:color w:val="000000"/>
          <w:sz w:val="24"/>
          <w:szCs w:val="24"/>
          <w:highlight w:val="none"/>
        </w:rPr>
        <w:t xml:space="preserve">企业，将承担适宜分包部分</w:t>
      </w:r>
      <w:r>
        <w:rPr>
          <w:rFonts w:ascii="仿宋" w:hAnsi="仿宋" w:eastAsia="仿宋" w:cs="仿宋"/>
          <w:color w:val="000000"/>
          <w:sz w:val="24"/>
          <w:szCs w:val="24"/>
          <w:highlight w:val="none"/>
          <w:u w:val="single"/>
        </w:rPr>
        <w:t xml:space="preserve"> （具体分包内容）</w:t>
      </w:r>
      <w:r>
        <w:rPr>
          <w:rFonts w:ascii="仿宋" w:hAnsi="仿宋" w:eastAsia="仿宋" w:cs="仿宋"/>
          <w:color w:val="000000"/>
          <w:sz w:val="24"/>
          <w:szCs w:val="24"/>
          <w:highlight w:val="none"/>
        </w:rPr>
        <w:t xml:space="preserve">占合同总金额</w:t>
      </w:r>
      <w:r>
        <w:rPr>
          <w:rFonts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t xml:space="preserve">的工作内容。</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3.分包意向供应商</w:t>
      </w:r>
      <w:r>
        <w:rPr>
          <w:rFonts w:ascii="仿宋" w:hAnsi="仿宋" w:eastAsia="仿宋" w:cs="仿宋"/>
          <w:color w:val="000000"/>
          <w:sz w:val="24"/>
          <w:szCs w:val="24"/>
          <w:highlight w:val="none"/>
          <w:u w:val="single"/>
        </w:rPr>
        <w:t xml:space="preserve">2（公司全称）</w:t>
      </w:r>
      <w:r>
        <w:rPr>
          <w:rFonts w:ascii="仿宋" w:hAnsi="仿宋" w:eastAsia="仿宋" w:cs="仿宋"/>
          <w:color w:val="000000"/>
          <w:sz w:val="24"/>
          <w:szCs w:val="24"/>
          <w:highlight w:val="none"/>
        </w:rPr>
        <w:t xml:space="preserve">为</w:t>
      </w:r>
      <w:r>
        <w:rPr>
          <w:rFonts w:ascii="仿宋" w:hAnsi="仿宋" w:eastAsia="仿宋" w:cs="仿宋"/>
          <w:color w:val="000000"/>
          <w:sz w:val="24"/>
          <w:szCs w:val="24"/>
          <w:highlight w:val="none"/>
          <w:u w:val="single"/>
        </w:rPr>
        <w:t xml:space="preserve">（请填写：中型、小型、微型）</w:t>
      </w:r>
      <w:r>
        <w:rPr>
          <w:rFonts w:ascii="仿宋" w:hAnsi="仿宋" w:eastAsia="仿宋" w:cs="仿宋"/>
          <w:color w:val="000000"/>
          <w:sz w:val="24"/>
          <w:szCs w:val="24"/>
          <w:highlight w:val="none"/>
        </w:rPr>
        <w:t xml:space="preserve">企业，将承担适宜分包部分</w:t>
      </w:r>
      <w:r>
        <w:rPr>
          <w:rFonts w:ascii="仿宋" w:hAnsi="仿宋" w:eastAsia="仿宋" w:cs="仿宋"/>
          <w:color w:val="000000"/>
          <w:sz w:val="24"/>
          <w:szCs w:val="24"/>
          <w:highlight w:val="none"/>
          <w:u w:val="single"/>
        </w:rPr>
        <w:t xml:space="preserve">（具体分包内容）</w:t>
      </w:r>
      <w:r>
        <w:rPr>
          <w:rFonts w:ascii="仿宋" w:hAnsi="仿宋" w:eastAsia="仿宋" w:cs="仿宋"/>
          <w:color w:val="000000"/>
          <w:sz w:val="24"/>
          <w:szCs w:val="24"/>
          <w:highlight w:val="none"/>
        </w:rPr>
        <w:t xml:space="preserve">占合同总金额</w:t>
      </w:r>
      <w:r>
        <w:rPr>
          <w:rFonts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t xml:space="preserve">的工作内容。</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三、接受分包的企业与分包企业之间的关系：</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1.分包意向供应商</w:t>
      </w:r>
      <w:r>
        <w:rPr>
          <w:rFonts w:ascii="仿宋" w:hAnsi="仿宋" w:eastAsia="仿宋" w:cs="仿宋"/>
          <w:color w:val="000000"/>
          <w:sz w:val="24"/>
          <w:szCs w:val="24"/>
          <w:highlight w:val="none"/>
          <w:u w:val="single"/>
        </w:rPr>
        <w:t xml:space="preserve"> 1（公司全称）</w:t>
      </w:r>
      <w:r>
        <w:rPr>
          <w:rFonts w:ascii="仿宋" w:hAnsi="仿宋" w:eastAsia="仿宋" w:cs="仿宋"/>
          <w:color w:val="000000"/>
          <w:sz w:val="24"/>
          <w:szCs w:val="24"/>
          <w:highlight w:val="none"/>
        </w:rPr>
        <w:t xml:space="preserve">与分包企业之间</w:t>
      </w:r>
      <w:r>
        <w:rPr>
          <w:rFonts w:ascii="仿宋" w:hAnsi="仿宋" w:eastAsia="仿宋" w:cs="仿宋"/>
          <w:color w:val="000000"/>
          <w:sz w:val="24"/>
          <w:szCs w:val="24"/>
          <w:highlight w:val="none"/>
          <w:u w:val="single"/>
        </w:rPr>
        <w:t xml:space="preserve">（请填写：是否存在）</w:t>
      </w:r>
      <w:r>
        <w:rPr>
          <w:rFonts w:ascii="仿宋" w:hAnsi="仿宋" w:eastAsia="仿宋" w:cs="仿宋"/>
          <w:color w:val="000000"/>
          <w:sz w:val="24"/>
          <w:szCs w:val="24"/>
          <w:highlight w:val="none"/>
        </w:rPr>
        <w:t xml:space="preserve">直接控股、管理关系的情形。</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2.分包意向供应商</w:t>
      </w:r>
      <w:r>
        <w:rPr>
          <w:rFonts w:ascii="仿宋" w:hAnsi="仿宋" w:eastAsia="仿宋" w:cs="仿宋"/>
          <w:color w:val="000000"/>
          <w:sz w:val="24"/>
          <w:szCs w:val="24"/>
          <w:highlight w:val="none"/>
          <w:u w:val="single"/>
        </w:rPr>
        <w:t xml:space="preserve"> 2（公司全称）</w:t>
      </w:r>
      <w:r>
        <w:rPr>
          <w:rFonts w:ascii="仿宋" w:hAnsi="仿宋" w:eastAsia="仿宋" w:cs="仿宋"/>
          <w:color w:val="000000"/>
          <w:sz w:val="24"/>
          <w:szCs w:val="24"/>
          <w:highlight w:val="none"/>
        </w:rPr>
        <w:t xml:space="preserve">与分包企业之间</w:t>
      </w:r>
      <w:r>
        <w:rPr>
          <w:rFonts w:ascii="仿宋" w:hAnsi="仿宋" w:eastAsia="仿宋" w:cs="仿宋"/>
          <w:color w:val="000000"/>
          <w:sz w:val="24"/>
          <w:szCs w:val="24"/>
          <w:highlight w:val="none"/>
          <w:u w:val="single"/>
        </w:rPr>
        <w:t xml:space="preserve">（请填写：是否存在）</w:t>
      </w:r>
      <w:r>
        <w:rPr>
          <w:rFonts w:ascii="仿宋" w:hAnsi="仿宋" w:eastAsia="仿宋" w:cs="仿宋"/>
          <w:color w:val="000000"/>
          <w:sz w:val="24"/>
          <w:szCs w:val="24"/>
          <w:highlight w:val="none"/>
        </w:rPr>
        <w:t xml:space="preserve">直接控股、管理关系的情形。</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四、如因违约过失责任而导致采购人经济损失或被索赔时，</w:t>
      </w:r>
      <w:r>
        <w:rPr>
          <w:rFonts w:ascii="仿宋" w:hAnsi="仿宋" w:eastAsia="仿宋" w:cs="仿宋"/>
          <w:color w:val="000000"/>
          <w:sz w:val="24"/>
          <w:szCs w:val="24"/>
          <w:highlight w:val="none"/>
          <w:u w:val="single"/>
        </w:rPr>
        <w:t xml:space="preserve">（甲公司全称）</w:t>
      </w:r>
      <w:r>
        <w:rPr>
          <w:rFonts w:ascii="仿宋" w:hAnsi="仿宋" w:eastAsia="仿宋" w:cs="仿宋"/>
          <w:color w:val="000000"/>
          <w:sz w:val="24"/>
          <w:szCs w:val="24"/>
          <w:highlight w:val="none"/>
        </w:rPr>
        <w:t xml:space="preserve">同意无条件优先清偿采购人的一切债务和经济赔偿。</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五、如中标，分包意向供应商不得以任何理由提出终止本意向协议。</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六、本意向书在自签署之日起生效，有效期内有效，如获中标资格，有效期延续至合同履行完毕之日。</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七、本意向书正本一式</w:t>
      </w:r>
      <w:r>
        <w:rPr>
          <w:rFonts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t xml:space="preserve">份，随投标文件装订</w:t>
      </w:r>
      <w:r>
        <w:rPr>
          <w:rFonts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t xml:space="preserve">份，（甲公司全称）及各分包意向供应商各一份。</w:t>
      </w:r>
      <w:r>
        <w:rPr>
          <w:rFonts w:ascii="仿宋" w:hAnsi="仿宋" w:eastAsia="仿宋" w:cs="仿宋"/>
          <w:color w:val="000000"/>
          <w:sz w:val="24"/>
          <w:szCs w:val="24"/>
          <w:highlight w:val="none"/>
        </w:rPr>
      </w:r>
      <w:r/>
    </w:p>
    <w:p>
      <w:pPr>
        <w:pStyle w:val="1185"/>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甲公司全称：（盖章）</w:t>
      </w:r>
      <w:r>
        <w:rPr>
          <w:rFonts w:ascii="仿宋" w:hAnsi="仿宋" w:eastAsia="仿宋" w:cs="仿宋"/>
          <w:color w:val="000000"/>
          <w:sz w:val="24"/>
          <w:szCs w:val="24"/>
          <w:highlight w:val="none"/>
        </w:rPr>
      </w:r>
      <w:r/>
    </w:p>
    <w:p>
      <w:pPr>
        <w:pStyle w:val="1185"/>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法定代表人（签字或盖章）</w:t>
      </w:r>
      <w:r>
        <w:rPr>
          <w:rFonts w:ascii="仿宋" w:hAnsi="仿宋" w:eastAsia="仿宋" w:cs="仿宋"/>
          <w:color w:val="000000"/>
          <w:sz w:val="24"/>
          <w:szCs w:val="24"/>
          <w:highlight w:val="none"/>
        </w:rPr>
      </w:r>
      <w:r/>
    </w:p>
    <w:p>
      <w:pPr>
        <w:pStyle w:val="1185"/>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 年 月 日</w:t>
      </w:r>
      <w:r>
        <w:rPr>
          <w:rFonts w:ascii="仿宋" w:hAnsi="仿宋" w:eastAsia="仿宋" w:cs="仿宋"/>
          <w:color w:val="000000"/>
          <w:sz w:val="24"/>
          <w:szCs w:val="24"/>
          <w:highlight w:val="none"/>
        </w:rPr>
      </w:r>
      <w:r/>
    </w:p>
    <w:p>
      <w:pPr>
        <w:pStyle w:val="1185"/>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乙公司全称：（盖章）</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法定代表人（签字或盖章） </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年 月 日</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……公司全称（盖章）</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法定代表人：（签字或盖章）</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 年 月 日 </w:t>
      </w:r>
      <w:r>
        <w:rPr>
          <w:rFonts w:ascii="仿宋" w:hAnsi="仿宋" w:eastAsia="仿宋" w:cs="仿宋"/>
          <w:color w:val="000000"/>
          <w:sz w:val="24"/>
          <w:szCs w:val="24"/>
          <w:highlight w:val="none"/>
        </w:rPr>
      </w:r>
      <w:r/>
    </w:p>
    <w:p>
      <w:pPr>
        <w:pStyle w:val="1185"/>
        <w:ind w:firstLine="400"/>
        <w:rPr>
          <w:rFonts w:ascii="仿宋" w:hAnsi="仿宋" w:eastAsia="仿宋" w:cs="仿宋"/>
          <w:color w:val="000000"/>
          <w:sz w:val="24"/>
          <w:szCs w:val="24"/>
          <w:highlight w:val="none"/>
        </w:rPr>
      </w:pPr>
      <w:r>
        <w:rPr>
          <w:rFonts w:ascii="仿宋" w:hAnsi="仿宋" w:eastAsia="仿宋" w:cs="仿宋"/>
          <w:color w:val="000000"/>
          <w:sz w:val="24"/>
          <w:szCs w:val="24"/>
          <w:highlight w:val="none"/>
        </w:rPr>
        <w:t xml:space="preserve"> </w:t>
      </w:r>
      <w:r>
        <w:rPr>
          <w:rFonts w:ascii="仿宋" w:hAnsi="仿宋" w:eastAsia="仿宋" w:cs="仿宋"/>
          <w:color w:val="000000"/>
          <w:sz w:val="24"/>
          <w:szCs w:val="24"/>
          <w:highlight w:val="none"/>
        </w:rPr>
      </w:r>
      <w:r/>
    </w:p>
    <w:p>
      <w:pPr>
        <w:pStyle w:val="1185"/>
        <w:ind w:firstLine="402"/>
        <w:rPr>
          <w:rFonts w:ascii="仿宋" w:hAnsi="仿宋" w:eastAsia="仿宋" w:cs="仿宋"/>
          <w:b/>
          <w:bCs/>
          <w:color w:val="000000"/>
          <w:sz w:val="24"/>
          <w:szCs w:val="24"/>
          <w:highlight w:val="none"/>
        </w:rPr>
      </w:pPr>
      <w:r>
        <w:rPr>
          <w:rFonts w:ascii="仿宋" w:hAnsi="仿宋" w:eastAsia="仿宋" w:cs="仿宋"/>
          <w:b/>
          <w:bCs/>
          <w:color w:val="000000"/>
          <w:sz w:val="24"/>
          <w:szCs w:val="24"/>
          <w:highlight w:val="none"/>
        </w:rPr>
        <w:t xml:space="preserve">注：</w:t>
      </w:r>
      <w:r>
        <w:rPr>
          <w:rFonts w:ascii="仿宋" w:hAnsi="仿宋" w:eastAsia="仿宋" w:cs="仿宋"/>
          <w:b/>
          <w:bCs/>
          <w:color w:val="000000"/>
          <w:sz w:val="24"/>
          <w:szCs w:val="24"/>
          <w:highlight w:val="none"/>
        </w:rPr>
      </w:r>
      <w:r/>
    </w:p>
    <w:p>
      <w:pPr>
        <w:pStyle w:val="1185"/>
        <w:ind w:firstLine="402"/>
        <w:rPr>
          <w:rFonts w:ascii="仿宋" w:hAnsi="仿宋" w:eastAsia="仿宋" w:cs="仿宋"/>
          <w:b/>
          <w:bCs/>
          <w:color w:val="000000"/>
          <w:sz w:val="24"/>
          <w:szCs w:val="24"/>
          <w:highlight w:val="none"/>
        </w:rPr>
      </w:pPr>
      <w:r>
        <w:rPr>
          <w:rFonts w:ascii="仿宋" w:hAnsi="仿宋" w:eastAsia="仿宋" w:cs="仿宋"/>
          <w:b/>
          <w:bCs/>
          <w:color w:val="000000"/>
          <w:sz w:val="24"/>
          <w:szCs w:val="24"/>
          <w:highlight w:val="none"/>
        </w:rPr>
        <w:t xml:space="preserve">1．各方成员应在本意向书上共同盖章确认。 </w:t>
      </w:r>
      <w:r>
        <w:rPr>
          <w:rFonts w:ascii="仿宋" w:hAnsi="仿宋" w:eastAsia="仿宋" w:cs="仿宋"/>
          <w:b/>
          <w:bCs/>
          <w:color w:val="000000"/>
          <w:sz w:val="24"/>
          <w:szCs w:val="24"/>
          <w:highlight w:val="none"/>
        </w:rPr>
      </w:r>
      <w:r/>
    </w:p>
    <w:p>
      <w:pPr>
        <w:pStyle w:val="768"/>
        <w:ind w:firstLine="482"/>
        <w:rPr>
          <w:rFonts w:ascii="仿宋" w:hAnsi="仿宋" w:eastAsia="仿宋" w:cs="仿宋"/>
          <w:color w:val="000000"/>
          <w:sz w:val="24"/>
          <w:highlight w:val="none"/>
        </w:rPr>
      </w:pPr>
      <w:r>
        <w:rPr>
          <w:rFonts w:hint="eastAsia" w:ascii="仿宋" w:hAnsi="仿宋" w:eastAsia="仿宋" w:cs="仿宋"/>
          <w:b/>
          <w:bCs/>
          <w:color w:val="000000"/>
          <w:sz w:val="24"/>
          <w:szCs w:val="24"/>
          <w:highlight w:val="none"/>
        </w:rPr>
        <w:t xml:space="preserve">2.本意向书内容将作为签订合同的附件之一。</w:t>
      </w:r>
      <w:r>
        <w:rPr>
          <w:rFonts w:ascii="仿宋" w:hAnsi="仿宋" w:eastAsia="仿宋" w:cs="仿宋"/>
          <w:color w:val="000000"/>
          <w:sz w:val="24"/>
          <w:highlight w:val="none"/>
        </w:rPr>
      </w:r>
      <w:r/>
    </w:p>
    <w:p>
      <w:pPr>
        <w:pStyle w:val="768"/>
        <w:spacing w:line="440" w:lineRule="exact"/>
        <w:rPr>
          <w:rFonts w:ascii="仿宋" w:hAnsi="仿宋" w:eastAsia="仿宋" w:cs="仿宋"/>
          <w:color w:val="000000"/>
          <w:sz w:val="24"/>
          <w:highlight w:val="none"/>
        </w:rPr>
      </w:pPr>
      <w:r>
        <w:rPr>
          <w:rFonts w:ascii="仿宋" w:hAnsi="仿宋" w:eastAsia="仿宋" w:cs="仿宋"/>
          <w:color w:val="000000"/>
          <w:sz w:val="24"/>
          <w:highlight w:val="none"/>
        </w:rPr>
      </w:r>
      <w:r/>
    </w:p>
    <w:p>
      <w:pPr>
        <w:pStyle w:val="1163"/>
        <w:ind w:firstLine="0"/>
        <w:spacing w:line="440" w:lineRule="exact"/>
        <w:rPr>
          <w:rFonts w:ascii="仿宋" w:hAnsi="仿宋" w:eastAsia="仿宋" w:cs="仿宋"/>
          <w:color w:val="000000"/>
          <w:highlight w:val="none"/>
        </w:rPr>
      </w:pPr>
      <w:r/>
      <w:bookmarkStart w:id="162" w:name="_Hlt26955066"/>
      <w:r/>
      <w:bookmarkEnd w:id="162"/>
      <w:r/>
      <w:bookmarkStart w:id="163" w:name="_Hlt26671374"/>
      <w:r/>
      <w:bookmarkEnd w:id="163"/>
      <w:r/>
      <w:bookmarkStart w:id="164" w:name="_Hlt26609389"/>
      <w:r/>
      <w:bookmarkEnd w:id="164"/>
      <w:r/>
      <w:bookmarkStart w:id="165" w:name="_Toc462564146"/>
      <w:r/>
      <w:bookmarkEnd w:id="165"/>
      <w:r>
        <w:rPr>
          <w:rFonts w:ascii="仿宋" w:hAnsi="仿宋" w:eastAsia="仿宋" w:cs="仿宋"/>
          <w:color w:val="000000"/>
          <w:highlight w:val="none"/>
        </w:rPr>
      </w:r>
      <w:r/>
    </w:p>
    <w:p>
      <w:pPr>
        <w:pStyle w:val="768"/>
        <w:spacing w:line="440" w:lineRule="exact"/>
        <w:rPr>
          <w:rFonts w:ascii="仿宋" w:hAnsi="仿宋" w:eastAsia="仿宋" w:cs="仿宋"/>
          <w:color w:val="000000"/>
          <w:sz w:val="24"/>
          <w:highlight w:val="none"/>
        </w:rPr>
      </w:pPr>
      <w:r>
        <w:rPr>
          <w:rFonts w:ascii="仿宋" w:hAnsi="仿宋" w:eastAsia="仿宋" w:cs="仿宋"/>
          <w:color w:val="000000"/>
          <w:sz w:val="24"/>
          <w:highlight w:val="none"/>
        </w:rPr>
      </w:r>
      <w:r/>
    </w:p>
    <w:p>
      <w:pPr>
        <w:pStyle w:val="1151"/>
        <w:spacing w:line="44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151"/>
        <w:spacing w:line="44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768"/>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768"/>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7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8"/>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76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8"/>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7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768"/>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768"/>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768"/>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68"/>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768"/>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768"/>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76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76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76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76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76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768"/>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sectPr>
      <w:headerReference w:type="default" r:id="rId10"/>
      <w:footerReference w:type="default" r:id="rId14"/>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书宋二S">
    <w:panose1 w:val="020B0503020202020204"/>
  </w:font>
  <w:font w:name="Segoe UI">
    <w:panose1 w:val="020B0502040204020203"/>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等线">
    <w:panose1 w:val="02010600030101010101"/>
  </w:font>
  <w:font w:name="仿宋">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-123189</wp:posOffset>
              </wp:positionV>
              <wp:extent cx="770890" cy="3435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768"/>
                          </w:pPr>
                          <w:r/>
                          <w:r/>
                        </w:p>
                        <w:p>
                          <w:pPr>
                            <w:pStyle w:val="768"/>
                          </w:pPr>
                          <w:r/>
                          <w:r/>
                        </w:p>
                      </w:txbxContent>
                    </wps:txbx>
                    <wps:bodyPr wrap="square" lIns="0" tIns="0" rIns="0" bIns="0" upright="1"/>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768"/>
                    </w:pPr>
                    <w:r/>
                    <w:r/>
                  </w:p>
                  <w:p>
                    <w:pPr>
                      <w:pStyle w:val="768"/>
                    </w:pPr>
                    <w:r/>
                    <w:r/>
                  </w:p>
                </w:txbxContent>
              </v:textbox>
            </v:shape>
          </w:pict>
        </mc:Fallback>
      </mc:AlternateContent>
    </w:r>
    <w:r/>
  </w:p>
  <w:p>
    <w:pPr>
      <w:pStyle w:val="82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8"/>
                          </w:pPr>
                          <w:r/>
                          <w:r/>
                        </w:p>
                        <w:p>
                          <w:pPr>
                            <w:pStyle w:val="768"/>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8"/>
                    </w:pPr>
                    <w:r/>
                    <w:r/>
                  </w:p>
                  <w:p>
                    <w:pPr>
                      <w:pStyle w:val="76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tabs>
        <w:tab w:val="center" w:pos="7143" w:leader="none"/>
        <w:tab w:val="right" w:pos="14287" w:leader="none"/>
      </w:tabs>
    </w:pPr>
    <w:r>
      <w:fldChar w:fldCharType="begin"/>
    </w:r>
    <w:r>
      <w:instrText xml:space="preserve">PAGE \* MERGEFORMAT</w:instrText>
    </w:r>
    <w:r>
      <w:fldChar w:fldCharType="separate"/>
    </w:r>
    <w:r>
      <w:t xml:space="preserve">1</w:t>
    </w:r>
    <w:r>
      <w:fldChar w:fldCharType="end"/>
    </w:r>
    <w:r/>
  </w:p>
  <w:p>
    <w:pPr>
      <w:pStyle w:val="822"/>
      <w:tabs>
        <w:tab w:val="center" w:pos="7143" w:leader="none"/>
        <w:tab w:val="right"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2847975</wp:posOffset>
              </wp:positionH>
              <wp:positionV relativeFrom="paragraph">
                <wp:posOffset>-13969</wp:posOffset>
              </wp:positionV>
              <wp:extent cx="742950" cy="279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22"/>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69</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768"/>
                          </w:pPr>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22"/>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69</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768"/>
                    </w:pPr>
                    <w:r/>
                    <w:r/>
                  </w:p>
                </w:txbxContent>
              </v:textbox>
            </v:shape>
          </w:pict>
        </mc:Fallback>
      </mc:AlternateContent>
    </w:r>
    <w:r/>
  </w:p>
  <w:p>
    <w:pPr>
      <w:pStyle w:val="822"/>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pStyle w:val="768"/>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1">
    <w:multiLevelType w:val="hybridMultilevel"/>
    <w:lvl w:ilvl="0">
      <w:start w:val="2"/>
      <w:numFmt w:val="decimal"/>
      <w:isLgl w:val="false"/>
      <w:suff w:val="space"/>
      <w:lvlText w:val="%1."/>
      <w:lvlJc w:val="left"/>
      <w:pPr>
        <w:pStyle w:val="768"/>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68"/>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768"/>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4">
    <w:multiLevelType w:val="hybridMultilevel"/>
    <w:lvl w:ilvl="0">
      <w:start w:val="6"/>
      <w:numFmt w:val="decimal"/>
      <w:isLgl w:val="false"/>
      <w:suff w:val="space"/>
      <w:lvlText w:val="%1."/>
      <w:lvlJc w:val="left"/>
      <w:pPr>
        <w:pStyle w:val="768"/>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5">
    <w:multiLevelType w:val="hybridMultilevel"/>
    <w:lvl w:ilvl="0">
      <w:start w:val="16"/>
      <w:numFmt w:val="decimal"/>
      <w:isLgl w:val="false"/>
      <w:suff w:val="space"/>
      <w:lvlText w:val="%1."/>
      <w:lvlJc w:val="left"/>
      <w:pPr>
        <w:pStyle w:val="768"/>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abstractNum w:abstractNumId="6">
    <w:multiLevelType w:val="hybridMultilevel"/>
    <w:lvl w:ilvl="0">
      <w:start w:val="23"/>
      <w:numFmt w:val="decimal"/>
      <w:isLgl w:val="false"/>
      <w:suff w:val="space"/>
      <w:lvlText w:val="%1."/>
      <w:lvlJc w:val="left"/>
      <w:pPr>
        <w:pStyle w:val="768"/>
      </w:pPr>
    </w:lvl>
    <w:lvl w:ilvl="1">
      <w:start w:val="1"/>
      <w:numFmt w:val="bullet"/>
      <w:isLgl w:val="false"/>
      <w:suff w:val="tab"/>
      <w:lvlText w:val="o"/>
      <w:lvlJc w:val="left"/>
      <w:pPr>
        <w:pStyle w:val="768"/>
        <w:ind w:left="1440" w:hanging="360"/>
      </w:pPr>
      <w:rPr>
        <w:rFonts w:ascii="Courier New" w:hAnsi="Courier New" w:eastAsia="Courier New" w:cs="Courier New"/>
      </w:rPr>
    </w:lvl>
    <w:lvl w:ilvl="2">
      <w:start w:val="1"/>
      <w:numFmt w:val="bullet"/>
      <w:isLgl w:val="false"/>
      <w:suff w:val="tab"/>
      <w:lvlText w:val="§"/>
      <w:lvlJc w:val="left"/>
      <w:pPr>
        <w:pStyle w:val="768"/>
        <w:ind w:left="2160" w:hanging="360"/>
      </w:pPr>
      <w:rPr>
        <w:rFonts w:ascii="Wingdings" w:hAnsi="Wingdings" w:eastAsia="Wingdings" w:cs="Wingdings"/>
      </w:rPr>
    </w:lvl>
    <w:lvl w:ilvl="3">
      <w:start w:val="1"/>
      <w:numFmt w:val="bullet"/>
      <w:isLgl w:val="false"/>
      <w:suff w:val="tab"/>
      <w:lvlText w:val="·"/>
      <w:lvlJc w:val="left"/>
      <w:pPr>
        <w:pStyle w:val="768"/>
        <w:ind w:left="2880" w:hanging="360"/>
      </w:pPr>
      <w:rPr>
        <w:rFonts w:ascii="Symbol" w:hAnsi="Symbol" w:eastAsia="Symbol" w:cs="Symbol"/>
      </w:rPr>
    </w:lvl>
    <w:lvl w:ilvl="4">
      <w:start w:val="1"/>
      <w:numFmt w:val="bullet"/>
      <w:isLgl w:val="false"/>
      <w:suff w:val="tab"/>
      <w:lvlText w:val="o"/>
      <w:lvlJc w:val="left"/>
      <w:pPr>
        <w:pStyle w:val="768"/>
        <w:ind w:left="3600" w:hanging="360"/>
      </w:pPr>
      <w:rPr>
        <w:rFonts w:ascii="Courier New" w:hAnsi="Courier New" w:eastAsia="Courier New" w:cs="Courier New"/>
      </w:rPr>
    </w:lvl>
    <w:lvl w:ilvl="5">
      <w:start w:val="1"/>
      <w:numFmt w:val="bullet"/>
      <w:isLgl w:val="false"/>
      <w:suff w:val="tab"/>
      <w:lvlText w:val="§"/>
      <w:lvlJc w:val="left"/>
      <w:pPr>
        <w:pStyle w:val="768"/>
        <w:ind w:left="4320" w:hanging="360"/>
      </w:pPr>
      <w:rPr>
        <w:rFonts w:ascii="Wingdings" w:hAnsi="Wingdings" w:eastAsia="Wingdings" w:cs="Wingdings"/>
      </w:rPr>
    </w:lvl>
    <w:lvl w:ilvl="6">
      <w:start w:val="1"/>
      <w:numFmt w:val="bullet"/>
      <w:isLgl w:val="false"/>
      <w:suff w:val="tab"/>
      <w:lvlText w:val="·"/>
      <w:lvlJc w:val="left"/>
      <w:pPr>
        <w:pStyle w:val="768"/>
        <w:ind w:left="5040" w:hanging="360"/>
      </w:pPr>
      <w:rPr>
        <w:rFonts w:ascii="Symbol" w:hAnsi="Symbol" w:eastAsia="Symbol" w:cs="Symbol"/>
      </w:rPr>
    </w:lvl>
    <w:lvl w:ilvl="7">
      <w:start w:val="1"/>
      <w:numFmt w:val="bullet"/>
      <w:isLgl w:val="false"/>
      <w:suff w:val="tab"/>
      <w:lvlText w:val="o"/>
      <w:lvlJc w:val="left"/>
      <w:pPr>
        <w:pStyle w:val="768"/>
        <w:ind w:left="5760" w:hanging="360"/>
      </w:pPr>
      <w:rPr>
        <w:rFonts w:ascii="Courier New" w:hAnsi="Courier New" w:eastAsia="Courier New" w:cs="Courier New"/>
      </w:rPr>
    </w:lvl>
    <w:lvl w:ilvl="8">
      <w:start w:val="1"/>
      <w:numFmt w:val="bullet"/>
      <w:isLgl w:val="false"/>
      <w:suff w:val="tab"/>
      <w:lvlText w:val="§"/>
      <w:lvlJc w:val="left"/>
      <w:pPr>
        <w:pStyle w:val="768"/>
        <w:ind w:left="6480" w:hanging="360"/>
      </w:pPr>
      <w:rPr>
        <w:rFonts w:ascii="Wingdings" w:hAnsi="Wingdings" w:eastAsia="Wingdings" w:cs="Wingdings"/>
      </w:rPr>
    </w:lvl>
  </w:abstractNum>
  <w:num w:numId="1">
    <w:abstractNumId w:val="3"/>
  </w:num>
  <w:num w:numId="2">
    <w:abstractNumId w:val="2"/>
  </w:num>
  <w:num w:numId="3">
    <w:abstractNumId w:val="1"/>
  </w:num>
  <w:num w:numId="4">
    <w:abstractNumId w:val="4"/>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8"/>
    <w:next w:val="768"/>
    <w:link w:val="911"/>
    <w:uiPriority w:val="9"/>
    <w:qFormat/>
    <w:pPr>
      <w:keepLines/>
      <w:keepNext/>
      <w:spacing w:before="480" w:after="200"/>
      <w:outlineLvl w:val="0"/>
    </w:pPr>
    <w:rPr>
      <w:rFonts w:ascii="Arial" w:hAnsi="Arial" w:eastAsia="Arial" w:cs="Arial"/>
      <w:sz w:val="40"/>
      <w:szCs w:val="40"/>
    </w:rPr>
  </w:style>
  <w:style w:type="paragraph" w:styleId="16">
    <w:name w:val="Heading 3"/>
    <w:basedOn w:val="768"/>
    <w:next w:val="768"/>
    <w:link w:val="91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68"/>
    <w:next w:val="768"/>
    <w:link w:val="91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68"/>
    <w:next w:val="768"/>
    <w:link w:val="91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68"/>
    <w:next w:val="768"/>
    <w:link w:val="91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68"/>
    <w:next w:val="768"/>
    <w:link w:val="917"/>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68"/>
    <w:next w:val="768"/>
    <w:link w:val="91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68"/>
    <w:next w:val="768"/>
    <w:link w:val="919"/>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6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8"/>
    <w:next w:val="768"/>
    <w:link w:val="920"/>
    <w:uiPriority w:val="10"/>
    <w:qFormat/>
    <w:pPr>
      <w:contextualSpacing/>
      <w:spacing w:before="300" w:after="200"/>
    </w:pPr>
    <w:rPr>
      <w:sz w:val="48"/>
      <w:szCs w:val="48"/>
    </w:rPr>
  </w:style>
  <w:style w:type="paragraph" w:styleId="35">
    <w:name w:val="Subtitle"/>
    <w:basedOn w:val="768"/>
    <w:next w:val="768"/>
    <w:link w:val="921"/>
    <w:uiPriority w:val="11"/>
    <w:qFormat/>
    <w:pPr>
      <w:spacing w:before="200" w:after="200"/>
    </w:pPr>
    <w:rPr>
      <w:sz w:val="24"/>
      <w:szCs w:val="24"/>
    </w:rPr>
  </w:style>
  <w:style w:type="paragraph" w:styleId="37">
    <w:name w:val="Quote"/>
    <w:basedOn w:val="768"/>
    <w:next w:val="768"/>
    <w:link w:val="922"/>
    <w:uiPriority w:val="29"/>
    <w:qFormat/>
    <w:pPr>
      <w:ind w:left="720" w:right="720"/>
    </w:pPr>
    <w:rPr>
      <w:i/>
    </w:rPr>
  </w:style>
  <w:style w:type="paragraph" w:styleId="39">
    <w:name w:val="Intense Quote"/>
    <w:basedOn w:val="768"/>
    <w:next w:val="768"/>
    <w:link w:val="9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68"/>
    <w:link w:val="933"/>
    <w:uiPriority w:val="99"/>
    <w:unhideWhenUsed/>
    <w:pPr>
      <w:spacing w:after="0" w:line="240" w:lineRule="auto"/>
      <w:tabs>
        <w:tab w:val="center" w:pos="7143" w:leader="none"/>
        <w:tab w:val="right" w:pos="14287" w:leader="none"/>
      </w:tabs>
    </w:pPr>
  </w:style>
  <w:style w:type="paragraph" w:styleId="43">
    <w:name w:val="Footer"/>
    <w:basedOn w:val="768"/>
    <w:link w:val="924"/>
    <w:uiPriority w:val="99"/>
    <w:unhideWhenUsed/>
    <w:pPr>
      <w:spacing w:after="0" w:line="240" w:lineRule="auto"/>
      <w:tabs>
        <w:tab w:val="center" w:pos="7143" w:leader="none"/>
        <w:tab w:val="right" w:pos="14287" w:leader="none"/>
      </w:tabs>
    </w:pPr>
  </w:style>
  <w:style w:type="paragraph" w:styleId="45">
    <w:name w:val="Caption"/>
    <w:basedOn w:val="768"/>
    <w:next w:val="768"/>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68"/>
    <w:link w:val="92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68"/>
    <w:link w:val="92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68"/>
    <w:next w:val="768"/>
    <w:uiPriority w:val="39"/>
    <w:unhideWhenUsed/>
    <w:pPr>
      <w:ind w:left="0" w:right="0" w:firstLine="0"/>
      <w:spacing w:after="57"/>
    </w:pPr>
  </w:style>
  <w:style w:type="paragraph" w:styleId="181">
    <w:name w:val="toc 2"/>
    <w:basedOn w:val="768"/>
    <w:next w:val="768"/>
    <w:uiPriority w:val="39"/>
    <w:unhideWhenUsed/>
    <w:pPr>
      <w:ind w:left="283" w:right="0" w:firstLine="0"/>
      <w:spacing w:after="57"/>
    </w:pPr>
  </w:style>
  <w:style w:type="paragraph" w:styleId="182">
    <w:name w:val="toc 3"/>
    <w:basedOn w:val="768"/>
    <w:next w:val="768"/>
    <w:uiPriority w:val="39"/>
    <w:unhideWhenUsed/>
    <w:pPr>
      <w:ind w:left="567" w:right="0" w:firstLine="0"/>
      <w:spacing w:after="57"/>
    </w:pPr>
  </w:style>
  <w:style w:type="paragraph" w:styleId="183">
    <w:name w:val="toc 4"/>
    <w:basedOn w:val="768"/>
    <w:next w:val="768"/>
    <w:uiPriority w:val="39"/>
    <w:unhideWhenUsed/>
    <w:pPr>
      <w:ind w:left="850" w:right="0" w:firstLine="0"/>
      <w:spacing w:after="57"/>
    </w:pPr>
  </w:style>
  <w:style w:type="paragraph" w:styleId="184">
    <w:name w:val="toc 5"/>
    <w:basedOn w:val="768"/>
    <w:next w:val="768"/>
    <w:uiPriority w:val="39"/>
    <w:unhideWhenUsed/>
    <w:pPr>
      <w:ind w:left="1134" w:right="0" w:firstLine="0"/>
      <w:spacing w:after="57"/>
    </w:pPr>
  </w:style>
  <w:style w:type="paragraph" w:styleId="185">
    <w:name w:val="toc 6"/>
    <w:basedOn w:val="768"/>
    <w:next w:val="768"/>
    <w:uiPriority w:val="39"/>
    <w:unhideWhenUsed/>
    <w:pPr>
      <w:ind w:left="1417" w:right="0" w:firstLine="0"/>
      <w:spacing w:after="57"/>
    </w:pPr>
  </w:style>
  <w:style w:type="paragraph" w:styleId="186">
    <w:name w:val="toc 7"/>
    <w:basedOn w:val="768"/>
    <w:next w:val="768"/>
    <w:uiPriority w:val="39"/>
    <w:unhideWhenUsed/>
    <w:pPr>
      <w:ind w:left="1701" w:right="0" w:firstLine="0"/>
      <w:spacing w:after="57"/>
    </w:pPr>
  </w:style>
  <w:style w:type="paragraph" w:styleId="187">
    <w:name w:val="toc 8"/>
    <w:basedOn w:val="768"/>
    <w:next w:val="768"/>
    <w:uiPriority w:val="39"/>
    <w:unhideWhenUsed/>
    <w:pPr>
      <w:ind w:left="1984" w:right="0" w:firstLine="0"/>
      <w:spacing w:after="57"/>
    </w:pPr>
  </w:style>
  <w:style w:type="paragraph" w:styleId="188">
    <w:name w:val="toc 9"/>
    <w:basedOn w:val="768"/>
    <w:next w:val="768"/>
    <w:uiPriority w:val="39"/>
    <w:unhideWhenUsed/>
    <w:pPr>
      <w:ind w:left="2268" w:right="0" w:firstLine="0"/>
      <w:spacing w:after="57"/>
    </w:pPr>
  </w:style>
  <w:style w:type="paragraph" w:styleId="190">
    <w:name w:val="table of figures"/>
    <w:basedOn w:val="768"/>
    <w:next w:val="768"/>
    <w:uiPriority w:val="99"/>
    <w:unhideWhenUsed/>
    <w:pPr>
      <w:spacing w:after="0" w:afterAutospacing="0"/>
    </w:pPr>
  </w:style>
  <w:style w:type="paragraph" w:styleId="768" w:default="1">
    <w:name w:val="Normal"/>
    <w:next w:val="768"/>
    <w:link w:val="768"/>
    <w:qFormat/>
    <w:pPr>
      <w:jc w:val="both"/>
      <w:widowControl w:val="off"/>
    </w:pPr>
    <w:rPr>
      <w:rFonts w:ascii="Calibri" w:hAnsi="Calibri"/>
      <w:sz w:val="21"/>
      <w:szCs w:val="22"/>
      <w:lang w:val="en-US" w:eastAsia="zh-CN" w:bidi="ar-SA"/>
    </w:rPr>
  </w:style>
  <w:style w:type="paragraph" w:styleId="769">
    <w:name w:val="标题 1"/>
    <w:basedOn w:val="768"/>
    <w:next w:val="768"/>
    <w:link w:val="780"/>
    <w:qFormat/>
    <w:pPr>
      <w:keepLines/>
      <w:keepNext/>
      <w:spacing w:before="480" w:after="200"/>
      <w:outlineLvl w:val="0"/>
    </w:pPr>
    <w:rPr>
      <w:rFonts w:ascii="Arial" w:hAnsi="Arial" w:eastAsia="Arial"/>
      <w:sz w:val="40"/>
      <w:szCs w:val="40"/>
    </w:rPr>
  </w:style>
  <w:style w:type="paragraph" w:styleId="770">
    <w:name w:val="标题 2"/>
    <w:basedOn w:val="768"/>
    <w:next w:val="782"/>
    <w:link w:val="781"/>
    <w:qFormat/>
    <w:pPr>
      <w:keepLines/>
      <w:keepNext/>
      <w:spacing w:before="260" w:after="260" w:line="413" w:lineRule="auto"/>
      <w:outlineLvl w:val="1"/>
    </w:pPr>
    <w:rPr>
      <w:rFonts w:ascii="Arial" w:hAnsi="Arial" w:eastAsia="Arial"/>
      <w:sz w:val="34"/>
      <w:szCs w:val="20"/>
    </w:rPr>
  </w:style>
  <w:style w:type="paragraph" w:styleId="771">
    <w:name w:val="标题 3"/>
    <w:basedOn w:val="784"/>
    <w:next w:val="786"/>
    <w:link w:val="785"/>
    <w:qFormat/>
    <w:pPr>
      <w:keepLines/>
      <w:keepNext/>
      <w:spacing w:before="320" w:after="200"/>
      <w:outlineLvl w:val="2"/>
    </w:pPr>
    <w:rPr>
      <w:rFonts w:ascii="Arial" w:hAnsi="Arial" w:eastAsia="Arial"/>
      <w:sz w:val="30"/>
      <w:szCs w:val="30"/>
    </w:rPr>
  </w:style>
  <w:style w:type="paragraph" w:styleId="772">
    <w:name w:val="标题 4"/>
    <w:basedOn w:val="768"/>
    <w:next w:val="768"/>
    <w:link w:val="790"/>
    <w:qFormat/>
    <w:pPr>
      <w:jc w:val="center"/>
      <w:keepNext/>
      <w:outlineLvl w:val="3"/>
    </w:pPr>
    <w:rPr>
      <w:rFonts w:ascii="Arial" w:hAnsi="Arial" w:eastAsia="Arial"/>
      <w:b/>
      <w:bCs/>
      <w:sz w:val="26"/>
      <w:szCs w:val="26"/>
    </w:rPr>
  </w:style>
  <w:style w:type="paragraph" w:styleId="773">
    <w:name w:val="标题 5"/>
    <w:basedOn w:val="768"/>
    <w:next w:val="768"/>
    <w:link w:val="791"/>
    <w:qFormat/>
    <w:pPr>
      <w:keepLines/>
      <w:keepNext/>
      <w:spacing w:before="320" w:after="200"/>
      <w:outlineLvl w:val="4"/>
    </w:pPr>
    <w:rPr>
      <w:rFonts w:ascii="Arial" w:hAnsi="Arial" w:eastAsia="Arial"/>
      <w:b/>
      <w:bCs/>
      <w:sz w:val="24"/>
      <w:szCs w:val="24"/>
    </w:rPr>
  </w:style>
  <w:style w:type="paragraph" w:styleId="774">
    <w:name w:val="标题 6"/>
    <w:basedOn w:val="768"/>
    <w:next w:val="768"/>
    <w:link w:val="792"/>
    <w:qFormat/>
    <w:pPr>
      <w:keepLines/>
      <w:keepNext/>
      <w:spacing w:before="320" w:after="200"/>
      <w:outlineLvl w:val="5"/>
    </w:pPr>
    <w:rPr>
      <w:rFonts w:ascii="Arial" w:hAnsi="Arial" w:eastAsia="Arial"/>
      <w:b/>
      <w:bCs/>
      <w:sz w:val="22"/>
    </w:rPr>
  </w:style>
  <w:style w:type="paragraph" w:styleId="775">
    <w:name w:val="标题 7"/>
    <w:basedOn w:val="768"/>
    <w:next w:val="768"/>
    <w:link w:val="793"/>
    <w:qFormat/>
    <w:pPr>
      <w:keepLines/>
      <w:keepNext/>
      <w:spacing w:before="320" w:after="200"/>
      <w:outlineLvl w:val="6"/>
    </w:pPr>
    <w:rPr>
      <w:rFonts w:ascii="Arial" w:hAnsi="Arial" w:eastAsia="Arial"/>
      <w:b/>
      <w:bCs/>
      <w:i/>
      <w:iCs/>
      <w:sz w:val="22"/>
    </w:rPr>
  </w:style>
  <w:style w:type="paragraph" w:styleId="776">
    <w:name w:val="标题 8"/>
    <w:basedOn w:val="768"/>
    <w:next w:val="768"/>
    <w:link w:val="794"/>
    <w:qFormat/>
    <w:pPr>
      <w:keepLines/>
      <w:keepNext/>
      <w:spacing w:before="320" w:after="200"/>
      <w:outlineLvl w:val="7"/>
    </w:pPr>
    <w:rPr>
      <w:rFonts w:ascii="Arial" w:hAnsi="Arial" w:eastAsia="Arial"/>
      <w:i/>
      <w:iCs/>
      <w:sz w:val="22"/>
    </w:rPr>
  </w:style>
  <w:style w:type="paragraph" w:styleId="777">
    <w:name w:val="标题 9"/>
    <w:basedOn w:val="768"/>
    <w:next w:val="768"/>
    <w:link w:val="795"/>
    <w:qFormat/>
    <w:pPr>
      <w:keepLines/>
      <w:keepNext/>
      <w:spacing w:before="320" w:after="200"/>
      <w:outlineLvl w:val="8"/>
    </w:pPr>
    <w:rPr>
      <w:rFonts w:ascii="Arial" w:hAnsi="Arial" w:eastAsia="Arial"/>
      <w:i/>
      <w:iCs/>
      <w:szCs w:val="21"/>
    </w:rPr>
  </w:style>
  <w:style w:type="character" w:styleId="778">
    <w:name w:val="默认段落字体"/>
    <w:next w:val="778"/>
    <w:link w:val="768"/>
    <w:uiPriority w:val="1"/>
    <w:unhideWhenUsed/>
    <w:qFormat/>
  </w:style>
  <w:style w:type="table" w:styleId="779">
    <w:name w:val="普通表格"/>
    <w:next w:val="779"/>
    <w:link w:val="768"/>
    <w:uiPriority w:val="99"/>
    <w:unhideWhenUsed/>
    <w:qFormat/>
    <w:tblPr/>
  </w:style>
  <w:style w:type="character" w:styleId="780">
    <w:name w:val="标题 1 Char"/>
    <w:next w:val="780"/>
    <w:link w:val="769"/>
    <w:qFormat/>
    <w:rPr>
      <w:rFonts w:ascii="Arial" w:hAnsi="Arial" w:eastAsia="Arial" w:cs="Arial"/>
      <w:sz w:val="40"/>
      <w:szCs w:val="40"/>
    </w:rPr>
  </w:style>
  <w:style w:type="character" w:styleId="781">
    <w:name w:val="标题 2 Char"/>
    <w:next w:val="781"/>
    <w:link w:val="770"/>
    <w:qFormat/>
    <w:rPr>
      <w:rFonts w:ascii="Arial" w:hAnsi="Arial" w:eastAsia="Arial" w:cs="Arial"/>
      <w:sz w:val="34"/>
    </w:rPr>
  </w:style>
  <w:style w:type="paragraph" w:styleId="782">
    <w:name w:val="正文缩进"/>
    <w:basedOn w:val="768"/>
    <w:next w:val="768"/>
    <w:link w:val="783"/>
    <w:qFormat/>
    <w:pPr>
      <w:ind w:firstLine="420"/>
    </w:pPr>
    <w:rPr>
      <w:rFonts w:ascii="宋体"/>
      <w:color w:val="000000"/>
      <w:sz w:val="24"/>
      <w:szCs w:val="20"/>
    </w:rPr>
  </w:style>
  <w:style w:type="character" w:styleId="783">
    <w:name w:val="正文缩进 Char"/>
    <w:next w:val="783"/>
    <w:link w:val="782"/>
    <w:qFormat/>
    <w:rPr>
      <w:rFonts w:ascii="宋体" w:hAnsi="Calibri"/>
      <w:color w:val="000000"/>
      <w:sz w:val="24"/>
    </w:rPr>
  </w:style>
  <w:style w:type="paragraph" w:styleId="784">
    <w:name w:val="Normal1"/>
    <w:next w:val="771"/>
    <w:link w:val="768"/>
    <w:qFormat/>
    <w:pPr>
      <w:jc w:val="both"/>
      <w:widowControl w:val="off"/>
    </w:pPr>
    <w:rPr>
      <w:rFonts w:ascii="Calibri" w:hAnsi="Calibri"/>
      <w:sz w:val="21"/>
      <w:szCs w:val="22"/>
      <w:lang w:val="en-US" w:eastAsia="zh-CN" w:bidi="ar-SA"/>
    </w:rPr>
  </w:style>
  <w:style w:type="character" w:styleId="785">
    <w:name w:val="标题 3 Char"/>
    <w:next w:val="785"/>
    <w:link w:val="771"/>
    <w:qFormat/>
    <w:rPr>
      <w:rFonts w:ascii="Arial" w:hAnsi="Arial" w:eastAsia="Arial" w:cs="Arial"/>
      <w:sz w:val="30"/>
      <w:szCs w:val="30"/>
    </w:rPr>
  </w:style>
  <w:style w:type="paragraph" w:styleId="786">
    <w:name w:val="Normal_19"/>
    <w:next w:val="787"/>
    <w:link w:val="768"/>
    <w:qFormat/>
    <w:rPr>
      <w:rFonts w:ascii="黑体" w:hAnsi="黑体" w:eastAsia="黑体" w:cs="黑体"/>
      <w:b/>
      <w:sz w:val="32"/>
      <w:szCs w:val="24"/>
      <w:lang w:val="en-US" w:eastAsia="zh-CN" w:bidi="ar-SA"/>
    </w:rPr>
  </w:style>
  <w:style w:type="paragraph" w:styleId="787">
    <w:name w:val="Normal1"/>
    <w:next w:val="788"/>
    <w:link w:val="768"/>
    <w:qFormat/>
    <w:pPr>
      <w:jc w:val="both"/>
      <w:widowControl w:val="off"/>
    </w:pPr>
    <w:rPr>
      <w:szCs w:val="21"/>
      <w:lang w:val="en-US" w:eastAsia="zh-CN" w:bidi="ar-SA"/>
    </w:rPr>
  </w:style>
  <w:style w:type="paragraph" w:styleId="788">
    <w:name w:val="Body Text First Indent1"/>
    <w:basedOn w:val="789"/>
    <w:next w:val="788"/>
    <w:link w:val="768"/>
    <w:uiPriority w:val="99"/>
    <w:unhideWhenUsed/>
    <w:qFormat/>
    <w:pPr>
      <w:ind w:firstLine="420"/>
    </w:pPr>
  </w:style>
  <w:style w:type="paragraph" w:styleId="789">
    <w:name w:val="Body Text1"/>
    <w:basedOn w:val="787"/>
    <w:next w:val="789"/>
    <w:link w:val="768"/>
    <w:uiPriority w:val="99"/>
    <w:unhideWhenUsed/>
    <w:qFormat/>
    <w:pPr>
      <w:spacing w:after="120"/>
    </w:pPr>
  </w:style>
  <w:style w:type="character" w:styleId="790">
    <w:name w:val="标题 4 Char"/>
    <w:next w:val="790"/>
    <w:link w:val="772"/>
    <w:qFormat/>
    <w:rPr>
      <w:rFonts w:ascii="Arial" w:hAnsi="Arial" w:eastAsia="Arial" w:cs="Arial"/>
      <w:b/>
      <w:bCs/>
      <w:sz w:val="26"/>
      <w:szCs w:val="26"/>
    </w:rPr>
  </w:style>
  <w:style w:type="character" w:styleId="791">
    <w:name w:val="标题 5 Char"/>
    <w:next w:val="791"/>
    <w:link w:val="773"/>
    <w:qFormat/>
    <w:rPr>
      <w:rFonts w:ascii="Arial" w:hAnsi="Arial" w:eastAsia="Arial" w:cs="Arial"/>
      <w:b/>
      <w:bCs/>
      <w:sz w:val="24"/>
      <w:szCs w:val="24"/>
    </w:rPr>
  </w:style>
  <w:style w:type="character" w:styleId="792">
    <w:name w:val="标题 6 Char"/>
    <w:next w:val="792"/>
    <w:link w:val="774"/>
    <w:qFormat/>
    <w:rPr>
      <w:rFonts w:ascii="Arial" w:hAnsi="Arial" w:eastAsia="Arial" w:cs="Arial"/>
      <w:b/>
      <w:bCs/>
      <w:sz w:val="22"/>
      <w:szCs w:val="22"/>
    </w:rPr>
  </w:style>
  <w:style w:type="character" w:styleId="793">
    <w:name w:val="标题 7 Char"/>
    <w:next w:val="793"/>
    <w:link w:val="775"/>
    <w:qFormat/>
    <w:rPr>
      <w:rFonts w:ascii="Arial" w:hAnsi="Arial" w:eastAsia="Arial" w:cs="Arial"/>
      <w:b/>
      <w:bCs/>
      <w:i/>
      <w:iCs/>
      <w:sz w:val="22"/>
      <w:szCs w:val="22"/>
    </w:rPr>
  </w:style>
  <w:style w:type="character" w:styleId="794">
    <w:name w:val="标题 8 Char"/>
    <w:next w:val="794"/>
    <w:link w:val="776"/>
    <w:qFormat/>
    <w:rPr>
      <w:rFonts w:ascii="Arial" w:hAnsi="Arial" w:eastAsia="Arial" w:cs="Arial"/>
      <w:i/>
      <w:iCs/>
      <w:sz w:val="22"/>
      <w:szCs w:val="22"/>
    </w:rPr>
  </w:style>
  <w:style w:type="character" w:styleId="795">
    <w:name w:val="标题 9 Char"/>
    <w:next w:val="795"/>
    <w:link w:val="777"/>
    <w:qFormat/>
    <w:rPr>
      <w:rFonts w:ascii="Arial" w:hAnsi="Arial" w:eastAsia="Arial" w:cs="Arial"/>
      <w:i/>
      <w:iCs/>
      <w:sz w:val="21"/>
      <w:szCs w:val="21"/>
    </w:rPr>
  </w:style>
  <w:style w:type="paragraph" w:styleId="796">
    <w:name w:val="列表 3"/>
    <w:basedOn w:val="768"/>
    <w:next w:val="796"/>
    <w:link w:val="768"/>
    <w:qFormat/>
    <w:pPr>
      <w:ind w:left="100" w:hanging="200"/>
    </w:pPr>
    <w:rPr>
      <w:rFonts w:ascii="Times New Roman" w:hAnsi="Times New Roman"/>
      <w:szCs w:val="21"/>
    </w:rPr>
  </w:style>
  <w:style w:type="paragraph" w:styleId="797">
    <w:name w:val="目录 7"/>
    <w:basedOn w:val="768"/>
    <w:next w:val="768"/>
    <w:link w:val="768"/>
    <w:unhideWhenUsed/>
    <w:qFormat/>
    <w:pPr>
      <w:ind w:left="1701"/>
      <w:spacing w:after="57"/>
    </w:pPr>
  </w:style>
  <w:style w:type="paragraph" w:styleId="798">
    <w:name w:val="题注"/>
    <w:basedOn w:val="768"/>
    <w:next w:val="768"/>
    <w:link w:val="768"/>
    <w:uiPriority w:val="35"/>
    <w:qFormat/>
    <w:pPr>
      <w:spacing w:line="276" w:lineRule="auto"/>
    </w:pPr>
    <w:rPr>
      <w:b/>
      <w:bCs/>
      <w:color w:val="5b9bd5"/>
      <w:sz w:val="18"/>
      <w:szCs w:val="18"/>
    </w:rPr>
  </w:style>
  <w:style w:type="paragraph" w:styleId="799">
    <w:name w:val="文档结构图"/>
    <w:basedOn w:val="768"/>
    <w:next w:val="799"/>
    <w:link w:val="800"/>
    <w:semiHidden/>
    <w:qFormat/>
    <w:pPr>
      <w:shd w:val="clear" w:color="auto" w:fill="000080"/>
    </w:pPr>
    <w:rPr>
      <w:rFonts w:ascii="Times New Roman" w:hAnsi="Times New Roman"/>
      <w:szCs w:val="21"/>
    </w:rPr>
  </w:style>
  <w:style w:type="character" w:styleId="800">
    <w:name w:val="文档结构图 Char"/>
    <w:next w:val="800"/>
    <w:link w:val="799"/>
    <w:semiHidden/>
    <w:qFormat/>
    <w:rPr>
      <w:sz w:val="21"/>
      <w:szCs w:val="21"/>
      <w:shd w:val="clear" w:color="auto" w:fill="000080"/>
    </w:rPr>
  </w:style>
  <w:style w:type="paragraph" w:styleId="801">
    <w:name w:val="批注文字"/>
    <w:basedOn w:val="768"/>
    <w:next w:val="801"/>
    <w:link w:val="802"/>
    <w:semiHidden/>
    <w:qFormat/>
    <w:pPr>
      <w:jc w:val="left"/>
    </w:pPr>
    <w:rPr>
      <w:rFonts w:ascii="Times New Roman" w:hAnsi="Times New Roman"/>
      <w:szCs w:val="21"/>
    </w:rPr>
  </w:style>
  <w:style w:type="character" w:styleId="802">
    <w:name w:val="批注文字 Char"/>
    <w:next w:val="802"/>
    <w:link w:val="801"/>
    <w:semiHidden/>
    <w:qFormat/>
    <w:rPr>
      <w:sz w:val="21"/>
      <w:szCs w:val="21"/>
    </w:rPr>
  </w:style>
  <w:style w:type="paragraph" w:styleId="803">
    <w:name w:val="正文文本 3"/>
    <w:basedOn w:val="768"/>
    <w:next w:val="803"/>
    <w:link w:val="804"/>
    <w:qFormat/>
    <w:rPr>
      <w:rFonts w:ascii="仿宋_GB2312" w:hAnsi="Arial" w:eastAsia="仿宋_GB2312"/>
      <w:sz w:val="32"/>
      <w:szCs w:val="32"/>
    </w:rPr>
  </w:style>
  <w:style w:type="character" w:styleId="804">
    <w:name w:val="正文文本 3 Char"/>
    <w:next w:val="804"/>
    <w:link w:val="803"/>
    <w:qFormat/>
    <w:rPr>
      <w:rFonts w:ascii="仿宋_GB2312" w:hAnsi="Arial" w:eastAsia="仿宋_GB2312"/>
      <w:sz w:val="32"/>
      <w:szCs w:val="32"/>
    </w:rPr>
  </w:style>
  <w:style w:type="paragraph" w:styleId="805">
    <w:name w:val="正文文本"/>
    <w:basedOn w:val="768"/>
    <w:next w:val="782"/>
    <w:link w:val="768"/>
    <w:semiHidden/>
    <w:qFormat/>
    <w:rPr>
      <w:rFonts w:ascii="仿宋" w:hAnsi="仿宋" w:eastAsia="仿宋" w:cs="仿宋"/>
      <w:sz w:val="32"/>
      <w:szCs w:val="32"/>
      <w:lang w:val="en-US" w:eastAsia="en-US" w:bidi="ar-SA"/>
    </w:rPr>
  </w:style>
  <w:style w:type="paragraph" w:styleId="806">
    <w:name w:val="正文文本缩进"/>
    <w:basedOn w:val="768"/>
    <w:next w:val="806"/>
    <w:link w:val="807"/>
    <w:qFormat/>
    <w:pPr>
      <w:ind w:firstLine="225"/>
    </w:pPr>
    <w:rPr>
      <w:rFonts w:ascii="仿宋_GB2312" w:eastAsia="仿宋_GB2312"/>
      <w:sz w:val="32"/>
    </w:rPr>
  </w:style>
  <w:style w:type="character" w:styleId="807">
    <w:name w:val="正文文本缩进 Char"/>
    <w:next w:val="807"/>
    <w:link w:val="806"/>
    <w:qFormat/>
    <w:rPr>
      <w:rFonts w:ascii="仿宋_GB2312" w:hAnsi="Calibri" w:eastAsia="仿宋_GB2312"/>
      <w:sz w:val="32"/>
      <w:szCs w:val="22"/>
    </w:rPr>
  </w:style>
  <w:style w:type="paragraph" w:styleId="808">
    <w:name w:val="列表 2"/>
    <w:basedOn w:val="768"/>
    <w:next w:val="808"/>
    <w:link w:val="768"/>
    <w:qFormat/>
    <w:pPr>
      <w:ind w:left="100" w:hanging="200"/>
    </w:pPr>
    <w:rPr>
      <w:rFonts w:ascii="Times New Roman" w:hAnsi="Times New Roman"/>
      <w:szCs w:val="21"/>
    </w:rPr>
  </w:style>
  <w:style w:type="paragraph" w:styleId="809">
    <w:name w:val="目录 5"/>
    <w:basedOn w:val="768"/>
    <w:next w:val="768"/>
    <w:link w:val="768"/>
    <w:unhideWhenUsed/>
    <w:qFormat/>
    <w:pPr>
      <w:ind w:left="1134"/>
      <w:spacing w:after="57"/>
    </w:pPr>
  </w:style>
  <w:style w:type="paragraph" w:styleId="810">
    <w:name w:val="目录 3"/>
    <w:basedOn w:val="768"/>
    <w:next w:val="768"/>
    <w:link w:val="768"/>
    <w:unhideWhenUsed/>
    <w:qFormat/>
    <w:pPr>
      <w:ind w:left="567"/>
      <w:spacing w:after="57"/>
    </w:pPr>
  </w:style>
  <w:style w:type="paragraph" w:styleId="811">
    <w:name w:val="纯文本"/>
    <w:basedOn w:val="768"/>
    <w:next w:val="811"/>
    <w:link w:val="812"/>
    <w:qFormat/>
    <w:rPr>
      <w:rFonts w:ascii="宋体" w:hAnsi="Courier New"/>
      <w:szCs w:val="21"/>
    </w:rPr>
  </w:style>
  <w:style w:type="character" w:styleId="812">
    <w:name w:val="纯文本 Char"/>
    <w:next w:val="812"/>
    <w:link w:val="811"/>
    <w:qFormat/>
    <w:rPr>
      <w:rFonts w:ascii="宋体" w:hAnsi="Courier New" w:cs="Courier New"/>
      <w:sz w:val="21"/>
      <w:szCs w:val="21"/>
    </w:rPr>
  </w:style>
  <w:style w:type="paragraph" w:styleId="813">
    <w:name w:val="目录 8"/>
    <w:basedOn w:val="768"/>
    <w:next w:val="768"/>
    <w:link w:val="768"/>
    <w:unhideWhenUsed/>
    <w:qFormat/>
    <w:pPr>
      <w:ind w:left="1984"/>
      <w:spacing w:after="57"/>
    </w:pPr>
  </w:style>
  <w:style w:type="paragraph" w:styleId="814">
    <w:name w:val="日期"/>
    <w:basedOn w:val="768"/>
    <w:next w:val="768"/>
    <w:link w:val="815"/>
    <w:qFormat/>
    <w:rPr>
      <w:rFonts w:ascii="Times New Roman" w:hAnsi="Times New Roman"/>
      <w:sz w:val="24"/>
      <w:szCs w:val="24"/>
    </w:rPr>
  </w:style>
  <w:style w:type="character" w:styleId="815">
    <w:name w:val="日期 Char"/>
    <w:next w:val="815"/>
    <w:link w:val="814"/>
    <w:qFormat/>
    <w:rPr>
      <w:sz w:val="24"/>
      <w:szCs w:val="24"/>
    </w:rPr>
  </w:style>
  <w:style w:type="paragraph" w:styleId="816">
    <w:name w:val="正文文本缩进 2"/>
    <w:basedOn w:val="768"/>
    <w:next w:val="816"/>
    <w:link w:val="817"/>
    <w:qFormat/>
    <w:pPr>
      <w:ind w:left="630" w:firstLine="645"/>
    </w:pPr>
    <w:rPr>
      <w:rFonts w:ascii="Arial" w:hAnsi="Arial" w:eastAsia="仿宋_GB2312"/>
      <w:sz w:val="32"/>
      <w:szCs w:val="32"/>
    </w:rPr>
  </w:style>
  <w:style w:type="character" w:styleId="817">
    <w:name w:val="正文文本缩进 2 Char"/>
    <w:next w:val="817"/>
    <w:link w:val="816"/>
    <w:qFormat/>
    <w:rPr>
      <w:rFonts w:ascii="Arial" w:hAnsi="Arial" w:eastAsia="仿宋_GB2312" w:cs="Arial"/>
      <w:sz w:val="32"/>
      <w:szCs w:val="32"/>
    </w:rPr>
  </w:style>
  <w:style w:type="paragraph" w:styleId="818">
    <w:name w:val="尾注文本"/>
    <w:basedOn w:val="768"/>
    <w:next w:val="818"/>
    <w:link w:val="819"/>
    <w:uiPriority w:val="99"/>
    <w:unhideWhenUsed/>
    <w:qFormat/>
    <w:rPr>
      <w:rFonts w:ascii="Times New Roman" w:hAnsi="Times New Roman"/>
      <w:sz w:val="20"/>
      <w:szCs w:val="20"/>
    </w:rPr>
  </w:style>
  <w:style w:type="character" w:styleId="819">
    <w:name w:val="尾注文本 Char"/>
    <w:next w:val="819"/>
    <w:link w:val="818"/>
    <w:uiPriority w:val="99"/>
    <w:qFormat/>
    <w:rPr>
      <w:sz w:val="20"/>
    </w:rPr>
  </w:style>
  <w:style w:type="paragraph" w:styleId="820">
    <w:name w:val="批注框文本"/>
    <w:basedOn w:val="768"/>
    <w:next w:val="820"/>
    <w:link w:val="821"/>
    <w:qFormat/>
    <w:rPr>
      <w:rFonts w:ascii="Times New Roman" w:hAnsi="Times New Roman"/>
      <w:sz w:val="18"/>
      <w:szCs w:val="18"/>
    </w:rPr>
  </w:style>
  <w:style w:type="character" w:styleId="821">
    <w:name w:val="批注框文本 Char"/>
    <w:next w:val="821"/>
    <w:link w:val="820"/>
    <w:qFormat/>
    <w:rPr>
      <w:sz w:val="18"/>
      <w:szCs w:val="18"/>
    </w:rPr>
  </w:style>
  <w:style w:type="paragraph" w:styleId="822">
    <w:name w:val="页脚"/>
    <w:basedOn w:val="768"/>
    <w:next w:val="822"/>
    <w:link w:val="823"/>
    <w:uiPriority w:val="99"/>
    <w:qFormat/>
    <w:pPr>
      <w:jc w:val="left"/>
      <w:tabs>
        <w:tab w:val="center" w:pos="4153" w:leader="none"/>
        <w:tab w:val="right" w:pos="8306" w:leader="none"/>
      </w:tabs>
    </w:pPr>
    <w:rPr>
      <w:sz w:val="18"/>
      <w:szCs w:val="18"/>
    </w:rPr>
  </w:style>
  <w:style w:type="character" w:styleId="823">
    <w:name w:val="页脚 Char"/>
    <w:next w:val="823"/>
    <w:link w:val="822"/>
    <w:uiPriority w:val="99"/>
    <w:qFormat/>
  </w:style>
  <w:style w:type="paragraph" w:styleId="824">
    <w:name w:val="寄信人地址"/>
    <w:basedOn w:val="768"/>
    <w:next w:val="824"/>
    <w:link w:val="768"/>
    <w:qFormat/>
    <w:rPr>
      <w:rFonts w:ascii="Arial" w:hAnsi="Arial"/>
    </w:rPr>
  </w:style>
  <w:style w:type="paragraph" w:styleId="825">
    <w:name w:val="页眉"/>
    <w:basedOn w:val="768"/>
    <w:next w:val="825"/>
    <w:link w:val="826"/>
    <w:qFormat/>
    <w:pPr>
      <w:jc w:val="center"/>
      <w:tabs>
        <w:tab w:val="center" w:pos="4153" w:leader="none"/>
        <w:tab w:val="right" w:pos="8306" w:leader="none"/>
      </w:tabs>
    </w:pPr>
    <w:rPr>
      <w:sz w:val="18"/>
      <w:szCs w:val="18"/>
    </w:rPr>
  </w:style>
  <w:style w:type="character" w:styleId="826">
    <w:name w:val="页眉 Char"/>
    <w:next w:val="826"/>
    <w:link w:val="825"/>
    <w:qFormat/>
    <w:rPr>
      <w:rFonts w:ascii="Calibri" w:hAnsi="Calibri"/>
      <w:sz w:val="18"/>
      <w:szCs w:val="18"/>
    </w:rPr>
  </w:style>
  <w:style w:type="paragraph" w:styleId="827">
    <w:name w:val="目录 1"/>
    <w:basedOn w:val="768"/>
    <w:next w:val="768"/>
    <w:link w:val="768"/>
    <w:uiPriority w:val="39"/>
    <w:qFormat/>
    <w:pPr>
      <w:jc w:val="left"/>
      <w:spacing w:before="120" w:after="120"/>
    </w:pPr>
    <w:rPr>
      <w:rFonts w:cs="Calibri"/>
      <w:b/>
      <w:bCs/>
      <w:caps/>
      <w:sz w:val="20"/>
      <w:szCs w:val="20"/>
    </w:rPr>
  </w:style>
  <w:style w:type="paragraph" w:styleId="828">
    <w:name w:val="目录 4"/>
    <w:basedOn w:val="768"/>
    <w:next w:val="768"/>
    <w:link w:val="768"/>
    <w:unhideWhenUsed/>
    <w:qFormat/>
    <w:pPr>
      <w:ind w:left="850"/>
      <w:spacing w:after="57"/>
    </w:pPr>
  </w:style>
  <w:style w:type="paragraph" w:styleId="829">
    <w:name w:val="副标题"/>
    <w:basedOn w:val="768"/>
    <w:next w:val="768"/>
    <w:link w:val="830"/>
    <w:uiPriority w:val="11"/>
    <w:qFormat/>
    <w:pPr>
      <w:spacing w:before="200" w:after="200"/>
    </w:pPr>
    <w:rPr>
      <w:rFonts w:ascii="Times New Roman" w:hAnsi="Times New Roman"/>
      <w:sz w:val="24"/>
      <w:szCs w:val="24"/>
    </w:rPr>
  </w:style>
  <w:style w:type="character" w:styleId="830">
    <w:name w:val="副标题 Char"/>
    <w:next w:val="830"/>
    <w:link w:val="829"/>
    <w:uiPriority w:val="11"/>
    <w:qFormat/>
    <w:rPr>
      <w:sz w:val="24"/>
      <w:szCs w:val="24"/>
    </w:rPr>
  </w:style>
  <w:style w:type="paragraph" w:styleId="831">
    <w:name w:val="列表"/>
    <w:basedOn w:val="768"/>
    <w:next w:val="831"/>
    <w:link w:val="768"/>
    <w:qFormat/>
    <w:pPr>
      <w:ind w:left="200" w:hanging="200"/>
    </w:pPr>
    <w:rPr>
      <w:rFonts w:ascii="Times New Roman" w:hAnsi="Times New Roman"/>
      <w:szCs w:val="21"/>
    </w:rPr>
  </w:style>
  <w:style w:type="paragraph" w:styleId="832">
    <w:name w:val="脚注文本"/>
    <w:basedOn w:val="768"/>
    <w:next w:val="832"/>
    <w:link w:val="833"/>
    <w:uiPriority w:val="99"/>
    <w:unhideWhenUsed/>
    <w:qFormat/>
    <w:pPr>
      <w:spacing w:after="40"/>
    </w:pPr>
    <w:rPr>
      <w:rFonts w:ascii="Times New Roman" w:hAnsi="Times New Roman"/>
      <w:sz w:val="18"/>
      <w:szCs w:val="20"/>
    </w:rPr>
  </w:style>
  <w:style w:type="character" w:styleId="833">
    <w:name w:val="脚注文本 Char"/>
    <w:next w:val="833"/>
    <w:link w:val="832"/>
    <w:uiPriority w:val="99"/>
    <w:qFormat/>
    <w:rPr>
      <w:sz w:val="18"/>
    </w:rPr>
  </w:style>
  <w:style w:type="paragraph" w:styleId="834">
    <w:name w:val="目录 6"/>
    <w:basedOn w:val="768"/>
    <w:next w:val="768"/>
    <w:link w:val="768"/>
    <w:unhideWhenUsed/>
    <w:qFormat/>
    <w:pPr>
      <w:ind w:left="1417"/>
      <w:spacing w:after="57"/>
    </w:pPr>
  </w:style>
  <w:style w:type="paragraph" w:styleId="835">
    <w:name w:val="正文文本缩进 3"/>
    <w:basedOn w:val="768"/>
    <w:next w:val="835"/>
    <w:link w:val="836"/>
    <w:qFormat/>
    <w:pPr>
      <w:ind w:left="645" w:firstLine="645"/>
    </w:pPr>
    <w:rPr>
      <w:rFonts w:ascii="Arial" w:hAnsi="Arial" w:eastAsia="仿宋_GB2312"/>
      <w:color w:val="ffff00"/>
      <w:sz w:val="32"/>
      <w:szCs w:val="32"/>
    </w:rPr>
  </w:style>
  <w:style w:type="character" w:styleId="836">
    <w:name w:val="正文文本缩进 3 Char"/>
    <w:next w:val="836"/>
    <w:link w:val="835"/>
    <w:qFormat/>
    <w:rPr>
      <w:rFonts w:ascii="Arial" w:hAnsi="Arial" w:eastAsia="仿宋_GB2312" w:cs="Arial"/>
      <w:color w:val="ffff00"/>
      <w:sz w:val="32"/>
      <w:szCs w:val="32"/>
    </w:rPr>
  </w:style>
  <w:style w:type="paragraph" w:styleId="837">
    <w:name w:val="图表目录"/>
    <w:basedOn w:val="768"/>
    <w:next w:val="768"/>
    <w:link w:val="768"/>
    <w:unhideWhenUsed/>
    <w:qFormat/>
  </w:style>
  <w:style w:type="paragraph" w:styleId="838">
    <w:name w:val="目录 2"/>
    <w:basedOn w:val="768"/>
    <w:next w:val="768"/>
    <w:link w:val="768"/>
    <w:qFormat/>
    <w:pPr>
      <w:ind w:left="210"/>
      <w:jc w:val="left"/>
    </w:pPr>
    <w:rPr>
      <w:rFonts w:cs="Calibri"/>
      <w:smallCaps/>
      <w:sz w:val="20"/>
      <w:szCs w:val="20"/>
    </w:rPr>
  </w:style>
  <w:style w:type="paragraph" w:styleId="839">
    <w:name w:val="目录 9"/>
    <w:basedOn w:val="768"/>
    <w:next w:val="768"/>
    <w:link w:val="768"/>
    <w:unhideWhenUsed/>
    <w:qFormat/>
    <w:pPr>
      <w:ind w:left="2268"/>
      <w:spacing w:after="57"/>
    </w:pPr>
  </w:style>
  <w:style w:type="paragraph" w:styleId="840">
    <w:name w:val="正文文本 2"/>
    <w:basedOn w:val="768"/>
    <w:next w:val="840"/>
    <w:link w:val="841"/>
    <w:qFormat/>
    <w:pPr>
      <w:jc w:val="center"/>
      <w:widowControl/>
    </w:pPr>
    <w:rPr>
      <w:rFonts w:ascii="楷体_GB2312" w:hAnsi="Times New Roman" w:eastAsia="楷体_GB2312"/>
      <w:sz w:val="28"/>
      <w:szCs w:val="28"/>
    </w:rPr>
  </w:style>
  <w:style w:type="character" w:styleId="841">
    <w:name w:val="正文文本 2 Char"/>
    <w:next w:val="841"/>
    <w:link w:val="840"/>
    <w:qFormat/>
    <w:rPr>
      <w:rFonts w:ascii="楷体_GB2312" w:eastAsia="楷体_GB2312"/>
      <w:sz w:val="28"/>
      <w:szCs w:val="28"/>
    </w:rPr>
  </w:style>
  <w:style w:type="paragraph" w:styleId="842">
    <w:name w:val="HTML 预设格式"/>
    <w:basedOn w:val="768"/>
    <w:next w:val="842"/>
    <w:link w:val="84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43">
    <w:name w:val="HTML 预设格式 Char"/>
    <w:next w:val="843"/>
    <w:link w:val="842"/>
    <w:uiPriority w:val="99"/>
    <w:qFormat/>
    <w:rPr>
      <w:rFonts w:ascii="宋体" w:hAnsi="宋体"/>
      <w:sz w:val="24"/>
      <w:szCs w:val="24"/>
    </w:rPr>
  </w:style>
  <w:style w:type="paragraph" w:styleId="844">
    <w:name w:val="普通(网站)"/>
    <w:basedOn w:val="768"/>
    <w:next w:val="844"/>
    <w:link w:val="768"/>
    <w:uiPriority w:val="99"/>
    <w:qFormat/>
    <w:pPr>
      <w:jc w:val="left"/>
      <w:spacing w:before="100" w:beforeAutospacing="1" w:after="100" w:afterAutospacing="1"/>
      <w:widowControl/>
    </w:pPr>
    <w:rPr>
      <w:rFonts w:ascii="宋体" w:hAnsi="宋体" w:cs="宋体"/>
      <w:sz w:val="24"/>
      <w:szCs w:val="24"/>
    </w:rPr>
  </w:style>
  <w:style w:type="paragraph" w:styleId="845">
    <w:name w:val="索引 1"/>
    <w:basedOn w:val="768"/>
    <w:next w:val="768"/>
    <w:link w:val="768"/>
    <w:semiHidden/>
    <w:qFormat/>
    <w:pPr>
      <w:spacing w:line="240" w:lineRule="atLeast"/>
    </w:pPr>
    <w:rPr>
      <w:rFonts w:ascii="Times New Roman" w:hAnsi="Times New Roman"/>
      <w:b/>
      <w:bCs/>
      <w:szCs w:val="21"/>
    </w:rPr>
  </w:style>
  <w:style w:type="paragraph" w:styleId="846">
    <w:name w:val="标题"/>
    <w:basedOn w:val="768"/>
    <w:next w:val="768"/>
    <w:link w:val="847"/>
    <w:uiPriority w:val="10"/>
    <w:qFormat/>
    <w:pPr>
      <w:contextualSpacing/>
      <w:spacing w:before="300" w:after="200"/>
    </w:pPr>
    <w:rPr>
      <w:rFonts w:ascii="Times New Roman" w:hAnsi="Times New Roman"/>
      <w:sz w:val="48"/>
      <w:szCs w:val="48"/>
    </w:rPr>
  </w:style>
  <w:style w:type="character" w:styleId="847">
    <w:name w:val="标题 Char"/>
    <w:next w:val="847"/>
    <w:link w:val="846"/>
    <w:uiPriority w:val="10"/>
    <w:qFormat/>
    <w:rPr>
      <w:sz w:val="48"/>
      <w:szCs w:val="48"/>
    </w:rPr>
  </w:style>
  <w:style w:type="paragraph" w:styleId="848">
    <w:name w:val="批注主题"/>
    <w:basedOn w:val="801"/>
    <w:next w:val="801"/>
    <w:link w:val="849"/>
    <w:semiHidden/>
    <w:qFormat/>
    <w:rPr>
      <w:b/>
      <w:bCs/>
    </w:rPr>
  </w:style>
  <w:style w:type="character" w:styleId="849">
    <w:name w:val="批注主题 Char"/>
    <w:next w:val="849"/>
    <w:link w:val="848"/>
    <w:semiHidden/>
    <w:qFormat/>
    <w:rPr>
      <w:b/>
      <w:bCs/>
      <w:sz w:val="21"/>
      <w:szCs w:val="21"/>
    </w:rPr>
  </w:style>
  <w:style w:type="paragraph" w:styleId="850">
    <w:name w:val="正文首行缩进 2"/>
    <w:basedOn w:val="806"/>
    <w:next w:val="850"/>
    <w:link w:val="851"/>
    <w:qFormat/>
    <w:pPr>
      <w:ind w:firstLine="420"/>
      <w:spacing w:line="360" w:lineRule="auto"/>
    </w:pPr>
    <w:rPr>
      <w:rFonts w:ascii="宋体" w:hAnsi="宋体"/>
      <w:sz w:val="21"/>
    </w:rPr>
  </w:style>
  <w:style w:type="character" w:styleId="851">
    <w:name w:val="正文首行缩进 2 Char"/>
    <w:next w:val="851"/>
    <w:link w:val="850"/>
    <w:qFormat/>
    <w:rPr>
      <w:rFonts w:ascii="宋体" w:hAnsi="宋体" w:eastAsia="仿宋_GB2312"/>
      <w:sz w:val="21"/>
      <w:szCs w:val="22"/>
    </w:rPr>
  </w:style>
  <w:style w:type="table" w:styleId="852">
    <w:name w:val="网格型"/>
    <w:basedOn w:val="779"/>
    <w:next w:val="852"/>
    <w:link w:val="768"/>
    <w:qFormat/>
    <w:pPr>
      <w:jc w:val="both"/>
      <w:widowControl w:val="off"/>
    </w:pPr>
    <w:tblPr/>
  </w:style>
  <w:style w:type="character" w:styleId="853">
    <w:name w:val="要点"/>
    <w:next w:val="853"/>
    <w:link w:val="768"/>
    <w:qFormat/>
    <w:rPr>
      <w:b/>
      <w:bCs/>
    </w:rPr>
  </w:style>
  <w:style w:type="character" w:styleId="854">
    <w:name w:val="尾注引用"/>
    <w:next w:val="854"/>
    <w:link w:val="768"/>
    <w:uiPriority w:val="99"/>
    <w:unhideWhenUsed/>
    <w:qFormat/>
    <w:rPr>
      <w:vertAlign w:val="superscript"/>
    </w:rPr>
  </w:style>
  <w:style w:type="character" w:styleId="855">
    <w:name w:val="页码"/>
    <w:next w:val="855"/>
    <w:link w:val="768"/>
    <w:qFormat/>
  </w:style>
  <w:style w:type="character" w:styleId="856">
    <w:name w:val="已访问的超链接"/>
    <w:next w:val="856"/>
    <w:link w:val="768"/>
    <w:qFormat/>
    <w:rPr>
      <w:color w:val="800080"/>
      <w:u w:val="single"/>
    </w:rPr>
  </w:style>
  <w:style w:type="character" w:styleId="857">
    <w:name w:val="超链接"/>
    <w:next w:val="857"/>
    <w:link w:val="768"/>
    <w:uiPriority w:val="99"/>
    <w:qFormat/>
    <w:rPr>
      <w:color w:val="0000ff"/>
      <w:u w:val="single"/>
    </w:rPr>
  </w:style>
  <w:style w:type="character" w:styleId="858">
    <w:name w:val="批注引用"/>
    <w:next w:val="858"/>
    <w:link w:val="768"/>
    <w:semiHidden/>
    <w:qFormat/>
    <w:rPr>
      <w:sz w:val="21"/>
      <w:szCs w:val="21"/>
    </w:rPr>
  </w:style>
  <w:style w:type="character" w:styleId="859">
    <w:name w:val="脚注引用"/>
    <w:next w:val="859"/>
    <w:link w:val="768"/>
    <w:uiPriority w:val="99"/>
    <w:unhideWhenUsed/>
    <w:qFormat/>
    <w:rPr>
      <w:vertAlign w:val="superscript"/>
    </w:rPr>
  </w:style>
  <w:style w:type="paragraph" w:styleId="860">
    <w:name w:val="正文首行缩进 21"/>
    <w:basedOn w:val="861"/>
    <w:next w:val="768"/>
    <w:link w:val="768"/>
    <w:qFormat/>
    <w:pPr>
      <w:ind w:firstLine="420"/>
      <w:spacing w:line="360" w:lineRule="auto"/>
    </w:pPr>
    <w:rPr>
      <w:rFonts w:ascii="宋体" w:hAnsi="宋体" w:eastAsia="宋体"/>
      <w:sz w:val="21"/>
      <w:szCs w:val="20"/>
    </w:rPr>
  </w:style>
  <w:style w:type="paragraph" w:styleId="861">
    <w:name w:val="正文文本缩进1"/>
    <w:basedOn w:val="768"/>
    <w:next w:val="862"/>
    <w:link w:val="768"/>
    <w:qFormat/>
    <w:pPr>
      <w:ind w:firstLine="645"/>
    </w:pPr>
    <w:rPr>
      <w:rFonts w:ascii="楷体_GB2312" w:eastAsia="楷体_GB2312"/>
      <w:sz w:val="32"/>
      <w:szCs w:val="32"/>
    </w:rPr>
  </w:style>
  <w:style w:type="paragraph" w:styleId="862">
    <w:name w:val="寄信人地址1"/>
    <w:basedOn w:val="768"/>
    <w:next w:val="862"/>
    <w:link w:val="768"/>
    <w:qFormat/>
    <w:rPr>
      <w:rFonts w:ascii="Arial" w:hAnsi="Arial"/>
    </w:rPr>
  </w:style>
  <w:style w:type="paragraph" w:styleId="863">
    <w:name w:val="标题 41"/>
    <w:basedOn w:val="864"/>
    <w:next w:val="768"/>
    <w:link w:val="768"/>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64">
    <w:name w:val="Normal_20"/>
    <w:next w:val="864"/>
    <w:link w:val="768"/>
    <w:qFormat/>
    <w:rPr>
      <w:rFonts w:ascii="黑体" w:hAnsi="黑体" w:eastAsia="黑体" w:cs="黑体"/>
      <w:b/>
      <w:sz w:val="32"/>
      <w:szCs w:val="24"/>
      <w:lang w:val="en-US" w:eastAsia="zh-CN" w:bidi="ar-SA"/>
    </w:rPr>
  </w:style>
  <w:style w:type="paragraph" w:styleId="865">
    <w:name w:val="Body Text First Indent_2"/>
    <w:basedOn w:val="864"/>
    <w:next w:val="865"/>
    <w:link w:val="768"/>
    <w:qFormat/>
    <w:pPr>
      <w:ind w:firstLine="100"/>
      <w:spacing w:after="120"/>
    </w:pPr>
  </w:style>
  <w:style w:type="paragraph" w:styleId="866">
    <w:name w:val="脚注文本1"/>
    <w:basedOn w:val="768"/>
    <w:next w:val="866"/>
    <w:link w:val="768"/>
    <w:qFormat/>
    <w:pPr>
      <w:jc w:val="left"/>
    </w:pPr>
    <w:rPr>
      <w:rFonts w:eastAsia="Times New Roman"/>
      <w:sz w:val="18"/>
      <w:szCs w:val="24"/>
    </w:rPr>
  </w:style>
  <w:style w:type="table" w:styleId="867">
    <w:name w:val="Plain Table 1"/>
    <w:basedOn w:val="779"/>
    <w:next w:val="867"/>
    <w:link w:val="768"/>
    <w:uiPriority w:val="59"/>
    <w:qFormat/>
    <w:pPr>
      <w:spacing w:after="0" w:line="240" w:lineRule="auto"/>
    </w:pPr>
    <w:tblPr/>
  </w:style>
  <w:style w:type="table" w:styleId="868">
    <w:name w:val="Plain Table 2"/>
    <w:basedOn w:val="779"/>
    <w:next w:val="868"/>
    <w:link w:val="768"/>
    <w:uiPriority w:val="59"/>
    <w:qFormat/>
    <w:pPr>
      <w:spacing w:after="0" w:line="240" w:lineRule="auto"/>
    </w:pPr>
    <w:tblPr/>
  </w:style>
  <w:style w:type="table" w:styleId="869">
    <w:name w:val="Plain Table 3"/>
    <w:basedOn w:val="779"/>
    <w:next w:val="869"/>
    <w:link w:val="768"/>
    <w:uiPriority w:val="99"/>
    <w:qFormat/>
    <w:pPr>
      <w:spacing w:after="0" w:line="240" w:lineRule="auto"/>
    </w:pPr>
    <w:tblPr/>
  </w:style>
  <w:style w:type="table" w:styleId="870">
    <w:name w:val="Plain Table 4"/>
    <w:basedOn w:val="779"/>
    <w:next w:val="870"/>
    <w:link w:val="768"/>
    <w:uiPriority w:val="99"/>
    <w:qFormat/>
    <w:pPr>
      <w:spacing w:after="0" w:line="240" w:lineRule="auto"/>
    </w:pPr>
    <w:tblPr/>
  </w:style>
  <w:style w:type="table" w:styleId="871">
    <w:name w:val="Plain Table 5"/>
    <w:basedOn w:val="779"/>
    <w:next w:val="871"/>
    <w:link w:val="768"/>
    <w:uiPriority w:val="99"/>
    <w:qFormat/>
    <w:pPr>
      <w:spacing w:after="0" w:line="240" w:lineRule="auto"/>
    </w:pPr>
    <w:tblPr/>
  </w:style>
  <w:style w:type="table" w:styleId="872">
    <w:name w:val="Grid Table 1 Light"/>
    <w:basedOn w:val="779"/>
    <w:next w:val="872"/>
    <w:link w:val="768"/>
    <w:uiPriority w:val="99"/>
    <w:qFormat/>
    <w:pPr>
      <w:spacing w:after="0" w:line="240" w:lineRule="auto"/>
    </w:pPr>
    <w:tblPr/>
  </w:style>
  <w:style w:type="table" w:styleId="873">
    <w:name w:val="Grid Table 2"/>
    <w:basedOn w:val="779"/>
    <w:next w:val="873"/>
    <w:link w:val="768"/>
    <w:uiPriority w:val="99"/>
    <w:qFormat/>
    <w:pPr>
      <w:spacing w:after="0" w:line="240" w:lineRule="auto"/>
    </w:pPr>
    <w:tblPr/>
  </w:style>
  <w:style w:type="table" w:styleId="874">
    <w:name w:val="Grid Table 3"/>
    <w:basedOn w:val="779"/>
    <w:next w:val="874"/>
    <w:link w:val="768"/>
    <w:uiPriority w:val="99"/>
    <w:qFormat/>
    <w:pPr>
      <w:spacing w:after="0" w:line="240" w:lineRule="auto"/>
    </w:pPr>
    <w:tblPr/>
  </w:style>
  <w:style w:type="table" w:styleId="875">
    <w:name w:val="Grid Table 4"/>
    <w:basedOn w:val="779"/>
    <w:next w:val="875"/>
    <w:link w:val="768"/>
    <w:uiPriority w:val="59"/>
    <w:qFormat/>
    <w:pPr>
      <w:spacing w:after="0" w:line="240" w:lineRule="auto"/>
    </w:pPr>
    <w:tblPr/>
  </w:style>
  <w:style w:type="table" w:styleId="876">
    <w:name w:val="Grid Table 5 Dark"/>
    <w:basedOn w:val="779"/>
    <w:next w:val="876"/>
    <w:link w:val="768"/>
    <w:uiPriority w:val="99"/>
    <w:qFormat/>
    <w:pPr>
      <w:spacing w:after="0" w:line="240" w:lineRule="auto"/>
    </w:pPr>
    <w:tblPr/>
  </w:style>
  <w:style w:type="table" w:styleId="877">
    <w:name w:val="Grid Table 6 Colorful"/>
    <w:basedOn w:val="779"/>
    <w:next w:val="877"/>
    <w:link w:val="768"/>
    <w:uiPriority w:val="99"/>
    <w:qFormat/>
    <w:pPr>
      <w:spacing w:after="0" w:line="240" w:lineRule="auto"/>
    </w:pPr>
    <w:tblPr/>
  </w:style>
  <w:style w:type="table" w:styleId="878">
    <w:name w:val="Grid Table 7 Colorful"/>
    <w:basedOn w:val="779"/>
    <w:next w:val="878"/>
    <w:link w:val="768"/>
    <w:uiPriority w:val="99"/>
    <w:qFormat/>
    <w:pPr>
      <w:spacing w:after="0" w:line="240" w:lineRule="auto"/>
    </w:pPr>
    <w:tblPr/>
  </w:style>
  <w:style w:type="table" w:styleId="879">
    <w:name w:val="List Table 1 Light"/>
    <w:basedOn w:val="779"/>
    <w:next w:val="879"/>
    <w:link w:val="768"/>
    <w:uiPriority w:val="99"/>
    <w:qFormat/>
    <w:pPr>
      <w:spacing w:after="0" w:line="240" w:lineRule="auto"/>
    </w:pPr>
    <w:tblPr/>
  </w:style>
  <w:style w:type="table" w:styleId="880">
    <w:name w:val="List Table 2"/>
    <w:basedOn w:val="779"/>
    <w:next w:val="880"/>
    <w:link w:val="768"/>
    <w:uiPriority w:val="99"/>
    <w:qFormat/>
    <w:pPr>
      <w:spacing w:after="0" w:line="240" w:lineRule="auto"/>
    </w:pPr>
    <w:tblPr/>
  </w:style>
  <w:style w:type="table" w:styleId="881">
    <w:name w:val="List Table 3"/>
    <w:basedOn w:val="779"/>
    <w:next w:val="881"/>
    <w:link w:val="768"/>
    <w:uiPriority w:val="99"/>
    <w:qFormat/>
    <w:pPr>
      <w:spacing w:after="0" w:line="240" w:lineRule="auto"/>
    </w:pPr>
    <w:tblPr/>
  </w:style>
  <w:style w:type="table" w:styleId="882">
    <w:name w:val="List Table 4"/>
    <w:basedOn w:val="779"/>
    <w:next w:val="882"/>
    <w:link w:val="768"/>
    <w:uiPriority w:val="99"/>
    <w:qFormat/>
    <w:pPr>
      <w:spacing w:after="0" w:line="240" w:lineRule="auto"/>
    </w:pPr>
    <w:tblPr/>
  </w:style>
  <w:style w:type="table" w:styleId="883">
    <w:name w:val="List Table 5 Dark"/>
    <w:basedOn w:val="779"/>
    <w:next w:val="883"/>
    <w:link w:val="768"/>
    <w:uiPriority w:val="99"/>
    <w:qFormat/>
    <w:pPr>
      <w:spacing w:after="0" w:line="240" w:lineRule="auto"/>
    </w:pPr>
    <w:tblPr/>
  </w:style>
  <w:style w:type="table" w:styleId="884">
    <w:name w:val="List Table 6 Colorful"/>
    <w:basedOn w:val="779"/>
    <w:next w:val="884"/>
    <w:link w:val="768"/>
    <w:uiPriority w:val="99"/>
    <w:qFormat/>
    <w:pPr>
      <w:spacing w:after="0" w:line="240" w:lineRule="auto"/>
    </w:pPr>
    <w:tblPr/>
  </w:style>
  <w:style w:type="table" w:styleId="885">
    <w:name w:val="List Table 7 Colorful"/>
    <w:basedOn w:val="779"/>
    <w:next w:val="885"/>
    <w:link w:val="768"/>
    <w:uiPriority w:val="99"/>
    <w:qFormat/>
    <w:pPr>
      <w:spacing w:after="0" w:line="240" w:lineRule="auto"/>
    </w:pPr>
    <w:tblPr/>
  </w:style>
  <w:style w:type="paragraph" w:styleId="886">
    <w:name w:val="TOC Heading"/>
    <w:next w:val="886"/>
    <w:link w:val="768"/>
    <w:uiPriority w:val="39"/>
    <w:unhideWhenUsed/>
    <w:qFormat/>
    <w:rPr>
      <w:lang w:val="en-US" w:eastAsia="zh-CN" w:bidi="ar-SA"/>
    </w:rPr>
  </w:style>
  <w:style w:type="table" w:styleId="887">
    <w:name w:val="无格式表格 11"/>
    <w:basedOn w:val="779"/>
    <w:next w:val="887"/>
    <w:link w:val="768"/>
    <w:uiPriority w:val="59"/>
    <w:qFormat/>
    <w:tblPr/>
  </w:style>
  <w:style w:type="table" w:styleId="888">
    <w:name w:val="无格式表格 21"/>
    <w:basedOn w:val="779"/>
    <w:next w:val="888"/>
    <w:link w:val="768"/>
    <w:uiPriority w:val="59"/>
    <w:qFormat/>
    <w:tblPr/>
  </w:style>
  <w:style w:type="table" w:styleId="889">
    <w:name w:val="无格式表格 31"/>
    <w:basedOn w:val="779"/>
    <w:next w:val="889"/>
    <w:link w:val="768"/>
    <w:uiPriority w:val="99"/>
    <w:qFormat/>
    <w:tblPr/>
  </w:style>
  <w:style w:type="table" w:styleId="890">
    <w:name w:val="无格式表格 41"/>
    <w:basedOn w:val="779"/>
    <w:next w:val="890"/>
    <w:link w:val="768"/>
    <w:uiPriority w:val="99"/>
    <w:qFormat/>
    <w:tblPr/>
  </w:style>
  <w:style w:type="table" w:styleId="891">
    <w:name w:val="无格式表格 51"/>
    <w:basedOn w:val="779"/>
    <w:next w:val="891"/>
    <w:link w:val="768"/>
    <w:uiPriority w:val="99"/>
    <w:qFormat/>
    <w:tblPr/>
  </w:style>
  <w:style w:type="table" w:styleId="892">
    <w:name w:val="网格表 1 浅色1"/>
    <w:basedOn w:val="779"/>
    <w:next w:val="892"/>
    <w:link w:val="768"/>
    <w:uiPriority w:val="99"/>
    <w:qFormat/>
    <w:tblPr/>
  </w:style>
  <w:style w:type="table" w:styleId="893">
    <w:name w:val="网格表 21"/>
    <w:basedOn w:val="779"/>
    <w:next w:val="893"/>
    <w:link w:val="768"/>
    <w:uiPriority w:val="99"/>
    <w:qFormat/>
    <w:tblPr/>
  </w:style>
  <w:style w:type="table" w:styleId="894">
    <w:name w:val="网格表 31"/>
    <w:basedOn w:val="779"/>
    <w:next w:val="894"/>
    <w:link w:val="768"/>
    <w:uiPriority w:val="99"/>
    <w:qFormat/>
    <w:tblPr/>
  </w:style>
  <w:style w:type="table" w:styleId="895">
    <w:name w:val="网格表 41"/>
    <w:basedOn w:val="779"/>
    <w:next w:val="895"/>
    <w:link w:val="768"/>
    <w:uiPriority w:val="59"/>
    <w:qFormat/>
    <w:tblPr/>
  </w:style>
  <w:style w:type="table" w:styleId="896">
    <w:name w:val="网格表 5 深色1"/>
    <w:basedOn w:val="779"/>
    <w:next w:val="896"/>
    <w:link w:val="768"/>
    <w:uiPriority w:val="99"/>
    <w:qFormat/>
    <w:tblPr/>
  </w:style>
  <w:style w:type="table" w:styleId="897">
    <w:name w:val="网格表 6 彩色1"/>
    <w:basedOn w:val="779"/>
    <w:next w:val="897"/>
    <w:link w:val="768"/>
    <w:uiPriority w:val="99"/>
    <w:qFormat/>
    <w:tblPr/>
  </w:style>
  <w:style w:type="table" w:styleId="898">
    <w:name w:val="网格表 7 彩色1"/>
    <w:basedOn w:val="779"/>
    <w:next w:val="898"/>
    <w:link w:val="768"/>
    <w:uiPriority w:val="99"/>
    <w:qFormat/>
    <w:tblPr/>
  </w:style>
  <w:style w:type="table" w:styleId="899">
    <w:name w:val="清单表 1 浅色1"/>
    <w:basedOn w:val="779"/>
    <w:next w:val="899"/>
    <w:link w:val="768"/>
    <w:uiPriority w:val="99"/>
    <w:qFormat/>
    <w:tblPr/>
  </w:style>
  <w:style w:type="table" w:styleId="900">
    <w:name w:val="清单表 21"/>
    <w:basedOn w:val="779"/>
    <w:next w:val="900"/>
    <w:link w:val="768"/>
    <w:uiPriority w:val="99"/>
    <w:qFormat/>
    <w:tblPr/>
  </w:style>
  <w:style w:type="table" w:styleId="901">
    <w:name w:val="清单表 31"/>
    <w:basedOn w:val="779"/>
    <w:next w:val="901"/>
    <w:link w:val="768"/>
    <w:uiPriority w:val="99"/>
    <w:qFormat/>
    <w:tblPr/>
  </w:style>
  <w:style w:type="table" w:styleId="902">
    <w:name w:val="清单表 41"/>
    <w:basedOn w:val="779"/>
    <w:next w:val="902"/>
    <w:link w:val="768"/>
    <w:uiPriority w:val="99"/>
    <w:qFormat/>
    <w:tblPr/>
  </w:style>
  <w:style w:type="table" w:styleId="903">
    <w:name w:val="清单表 5 深色1"/>
    <w:basedOn w:val="779"/>
    <w:next w:val="903"/>
    <w:link w:val="768"/>
    <w:uiPriority w:val="99"/>
    <w:qFormat/>
    <w:tblPr/>
  </w:style>
  <w:style w:type="table" w:styleId="904">
    <w:name w:val="清单表 6 彩色1"/>
    <w:basedOn w:val="779"/>
    <w:next w:val="904"/>
    <w:link w:val="768"/>
    <w:uiPriority w:val="99"/>
    <w:qFormat/>
    <w:tblPr/>
  </w:style>
  <w:style w:type="table" w:styleId="905">
    <w:name w:val="清单表 7 彩色1"/>
    <w:basedOn w:val="779"/>
    <w:next w:val="905"/>
    <w:link w:val="768"/>
    <w:uiPriority w:val="99"/>
    <w:qFormat/>
    <w:tblPr/>
  </w:style>
  <w:style w:type="paragraph" w:styleId="906">
    <w:name w:val="TOC 标题1"/>
    <w:next w:val="906"/>
    <w:link w:val="768"/>
    <w:uiPriority w:val="39"/>
    <w:unhideWhenUsed/>
    <w:qFormat/>
    <w:rPr>
      <w:lang w:val="en-US" w:eastAsia="zh-CN" w:bidi="ar-SA"/>
    </w:rPr>
  </w:style>
  <w:style w:type="paragraph" w:styleId="907">
    <w:name w:val="Normal_21"/>
    <w:basedOn w:val="908"/>
    <w:next w:val="908"/>
    <w:link w:val="768"/>
    <w:qFormat/>
    <w:pPr>
      <w:jc w:val="both"/>
      <w:widowControl w:val="off"/>
    </w:pPr>
    <w:rPr>
      <w:rFonts w:ascii="Times New Roman" w:hAnsi="Times New Roman" w:eastAsia="宋体" w:cs="Times New Roman"/>
      <w:sz w:val="21"/>
      <w:szCs w:val="24"/>
      <w:lang w:val="en-US" w:eastAsia="zh-CN" w:bidi="ar-SA"/>
    </w:rPr>
  </w:style>
  <w:style w:type="paragraph" w:styleId="908">
    <w:name w:val="正文_16"/>
    <w:next w:val="908"/>
    <w:link w:val="768"/>
    <w:qFormat/>
    <w:pPr>
      <w:jc w:val="both"/>
      <w:widowControl w:val="off"/>
    </w:pPr>
    <w:rPr>
      <w:rFonts w:ascii="Calibri" w:hAnsi="Calibri"/>
      <w:sz w:val="21"/>
      <w:szCs w:val="22"/>
      <w:lang w:val="en-US" w:eastAsia="zh-CN" w:bidi="ar-SA"/>
    </w:rPr>
  </w:style>
  <w:style w:type="paragraph" w:styleId="909">
    <w:name w:val="正文_17"/>
    <w:next w:val="910"/>
    <w:link w:val="768"/>
    <w:qFormat/>
    <w:pPr>
      <w:jc w:val="both"/>
      <w:widowControl w:val="off"/>
    </w:pPr>
    <w:rPr>
      <w:sz w:val="21"/>
      <w:szCs w:val="22"/>
      <w:lang w:val="en-US" w:eastAsia="zh-CN" w:bidi="ar-SA"/>
    </w:rPr>
  </w:style>
  <w:style w:type="paragraph" w:styleId="910">
    <w:name w:val="标题 4_1"/>
    <w:basedOn w:val="909"/>
    <w:next w:val="909"/>
    <w:link w:val="768"/>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11">
    <w:name w:val="Heading 1 Char"/>
    <w:next w:val="911"/>
    <w:link w:val="768"/>
    <w:uiPriority w:val="9"/>
    <w:qFormat/>
    <w:rPr>
      <w:rFonts w:ascii="Arial" w:hAnsi="Arial" w:eastAsia="Arial" w:cs="Arial"/>
      <w:sz w:val="40"/>
      <w:szCs w:val="40"/>
    </w:rPr>
  </w:style>
  <w:style w:type="character" w:styleId="912">
    <w:name w:val="Heading 2 Char"/>
    <w:next w:val="912"/>
    <w:link w:val="768"/>
    <w:uiPriority w:val="9"/>
    <w:qFormat/>
    <w:rPr>
      <w:rFonts w:ascii="Arial" w:hAnsi="Arial" w:eastAsia="Arial" w:cs="Arial"/>
      <w:sz w:val="34"/>
    </w:rPr>
  </w:style>
  <w:style w:type="character" w:styleId="913">
    <w:name w:val="Heading 3 Char"/>
    <w:next w:val="913"/>
    <w:link w:val="768"/>
    <w:uiPriority w:val="9"/>
    <w:qFormat/>
    <w:rPr>
      <w:rFonts w:ascii="Arial" w:hAnsi="Arial" w:eastAsia="Arial" w:cs="Arial"/>
      <w:sz w:val="30"/>
      <w:szCs w:val="30"/>
    </w:rPr>
  </w:style>
  <w:style w:type="character" w:styleId="914">
    <w:name w:val="Heading 4 Char"/>
    <w:next w:val="914"/>
    <w:link w:val="768"/>
    <w:uiPriority w:val="9"/>
    <w:qFormat/>
    <w:rPr>
      <w:rFonts w:ascii="Arial" w:hAnsi="Arial" w:eastAsia="Arial" w:cs="Arial"/>
      <w:b/>
      <w:bCs/>
      <w:sz w:val="26"/>
      <w:szCs w:val="26"/>
    </w:rPr>
  </w:style>
  <w:style w:type="character" w:styleId="915">
    <w:name w:val="Heading 5 Char"/>
    <w:next w:val="915"/>
    <w:link w:val="768"/>
    <w:uiPriority w:val="9"/>
    <w:qFormat/>
    <w:rPr>
      <w:rFonts w:ascii="Arial" w:hAnsi="Arial" w:eastAsia="Arial" w:cs="Arial"/>
      <w:b/>
      <w:bCs/>
      <w:sz w:val="24"/>
      <w:szCs w:val="24"/>
    </w:rPr>
  </w:style>
  <w:style w:type="character" w:styleId="916">
    <w:name w:val="Heading 6 Char"/>
    <w:next w:val="916"/>
    <w:link w:val="768"/>
    <w:uiPriority w:val="9"/>
    <w:qFormat/>
    <w:rPr>
      <w:rFonts w:ascii="Arial" w:hAnsi="Arial" w:eastAsia="Arial" w:cs="Arial"/>
      <w:b/>
      <w:bCs/>
      <w:sz w:val="22"/>
      <w:szCs w:val="22"/>
    </w:rPr>
  </w:style>
  <w:style w:type="character" w:styleId="917">
    <w:name w:val="Heading 7 Char"/>
    <w:next w:val="917"/>
    <w:link w:val="768"/>
    <w:uiPriority w:val="9"/>
    <w:qFormat/>
    <w:rPr>
      <w:rFonts w:ascii="Arial" w:hAnsi="Arial" w:eastAsia="Arial" w:cs="Arial"/>
      <w:b/>
      <w:bCs/>
      <w:i/>
      <w:iCs/>
      <w:sz w:val="22"/>
      <w:szCs w:val="22"/>
    </w:rPr>
  </w:style>
  <w:style w:type="character" w:styleId="918">
    <w:name w:val="Heading 8 Char"/>
    <w:next w:val="918"/>
    <w:link w:val="768"/>
    <w:uiPriority w:val="9"/>
    <w:qFormat/>
    <w:rPr>
      <w:rFonts w:ascii="Arial" w:hAnsi="Arial" w:eastAsia="Arial" w:cs="Arial"/>
      <w:i/>
      <w:iCs/>
      <w:sz w:val="22"/>
      <w:szCs w:val="22"/>
    </w:rPr>
  </w:style>
  <w:style w:type="character" w:styleId="919">
    <w:name w:val="Heading 9 Char"/>
    <w:next w:val="919"/>
    <w:link w:val="768"/>
    <w:uiPriority w:val="9"/>
    <w:qFormat/>
    <w:rPr>
      <w:rFonts w:ascii="Arial" w:hAnsi="Arial" w:eastAsia="Arial" w:cs="Arial"/>
      <w:i/>
      <w:iCs/>
      <w:sz w:val="21"/>
      <w:szCs w:val="21"/>
    </w:rPr>
  </w:style>
  <w:style w:type="character" w:styleId="920">
    <w:name w:val="Title Char"/>
    <w:next w:val="920"/>
    <w:link w:val="768"/>
    <w:uiPriority w:val="10"/>
    <w:qFormat/>
    <w:rPr>
      <w:sz w:val="48"/>
      <w:szCs w:val="48"/>
    </w:rPr>
  </w:style>
  <w:style w:type="character" w:styleId="921">
    <w:name w:val="Subtitle Char"/>
    <w:next w:val="921"/>
    <w:link w:val="768"/>
    <w:uiPriority w:val="11"/>
    <w:qFormat/>
    <w:rPr>
      <w:sz w:val="24"/>
      <w:szCs w:val="24"/>
    </w:rPr>
  </w:style>
  <w:style w:type="character" w:styleId="922">
    <w:name w:val="Quote Char"/>
    <w:next w:val="922"/>
    <w:link w:val="768"/>
    <w:uiPriority w:val="29"/>
    <w:qFormat/>
    <w:rPr>
      <w:i/>
    </w:rPr>
  </w:style>
  <w:style w:type="character" w:styleId="923">
    <w:name w:val="Intense Quote Char"/>
    <w:next w:val="923"/>
    <w:link w:val="768"/>
    <w:uiPriority w:val="30"/>
    <w:qFormat/>
    <w:rPr>
      <w:i/>
    </w:rPr>
  </w:style>
  <w:style w:type="character" w:styleId="924">
    <w:name w:val="Caption Char"/>
    <w:next w:val="924"/>
    <w:link w:val="768"/>
    <w:uiPriority w:val="99"/>
    <w:qFormat/>
  </w:style>
  <w:style w:type="character" w:styleId="925">
    <w:name w:val="Footnote Text Char"/>
    <w:next w:val="925"/>
    <w:link w:val="768"/>
    <w:uiPriority w:val="99"/>
    <w:qFormat/>
    <w:rPr>
      <w:sz w:val="18"/>
    </w:rPr>
  </w:style>
  <w:style w:type="character" w:styleId="926">
    <w:name w:val="Endnote Text Char"/>
    <w:next w:val="926"/>
    <w:link w:val="768"/>
    <w:uiPriority w:val="99"/>
    <w:qFormat/>
    <w:rPr>
      <w:sz w:val="20"/>
    </w:rPr>
  </w:style>
  <w:style w:type="paragraph" w:styleId="927">
    <w:name w:val="列出段落"/>
    <w:basedOn w:val="768"/>
    <w:next w:val="927"/>
    <w:link w:val="768"/>
    <w:qFormat/>
    <w:pPr>
      <w:contextualSpacing/>
      <w:ind w:left="720"/>
    </w:pPr>
  </w:style>
  <w:style w:type="paragraph" w:styleId="928">
    <w:name w:val="无间隔"/>
    <w:next w:val="928"/>
    <w:link w:val="768"/>
    <w:uiPriority w:val="99"/>
    <w:qFormat/>
    <w:rPr>
      <w:lang w:val="en-US" w:eastAsia="zh-CN" w:bidi="ar-SA"/>
    </w:rPr>
  </w:style>
  <w:style w:type="paragraph" w:styleId="929">
    <w:name w:val="引用"/>
    <w:basedOn w:val="768"/>
    <w:next w:val="768"/>
    <w:link w:val="930"/>
    <w:uiPriority w:val="29"/>
    <w:qFormat/>
    <w:pPr>
      <w:ind w:left="720" w:right="720"/>
    </w:pPr>
    <w:rPr>
      <w:rFonts w:ascii="Times New Roman" w:hAnsi="Times New Roman"/>
      <w:i/>
      <w:sz w:val="20"/>
      <w:szCs w:val="20"/>
    </w:rPr>
  </w:style>
  <w:style w:type="character" w:styleId="930">
    <w:name w:val="引用 Char"/>
    <w:next w:val="930"/>
    <w:link w:val="929"/>
    <w:uiPriority w:val="29"/>
    <w:qFormat/>
    <w:rPr>
      <w:i/>
    </w:rPr>
  </w:style>
  <w:style w:type="paragraph" w:styleId="931">
    <w:name w:val="明显引用"/>
    <w:basedOn w:val="768"/>
    <w:next w:val="768"/>
    <w:link w:val="9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932">
    <w:name w:val="明显引用 Char"/>
    <w:next w:val="932"/>
    <w:link w:val="931"/>
    <w:uiPriority w:val="30"/>
    <w:qFormat/>
    <w:rPr>
      <w:i/>
    </w:rPr>
  </w:style>
  <w:style w:type="character" w:styleId="933">
    <w:name w:val="Header Char"/>
    <w:next w:val="933"/>
    <w:link w:val="768"/>
    <w:uiPriority w:val="99"/>
    <w:qFormat/>
  </w:style>
  <w:style w:type="character" w:styleId="934">
    <w:name w:val="Footer Char"/>
    <w:next w:val="934"/>
    <w:link w:val="768"/>
    <w:uiPriority w:val="99"/>
    <w:qFormat/>
  </w:style>
  <w:style w:type="table" w:styleId="935">
    <w:name w:val="Table Grid Light"/>
    <w:basedOn w:val="779"/>
    <w:next w:val="935"/>
    <w:link w:val="768"/>
    <w:uiPriority w:val="59"/>
    <w:qFormat/>
    <w:tblPr/>
  </w:style>
  <w:style w:type="table" w:styleId="936">
    <w:name w:val="Grid Table 1 Light - Accent 1"/>
    <w:basedOn w:val="779"/>
    <w:next w:val="936"/>
    <w:link w:val="768"/>
    <w:uiPriority w:val="99"/>
    <w:qFormat/>
    <w:tblPr/>
  </w:style>
  <w:style w:type="table" w:styleId="937">
    <w:name w:val="Grid Table 1 Light - Accent 2"/>
    <w:basedOn w:val="779"/>
    <w:next w:val="937"/>
    <w:link w:val="768"/>
    <w:uiPriority w:val="99"/>
    <w:qFormat/>
    <w:tblPr/>
  </w:style>
  <w:style w:type="table" w:styleId="938">
    <w:name w:val="Grid Table 1 Light - Accent 3"/>
    <w:basedOn w:val="779"/>
    <w:next w:val="938"/>
    <w:link w:val="768"/>
    <w:uiPriority w:val="99"/>
    <w:qFormat/>
    <w:tblPr/>
  </w:style>
  <w:style w:type="table" w:styleId="939">
    <w:name w:val="Grid Table 1 Light - Accent 4"/>
    <w:basedOn w:val="779"/>
    <w:next w:val="939"/>
    <w:link w:val="768"/>
    <w:uiPriority w:val="99"/>
    <w:qFormat/>
    <w:tblPr/>
  </w:style>
  <w:style w:type="table" w:styleId="940">
    <w:name w:val="Grid Table 1 Light - Accent 5"/>
    <w:basedOn w:val="779"/>
    <w:next w:val="940"/>
    <w:link w:val="768"/>
    <w:uiPriority w:val="99"/>
    <w:qFormat/>
    <w:tblPr/>
  </w:style>
  <w:style w:type="table" w:styleId="941">
    <w:name w:val="Grid Table 1 Light - Accent 6"/>
    <w:basedOn w:val="779"/>
    <w:next w:val="941"/>
    <w:link w:val="768"/>
    <w:uiPriority w:val="99"/>
    <w:qFormat/>
    <w:tblPr/>
  </w:style>
  <w:style w:type="table" w:styleId="942">
    <w:name w:val="Grid Table 2 - Accent 1"/>
    <w:basedOn w:val="779"/>
    <w:next w:val="942"/>
    <w:link w:val="768"/>
    <w:uiPriority w:val="99"/>
    <w:qFormat/>
    <w:tblPr/>
  </w:style>
  <w:style w:type="table" w:styleId="943">
    <w:name w:val="Grid Table 2 - Accent 2"/>
    <w:basedOn w:val="779"/>
    <w:next w:val="943"/>
    <w:link w:val="768"/>
    <w:uiPriority w:val="99"/>
    <w:qFormat/>
    <w:tblPr/>
  </w:style>
  <w:style w:type="table" w:styleId="944">
    <w:name w:val="Grid Table 2 - Accent 3"/>
    <w:basedOn w:val="779"/>
    <w:next w:val="944"/>
    <w:link w:val="768"/>
    <w:uiPriority w:val="99"/>
    <w:qFormat/>
    <w:tblPr/>
  </w:style>
  <w:style w:type="table" w:styleId="945">
    <w:name w:val="Grid Table 2 - Accent 4"/>
    <w:basedOn w:val="779"/>
    <w:next w:val="945"/>
    <w:link w:val="768"/>
    <w:uiPriority w:val="99"/>
    <w:qFormat/>
    <w:tblPr/>
  </w:style>
  <w:style w:type="table" w:styleId="946">
    <w:name w:val="Grid Table 2 - Accent 5"/>
    <w:basedOn w:val="779"/>
    <w:next w:val="946"/>
    <w:link w:val="768"/>
    <w:uiPriority w:val="99"/>
    <w:qFormat/>
    <w:tblPr/>
  </w:style>
  <w:style w:type="table" w:styleId="947">
    <w:name w:val="Grid Table 2 - Accent 6"/>
    <w:basedOn w:val="779"/>
    <w:next w:val="947"/>
    <w:link w:val="768"/>
    <w:uiPriority w:val="99"/>
    <w:qFormat/>
    <w:tblPr/>
  </w:style>
  <w:style w:type="table" w:styleId="948">
    <w:name w:val="Grid Table 3 - Accent 1"/>
    <w:basedOn w:val="779"/>
    <w:next w:val="948"/>
    <w:link w:val="768"/>
    <w:uiPriority w:val="99"/>
    <w:qFormat/>
    <w:tblPr/>
  </w:style>
  <w:style w:type="table" w:styleId="949">
    <w:name w:val="Grid Table 3 - Accent 2"/>
    <w:basedOn w:val="779"/>
    <w:next w:val="949"/>
    <w:link w:val="768"/>
    <w:uiPriority w:val="99"/>
    <w:qFormat/>
    <w:tblPr/>
  </w:style>
  <w:style w:type="table" w:styleId="950">
    <w:name w:val="Grid Table 3 - Accent 3"/>
    <w:basedOn w:val="779"/>
    <w:next w:val="950"/>
    <w:link w:val="768"/>
    <w:uiPriority w:val="99"/>
    <w:qFormat/>
    <w:tblPr/>
  </w:style>
  <w:style w:type="table" w:styleId="951">
    <w:name w:val="Grid Table 3 - Accent 4"/>
    <w:basedOn w:val="779"/>
    <w:next w:val="951"/>
    <w:link w:val="768"/>
    <w:uiPriority w:val="99"/>
    <w:qFormat/>
    <w:tblPr/>
  </w:style>
  <w:style w:type="table" w:styleId="952">
    <w:name w:val="Grid Table 3 - Accent 5"/>
    <w:basedOn w:val="779"/>
    <w:next w:val="952"/>
    <w:link w:val="768"/>
    <w:uiPriority w:val="99"/>
    <w:qFormat/>
    <w:tblPr/>
  </w:style>
  <w:style w:type="table" w:styleId="953">
    <w:name w:val="Grid Table 3 - Accent 6"/>
    <w:basedOn w:val="779"/>
    <w:next w:val="953"/>
    <w:link w:val="768"/>
    <w:uiPriority w:val="99"/>
    <w:qFormat/>
    <w:tblPr/>
  </w:style>
  <w:style w:type="table" w:styleId="954">
    <w:name w:val="Grid Table 4 - Accent 1"/>
    <w:basedOn w:val="779"/>
    <w:next w:val="954"/>
    <w:link w:val="768"/>
    <w:uiPriority w:val="59"/>
    <w:qFormat/>
    <w:tblPr/>
  </w:style>
  <w:style w:type="table" w:styleId="955">
    <w:name w:val="Grid Table 4 - Accent 2"/>
    <w:basedOn w:val="779"/>
    <w:next w:val="955"/>
    <w:link w:val="768"/>
    <w:uiPriority w:val="59"/>
    <w:qFormat/>
    <w:tblPr/>
  </w:style>
  <w:style w:type="table" w:styleId="956">
    <w:name w:val="Grid Table 4 - Accent 3"/>
    <w:basedOn w:val="779"/>
    <w:next w:val="956"/>
    <w:link w:val="768"/>
    <w:uiPriority w:val="59"/>
    <w:qFormat/>
    <w:tblPr/>
  </w:style>
  <w:style w:type="table" w:styleId="957">
    <w:name w:val="Grid Table 4 - Accent 4"/>
    <w:basedOn w:val="779"/>
    <w:next w:val="957"/>
    <w:link w:val="768"/>
    <w:uiPriority w:val="59"/>
    <w:qFormat/>
    <w:tblPr/>
  </w:style>
  <w:style w:type="table" w:styleId="958">
    <w:name w:val="Grid Table 4 - Accent 5"/>
    <w:basedOn w:val="779"/>
    <w:next w:val="958"/>
    <w:link w:val="768"/>
    <w:uiPriority w:val="59"/>
    <w:qFormat/>
    <w:tblPr/>
  </w:style>
  <w:style w:type="table" w:styleId="959">
    <w:name w:val="Grid Table 4 - Accent 6"/>
    <w:basedOn w:val="779"/>
    <w:next w:val="959"/>
    <w:link w:val="768"/>
    <w:uiPriority w:val="59"/>
    <w:qFormat/>
    <w:tblPr/>
  </w:style>
  <w:style w:type="table" w:styleId="960">
    <w:name w:val="Grid Table 5 Dark- Accent 1"/>
    <w:basedOn w:val="779"/>
    <w:next w:val="960"/>
    <w:link w:val="768"/>
    <w:uiPriority w:val="99"/>
    <w:qFormat/>
    <w:tblPr/>
  </w:style>
  <w:style w:type="table" w:styleId="961">
    <w:name w:val="Grid Table 5 Dark - Accent 2"/>
    <w:basedOn w:val="779"/>
    <w:next w:val="961"/>
    <w:link w:val="768"/>
    <w:uiPriority w:val="99"/>
    <w:qFormat/>
    <w:tblPr/>
  </w:style>
  <w:style w:type="table" w:styleId="962">
    <w:name w:val="Grid Table 5 Dark - Accent 3"/>
    <w:basedOn w:val="779"/>
    <w:next w:val="962"/>
    <w:link w:val="768"/>
    <w:uiPriority w:val="99"/>
    <w:qFormat/>
    <w:tblPr/>
  </w:style>
  <w:style w:type="table" w:styleId="963">
    <w:name w:val="Grid Table 5 Dark- Accent 4"/>
    <w:basedOn w:val="779"/>
    <w:next w:val="963"/>
    <w:link w:val="768"/>
    <w:uiPriority w:val="99"/>
    <w:qFormat/>
    <w:tblPr/>
  </w:style>
  <w:style w:type="table" w:styleId="964">
    <w:name w:val="Grid Table 5 Dark - Accent 5"/>
    <w:basedOn w:val="779"/>
    <w:next w:val="964"/>
    <w:link w:val="768"/>
    <w:uiPriority w:val="99"/>
    <w:qFormat/>
    <w:tblPr/>
  </w:style>
  <w:style w:type="table" w:styleId="965">
    <w:name w:val="Grid Table 5 Dark - Accent 6"/>
    <w:basedOn w:val="779"/>
    <w:next w:val="965"/>
    <w:link w:val="768"/>
    <w:uiPriority w:val="99"/>
    <w:qFormat/>
    <w:tblPr/>
  </w:style>
  <w:style w:type="table" w:styleId="966">
    <w:name w:val="Grid Table 6 Colorful - Accent 1"/>
    <w:basedOn w:val="779"/>
    <w:next w:val="966"/>
    <w:link w:val="768"/>
    <w:uiPriority w:val="99"/>
    <w:qFormat/>
    <w:tblPr/>
  </w:style>
  <w:style w:type="table" w:styleId="967">
    <w:name w:val="Grid Table 6 Colorful - Accent 2"/>
    <w:basedOn w:val="779"/>
    <w:next w:val="967"/>
    <w:link w:val="768"/>
    <w:uiPriority w:val="99"/>
    <w:qFormat/>
    <w:tblPr/>
  </w:style>
  <w:style w:type="table" w:styleId="968">
    <w:name w:val="Grid Table 6 Colorful - Accent 3"/>
    <w:basedOn w:val="779"/>
    <w:next w:val="968"/>
    <w:link w:val="768"/>
    <w:uiPriority w:val="99"/>
    <w:qFormat/>
    <w:tblPr/>
  </w:style>
  <w:style w:type="table" w:styleId="969">
    <w:name w:val="Grid Table 6 Colorful - Accent 4"/>
    <w:basedOn w:val="779"/>
    <w:next w:val="969"/>
    <w:link w:val="768"/>
    <w:uiPriority w:val="99"/>
    <w:qFormat/>
    <w:tblPr/>
  </w:style>
  <w:style w:type="table" w:styleId="970">
    <w:name w:val="Grid Table 6 Colorful - Accent 5"/>
    <w:basedOn w:val="779"/>
    <w:next w:val="970"/>
    <w:link w:val="768"/>
    <w:uiPriority w:val="99"/>
    <w:qFormat/>
    <w:tblPr/>
  </w:style>
  <w:style w:type="table" w:styleId="971">
    <w:name w:val="Grid Table 6 Colorful - Accent 6"/>
    <w:basedOn w:val="779"/>
    <w:next w:val="971"/>
    <w:link w:val="768"/>
    <w:uiPriority w:val="99"/>
    <w:qFormat/>
    <w:tblPr/>
  </w:style>
  <w:style w:type="table" w:styleId="972">
    <w:name w:val="Grid Table 7 Colorful - Accent 1"/>
    <w:basedOn w:val="779"/>
    <w:next w:val="972"/>
    <w:link w:val="768"/>
    <w:uiPriority w:val="99"/>
    <w:qFormat/>
    <w:tblPr/>
  </w:style>
  <w:style w:type="table" w:styleId="973">
    <w:name w:val="Grid Table 7 Colorful - Accent 2"/>
    <w:basedOn w:val="779"/>
    <w:next w:val="973"/>
    <w:link w:val="768"/>
    <w:uiPriority w:val="99"/>
    <w:qFormat/>
    <w:tblPr/>
  </w:style>
  <w:style w:type="table" w:styleId="974">
    <w:name w:val="Grid Table 7 Colorful - Accent 3"/>
    <w:basedOn w:val="779"/>
    <w:next w:val="974"/>
    <w:link w:val="768"/>
    <w:uiPriority w:val="99"/>
    <w:qFormat/>
    <w:tblPr/>
  </w:style>
  <w:style w:type="table" w:styleId="975">
    <w:name w:val="Grid Table 7 Colorful - Accent 4"/>
    <w:basedOn w:val="779"/>
    <w:next w:val="975"/>
    <w:link w:val="768"/>
    <w:uiPriority w:val="99"/>
    <w:qFormat/>
    <w:tblPr/>
  </w:style>
  <w:style w:type="table" w:styleId="976">
    <w:name w:val="Grid Table 7 Colorful - Accent 5"/>
    <w:basedOn w:val="779"/>
    <w:next w:val="976"/>
    <w:link w:val="768"/>
    <w:uiPriority w:val="99"/>
    <w:qFormat/>
    <w:tblPr/>
  </w:style>
  <w:style w:type="table" w:styleId="977">
    <w:name w:val="Grid Table 7 Colorful - Accent 6"/>
    <w:basedOn w:val="779"/>
    <w:next w:val="977"/>
    <w:link w:val="768"/>
    <w:uiPriority w:val="99"/>
    <w:qFormat/>
    <w:tblPr/>
  </w:style>
  <w:style w:type="table" w:styleId="978">
    <w:name w:val="List Table 1 Light - Accent 1"/>
    <w:basedOn w:val="779"/>
    <w:next w:val="978"/>
    <w:link w:val="768"/>
    <w:uiPriority w:val="99"/>
    <w:qFormat/>
    <w:tblPr/>
  </w:style>
  <w:style w:type="table" w:styleId="979">
    <w:name w:val="List Table 1 Light - Accent 2"/>
    <w:basedOn w:val="779"/>
    <w:next w:val="979"/>
    <w:link w:val="768"/>
    <w:uiPriority w:val="99"/>
    <w:qFormat/>
    <w:tblPr/>
  </w:style>
  <w:style w:type="table" w:styleId="980">
    <w:name w:val="List Table 1 Light - Accent 3"/>
    <w:basedOn w:val="779"/>
    <w:next w:val="980"/>
    <w:link w:val="768"/>
    <w:uiPriority w:val="99"/>
    <w:qFormat/>
    <w:tblPr/>
  </w:style>
  <w:style w:type="table" w:styleId="981">
    <w:name w:val="List Table 1 Light - Accent 4"/>
    <w:basedOn w:val="779"/>
    <w:next w:val="981"/>
    <w:link w:val="768"/>
    <w:uiPriority w:val="99"/>
    <w:qFormat/>
    <w:tblPr/>
  </w:style>
  <w:style w:type="table" w:styleId="982">
    <w:name w:val="List Table 1 Light - Accent 5"/>
    <w:basedOn w:val="779"/>
    <w:next w:val="982"/>
    <w:link w:val="768"/>
    <w:uiPriority w:val="99"/>
    <w:qFormat/>
    <w:tblPr/>
  </w:style>
  <w:style w:type="table" w:styleId="983">
    <w:name w:val="List Table 1 Light - Accent 6"/>
    <w:basedOn w:val="779"/>
    <w:next w:val="983"/>
    <w:link w:val="768"/>
    <w:uiPriority w:val="99"/>
    <w:qFormat/>
    <w:tblPr/>
  </w:style>
  <w:style w:type="table" w:styleId="984">
    <w:name w:val="List Table 2 - Accent 1"/>
    <w:basedOn w:val="779"/>
    <w:next w:val="984"/>
    <w:link w:val="768"/>
    <w:uiPriority w:val="99"/>
    <w:qFormat/>
    <w:tblPr/>
  </w:style>
  <w:style w:type="table" w:styleId="985">
    <w:name w:val="List Table 2 - Accent 2"/>
    <w:basedOn w:val="779"/>
    <w:next w:val="985"/>
    <w:link w:val="768"/>
    <w:uiPriority w:val="99"/>
    <w:qFormat/>
    <w:tblPr/>
  </w:style>
  <w:style w:type="table" w:styleId="986">
    <w:name w:val="List Table 2 - Accent 3"/>
    <w:basedOn w:val="779"/>
    <w:next w:val="986"/>
    <w:link w:val="768"/>
    <w:uiPriority w:val="99"/>
    <w:qFormat/>
    <w:tblPr/>
  </w:style>
  <w:style w:type="table" w:styleId="987">
    <w:name w:val="List Table 2 - Accent 4"/>
    <w:basedOn w:val="779"/>
    <w:next w:val="987"/>
    <w:link w:val="768"/>
    <w:uiPriority w:val="99"/>
    <w:qFormat/>
    <w:tblPr/>
  </w:style>
  <w:style w:type="table" w:styleId="988">
    <w:name w:val="List Table 2 - Accent 5"/>
    <w:basedOn w:val="779"/>
    <w:next w:val="988"/>
    <w:link w:val="768"/>
    <w:uiPriority w:val="99"/>
    <w:qFormat/>
    <w:tblPr/>
  </w:style>
  <w:style w:type="table" w:styleId="989">
    <w:name w:val="List Table 2 - Accent 6"/>
    <w:basedOn w:val="779"/>
    <w:next w:val="989"/>
    <w:link w:val="768"/>
    <w:uiPriority w:val="99"/>
    <w:qFormat/>
    <w:tblPr/>
  </w:style>
  <w:style w:type="table" w:styleId="990">
    <w:name w:val="List Table 3 - Accent 1"/>
    <w:basedOn w:val="779"/>
    <w:next w:val="990"/>
    <w:link w:val="768"/>
    <w:uiPriority w:val="99"/>
    <w:qFormat/>
    <w:tblPr/>
  </w:style>
  <w:style w:type="table" w:styleId="991">
    <w:name w:val="List Table 3 - Accent 2"/>
    <w:basedOn w:val="779"/>
    <w:next w:val="991"/>
    <w:link w:val="768"/>
    <w:uiPriority w:val="99"/>
    <w:qFormat/>
    <w:tblPr/>
  </w:style>
  <w:style w:type="table" w:styleId="992">
    <w:name w:val="List Table 3 - Accent 3"/>
    <w:basedOn w:val="779"/>
    <w:next w:val="992"/>
    <w:link w:val="768"/>
    <w:uiPriority w:val="99"/>
    <w:qFormat/>
    <w:tblPr/>
  </w:style>
  <w:style w:type="table" w:styleId="993">
    <w:name w:val="List Table 3 - Accent 4"/>
    <w:basedOn w:val="779"/>
    <w:next w:val="993"/>
    <w:link w:val="768"/>
    <w:uiPriority w:val="99"/>
    <w:qFormat/>
    <w:tblPr/>
  </w:style>
  <w:style w:type="table" w:styleId="994">
    <w:name w:val="List Table 3 - Accent 5"/>
    <w:basedOn w:val="779"/>
    <w:next w:val="994"/>
    <w:link w:val="768"/>
    <w:uiPriority w:val="99"/>
    <w:qFormat/>
    <w:tblPr/>
  </w:style>
  <w:style w:type="table" w:styleId="995">
    <w:name w:val="List Table 3 - Accent 6"/>
    <w:basedOn w:val="779"/>
    <w:next w:val="995"/>
    <w:link w:val="768"/>
    <w:uiPriority w:val="99"/>
    <w:qFormat/>
    <w:tblPr/>
  </w:style>
  <w:style w:type="table" w:styleId="996">
    <w:name w:val="List Table 4 - Accent 1"/>
    <w:basedOn w:val="779"/>
    <w:next w:val="996"/>
    <w:link w:val="768"/>
    <w:uiPriority w:val="99"/>
    <w:qFormat/>
    <w:tblPr/>
  </w:style>
  <w:style w:type="table" w:styleId="997">
    <w:name w:val="List Table 4 - Accent 2"/>
    <w:basedOn w:val="779"/>
    <w:next w:val="997"/>
    <w:link w:val="768"/>
    <w:uiPriority w:val="99"/>
    <w:qFormat/>
    <w:tblPr/>
  </w:style>
  <w:style w:type="table" w:styleId="998">
    <w:name w:val="List Table 4 - Accent 3"/>
    <w:basedOn w:val="779"/>
    <w:next w:val="998"/>
    <w:link w:val="768"/>
    <w:uiPriority w:val="99"/>
    <w:qFormat/>
    <w:tblPr/>
  </w:style>
  <w:style w:type="table" w:styleId="999">
    <w:name w:val="List Table 4 - Accent 4"/>
    <w:basedOn w:val="779"/>
    <w:next w:val="999"/>
    <w:link w:val="768"/>
    <w:uiPriority w:val="99"/>
    <w:qFormat/>
    <w:tblPr/>
  </w:style>
  <w:style w:type="table" w:styleId="1000">
    <w:name w:val="List Table 4 - Accent 5"/>
    <w:basedOn w:val="779"/>
    <w:next w:val="1000"/>
    <w:link w:val="768"/>
    <w:uiPriority w:val="99"/>
    <w:qFormat/>
    <w:tblPr/>
  </w:style>
  <w:style w:type="table" w:styleId="1001">
    <w:name w:val="List Table 4 - Accent 6"/>
    <w:basedOn w:val="779"/>
    <w:next w:val="1001"/>
    <w:link w:val="768"/>
    <w:uiPriority w:val="99"/>
    <w:qFormat/>
    <w:tblPr/>
  </w:style>
  <w:style w:type="table" w:styleId="1002">
    <w:name w:val="List Table 5 Dark - Accent 1"/>
    <w:basedOn w:val="779"/>
    <w:next w:val="1002"/>
    <w:link w:val="768"/>
    <w:uiPriority w:val="99"/>
    <w:qFormat/>
    <w:tblPr/>
  </w:style>
  <w:style w:type="table" w:styleId="1003">
    <w:name w:val="List Table 5 Dark - Accent 2"/>
    <w:basedOn w:val="779"/>
    <w:next w:val="1003"/>
    <w:link w:val="768"/>
    <w:uiPriority w:val="99"/>
    <w:qFormat/>
    <w:tblPr/>
  </w:style>
  <w:style w:type="table" w:styleId="1004">
    <w:name w:val="List Table 5 Dark - Accent 3"/>
    <w:basedOn w:val="779"/>
    <w:next w:val="1004"/>
    <w:link w:val="768"/>
    <w:uiPriority w:val="99"/>
    <w:qFormat/>
    <w:tblPr/>
  </w:style>
  <w:style w:type="table" w:styleId="1005">
    <w:name w:val="List Table 5 Dark - Accent 4"/>
    <w:basedOn w:val="779"/>
    <w:next w:val="1005"/>
    <w:link w:val="768"/>
    <w:uiPriority w:val="99"/>
    <w:qFormat/>
    <w:tblPr/>
  </w:style>
  <w:style w:type="table" w:styleId="1006">
    <w:name w:val="List Table 5 Dark - Accent 5"/>
    <w:basedOn w:val="779"/>
    <w:next w:val="1006"/>
    <w:link w:val="768"/>
    <w:uiPriority w:val="99"/>
    <w:qFormat/>
    <w:tblPr/>
  </w:style>
  <w:style w:type="table" w:styleId="1007">
    <w:name w:val="List Table 5 Dark - Accent 6"/>
    <w:basedOn w:val="779"/>
    <w:next w:val="1007"/>
    <w:link w:val="768"/>
    <w:uiPriority w:val="99"/>
    <w:qFormat/>
    <w:tblPr/>
  </w:style>
  <w:style w:type="table" w:styleId="1008">
    <w:name w:val="List Table 6 Colorful - Accent 1"/>
    <w:basedOn w:val="779"/>
    <w:next w:val="1008"/>
    <w:link w:val="768"/>
    <w:uiPriority w:val="99"/>
    <w:qFormat/>
    <w:tblPr/>
  </w:style>
  <w:style w:type="table" w:styleId="1009">
    <w:name w:val="List Table 6 Colorful - Accent 2"/>
    <w:basedOn w:val="779"/>
    <w:next w:val="1009"/>
    <w:link w:val="768"/>
    <w:uiPriority w:val="99"/>
    <w:qFormat/>
    <w:tblPr/>
  </w:style>
  <w:style w:type="table" w:styleId="1010">
    <w:name w:val="List Table 6 Colorful - Accent 3"/>
    <w:basedOn w:val="779"/>
    <w:next w:val="1010"/>
    <w:link w:val="768"/>
    <w:uiPriority w:val="99"/>
    <w:qFormat/>
    <w:tblPr/>
  </w:style>
  <w:style w:type="table" w:styleId="1011">
    <w:name w:val="List Table 6 Colorful - Accent 4"/>
    <w:basedOn w:val="779"/>
    <w:next w:val="1011"/>
    <w:link w:val="768"/>
    <w:uiPriority w:val="99"/>
    <w:qFormat/>
    <w:tblPr/>
  </w:style>
  <w:style w:type="table" w:styleId="1012">
    <w:name w:val="List Table 6 Colorful - Accent 5"/>
    <w:basedOn w:val="779"/>
    <w:next w:val="1012"/>
    <w:link w:val="768"/>
    <w:uiPriority w:val="99"/>
    <w:qFormat/>
    <w:tblPr/>
  </w:style>
  <w:style w:type="table" w:styleId="1013">
    <w:name w:val="List Table 6 Colorful - Accent 6"/>
    <w:basedOn w:val="779"/>
    <w:next w:val="1013"/>
    <w:link w:val="768"/>
    <w:uiPriority w:val="99"/>
    <w:qFormat/>
    <w:tblPr/>
  </w:style>
  <w:style w:type="table" w:styleId="1014">
    <w:name w:val="List Table 7 Colorful - Accent 1"/>
    <w:basedOn w:val="779"/>
    <w:next w:val="1014"/>
    <w:link w:val="768"/>
    <w:uiPriority w:val="99"/>
    <w:qFormat/>
    <w:tblPr/>
  </w:style>
  <w:style w:type="table" w:styleId="1015">
    <w:name w:val="List Table 7 Colorful - Accent 2"/>
    <w:basedOn w:val="779"/>
    <w:next w:val="1015"/>
    <w:link w:val="768"/>
    <w:uiPriority w:val="99"/>
    <w:qFormat/>
    <w:tblPr/>
  </w:style>
  <w:style w:type="table" w:styleId="1016">
    <w:name w:val="List Table 7 Colorful - Accent 3"/>
    <w:basedOn w:val="779"/>
    <w:next w:val="1016"/>
    <w:link w:val="768"/>
    <w:uiPriority w:val="99"/>
    <w:qFormat/>
    <w:tblPr/>
  </w:style>
  <w:style w:type="table" w:styleId="1017">
    <w:name w:val="List Table 7 Colorful - Accent 4"/>
    <w:basedOn w:val="779"/>
    <w:next w:val="1017"/>
    <w:link w:val="768"/>
    <w:uiPriority w:val="99"/>
    <w:qFormat/>
    <w:tblPr/>
  </w:style>
  <w:style w:type="table" w:styleId="1018">
    <w:name w:val="List Table 7 Colorful - Accent 5"/>
    <w:basedOn w:val="779"/>
    <w:next w:val="1018"/>
    <w:link w:val="768"/>
    <w:uiPriority w:val="99"/>
    <w:qFormat/>
    <w:tblPr/>
  </w:style>
  <w:style w:type="table" w:styleId="1019">
    <w:name w:val="List Table 7 Colorful - Accent 6"/>
    <w:basedOn w:val="779"/>
    <w:next w:val="1019"/>
    <w:link w:val="768"/>
    <w:uiPriority w:val="99"/>
    <w:qFormat/>
    <w:tblPr/>
  </w:style>
  <w:style w:type="table" w:styleId="1020">
    <w:name w:val="Lined - Accent"/>
    <w:basedOn w:val="779"/>
    <w:next w:val="1020"/>
    <w:link w:val="768"/>
    <w:uiPriority w:val="99"/>
    <w:qFormat/>
    <w:rPr>
      <w:color w:val="404040"/>
    </w:rPr>
    <w:tblPr/>
  </w:style>
  <w:style w:type="table" w:styleId="1021">
    <w:name w:val="Lined - Accent 1"/>
    <w:basedOn w:val="779"/>
    <w:next w:val="1021"/>
    <w:link w:val="768"/>
    <w:uiPriority w:val="99"/>
    <w:qFormat/>
    <w:rPr>
      <w:color w:val="404040"/>
    </w:rPr>
    <w:tblPr/>
  </w:style>
  <w:style w:type="table" w:styleId="1022">
    <w:name w:val="Lined - Accent 2"/>
    <w:basedOn w:val="779"/>
    <w:next w:val="1022"/>
    <w:link w:val="768"/>
    <w:uiPriority w:val="99"/>
    <w:qFormat/>
    <w:rPr>
      <w:color w:val="404040"/>
    </w:rPr>
    <w:tblPr/>
  </w:style>
  <w:style w:type="table" w:styleId="1023">
    <w:name w:val="Lined - Accent 3"/>
    <w:basedOn w:val="779"/>
    <w:next w:val="1023"/>
    <w:link w:val="768"/>
    <w:uiPriority w:val="99"/>
    <w:qFormat/>
    <w:rPr>
      <w:color w:val="404040"/>
    </w:rPr>
    <w:tblPr/>
  </w:style>
  <w:style w:type="table" w:styleId="1024">
    <w:name w:val="Lined - Accent 4"/>
    <w:basedOn w:val="779"/>
    <w:next w:val="1024"/>
    <w:link w:val="768"/>
    <w:uiPriority w:val="99"/>
    <w:qFormat/>
    <w:rPr>
      <w:color w:val="404040"/>
    </w:rPr>
    <w:tblPr/>
  </w:style>
  <w:style w:type="table" w:styleId="1025">
    <w:name w:val="Lined - Accent 5"/>
    <w:basedOn w:val="779"/>
    <w:next w:val="1025"/>
    <w:link w:val="768"/>
    <w:uiPriority w:val="99"/>
    <w:qFormat/>
    <w:rPr>
      <w:color w:val="404040"/>
    </w:rPr>
    <w:tblPr/>
  </w:style>
  <w:style w:type="table" w:styleId="1026">
    <w:name w:val="Lined - Accent 6"/>
    <w:basedOn w:val="779"/>
    <w:next w:val="1026"/>
    <w:link w:val="768"/>
    <w:uiPriority w:val="99"/>
    <w:qFormat/>
    <w:rPr>
      <w:color w:val="404040"/>
    </w:rPr>
    <w:tblPr/>
  </w:style>
  <w:style w:type="table" w:styleId="1027">
    <w:name w:val="Bordered &amp; Lined - Accent"/>
    <w:basedOn w:val="779"/>
    <w:next w:val="1027"/>
    <w:link w:val="768"/>
    <w:uiPriority w:val="99"/>
    <w:qFormat/>
    <w:rPr>
      <w:color w:val="404040"/>
    </w:rPr>
    <w:tblPr/>
  </w:style>
  <w:style w:type="table" w:styleId="1028">
    <w:name w:val="Bordered &amp; Lined - Accent 1"/>
    <w:basedOn w:val="779"/>
    <w:next w:val="1028"/>
    <w:link w:val="768"/>
    <w:uiPriority w:val="99"/>
    <w:qFormat/>
    <w:rPr>
      <w:color w:val="404040"/>
    </w:rPr>
    <w:tblPr/>
  </w:style>
  <w:style w:type="table" w:styleId="1029">
    <w:name w:val="Bordered &amp; Lined - Accent 2"/>
    <w:basedOn w:val="779"/>
    <w:next w:val="1029"/>
    <w:link w:val="768"/>
    <w:uiPriority w:val="99"/>
    <w:qFormat/>
    <w:rPr>
      <w:color w:val="404040"/>
    </w:rPr>
    <w:tblPr/>
  </w:style>
  <w:style w:type="table" w:styleId="1030">
    <w:name w:val="Bordered &amp; Lined - Accent 3"/>
    <w:basedOn w:val="779"/>
    <w:next w:val="1030"/>
    <w:link w:val="768"/>
    <w:uiPriority w:val="99"/>
    <w:qFormat/>
    <w:rPr>
      <w:color w:val="404040"/>
    </w:rPr>
    <w:tblPr/>
  </w:style>
  <w:style w:type="table" w:styleId="1031">
    <w:name w:val="Bordered &amp; Lined - Accent 4"/>
    <w:basedOn w:val="779"/>
    <w:next w:val="1031"/>
    <w:link w:val="768"/>
    <w:uiPriority w:val="99"/>
    <w:qFormat/>
    <w:rPr>
      <w:color w:val="404040"/>
    </w:rPr>
    <w:tblPr/>
  </w:style>
  <w:style w:type="table" w:styleId="1032">
    <w:name w:val="Bordered &amp; Lined - Accent 5"/>
    <w:basedOn w:val="779"/>
    <w:next w:val="1032"/>
    <w:link w:val="768"/>
    <w:uiPriority w:val="99"/>
    <w:qFormat/>
    <w:rPr>
      <w:color w:val="404040"/>
    </w:rPr>
    <w:tblPr/>
  </w:style>
  <w:style w:type="table" w:styleId="1033">
    <w:name w:val="Bordered &amp; Lined - Accent 6"/>
    <w:basedOn w:val="779"/>
    <w:next w:val="1033"/>
    <w:link w:val="768"/>
    <w:uiPriority w:val="99"/>
    <w:qFormat/>
    <w:rPr>
      <w:color w:val="404040"/>
    </w:rPr>
    <w:tblPr/>
  </w:style>
  <w:style w:type="table" w:styleId="1034">
    <w:name w:val="Bordered"/>
    <w:basedOn w:val="779"/>
    <w:next w:val="1034"/>
    <w:link w:val="768"/>
    <w:uiPriority w:val="99"/>
    <w:qFormat/>
    <w:tblPr/>
  </w:style>
  <w:style w:type="table" w:styleId="1035">
    <w:name w:val="Bordered - Accent 1"/>
    <w:basedOn w:val="779"/>
    <w:next w:val="1035"/>
    <w:link w:val="768"/>
    <w:uiPriority w:val="99"/>
    <w:qFormat/>
    <w:tblPr/>
  </w:style>
  <w:style w:type="table" w:styleId="1036">
    <w:name w:val="Bordered - Accent 2"/>
    <w:basedOn w:val="779"/>
    <w:next w:val="1036"/>
    <w:link w:val="768"/>
    <w:uiPriority w:val="99"/>
    <w:qFormat/>
    <w:tblPr/>
  </w:style>
  <w:style w:type="table" w:styleId="1037">
    <w:name w:val="Bordered - Accent 3"/>
    <w:basedOn w:val="779"/>
    <w:next w:val="1037"/>
    <w:link w:val="768"/>
    <w:uiPriority w:val="99"/>
    <w:qFormat/>
    <w:tblPr/>
  </w:style>
  <w:style w:type="table" w:styleId="1038">
    <w:name w:val="Bordered - Accent 4"/>
    <w:basedOn w:val="779"/>
    <w:next w:val="1038"/>
    <w:link w:val="768"/>
    <w:uiPriority w:val="99"/>
    <w:qFormat/>
    <w:tblPr/>
  </w:style>
  <w:style w:type="table" w:styleId="1039">
    <w:name w:val="Bordered - Accent 5"/>
    <w:basedOn w:val="779"/>
    <w:next w:val="1039"/>
    <w:link w:val="768"/>
    <w:uiPriority w:val="99"/>
    <w:qFormat/>
    <w:tblPr/>
  </w:style>
  <w:style w:type="table" w:styleId="1040">
    <w:name w:val="Bordered - Accent 6"/>
    <w:basedOn w:val="779"/>
    <w:next w:val="1040"/>
    <w:link w:val="768"/>
    <w:uiPriority w:val="99"/>
    <w:qFormat/>
    <w:tblPr/>
  </w:style>
  <w:style w:type="paragraph" w:styleId="1041">
    <w:name w:val="TOC 标题11"/>
    <w:next w:val="1041"/>
    <w:link w:val="768"/>
    <w:uiPriority w:val="39"/>
    <w:unhideWhenUsed/>
    <w:qFormat/>
    <w:rPr>
      <w:lang w:val="en-US" w:eastAsia="zh-CN" w:bidi="ar-SA"/>
    </w:rPr>
  </w:style>
  <w:style w:type="paragraph" w:styleId="1042">
    <w:name w:val="Normal_0"/>
    <w:next w:val="1042"/>
    <w:link w:val="768"/>
    <w:qFormat/>
    <w:rPr>
      <w:rFonts w:ascii="黑体" w:hAnsi="黑体" w:eastAsia="黑体"/>
      <w:b/>
      <w:sz w:val="32"/>
      <w:szCs w:val="24"/>
      <w:lang w:val="en-US" w:eastAsia="zh-CN" w:bidi="ar-SA"/>
    </w:rPr>
  </w:style>
  <w:style w:type="paragraph" w:styleId="1043">
    <w:name w:val="正文1"/>
    <w:next w:val="788"/>
    <w:link w:val="768"/>
    <w:qFormat/>
    <w:rPr>
      <w:rFonts w:eastAsia="Times New Roman"/>
      <w:sz w:val="24"/>
      <w:szCs w:val="24"/>
      <w:lang w:val="en-US" w:eastAsia="zh-CN" w:bidi="ar-SA"/>
    </w:rPr>
  </w:style>
  <w:style w:type="paragraph" w:styleId="1044">
    <w:name w:val="Normal_0_3"/>
    <w:next w:val="1044"/>
    <w:link w:val="768"/>
    <w:qFormat/>
    <w:rPr>
      <w:rFonts w:ascii="黑体" w:hAnsi="黑体" w:eastAsia="黑体" w:cs="黑体"/>
      <w:b/>
      <w:sz w:val="32"/>
      <w:szCs w:val="24"/>
      <w:lang w:val="en-US" w:eastAsia="zh-CN" w:bidi="ar-SA"/>
    </w:rPr>
  </w:style>
  <w:style w:type="paragraph" w:styleId="1045">
    <w:name w:val="正文首行缩进 2_0"/>
    <w:basedOn w:val="1046"/>
    <w:next w:val="1045"/>
    <w:link w:val="768"/>
    <w:qFormat/>
    <w:pPr>
      <w:ind w:left="200" w:firstLine="200"/>
      <w:spacing w:after="120"/>
    </w:pPr>
    <w:rPr>
      <w:rFonts w:ascii="Times New Roman" w:hAnsi="Times New Roman"/>
      <w:sz w:val="24"/>
      <w:szCs w:val="24"/>
    </w:rPr>
  </w:style>
  <w:style w:type="paragraph" w:styleId="1046">
    <w:name w:val="正文文本缩进_0"/>
    <w:basedOn w:val="1047"/>
    <w:next w:val="1046"/>
    <w:link w:val="768"/>
    <w:qFormat/>
    <w:pPr>
      <w:ind w:firstLine="225"/>
    </w:pPr>
    <w:rPr>
      <w:rFonts w:ascii="仿宋_GB2312" w:eastAsia="仿宋_GB2312"/>
      <w:sz w:val="32"/>
    </w:rPr>
  </w:style>
  <w:style w:type="paragraph" w:styleId="1047">
    <w:name w:val="正文_2"/>
    <w:next w:val="1047"/>
    <w:link w:val="768"/>
    <w:qFormat/>
    <w:pPr>
      <w:jc w:val="both"/>
      <w:widowControl w:val="off"/>
    </w:pPr>
    <w:rPr>
      <w:rFonts w:ascii="Calibri" w:hAnsi="Calibri"/>
      <w:sz w:val="21"/>
      <w:szCs w:val="22"/>
      <w:lang w:val="en-US" w:eastAsia="zh-CN" w:bidi="ar-SA"/>
    </w:rPr>
  </w:style>
  <w:style w:type="paragraph" w:styleId="1048">
    <w:name w:val="正文文本_0"/>
    <w:basedOn w:val="908"/>
    <w:next w:val="1047"/>
    <w:link w:val="768"/>
    <w:qFormat/>
    <w:pPr>
      <w:spacing w:line="60" w:lineRule="auto"/>
    </w:pPr>
    <w:rPr>
      <w:rFonts w:ascii="仿宋_GB2312" w:eastAsia="仿宋_GB2312"/>
      <w:sz w:val="32"/>
    </w:rPr>
  </w:style>
  <w:style w:type="paragraph" w:styleId="1049">
    <w:name w:val="Normal_0_2"/>
    <w:next w:val="1050"/>
    <w:link w:val="768"/>
    <w:qFormat/>
    <w:rPr>
      <w:rFonts w:ascii="黑体" w:hAnsi="黑体" w:eastAsia="黑体" w:cs="黑体"/>
      <w:b/>
      <w:sz w:val="32"/>
      <w:szCs w:val="24"/>
      <w:lang w:val="en-US" w:eastAsia="zh-CN" w:bidi="ar-SA"/>
    </w:rPr>
  </w:style>
  <w:style w:type="paragraph" w:styleId="1050">
    <w:name w:val="Body Text First Indent_1"/>
    <w:basedOn w:val="787"/>
    <w:next w:val="1050"/>
    <w:link w:val="768"/>
    <w:uiPriority w:val="99"/>
    <w:unhideWhenUsed/>
    <w:qFormat/>
    <w:pPr>
      <w:ind w:firstLine="420"/>
      <w:spacing w:after="120"/>
    </w:pPr>
    <w:rPr>
      <w:rFonts w:eastAsia="Times New Roman"/>
      <w:sz w:val="20"/>
    </w:rPr>
  </w:style>
  <w:style w:type="paragraph" w:styleId="1051">
    <w:name w:val="Normal_1_2"/>
    <w:next w:val="1051"/>
    <w:link w:val="768"/>
    <w:qFormat/>
    <w:rPr>
      <w:rFonts w:eastAsia="Times New Roman"/>
      <w:sz w:val="24"/>
      <w:szCs w:val="24"/>
      <w:lang w:val="en-US" w:eastAsia="zh-CN" w:bidi="ar-SA"/>
    </w:rPr>
  </w:style>
  <w:style w:type="paragraph" w:styleId="1052">
    <w:name w:val="Normal_0_1"/>
    <w:next w:val="1053"/>
    <w:link w:val="768"/>
    <w:qFormat/>
    <w:rPr>
      <w:rFonts w:ascii="黑体" w:hAnsi="黑体" w:eastAsia="黑体" w:cs="黑体"/>
      <w:b/>
      <w:sz w:val="32"/>
      <w:szCs w:val="24"/>
      <w:lang w:val="en-US" w:eastAsia="zh-CN" w:bidi="ar-SA"/>
    </w:rPr>
  </w:style>
  <w:style w:type="paragraph" w:styleId="1053">
    <w:name w:val="Body Text First Indent_0"/>
    <w:basedOn w:val="1054"/>
    <w:next w:val="1053"/>
    <w:link w:val="768"/>
    <w:uiPriority w:val="99"/>
    <w:unhideWhenUsed/>
    <w:qFormat/>
    <w:pPr>
      <w:ind w:firstLine="420"/>
      <w:spacing w:after="120"/>
    </w:pPr>
    <w:rPr>
      <w:rFonts w:eastAsia="Times New Roman"/>
    </w:rPr>
  </w:style>
  <w:style w:type="paragraph" w:styleId="1054">
    <w:name w:val="正文3"/>
    <w:next w:val="1055"/>
    <w:link w:val="768"/>
    <w:qFormat/>
    <w:rPr>
      <w:rFonts w:eastAsia="Times New Roman"/>
      <w:sz w:val="24"/>
      <w:szCs w:val="24"/>
      <w:lang w:val="en-US" w:eastAsia="zh-CN" w:bidi="ar-SA"/>
    </w:rPr>
  </w:style>
  <w:style w:type="paragraph" w:styleId="1055">
    <w:name w:val="正文首行缩进3"/>
    <w:basedOn w:val="1043"/>
    <w:next w:val="1055"/>
    <w:link w:val="768"/>
    <w:uiPriority w:val="99"/>
    <w:unhideWhenUsed/>
    <w:qFormat/>
    <w:pPr>
      <w:ind w:firstLine="420"/>
      <w:spacing w:after="120"/>
    </w:pPr>
    <w:rPr>
      <w:sz w:val="20"/>
    </w:rPr>
  </w:style>
  <w:style w:type="paragraph" w:styleId="1056">
    <w:name w:val="Normal_1_1"/>
    <w:next w:val="1056"/>
    <w:link w:val="768"/>
    <w:qFormat/>
    <w:rPr>
      <w:rFonts w:ascii="黑体" w:hAnsi="黑体" w:eastAsia="黑体" w:cs="黑体"/>
      <w:b/>
      <w:sz w:val="32"/>
      <w:szCs w:val="24"/>
      <w:lang w:val="en-US" w:eastAsia="zh-CN" w:bidi="ar-SA"/>
    </w:rPr>
  </w:style>
  <w:style w:type="paragraph" w:styleId="1057">
    <w:name w:val="正文_0_1"/>
    <w:next w:val="1057"/>
    <w:link w:val="768"/>
    <w:qFormat/>
    <w:pPr>
      <w:jc w:val="both"/>
      <w:widowControl w:val="off"/>
    </w:pPr>
    <w:rPr>
      <w:rFonts w:ascii="Calibri" w:hAnsi="Calibri"/>
      <w:sz w:val="21"/>
      <w:szCs w:val="22"/>
      <w:lang w:val="en-US" w:eastAsia="zh-CN" w:bidi="ar-SA"/>
    </w:rPr>
  </w:style>
  <w:style w:type="paragraph" w:styleId="1058">
    <w:name w:val="正文_1_1"/>
    <w:next w:val="1058"/>
    <w:link w:val="768"/>
    <w:qFormat/>
    <w:pPr>
      <w:jc w:val="both"/>
      <w:widowControl w:val="off"/>
    </w:pPr>
    <w:rPr>
      <w:rFonts w:ascii="Calibri" w:hAnsi="Calibri"/>
      <w:sz w:val="21"/>
      <w:szCs w:val="22"/>
      <w:lang w:val="en-US" w:eastAsia="zh-CN" w:bidi="ar-SA"/>
    </w:rPr>
  </w:style>
  <w:style w:type="paragraph" w:styleId="1059">
    <w:name w:val="Normal_2_0"/>
    <w:next w:val="1059"/>
    <w:link w:val="768"/>
    <w:qFormat/>
    <w:rPr>
      <w:rFonts w:ascii="黑体" w:hAnsi="黑体" w:eastAsia="黑体" w:cs="黑体"/>
      <w:b/>
      <w:sz w:val="32"/>
      <w:szCs w:val="24"/>
      <w:lang w:val="en-US" w:eastAsia="zh-CN" w:bidi="ar-SA"/>
    </w:rPr>
  </w:style>
  <w:style w:type="paragraph" w:styleId="1060">
    <w:name w:val="Normal_3_0"/>
    <w:next w:val="1060"/>
    <w:link w:val="768"/>
    <w:qFormat/>
    <w:pPr>
      <w:jc w:val="both"/>
      <w:widowControl w:val="off"/>
    </w:pPr>
    <w:rPr>
      <w:rFonts w:ascii="Calibri" w:hAnsi="Calibri"/>
      <w:sz w:val="21"/>
      <w:szCs w:val="22"/>
      <w:lang w:val="en-US" w:eastAsia="zh-CN" w:bidi="ar-SA"/>
    </w:rPr>
  </w:style>
  <w:style w:type="paragraph" w:styleId="1061">
    <w:name w:val="Normal_4_0"/>
    <w:next w:val="1061"/>
    <w:link w:val="768"/>
    <w:qFormat/>
    <w:rPr>
      <w:rFonts w:ascii="黑体" w:hAnsi="黑体" w:eastAsia="黑体" w:cs="黑体"/>
      <w:b/>
      <w:sz w:val="32"/>
      <w:szCs w:val="24"/>
      <w:lang w:val="en-US" w:eastAsia="zh-CN" w:bidi="ar-SA"/>
    </w:rPr>
  </w:style>
  <w:style w:type="paragraph" w:styleId="1062">
    <w:name w:val="Normal_5_0"/>
    <w:next w:val="1062"/>
    <w:link w:val="768"/>
    <w:qFormat/>
    <w:pPr>
      <w:jc w:val="both"/>
      <w:widowControl w:val="off"/>
    </w:pPr>
    <w:rPr>
      <w:rFonts w:ascii="Calibri" w:hAnsi="Calibri"/>
      <w:sz w:val="21"/>
      <w:szCs w:val="22"/>
      <w:lang w:val="en-US" w:eastAsia="zh-CN" w:bidi="ar-SA"/>
    </w:rPr>
  </w:style>
  <w:style w:type="paragraph" w:styleId="1063">
    <w:name w:val="Normal_6_0"/>
    <w:next w:val="1063"/>
    <w:link w:val="768"/>
    <w:qFormat/>
    <w:rPr>
      <w:rFonts w:ascii="黑体" w:hAnsi="黑体" w:eastAsia="黑体" w:cs="黑体"/>
      <w:b/>
      <w:sz w:val="32"/>
      <w:szCs w:val="24"/>
      <w:lang w:val="en-US" w:eastAsia="zh-CN" w:bidi="ar-SA"/>
    </w:rPr>
  </w:style>
  <w:style w:type="paragraph" w:styleId="1064">
    <w:name w:val="正文_1_0_0"/>
    <w:next w:val="1064"/>
    <w:link w:val="768"/>
    <w:qFormat/>
    <w:pPr>
      <w:jc w:val="both"/>
      <w:widowControl w:val="off"/>
    </w:pPr>
    <w:rPr>
      <w:sz w:val="21"/>
      <w:lang w:val="en-US" w:eastAsia="zh-CN" w:bidi="ar-SA"/>
    </w:rPr>
  </w:style>
  <w:style w:type="paragraph" w:styleId="1065">
    <w:name w:val="正文_0_0_0_0"/>
    <w:next w:val="1065"/>
    <w:link w:val="768"/>
    <w:qFormat/>
    <w:pPr>
      <w:jc w:val="both"/>
      <w:widowControl w:val="off"/>
    </w:pPr>
    <w:rPr>
      <w:sz w:val="21"/>
      <w:szCs w:val="24"/>
      <w:lang w:val="en-US" w:eastAsia="zh-CN" w:bidi="ar-SA"/>
    </w:rPr>
  </w:style>
  <w:style w:type="paragraph" w:styleId="1066">
    <w:name w:val="正文_1_0_0_0"/>
    <w:next w:val="1066"/>
    <w:link w:val="768"/>
    <w:qFormat/>
    <w:pPr>
      <w:jc w:val="both"/>
      <w:widowControl w:val="off"/>
    </w:pPr>
    <w:rPr>
      <w:sz w:val="21"/>
      <w:lang w:val="en-US" w:eastAsia="zh-CN" w:bidi="ar-SA"/>
    </w:rPr>
  </w:style>
  <w:style w:type="paragraph" w:styleId="1067">
    <w:name w:val="Normal_7_0"/>
    <w:next w:val="1067"/>
    <w:link w:val="768"/>
    <w:qFormat/>
    <w:rPr>
      <w:rFonts w:ascii="黑体" w:hAnsi="黑体" w:eastAsia="黑体" w:cs="黑体"/>
      <w:b/>
      <w:sz w:val="32"/>
      <w:szCs w:val="24"/>
      <w:lang w:val="en-US" w:eastAsia="zh-CN" w:bidi="ar-SA"/>
    </w:rPr>
  </w:style>
  <w:style w:type="paragraph" w:styleId="1068">
    <w:name w:val="Normal_8_0"/>
    <w:next w:val="1068"/>
    <w:link w:val="768"/>
    <w:qFormat/>
    <w:rPr>
      <w:rFonts w:eastAsia="Times New Roman"/>
      <w:sz w:val="24"/>
      <w:szCs w:val="24"/>
      <w:lang w:val="en-US" w:eastAsia="zh-CN" w:bidi="ar-SA"/>
    </w:rPr>
  </w:style>
  <w:style w:type="paragraph" w:styleId="1069">
    <w:name w:val="Normal_9_0"/>
    <w:next w:val="1069"/>
    <w:link w:val="768"/>
    <w:qFormat/>
    <w:rPr>
      <w:rFonts w:eastAsia="Times New Roman"/>
      <w:sz w:val="24"/>
      <w:szCs w:val="24"/>
      <w:lang w:val="en-US" w:eastAsia="zh-CN" w:bidi="ar-SA"/>
    </w:rPr>
  </w:style>
  <w:style w:type="paragraph" w:styleId="1070">
    <w:name w:val="Normal_10_0"/>
    <w:next w:val="1070"/>
    <w:link w:val="768"/>
    <w:qFormat/>
    <w:rPr>
      <w:rFonts w:ascii="黑体" w:hAnsi="黑体" w:eastAsia="黑体" w:cs="黑体"/>
      <w:b/>
      <w:sz w:val="32"/>
      <w:szCs w:val="24"/>
      <w:lang w:val="en-US" w:eastAsia="zh-CN" w:bidi="ar-SA"/>
    </w:rPr>
  </w:style>
  <w:style w:type="paragraph" w:styleId="1071">
    <w:name w:val="正文_3"/>
    <w:next w:val="1072"/>
    <w:link w:val="768"/>
    <w:qFormat/>
    <w:pPr>
      <w:jc w:val="both"/>
      <w:widowControl w:val="off"/>
    </w:pPr>
    <w:rPr>
      <w:rFonts w:ascii="Calibri" w:hAnsi="Calibri"/>
      <w:sz w:val="21"/>
      <w:szCs w:val="22"/>
      <w:lang w:val="en-US" w:eastAsia="zh-CN" w:bidi="ar-SA"/>
    </w:rPr>
  </w:style>
  <w:style w:type="paragraph" w:styleId="1072">
    <w:name w:val="正文首行缩进 2_1"/>
    <w:basedOn w:val="1073"/>
    <w:next w:val="1075"/>
    <w:link w:val="768"/>
    <w:qFormat/>
    <w:pPr>
      <w:ind w:left="200" w:firstLine="200"/>
      <w:spacing w:after="120"/>
    </w:pPr>
    <w:rPr>
      <w:rFonts w:ascii="Times New Roman"/>
      <w:szCs w:val="24"/>
    </w:rPr>
  </w:style>
  <w:style w:type="paragraph" w:styleId="1073">
    <w:name w:val="正文文本缩进_1"/>
    <w:basedOn w:val="1074"/>
    <w:next w:val="1072"/>
    <w:link w:val="768"/>
    <w:qFormat/>
    <w:pPr>
      <w:ind w:firstLine="225"/>
    </w:pPr>
    <w:rPr>
      <w:rFonts w:ascii="仿宋_GB2312" w:eastAsia="仿宋_GB2312"/>
      <w:sz w:val="32"/>
    </w:rPr>
  </w:style>
  <w:style w:type="paragraph" w:styleId="1074">
    <w:name w:val="正文_18"/>
    <w:next w:val="1073"/>
    <w:link w:val="768"/>
    <w:qFormat/>
    <w:pPr>
      <w:jc w:val="both"/>
      <w:widowControl w:val="off"/>
    </w:pPr>
    <w:rPr>
      <w:rFonts w:ascii="Calibri" w:hAnsi="Calibri"/>
      <w:sz w:val="21"/>
      <w:szCs w:val="22"/>
      <w:lang w:val="en-US" w:eastAsia="zh-CN" w:bidi="ar-SA"/>
    </w:rPr>
  </w:style>
  <w:style w:type="paragraph" w:styleId="1075">
    <w:name w:val="xl53_0"/>
    <w:next w:val="1071"/>
    <w:link w:val="768"/>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076">
    <w:name w:val="正文_4_0"/>
    <w:next w:val="1076"/>
    <w:link w:val="768"/>
    <w:qFormat/>
    <w:pPr>
      <w:jc w:val="both"/>
      <w:widowControl w:val="off"/>
    </w:pPr>
    <w:rPr>
      <w:rFonts w:ascii="Calibri" w:hAnsi="Calibri"/>
      <w:sz w:val="21"/>
      <w:szCs w:val="22"/>
      <w:lang w:val="en-US" w:eastAsia="zh-CN" w:bidi="ar-SA"/>
    </w:rPr>
  </w:style>
  <w:style w:type="paragraph" w:styleId="1077">
    <w:name w:val="Normal_11_0"/>
    <w:next w:val="1077"/>
    <w:link w:val="768"/>
    <w:qFormat/>
    <w:rPr>
      <w:rFonts w:ascii="黑体" w:hAnsi="黑体" w:eastAsia="黑体" w:cs="黑体"/>
      <w:b/>
      <w:sz w:val="32"/>
      <w:szCs w:val="24"/>
      <w:lang w:val="en-US" w:eastAsia="zh-CN" w:bidi="ar-SA"/>
    </w:rPr>
  </w:style>
  <w:style w:type="paragraph" w:styleId="1078">
    <w:name w:val="Normal_12_0"/>
    <w:next w:val="1078"/>
    <w:link w:val="768"/>
    <w:qFormat/>
    <w:pPr>
      <w:jc w:val="both"/>
      <w:widowControl w:val="off"/>
    </w:pPr>
    <w:rPr>
      <w:rFonts w:ascii="Calibri" w:hAnsi="Calibri"/>
      <w:sz w:val="21"/>
      <w:szCs w:val="22"/>
      <w:lang w:val="en-US" w:eastAsia="zh-CN" w:bidi="ar-SA"/>
    </w:rPr>
  </w:style>
  <w:style w:type="paragraph" w:styleId="1079">
    <w:name w:val="正文_9_0"/>
    <w:next w:val="1079"/>
    <w:link w:val="768"/>
    <w:qFormat/>
    <w:pPr>
      <w:jc w:val="both"/>
      <w:widowControl w:val="off"/>
    </w:pPr>
    <w:rPr>
      <w:rFonts w:ascii="Calibri" w:hAnsi="Calibri"/>
      <w:sz w:val="21"/>
      <w:szCs w:val="22"/>
      <w:lang w:val="en-US" w:eastAsia="zh-CN" w:bidi="ar-SA"/>
    </w:rPr>
  </w:style>
  <w:style w:type="paragraph" w:styleId="1080">
    <w:name w:val="正文_8_1"/>
    <w:next w:val="1080"/>
    <w:link w:val="768"/>
    <w:qFormat/>
    <w:pPr>
      <w:jc w:val="both"/>
      <w:widowControl w:val="off"/>
    </w:pPr>
    <w:rPr>
      <w:rFonts w:ascii="Calibri" w:hAnsi="Calibri"/>
      <w:sz w:val="21"/>
      <w:szCs w:val="22"/>
      <w:lang w:val="en-US" w:eastAsia="zh-CN" w:bidi="ar-SA"/>
    </w:rPr>
  </w:style>
  <w:style w:type="paragraph" w:styleId="1081">
    <w:name w:val="正文_1_0_0_0_0"/>
    <w:next w:val="1081"/>
    <w:link w:val="768"/>
    <w:qFormat/>
    <w:pPr>
      <w:jc w:val="both"/>
      <w:widowControl w:val="off"/>
    </w:pPr>
    <w:rPr>
      <w:sz w:val="21"/>
      <w:lang w:val="en-US" w:eastAsia="zh-CN" w:bidi="ar-SA"/>
    </w:rPr>
  </w:style>
  <w:style w:type="paragraph" w:styleId="1082">
    <w:name w:val="列出段落_2"/>
    <w:basedOn w:val="1080"/>
    <w:next w:val="1082"/>
    <w:link w:val="768"/>
    <w:uiPriority w:val="34"/>
    <w:qFormat/>
    <w:pPr>
      <w:ind w:firstLine="420"/>
    </w:pPr>
  </w:style>
  <w:style w:type="paragraph" w:styleId="1083">
    <w:name w:val="Normal_13_0"/>
    <w:next w:val="1083"/>
    <w:link w:val="768"/>
    <w:qFormat/>
    <w:rPr>
      <w:rFonts w:ascii="黑体" w:hAnsi="黑体" w:eastAsia="黑体" w:cs="黑体"/>
      <w:b/>
      <w:sz w:val="32"/>
      <w:szCs w:val="24"/>
      <w:lang w:val="en-US" w:eastAsia="zh-CN" w:bidi="ar-SA"/>
    </w:rPr>
  </w:style>
  <w:style w:type="paragraph" w:styleId="1084">
    <w:name w:val="正文_7_1_0"/>
    <w:next w:val="1084"/>
    <w:link w:val="768"/>
    <w:qFormat/>
    <w:pPr>
      <w:jc w:val="both"/>
      <w:widowControl w:val="off"/>
    </w:pPr>
    <w:rPr>
      <w:rFonts w:ascii="Calibri" w:hAnsi="Calibri"/>
      <w:sz w:val="21"/>
      <w:szCs w:val="22"/>
      <w:lang w:val="en-US" w:eastAsia="zh-CN" w:bidi="ar-SA"/>
    </w:rPr>
  </w:style>
  <w:style w:type="paragraph" w:styleId="1085">
    <w:name w:val="纯文本_0_0"/>
    <w:basedOn w:val="1084"/>
    <w:next w:val="1085"/>
    <w:link w:val="768"/>
    <w:unhideWhenUsed/>
    <w:qFormat/>
    <w:rPr>
      <w:rFonts w:ascii="宋体" w:hAnsi="Courier New"/>
      <w:szCs w:val="21"/>
    </w:rPr>
  </w:style>
  <w:style w:type="paragraph" w:styleId="1086">
    <w:name w:val="正文_8_0"/>
    <w:next w:val="1086"/>
    <w:link w:val="768"/>
    <w:qFormat/>
    <w:pPr>
      <w:jc w:val="both"/>
      <w:widowControl w:val="off"/>
    </w:pPr>
    <w:rPr>
      <w:rFonts w:ascii="Calibri" w:hAnsi="Calibri"/>
      <w:sz w:val="21"/>
      <w:szCs w:val="22"/>
      <w:lang w:val="en-US" w:eastAsia="zh-CN" w:bidi="ar-SA"/>
    </w:rPr>
  </w:style>
  <w:style w:type="paragraph" w:styleId="1087">
    <w:name w:val="Normal_14_0"/>
    <w:next w:val="1087"/>
    <w:link w:val="768"/>
    <w:qFormat/>
    <w:rPr>
      <w:rFonts w:ascii="黑体" w:hAnsi="黑体" w:eastAsia="黑体" w:cs="黑体"/>
      <w:b/>
      <w:sz w:val="32"/>
      <w:szCs w:val="24"/>
      <w:lang w:val="en-US" w:eastAsia="zh-CN" w:bidi="ar-SA"/>
    </w:rPr>
  </w:style>
  <w:style w:type="paragraph" w:styleId="1088">
    <w:name w:val="正文_6_0"/>
    <w:next w:val="1088"/>
    <w:link w:val="768"/>
    <w:qFormat/>
    <w:pPr>
      <w:jc w:val="both"/>
      <w:widowControl w:val="off"/>
    </w:pPr>
    <w:rPr>
      <w:rFonts w:ascii="Calibri" w:hAnsi="Calibri"/>
      <w:sz w:val="21"/>
      <w:szCs w:val="22"/>
      <w:lang w:val="en-US" w:eastAsia="zh-CN" w:bidi="ar-SA"/>
    </w:rPr>
  </w:style>
  <w:style w:type="paragraph" w:styleId="1089">
    <w:name w:val="Normal_15_0"/>
    <w:next w:val="1089"/>
    <w:link w:val="768"/>
    <w:qFormat/>
    <w:rPr>
      <w:rFonts w:ascii="黑体" w:hAnsi="黑体" w:eastAsia="黑体" w:cs="黑体"/>
      <w:b/>
      <w:sz w:val="32"/>
      <w:szCs w:val="24"/>
      <w:lang w:val="en-US" w:eastAsia="zh-CN" w:bidi="ar-SA"/>
    </w:rPr>
  </w:style>
  <w:style w:type="paragraph" w:styleId="1090">
    <w:name w:val="正文_7_0"/>
    <w:next w:val="1090"/>
    <w:link w:val="768"/>
    <w:qFormat/>
    <w:pPr>
      <w:jc w:val="both"/>
      <w:widowControl w:val="off"/>
    </w:pPr>
    <w:rPr>
      <w:rFonts w:ascii="Calibri" w:hAnsi="Calibri"/>
      <w:sz w:val="21"/>
      <w:szCs w:val="22"/>
      <w:lang w:val="en-US" w:eastAsia="zh-CN" w:bidi="ar-SA"/>
    </w:rPr>
  </w:style>
  <w:style w:type="paragraph" w:styleId="1091">
    <w:name w:val="正文_9_1"/>
    <w:next w:val="1091"/>
    <w:link w:val="768"/>
    <w:qFormat/>
    <w:pPr>
      <w:jc w:val="both"/>
      <w:widowControl w:val="off"/>
    </w:pPr>
    <w:rPr>
      <w:sz w:val="21"/>
      <w:szCs w:val="24"/>
      <w:lang w:val="en-US" w:eastAsia="zh-CN" w:bidi="ar-SA"/>
    </w:rPr>
  </w:style>
  <w:style w:type="paragraph" w:styleId="1092">
    <w:name w:val="Normal_16_0"/>
    <w:next w:val="1092"/>
    <w:link w:val="768"/>
    <w:qFormat/>
    <w:rPr>
      <w:rFonts w:ascii="黑体" w:hAnsi="黑体" w:eastAsia="黑体" w:cs="黑体"/>
      <w:b/>
      <w:sz w:val="32"/>
      <w:szCs w:val="24"/>
      <w:lang w:val="en-US" w:eastAsia="zh-CN" w:bidi="ar-SA"/>
    </w:rPr>
  </w:style>
  <w:style w:type="paragraph" w:styleId="1093">
    <w:name w:val="正文_10_0"/>
    <w:next w:val="1093"/>
    <w:link w:val="768"/>
    <w:qFormat/>
    <w:pPr>
      <w:jc w:val="both"/>
      <w:widowControl w:val="off"/>
    </w:pPr>
    <w:rPr>
      <w:sz w:val="21"/>
      <w:szCs w:val="24"/>
      <w:lang w:val="en-US" w:eastAsia="zh-CN" w:bidi="ar-SA"/>
    </w:rPr>
  </w:style>
  <w:style w:type="paragraph" w:styleId="1094">
    <w:name w:val="Normal_17_0"/>
    <w:next w:val="1094"/>
    <w:link w:val="768"/>
    <w:qFormat/>
    <w:rPr>
      <w:rFonts w:ascii="黑体" w:hAnsi="黑体" w:eastAsia="黑体" w:cs="黑体"/>
      <w:b/>
      <w:sz w:val="32"/>
      <w:szCs w:val="24"/>
      <w:lang w:val="en-US" w:eastAsia="zh-CN" w:bidi="ar-SA"/>
    </w:rPr>
  </w:style>
  <w:style w:type="paragraph" w:styleId="1095">
    <w:name w:val="正文_10_0_0"/>
    <w:next w:val="1095"/>
    <w:link w:val="768"/>
    <w:qFormat/>
    <w:pPr>
      <w:jc w:val="both"/>
      <w:widowControl w:val="off"/>
    </w:pPr>
    <w:rPr>
      <w:sz w:val="21"/>
      <w:szCs w:val="24"/>
      <w:lang w:val="en-US" w:eastAsia="zh-CN" w:bidi="ar-SA"/>
    </w:rPr>
  </w:style>
  <w:style w:type="paragraph" w:styleId="1096">
    <w:name w:val="Normal_18_0"/>
    <w:next w:val="1096"/>
    <w:link w:val="768"/>
    <w:qFormat/>
    <w:rPr>
      <w:rFonts w:ascii="黑体" w:hAnsi="黑体" w:eastAsia="黑体" w:cs="黑体"/>
      <w:b/>
      <w:sz w:val="32"/>
      <w:szCs w:val="24"/>
      <w:lang w:val="en-US" w:eastAsia="zh-CN" w:bidi="ar-SA"/>
    </w:rPr>
  </w:style>
  <w:style w:type="paragraph" w:styleId="1097">
    <w:name w:val="正文_12_0"/>
    <w:next w:val="1097"/>
    <w:link w:val="768"/>
    <w:qFormat/>
    <w:pPr>
      <w:jc w:val="both"/>
      <w:widowControl w:val="off"/>
    </w:pPr>
    <w:rPr>
      <w:rFonts w:ascii="Calibri" w:hAnsi="Calibri"/>
      <w:sz w:val="21"/>
      <w:szCs w:val="22"/>
      <w:lang w:val="en-US" w:eastAsia="zh-CN" w:bidi="ar-SA"/>
    </w:rPr>
  </w:style>
  <w:style w:type="paragraph" w:styleId="1098">
    <w:name w:val="正文_9_1_0"/>
    <w:next w:val="1098"/>
    <w:link w:val="768"/>
    <w:qFormat/>
    <w:pPr>
      <w:jc w:val="both"/>
      <w:widowControl w:val="off"/>
    </w:pPr>
    <w:rPr>
      <w:sz w:val="21"/>
      <w:szCs w:val="24"/>
      <w:lang w:val="en-US" w:eastAsia="zh-CN" w:bidi="ar-SA"/>
    </w:rPr>
  </w:style>
  <w:style w:type="paragraph" w:styleId="1099">
    <w:name w:val="Normal_14_0_0"/>
    <w:next w:val="1099"/>
    <w:link w:val="768"/>
    <w:qFormat/>
    <w:rPr>
      <w:rFonts w:ascii="黑体" w:hAnsi="黑体" w:eastAsia="黑体"/>
      <w:b/>
      <w:sz w:val="32"/>
      <w:szCs w:val="24"/>
      <w:lang w:val="en-US" w:eastAsia="zh-CN" w:bidi="ar-SA"/>
    </w:rPr>
  </w:style>
  <w:style w:type="paragraph" w:styleId="1100">
    <w:name w:val="正文_12_0_0"/>
    <w:next w:val="1100"/>
    <w:link w:val="768"/>
    <w:qFormat/>
    <w:pPr>
      <w:jc w:val="both"/>
      <w:widowControl w:val="off"/>
    </w:pPr>
    <w:rPr>
      <w:sz w:val="21"/>
      <w:szCs w:val="24"/>
      <w:lang w:val="en-US" w:eastAsia="zh-CN" w:bidi="ar-SA"/>
    </w:rPr>
  </w:style>
  <w:style w:type="paragraph" w:styleId="1101">
    <w:name w:val="正文_12_0_0_0"/>
    <w:next w:val="1101"/>
    <w:link w:val="768"/>
    <w:qFormat/>
    <w:pPr>
      <w:jc w:val="both"/>
      <w:widowControl w:val="off"/>
    </w:pPr>
    <w:rPr>
      <w:sz w:val="21"/>
      <w:szCs w:val="24"/>
      <w:lang w:val="en-US" w:eastAsia="zh-CN" w:bidi="ar-SA"/>
    </w:rPr>
  </w:style>
  <w:style w:type="paragraph" w:styleId="1102">
    <w:name w:val="正文_13_0"/>
    <w:next w:val="1102"/>
    <w:link w:val="768"/>
    <w:qFormat/>
    <w:pPr>
      <w:jc w:val="both"/>
      <w:widowControl w:val="off"/>
    </w:pPr>
    <w:rPr>
      <w:rFonts w:ascii="Calibri" w:hAnsi="Calibri"/>
      <w:sz w:val="21"/>
      <w:szCs w:val="22"/>
      <w:lang w:val="en-US" w:eastAsia="zh-CN" w:bidi="ar-SA"/>
    </w:rPr>
  </w:style>
  <w:style w:type="paragraph" w:styleId="1103">
    <w:name w:val="正文_13_0_0"/>
    <w:next w:val="1103"/>
    <w:link w:val="768"/>
    <w:qFormat/>
    <w:pPr>
      <w:jc w:val="both"/>
      <w:widowControl w:val="off"/>
    </w:pPr>
    <w:rPr>
      <w:sz w:val="21"/>
      <w:szCs w:val="24"/>
      <w:lang w:val="en-US" w:eastAsia="zh-CN" w:bidi="ar-SA"/>
    </w:rPr>
  </w:style>
  <w:style w:type="paragraph" w:styleId="1104">
    <w:name w:val="正文_14_0"/>
    <w:next w:val="1104"/>
    <w:link w:val="768"/>
    <w:qFormat/>
    <w:pPr>
      <w:jc w:val="both"/>
      <w:widowControl w:val="off"/>
    </w:pPr>
    <w:rPr>
      <w:rFonts w:ascii="Calibri" w:hAnsi="Calibri"/>
      <w:sz w:val="21"/>
      <w:szCs w:val="22"/>
      <w:lang w:val="en-US" w:eastAsia="zh-CN" w:bidi="ar-SA"/>
    </w:rPr>
  </w:style>
  <w:style w:type="paragraph" w:styleId="1105">
    <w:name w:val="正文_14_0_0"/>
    <w:next w:val="1105"/>
    <w:link w:val="768"/>
    <w:qFormat/>
    <w:pPr>
      <w:jc w:val="both"/>
      <w:widowControl w:val="off"/>
    </w:pPr>
    <w:rPr>
      <w:sz w:val="21"/>
      <w:szCs w:val="24"/>
      <w:lang w:val="en-US" w:eastAsia="zh-CN" w:bidi="ar-SA"/>
    </w:rPr>
  </w:style>
  <w:style w:type="paragraph" w:styleId="1106">
    <w:name w:val="Normal Indent_0"/>
    <w:basedOn w:val="864"/>
    <w:next w:val="1106"/>
    <w:link w:val="768"/>
    <w:qFormat/>
    <w:pPr>
      <w:ind w:firstLine="420"/>
    </w:pPr>
    <w:rPr>
      <w:rFonts w:ascii="宋体" w:eastAsia="Times New Roman"/>
      <w:color w:val="000000"/>
      <w:sz w:val="24"/>
      <w:szCs w:val="20"/>
    </w:rPr>
  </w:style>
  <w:style w:type="paragraph" w:styleId="1107">
    <w:name w:val="Heading 3_0"/>
    <w:basedOn w:val="864"/>
    <w:next w:val="864"/>
    <w:link w:val="768"/>
    <w:qFormat/>
    <w:pPr>
      <w:keepLines/>
      <w:keepNext/>
      <w:spacing w:before="260" w:after="260" w:line="413" w:lineRule="auto"/>
      <w:outlineLvl w:val="2"/>
    </w:pPr>
    <w:rPr>
      <w:rFonts w:ascii="Times New Roman" w:hAnsi="Times New Roman" w:eastAsia="Times New Roman"/>
      <w:szCs w:val="20"/>
    </w:rPr>
  </w:style>
  <w:style w:type="paragraph" w:styleId="1108">
    <w:name w:val="正文_15_0"/>
    <w:next w:val="1108"/>
    <w:link w:val="768"/>
    <w:qFormat/>
    <w:pPr>
      <w:jc w:val="both"/>
      <w:widowControl w:val="off"/>
    </w:pPr>
    <w:rPr>
      <w:rFonts w:ascii="Calibri" w:hAnsi="Calibri"/>
      <w:sz w:val="21"/>
      <w:szCs w:val="22"/>
      <w:lang w:val="en-US" w:eastAsia="zh-CN" w:bidi="ar-SA"/>
    </w:rPr>
  </w:style>
  <w:style w:type="paragraph" w:styleId="1109">
    <w:name w:val="正文2"/>
    <w:basedOn w:val="768"/>
    <w:next w:val="1109"/>
    <w:link w:val="768"/>
    <w:qFormat/>
    <w:pPr>
      <w:ind w:firstLine="510"/>
      <w:spacing w:before="156" w:line="360" w:lineRule="auto"/>
    </w:pPr>
    <w:rPr>
      <w:sz w:val="24"/>
      <w:szCs w:val="20"/>
    </w:rPr>
  </w:style>
  <w:style w:type="paragraph" w:styleId="1110">
    <w:name w:val="Default"/>
    <w:next w:val="1110"/>
    <w:link w:val="768"/>
    <w:qFormat/>
    <w:pPr>
      <w:widowControl w:val="off"/>
    </w:pPr>
    <w:rPr>
      <w:rFonts w:ascii="宋体" w:cs="宋体"/>
      <w:color w:val="000000"/>
      <w:sz w:val="24"/>
      <w:szCs w:val="24"/>
      <w:lang w:val="en-US" w:eastAsia="zh-CN" w:bidi="ar-SA"/>
    </w:rPr>
  </w:style>
  <w:style w:type="paragraph" w:styleId="1111">
    <w:name w:val="正文_0_2_0"/>
    <w:next w:val="1111"/>
    <w:link w:val="768"/>
    <w:qFormat/>
    <w:pPr>
      <w:jc w:val="both"/>
      <w:widowControl w:val="off"/>
    </w:pPr>
    <w:rPr>
      <w:szCs w:val="24"/>
      <w:lang w:val="en-US" w:eastAsia="zh-CN" w:bidi="ar-SA"/>
    </w:rPr>
  </w:style>
  <w:style w:type="paragraph" w:styleId="1112">
    <w:name w:val="Normal_19_1_0"/>
    <w:next w:val="1113"/>
    <w:link w:val="768"/>
    <w:qFormat/>
    <w:pPr>
      <w:jc w:val="both"/>
      <w:widowControl w:val="off"/>
    </w:pPr>
    <w:rPr>
      <w:rFonts w:ascii="Calibri" w:hAnsi="Calibri"/>
      <w:szCs w:val="24"/>
      <w:lang w:val="en-US" w:eastAsia="zh-CN" w:bidi="ar-SA"/>
    </w:rPr>
  </w:style>
  <w:style w:type="paragraph" w:styleId="1113">
    <w:name w:val="正文_16_0"/>
    <w:basedOn w:val="1074"/>
    <w:next w:val="1072"/>
    <w:link w:val="768"/>
    <w:qFormat/>
    <w:rPr>
      <w:rFonts w:ascii="Times New Roman" w:hAnsi="Times New Roman"/>
    </w:rPr>
  </w:style>
  <w:style w:type="paragraph" w:styleId="1114">
    <w:name w:val="Normal_19_0"/>
    <w:basedOn w:val="784"/>
    <w:next w:val="1115"/>
    <w:link w:val="768"/>
    <w:qFormat/>
    <w:rPr>
      <w:szCs w:val="24"/>
    </w:rPr>
  </w:style>
  <w:style w:type="paragraph" w:styleId="1115">
    <w:name w:val="Body Text First Indent_1_0"/>
    <w:basedOn w:val="1114"/>
    <w:next w:val="1115"/>
    <w:link w:val="768"/>
    <w:qFormat/>
    <w:pPr>
      <w:ind w:firstLine="100"/>
      <w:spacing w:after="120"/>
    </w:pPr>
  </w:style>
  <w:style w:type="paragraph" w:styleId="1116">
    <w:name w:val="Body Text_0"/>
    <w:basedOn w:val="1114"/>
    <w:next w:val="1116"/>
    <w:link w:val="768"/>
    <w:qFormat/>
    <w:pPr>
      <w:spacing w:line="60" w:lineRule="auto"/>
    </w:pPr>
    <w:rPr>
      <w:rFonts w:ascii="仿宋_GB2312" w:eastAsia="仿宋_GB2312"/>
      <w:sz w:val="32"/>
    </w:rPr>
  </w:style>
  <w:style w:type="paragraph" w:styleId="1117">
    <w:name w:val="Normal_19_1"/>
    <w:next w:val="864"/>
    <w:link w:val="768"/>
    <w:qFormat/>
    <w:pPr>
      <w:jc w:val="both"/>
      <w:widowControl w:val="off"/>
    </w:pPr>
    <w:rPr>
      <w:rFonts w:ascii="Calibri" w:hAnsi="Calibri"/>
      <w:szCs w:val="24"/>
      <w:lang w:val="en-US" w:eastAsia="zh-CN" w:bidi="ar-SA"/>
    </w:rPr>
  </w:style>
  <w:style w:type="paragraph" w:styleId="1118">
    <w:name w:val="正文_6_0_0"/>
    <w:next w:val="1118"/>
    <w:link w:val="768"/>
    <w:qFormat/>
    <w:pPr>
      <w:jc w:val="both"/>
      <w:widowControl w:val="off"/>
    </w:pPr>
    <w:rPr>
      <w:rFonts w:ascii="Calibri" w:hAnsi="Calibri"/>
      <w:lang w:val="en-US" w:eastAsia="zh-CN" w:bidi="ar-SA"/>
    </w:rPr>
  </w:style>
  <w:style w:type="paragraph" w:styleId="1119">
    <w:name w:val="正文_7_1"/>
    <w:next w:val="1119"/>
    <w:link w:val="768"/>
    <w:qFormat/>
    <w:pPr>
      <w:jc w:val="both"/>
      <w:widowControl w:val="off"/>
    </w:pPr>
    <w:rPr>
      <w:rFonts w:ascii="Calibri" w:hAnsi="Calibri"/>
      <w:lang w:val="en-US" w:eastAsia="zh-CN" w:bidi="ar-SA"/>
    </w:rPr>
  </w:style>
  <w:style w:type="paragraph" w:styleId="1120">
    <w:name w:val="正文1_1"/>
    <w:basedOn w:val="1068"/>
    <w:next w:val="1120"/>
    <w:link w:val="768"/>
    <w:qFormat/>
    <w:pPr>
      <w:jc w:val="both"/>
      <w:widowControl w:val="off"/>
    </w:pPr>
    <w:rPr>
      <w:sz w:val="20"/>
      <w:szCs w:val="20"/>
    </w:rPr>
  </w:style>
  <w:style w:type="paragraph" w:styleId="1121">
    <w:name w:val="Normal_8_0_0"/>
    <w:next w:val="1121"/>
    <w:link w:val="768"/>
    <w:qFormat/>
    <w:rPr>
      <w:rFonts w:eastAsia="Times New Roman"/>
      <w:sz w:val="24"/>
      <w:szCs w:val="24"/>
      <w:lang w:val="en-US" w:eastAsia="zh-CN" w:bidi="ar-SA"/>
    </w:rPr>
  </w:style>
  <w:style w:type="paragraph" w:styleId="1122">
    <w:name w:val="Normal_8_0_0_0"/>
    <w:next w:val="1122"/>
    <w:link w:val="768"/>
    <w:qFormat/>
    <w:pPr>
      <w:jc w:val="both"/>
      <w:widowControl w:val="off"/>
    </w:pPr>
    <w:rPr>
      <w:rFonts w:ascii="Calibri" w:hAnsi="Calibri"/>
      <w:lang w:val="en-US" w:eastAsia="zh-CN" w:bidi="ar-SA"/>
    </w:rPr>
  </w:style>
  <w:style w:type="paragraph" w:styleId="1123">
    <w:name w:val="Normal_16_1"/>
    <w:next w:val="1123"/>
    <w:link w:val="768"/>
    <w:qFormat/>
    <w:rPr>
      <w:rFonts w:ascii="黑体" w:hAnsi="黑体" w:eastAsia="黑体"/>
      <w:b/>
      <w:sz w:val="32"/>
      <w:szCs w:val="24"/>
      <w:lang w:val="en-US" w:eastAsia="zh-CN" w:bidi="ar-SA"/>
    </w:rPr>
  </w:style>
  <w:style w:type="paragraph" w:styleId="1124">
    <w:name w:val="Normal_19_0_1"/>
    <w:next w:val="1124"/>
    <w:link w:val="768"/>
    <w:qFormat/>
    <w:rPr>
      <w:rFonts w:ascii="Tahoma" w:hAnsi="Tahoma" w:eastAsia="微软雅黑"/>
      <w:lang w:val="en-US" w:eastAsia="zh-CN" w:bidi="ar-SA"/>
    </w:rPr>
  </w:style>
  <w:style w:type="paragraph" w:styleId="1125">
    <w:name w:val="Normal_16_0_0"/>
    <w:next w:val="1125"/>
    <w:link w:val="768"/>
    <w:qFormat/>
    <w:pPr>
      <w:jc w:val="both"/>
      <w:widowControl w:val="off"/>
    </w:pPr>
    <w:rPr>
      <w:rFonts w:ascii="Calibri" w:hAnsi="Calibri"/>
      <w:lang w:val="en-US" w:eastAsia="zh-CN" w:bidi="ar-SA"/>
    </w:rPr>
  </w:style>
  <w:style w:type="paragraph" w:styleId="1126">
    <w:name w:val="Normal_22_0"/>
    <w:next w:val="1126"/>
    <w:link w:val="768"/>
    <w:qFormat/>
    <w:pPr>
      <w:jc w:val="both"/>
      <w:widowControl w:val="off"/>
    </w:pPr>
    <w:rPr>
      <w:rFonts w:ascii="Calibri" w:hAnsi="Calibri"/>
      <w:szCs w:val="24"/>
      <w:lang w:val="en-US" w:eastAsia="zh-CN" w:bidi="ar-SA"/>
    </w:rPr>
  </w:style>
  <w:style w:type="paragraph" w:styleId="1127">
    <w:name w:val="Normal_17_0_0"/>
    <w:next w:val="1127"/>
    <w:link w:val="768"/>
    <w:qFormat/>
    <w:rPr>
      <w:rFonts w:ascii="黑体" w:hAnsi="黑体" w:eastAsia="黑体"/>
      <w:b/>
      <w:sz w:val="32"/>
      <w:szCs w:val="24"/>
      <w:lang w:val="en-US" w:eastAsia="zh-CN" w:bidi="ar-SA"/>
    </w:rPr>
  </w:style>
  <w:style w:type="paragraph" w:styleId="1128">
    <w:name w:val="Normal_19_0_1_0"/>
    <w:next w:val="1128"/>
    <w:link w:val="768"/>
    <w:qFormat/>
    <w:rPr>
      <w:rFonts w:ascii="Tahoma" w:hAnsi="Tahoma" w:eastAsia="微软雅黑"/>
      <w:lang w:val="en-US" w:eastAsia="zh-CN" w:bidi="ar-SA"/>
    </w:rPr>
  </w:style>
  <w:style w:type="paragraph" w:styleId="1129">
    <w:name w:val="Normal_19_3"/>
    <w:next w:val="1130"/>
    <w:link w:val="768"/>
    <w:qFormat/>
    <w:pPr>
      <w:jc w:val="both"/>
      <w:widowControl w:val="off"/>
    </w:pPr>
    <w:rPr>
      <w:rFonts w:ascii="Calibri" w:hAnsi="Calibri" w:eastAsia="Times New Roman"/>
      <w:szCs w:val="24"/>
      <w:lang w:val="en-US" w:eastAsia="zh-CN" w:bidi="ar-SA"/>
    </w:rPr>
  </w:style>
  <w:style w:type="paragraph" w:styleId="1130">
    <w:name w:val="正文_17_0"/>
    <w:next w:val="1130"/>
    <w:link w:val="768"/>
    <w:qFormat/>
    <w:pPr>
      <w:jc w:val="both"/>
      <w:widowControl w:val="off"/>
    </w:pPr>
    <w:rPr>
      <w:rFonts w:ascii="Calibri" w:hAnsi="Calibri"/>
      <w:sz w:val="21"/>
      <w:szCs w:val="22"/>
      <w:lang w:val="en-US" w:eastAsia="zh-CN" w:bidi="ar-SA"/>
    </w:rPr>
  </w:style>
  <w:style w:type="paragraph" w:styleId="1131">
    <w:name w:val="Normal_22_0_0"/>
    <w:next w:val="1131"/>
    <w:link w:val="768"/>
    <w:qFormat/>
    <w:pPr>
      <w:jc w:val="both"/>
      <w:widowControl w:val="off"/>
    </w:pPr>
    <w:rPr>
      <w:rFonts w:ascii="Calibri" w:hAnsi="Calibri"/>
      <w:szCs w:val="24"/>
      <w:lang w:val="en-US" w:eastAsia="zh-CN" w:bidi="ar-SA"/>
    </w:rPr>
  </w:style>
  <w:style w:type="character" w:styleId="1132">
    <w:name w:val="custom-tag-placeholder-class"/>
    <w:next w:val="1132"/>
    <w:link w:val="768"/>
    <w:qFormat/>
  </w:style>
  <w:style w:type="paragraph" w:styleId="1133">
    <w:name w:val="Normal_19_0_0"/>
    <w:basedOn w:val="864"/>
    <w:next w:val="1134"/>
    <w:link w:val="768"/>
    <w:qFormat/>
    <w:rPr>
      <w:rFonts w:ascii="Calibri" w:hAnsi="Calibri" w:eastAsia="Times New Roman"/>
      <w:sz w:val="24"/>
    </w:rPr>
  </w:style>
  <w:style w:type="paragraph" w:styleId="1134">
    <w:name w:val="Body Text First Indent_1_0_0"/>
    <w:basedOn w:val="1133"/>
    <w:next w:val="1134"/>
    <w:link w:val="768"/>
    <w:pPr>
      <w:ind w:firstLine="100"/>
      <w:spacing w:after="120"/>
    </w:pPr>
    <w:rPr>
      <w:rFonts w:eastAsia="Times New Roman"/>
    </w:rPr>
  </w:style>
  <w:style w:type="paragraph" w:styleId="1135">
    <w:name w:val="正文首行缩进1"/>
    <w:basedOn w:val="1136"/>
    <w:next w:val="1135"/>
    <w:link w:val="768"/>
    <w:qFormat/>
    <w:pPr>
      <w:ind w:firstLine="100"/>
      <w:spacing w:after="120" w:line="240" w:lineRule="auto"/>
    </w:pPr>
    <w:rPr>
      <w:rFonts w:ascii="Times New Roman" w:hAnsi="Times New Roman" w:eastAsia="宋体"/>
      <w:sz w:val="21"/>
    </w:rPr>
  </w:style>
  <w:style w:type="paragraph" w:styleId="1136">
    <w:name w:val="正文文本1"/>
    <w:basedOn w:val="768"/>
    <w:next w:val="1136"/>
    <w:link w:val="768"/>
    <w:qFormat/>
    <w:pPr>
      <w:spacing w:line="60" w:lineRule="auto"/>
    </w:pPr>
    <w:rPr>
      <w:rFonts w:ascii="仿宋_GB2312" w:eastAsia="仿宋_GB2312"/>
      <w:sz w:val="32"/>
    </w:rPr>
  </w:style>
  <w:style w:type="paragraph" w:styleId="1137">
    <w:name w:val="正文_2_0"/>
    <w:next w:val="1137"/>
    <w:link w:val="768"/>
    <w:qFormat/>
    <w:pPr>
      <w:jc w:val="both"/>
      <w:widowControl w:val="off"/>
    </w:pPr>
    <w:rPr>
      <w:rFonts w:ascii="Calibri" w:hAnsi="Calibri"/>
      <w:sz w:val="21"/>
      <w:szCs w:val="22"/>
      <w:lang w:val="en-US" w:eastAsia="zh-CN" w:bidi="ar-SA"/>
    </w:rPr>
  </w:style>
  <w:style w:type="paragraph" w:styleId="1138">
    <w:name w:val="List Paragraph_0"/>
    <w:basedOn w:val="1047"/>
    <w:next w:val="1138"/>
    <w:link w:val="768"/>
    <w:qFormat/>
    <w:pPr>
      <w:ind w:firstLine="420"/>
    </w:pPr>
  </w:style>
  <w:style w:type="paragraph" w:styleId="1139">
    <w:name w:val="纯文本_1"/>
    <w:basedOn w:val="1137"/>
    <w:next w:val="1139"/>
    <w:link w:val="768"/>
    <w:qFormat/>
    <w:rPr>
      <w:rFonts w:ascii="宋体" w:hAnsi="Times New Roman"/>
      <w:sz w:val="20"/>
      <w:szCs w:val="21"/>
    </w:rPr>
  </w:style>
  <w:style w:type="paragraph" w:styleId="1140">
    <w:name w:val="正文_16_0_0"/>
    <w:next w:val="909"/>
    <w:link w:val="768"/>
    <w:qFormat/>
    <w:pPr>
      <w:jc w:val="both"/>
      <w:widowControl w:val="off"/>
    </w:pPr>
    <w:rPr>
      <w:rFonts w:ascii="Calibri" w:hAnsi="Calibri"/>
      <w:sz w:val="21"/>
      <w:szCs w:val="22"/>
      <w:lang w:val="en-US" w:eastAsia="zh-CN" w:bidi="ar-SA"/>
    </w:rPr>
  </w:style>
  <w:style w:type="paragraph" w:styleId="1141">
    <w:name w:val="正文_11_0"/>
    <w:basedOn w:val="909"/>
    <w:next w:val="1141"/>
    <w:link w:val="768"/>
    <w:qFormat/>
    <w:rPr>
      <w:rFonts w:ascii="Calibri" w:hAnsi="Calibri"/>
      <w:szCs w:val="20"/>
    </w:rPr>
  </w:style>
  <w:style w:type="paragraph" w:styleId="1142">
    <w:name w:val="Normal_19_0_0_0"/>
    <w:basedOn w:val="784"/>
    <w:next w:val="1142"/>
    <w:link w:val="768"/>
    <w:qFormat/>
    <w:rPr>
      <w:rFonts w:cs="黑体"/>
      <w:szCs w:val="24"/>
    </w:rPr>
  </w:style>
  <w:style w:type="paragraph" w:styleId="1143">
    <w:name w:val="无间隔1"/>
    <w:basedOn w:val="1054"/>
    <w:next w:val="1143"/>
    <w:link w:val="768"/>
    <w:qFormat/>
    <w:rPr>
      <w:rFonts w:ascii="Calibri" w:hAnsi="Calibri" w:cs="Calibri"/>
    </w:rPr>
  </w:style>
  <w:style w:type="paragraph" w:styleId="1144">
    <w:name w:val="标题 31"/>
    <w:basedOn w:val="1054"/>
    <w:next w:val="1054"/>
    <w:link w:val="768"/>
    <w:qFormat/>
    <w:pPr>
      <w:keepLines/>
      <w:keepNext/>
      <w:spacing w:before="260" w:after="260" w:line="413" w:lineRule="auto"/>
      <w:outlineLvl w:val="2"/>
    </w:pPr>
    <w:rPr>
      <w:b/>
      <w:sz w:val="32"/>
      <w:szCs w:val="20"/>
    </w:rPr>
  </w:style>
  <w:style w:type="character" w:styleId="1145">
    <w:name w:val="标题 2 Char_0"/>
    <w:next w:val="1145"/>
    <w:link w:val="1146"/>
    <w:qFormat/>
    <w:rPr>
      <w:rFonts w:ascii="Arial" w:hAnsi="Arial" w:eastAsia="黑体"/>
      <w:b/>
      <w:sz w:val="32"/>
      <w:szCs w:val="22"/>
    </w:rPr>
  </w:style>
  <w:style w:type="paragraph" w:styleId="1146">
    <w:name w:val="标题 21"/>
    <w:basedOn w:val="786"/>
    <w:next w:val="786"/>
    <w:link w:val="1145"/>
    <w:unhideWhenUsed/>
    <w:qFormat/>
    <w:pPr>
      <w:keepLines/>
      <w:keepNext/>
      <w:spacing w:before="260" w:after="260" w:line="413" w:lineRule="auto"/>
      <w:outlineLvl w:val="1"/>
    </w:pPr>
    <w:rPr>
      <w:rFonts w:ascii="Arial" w:hAnsi="Arial" w:cs="Times New Roman"/>
      <w:szCs w:val="22"/>
    </w:rPr>
  </w:style>
  <w:style w:type="paragraph" w:styleId="1147">
    <w:name w:val="Normal_19_1_0_0"/>
    <w:next w:val="1148"/>
    <w:link w:val="768"/>
    <w:qFormat/>
    <w:pPr>
      <w:jc w:val="both"/>
      <w:widowControl w:val="off"/>
    </w:pPr>
    <w:rPr>
      <w:rFonts w:ascii="Calibri" w:hAnsi="Calibri"/>
      <w:sz w:val="21"/>
      <w:szCs w:val="24"/>
      <w:lang w:val="en-US" w:eastAsia="zh-CN" w:bidi="ar-SA"/>
    </w:rPr>
  </w:style>
  <w:style w:type="paragraph" w:styleId="1148">
    <w:name w:val="正文_16_0_1"/>
    <w:next w:val="1148"/>
    <w:link w:val="768"/>
    <w:qFormat/>
    <w:pPr>
      <w:jc w:val="both"/>
      <w:widowControl w:val="off"/>
    </w:pPr>
    <w:rPr>
      <w:sz w:val="21"/>
      <w:szCs w:val="22"/>
      <w:lang w:val="en-US" w:eastAsia="zh-CN" w:bidi="ar-SA"/>
    </w:rPr>
  </w:style>
  <w:style w:type="paragraph" w:styleId="1149">
    <w:name w:val="正文1_0_0"/>
    <w:basedOn w:val="786"/>
    <w:next w:val="1149"/>
    <w:link w:val="768"/>
    <w:qFormat/>
    <w:pPr>
      <w:ind w:left="357" w:firstLine="420"/>
      <w:spacing w:line="360" w:lineRule="auto"/>
    </w:pPr>
    <w:rPr>
      <w:rFonts w:eastAsia="Times New Roman" w:cs="Arial"/>
    </w:rPr>
  </w:style>
  <w:style w:type="paragraph" w:styleId="1150">
    <w:name w:val="普通正文"/>
    <w:basedOn w:val="768"/>
    <w:next w:val="1150"/>
    <w:link w:val="768"/>
    <w:qFormat/>
    <w:pPr>
      <w:ind w:firstLine="480"/>
      <w:jc w:val="left"/>
      <w:spacing w:before="120" w:after="120" w:line="360" w:lineRule="auto"/>
    </w:pPr>
    <w:rPr>
      <w:rFonts w:ascii="Arial" w:hAnsi="Arial"/>
      <w:sz w:val="24"/>
      <w:szCs w:val="24"/>
    </w:rPr>
  </w:style>
  <w:style w:type="paragraph" w:styleId="1151">
    <w:name w:val="正文空2字"/>
    <w:basedOn w:val="1152"/>
    <w:next w:val="1151"/>
    <w:link w:val="768"/>
    <w:uiPriority w:val="99"/>
    <w:qFormat/>
    <w:pPr>
      <w:ind w:firstLine="640"/>
      <w:spacing w:line="560" w:lineRule="exact"/>
      <w:widowControl w:val="off"/>
    </w:pPr>
    <w:rPr>
      <w:rFonts w:ascii="仿宋_GB2312" w:hAnsi="仿宋_GB2312" w:cs="仿宋_GB2312"/>
      <w:lang w:val="zh-TW"/>
    </w:rPr>
  </w:style>
  <w:style w:type="paragraph" w:styleId="1152">
    <w:name w:val="左对齐正文"/>
    <w:next w:val="1152"/>
    <w:link w:val="768"/>
    <w:uiPriority w:val="99"/>
    <w:qFormat/>
    <w:rPr>
      <w:rFonts w:ascii="Calibri" w:hAnsi="Calibri" w:eastAsia="仿宋_GB2312" w:cs="Calibri"/>
      <w:sz w:val="32"/>
      <w:szCs w:val="32"/>
      <w:lang w:val="en-US" w:eastAsia="zh-CN" w:bidi="ar-SA"/>
    </w:rPr>
  </w:style>
  <w:style w:type="paragraph" w:styleId="1153">
    <w:name w:val="普通(网站)1"/>
    <w:basedOn w:val="768"/>
    <w:next w:val="1153"/>
    <w:link w:val="768"/>
    <w:qFormat/>
    <w:rPr>
      <w:sz w:val="24"/>
    </w:rPr>
  </w:style>
  <w:style w:type="character" w:styleId="1154">
    <w:name w:val="16"/>
    <w:next w:val="1154"/>
    <w:link w:val="768"/>
    <w:qFormat/>
    <w:rPr>
      <w:rFonts w:ascii="Times New Roman" w:hAnsi="Times New Roman"/>
      <w:sz w:val="21"/>
      <w:szCs w:val="21"/>
      <w:lang w:val="en-US" w:eastAsia="zh-CN" w:bidi="ar-SA"/>
    </w:rPr>
  </w:style>
  <w:style w:type="paragraph" w:styleId="1155">
    <w:name w:val="正文缩进_1"/>
    <w:basedOn w:val="1047"/>
    <w:next w:val="1047"/>
    <w:link w:val="768"/>
    <w:qFormat/>
    <w:pPr>
      <w:ind w:firstLine="420"/>
    </w:pPr>
    <w:rPr>
      <w:rFonts w:ascii="宋体"/>
      <w:color w:val="000000"/>
      <w:sz w:val="24"/>
      <w:szCs w:val="20"/>
    </w:rPr>
  </w:style>
  <w:style w:type="paragraph" w:styleId="1156">
    <w:name w:val="Table Paragraph"/>
    <w:basedOn w:val="864"/>
    <w:next w:val="1156"/>
    <w:link w:val="768"/>
    <w:uiPriority w:val="1"/>
    <w:qFormat/>
    <w:rPr>
      <w:rFonts w:ascii="宋体" w:hAnsi="宋体" w:cs="宋体"/>
      <w:sz w:val="22"/>
      <w:lang w:val="zh-CN" w:bidi="zh-CN"/>
    </w:rPr>
  </w:style>
  <w:style w:type="paragraph" w:styleId="1157">
    <w:name w:val="Normal_19_2"/>
    <w:basedOn w:val="1158"/>
    <w:next w:val="1157"/>
    <w:link w:val="768"/>
    <w:qFormat/>
    <w:rPr>
      <w:rFonts w:ascii="Times New Roman" w:hAnsi="Times New Roman"/>
      <w:szCs w:val="21"/>
    </w:rPr>
  </w:style>
  <w:style w:type="paragraph" w:styleId="1158">
    <w:name w:val="正文_3_0"/>
    <w:next w:val="1046"/>
    <w:link w:val="768"/>
    <w:qFormat/>
    <w:pPr>
      <w:jc w:val="both"/>
      <w:widowControl w:val="off"/>
    </w:pPr>
    <w:rPr>
      <w:rFonts w:ascii="Calibri" w:hAnsi="Calibri"/>
      <w:sz w:val="21"/>
      <w:szCs w:val="22"/>
      <w:lang w:val="en-US" w:eastAsia="zh-CN" w:bidi="ar-SA"/>
    </w:rPr>
  </w:style>
  <w:style w:type="paragraph" w:styleId="1159">
    <w:name w:val="正文文本2"/>
    <w:basedOn w:val="907"/>
    <w:next w:val="1159"/>
    <w:link w:val="768"/>
    <w:qFormat/>
    <w:pPr>
      <w:spacing w:line="60" w:lineRule="auto"/>
    </w:pPr>
    <w:rPr>
      <w:rFonts w:ascii="仿宋_GB2312" w:eastAsia="仿宋_GB2312"/>
      <w:sz w:val="32"/>
      <w:szCs w:val="22"/>
    </w:rPr>
  </w:style>
  <w:style w:type="paragraph" w:styleId="1160">
    <w:name w:val="正文1_0"/>
    <w:basedOn w:val="1137"/>
    <w:next w:val="1160"/>
    <w:link w:val="768"/>
    <w:qFormat/>
    <w:pPr>
      <w:ind w:left="357" w:firstLine="420"/>
      <w:jc w:val="left"/>
      <w:spacing w:line="360" w:lineRule="auto"/>
      <w:widowControl/>
    </w:pPr>
    <w:rPr>
      <w:rFonts w:cs="Arial"/>
      <w:szCs w:val="20"/>
    </w:rPr>
  </w:style>
  <w:style w:type="paragraph" w:styleId="1161">
    <w:name w:val="Normal_19_2_0"/>
    <w:basedOn w:val="1162"/>
    <w:next w:val="1161"/>
    <w:link w:val="768"/>
    <w:qFormat/>
    <w:rPr>
      <w:rFonts w:ascii="Times New Roman" w:hAnsi="Times New Roman"/>
      <w:szCs w:val="21"/>
    </w:rPr>
  </w:style>
  <w:style w:type="paragraph" w:styleId="1162">
    <w:name w:val="正文_3_1"/>
    <w:next w:val="1162"/>
    <w:link w:val="768"/>
    <w:qFormat/>
    <w:pPr>
      <w:jc w:val="both"/>
      <w:widowControl w:val="off"/>
    </w:pPr>
    <w:rPr>
      <w:rFonts w:ascii="Calibri" w:hAnsi="Calibri"/>
      <w:sz w:val="21"/>
      <w:szCs w:val="22"/>
      <w:lang w:val="en-US" w:eastAsia="zh-CN" w:bidi="ar-SA"/>
    </w:rPr>
  </w:style>
  <w:style w:type="paragraph" w:styleId="1163">
    <w:name w:val="正文缩进1"/>
    <w:basedOn w:val="768"/>
    <w:next w:val="768"/>
    <w:link w:val="768"/>
    <w:qFormat/>
    <w:pPr>
      <w:ind w:firstLine="420"/>
      <w:jc w:val="left"/>
    </w:pPr>
    <w:rPr>
      <w:rFonts w:ascii="宋体" w:hAnsi="Calibri" w:eastAsia="宋体" w:cs="Times New Roman"/>
      <w:sz w:val="24"/>
    </w:rPr>
  </w:style>
  <w:style w:type="paragraph" w:styleId="1164">
    <w:name w:val="纯文本1"/>
    <w:basedOn w:val="908"/>
    <w:next w:val="1164"/>
    <w:link w:val="768"/>
    <w:qFormat/>
    <w:rPr>
      <w:rFonts w:ascii="宋体" w:hAnsi="Courier New" w:eastAsia="宋体" w:cs="Times New Roman"/>
    </w:rPr>
  </w:style>
  <w:style w:type="paragraph" w:styleId="1165">
    <w:name w:val="Normal_21_0"/>
    <w:next w:val="1166"/>
    <w:link w:val="768"/>
    <w:qFormat/>
    <w:pPr>
      <w:jc w:val="both"/>
      <w:widowControl w:val="off"/>
    </w:pPr>
    <w:rPr>
      <w:sz w:val="21"/>
      <w:szCs w:val="24"/>
      <w:lang w:val="en-US" w:eastAsia="zh-CN" w:bidi="ar-SA"/>
    </w:rPr>
  </w:style>
  <w:style w:type="paragraph" w:styleId="1166">
    <w:name w:val="Heading 1_0"/>
    <w:basedOn w:val="1165"/>
    <w:next w:val="1165"/>
    <w:link w:val="768"/>
    <w:qFormat/>
    <w:pPr>
      <w:jc w:val="center"/>
      <w:keepLines/>
      <w:keepNext/>
      <w:spacing w:before="240" w:after="120" w:line="300" w:lineRule="auto"/>
      <w:outlineLvl w:val="0"/>
    </w:pPr>
    <w:rPr>
      <w:rFonts w:ascii="宋体"/>
      <w:b/>
      <w:sz w:val="32"/>
      <w:szCs w:val="20"/>
    </w:rPr>
  </w:style>
  <w:style w:type="paragraph" w:styleId="1167">
    <w:name w:val="正文_12_0_0_0_0"/>
    <w:next w:val="1167"/>
    <w:link w:val="768"/>
    <w:qFormat/>
    <w:pPr>
      <w:jc w:val="both"/>
      <w:widowControl w:val="off"/>
    </w:pPr>
    <w:rPr>
      <w:sz w:val="21"/>
      <w:szCs w:val="24"/>
      <w:lang w:val="en-US" w:eastAsia="zh-CN" w:bidi="ar-SA"/>
    </w:rPr>
  </w:style>
  <w:style w:type="character" w:styleId="1168">
    <w:name w:val="正文文本 字符"/>
    <w:next w:val="1168"/>
    <w:link w:val="768"/>
    <w:qFormat/>
    <w:rPr>
      <w:rFonts w:ascii="楷体_GB2312" w:hAnsi="Arial" w:eastAsia="楷体_GB2312" w:cs="Times New Roman"/>
      <w:sz w:val="28"/>
      <w:szCs w:val="28"/>
    </w:rPr>
  </w:style>
  <w:style w:type="character" w:styleId="1169">
    <w:name w:val="正文文本缩进 字符"/>
    <w:next w:val="1169"/>
    <w:link w:val="768"/>
    <w:qFormat/>
    <w:rPr>
      <w:rFonts w:ascii="楷体_GB2312" w:hAnsi="Times New Roman" w:eastAsia="楷体_GB2312" w:cs="Times New Roman"/>
      <w:sz w:val="32"/>
      <w:szCs w:val="32"/>
    </w:rPr>
  </w:style>
  <w:style w:type="character" w:styleId="1170">
    <w:name w:val="正文文本 字符1"/>
    <w:next w:val="1170"/>
    <w:link w:val="768"/>
    <w:qFormat/>
    <w:rPr>
      <w:rFonts w:ascii="Calibri" w:hAnsi="Calibri"/>
      <w:sz w:val="28"/>
      <w:szCs w:val="24"/>
    </w:rPr>
  </w:style>
  <w:style w:type="character" w:styleId="1171">
    <w:name w:val="正文文本首行缩进 字符"/>
    <w:next w:val="1171"/>
    <w:link w:val="768"/>
    <w:qFormat/>
    <w:rPr>
      <w:rFonts w:ascii="仿宋_GB2312" w:hAnsi="Calibri" w:eastAsia="仿宋_GB2312"/>
      <w:sz w:val="30"/>
      <w:szCs w:val="30"/>
    </w:rPr>
  </w:style>
  <w:style w:type="paragraph" w:styleId="1172">
    <w:name w:val="索引 41"/>
    <w:basedOn w:val="768"/>
    <w:next w:val="768"/>
    <w:link w:val="768"/>
    <w:semiHidden/>
    <w:qFormat/>
    <w:pPr>
      <w:ind w:left="1260"/>
    </w:pPr>
    <w:rPr>
      <w:rFonts w:eastAsia="Calibri" w:cs="宋体"/>
      <w:sz w:val="20"/>
      <w:szCs w:val="21"/>
      <w:lang w:val="zh-CN"/>
    </w:rPr>
  </w:style>
  <w:style w:type="character" w:styleId="1173">
    <w:name w:val="font5 Char"/>
    <w:next w:val="1173"/>
    <w:link w:val="768"/>
    <w:qFormat/>
    <w:rPr>
      <w:rFonts w:ascii="宋体" w:hAnsi="宋体" w:eastAsia="宋体"/>
      <w:sz w:val="28"/>
      <w:szCs w:val="28"/>
      <w:lang w:val="en-US" w:eastAsia="zh-CN" w:bidi="ar-SA"/>
    </w:rPr>
  </w:style>
  <w:style w:type="character" w:styleId="1174">
    <w:name w:val="二级目录 Char"/>
    <w:next w:val="1174"/>
    <w:link w:val="1175"/>
    <w:qFormat/>
    <w:rPr>
      <w:b/>
      <w:sz w:val="30"/>
      <w:szCs w:val="28"/>
      <w:lang w:val="en-US" w:eastAsia="zh-CN" w:bidi="ar-SA"/>
    </w:rPr>
  </w:style>
  <w:style w:type="paragraph" w:styleId="1175">
    <w:name w:val="二级目录"/>
    <w:next w:val="768"/>
    <w:link w:val="1174"/>
    <w:qFormat/>
    <w:pPr>
      <w:tabs>
        <w:tab w:val="left" w:pos="907" w:leader="none"/>
        <w:tab w:val="left" w:pos="1145" w:leader="none"/>
      </w:tabs>
      <w:outlineLvl w:val="1"/>
    </w:pPr>
    <w:rPr>
      <w:b/>
      <w:sz w:val="30"/>
      <w:szCs w:val="28"/>
      <w:lang w:val="en-US" w:eastAsia="zh-CN" w:bidi="ar-SA"/>
    </w:rPr>
  </w:style>
  <w:style w:type="character" w:styleId="1176">
    <w:name w:val="列出段落 Char,Bullet List Char,numbered Char,FooterText Char,List Paragraph1 Char,Paragraphe de liste1 Char"/>
    <w:next w:val="1176"/>
    <w:link w:val="1177"/>
    <w:qFormat/>
    <w:rPr>
      <w:rFonts w:ascii="Calibri" w:hAnsi="Calibri"/>
      <w:sz w:val="24"/>
      <w:szCs w:val="24"/>
      <w:lang w:eastAsia="en-US" w:bidi="en-US"/>
    </w:rPr>
  </w:style>
  <w:style w:type="paragraph" w:styleId="1177">
    <w:name w:val="列出段落1"/>
    <w:basedOn w:val="768"/>
    <w:next w:val="1177"/>
    <w:link w:val="1176"/>
    <w:qFormat/>
    <w:pPr>
      <w:contextualSpacing/>
      <w:ind w:left="720"/>
      <w:jc w:val="left"/>
      <w:widowControl/>
    </w:pPr>
    <w:rPr>
      <w:sz w:val="24"/>
      <w:szCs w:val="24"/>
      <w:lang w:eastAsia="en-US" w:bidi="en-US"/>
    </w:rPr>
  </w:style>
  <w:style w:type="paragraph" w:styleId="1178">
    <w:name w:val="Body Text(ch)"/>
    <w:basedOn w:val="768"/>
    <w:next w:val="1178"/>
    <w:link w:val="768"/>
    <w:qFormat/>
    <w:pPr>
      <w:spacing w:after="120"/>
    </w:pPr>
    <w:rPr>
      <w:rFonts w:ascii="宋体" w:hAnsi="Arial"/>
      <w:bCs/>
      <w:iCs/>
      <w:szCs w:val="24"/>
    </w:rPr>
  </w:style>
  <w:style w:type="paragraph" w:styleId="1179">
    <w:name w:val="xl27"/>
    <w:basedOn w:val="768"/>
    <w:next w:val="1179"/>
    <w:link w:val="76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80">
    <w:name w:val="xl26"/>
    <w:basedOn w:val="768"/>
    <w:next w:val="1180"/>
    <w:link w:val="7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81">
    <w:name w:val="Char"/>
    <w:basedOn w:val="768"/>
    <w:next w:val="1181"/>
    <w:link w:val="768"/>
    <w:qFormat/>
    <w:pPr>
      <w:ind w:firstLine="200"/>
      <w:tabs>
        <w:tab w:val="left" w:pos="360" w:leader="none"/>
      </w:tabs>
    </w:pPr>
    <w:rPr>
      <w:rFonts w:ascii="Times New Roman" w:hAnsi="Times New Roman"/>
      <w:sz w:val="28"/>
      <w:szCs w:val="30"/>
    </w:rPr>
  </w:style>
  <w:style w:type="paragraph" w:styleId="1182">
    <w:name w:val="Char1"/>
    <w:basedOn w:val="799"/>
    <w:next w:val="1182"/>
    <w:link w:val="768"/>
    <w:qFormat/>
    <w:rPr>
      <w:rFonts w:ascii="Tahoma" w:hAnsi="Tahoma"/>
      <w:sz w:val="24"/>
      <w:szCs w:val="24"/>
    </w:rPr>
  </w:style>
  <w:style w:type="paragraph" w:styleId="1183">
    <w:name w:val="table_lines"/>
    <w:basedOn w:val="768"/>
    <w:next w:val="1183"/>
    <w:link w:val="768"/>
    <w:qFormat/>
    <w:pPr>
      <w:jc w:val="left"/>
      <w:widowControl/>
    </w:pPr>
    <w:rPr>
      <w:rFonts w:ascii="Times New Roman" w:hAnsi="Times New Roman"/>
      <w:sz w:val="20"/>
      <w:szCs w:val="20"/>
      <w:lang w:val="de-DE" w:eastAsia="de-DE"/>
    </w:rPr>
  </w:style>
  <w:style w:type="paragraph" w:styleId="1184">
    <w:name w:val="附录1"/>
    <w:next w:val="1184"/>
    <w:link w:val="768"/>
    <w:qFormat/>
    <w:pPr>
      <w:spacing w:before="240" w:line="600" w:lineRule="atLeast"/>
      <w:tabs>
        <w:tab w:val="left" w:pos="907" w:leader="none"/>
      </w:tabs>
    </w:pPr>
    <w:rPr>
      <w:b/>
      <w:i/>
      <w:sz w:val="28"/>
      <w:lang w:val="en-US" w:eastAsia="zh-CN" w:bidi="ar-SA"/>
    </w:rPr>
  </w:style>
  <w:style w:type="paragraph" w:styleId="1185">
    <w:name w:val="font7"/>
    <w:basedOn w:val="768"/>
    <w:next w:val="1185"/>
    <w:link w:val="768"/>
    <w:qFormat/>
    <w:pPr>
      <w:jc w:val="left"/>
      <w:spacing w:before="100" w:beforeAutospacing="1" w:after="100" w:afterAutospacing="1"/>
      <w:widowControl/>
    </w:pPr>
    <w:rPr>
      <w:rFonts w:hint="eastAsia" w:ascii="宋体" w:hAnsi="宋体"/>
      <w:sz w:val="18"/>
      <w:szCs w:val="18"/>
    </w:rPr>
  </w:style>
  <w:style w:type="paragraph" w:styleId="1186">
    <w:name w:val="Char Char Char Char"/>
    <w:basedOn w:val="799"/>
    <w:next w:val="1186"/>
    <w:link w:val="768"/>
    <w:qFormat/>
    <w:pPr>
      <w:spacing w:line="360" w:lineRule="auto"/>
    </w:pPr>
    <w:rPr>
      <w:rFonts w:ascii="Tahoma" w:hAnsi="Tahoma"/>
      <w:sz w:val="24"/>
      <w:szCs w:val="24"/>
    </w:rPr>
  </w:style>
  <w:style w:type="paragraph" w:styleId="1187">
    <w:name w:val="4"/>
    <w:basedOn w:val="768"/>
    <w:next w:val="835"/>
    <w:link w:val="768"/>
    <w:qFormat/>
    <w:pPr>
      <w:ind w:firstLine="420"/>
      <w:spacing w:line="360" w:lineRule="auto"/>
    </w:pPr>
    <w:rPr>
      <w:rFonts w:ascii="Times New Roman" w:hAnsi="Times New Roman"/>
      <w:color w:val="ff0000"/>
      <w:sz w:val="24"/>
      <w:szCs w:val="24"/>
    </w:rPr>
  </w:style>
  <w:style w:type="paragraph" w:styleId="1188">
    <w:name w:val="普通 (Web)"/>
    <w:basedOn w:val="768"/>
    <w:next w:val="1188"/>
    <w:link w:val="768"/>
    <w:qFormat/>
    <w:pPr>
      <w:jc w:val="left"/>
      <w:spacing w:before="100" w:beforeAutospacing="1" w:after="100" w:afterAutospacing="1"/>
      <w:widowControl/>
    </w:pPr>
    <w:rPr>
      <w:rFonts w:ascii="宋体" w:hAnsi="宋体"/>
      <w:sz w:val="24"/>
      <w:szCs w:val="24"/>
    </w:rPr>
  </w:style>
  <w:style w:type="paragraph" w:styleId="1189">
    <w:name w:val="Char Char Char Char Char Char Char Char Char Char"/>
    <w:basedOn w:val="768"/>
    <w:next w:val="1189"/>
    <w:link w:val="768"/>
    <w:qFormat/>
    <w:pPr>
      <w:spacing w:line="360" w:lineRule="auto"/>
    </w:pPr>
    <w:rPr>
      <w:rFonts w:ascii="Times New Roman" w:hAnsi="Times New Roman"/>
      <w:sz w:val="24"/>
      <w:szCs w:val="20"/>
    </w:rPr>
  </w:style>
  <w:style w:type="paragraph" w:styleId="1190">
    <w:name w:val="样式1"/>
    <w:basedOn w:val="768"/>
    <w:next w:val="1190"/>
    <w:link w:val="768"/>
    <w:qFormat/>
    <w:pPr>
      <w:tabs>
        <w:tab w:val="left" w:pos="709" w:leader="none"/>
      </w:tabs>
    </w:pPr>
    <w:rPr>
      <w:rFonts w:ascii="宋体" w:hAnsi="宋体"/>
      <w:szCs w:val="21"/>
    </w:rPr>
  </w:style>
  <w:style w:type="paragraph" w:styleId="1191">
    <w:name w:val="font6"/>
    <w:basedOn w:val="768"/>
    <w:next w:val="1191"/>
    <w:link w:val="768"/>
    <w:qFormat/>
    <w:pPr>
      <w:jc w:val="left"/>
      <w:spacing w:before="100" w:beforeAutospacing="1" w:after="100" w:afterAutospacing="1"/>
      <w:widowControl/>
    </w:pPr>
    <w:rPr>
      <w:rFonts w:hint="eastAsia" w:ascii="宋体" w:hAnsi="宋体"/>
      <w:sz w:val="28"/>
      <w:szCs w:val="28"/>
      <w:u w:val="single"/>
    </w:rPr>
  </w:style>
  <w:style w:type="paragraph" w:styleId="1192">
    <w:name w:val="xl25"/>
    <w:basedOn w:val="768"/>
    <w:next w:val="1192"/>
    <w:link w:val="76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93">
    <w:name w:val="图标"/>
    <w:basedOn w:val="768"/>
    <w:next w:val="768"/>
    <w:link w:val="768"/>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94">
    <w:name w:val="标题3"/>
    <w:basedOn w:val="768"/>
    <w:next w:val="768"/>
    <w:link w:val="768"/>
    <w:qFormat/>
    <w:pPr>
      <w:ind w:firstLine="624"/>
      <w:spacing w:line="590" w:lineRule="atLeast"/>
    </w:pPr>
    <w:rPr>
      <w:rFonts w:ascii="方正黑体_GBK" w:hAnsi="Times New Roman" w:eastAsia="方正黑体_GBK"/>
      <w:sz w:val="32"/>
      <w:szCs w:val="32"/>
    </w:rPr>
  </w:style>
  <w:style w:type="paragraph" w:styleId="1195">
    <w:name w:val="xl24"/>
    <w:basedOn w:val="768"/>
    <w:next w:val="1195"/>
    <w:link w:val="76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6">
    <w:name w:val="xl29"/>
    <w:basedOn w:val="768"/>
    <w:next w:val="1196"/>
    <w:link w:val="76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97">
    <w:name w:val="Char Char Char Char Char Char Char Char"/>
    <w:basedOn w:val="768"/>
    <w:next w:val="1197"/>
    <w:link w:val="768"/>
    <w:qFormat/>
    <w:pPr>
      <w:jc w:val="left"/>
      <w:spacing w:after="160" w:line="240" w:lineRule="exact"/>
      <w:widowControl/>
    </w:pPr>
    <w:rPr>
      <w:rFonts w:ascii="Verdana" w:hAnsi="Verdana"/>
      <w:sz w:val="20"/>
      <w:szCs w:val="20"/>
      <w:lang w:eastAsia="en-US"/>
    </w:rPr>
  </w:style>
  <w:style w:type="paragraph" w:styleId="1198">
    <w:name w:val="xl28"/>
    <w:basedOn w:val="768"/>
    <w:next w:val="1198"/>
    <w:link w:val="76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99">
    <w:name w:val="Char Char Char Char Char Char Char Char1"/>
    <w:basedOn w:val="768"/>
    <w:next w:val="1199"/>
    <w:link w:val="768"/>
    <w:qFormat/>
    <w:pPr>
      <w:jc w:val="left"/>
      <w:spacing w:after="160" w:line="240" w:lineRule="exact"/>
      <w:widowControl/>
    </w:pPr>
    <w:rPr>
      <w:rFonts w:ascii="Verdana" w:hAnsi="Verdana"/>
      <w:sz w:val="20"/>
      <w:szCs w:val="20"/>
      <w:lang w:eastAsia="en-US"/>
    </w:rPr>
  </w:style>
  <w:style w:type="paragraph" w:styleId="1200">
    <w:name w:val="xl30"/>
    <w:basedOn w:val="768"/>
    <w:next w:val="1200"/>
    <w:link w:val="768"/>
    <w:qFormat/>
    <w:pPr>
      <w:jc w:val="center"/>
      <w:spacing w:before="100" w:beforeAutospacing="1" w:after="100" w:afterAutospacing="1"/>
      <w:widowControl/>
    </w:pPr>
    <w:rPr>
      <w:rFonts w:ascii="宋体" w:hAnsi="宋体"/>
      <w:b/>
      <w:bCs/>
      <w:sz w:val="36"/>
      <w:szCs w:val="36"/>
    </w:rPr>
  </w:style>
  <w:style w:type="paragraph" w:styleId="1201">
    <w:name w:val="Char Char Char Char1"/>
    <w:basedOn w:val="799"/>
    <w:next w:val="1201"/>
    <w:link w:val="768"/>
    <w:qFormat/>
    <w:pPr>
      <w:spacing w:line="360" w:lineRule="auto"/>
    </w:pPr>
    <w:rPr>
      <w:rFonts w:ascii="Tahoma" w:hAnsi="Tahoma"/>
      <w:sz w:val="24"/>
      <w:szCs w:val="24"/>
    </w:rPr>
  </w:style>
  <w:style w:type="paragraph" w:styleId="1202">
    <w:name w:val="table_1stline"/>
    <w:basedOn w:val="768"/>
    <w:next w:val="1202"/>
    <w:link w:val="768"/>
    <w:qFormat/>
    <w:pPr>
      <w:jc w:val="left"/>
      <w:spacing w:before="120"/>
      <w:widowControl/>
    </w:pPr>
    <w:rPr>
      <w:rFonts w:ascii="Times New Roman" w:hAnsi="Times New Roman"/>
      <w:bCs/>
      <w:sz w:val="20"/>
      <w:szCs w:val="20"/>
      <w:lang w:val="de-DE" w:eastAsia="de-DE"/>
    </w:rPr>
  </w:style>
  <w:style w:type="paragraph" w:styleId="1203">
    <w:name w:val="font5"/>
    <w:basedOn w:val="768"/>
    <w:next w:val="1203"/>
    <w:link w:val="768"/>
    <w:qFormat/>
    <w:pPr>
      <w:jc w:val="left"/>
      <w:spacing w:before="100" w:beforeAutospacing="1" w:after="100" w:afterAutospacing="1"/>
      <w:widowControl/>
    </w:pPr>
    <w:rPr>
      <w:rFonts w:hint="eastAsia" w:ascii="宋体" w:hAnsi="宋体"/>
      <w:sz w:val="28"/>
      <w:szCs w:val="28"/>
    </w:rPr>
  </w:style>
  <w:style w:type="paragraph" w:styleId="1204">
    <w:name w:val="标题1"/>
    <w:basedOn w:val="768"/>
    <w:next w:val="768"/>
    <w:link w:val="768"/>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05">
    <w:name w:val="修订1"/>
    <w:next w:val="1205"/>
    <w:link w:val="768"/>
    <w:uiPriority w:val="99"/>
    <w:semiHidden/>
    <w:qFormat/>
    <w:rPr>
      <w:sz w:val="21"/>
      <w:szCs w:val="21"/>
      <w:lang w:val="en-US" w:eastAsia="zh-CN" w:bidi="ar-SA"/>
    </w:rPr>
  </w:style>
  <w:style w:type="table" w:styleId="1206">
    <w:name w:val="Table Normal"/>
    <w:next w:val="1206"/>
    <w:link w:val="768"/>
    <w:qFormat/>
    <w:rPr>
      <w:lang w:val="en-US" w:eastAsia="zh-CN" w:bidi="ar-SA"/>
    </w:rPr>
    <w:tblPr/>
  </w:style>
  <w:style w:type="paragraph" w:styleId="1207">
    <w:name w:val="正文文本12"/>
    <w:basedOn w:val="768"/>
    <w:next w:val="1207"/>
    <w:link w:val="768"/>
    <w:uiPriority w:val="1"/>
    <w:qFormat/>
    <w:pPr>
      <w:ind w:left="120"/>
    </w:pPr>
    <w:rPr>
      <w:rFonts w:ascii="宋体" w:hAnsi="宋体" w:cs="宋体"/>
      <w:szCs w:val="21"/>
      <w:lang w:val="zh-CN" w:bidi="zh-CN"/>
    </w:rPr>
  </w:style>
  <w:style w:type="paragraph" w:styleId="1208">
    <w:name w:val="首行缩进"/>
    <w:basedOn w:val="768"/>
    <w:next w:val="1208"/>
    <w:link w:val="768"/>
    <w:qFormat/>
    <w:pPr>
      <w:ind w:firstLine="480"/>
    </w:pPr>
    <w:rPr>
      <w:rFonts w:ascii="Times New Roman" w:hAnsi="Times New Roman"/>
      <w:szCs w:val="21"/>
      <w:lang w:val="zh-CN"/>
    </w:rPr>
  </w:style>
  <w:style w:type="paragraph" w:styleId="1209">
    <w:name w:val="部分1"/>
    <w:basedOn w:val="768"/>
    <w:next w:val="1209"/>
    <w:link w:val="768"/>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10">
    <w:name w:val="15"/>
    <w:next w:val="1210"/>
    <w:link w:val="768"/>
    <w:qFormat/>
    <w:rPr>
      <w:rFonts w:ascii="Times New Roman" w:hAnsi="Times New Roman" w:cs="Times New Roman"/>
    </w:rPr>
  </w:style>
  <w:style w:type="paragraph" w:styleId="1211">
    <w:name w:val="正文文本缩进 2_0"/>
    <w:basedOn w:val="1047"/>
    <w:next w:val="1211"/>
    <w:link w:val="768"/>
    <w:qFormat/>
    <w:pPr>
      <w:ind w:firstLine="720"/>
      <w:jc w:val="left"/>
      <w:spacing w:line="540" w:lineRule="exact"/>
    </w:pPr>
    <w:rPr>
      <w:rFonts w:ascii="仿宋_GB2312" w:hAnsi="仿宋_GB2312" w:cs="宋体"/>
      <w:sz w:val="32"/>
      <w:szCs w:val="32"/>
    </w:rPr>
  </w:style>
  <w:style w:type="character" w:styleId="1212">
    <w:name w:val="10"/>
    <w:next w:val="1212"/>
    <w:link w:val="768"/>
    <w:qFormat/>
    <w:rPr>
      <w:rFonts w:ascii="Times New Roman" w:hAnsi="Times New Roman" w:cs="Times New Roman"/>
    </w:rPr>
  </w:style>
  <w:style w:type="paragraph" w:styleId="1213">
    <w:name w:val="正文_16_1"/>
    <w:basedOn w:val="768"/>
    <w:next w:val="1213"/>
    <w:link w:val="768"/>
    <w:qFormat/>
    <w:rPr>
      <w:rFonts w:ascii="Times New Roman" w:hAnsi="Times New Roman"/>
      <w:szCs w:val="21"/>
    </w:rPr>
  </w:style>
  <w:style w:type="paragraph" w:styleId="1214">
    <w:name w:val="页脚1"/>
    <w:basedOn w:val="768"/>
    <w:next w:val="1214"/>
    <w:link w:val="768"/>
    <w:qFormat/>
    <w:pPr>
      <w:jc w:val="left"/>
      <w:tabs>
        <w:tab w:val="center" w:pos="4153" w:leader="none"/>
        <w:tab w:val="right" w:pos="8306" w:leader="none"/>
      </w:tabs>
    </w:pPr>
    <w:rPr>
      <w:sz w:val="18"/>
      <w:szCs w:val="18"/>
    </w:rPr>
  </w:style>
  <w:style w:type="character" w:styleId="1215">
    <w:name w:val="页码1"/>
    <w:next w:val="1215"/>
    <w:link w:val="768"/>
    <w:qFormat/>
  </w:style>
  <w:style w:type="paragraph" w:styleId="1216">
    <w:name w:val="*正文"/>
    <w:basedOn w:val="782"/>
    <w:next w:val="1216"/>
    <w:link w:val="768"/>
    <w:qFormat/>
    <w:pPr>
      <w:ind w:firstLine="200"/>
    </w:pPr>
    <w:rPr>
      <w:rFonts w:ascii="宋体" w:hAnsi="宋体"/>
      <w:color w:val="000000"/>
      <w:sz w:val="24"/>
      <w:szCs w:val="24"/>
    </w:rPr>
  </w:style>
  <w:style w:type="paragraph" w:styleId="1217">
    <w:name w:val="*正文_0"/>
    <w:basedOn w:val="1218"/>
    <w:next w:val="1217"/>
    <w:link w:val="768"/>
    <w:qFormat/>
    <w:pPr>
      <w:ind w:firstLine="200"/>
      <w:spacing w:line="360" w:lineRule="auto"/>
    </w:pPr>
    <w:rPr>
      <w:rFonts w:ascii="宋体" w:hAnsi="宋体" w:eastAsia="Arial" w:cs="Arial"/>
      <w:color w:val="000000"/>
      <w:sz w:val="24"/>
    </w:rPr>
  </w:style>
  <w:style w:type="paragraph" w:styleId="1218">
    <w:name w:val="正文缩进_2"/>
    <w:basedOn w:val="1071"/>
    <w:next w:val="1218"/>
    <w:link w:val="768"/>
    <w:unhideWhenUsed/>
    <w:qFormat/>
    <w:pPr>
      <w:ind w:firstLine="420"/>
      <w:jc w:val="left"/>
      <w:widowControl/>
    </w:pPr>
    <w:rPr>
      <w:rFonts w:ascii="Times New Roman" w:hAnsi="Times New Roman"/>
      <w:sz w:val="20"/>
      <w:szCs w:val="24"/>
    </w:rPr>
  </w:style>
  <w:style w:type="paragraph" w:styleId="1219">
    <w:name w:val="*正文_0_0"/>
    <w:basedOn w:val="1071"/>
    <w:next w:val="1219"/>
    <w:link w:val="768"/>
    <w:qFormat/>
    <w:pPr>
      <w:ind w:firstLine="200"/>
      <w:jc w:val="left"/>
      <w:spacing w:line="360" w:lineRule="auto"/>
      <w:widowControl/>
    </w:pPr>
    <w:rPr>
      <w:rFonts w:ascii="宋体" w:hAnsi="宋体" w:eastAsia="Arial" w:cs="Arial"/>
      <w:color w:val="000000"/>
      <w:sz w:val="24"/>
      <w:szCs w:val="24"/>
    </w:rPr>
  </w:style>
  <w:style w:type="paragraph" w:styleId="1220">
    <w:name w:val="无间隔1_0_0"/>
    <w:basedOn w:val="1071"/>
    <w:next w:val="1220"/>
    <w:link w:val="768"/>
    <w:qFormat/>
    <w:rPr>
      <w:rFonts w:ascii="Times New Roman" w:hAnsi="Times New Roman"/>
      <w:szCs w:val="21"/>
    </w:rPr>
  </w:style>
  <w:style w:type="paragraph" w:styleId="1221">
    <w:name w:val="正文_0_2"/>
    <w:next w:val="1221"/>
    <w:link w:val="768"/>
    <w:qFormat/>
    <w:pPr>
      <w:jc w:val="both"/>
      <w:widowControl w:val="off"/>
    </w:pPr>
    <w:rPr>
      <w:szCs w:val="24"/>
      <w:lang w:val="en-US" w:eastAsia="zh-CN" w:bidi="ar-SA"/>
    </w:rPr>
  </w:style>
  <w:style w:type="paragraph" w:styleId="1222">
    <w:name w:val="标题 4_0"/>
    <w:basedOn w:val="1223"/>
    <w:next w:val="1223"/>
    <w:link w:val="768"/>
    <w:uiPriority w:val="9"/>
    <w:unhideWhenUsed/>
    <w:qFormat/>
    <w:pPr>
      <w:keepLines/>
      <w:keepNext/>
      <w:spacing w:before="280" w:after="290" w:line="372" w:lineRule="auto"/>
      <w:outlineLvl w:val="3"/>
    </w:pPr>
    <w:rPr>
      <w:rFonts w:ascii="Arial" w:hAnsi="Arial" w:eastAsia="黑体"/>
      <w:b/>
      <w:sz w:val="28"/>
    </w:rPr>
  </w:style>
  <w:style w:type="paragraph" w:styleId="1223">
    <w:name w:val="正文4"/>
    <w:next w:val="1223"/>
    <w:link w:val="768"/>
    <w:qFormat/>
    <w:pPr>
      <w:jc w:val="both"/>
      <w:widowControl w:val="off"/>
    </w:pPr>
    <w:rPr>
      <w:rFonts w:ascii="Calibri" w:hAnsi="Calibri"/>
      <w:lang w:val="en-US" w:eastAsia="zh-CN" w:bidi="ar-SA"/>
    </w:rPr>
  </w:style>
  <w:style w:type="paragraph" w:styleId="1224">
    <w:name w:val="正文_3_0_0"/>
    <w:next w:val="1224"/>
    <w:link w:val="768"/>
    <w:qFormat/>
    <w:pPr>
      <w:jc w:val="both"/>
      <w:widowControl w:val="off"/>
    </w:pPr>
    <w:rPr>
      <w:lang w:val="en-US" w:eastAsia="zh-CN" w:bidi="ar-SA"/>
    </w:rPr>
  </w:style>
  <w:style w:type="paragraph" w:styleId="1225">
    <w:name w:val="p17_0_0"/>
    <w:basedOn w:val="1114"/>
    <w:next w:val="1225"/>
    <w:link w:val="768"/>
    <w:qFormat/>
    <w:pPr>
      <w:jc w:val="left"/>
      <w:spacing w:before="100" w:beforeAutospacing="1" w:after="100" w:afterAutospacing="1"/>
      <w:widowControl/>
    </w:pPr>
    <w:rPr>
      <w:rFonts w:ascii="宋体" w:hAnsi="宋体" w:eastAsia="Times New Roman" w:cs="宋体"/>
      <w:sz w:val="24"/>
      <w:szCs w:val="24"/>
    </w:rPr>
  </w:style>
  <w:style w:type="paragraph" w:styleId="1226">
    <w:name w:val="p17_0"/>
    <w:basedOn w:val="786"/>
    <w:next w:val="1226"/>
    <w:link w:val="768"/>
    <w:qFormat/>
    <w:pPr>
      <w:jc w:val="left"/>
      <w:spacing w:before="100" w:beforeAutospacing="1" w:after="100" w:afterAutospacing="1"/>
      <w:widowControl/>
    </w:pPr>
    <w:rPr>
      <w:rFonts w:ascii="宋体" w:hAnsi="宋体" w:eastAsia="Times New Roman" w:cs="宋体"/>
      <w:sz w:val="24"/>
      <w:szCs w:val="24"/>
    </w:rPr>
  </w:style>
  <w:style w:type="paragraph" w:styleId="1227">
    <w:name w:val="普通(网站)11"/>
    <w:basedOn w:val="768"/>
    <w:next w:val="1227"/>
    <w:link w:val="768"/>
    <w:uiPriority w:val="99"/>
    <w:qFormat/>
    <w:rPr>
      <w:sz w:val="24"/>
    </w:rPr>
  </w:style>
  <w:style w:type="paragraph" w:styleId="1228">
    <w:name w:val="AONormal"/>
    <w:next w:val="1228"/>
    <w:link w:val="768"/>
    <w:qFormat/>
    <w:pPr>
      <w:ind w:firstLine="440"/>
      <w:spacing w:line="400" w:lineRule="exact"/>
    </w:pPr>
    <w:rPr>
      <w:rFonts w:ascii="华文楷体" w:hAnsi="华文楷体" w:eastAsia="华文楷体" w:cs="华文楷体"/>
      <w:sz w:val="22"/>
      <w:szCs w:val="21"/>
      <w:lang w:val="en-US" w:eastAsia="zh-CN" w:bidi="ar-SA"/>
    </w:rPr>
  </w:style>
  <w:style w:type="paragraph" w:styleId="1229">
    <w:name w:val="标题 5_0"/>
    <w:basedOn w:val="1071"/>
    <w:next w:val="1071"/>
    <w:link w:val="768"/>
    <w:qFormat/>
    <w:pPr>
      <w:ind w:left="522"/>
      <w:jc w:val="left"/>
      <w:spacing w:before="100" w:beforeAutospacing="1" w:after="100" w:afterAutospacing="1"/>
      <w:outlineLvl w:val="4"/>
    </w:pPr>
    <w:rPr>
      <w:rFonts w:ascii="仿宋" w:hAnsi="仿宋" w:eastAsia="仿宋" w:cs="宋体"/>
      <w:b/>
      <w:bCs/>
      <w:sz w:val="28"/>
      <w:szCs w:val="28"/>
    </w:rPr>
  </w:style>
  <w:style w:type="paragraph" w:styleId="1230">
    <w:name w:val="正文_0"/>
    <w:next w:val="1230"/>
    <w:link w:val="768"/>
    <w:qFormat/>
    <w:pPr>
      <w:jc w:val="both"/>
      <w:widowControl w:val="off"/>
    </w:pPr>
    <w:rPr>
      <w:sz w:val="21"/>
      <w:szCs w:val="24"/>
      <w:lang w:val="en-US" w:eastAsia="zh-CN" w:bidi="ar-SA"/>
    </w:rPr>
  </w:style>
  <w:style w:type="paragraph" w:styleId="1231">
    <w:name w:val="Heading 2"/>
    <w:basedOn w:val="768"/>
    <w:next w:val="768"/>
    <w:link w:val="1232"/>
    <w:uiPriority w:val="9"/>
    <w:unhideWhenUsed/>
    <w:qFormat/>
    <w:pPr>
      <w:keepLines/>
      <w:keepNext/>
      <w:spacing w:before="360" w:after="200"/>
      <w:outlineLvl w:val="1"/>
    </w:pPr>
    <w:rPr>
      <w:rFonts w:ascii="Arial" w:hAnsi="Arial" w:eastAsia="Arial"/>
      <w:sz w:val="34"/>
      <w:szCs w:val="21"/>
    </w:rPr>
  </w:style>
  <w:style w:type="character" w:styleId="1232">
    <w:name w:val="标题 2 字符1"/>
    <w:next w:val="1232"/>
    <w:link w:val="1231"/>
    <w:uiPriority w:val="9"/>
    <w:qFormat/>
    <w:rPr>
      <w:rFonts w:ascii="Arial" w:hAnsi="Arial" w:eastAsia="Arial"/>
      <w:sz w:val="34"/>
      <w:szCs w:val="21"/>
    </w:rPr>
  </w:style>
  <w:style w:type="paragraph" w:styleId="1233">
    <w:name w:val="Footer1"/>
    <w:basedOn w:val="768"/>
    <w:next w:val="1233"/>
    <w:link w:val="1234"/>
    <w:uiPriority w:val="99"/>
    <w:unhideWhenUsed/>
    <w:qFormat/>
    <w:pPr>
      <w:tabs>
        <w:tab w:val="center" w:pos="7143" w:leader="none"/>
        <w:tab w:val="right" w:pos="14287" w:leader="none"/>
      </w:tabs>
    </w:pPr>
    <w:rPr>
      <w:rFonts w:ascii="Times New Roman" w:hAnsi="Times New Roman"/>
      <w:szCs w:val="21"/>
    </w:rPr>
  </w:style>
  <w:style w:type="character" w:styleId="1234">
    <w:name w:val="页脚 字符1"/>
    <w:next w:val="1234"/>
    <w:link w:val="1233"/>
    <w:uiPriority w:val="99"/>
    <w:qFormat/>
    <w:rPr>
      <w:sz w:val="21"/>
      <w:szCs w:val="21"/>
    </w:rPr>
  </w:style>
  <w:style w:type="paragraph" w:styleId="1235">
    <w:name w:val="Header1"/>
    <w:basedOn w:val="768"/>
    <w:next w:val="1235"/>
    <w:link w:val="1236"/>
    <w:uiPriority w:val="99"/>
    <w:unhideWhenUsed/>
    <w:qFormat/>
    <w:pPr>
      <w:tabs>
        <w:tab w:val="center" w:pos="7143" w:leader="none"/>
        <w:tab w:val="right" w:pos="14287" w:leader="none"/>
      </w:tabs>
    </w:pPr>
    <w:rPr>
      <w:rFonts w:ascii="Times New Roman" w:hAnsi="Times New Roman"/>
      <w:szCs w:val="21"/>
    </w:rPr>
  </w:style>
  <w:style w:type="character" w:styleId="1236">
    <w:name w:val="页眉 字符1"/>
    <w:next w:val="1236"/>
    <w:link w:val="1235"/>
    <w:uiPriority w:val="99"/>
    <w:qFormat/>
    <w:rPr>
      <w:sz w:val="21"/>
      <w:szCs w:val="21"/>
    </w:rPr>
  </w:style>
  <w:style w:type="paragraph" w:styleId="1237">
    <w:name w:val="正文文本11"/>
    <w:basedOn w:val="768"/>
    <w:next w:val="768"/>
    <w:link w:val="768"/>
    <w:qFormat/>
    <w:rPr>
      <w:rFonts w:ascii="楷体_GB2312" w:hAnsi="Arial" w:eastAsia="楷体_GB2312"/>
      <w:sz w:val="28"/>
      <w:szCs w:val="28"/>
    </w:rPr>
  </w:style>
  <w:style w:type="paragraph" w:styleId="1238">
    <w:name w:val="正文文本 2_0"/>
    <w:basedOn w:val="908"/>
    <w:next w:val="1238"/>
    <w:link w:val="768"/>
    <w:qFormat/>
    <w:rPr>
      <w:rFonts w:ascii="仿宋_GB2312" w:eastAsia="仿宋_GB2312"/>
      <w:sz w:val="28"/>
    </w:rPr>
  </w:style>
  <w:style w:type="table" w:styleId="1239">
    <w:name w:val="网格型1"/>
    <w:basedOn w:val="1240"/>
    <w:next w:val="1239"/>
    <w:link w:val="768"/>
    <w:qFormat/>
    <w:pPr>
      <w:jc w:val="both"/>
      <w:widowControl w:val="off"/>
    </w:pPr>
    <w:tblPr/>
  </w:style>
  <w:style w:type="table" w:styleId="1240">
    <w:name w:val="普通表格1"/>
    <w:next w:val="1240"/>
    <w:link w:val="768"/>
    <w:uiPriority w:val="99"/>
    <w:unhideWhenUsed/>
    <w:qFormat/>
    <w:tblPr/>
  </w:style>
  <w:style w:type="paragraph" w:styleId="1241">
    <w:name w:val="标题 211"/>
    <w:basedOn w:val="768"/>
    <w:next w:val="1242"/>
    <w:link w:val="768"/>
    <w:qFormat/>
    <w:pPr>
      <w:keepLines/>
      <w:keepNext/>
      <w:spacing w:before="260" w:after="260" w:line="413" w:lineRule="auto"/>
      <w:outlineLvl w:val="1"/>
    </w:pPr>
    <w:rPr>
      <w:rFonts w:ascii="Arial" w:hAnsi="Arial" w:eastAsia="黑体"/>
      <w:b/>
      <w:sz w:val="32"/>
      <w:szCs w:val="20"/>
    </w:rPr>
  </w:style>
  <w:style w:type="paragraph" w:styleId="1242">
    <w:name w:val="正文缩进11"/>
    <w:basedOn w:val="768"/>
    <w:next w:val="768"/>
    <w:link w:val="768"/>
    <w:qFormat/>
    <w:pPr>
      <w:ind w:firstLine="420"/>
    </w:pPr>
    <w:rPr>
      <w:rFonts w:ascii="宋体"/>
      <w:color w:val="000000"/>
      <w:sz w:val="24"/>
      <w:szCs w:val="20"/>
    </w:rPr>
  </w:style>
  <w:style w:type="character" w:styleId="1243">
    <w:name w:val="强调1"/>
    <w:next w:val="1243"/>
    <w:link w:val="768"/>
    <w:qFormat/>
    <w:rPr>
      <w:rFonts w:ascii="Calibri" w:hAnsi="Calibri" w:eastAsia="宋体" w:cs="Times New Roman"/>
      <w:sz w:val="21"/>
      <w:szCs w:val="22"/>
      <w:lang w:val="en-US" w:eastAsia="zh-CN" w:bidi="ar-SA"/>
    </w:rPr>
  </w:style>
  <w:style w:type="paragraph" w:styleId="1244">
    <w:name w:val="正文_25"/>
    <w:next w:val="1244"/>
    <w:link w:val="768"/>
    <w:qFormat/>
    <w:pPr>
      <w:jc w:val="both"/>
      <w:widowControl w:val="off"/>
    </w:pPr>
    <w:rPr>
      <w:rFonts w:ascii="Calibri" w:hAnsi="Calibri" w:eastAsia="宋体" w:cs="Times New Roman"/>
      <w:sz w:val="21"/>
      <w:szCs w:val="22"/>
      <w:lang w:val="en-US" w:eastAsia="zh-CN" w:bidi="ar-SA"/>
    </w:rPr>
  </w:style>
  <w:style w:type="character" w:styleId="30982" w:default="1">
    <w:name w:val="Default Paragraph Font"/>
    <w:uiPriority w:val="1"/>
    <w:semiHidden/>
    <w:unhideWhenUsed/>
  </w:style>
  <w:style w:type="numbering" w:styleId="30983" w:default="1">
    <w:name w:val="No List"/>
    <w:uiPriority w:val="99"/>
    <w:semiHidden/>
    <w:unhideWhenUsed/>
  </w:style>
  <w:style w:type="table" w:styleId="309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嘻嘻</dc:creator>
  <cp:lastModifiedBy>王利春</cp:lastModifiedBy>
  <cp:revision>2</cp:revision>
  <dcterms:created xsi:type="dcterms:W3CDTF">2025-06-10T07:15:00Z</dcterms:created>
  <dcterms:modified xsi:type="dcterms:W3CDTF">2026-10-30T08:30:03Z</dcterms:modified>
</cp:coreProperties>
</file>