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溧阳经济开发区（上兴镇）2026年度绿化养护服务项目</w:t>
      </w:r>
      <w:r/>
    </w:p>
    <w:p>
      <w:pPr>
        <w:ind w:left="2832" w:hanging="1900"/>
        <w:jc w:val="left"/>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项目编号：</w:t>
      </w:r>
      <w:r>
        <w:rPr>
          <w:rFonts w:hint="eastAsia"/>
          <w:bCs/>
          <w:sz w:val="36"/>
          <w:szCs w:val="36"/>
          <w:highlight w:val="none"/>
        </w:rPr>
        <w:t xml:space="preserve">JSZC-320481-LTZB-G2026-0030</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val="en-US" w:eastAsia="zh-CN"/>
        </w:rPr>
        <w:t xml:space="preserve">溧阳市上兴镇人民政府   </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6"/>
          <w:footerReference w:type="first" r:id="rId17"/>
          <w:footnotePr/>
          <w:endnotePr/>
          <w:type w:val="nextPage"/>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09"/>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90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910"/>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90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910"/>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90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910"/>
          <w:rFonts w:ascii="Times New Roman" w:hAnsi="Times New Roman"/>
          <w:color w:val="000000"/>
          <w:highlight w:val="none"/>
        </w:rPr>
        <w:t xml:space="preserve">第三章   资</w:t>
      </w:r>
      <w:bookmarkStart w:id="1" w:name="_Hlt100754117"/>
      <w:r>
        <w:rPr>
          <w:rStyle w:val="910"/>
          <w:rFonts w:ascii="Times New Roman" w:hAnsi="Times New Roman"/>
          <w:color w:val="000000"/>
          <w:highlight w:val="none"/>
        </w:rPr>
        <w:t xml:space="preserve">格</w:t>
      </w:r>
      <w:bookmarkEnd w:id="1"/>
      <w:r>
        <w:rPr>
          <w:rStyle w:val="910"/>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p>
    <w:p>
      <w:pPr>
        <w:pStyle w:val="90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910"/>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p>
    <w:p>
      <w:pPr>
        <w:pStyle w:val="90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910"/>
          <w:rFonts w:ascii="Times New Roman" w:hAnsi="Times New Roman"/>
          <w:color w:val="000000"/>
          <w:highlight w:val="none"/>
        </w:rPr>
        <w:t xml:space="preserve">第五章   采购</w:t>
      </w:r>
      <w:bookmarkStart w:id="2" w:name="_Hlt100754103"/>
      <w:r/>
      <w:bookmarkStart w:id="3" w:name="_Hlt100754102"/>
      <w:r>
        <w:rPr>
          <w:rStyle w:val="910"/>
          <w:rFonts w:ascii="Times New Roman" w:hAnsi="Times New Roman"/>
          <w:color w:val="000000"/>
          <w:highlight w:val="none"/>
        </w:rPr>
        <w:t xml:space="preserve">需</w:t>
      </w:r>
      <w:bookmarkEnd w:id="2"/>
      <w:r/>
      <w:bookmarkEnd w:id="3"/>
      <w:r>
        <w:rPr>
          <w:rStyle w:val="910"/>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33</w:t>
      </w:r>
      <w:r>
        <w:rPr>
          <w:rFonts w:ascii="Times New Roman" w:hAnsi="Times New Roman"/>
          <w:highlight w:val="none"/>
        </w:rPr>
        <w:fldChar w:fldCharType="end"/>
      </w:r>
      <w:r>
        <w:rPr>
          <w:rFonts w:ascii="Times New Roman" w:hAnsi="Times New Roman"/>
          <w:highlight w:val="none"/>
        </w:rPr>
        <w:fldChar w:fldCharType="end"/>
      </w:r>
      <w:r/>
    </w:p>
    <w:p>
      <w:pPr>
        <w:pStyle w:val="909"/>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910"/>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909"/>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910"/>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909"/>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color w:val="auto"/>
          <w:sz w:val="36"/>
          <w:szCs w:val="36"/>
          <w:highlight w:val="none"/>
        </w:rPr>
        <w:outlineLvl w:val="0"/>
      </w:pPr>
      <w:r>
        <w:rPr>
          <w:b/>
          <w:color w:val="auto"/>
          <w:sz w:val="36"/>
          <w:szCs w:val="36"/>
          <w:highlight w:val="none"/>
        </w:rPr>
        <w:t xml:space="preserve">第一章   投标邀请</w:t>
      </w:r>
      <w:bookmarkEnd w:id="4"/>
      <w:r/>
      <w:r/>
    </w:p>
    <w:p>
      <w:pPr>
        <w:pStyle w:val="911"/>
        <w:ind w:left="0"/>
        <w:jc w:val="left"/>
        <w:pageBreakBefore w:val="0"/>
        <w:spacing w:before="0" w:line="360" w:lineRule="auto"/>
        <w:widowControl w:val="off"/>
        <w:rPr>
          <w:rFonts w:ascii="Times New Roman" w:hAnsi="Times New Roman" w:eastAsia="宋体"/>
          <w:color w:val="auto"/>
          <w:sz w:val="24"/>
          <w:szCs w:val="24"/>
          <w:highlight w:val="none"/>
        </w:rPr>
      </w:pPr>
      <w:r/>
      <w:bookmarkStart w:id="5" w:name="_Toc28359079"/>
      <w:r/>
      <w:bookmarkStart w:id="6" w:name="_Toc28359002"/>
      <w:r/>
      <w:bookmarkStart w:id="7" w:name="_Toc35393790"/>
      <w:r/>
      <w:bookmarkStart w:id="8" w:name="_Toc35393621"/>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1.项目编号：</w:t>
      </w:r>
      <w:r>
        <w:rPr>
          <w:rFonts w:hint="eastAsia"/>
          <w:color w:val="auto"/>
          <w:sz w:val="24"/>
          <w:highlight w:val="none"/>
          <w:u w:val="single"/>
          <w:lang w:val="en-US" w:eastAsia="zh-CN"/>
        </w:rPr>
        <w:t xml:space="preserve"> JSZC-320481-LTZB-G2026-0030 </w:t>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2.项目名称：</w:t>
      </w:r>
      <w:r>
        <w:rPr>
          <w:rFonts w:hint="eastAsia"/>
          <w:color w:val="auto"/>
          <w:sz w:val="24"/>
          <w:highlight w:val="none"/>
          <w:u w:val="single"/>
          <w:lang w:val="en-US" w:eastAsia="zh-CN"/>
        </w:rPr>
        <w:t xml:space="preserve"> 溧阳经济开发区（上兴镇）2026年度绿化养护服务项目 </w:t>
      </w:r>
      <w:bookmarkEnd w:id="9"/>
      <w:r/>
    </w:p>
    <w:p>
      <w:pPr>
        <w:ind w:left="0" w:firstLine="480"/>
        <w:pageBreakBefore w:val="0"/>
        <w:spacing w:line="360" w:lineRule="auto"/>
        <w:widowControl w:val="off"/>
        <w:rPr>
          <w:rFonts w:hint="eastAsia"/>
          <w:color w:val="auto"/>
          <w:sz w:val="24"/>
          <w:highlight w:val="none"/>
          <w:u w:val="none"/>
          <w:lang w:val="en-US" w:eastAsia="zh-CN"/>
        </w:rPr>
      </w:pPr>
      <w:r>
        <w:rPr>
          <w:color w:val="auto"/>
          <w:sz w:val="24"/>
          <w:highlight w:val="none"/>
        </w:rPr>
        <w:t xml:space="preserve">3.</w:t>
      </w:r>
      <w:r>
        <w:rPr>
          <w:rFonts w:hint="eastAsia"/>
          <w:color w:val="auto"/>
          <w:sz w:val="24"/>
          <w:highlight w:val="none"/>
        </w:rPr>
        <w:t xml:space="preserve">项目预算金额：</w:t>
      </w:r>
      <w:r>
        <w:rPr>
          <w:rFonts w:hint="eastAsia"/>
          <w:color w:val="auto"/>
          <w:sz w:val="24"/>
          <w:highlight w:val="none"/>
          <w:u w:val="single"/>
          <w:lang w:val="en-US" w:eastAsia="zh-CN"/>
        </w:rPr>
        <w:t xml:space="preserve"> 1054</w:t>
      </w:r>
      <w:r>
        <w:rPr>
          <w:rFonts w:hint="eastAsia" w:ascii="宋体" w:hAnsi="宋体" w:cs="宋体"/>
          <w:color w:val="auto"/>
          <w:sz w:val="24"/>
          <w:u w:val="single"/>
        </w:rPr>
        <w:t xml:space="preserve">万元</w:t>
      </w:r>
      <w:r>
        <w:rPr>
          <w:rFonts w:hint="eastAsia" w:ascii="宋体" w:hAnsi="宋体" w:cs="宋体"/>
          <w:color w:val="auto"/>
          <w:sz w:val="24"/>
          <w:u w:val="single"/>
          <w:lang w:val="en-US" w:eastAsia="zh-CN"/>
        </w:rPr>
        <w:t xml:space="preserve">/2年  527万元/年</w:t>
      </w:r>
      <w:r>
        <w:rPr>
          <w:rFonts w:hint="eastAsia"/>
          <w:color w:val="auto"/>
          <w:sz w:val="24"/>
          <w:highlight w:val="none"/>
          <w:u w:val="none"/>
          <w:lang w:val="en-US" w:eastAsia="zh-CN"/>
        </w:rPr>
        <w:t xml:space="preserve">；</w:t>
      </w:r>
      <w:r/>
    </w:p>
    <w:p>
      <w:pPr>
        <w:ind w:left="0" w:firstLine="480"/>
        <w:pageBreakBefore w:val="0"/>
        <w:spacing w:line="360" w:lineRule="auto"/>
        <w:widowControl w:val="off"/>
        <w:rPr>
          <w:rFonts w:hint="eastAsia" w:ascii="宋体" w:hAnsi="宋体" w:cs="宋体"/>
          <w:color w:val="auto"/>
          <w:sz w:val="24"/>
          <w:u w:val="single"/>
          <w:lang w:val="en-US" w:eastAsia="zh-CN"/>
        </w:rPr>
      </w:pPr>
      <w:r>
        <w:rPr>
          <w:rFonts w:hint="eastAsia"/>
          <w:color w:val="auto"/>
          <w:sz w:val="24"/>
          <w:highlight w:val="none"/>
        </w:rPr>
        <w:t xml:space="preserve">项目最高限价：</w:t>
      </w:r>
      <w:r>
        <w:rPr>
          <w:rFonts w:hint="eastAsia"/>
          <w:color w:val="auto"/>
          <w:sz w:val="24"/>
          <w:highlight w:val="none"/>
          <w:u w:val="single"/>
          <w:lang w:val="en-US" w:eastAsia="zh-CN"/>
        </w:rPr>
        <w:t xml:space="preserve"> </w:t>
      </w:r>
      <w:r>
        <w:rPr>
          <w:rFonts w:hint="eastAsia" w:ascii="宋体" w:hAnsi="宋体" w:cs="宋体"/>
          <w:color w:val="auto"/>
          <w:sz w:val="24"/>
          <w:u w:val="single"/>
          <w:lang w:val="en-US" w:eastAsia="zh-CN"/>
        </w:rPr>
        <w:t xml:space="preserve">（01包）：167.718万元/年；（02包）：158.014万元/年；</w:t>
      </w:r>
      <w:r/>
    </w:p>
    <w:p>
      <w:pPr>
        <w:ind w:left="0" w:firstLine="2224"/>
        <w:pageBreakBefore w:val="0"/>
        <w:spacing w:line="360" w:lineRule="auto"/>
        <w:widowControl w:val="off"/>
        <w:rPr>
          <w:rFonts w:hint="default"/>
          <w:color w:val="auto"/>
          <w:sz w:val="24"/>
          <w:highlight w:val="none"/>
          <w:lang w:val="en-US" w:eastAsia="zh-CN"/>
        </w:rPr>
      </w:pPr>
      <w:r>
        <w:rPr>
          <w:rFonts w:hint="eastAsia" w:ascii="宋体" w:hAnsi="宋体" w:cs="宋体"/>
          <w:color w:val="auto"/>
          <w:sz w:val="24"/>
          <w:u w:val="single"/>
          <w:lang w:val="en-US" w:eastAsia="zh-CN"/>
        </w:rPr>
        <w:t xml:space="preserve">（03包）：112.6万元/年；（04</w:t>
      </w:r>
      <w:bookmarkStart w:id="912" w:name="_GoBack"/>
      <w:r/>
      <w:bookmarkEnd w:id="912"/>
      <w:r>
        <w:rPr>
          <w:rFonts w:hint="eastAsia" w:ascii="宋体" w:hAnsi="宋体" w:cs="宋体"/>
          <w:color w:val="auto"/>
          <w:sz w:val="24"/>
          <w:u w:val="single"/>
          <w:lang w:val="en-US" w:eastAsia="zh-CN"/>
        </w:rPr>
        <w:t xml:space="preserve">包）：88.668万元/年  </w:t>
      </w:r>
      <w:r/>
    </w:p>
    <w:p>
      <w:pPr>
        <w:ind w:left="0" w:firstLine="480"/>
        <w:pageBreakBefore w:val="0"/>
        <w:spacing w:line="360" w:lineRule="auto"/>
        <w:widowControl w:val="off"/>
        <w:rPr>
          <w:color w:val="auto"/>
          <w:sz w:val="24"/>
          <w:highlight w:val="none"/>
        </w:rPr>
      </w:pPr>
      <w:r>
        <w:rPr>
          <w:color w:val="auto"/>
          <w:sz w:val="24"/>
          <w:highlight w:val="none"/>
        </w:rPr>
        <w:t xml:space="preserve">4.采购需求：</w:t>
      </w:r>
      <w:r/>
    </w:p>
    <w:tbl>
      <w:tblPr>
        <w:tblStyle w:val="899"/>
        <w:tblW w:w="54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4"/>
        <w:gridCol w:w="2344"/>
        <w:gridCol w:w="1915"/>
        <w:gridCol w:w="751"/>
        <w:gridCol w:w="4025"/>
      </w:tblGrid>
      <w:tr>
        <w:trPr>
          <w:jc w:val="center"/>
          <w:trHeight w:val="297"/>
        </w:trPr>
        <w:tc>
          <w:tcPr>
            <w:tcW w:w="783"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包号</w:t>
            </w:r>
            <w:r/>
          </w:p>
        </w:tc>
        <w:tc>
          <w:tcPr>
            <w:tcW w:w="2342"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标的名称</w:t>
            </w:r>
            <w:r/>
          </w:p>
        </w:tc>
        <w:tc>
          <w:tcPr>
            <w:tcW w:w="1913"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采购包预算金额（万元</w:t>
            </w:r>
            <w:r>
              <w:rPr>
                <w:rFonts w:hint="eastAsia" w:ascii="宋体" w:hAnsi="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w:t>
            </w:r>
            <w:r/>
          </w:p>
        </w:tc>
        <w:tc>
          <w:tcPr>
            <w:tcW w:w="750" w:type="dxa"/>
            <w:vAlign w:val="top"/>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数量</w:t>
            </w:r>
            <w:r/>
          </w:p>
        </w:tc>
        <w:tc>
          <w:tcPr>
            <w:tcW w:w="4021"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简要技术需求或服务要求</w:t>
            </w:r>
            <w:r/>
          </w:p>
        </w:tc>
      </w:tr>
      <w:tr>
        <w:trPr>
          <w:jc w:val="center"/>
          <w:trHeight w:val="90"/>
        </w:trPr>
        <w:tc>
          <w:tcPr>
            <w:tcW w:w="78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01</w:t>
            </w:r>
            <w:r/>
          </w:p>
        </w:tc>
        <w:tc>
          <w:tcPr>
            <w:tcW w:w="23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（上兴集镇标段</w:t>
            </w:r>
            <w:r>
              <w:rPr>
                <w:rFonts w:hint="eastAsia" w:ascii="宋体" w:hAnsi="宋体" w:cs="宋体"/>
                <w:color w:val="auto"/>
                <w:sz w:val="24"/>
                <w:szCs w:val="24"/>
                <w:highlight w:val="none"/>
                <w:lang w:val="en-US" w:eastAsia="zh-CN"/>
              </w:rPr>
              <w:t xml:space="preserve">）</w:t>
            </w:r>
            <w:r/>
          </w:p>
        </w:tc>
        <w:tc>
          <w:tcPr>
            <w:tcW w:w="1913" w:type="dxa"/>
            <w:vAlign w:val="center"/>
            <w:textDirection w:val="lrTb"/>
            <w:noWrap w:val="false"/>
          </w:tcPr>
          <w:p>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335.436</w:t>
            </w:r>
            <w:r/>
          </w:p>
        </w:tc>
        <w:tc>
          <w:tcPr>
            <w:tcW w:w="750" w:type="dxa"/>
            <w:vAlign w:val="center"/>
            <w:textDirection w:val="lrTb"/>
            <w:noWrap w:val="false"/>
          </w:tcPr>
          <w:p>
            <w:pPr>
              <w:contextualSpacing/>
              <w:jc w:val="center"/>
              <w:rPr>
                <w:rFonts w:hint="eastAsia" w:ascii="宋体" w:hAnsi="宋体" w:eastAsia="宋体" w:cs="宋体"/>
                <w:color w:val="auto"/>
                <w:sz w:val="24"/>
                <w:szCs w:val="24"/>
                <w:highlight w:val="none"/>
              </w:rPr>
            </w:pPr>
            <w:r>
              <w:rPr>
                <w:rFonts w:hint="eastAsia" w:ascii="宋体" w:hAnsi="宋体" w:cs="宋体"/>
                <w:color w:val="auto"/>
                <w:sz w:val="24"/>
                <w:lang w:val="en-US" w:eastAsia="zh-CN"/>
              </w:rPr>
              <w:t xml:space="preserve">1</w:t>
            </w:r>
            <w:r/>
          </w:p>
        </w:tc>
        <w:tc>
          <w:tcPr>
            <w:tcW w:w="4021" w:type="dxa"/>
            <w:vAlign w:val="center"/>
            <w:vMerge w:val="restart"/>
            <w:textDirection w:val="lrTb"/>
            <w:noWrap w:val="false"/>
          </w:tcPr>
          <w:p>
            <w:pPr>
              <w:contextualSpacing/>
              <w:jc w:val="both"/>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vertAlign w:val="baseline"/>
                <w:lang w:val="en-US" w:eastAsia="zh-CN"/>
              </w:rPr>
              <w:t xml:space="preserve">为进一步优化绿化养护工作，提高镇区绿化精细化、专业化管养水平，优化镇区环境，确保绿地整洁美观、树木花草茂盛</w:t>
            </w:r>
            <w:r>
              <w:rPr>
                <w:rFonts w:hint="eastAsia" w:ascii="宋体" w:hAnsi="宋体" w:cs="宋体"/>
                <w:color w:val="auto"/>
                <w:sz w:val="24"/>
                <w:szCs w:val="24"/>
                <w:vertAlign w:val="baseline"/>
                <w:lang w:val="en-US" w:eastAsia="zh-CN"/>
              </w:rPr>
              <w:t xml:space="preserve">。（详见采购需求）</w:t>
            </w:r>
            <w:r/>
          </w:p>
        </w:tc>
      </w:tr>
      <w:tr>
        <w:trPr>
          <w:jc w:val="center"/>
          <w:trHeight w:val="297"/>
        </w:trPr>
        <w:tc>
          <w:tcPr>
            <w:tcW w:w="783"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02</w:t>
            </w:r>
            <w:r/>
          </w:p>
        </w:tc>
        <w:tc>
          <w:tcPr>
            <w:shd w:val="clear" w:color="auto" w:fill="auto"/>
            <w:tcW w:w="2342" w:type="dxa"/>
            <w:vAlign w:val="center"/>
            <w:textDirection w:val="lrTb"/>
            <w:noWrap w:val="false"/>
          </w:tcPr>
          <w:p>
            <w:pPr>
              <w:jc w:val="center"/>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rPr>
              <w:t xml:space="preserve">（104国道标段）</w:t>
            </w:r>
            <w:r/>
          </w:p>
        </w:tc>
        <w:tc>
          <w:tcPr>
            <w:shd w:val="clear" w:color="auto" w:fill="auto"/>
            <w:tcW w:w="1913" w:type="dxa"/>
            <w:vAlign w:val="center"/>
            <w:textDirection w:val="lrTb"/>
            <w:noWrap w:val="false"/>
          </w:tcPr>
          <w:p>
            <w:pPr>
              <w:contextualSpacing/>
              <w:jc w:val="center"/>
              <w:rPr>
                <w:rFonts w:hint="default" w:ascii="宋体" w:hAnsi="宋体" w:eastAsia="宋体" w:cs="宋体"/>
                <w:color w:val="auto"/>
                <w:sz w:val="24"/>
                <w:szCs w:val="24"/>
                <w:lang w:val="en-US" w:eastAsia="zh-CN" w:bidi="ar-SA"/>
              </w:rPr>
            </w:pPr>
            <w:r>
              <w:rPr>
                <w:rFonts w:hint="eastAsia" w:ascii="宋体" w:hAnsi="宋体" w:cs="宋体"/>
                <w:color w:val="auto"/>
                <w:sz w:val="24"/>
                <w:lang w:val="en-US" w:eastAsia="zh-CN"/>
              </w:rPr>
              <w:t xml:space="preserve">316.028</w:t>
            </w:r>
            <w:r/>
          </w:p>
        </w:tc>
        <w:tc>
          <w:tcPr>
            <w:tcW w:w="750" w:type="dxa"/>
            <w:vAlign w:val="center"/>
            <w:textDirection w:val="lrTb"/>
            <w:noWrap w:val="false"/>
          </w:tcPr>
          <w:p>
            <w:pPr>
              <w:contextualSpacing/>
              <w:jc w:val="center"/>
              <w:rPr>
                <w:rFonts w:hint="eastAsia" w:ascii="宋体" w:hAnsi="宋体" w:cs="宋体"/>
                <w:color w:val="auto"/>
                <w:sz w:val="24"/>
                <w:lang w:val="en-US" w:eastAsia="zh-CN"/>
              </w:rPr>
            </w:pPr>
            <w:r>
              <w:rPr>
                <w:rFonts w:hint="eastAsia" w:ascii="宋体" w:hAnsi="宋体" w:cs="宋体"/>
                <w:color w:val="auto"/>
                <w:sz w:val="24"/>
                <w:lang w:val="en-US" w:eastAsia="zh-CN"/>
              </w:rPr>
              <w:t xml:space="preserve">1</w:t>
            </w:r>
            <w:r/>
          </w:p>
        </w:tc>
        <w:tc>
          <w:tcPr>
            <w:tcW w:w="4021" w:type="dxa"/>
            <w:vAlign w:val="center"/>
            <w:vMerge w:val="continue"/>
            <w:textDirection w:val="lrTb"/>
            <w:noWrap w:val="false"/>
          </w:tcPr>
          <w:p>
            <w:pPr>
              <w:contextualSpacing/>
              <w:jc w:val="both"/>
              <w:rPr>
                <w:rFonts w:hint="default" w:ascii="宋体" w:hAnsi="宋体" w:eastAsia="宋体" w:cs="宋体"/>
                <w:color w:val="auto"/>
                <w:sz w:val="24"/>
                <w:szCs w:val="24"/>
                <w:vertAlign w:val="baseline"/>
                <w:lang w:val="en-US" w:eastAsia="zh-CN"/>
              </w:rPr>
            </w:pPr>
            <w:r>
              <w:rPr>
                <w:rFonts w:hint="default" w:ascii="宋体" w:hAnsi="宋体" w:eastAsia="宋体" w:cs="宋体"/>
                <w:color w:val="auto"/>
                <w:sz w:val="24"/>
                <w:szCs w:val="24"/>
                <w:vertAlign w:val="baseline"/>
                <w:lang w:val="en-US" w:eastAsia="zh-CN"/>
              </w:rPr>
            </w:r>
            <w:r/>
          </w:p>
        </w:tc>
      </w:tr>
      <w:tr>
        <w:trPr>
          <w:jc w:val="center"/>
          <w:trHeight w:val="297"/>
        </w:trPr>
        <w:tc>
          <w:tcPr>
            <w:tcW w:w="783"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03</w:t>
            </w:r>
            <w:r/>
          </w:p>
        </w:tc>
        <w:tc>
          <w:tcPr>
            <w:tcW w:w="2342" w:type="dxa"/>
            <w:vAlign w:val="center"/>
            <w:textDirection w:val="lrTb"/>
            <w:noWrap w:val="false"/>
          </w:tcPr>
          <w:p>
            <w:pPr>
              <w:jc w:val="center"/>
              <w:rPr>
                <w:rFonts w:hint="eastAsia"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（工业园区标段）</w:t>
            </w:r>
            <w:r/>
          </w:p>
        </w:tc>
        <w:tc>
          <w:tcPr>
            <w:tcW w:w="1913" w:type="dxa"/>
            <w:vAlign w:val="center"/>
            <w:textDirection w:val="lrTb"/>
            <w:noWrap w:val="false"/>
          </w:tcPr>
          <w:p>
            <w:pPr>
              <w:contextualSpacing/>
              <w:jc w:val="center"/>
              <w:rPr>
                <w:rFonts w:hint="default" w:ascii="宋体" w:hAnsi="宋体" w:cs="宋体"/>
                <w:color w:val="auto"/>
                <w:sz w:val="24"/>
                <w:lang w:val="en-US" w:eastAsia="zh-CN"/>
              </w:rPr>
            </w:pPr>
            <w:r>
              <w:rPr>
                <w:rFonts w:hint="eastAsia" w:ascii="宋体" w:hAnsi="宋体" w:cs="宋体"/>
                <w:color w:val="auto"/>
                <w:sz w:val="24"/>
                <w:lang w:val="en-US" w:eastAsia="zh-CN"/>
              </w:rPr>
              <w:t xml:space="preserve">225.2</w:t>
            </w:r>
            <w:r/>
          </w:p>
        </w:tc>
        <w:tc>
          <w:tcPr>
            <w:tcW w:w="750" w:type="dxa"/>
            <w:vAlign w:val="center"/>
            <w:textDirection w:val="lrTb"/>
            <w:noWrap w:val="false"/>
          </w:tcPr>
          <w:p>
            <w:pPr>
              <w:contextualSpacing/>
              <w:jc w:val="center"/>
              <w:rPr>
                <w:rFonts w:hint="eastAsia" w:ascii="宋体" w:hAnsi="宋体" w:cs="宋体"/>
                <w:color w:val="auto"/>
                <w:sz w:val="24"/>
                <w:lang w:val="en-US" w:eastAsia="zh-CN"/>
              </w:rPr>
            </w:pPr>
            <w:r>
              <w:rPr>
                <w:rFonts w:hint="eastAsia" w:ascii="宋体" w:hAnsi="宋体" w:cs="宋体"/>
                <w:color w:val="auto"/>
                <w:sz w:val="24"/>
                <w:lang w:val="en-US" w:eastAsia="zh-CN"/>
              </w:rPr>
              <w:t xml:space="preserve">1</w:t>
            </w:r>
            <w:r/>
          </w:p>
        </w:tc>
        <w:tc>
          <w:tcPr>
            <w:tcW w:w="4021" w:type="dxa"/>
            <w:vAlign w:val="center"/>
            <w:vMerge w:val="continue"/>
            <w:textDirection w:val="lrTb"/>
            <w:noWrap w:val="false"/>
          </w:tcPr>
          <w:p>
            <w:pPr>
              <w:contextualSpacing/>
              <w:jc w:val="both"/>
              <w:rPr>
                <w:rFonts w:hint="default" w:ascii="宋体" w:hAnsi="宋体" w:eastAsia="宋体" w:cs="宋体"/>
                <w:color w:val="auto"/>
                <w:sz w:val="24"/>
                <w:szCs w:val="24"/>
                <w:vertAlign w:val="baseline"/>
                <w:lang w:val="en-US" w:eastAsia="zh-CN"/>
              </w:rPr>
            </w:pPr>
            <w:r>
              <w:rPr>
                <w:rFonts w:hint="default" w:ascii="宋体" w:hAnsi="宋体" w:eastAsia="宋体" w:cs="宋体"/>
                <w:color w:val="auto"/>
                <w:sz w:val="24"/>
                <w:szCs w:val="24"/>
                <w:vertAlign w:val="baseline"/>
                <w:lang w:val="en-US" w:eastAsia="zh-CN"/>
              </w:rPr>
            </w:r>
            <w:r/>
          </w:p>
        </w:tc>
      </w:tr>
      <w:tr>
        <w:trPr>
          <w:jc w:val="center"/>
          <w:trHeight w:val="297"/>
        </w:trPr>
        <w:tc>
          <w:tcPr>
            <w:tcW w:w="783"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04</w:t>
            </w:r>
            <w:r/>
          </w:p>
        </w:tc>
        <w:tc>
          <w:tcPr>
            <w:shd w:val="clear" w:color="auto" w:fill="auto"/>
            <w:tcW w:w="2342" w:type="dxa"/>
            <w:vAlign w:val="center"/>
            <w:textDirection w:val="lrTb"/>
            <w:noWrap w:val="false"/>
          </w:tcPr>
          <w:p>
            <w:pPr>
              <w:jc w:val="center"/>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rPr>
              <w:t xml:space="preserve">（上沛及曹山标段）</w:t>
            </w:r>
            <w:r/>
          </w:p>
        </w:tc>
        <w:tc>
          <w:tcPr>
            <w:shd w:val="clear" w:color="auto" w:fill="auto"/>
            <w:tcW w:w="1913" w:type="dxa"/>
            <w:vAlign w:val="center"/>
            <w:textDirection w:val="lrTb"/>
            <w:noWrap w:val="false"/>
          </w:tcPr>
          <w:p>
            <w:pPr>
              <w:contextualSpacing/>
              <w:jc w:val="center"/>
              <w:rPr>
                <w:rFonts w:hint="default" w:ascii="宋体" w:hAnsi="宋体" w:eastAsia="宋体" w:cs="宋体"/>
                <w:color w:val="auto"/>
                <w:sz w:val="24"/>
                <w:szCs w:val="24"/>
                <w:lang w:val="en-US" w:eastAsia="zh-CN" w:bidi="ar-SA"/>
              </w:rPr>
            </w:pPr>
            <w:r>
              <w:rPr>
                <w:rFonts w:hint="eastAsia" w:ascii="宋体" w:hAnsi="宋体" w:cs="宋体"/>
                <w:color w:val="auto"/>
                <w:sz w:val="24"/>
                <w:lang w:val="en-US" w:eastAsia="zh-CN"/>
              </w:rPr>
              <w:t xml:space="preserve">177.336</w:t>
            </w:r>
            <w:r/>
          </w:p>
        </w:tc>
        <w:tc>
          <w:tcPr>
            <w:tcW w:w="750" w:type="dxa"/>
            <w:vAlign w:val="center"/>
            <w:textDirection w:val="lrTb"/>
            <w:noWrap w:val="false"/>
          </w:tcPr>
          <w:p>
            <w:pPr>
              <w:contextualSpacing/>
              <w:jc w:val="center"/>
              <w:rPr>
                <w:rFonts w:hint="eastAsia" w:ascii="宋体" w:hAnsi="宋体" w:cs="宋体"/>
                <w:color w:val="auto"/>
                <w:sz w:val="24"/>
                <w:lang w:val="en-US" w:eastAsia="zh-CN"/>
              </w:rPr>
            </w:pPr>
            <w:r>
              <w:rPr>
                <w:rFonts w:hint="eastAsia" w:ascii="宋体" w:hAnsi="宋体" w:cs="宋体"/>
                <w:color w:val="auto"/>
                <w:sz w:val="24"/>
                <w:lang w:val="en-US" w:eastAsia="zh-CN"/>
              </w:rPr>
              <w:t xml:space="preserve">1</w:t>
            </w:r>
            <w:r/>
          </w:p>
        </w:tc>
        <w:tc>
          <w:tcPr>
            <w:tcW w:w="4021" w:type="dxa"/>
            <w:vAlign w:val="center"/>
            <w:vMerge w:val="continue"/>
            <w:textDirection w:val="lrTb"/>
            <w:noWrap w:val="false"/>
          </w:tcPr>
          <w:p>
            <w:pPr>
              <w:contextualSpacing/>
              <w:jc w:val="both"/>
              <w:rPr>
                <w:rFonts w:hint="default" w:ascii="宋体" w:hAnsi="宋体" w:eastAsia="宋体" w:cs="宋体"/>
                <w:color w:val="auto"/>
                <w:sz w:val="24"/>
                <w:szCs w:val="24"/>
                <w:vertAlign w:val="baseline"/>
                <w:lang w:val="en-US" w:eastAsia="zh-CN"/>
              </w:rPr>
            </w:pPr>
            <w:r>
              <w:rPr>
                <w:rFonts w:hint="default" w:ascii="宋体" w:hAnsi="宋体" w:eastAsia="宋体" w:cs="宋体"/>
                <w:color w:val="auto"/>
                <w:sz w:val="24"/>
                <w:szCs w:val="24"/>
                <w:vertAlign w:val="baseline"/>
                <w:lang w:val="en-US" w:eastAsia="zh-CN"/>
              </w:rPr>
            </w:r>
            <w:r/>
          </w:p>
        </w:tc>
      </w:tr>
    </w:tbl>
    <w:p>
      <w:pPr>
        <w:ind w:left="479" w:firstLine="0"/>
        <w:pageBreakBefore w:val="0"/>
        <w:spacing w:line="360" w:lineRule="auto"/>
        <w:widowControl w:val="off"/>
        <w:rPr>
          <w:rFonts w:hint="eastAsia" w:ascii="Times New Roman" w:hAnsi="Times New Roman" w:eastAsia="宋体" w:cs="Times New Roman"/>
          <w:color w:val="auto"/>
          <w:sz w:val="24"/>
          <w:highlight w:val="none"/>
          <w:u w:val="single"/>
          <w:lang w:eastAsia="zh-CN"/>
        </w:rPr>
      </w:pPr>
      <w:r>
        <w:rPr>
          <w:rFonts w:hint="eastAsia" w:ascii="Times New Roman" w:hAnsi="Times New Roman" w:eastAsia="宋体" w:cs="Times New Roman"/>
          <w:color w:val="auto"/>
          <w:sz w:val="24"/>
          <w:highlight w:val="none"/>
        </w:rPr>
        <w:t xml:space="preserve">5.</w:t>
      </w:r>
      <w:r>
        <w:rPr>
          <w:rFonts w:hint="eastAsia" w:ascii="Times New Roman" w:hAnsi="Times New Roman" w:eastAsia="宋体" w:cs="Times New Roman"/>
          <w:color w:val="auto"/>
          <w:sz w:val="24"/>
          <w:highlight w:val="none"/>
          <w:lang w:eastAsia="zh-CN"/>
        </w:rPr>
        <w:t xml:space="preserve">合同履行期限：</w:t>
      </w:r>
      <w:r>
        <w:rPr>
          <w:rFonts w:hint="eastAsia" w:cs="Times New Roman"/>
          <w:color w:val="auto"/>
          <w:sz w:val="24"/>
          <w:highlight w:val="none"/>
          <w:u w:val="single"/>
          <w:lang w:eastAsia="zh-CN"/>
        </w:rPr>
        <w:t xml:space="preserve">服务期限为两年，合同一年一签，经考核合格后方可续签下一年度合同</w:t>
      </w:r>
      <w:r>
        <w:rPr>
          <w:rFonts w:hint="eastAsia" w:ascii="Times New Roman" w:hAnsi="Times New Roman" w:eastAsia="宋体" w:cs="Times New Roman"/>
          <w:color w:val="auto"/>
          <w:sz w:val="24"/>
          <w:highlight w:val="none"/>
          <w:u w:val="single"/>
          <w:lang w:eastAsia="zh-CN"/>
        </w:rPr>
        <w:t xml:space="preserve">。</w:t>
      </w:r>
      <w:r/>
    </w:p>
    <w:p>
      <w:pPr>
        <w:ind w:left="479" w:firstLine="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eastAsia"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lang w:val="en-US" w:eastAsia="zh-CN"/>
        </w:rPr>
        <w:t xml:space="preserve">本项目招标分为四个包，采取兼投不兼中原则，评标顺序为01包、02包、03包04包，在01包中被推荐为第一中标候选人的单位不得成为02包的推荐中标候选人，在02包中被推荐为第一中标候选人的单位不得成为03包的推荐中标候选人，以此类推。</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.本项目是否接受联合体投标：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cs="Times New Roman"/>
          <w:color w:val="auto"/>
          <w:sz w:val="24"/>
          <w:highlight w:val="none"/>
          <w:lang w:val="en-US" w:eastAsia="zh-CN"/>
        </w:rPr>
        <w:t xml:space="preserve">8</w:t>
      </w:r>
      <w:r>
        <w:rPr>
          <w:rFonts w:hint="eastAsia" w:ascii="Times New Roman" w:hAnsi="Times New Roman" w:eastAsia="宋体" w:cs="Times New Roman"/>
          <w:color w:val="auto"/>
          <w:sz w:val="24"/>
          <w:highlight w:val="none"/>
        </w:rPr>
        <w:t xml:space="preserve">.本项目是否接受进口产品投标：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pStyle w:val="911"/>
        <w:ind w:left="0"/>
        <w:jc w:val="left"/>
        <w:pageBreakBefore w:val="0"/>
        <w:spacing w:before="0" w:line="360" w:lineRule="auto"/>
        <w:widowControl w:val="off"/>
        <w:rPr>
          <w:rFonts w:ascii="Times New Roman" w:hAnsi="Times New Roman" w:eastAsia="宋体"/>
          <w:color w:val="auto"/>
          <w:sz w:val="24"/>
          <w:szCs w:val="24"/>
          <w:highlight w:val="none"/>
        </w:rPr>
      </w:pPr>
      <w:r/>
      <w:bookmarkStart w:id="10" w:name="_Toc28359003"/>
      <w:r/>
      <w:bookmarkStart w:id="11" w:name="_Toc35393622"/>
      <w:r/>
      <w:bookmarkStart w:id="12" w:name="_Toc28359080"/>
      <w:r/>
      <w:bookmarkStart w:id="13" w:name="_Toc35393791"/>
      <w:r>
        <w:rPr>
          <w:rFonts w:ascii="Times New Roman" w:hAnsi="Times New Roman" w:eastAsia="宋体"/>
          <w:color w:val="auto"/>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color w:val="auto"/>
          <w:sz w:val="24"/>
          <w:highlight w:val="none"/>
        </w:rPr>
      </w:pPr>
      <w:r/>
      <w:bookmarkStart w:id="14" w:name="_Toc28359004"/>
      <w:r/>
      <w:bookmarkStart w:id="15" w:name="_Toc28359081"/>
      <w:r>
        <w:rPr>
          <w:color w:val="auto"/>
          <w:sz w:val="24"/>
          <w:highlight w:val="none"/>
        </w:rPr>
        <w:t xml:space="preserve">2.落实政府采购政策需满足的资格要求：</w:t>
      </w:r>
      <w:r/>
    </w:p>
    <w:p>
      <w:pPr>
        <w:ind w:left="0" w:firstLine="480"/>
        <w:pageBreakBefore w:val="0"/>
        <w:spacing w:line="360" w:lineRule="auto"/>
        <w:widowControl w:val="off"/>
        <w:rPr>
          <w:color w:val="auto"/>
          <w:sz w:val="24"/>
          <w:highlight w:val="none"/>
        </w:rPr>
      </w:pPr>
      <w:r>
        <w:rPr>
          <w:color w:val="auto"/>
          <w:sz w:val="24"/>
          <w:highlight w:val="none"/>
        </w:rPr>
        <w:t xml:space="preserve">2.1 中小企业政策</w:t>
      </w:r>
      <w:r/>
    </w:p>
    <w:p>
      <w:pPr>
        <w:ind w:left="0" w:firstLine="480"/>
        <w:pageBreakBefore w:val="0"/>
        <w:spacing w:line="360" w:lineRule="auto"/>
        <w:widowControl w:val="off"/>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本项目不专门面向中小企业预留采购份额。</w:t>
      </w:r>
      <w:r/>
    </w:p>
    <w:p>
      <w:pPr>
        <w:ind w:left="0" w:firstLine="480"/>
        <w:pageBreakBefore w:val="0"/>
        <w:spacing w:line="360" w:lineRule="auto"/>
        <w:widowControl w:val="off"/>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本项目专门面向 </w:t>
      </w:r>
      <w:r>
        <w:rPr>
          <w:rFonts w:hint="eastAsia"/>
          <w:color w:val="auto"/>
          <w:sz w:val="24"/>
          <w:highlight w:val="none"/>
          <w:lang w:val="en-US" w:eastAsia="zh-CN"/>
        </w:rPr>
        <w:t xml:space="preserve"> </w:t>
      </w:r>
      <w:r>
        <w:rPr>
          <w:rFonts w:hint="eastAsia"/>
          <w:b w:val="0"/>
          <w:bCs w:val="0"/>
          <w:color w:val="auto"/>
          <w:sz w:val="24"/>
          <w:highlight w:val="none"/>
          <w:lang w:eastAsia="zh-CN"/>
        </w:rPr>
        <w:t xml:space="preserve">☑</w:t>
      </w:r>
      <w:r>
        <w:rPr>
          <w:color w:val="auto"/>
          <w:sz w:val="24"/>
          <w:highlight w:val="none"/>
        </w:rPr>
        <w:t xml:space="preserve">中小 </w:t>
      </w:r>
      <w:r>
        <w:rPr>
          <w:rFonts w:hint="eastAsia"/>
          <w:color w:val="auto"/>
          <w:sz w:val="24"/>
          <w:highlight w:val="none"/>
          <w:lang w:eastAsia="zh-CN"/>
        </w:rPr>
        <w:t xml:space="preserve">☑</w:t>
      </w:r>
      <w:r>
        <w:rPr>
          <w:color w:val="auto"/>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color w:val="auto"/>
          <w:sz w:val="24"/>
          <w:highlight w:val="none"/>
        </w:rPr>
      </w:pPr>
      <w:r>
        <w:rPr>
          <w:rFonts w:hint="eastAsia" w:eastAsia="宋体"/>
          <w:b w:val="0"/>
          <w:bCs w:val="0"/>
          <w:color w:val="auto"/>
          <w:sz w:val="24"/>
          <w:highlight w:val="none"/>
          <w:lang w:eastAsia="zh-CN"/>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color w:val="auto"/>
          <w:sz w:val="24"/>
          <w:highlight w:val="none"/>
        </w:rPr>
      </w:pPr>
      <w:r>
        <w:rPr>
          <w:color w:val="auto"/>
          <w:sz w:val="24"/>
          <w:highlight w:val="none"/>
        </w:rPr>
        <w:t xml:space="preserve">2.2 </w:t>
      </w:r>
      <w:r>
        <w:rPr>
          <w:rFonts w:hint="eastAsia"/>
          <w:color w:val="auto"/>
          <w:sz w:val="24"/>
          <w:highlight w:val="none"/>
        </w:rPr>
        <w:t xml:space="preserve">其他</w:t>
      </w:r>
      <w:r>
        <w:rPr>
          <w:color w:val="auto"/>
          <w:sz w:val="24"/>
          <w:highlight w:val="none"/>
        </w:rPr>
        <w:t xml:space="preserve">落实政府采购政策的资格要求（如有）：</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i/>
          <w:iCs/>
          <w:color w:val="auto"/>
          <w:sz w:val="24"/>
          <w:highlight w:val="none"/>
          <w:u w:val="single"/>
        </w:rPr>
      </w:pPr>
      <w:r>
        <w:rPr>
          <w:color w:val="auto"/>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b w:val="0"/>
          <w:bCs w:val="0"/>
          <w:color w:val="auto"/>
          <w:sz w:val="24"/>
          <w:highlight w:val="none"/>
        </w:rPr>
        <w:t xml:space="preserve">3.1本项目是否接受分支机构参与投标：</w:t>
      </w:r>
      <w:r>
        <w:rPr>
          <w:rFonts w:hint="eastAsia" w:eastAsia="宋体"/>
          <w:b w:val="0"/>
          <w:bCs w:val="0"/>
          <w:color w:val="auto"/>
          <w:sz w:val="24"/>
          <w:highlight w:val="none"/>
          <w:lang w:eastAsia="zh-CN"/>
        </w:rPr>
        <w:t xml:space="preserve">□</w:t>
      </w:r>
      <w:r>
        <w:rPr>
          <w:b w:val="0"/>
          <w:bCs w:val="0"/>
          <w:color w:val="auto"/>
          <w:sz w:val="24"/>
          <w:highlight w:val="none"/>
        </w:rPr>
        <w:t xml:space="preserve">是   </w:t>
      </w:r>
      <w:r>
        <w:rPr>
          <w:rFonts w:hint="eastAsia"/>
          <w:b w:val="0"/>
          <w:bCs w:val="0"/>
          <w:color w:val="auto"/>
          <w:sz w:val="24"/>
          <w:highlight w:val="none"/>
          <w:lang w:eastAsia="zh-CN"/>
        </w:rPr>
        <w:t xml:space="preserve">☑</w:t>
      </w:r>
      <w:r>
        <w:rPr>
          <w:b w:val="0"/>
          <w:bCs w:val="0"/>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是，公益一类事业单位、使用事业编制且由财政拨款保障的群团组织，不得作为承接主体；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color w:val="auto"/>
          <w:sz w:val="24"/>
          <w:highlight w:val="none"/>
          <w:u w:val="single"/>
          <w:lang w:val="en-US" w:eastAsia="zh-CN"/>
        </w:rPr>
      </w:pPr>
      <w:r>
        <w:rPr>
          <w:b w:val="0"/>
          <w:bCs w:val="0"/>
          <w:color w:val="auto"/>
          <w:sz w:val="24"/>
          <w:highlight w:val="none"/>
        </w:rPr>
        <w:t xml:space="preserve">3.3其他特定资格要求：</w:t>
      </w:r>
      <w:r>
        <w:rPr>
          <w:rFonts w:hint="eastAsia"/>
          <w:b w:val="0"/>
          <w:bCs w:val="0"/>
          <w:color w:val="auto"/>
          <w:sz w:val="24"/>
          <w:highlight w:val="none"/>
          <w:u w:val="single"/>
          <w:lang w:val="en-US" w:eastAsia="zh-CN"/>
        </w:rPr>
        <w:t xml:space="preserve">       /      </w:t>
      </w:r>
      <w:r>
        <w:rPr>
          <w:rFonts w:hint="eastAsia"/>
          <w:b w:val="0"/>
          <w:bCs w:val="0"/>
          <w:color w:val="auto"/>
          <w:sz w:val="24"/>
          <w:highlight w:val="none"/>
          <w:lang w:eastAsia="zh-CN"/>
        </w:rPr>
        <w:t xml:space="preserve">。</w:t>
      </w:r>
      <w:bookmarkEnd w:id="14"/>
      <w:bookmarkEnd w:id="15"/>
      <w:r/>
    </w:p>
    <w:p>
      <w:pPr>
        <w:pStyle w:val="911"/>
        <w:jc w:val="left"/>
        <w:spacing w:before="0" w:line="360" w:lineRule="auto"/>
        <w:widowControl/>
        <w:rPr>
          <w:rFonts w:ascii="Times New Roman" w:hAnsi="Times New Roman" w:eastAsia="宋体"/>
          <w:color w:val="auto"/>
          <w:sz w:val="24"/>
          <w:szCs w:val="24"/>
          <w:highlight w:val="none"/>
        </w:rPr>
      </w:pPr>
      <w:r/>
      <w:bookmarkStart w:id="16" w:name="_Toc35393792"/>
      <w:r/>
      <w:bookmarkStart w:id="17" w:name="_Toc35393623"/>
      <w:r>
        <w:rPr>
          <w:rFonts w:ascii="Times New Roman" w:hAnsi="Times New Roman" w:eastAsia="宋体"/>
          <w:color w:val="auto"/>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color w:val="auto"/>
          <w:sz w:val="24"/>
          <w:highlight w:val="none"/>
          <w:lang w:val="en-US" w:eastAsia="zh-CN" w:bidi="ar"/>
        </w:rPr>
      </w:pPr>
      <w:r>
        <w:rPr>
          <w:rFonts w:hint="eastAsia" w:ascii="Times New Roman" w:hAnsi="Times New Roman" w:eastAsia="宋体" w:cs="Times New Roman"/>
          <w:color w:val="auto"/>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color w:val="auto"/>
          <w:sz w:val="24"/>
          <w:highlight w:val="none"/>
          <w:lang w:bidi="ar"/>
        </w:rPr>
      </w:pPr>
      <w:r>
        <w:rPr>
          <w:rFonts w:hint="eastAsia" w:ascii="Times New Roman" w:hAnsi="Times New Roman" w:eastAsia="宋体" w:cs="Times New Roman"/>
          <w:color w:val="auto"/>
          <w:sz w:val="24"/>
          <w:highlight w:val="none"/>
          <w:lang w:bidi="ar"/>
        </w:rPr>
        <w:t xml:space="preserve">2.地点：政府采购一体化平台“苏采云”</w:t>
      </w:r>
      <w:r/>
    </w:p>
    <w:p>
      <w:pPr>
        <w:ind w:firstLine="480"/>
        <w:jc w:val="left"/>
        <w:spacing w:line="360" w:lineRule="auto"/>
        <w:widowControl/>
        <w:rPr>
          <w:color w:val="auto"/>
          <w:sz w:val="24"/>
          <w:highlight w:val="none"/>
          <w:lang w:bidi="ar"/>
        </w:rPr>
      </w:pPr>
      <w:r>
        <w:rPr>
          <w:color w:val="auto"/>
          <w:sz w:val="24"/>
          <w:highlight w:val="none"/>
          <w:lang w:bidi="ar"/>
        </w:rPr>
        <w:t xml:space="preserve">3.方式：</w:t>
      </w:r>
      <w:r>
        <w:rPr>
          <w:rFonts w:hint="eastAsia"/>
          <w:color w:val="auto"/>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color w:val="auto"/>
          <w:sz w:val="24"/>
          <w:highlight w:val="none"/>
        </w:rPr>
      </w:pPr>
      <w:r>
        <w:rPr>
          <w:color w:val="auto"/>
          <w:sz w:val="24"/>
          <w:highlight w:val="none"/>
          <w:lang w:bidi="ar"/>
        </w:rPr>
        <w:t xml:space="preserve">4.售价：</w:t>
      </w:r>
      <w:r>
        <w:rPr>
          <w:rFonts w:hint="eastAsia"/>
          <w:color w:val="auto"/>
          <w:sz w:val="24"/>
          <w:highlight w:val="none"/>
          <w:u w:val="single"/>
          <w:lang w:bidi="ar"/>
        </w:rPr>
        <w:t xml:space="preserve"> 0 </w:t>
      </w:r>
      <w:r>
        <w:rPr>
          <w:rFonts w:hint="eastAsia"/>
          <w:color w:val="auto"/>
          <w:sz w:val="24"/>
          <w:highlight w:val="none"/>
          <w:lang w:bidi="ar"/>
        </w:rPr>
        <w:t xml:space="preserve">元</w:t>
      </w:r>
      <w:r>
        <w:rPr>
          <w:color w:val="auto"/>
          <w:sz w:val="24"/>
          <w:highlight w:val="none"/>
          <w:lang w:bidi="ar"/>
        </w:rPr>
        <w:t xml:space="preserve">。</w:t>
      </w:r>
      <w:r/>
    </w:p>
    <w:p>
      <w:pPr>
        <w:pStyle w:val="911"/>
        <w:jc w:val="left"/>
        <w:spacing w:before="0" w:line="360" w:lineRule="auto"/>
        <w:widowControl/>
        <w:rPr>
          <w:rFonts w:ascii="Times New Roman" w:hAnsi="Times New Roman" w:eastAsia="宋体"/>
          <w:color w:val="auto"/>
          <w:sz w:val="24"/>
          <w:szCs w:val="24"/>
          <w:highlight w:val="none"/>
        </w:rPr>
      </w:pPr>
      <w:r/>
      <w:bookmarkStart w:id="18" w:name="_Toc28359005"/>
      <w:r/>
      <w:bookmarkStart w:id="19" w:name="_Toc28359082"/>
      <w:r/>
      <w:bookmarkStart w:id="20" w:name="_Toc35393624"/>
      <w:r/>
      <w:bookmarkStart w:id="21" w:name="_Toc35393793"/>
      <w:r>
        <w:rPr>
          <w:rFonts w:ascii="Times New Roman" w:hAnsi="Times New Roman" w:eastAsia="宋体"/>
          <w:color w:val="auto"/>
          <w:sz w:val="24"/>
          <w:szCs w:val="24"/>
          <w:highlight w:val="none"/>
        </w:rPr>
        <w:t xml:space="preserve">四、提交投标文件</w:t>
      </w:r>
      <w:bookmarkEnd w:id="18"/>
      <w:r/>
      <w:bookmarkEnd w:id="19"/>
      <w:r>
        <w:rPr>
          <w:rFonts w:ascii="Times New Roman" w:hAnsi="Times New Roman" w:eastAsia="宋体"/>
          <w:color w:val="auto"/>
          <w:sz w:val="24"/>
          <w:szCs w:val="24"/>
          <w:highlight w:val="none"/>
        </w:rPr>
        <w:t xml:space="preserve">截止时间、开标时间和地点</w:t>
      </w:r>
      <w:bookmarkEnd w:id="20"/>
      <w:r/>
      <w:bookmarkEnd w:id="21"/>
      <w:r/>
      <w:r/>
    </w:p>
    <w:p>
      <w:pPr>
        <w:ind w:firstLine="480"/>
        <w:spacing w:line="360" w:lineRule="auto"/>
        <w:rPr>
          <w:bCs/>
          <w:color w:val="auto"/>
          <w:sz w:val="24"/>
          <w:highlight w:val="none"/>
          <w:u w:val="single"/>
        </w:rPr>
      </w:pPr>
      <w:r>
        <w:rPr>
          <w:color w:val="auto"/>
          <w:sz w:val="24"/>
          <w:highlight w:val="none"/>
          <w:lang w:bidi="ar"/>
        </w:rPr>
        <w:t xml:space="preserve">投标截止时间、开标时间：</w:t>
      </w:r>
      <w:r>
        <w:rPr>
          <w:rFonts w:hint="eastAsia"/>
          <w:color w:val="auto"/>
          <w:sz w:val="24"/>
          <w:highlight w:val="none"/>
          <w:u w:val="single"/>
          <w:lang w:val="en-US" w:eastAsia="zh-CN"/>
        </w:rPr>
        <w:t xml:space="preserve">2026年11月06日09点00分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lang w:val="zh-TW" w:bidi="ar"/>
        </w:rPr>
      </w:pPr>
      <w:r>
        <w:rPr>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color w:val="auto"/>
          <w:sz w:val="24"/>
          <w:highlight w:val="none"/>
          <w:u w:val="single"/>
          <w:lang w:val="zh-TW"/>
        </w:rPr>
        <w:t xml:space="preserve">。</w:t>
      </w:r>
      <w:r/>
    </w:p>
    <w:p>
      <w:pPr>
        <w:pStyle w:val="911"/>
        <w:jc w:val="left"/>
        <w:spacing w:before="0" w:line="360" w:lineRule="auto"/>
        <w:rPr>
          <w:rFonts w:ascii="Times New Roman" w:hAnsi="Times New Roman" w:eastAsia="宋体"/>
          <w:color w:val="auto"/>
          <w:sz w:val="24"/>
          <w:szCs w:val="24"/>
          <w:highlight w:val="none"/>
        </w:rPr>
      </w:pPr>
      <w:r/>
      <w:bookmarkStart w:id="22" w:name="_Toc35393794"/>
      <w:r/>
      <w:bookmarkStart w:id="23" w:name="_Toc35393625"/>
      <w:r/>
      <w:bookmarkStart w:id="24" w:name="_Toc28359084"/>
      <w:r/>
      <w:bookmarkStart w:id="25" w:name="_Toc28359007"/>
      <w:r>
        <w:rPr>
          <w:rFonts w:ascii="Times New Roman" w:hAnsi="Times New Roman" w:eastAsia="宋体"/>
          <w:color w:val="auto"/>
          <w:sz w:val="24"/>
          <w:szCs w:val="24"/>
          <w:highlight w:val="none"/>
        </w:rPr>
        <w:t xml:space="preserve">五、公告期限</w:t>
      </w:r>
      <w:bookmarkEnd w:id="22"/>
      <w:r/>
      <w:bookmarkEnd w:id="23"/>
      <w:r/>
      <w:bookmarkEnd w:id="24"/>
      <w:r/>
      <w:bookmarkEnd w:id="25"/>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11"/>
        <w:jc w:val="left"/>
        <w:spacing w:before="0" w:line="360" w:lineRule="auto"/>
        <w:rPr>
          <w:rFonts w:ascii="Times New Roman" w:hAnsi="Times New Roman" w:eastAsia="宋体"/>
          <w:color w:val="auto"/>
          <w:sz w:val="24"/>
          <w:szCs w:val="24"/>
          <w:highlight w:val="none"/>
        </w:rPr>
      </w:pPr>
      <w:r/>
      <w:bookmarkStart w:id="26" w:name="_Toc35393626"/>
      <w:r/>
      <w:bookmarkStart w:id="27" w:name="_Toc35393795"/>
      <w:r>
        <w:rPr>
          <w:rFonts w:ascii="Times New Roman" w:hAnsi="Times New Roman" w:eastAsia="宋体"/>
          <w:color w:val="auto"/>
          <w:sz w:val="24"/>
          <w:szCs w:val="24"/>
          <w:highlight w:val="none"/>
        </w:rPr>
        <w:t xml:space="preserve">六、其他补充事宜</w:t>
      </w:r>
      <w:bookmarkEnd w:id="26"/>
      <w:r/>
      <w:bookmarkEnd w:id="27"/>
      <w:r/>
      <w:r/>
    </w:p>
    <w:p>
      <w:pPr>
        <w:ind w:firstLine="480"/>
        <w:jc w:val="left"/>
        <w:spacing w:line="360" w:lineRule="auto"/>
        <w:rPr>
          <w:rFonts w:hint="eastAsia"/>
          <w:color w:val="auto"/>
          <w:sz w:val="24"/>
          <w:highlight w:val="none"/>
          <w:lang w:bidi="ar"/>
        </w:rPr>
      </w:pPr>
      <w:r>
        <w:rPr>
          <w:color w:val="auto"/>
          <w:sz w:val="24"/>
          <w:highlight w:val="none"/>
        </w:rPr>
        <w:t xml:space="preserve">1.本项目需要落实的政府采购政策：</w:t>
      </w:r>
      <w:r>
        <w:rPr>
          <w:rFonts w:hint="eastAsia"/>
          <w:color w:val="auto"/>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2.1办理CA认证证书</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2.2注册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2.3控件、客户端下载</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2.4 获取电子招标文件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2.5编制电子投标文件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.6</w:t>
      </w:r>
      <w:r>
        <w:rPr>
          <w:rFonts w:hint="eastAsia" w:ascii="宋体" w:hAnsi="宋体" w:eastAsia="宋体" w:cs="宋体"/>
          <w:b w:val="0"/>
          <w:bCs/>
          <w:color w:val="auto"/>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7</w:t>
      </w:r>
      <w:r>
        <w:rPr>
          <w:rFonts w:hint="eastAsia" w:ascii="宋体" w:hAnsi="宋体" w:eastAsia="宋体" w:cs="宋体"/>
          <w:b w:val="0"/>
          <w:bCs/>
          <w:color w:val="auto"/>
          <w:sz w:val="24"/>
          <w:highlight w:val="none"/>
          <w:lang w:val="zh-TW" w:bidi="ar"/>
        </w:rPr>
        <w:t xml:space="preserve">电子开标</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投标人使用</w:t>
      </w:r>
      <w:r>
        <w:rPr>
          <w:rFonts w:hint="eastAsia" w:ascii="宋体" w:hAnsi="宋体" w:eastAsia="宋体" w:cs="宋体"/>
          <w:b w:val="0"/>
          <w:bCs/>
          <w:color w:val="auto"/>
          <w:sz w:val="24"/>
          <w:highlight w:val="none"/>
          <w:lang w:bidi="ar"/>
        </w:rPr>
        <w:t xml:space="preserve">CA认证证书</w:t>
      </w:r>
      <w:r>
        <w:rPr>
          <w:rFonts w:hint="eastAsia" w:ascii="宋体" w:hAnsi="宋体" w:eastAsia="宋体" w:cs="宋体"/>
          <w:b w:val="0"/>
          <w:bCs/>
          <w:color w:val="auto"/>
          <w:sz w:val="24"/>
          <w:highlight w:val="none"/>
          <w:lang w:val="zh-TW" w:bidi="ar"/>
        </w:rPr>
        <w:t xml:space="preserve">登录</w:t>
      </w:r>
      <w:r>
        <w:rPr>
          <w:rFonts w:hint="eastAsia" w:ascii="宋体" w:hAnsi="宋体" w:eastAsia="宋体" w:cs="宋体"/>
          <w:b w:val="0"/>
          <w:bCs/>
          <w:color w:val="auto"/>
          <w:sz w:val="24"/>
          <w:highlight w:val="none"/>
          <w:lang w:bidi="ar"/>
        </w:rPr>
        <w:t xml:space="preserve">政府采购一体化平台“苏采云”进行电子化不见面开标</w:t>
      </w:r>
      <w:r>
        <w:rPr>
          <w:rFonts w:hint="eastAsia" w:ascii="宋体" w:hAnsi="宋体" w:eastAsia="宋体" w:cs="宋体"/>
          <w:b w:val="0"/>
          <w:bCs/>
          <w:color w:val="auto"/>
          <w:sz w:val="24"/>
          <w:highlight w:val="none"/>
          <w:lang w:val="zh-TW" w:bidi="ar"/>
        </w:rPr>
        <w:t xml:space="preserve">。</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2.8注意事项</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val="zh-TW" w:bidi="ar"/>
        </w:rPr>
        <w:t xml:space="preserve">投标人在开标前应当</w:t>
      </w:r>
      <w:r>
        <w:rPr>
          <w:rFonts w:hint="eastAsia" w:ascii="宋体" w:hAnsi="宋体" w:eastAsia="宋体" w:cs="宋体"/>
          <w:b w:val="0"/>
          <w:bCs/>
          <w:color w:val="auto"/>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szCs w:val="24"/>
          <w:highlight w:val="none"/>
          <w:lang w:val="zh-TW" w:eastAsia="zh-CN" w:bidi="ar"/>
        </w:rPr>
        <w:t xml:space="preserve">3.</w:t>
      </w:r>
      <w:r>
        <w:rPr>
          <w:rFonts w:hint="eastAsia" w:ascii="宋体" w:hAnsi="宋体" w:eastAsia="宋体" w:cs="宋体"/>
          <w:b w:val="0"/>
          <w:bCs/>
          <w:color w:val="auto"/>
          <w:sz w:val="24"/>
          <w:highlight w:val="none"/>
          <w:lang w:val="zh-TW" w:bidi="ar"/>
        </w:rPr>
        <w:t xml:space="preserve">关于常州市中小企业政府采购信用融资：</w:t>
      </w:r>
      <w:r/>
    </w:p>
    <w:p>
      <w:pPr>
        <w:numPr>
          <w:ilvl w:val="0"/>
          <w:numId w:val="0"/>
        </w:numPr>
        <w:ind w:firstLine="480"/>
        <w:jc w:val="left"/>
        <w:spacing w:line="360" w:lineRule="auto"/>
        <w:rPr>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color w:val="auto"/>
          <w:sz w:val="24"/>
          <w:highlight w:val="none"/>
          <w:lang w:val="zh-TW" w:bidi="ar"/>
        </w:rPr>
        <w:t xml:space="preserve">。</w:t>
      </w:r>
      <w:r/>
    </w:p>
    <w:p>
      <w:pPr>
        <w:pStyle w:val="911"/>
        <w:jc w:val="left"/>
        <w:spacing w:before="0" w:line="360" w:lineRule="auto"/>
        <w:rPr>
          <w:rFonts w:hint="eastAsia" w:ascii="宋体" w:hAnsi="宋体" w:eastAsia="宋体" w:cs="宋体"/>
          <w:color w:val="auto"/>
          <w:sz w:val="24"/>
          <w:szCs w:val="24"/>
          <w:highlight w:val="none"/>
        </w:rPr>
      </w:pPr>
      <w:r/>
      <w:bookmarkStart w:id="28" w:name="_Toc35393796"/>
      <w:r/>
      <w:bookmarkStart w:id="29" w:name="_Toc35393627"/>
      <w:r/>
      <w:bookmarkStart w:id="30" w:name="_Toc28359085"/>
      <w:r/>
      <w:bookmarkStart w:id="31" w:name="_Toc28359008"/>
      <w:r>
        <w:rPr>
          <w:rFonts w:hint="eastAsia" w:ascii="宋体" w:hAnsi="宋体" w:eastAsia="宋体" w:cs="宋体"/>
          <w:color w:val="auto"/>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1.采购人信息</w:t>
      </w:r>
      <w:r/>
    </w:p>
    <w:p>
      <w:pPr>
        <w:ind w:left="1079" w:hanging="300"/>
        <w:jc w:val="left"/>
        <w:spacing w:line="360" w:lineRule="auto"/>
        <w:rPr>
          <w:rFonts w:hint="default" w:ascii="宋体" w:hAnsi="宋体" w:cs="宋体"/>
          <w:color w:val="auto"/>
          <w:sz w:val="24"/>
          <w:highlight w:val="none"/>
          <w:u w:val="single"/>
          <w:lang w:val="en-US" w:eastAsia="zh-CN"/>
        </w:rPr>
      </w:pPr>
      <w:r/>
      <w:bookmarkStart w:id="32" w:name="_Toc28359086"/>
      <w:r/>
      <w:bookmarkStart w:id="33" w:name="_Toc28359009"/>
      <w:r>
        <w:rPr>
          <w:rFonts w:hint="eastAsia" w:ascii="宋体" w:hAnsi="宋体" w:cs="宋体"/>
          <w:color w:val="auto"/>
          <w:sz w:val="24"/>
          <w:highlight w:val="none"/>
        </w:rPr>
        <w:t xml:space="preserve">名    称：</w:t>
      </w:r>
      <w:r>
        <w:rPr>
          <w:rFonts w:hint="eastAsia" w:ascii="宋体" w:hAnsi="宋体" w:cs="宋体"/>
          <w:color w:val="auto"/>
          <w:sz w:val="24"/>
          <w:highlight w:val="none"/>
          <w:u w:val="single"/>
          <w:lang w:val="en-US" w:eastAsia="zh-CN"/>
        </w:rPr>
        <w:t xml:space="preserve"> 溧阳市上兴镇人民政府  </w:t>
      </w:r>
      <w:r/>
    </w:p>
    <w:p>
      <w:pPr>
        <w:ind w:left="1079" w:hanging="30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lang w:val="en-US" w:eastAsia="zh-CN"/>
        </w:rPr>
        <w:t xml:space="preserve"> 江苏省常州市溧阳市上兴集镇 </w:t>
      </w:r>
      <w:r/>
    </w:p>
    <w:p>
      <w:pPr>
        <w:ind w:left="1079" w:hanging="300"/>
        <w:jc w:val="left"/>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lang w:val="en-US" w:eastAsia="zh-CN"/>
        </w:rPr>
        <w:t xml:space="preserve"> 0519-87769226</w:t>
      </w:r>
      <w:r/>
    </w:p>
    <w:p>
      <w:pPr>
        <w:ind w:left="1078" w:hanging="299"/>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color w:val="auto"/>
          <w:sz w:val="24"/>
          <w:highlight w:val="none"/>
        </w:rPr>
      </w:pPr>
      <w:r/>
      <w:bookmarkStart w:id="34" w:name="_Toc28359010"/>
      <w:r/>
      <w:bookmarkStart w:id="35" w:name="_Toc28359087"/>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江苏溧投招标服务有限公司</w:t>
      </w:r>
      <w:r/>
    </w:p>
    <w:p>
      <w:pPr>
        <w:ind w:left="1079" w:hanging="3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江苏省溧阳市溧城街道永定路108号嘉源广场2幢1单元5楼</w:t>
      </w:r>
      <w:r/>
    </w:p>
    <w:p>
      <w:pPr>
        <w:ind w:left="1076" w:hanging="297"/>
        <w:jc w:val="left"/>
        <w:spacing w:line="360" w:lineRule="auto"/>
        <w:rPr>
          <w:color w:val="auto"/>
          <w:sz w:val="24"/>
          <w:highlight w:val="none"/>
          <w:u w:val="singl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rPr>
        <w:t xml:space="preserve">0519-87968552</w:t>
      </w:r>
      <w:r/>
    </w:p>
    <w:p>
      <w:pPr>
        <w:ind w:left="1078" w:hanging="299"/>
        <w:spacing w:line="360" w:lineRule="auto"/>
        <w:rPr>
          <w:b/>
          <w:color w:val="auto"/>
          <w:sz w:val="24"/>
          <w:highlight w:val="none"/>
          <w:u w:val="single"/>
        </w:rPr>
      </w:pPr>
      <w:r>
        <w:rPr>
          <w:b/>
          <w:color w:val="auto"/>
          <w:sz w:val="24"/>
          <w:highlight w:val="none"/>
        </w:rPr>
        <w:t xml:space="preserve">3.项目联系方式</w:t>
      </w:r>
      <w:r/>
    </w:p>
    <w:p>
      <w:pPr>
        <w:pStyle w:val="912"/>
        <w:ind w:left="1076" w:hanging="297"/>
        <w:spacing w:line="360" w:lineRule="auto"/>
        <w:rPr>
          <w:rFonts w:hint="default" w:ascii="Times New Roman" w:hAnsi="Times New Roman"/>
          <w:color w:val="auto"/>
          <w:sz w:val="24"/>
          <w:highlight w:val="none"/>
          <w:u w:val="single"/>
          <w:lang w:val="en-US" w:bidi="ar"/>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u w:val="single"/>
          <w:lang w:val="en-US" w:eastAsia="zh-CN"/>
        </w:rPr>
        <w:t xml:space="preserve">  </w:t>
      </w:r>
      <w:r>
        <w:rPr>
          <w:rFonts w:hint="eastAsia" w:ascii="Times New Roman" w:hAnsi="Times New Roman"/>
          <w:color w:val="auto"/>
          <w:sz w:val="24"/>
          <w:szCs w:val="24"/>
          <w:u w:val="single"/>
          <w:lang w:val="en-US" w:eastAsia="zh-CN"/>
        </w:rPr>
        <w:t xml:space="preserve">缪工 </w:t>
      </w:r>
      <w:r>
        <w:rPr>
          <w:rFonts w:hint="eastAsia" w:ascii="Times New Roman" w:hAnsi="Times New Roman"/>
          <w:color w:val="auto"/>
          <w:sz w:val="24"/>
          <w:szCs w:val="24"/>
          <w:highlight w:val="none"/>
          <w:u w:val="single"/>
          <w:lang w:val="en-US" w:eastAsia="zh-CN"/>
        </w:rPr>
        <w:t xml:space="preserve"> </w:t>
      </w:r>
      <w:r/>
    </w:p>
    <w:p>
      <w:pPr>
        <w:pStyle w:val="912"/>
        <w:ind w:left="1076" w:hanging="297"/>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s="宋体"/>
          <w:color w:val="auto"/>
          <w:sz w:val="24"/>
          <w:szCs w:val="24"/>
          <w:highlight w:val="none"/>
          <w:u w:val="single"/>
        </w:rPr>
        <w:t xml:space="preserve">0519-87968552</w:t>
      </w:r>
      <w:r/>
    </w:p>
    <w:p>
      <w:pPr>
        <w:ind w:left="1076" w:hanging="297"/>
        <w:jc w:val="left"/>
        <w:spacing w:line="360" w:lineRule="auto"/>
        <w:rPr>
          <w:rFonts w:ascii="宋体" w:hAnsi="宋体" w:cs="宋体"/>
          <w:color w:val="auto"/>
          <w:sz w:val="24"/>
          <w:highlight w:val="none"/>
          <w:u w:val="single"/>
        </w:rPr>
      </w:pPr>
      <w:r>
        <w:rPr>
          <w:rFonts w:ascii="宋体" w:hAnsi="宋体" w:cs="宋体"/>
          <w:color w:val="auto"/>
          <w:sz w:val="24"/>
          <w:highlight w:val="none"/>
          <w:u w:val="single"/>
        </w:rPr>
      </w:r>
      <w:bookmarkEnd w:id="34"/>
      <w:bookmarkEnd w:id="35"/>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6" w:name="_Toc127151777"/>
      <w:r/>
      <w:bookmarkStart w:id="37" w:name="_Toc226965856"/>
      <w:r/>
      <w:bookmarkStart w:id="38" w:name="_Toc353873938"/>
      <w:r/>
      <w:bookmarkStart w:id="39" w:name="_Toc264969275"/>
      <w:r/>
      <w:bookmarkStart w:id="40" w:name="_Toc305158928"/>
      <w:r/>
      <w:bookmarkStart w:id="41" w:name="_Toc99301420"/>
      <w:r/>
      <w:bookmarkStart w:id="42" w:name="_Toc195842950"/>
      <w:r/>
      <w:bookmarkStart w:id="43" w:name="_Toc150774783"/>
      <w:r/>
      <w:bookmarkStart w:id="44" w:name="_Toc353825548"/>
      <w:r/>
      <w:bookmarkStart w:id="45" w:name="_Toc265228423"/>
      <w:r/>
      <w:bookmarkStart w:id="46" w:name="_Toc127161488"/>
      <w:r/>
      <w:bookmarkStart w:id="47" w:name="_Toc512937850"/>
      <w:r/>
      <w:bookmarkStart w:id="48" w:name="_Toc305158854"/>
      <w:r>
        <w:rPr>
          <w:rFonts w:ascii="Times New Roman" w:hAnsi="Times New Roman" w:eastAsia="宋体" w:cs="Times New Roman"/>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11"/>
        <w:spacing w:before="0" w:line="360" w:lineRule="auto"/>
        <w:tabs>
          <w:tab w:val="center" w:pos="4592" w:leader="none"/>
          <w:tab w:val="left" w:pos="7860" w:leader="none"/>
        </w:tabs>
        <w:rPr>
          <w:rFonts w:ascii="Times New Roman" w:hAnsi="Times New Roman" w:eastAsia="宋体"/>
          <w:color w:val="auto"/>
          <w:sz w:val="28"/>
          <w:highlight w:val="none"/>
        </w:rPr>
      </w:pPr>
      <w:r/>
      <w:bookmarkStart w:id="49" w:name="_Toc149720812"/>
      <w:r/>
      <w:bookmarkStart w:id="50" w:name="_Toc150774619"/>
      <w:r/>
      <w:bookmarkStart w:id="51" w:name="_Toc164608633"/>
      <w:r/>
      <w:bookmarkStart w:id="52" w:name="_Toc151193617"/>
      <w:r/>
      <w:bookmarkStart w:id="53" w:name="_Toc150480757"/>
      <w:r/>
      <w:bookmarkStart w:id="54" w:name="_Toc226337215"/>
      <w:r/>
      <w:bookmarkStart w:id="55" w:name="_Toc151190146"/>
      <w:r/>
      <w:bookmarkStart w:id="56" w:name="_Toc127161433"/>
      <w:r/>
      <w:bookmarkStart w:id="57" w:name="_Toc142311021"/>
      <w:r/>
      <w:bookmarkStart w:id="58" w:name="_Toc520356144"/>
      <w:r/>
      <w:bookmarkStart w:id="59" w:name="_Toc195842884"/>
      <w:r/>
      <w:bookmarkStart w:id="60" w:name="_Toc226965792"/>
      <w:r/>
      <w:bookmarkStart w:id="61" w:name="_Toc164229214"/>
      <w:r/>
      <w:bookmarkStart w:id="62" w:name="_Toc150774724"/>
      <w:r/>
      <w:bookmarkStart w:id="63" w:name="_Toc127151720"/>
      <w:r/>
      <w:bookmarkStart w:id="64" w:name="_Toc226309763"/>
      <w:r/>
      <w:bookmarkStart w:id="65" w:name="_Toc226965709"/>
      <w:r/>
      <w:bookmarkStart w:id="66" w:name="_Toc164608788"/>
      <w:r/>
      <w:bookmarkStart w:id="67" w:name="_Toc150509270"/>
      <w:r/>
      <w:bookmarkStart w:id="68" w:name="_Toc164351613"/>
      <w:r/>
      <w:bookmarkStart w:id="69" w:name="_Toc127151519"/>
      <w:r/>
      <w:bookmarkStart w:id="70" w:name="_Toc164229360"/>
      <w:r/>
      <w:bookmarkStart w:id="71" w:name="_Toc151193761"/>
      <w:r/>
      <w:bookmarkStart w:id="72" w:name="_Toc151193833"/>
      <w:r/>
      <w:bookmarkStart w:id="73" w:name="_Toc151193907"/>
      <w:r/>
      <w:bookmarkStart w:id="74" w:name="_Toc151193689"/>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rFonts w:hint="eastAsia"/>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89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cantSplit/>
          <w:jc w:val="center"/>
          <w:trHeight w:val="20"/>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b/>
                <w:color w:val="auto"/>
                <w:sz w:val="24"/>
              </w:rPr>
              <w:t xml:space="preserve">■</w:t>
            </w:r>
            <w:r>
              <w:rPr>
                <w:color w:val="auto"/>
                <w:sz w:val="24"/>
                <w:highlight w:val="none"/>
              </w:rPr>
              <w:t xml:space="preserve">服务</w:t>
            </w:r>
            <w:r/>
          </w:p>
          <w:p>
            <w:pPr>
              <w:jc w:val="left"/>
              <w:rPr>
                <w:color w:val="auto"/>
                <w:sz w:val="24"/>
                <w:highlight w:val="none"/>
                <w:u w:val="single"/>
              </w:rPr>
            </w:pPr>
            <w:r>
              <w:rPr>
                <w:rFonts w:hint="eastAsia" w:ascii="宋体" w:hAnsi="宋体" w:eastAsia="宋体" w:cs="宋体"/>
                <w:color w:val="auto"/>
                <w:sz w:val="24"/>
                <w:highlight w:val="none"/>
                <w:lang w:eastAsia="zh-CN"/>
              </w:rPr>
              <w:t xml:space="preserve">□</w:t>
            </w:r>
            <w:r>
              <w:rPr>
                <w:color w:val="auto"/>
                <w:sz w:val="24"/>
                <w:highlight w:val="none"/>
              </w:rPr>
              <w:t xml:space="preserve">货物</w:t>
            </w:r>
            <w:r/>
          </w:p>
        </w:tc>
      </w:tr>
      <w:tr>
        <w:trPr>
          <w:cantSplit/>
          <w:jc w:val="center"/>
          <w:trHeight w:val="20"/>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是</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否</w:t>
            </w:r>
            <w:r/>
          </w:p>
        </w:tc>
      </w:tr>
      <w:tr>
        <w:trPr>
          <w:cantSplit/>
          <w:jc w:val="center"/>
          <w:trHeight w:val="20"/>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912"/>
              <w:rPr>
                <w:rFonts w:ascii="Times New Roman" w:hAnsi="Times New Roman"/>
                <w:color w:val="auto"/>
                <w:sz w:val="24"/>
                <w:szCs w:val="24"/>
                <w:highlight w:val="none"/>
              </w:rPr>
            </w:pPr>
            <w:r>
              <w:rPr>
                <w:rFonts w:hint="eastAsia" w:ascii="宋体" w:hAnsi="宋体" w:cs="宋体"/>
                <w:b/>
                <w:color w:val="auto"/>
                <w:sz w:val="24"/>
                <w:highlight w:val="none"/>
              </w:rPr>
              <w:t xml:space="preserve">■</w:t>
            </w:r>
            <w:r>
              <w:rPr>
                <w:rFonts w:ascii="Times New Roman" w:hAnsi="Times New Roman"/>
                <w:color w:val="auto"/>
                <w:sz w:val="24"/>
                <w:szCs w:val="24"/>
                <w:highlight w:val="none"/>
              </w:rPr>
              <w:t xml:space="preserve">关于核心产品本项目不适用。</w:t>
            </w:r>
            <w:r/>
          </w:p>
          <w:p>
            <w:pPr>
              <w:pStyle w:val="912"/>
              <w:rPr>
                <w:rFonts w:ascii="Times New Roman" w:hAnsi="Times New Roman"/>
                <w:color w:val="auto"/>
                <w:sz w:val="24"/>
                <w:szCs w:val="24"/>
                <w:highlight w:val="none"/>
              </w:rPr>
            </w:pPr>
            <w:r>
              <w:rPr>
                <w:rFonts w:hint="eastAsia" w:ascii="宋体" w:hAnsi="宋体" w:eastAsia="宋体" w:cs="宋体"/>
                <w:color w:val="auto"/>
                <w:sz w:val="24"/>
                <w:highlight w:val="none"/>
                <w:lang w:eastAsia="zh-CN"/>
              </w:rPr>
              <w:t xml:space="preserve">□</w:t>
            </w:r>
            <w:r>
              <w:rPr>
                <w:rFonts w:ascii="Times New Roman" w:hAnsi="Times New Roman"/>
                <w:color w:val="auto"/>
                <w:sz w:val="24"/>
                <w:szCs w:val="24"/>
                <w:highlight w:val="none"/>
              </w:rPr>
              <w:t xml:space="preserve">本项目__包为单一产品采购项目。</w:t>
            </w:r>
            <w:r/>
          </w:p>
          <w:p>
            <w:pPr>
              <w:spacing w:line="240" w:lineRule="auto"/>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本项目为非单一产品采购项目，核心产品为：</w:t>
            </w:r>
            <w:r>
              <w:rPr>
                <w:rFonts w:hint="eastAsia" w:ascii="宋体" w:hAnsi="宋体" w:eastAsia="宋体" w:cs="宋体"/>
                <w:b/>
                <w:bCs/>
                <w:color w:val="auto"/>
                <w:sz w:val="24"/>
                <w:szCs w:val="24"/>
                <w:highlight w:val="none"/>
                <w:u w:val="single"/>
                <w:lang w:val="en-US" w:eastAsia="zh-CN"/>
              </w:rPr>
              <w:t xml:space="preserve">  </w:t>
            </w:r>
            <w:r/>
          </w:p>
        </w:tc>
      </w:tr>
      <w:tr>
        <w:trPr>
          <w:cantSplit/>
          <w:jc w:val="center"/>
          <w:trHeight w:val="20"/>
        </w:trPr>
        <w:tc>
          <w:tcPr>
            <w:tcW w:w="988" w:type="dxa"/>
            <w:vAlign w:val="center"/>
            <w:vMerge w:val="restart"/>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rFonts w:hint="eastAsia" w:eastAsia="宋体"/>
                <w:color w:val="auto"/>
                <w:sz w:val="24"/>
                <w:highlight w:val="none"/>
                <w:lang w:eastAsia="zh-CN"/>
              </w:rPr>
            </w:pPr>
            <w:r>
              <w:rPr>
                <w:rFonts w:hint="eastAsia" w:ascii="宋体" w:hAnsi="宋体" w:cs="宋体"/>
                <w:b/>
                <w:color w:val="auto"/>
                <w:sz w:val="24"/>
                <w:highlight w:val="none"/>
              </w:rPr>
              <w:t xml:space="preserve">■</w:t>
            </w:r>
            <w:r>
              <w:rPr>
                <w:color w:val="auto"/>
                <w:sz w:val="24"/>
                <w:highlight w:val="none"/>
              </w:rPr>
              <w:t xml:space="preserve">不组织</w:t>
            </w:r>
            <w:r>
              <w:rPr>
                <w:rFonts w:hint="eastAsia"/>
                <w:color w:val="auto"/>
                <w:sz w:val="24"/>
                <w:highlight w:val="none"/>
                <w:lang w:eastAsia="zh-CN"/>
              </w:rPr>
              <w:t xml:space="preserve">。</w:t>
            </w:r>
            <w:r/>
          </w:p>
          <w:p>
            <w:pPr>
              <w:jc w:val="left"/>
              <w:rPr>
                <w:bCs/>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rFonts w:hint="eastAsia"/>
                <w:bCs/>
                <w:color w:val="auto"/>
                <w:sz w:val="24"/>
                <w:highlight w:val="none"/>
              </w:rPr>
            </w:pPr>
            <w:r>
              <w:rPr>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不召开</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召开，召开时间：__年_月_日_</w:t>
            </w:r>
            <w:r>
              <w:rPr>
                <w:bCs/>
                <w:color w:val="auto"/>
                <w:sz w:val="24"/>
                <w:highlight w:val="none"/>
              </w:rPr>
              <w:t xml:space="preserve">点</w:t>
            </w:r>
            <w:r>
              <w:rPr>
                <w:color w:val="auto"/>
                <w:sz w:val="24"/>
                <w:highlight w:val="none"/>
              </w:rPr>
              <w:t xml:space="preserve">_</w:t>
            </w:r>
            <w:r>
              <w:rPr>
                <w:bCs/>
                <w:color w:val="auto"/>
                <w:sz w:val="24"/>
                <w:highlight w:val="none"/>
              </w:rPr>
              <w:t xml:space="preserve">分</w:t>
            </w:r>
            <w:r/>
          </w:p>
          <w:p>
            <w:pPr>
              <w:jc w:val="left"/>
              <w:rPr>
                <w:color w:val="auto"/>
                <w:sz w:val="24"/>
                <w:highlight w:val="none"/>
              </w:rPr>
            </w:pPr>
            <w:r>
              <w:rPr>
                <w:color w:val="auto"/>
                <w:sz w:val="24"/>
                <w:highlight w:val="none"/>
              </w:rPr>
              <w:t xml:space="preserve">召开地点：____________</w:t>
            </w:r>
            <w:r>
              <w:rPr>
                <w:rFonts w:hint="eastAsia"/>
                <w:color w:val="auto"/>
                <w:sz w:val="24"/>
                <w:highlight w:val="none"/>
              </w:rPr>
              <w:t xml:space="preserve">。</w:t>
            </w:r>
            <w:r/>
          </w:p>
        </w:tc>
      </w:tr>
      <w:tr>
        <w:trPr>
          <w:cantSplit/>
          <w:jc w:val="center"/>
          <w:trHeight w:val="20"/>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投标样品递交：</w:t>
            </w:r>
            <w:r/>
          </w:p>
          <w:p>
            <w:pPr>
              <w:jc w:val="left"/>
              <w:rPr>
                <w:rFonts w:hint="eastAsia" w:ascii="宋体" w:hAnsi="宋体" w:eastAsia="宋体" w:cs="宋体"/>
                <w:color w:val="auto"/>
                <w:sz w:val="24"/>
                <w:highlight w:val="none"/>
              </w:rPr>
            </w:pPr>
            <w:r>
              <w:rPr>
                <w:rFonts w:hint="eastAsia" w:ascii="宋体" w:hAnsi="宋体" w:cs="宋体"/>
                <w:b/>
                <w:color w:val="auto"/>
                <w:sz w:val="24"/>
                <w:highlight w:val="none"/>
              </w:rPr>
              <w:t xml:space="preserve">■</w:t>
            </w:r>
            <w:r>
              <w:rPr>
                <w:rFonts w:hint="eastAsia" w:ascii="宋体" w:hAnsi="宋体" w:eastAsia="宋体" w:cs="宋体"/>
                <w:color w:val="auto"/>
                <w:sz w:val="24"/>
                <w:highlight w:val="none"/>
              </w:rPr>
              <w:t xml:space="preserve">不需要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□需要，具体要求如下：</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（1）样品制作的标准和要求：_________；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（2）是否需要随样品提交相关检测报告：</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□不需要</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（3）样品递交要求：_________；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（4）未中标人样品退还：_________；</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（5）中标人样品保管、封存及退还：_________；</w:t>
            </w:r>
            <w:r/>
          </w:p>
          <w:p>
            <w:pPr>
              <w:jc w:val="left"/>
              <w:rPr>
                <w:color w:val="auto"/>
                <w:sz w:val="24"/>
                <w:highlight w:val="none"/>
              </w:rPr>
            </w:pPr>
            <w:r>
              <w:rPr>
                <w:rFonts w:hint="eastAsia" w:ascii="宋体" w:hAnsi="宋体" w:eastAsia="宋体" w:cs="宋体"/>
                <w:color w:val="auto"/>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rPr>
                <w:rFonts w:hint="default" w:eastAsia="宋体"/>
                <w:color w:val="auto"/>
                <w:sz w:val="24"/>
                <w:highlight w:val="none"/>
                <w:lang w:val="en-US" w:eastAsia="zh-CN"/>
              </w:rPr>
            </w:pPr>
            <w:r>
              <w:rPr>
                <w:color w:val="auto"/>
                <w:sz w:val="24"/>
                <w:highlight w:val="none"/>
              </w:rPr>
              <w:t xml:space="preserve">本项目采购标的对应的中小企业划分标准所属行业：</w:t>
            </w:r>
            <w:r>
              <w:rPr>
                <w:rFonts w:hint="eastAsia"/>
                <w:color w:val="auto"/>
                <w:sz w:val="24"/>
                <w:highlight w:val="none"/>
                <w:u w:val="single"/>
                <w:lang w:val="en-US" w:eastAsia="zh-CN"/>
              </w:rPr>
              <w:t xml:space="preserve"> 其他未列明行业  </w:t>
            </w:r>
            <w:r/>
          </w:p>
        </w:tc>
      </w:tr>
    </w:tbl>
    <w:p>
      <w:pPr>
        <w:rPr>
          <w:color w:val="auto"/>
          <w:highlight w:val="none"/>
        </w:rPr>
      </w:pPr>
      <w:r>
        <w:rPr>
          <w:color w:val="auto"/>
          <w:highlight w:val="none"/>
        </w:rPr>
        <w:br w:type="page" w:clear="all"/>
      </w:r>
      <w:r/>
    </w:p>
    <w:tbl>
      <w:tblPr>
        <w:tblStyle w:val="89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spacing w:line="240" w:lineRule="auto"/>
              <w:rPr>
                <w:color w:val="auto"/>
                <w:sz w:val="24"/>
                <w:highlight w:val="none"/>
              </w:rPr>
            </w:pPr>
            <w:r>
              <w:rPr>
                <w:rFonts w:hint="eastAsia"/>
                <w:color w:val="auto"/>
                <w:sz w:val="24"/>
                <w:highlight w:val="none"/>
              </w:rPr>
              <w:t xml:space="preserve">投标报价的特殊规定：</w:t>
            </w:r>
            <w:r/>
          </w:p>
          <w:p>
            <w:pPr>
              <w:jc w:val="left"/>
              <w:spacing w:line="240" w:lineRule="auto"/>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无</w:t>
            </w:r>
            <w:r/>
          </w:p>
          <w:p>
            <w:pPr>
              <w:jc w:val="left"/>
              <w:spacing w:line="240" w:lineRule="auto"/>
              <w:rPr>
                <w:color w:val="auto"/>
                <w:highlight w:val="none"/>
              </w:rPr>
            </w:pPr>
            <w:r>
              <w:rPr>
                <w:rFonts w:hint="eastAsia" w:ascii="宋体" w:hAnsi="宋体" w:eastAsia="宋体" w:cs="宋体"/>
                <w:color w:val="auto"/>
                <w:sz w:val="24"/>
                <w:highlight w:val="none"/>
              </w:rPr>
              <w:t xml:space="preserve">□</w:t>
            </w:r>
            <w:r>
              <w:rPr>
                <w:color w:val="auto"/>
                <w:sz w:val="24"/>
                <w:highlight w:val="none"/>
              </w:rPr>
              <w:t xml:space="preserve">有，具体情形：_____。</w:t>
            </w:r>
            <w:r/>
          </w:p>
        </w:tc>
      </w:tr>
      <w:tr>
        <w:trPr>
          <w:jc w:val="center"/>
          <w:trHeight w:val="20"/>
        </w:trPr>
        <w:tc>
          <w:tcPr>
            <w:tcW w:w="988" w:type="dxa"/>
            <w:vAlign w:val="center"/>
            <w:textDirection w:val="lrTb"/>
            <w:noWrap w:val="false"/>
          </w:tcPr>
          <w:p>
            <w:pPr>
              <w:pStyle w:val="912"/>
              <w:jc w:val="center"/>
              <w:rPr>
                <w:rFonts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不允许</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允许，具体要求：</w:t>
            </w:r>
            <w:r/>
          </w:p>
          <w:p>
            <w:pPr>
              <w:jc w:val="left"/>
              <w:rPr>
                <w:color w:val="auto"/>
                <w:sz w:val="24"/>
                <w:highlight w:val="none"/>
              </w:rPr>
            </w:pPr>
            <w:r>
              <w:rPr>
                <w:color w:val="auto"/>
                <w:sz w:val="24"/>
                <w:highlight w:val="none"/>
              </w:rPr>
              <w:t xml:space="preserve">（1）可以分包履行的具体内容：_____；</w:t>
            </w:r>
            <w:r/>
          </w:p>
          <w:p>
            <w:pPr>
              <w:jc w:val="left"/>
              <w:rPr>
                <w:color w:val="auto"/>
                <w:sz w:val="24"/>
                <w:highlight w:val="none"/>
              </w:rPr>
            </w:pPr>
            <w:r>
              <w:rPr>
                <w:color w:val="auto"/>
                <w:sz w:val="24"/>
                <w:highlight w:val="none"/>
              </w:rPr>
              <w:t xml:space="preserve">（2）允许分包的金额或者比例：_____；</w:t>
            </w:r>
            <w:r/>
          </w:p>
          <w:p>
            <w:pPr>
              <w:jc w:val="left"/>
              <w:rPr>
                <w:color w:val="auto"/>
                <w:sz w:val="24"/>
                <w:highlight w:val="none"/>
                <w:u w:val="single"/>
              </w:rPr>
            </w:pPr>
            <w:r>
              <w:rPr>
                <w:color w:val="auto"/>
                <w:sz w:val="24"/>
                <w:highlight w:val="none"/>
              </w:rPr>
              <w:t xml:space="preserve">（3）其他要求：_____。</w:t>
            </w:r>
            <w:r/>
          </w:p>
        </w:tc>
      </w:tr>
      <w:tr>
        <w:trPr>
          <w:jc w:val="center"/>
          <w:trHeight w:val="20"/>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江苏溧投招标服务有限公司综合办</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0519-87968552</w:t>
            </w:r>
            <w:r>
              <w:rPr>
                <w:rFonts w:hint="eastAsia" w:ascii="宋体" w:hAnsi="宋体" w:cs="宋体"/>
                <w:color w:val="auto"/>
                <w:sz w:val="24"/>
                <w:highlight w:val="none"/>
              </w:rPr>
              <w:t xml:space="preserve">；</w:t>
            </w:r>
            <w:r/>
          </w:p>
          <w:p>
            <w:pPr>
              <w:jc w:val="left"/>
              <w:rPr>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江苏省溧阳市溧城街道南环西路（永定路）108号嘉源广场2幢1单元5楼</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91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27</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采购人</w:t>
            </w:r>
            <w:r/>
          </w:p>
          <w:p>
            <w:pPr>
              <w:jc w:val="left"/>
              <w:rPr>
                <w:rFonts w:hint="eastAsia"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中标人</w:t>
            </w:r>
            <w:r/>
          </w:p>
          <w:p>
            <w:pPr>
              <w:jc w:val="left"/>
              <w:rPr>
                <w:color w:val="auto"/>
                <w:sz w:val="24"/>
                <w:highlight w:val="none"/>
              </w:rPr>
            </w:pPr>
            <w:r>
              <w:rPr>
                <w:rFonts w:hint="eastAsia" w:ascii="宋体" w:hAnsi="宋体" w:cs="宋体"/>
                <w:color w:val="auto"/>
                <w:sz w:val="24"/>
                <w:highlight w:val="none"/>
              </w:rPr>
              <w:t xml:space="preserve">收费标准：</w:t>
            </w:r>
            <w:r>
              <w:rPr>
                <w:rFonts w:hint="eastAsia"/>
                <w:color w:val="auto"/>
                <w:sz w:val="24"/>
                <w:u w:val="single"/>
                <w:lang w:val="en-US" w:eastAsia="zh-CN"/>
              </w:rPr>
              <w:t xml:space="preserve">按照上兴镇“二区一镇”的收费标准进行阶梯式收取</w:t>
            </w:r>
            <w:r>
              <w:rPr>
                <w:rFonts w:hint="eastAsia"/>
                <w:color w:val="auto"/>
                <w:sz w:val="24"/>
                <w:u w:val="single"/>
                <w:lang w:eastAsia="zh-CN"/>
              </w:rPr>
              <w:t xml:space="preserve">；</w:t>
            </w:r>
            <w:r/>
          </w:p>
        </w:tc>
      </w:tr>
    </w:tbl>
    <w:p>
      <w:pPr>
        <w:jc w:val="both"/>
        <w:spacing w:line="360" w:lineRule="auto"/>
        <w:tabs>
          <w:tab w:val="left" w:pos="5580" w:leader="none"/>
        </w:tabs>
        <w:rPr>
          <w:color w:val="auto"/>
          <w:sz w:val="24"/>
          <w:highlight w:val="none"/>
        </w:rPr>
        <w:sectPr>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color w:val="auto"/>
          <w:sz w:val="24"/>
          <w:highlight w:val="none"/>
        </w:rPr>
      </w:r>
      <w:r/>
    </w:p>
    <w:p>
      <w:pPr>
        <w:jc w:val="center"/>
        <w:spacing w:before="240" w:after="240"/>
        <w:rPr>
          <w:b/>
          <w:color w:val="auto"/>
          <w:sz w:val="28"/>
          <w:szCs w:val="28"/>
          <w:highlight w:val="none"/>
        </w:rPr>
      </w:pPr>
      <w:r/>
      <w:bookmarkStart w:id="75" w:name="_Toc264969207"/>
      <w:r/>
      <w:bookmarkStart w:id="76" w:name="_Toc353873662"/>
      <w:r/>
      <w:bookmarkStart w:id="77" w:name="_Toc127151517"/>
      <w:r/>
      <w:bookmarkStart w:id="78" w:name="_Toc226965790"/>
      <w:r/>
      <w:bookmarkStart w:id="79" w:name="_Toc265228355"/>
      <w:r/>
      <w:bookmarkStart w:id="80" w:name="_Toc353825542"/>
      <w:r/>
      <w:bookmarkStart w:id="81" w:name="_Toc226337213"/>
      <w:r/>
      <w:bookmarkStart w:id="82" w:name="_Toc142311019"/>
      <w:r/>
      <w:bookmarkStart w:id="83" w:name="_Toc305158785"/>
      <w:r/>
      <w:bookmarkStart w:id="84" w:name="_Toc353873932"/>
      <w:r/>
      <w:bookmarkStart w:id="85" w:name="_Toc305158859"/>
      <w:r/>
      <w:bookmarkStart w:id="86" w:name="_Toc195842882"/>
      <w:r/>
      <w:bookmarkStart w:id="87" w:name="_Toc150480755"/>
      <w:r/>
      <w:bookmarkStart w:id="88" w:name="_Toc150774722"/>
      <w:r>
        <w:rPr>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11"/>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89" w:name="_Toc520356143"/>
      <w:r/>
      <w:bookmarkStart w:id="90" w:name="_Toc127151518"/>
      <w:r>
        <w:rPr>
          <w:rFonts w:ascii="Times New Roman" w:hAnsi="Times New Roman" w:eastAsia="宋体"/>
          <w:color w:val="auto"/>
          <w:sz w:val="28"/>
          <w:highlight w:val="none"/>
        </w:rPr>
        <w:tab/>
      </w:r>
      <w:bookmarkStart w:id="91" w:name="_Toc264969208"/>
      <w:r/>
      <w:bookmarkStart w:id="92" w:name="_Toc265228356"/>
      <w:r/>
      <w:bookmarkStart w:id="93" w:name="_Toc305158786"/>
      <w:r/>
      <w:bookmarkStart w:id="94" w:name="_Toc151193906"/>
      <w:r/>
      <w:bookmarkStart w:id="95" w:name="_Toc151193760"/>
      <w:r/>
      <w:bookmarkStart w:id="96" w:name="_Toc151193688"/>
      <w:r/>
      <w:bookmarkStart w:id="97" w:name="_Toc150774723"/>
      <w:r/>
      <w:bookmarkStart w:id="98" w:name="_Toc226309762"/>
      <w:r/>
      <w:bookmarkStart w:id="99" w:name="_Toc305158860"/>
      <w:r/>
      <w:bookmarkStart w:id="100" w:name="_Toc142311020"/>
      <w:r/>
      <w:bookmarkStart w:id="101" w:name="_Toc151193832"/>
      <w:r/>
      <w:bookmarkStart w:id="102" w:name="_Toc226337214"/>
      <w:r/>
      <w:bookmarkStart w:id="103" w:name="_Toc195842883"/>
      <w:r/>
      <w:bookmarkStart w:id="104" w:name="_Toc150480756"/>
      <w:r/>
      <w:bookmarkStart w:id="105" w:name="_Toc226965791"/>
      <w:r/>
      <w:bookmarkStart w:id="106" w:name="_Toc151190145"/>
      <w:r/>
      <w:bookmarkStart w:id="107" w:name="_Toc151193616"/>
      <w:r/>
      <w:bookmarkStart w:id="108" w:name="_Toc226965708"/>
      <w:r/>
      <w:bookmarkStart w:id="109" w:name="_Toc150774618"/>
      <w:r/>
      <w:bookmarkStart w:id="110" w:name="_Toc150509269"/>
      <w:r>
        <w:rPr>
          <w:rFonts w:ascii="Times New Roman" w:hAnsi="Times New Roman" w:eastAsia="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auto"/>
          <w:sz w:val="28"/>
          <w:highlight w:val="none"/>
        </w:rPr>
        <w:tab/>
      </w:r>
      <w:r/>
    </w:p>
    <w:p>
      <w:pPr>
        <w:numPr>
          <w:ilvl w:val="0"/>
          <w:numId w:val="1"/>
        </w:numPr>
        <w:ind w:left="357" w:hanging="357"/>
        <w:spacing w:line="360" w:lineRule="auto"/>
        <w:tabs>
          <w:tab w:val="left" w:pos="360" w:leader="none"/>
        </w:tabs>
        <w:rPr>
          <w:color w:val="auto"/>
          <w:sz w:val="24"/>
          <w:highlight w:val="none"/>
        </w:rPr>
        <w:outlineLvl w:val="1"/>
      </w:pPr>
      <w:r/>
      <w:bookmarkStart w:id="111" w:name="_Toc264969209"/>
      <w:r/>
      <w:bookmarkStart w:id="112" w:name="_Toc265228357"/>
      <w:r/>
      <w:bookmarkStart w:id="113" w:name="_Toc305158787"/>
      <w:r/>
      <w:bookmarkStart w:id="114" w:name="_Toc305158861"/>
      <w:r>
        <w:rPr>
          <w:color w:val="auto"/>
          <w:sz w:val="24"/>
          <w:highlight w:val="none"/>
        </w:rPr>
        <w:t xml:space="preserve">采购人、采购代理机构、投标人</w:t>
      </w:r>
      <w:bookmarkEnd w:id="111"/>
      <w:r/>
      <w:bookmarkEnd w:id="112"/>
      <w:r/>
      <w:bookmarkEnd w:id="113"/>
      <w:r/>
      <w:bookmarkEnd w:id="114"/>
      <w:r>
        <w:rPr>
          <w:rFonts w:hint="eastAsia"/>
          <w:color w:val="auto"/>
          <w:sz w:val="24"/>
          <w:highlight w:val="none"/>
        </w:rPr>
        <w:t xml:space="preserve">、联合体</w:t>
      </w:r>
      <w:r/>
    </w:p>
    <w:p>
      <w:pPr>
        <w:numPr>
          <w:ilvl w:val="1"/>
          <w:numId w:val="1"/>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color w:val="auto"/>
          <w:sz w:val="24"/>
          <w:highlight w:val="none"/>
        </w:rPr>
        <w:outlineLvl w:val="1"/>
      </w:pPr>
      <w:r/>
      <w:bookmarkStart w:id="115" w:name="_Toc150509271"/>
      <w:r/>
      <w:bookmarkStart w:id="116" w:name="_Toc142311022"/>
      <w:r/>
      <w:bookmarkStart w:id="117" w:name="_Toc149720813"/>
      <w:r/>
      <w:bookmarkStart w:id="118" w:name="_Toc226965710"/>
      <w:r/>
      <w:bookmarkStart w:id="119" w:name="_Toc151190147"/>
      <w:r/>
      <w:bookmarkStart w:id="120" w:name="_Toc305158862"/>
      <w:r/>
      <w:bookmarkStart w:id="121" w:name="_Toc150774620"/>
      <w:r/>
      <w:bookmarkStart w:id="122" w:name="_Toc127151520"/>
      <w:r/>
      <w:bookmarkStart w:id="123" w:name="_Toc151193618"/>
      <w:r/>
      <w:bookmarkStart w:id="124" w:name="_Toc151193762"/>
      <w:r/>
      <w:bookmarkStart w:id="125" w:name="_Toc264969210"/>
      <w:r/>
      <w:bookmarkStart w:id="126" w:name="_Toc164608634"/>
      <w:r/>
      <w:bookmarkStart w:id="127" w:name="_Toc226965793"/>
      <w:r/>
      <w:bookmarkStart w:id="128" w:name="_Toc226309764"/>
      <w:r/>
      <w:bookmarkStart w:id="129" w:name="_Toc151193690"/>
      <w:r/>
      <w:bookmarkStart w:id="130" w:name="_Toc150480758"/>
      <w:r/>
      <w:bookmarkStart w:id="131" w:name="_Toc305158788"/>
      <w:r/>
      <w:bookmarkStart w:id="132" w:name="_Toc164608789"/>
      <w:r/>
      <w:bookmarkStart w:id="133" w:name="_Toc151193908"/>
      <w:r/>
      <w:bookmarkStart w:id="134" w:name="_Toc164351614"/>
      <w:r/>
      <w:bookmarkStart w:id="135" w:name="_Toc127151721"/>
      <w:r/>
      <w:bookmarkStart w:id="136" w:name="_Toc127161434"/>
      <w:r/>
      <w:bookmarkStart w:id="137" w:name="_Toc164229361"/>
      <w:r/>
      <w:bookmarkStart w:id="138" w:name="_Toc164229215"/>
      <w:r/>
      <w:bookmarkStart w:id="139" w:name="_Toc150774725"/>
      <w:r/>
      <w:bookmarkStart w:id="140" w:name="_Toc151193834"/>
      <w:r/>
      <w:bookmarkStart w:id="141" w:name="_Toc195842885"/>
      <w:r/>
      <w:bookmarkStart w:id="142" w:name="_Toc265228358"/>
      <w:r/>
      <w:bookmarkStart w:id="143" w:name="_Toc226337216"/>
      <w:r>
        <w:rPr>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sz w:val="24"/>
          <w:highlight w:val="none"/>
        </w:rPr>
        <w:t xml:space="preserve">、项目属性、科研仪器设备采购、核心产品</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1"/>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1"/>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44" w:name="_Toc226309766"/>
      <w:r/>
      <w:bookmarkStart w:id="145" w:name="_Toc305158864"/>
      <w:r/>
      <w:bookmarkStart w:id="146" w:name="_Toc151190149"/>
      <w:r/>
      <w:bookmarkStart w:id="147" w:name="_Toc195842887"/>
      <w:r/>
      <w:bookmarkStart w:id="148" w:name="_Toc151193910"/>
      <w:r/>
      <w:bookmarkStart w:id="149" w:name="_Toc151193620"/>
      <w:r/>
      <w:bookmarkStart w:id="150" w:name="_Toc150480760"/>
      <w:r/>
      <w:bookmarkStart w:id="151" w:name="_Toc226965712"/>
      <w:r/>
      <w:bookmarkStart w:id="152" w:name="_Toc265228360"/>
      <w:r/>
      <w:bookmarkStart w:id="153" w:name="_Toc305158790"/>
      <w:r/>
      <w:bookmarkStart w:id="154" w:name="_Toc151193836"/>
      <w:r/>
      <w:bookmarkStart w:id="155" w:name="_Toc150774727"/>
      <w:r/>
      <w:bookmarkStart w:id="156" w:name="_Toc150509273"/>
      <w:r/>
      <w:bookmarkStart w:id="157" w:name="_Toc142311024"/>
      <w:r/>
      <w:bookmarkStart w:id="158" w:name="_Toc150774622"/>
      <w:r/>
      <w:bookmarkStart w:id="159" w:name="_Toc151193692"/>
      <w:r/>
      <w:bookmarkStart w:id="160" w:name="_Toc127151522"/>
      <w:r/>
      <w:bookmarkStart w:id="161" w:name="_Toc226965795"/>
      <w:r/>
      <w:bookmarkStart w:id="162" w:name="_Toc264969212"/>
      <w:r/>
      <w:bookmarkStart w:id="163" w:name="_Toc520356146"/>
      <w:r/>
      <w:bookmarkStart w:id="164" w:name="_Toc226337218"/>
      <w:r/>
      <w:bookmarkStart w:id="165" w:name="_Toc151193764"/>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1"/>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1"/>
        </w:numPr>
        <w:spacing w:line="360" w:lineRule="auto"/>
        <w:rPr>
          <w:color w:val="auto"/>
          <w:sz w:val="24"/>
          <w:highlight w:val="none"/>
        </w:rPr>
      </w:pPr>
      <w:r>
        <w:rPr>
          <w:color w:val="auto"/>
          <w:sz w:val="24"/>
          <w:highlight w:val="none"/>
        </w:rPr>
        <w:t xml:space="preserve">中小企业定义：</w:t>
      </w:r>
      <w:r/>
    </w:p>
    <w:p>
      <w:pPr>
        <w:pStyle w:val="913"/>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913"/>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913"/>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913"/>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913"/>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913"/>
        <w:numPr>
          <w:ilvl w:val="1"/>
          <w:numId w:val="2"/>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913"/>
        <w:numPr>
          <w:ilvl w:val="1"/>
          <w:numId w:val="2"/>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913"/>
        <w:numPr>
          <w:ilvl w:val="2"/>
          <w:numId w:val="2"/>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highlight w:val="none"/>
        </w:rPr>
        <w:t xml:space="preserve">》《</w:t>
      </w:r>
      <w:r>
        <w:rPr>
          <w:color w:val="auto"/>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pStyle w:val="913"/>
        <w:numPr>
          <w:ilvl w:val="2"/>
          <w:numId w:val="2"/>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913"/>
        <w:numPr>
          <w:ilvl w:val="2"/>
          <w:numId w:val="2"/>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1"/>
        </w:numPr>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1"/>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1"/>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1"/>
        </w:numPr>
        <w:spacing w:line="360" w:lineRule="auto"/>
        <w:rPr>
          <w:rFonts w:hint="eastAsia"/>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color w:val="auto"/>
          <w:sz w:val="24"/>
          <w:highlight w:val="none"/>
          <w:lang w:eastAsia="zh-CN"/>
        </w:rPr>
        <w:t xml:space="preserve">中标供应商</w:t>
      </w:r>
      <w:r>
        <w:rPr>
          <w:rFonts w:hint="eastAsia"/>
          <w:color w:val="auto"/>
          <w:sz w:val="24"/>
          <w:highlight w:val="none"/>
        </w:rPr>
        <w:t xml:space="preserve">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1"/>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1"/>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1"/>
        </w:numPr>
        <w:spacing w:line="360" w:lineRule="auto"/>
        <w:tabs>
          <w:tab w:val="left" w:pos="2014" w:leader="none"/>
        </w:tabs>
        <w:rPr>
          <w:rFonts w:hint="eastAsia"/>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政府采购创新产品政策</w:t>
      </w:r>
      <w:r/>
    </w:p>
    <w:p>
      <w:pPr>
        <w:numPr>
          <w:ilvl w:val="2"/>
          <w:numId w:val="1"/>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6" w:name="_1.8_计量单位"/>
      <w:r/>
      <w:bookmarkEnd w:id="166"/>
      <w:r/>
      <w:r/>
    </w:p>
    <w:p>
      <w:pPr>
        <w:pStyle w:val="91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1"/>
        </w:numPr>
        <w:ind w:left="357" w:hanging="357"/>
        <w:spacing w:line="360" w:lineRule="auto"/>
        <w:tabs>
          <w:tab w:val="left" w:pos="360" w:leader="none"/>
        </w:tabs>
        <w:rPr>
          <w:color w:val="auto"/>
          <w:sz w:val="24"/>
          <w:highlight w:val="none"/>
        </w:rPr>
        <w:outlineLvl w:val="1"/>
      </w:pPr>
      <w:r/>
      <w:bookmarkStart w:id="167" w:name="_Toc142311025"/>
      <w:r/>
      <w:bookmarkStart w:id="168" w:name="_Toc226309767"/>
      <w:r/>
      <w:bookmarkStart w:id="169" w:name="_Toc150480761"/>
      <w:r/>
      <w:bookmarkStart w:id="170" w:name="_Toc305158865"/>
      <w:r/>
      <w:bookmarkStart w:id="171" w:name="_Toc151193693"/>
      <w:r/>
      <w:bookmarkStart w:id="172" w:name="_Toc150509274"/>
      <w:r/>
      <w:bookmarkStart w:id="173" w:name="_Toc164608637"/>
      <w:r/>
      <w:bookmarkStart w:id="174" w:name="_Toc164351617"/>
      <w:r/>
      <w:bookmarkStart w:id="175" w:name="_Toc164608792"/>
      <w:r/>
      <w:bookmarkStart w:id="176" w:name="_Toc164229364"/>
      <w:r/>
      <w:bookmarkStart w:id="177" w:name="_Toc520356147"/>
      <w:r/>
      <w:bookmarkStart w:id="178" w:name="_Toc149720816"/>
      <w:r/>
      <w:bookmarkStart w:id="179" w:name="_Toc226965796"/>
      <w:r/>
      <w:bookmarkStart w:id="180" w:name="_Toc164229218"/>
      <w:r/>
      <w:bookmarkStart w:id="181" w:name="_Toc150774623"/>
      <w:r/>
      <w:bookmarkStart w:id="182" w:name="_Toc226337219"/>
      <w:r/>
      <w:bookmarkStart w:id="183" w:name="_Toc151193765"/>
      <w:r/>
      <w:bookmarkStart w:id="184" w:name="_Toc151193621"/>
      <w:r/>
      <w:bookmarkStart w:id="185" w:name="_Toc151193911"/>
      <w:r/>
      <w:bookmarkStart w:id="186" w:name="_Toc226965713"/>
      <w:r/>
      <w:bookmarkStart w:id="187" w:name="_Toc127151724"/>
      <w:r/>
      <w:bookmarkStart w:id="188" w:name="_Toc151190150"/>
      <w:r/>
      <w:bookmarkStart w:id="189" w:name="_Toc127161437"/>
      <w:r/>
      <w:bookmarkStart w:id="190" w:name="_Toc195842888"/>
      <w:r/>
      <w:bookmarkStart w:id="191" w:name="_Toc305158791"/>
      <w:r/>
      <w:bookmarkStart w:id="192" w:name="_Toc151193837"/>
      <w:r/>
      <w:bookmarkStart w:id="193" w:name="_Toc265228361"/>
      <w:r/>
      <w:bookmarkStart w:id="194" w:name="_Toc264969213"/>
      <w:r/>
      <w:bookmarkStart w:id="195" w:name="_Toc150774728"/>
      <w:r/>
      <w:bookmarkStart w:id="196" w:name="_Toc127151523"/>
      <w:r>
        <w:rPr>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auto"/>
          <w:sz w:val="24"/>
          <w:highlight w:val="none"/>
        </w:rPr>
        <w:t xml:space="preserve">成</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招标文件包括以下部分：</w:t>
      </w:r>
      <w:r/>
    </w:p>
    <w:p>
      <w:pPr>
        <w:numPr>
          <w:ilvl w:val="0"/>
          <w:numId w:val="3"/>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3"/>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3"/>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3"/>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3"/>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3"/>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3"/>
        </w:numPr>
        <w:ind w:left="1440" w:firstLine="5"/>
        <w:spacing w:line="360" w:lineRule="auto"/>
        <w:tabs>
          <w:tab w:val="left" w:pos="1980" w:leader="none"/>
          <w:tab w:val="left" w:pos="2520" w:leader="none"/>
        </w:tabs>
        <w:rPr>
          <w:rFonts w:hint="eastAsia"/>
          <w:color w:val="auto"/>
          <w:sz w:val="24"/>
          <w:highlight w:val="none"/>
        </w:rPr>
      </w:pPr>
      <w:r>
        <w:rPr>
          <w:color w:val="auto"/>
          <w:sz w:val="24"/>
          <w:highlight w:val="none"/>
        </w:rPr>
        <w:t xml:space="preserve">投标文件格式</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w:t>
      </w:r>
      <w:r>
        <w:rPr>
          <w:rFonts w:hint="eastAsia"/>
          <w:color w:val="auto"/>
          <w:sz w:val="24"/>
          <w:highlight w:val="none"/>
        </w:rPr>
        <w:t xml:space="preserve">作出</w:t>
      </w:r>
      <w:r>
        <w:rPr>
          <w:color w:val="auto"/>
          <w:sz w:val="24"/>
          <w:highlight w:val="none"/>
        </w:rPr>
        <w:t xml:space="preserve">实质性响应，否则</w:t>
      </w:r>
      <w:r>
        <w:rPr>
          <w:b/>
          <w:color w:val="auto"/>
          <w:sz w:val="24"/>
          <w:highlight w:val="none"/>
        </w:rPr>
        <w:t xml:space="preserve">投标无效</w:t>
      </w:r>
      <w:r>
        <w:rPr>
          <w:color w:val="auto"/>
          <w:sz w:val="24"/>
          <w:highlight w:val="none"/>
        </w:rPr>
        <w:t xml:space="preserve">。</w:t>
      </w:r>
      <w:r/>
    </w:p>
    <w:p>
      <w:pPr>
        <w:numPr>
          <w:ilvl w:val="0"/>
          <w:numId w:val="1"/>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color w:val="auto"/>
          <w:sz w:val="24"/>
          <w:highlight w:val="none"/>
        </w:rPr>
        <w:t xml:space="preserve">在采购公告发布媒体</w:t>
      </w:r>
      <w:r>
        <w:rPr>
          <w:b/>
          <w:bCs/>
          <w:color w:val="auto"/>
          <w:sz w:val="24"/>
          <w:highlight w:val="none"/>
        </w:rPr>
        <w:t xml:space="preserve">以更正公告形式通知所有获取招标文件的潜在投标人</w:t>
      </w:r>
      <w:r>
        <w:rPr>
          <w:rFonts w:hint="eastAsia"/>
          <w:b/>
          <w:bCs/>
          <w:color w:val="auto"/>
          <w:sz w:val="24"/>
          <w:highlight w:val="none"/>
        </w:rPr>
        <w:t xml:space="preserve">，请潜在投标人及时关注更正公告</w:t>
      </w:r>
      <w:r>
        <w:rPr>
          <w:color w:val="auto"/>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7" w:name="_Toc516367020"/>
      <w:r/>
      <w:bookmarkStart w:id="198" w:name="_Toc142311028"/>
      <w:r/>
      <w:bookmarkStart w:id="199" w:name="_Toc226965716"/>
      <w:r/>
      <w:bookmarkStart w:id="200" w:name="_Toc226309770"/>
      <w:r/>
      <w:bookmarkStart w:id="201" w:name="_Toc150774731"/>
      <w:r/>
      <w:bookmarkStart w:id="202" w:name="_Toc264969216"/>
      <w:r/>
      <w:bookmarkStart w:id="203" w:name="_Toc151190153"/>
      <w:r/>
      <w:bookmarkStart w:id="204" w:name="_Toc265228364"/>
      <w:r/>
      <w:bookmarkStart w:id="205" w:name="_Toc226337222"/>
      <w:r/>
      <w:bookmarkStart w:id="206" w:name="_Toc127151526"/>
      <w:r/>
      <w:bookmarkStart w:id="207" w:name="_Toc150480764"/>
      <w:r/>
      <w:bookmarkStart w:id="208" w:name="_Toc305158868"/>
      <w:r/>
      <w:bookmarkStart w:id="209" w:name="_Toc150509277"/>
      <w:r/>
      <w:bookmarkStart w:id="210" w:name="_Toc305158794"/>
      <w:r/>
      <w:bookmarkStart w:id="211" w:name="_Toc150774626"/>
      <w:r/>
      <w:bookmarkStart w:id="212" w:name="_Toc151193696"/>
      <w:r/>
      <w:bookmarkStart w:id="213" w:name="_Toc151193768"/>
      <w:r/>
      <w:bookmarkStart w:id="214" w:name="_Toc151193840"/>
      <w:r/>
      <w:bookmarkStart w:id="215" w:name="_Toc195842891"/>
      <w:r/>
      <w:bookmarkStart w:id="216" w:name="_Toc151193914"/>
      <w:r/>
      <w:bookmarkStart w:id="217" w:name="_Toc151193624"/>
      <w:r/>
      <w:bookmarkStart w:id="218" w:name="_Toc520356150"/>
      <w:r/>
      <w:bookmarkStart w:id="219" w:name="_Toc226965799"/>
      <w:r/>
      <w:r/>
    </w:p>
    <w:p>
      <w:pPr>
        <w:pStyle w:val="91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7"/>
      <w:r>
        <w:rPr>
          <w:rFonts w:ascii="Times New Roman" w:hAnsi="Times New Roman" w:eastAsia="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
        </w:numPr>
        <w:ind w:left="357" w:hanging="357"/>
        <w:spacing w:line="360" w:lineRule="auto"/>
        <w:tabs>
          <w:tab w:val="left" w:pos="360" w:leader="none"/>
        </w:tabs>
        <w:rPr>
          <w:color w:val="auto"/>
          <w:sz w:val="24"/>
          <w:highlight w:val="none"/>
        </w:rPr>
        <w:outlineLvl w:val="1"/>
      </w:pPr>
      <w:r/>
      <w:bookmarkStart w:id="220" w:name="_Toc151193625"/>
      <w:r/>
      <w:bookmarkStart w:id="221" w:name="_Toc150509278"/>
      <w:r/>
      <w:bookmarkStart w:id="222" w:name="_Toc264969217"/>
      <w:r/>
      <w:bookmarkStart w:id="223" w:name="_Toc164229368"/>
      <w:r/>
      <w:bookmarkStart w:id="224" w:name="_Toc150774627"/>
      <w:r/>
      <w:bookmarkStart w:id="225" w:name="_Toc265228365"/>
      <w:r/>
      <w:bookmarkStart w:id="226" w:name="_Toc226965800"/>
      <w:r/>
      <w:bookmarkStart w:id="227" w:name="_Toc226965717"/>
      <w:r/>
      <w:bookmarkStart w:id="228" w:name="_Toc226309771"/>
      <w:r/>
      <w:bookmarkStart w:id="229" w:name="_Toc305158869"/>
      <w:r/>
      <w:bookmarkStart w:id="230" w:name="_Toc151193841"/>
      <w:r/>
      <w:bookmarkStart w:id="231" w:name="_Toc164608796"/>
      <w:r/>
      <w:bookmarkStart w:id="232" w:name="_Toc226337223"/>
      <w:r/>
      <w:bookmarkStart w:id="233" w:name="_Toc127161441"/>
      <w:r/>
      <w:bookmarkStart w:id="234" w:name="_Toc164229222"/>
      <w:r/>
      <w:bookmarkStart w:id="235" w:name="_Toc151193915"/>
      <w:r/>
      <w:bookmarkStart w:id="236" w:name="_Toc150480765"/>
      <w:r/>
      <w:bookmarkStart w:id="237" w:name="_Toc520356151"/>
      <w:r/>
      <w:bookmarkStart w:id="238" w:name="_Toc516367021"/>
      <w:r/>
      <w:bookmarkStart w:id="239" w:name="_Toc195842892"/>
      <w:r/>
      <w:bookmarkStart w:id="240" w:name="_Toc151190154"/>
      <w:r/>
      <w:bookmarkStart w:id="241" w:name="_Toc149720820"/>
      <w:r/>
      <w:bookmarkStart w:id="242" w:name="_Toc151193769"/>
      <w:r/>
      <w:bookmarkStart w:id="243" w:name="_Toc151193697"/>
      <w:r/>
      <w:bookmarkStart w:id="244" w:name="_Toc150774732"/>
      <w:r/>
      <w:bookmarkStart w:id="245" w:name="_Toc164608641"/>
      <w:r/>
      <w:bookmarkStart w:id="246" w:name="_Toc305158795"/>
      <w:r/>
      <w:bookmarkStart w:id="247" w:name="_Toc127151728"/>
      <w:r/>
      <w:bookmarkStart w:id="248" w:name="_Toc142311029"/>
      <w:r/>
      <w:bookmarkStart w:id="249" w:name="_Toc164351621"/>
      <w:r/>
      <w:bookmarkStart w:id="250" w:name="_Toc127151527"/>
      <w:r>
        <w:rPr>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auto"/>
          <w:sz w:val="24"/>
          <w:highlight w:val="none"/>
        </w:rPr>
        <w:t xml:space="preserve">及投标语言</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color w:val="auto"/>
          <w:sz w:val="24"/>
          <w:highlight w:val="none"/>
        </w:rPr>
        <w:outlineLvl w:val="1"/>
      </w:pPr>
      <w:r/>
      <w:bookmarkStart w:id="251" w:name="_Toc516367022"/>
      <w:r/>
      <w:bookmarkStart w:id="252" w:name="_Ref467306676"/>
      <w:r/>
      <w:bookmarkStart w:id="253" w:name="_Ref467306195"/>
      <w:r/>
      <w:bookmarkStart w:id="254" w:name="_Toc195842893"/>
      <w:r/>
      <w:bookmarkStart w:id="255" w:name="_Toc151190155"/>
      <w:r/>
      <w:bookmarkStart w:id="256" w:name="_Toc151193842"/>
      <w:r/>
      <w:bookmarkStart w:id="257" w:name="_Toc226309772"/>
      <w:r/>
      <w:bookmarkStart w:id="258" w:name="_Toc226965801"/>
      <w:r/>
      <w:bookmarkStart w:id="259" w:name="_Toc164229369"/>
      <w:r/>
      <w:bookmarkStart w:id="260" w:name="_Toc127151528"/>
      <w:r/>
      <w:bookmarkStart w:id="261" w:name="_Toc164229223"/>
      <w:r/>
      <w:bookmarkStart w:id="262" w:name="_Toc151193916"/>
      <w:r/>
      <w:bookmarkStart w:id="263" w:name="_Toc520356152"/>
      <w:r/>
      <w:bookmarkStart w:id="264" w:name="_Toc164351622"/>
      <w:r/>
      <w:bookmarkStart w:id="265" w:name="_Toc151193626"/>
      <w:r/>
      <w:bookmarkStart w:id="266" w:name="_Toc142311030"/>
      <w:r/>
      <w:bookmarkStart w:id="267" w:name="_Toc265228366"/>
      <w:r/>
      <w:bookmarkStart w:id="268" w:name="_Toc264969218"/>
      <w:r/>
      <w:bookmarkStart w:id="269" w:name="_Toc305158796"/>
      <w:r/>
      <w:bookmarkStart w:id="270" w:name="_Toc127161442"/>
      <w:r/>
      <w:bookmarkStart w:id="271" w:name="_Toc164608797"/>
      <w:r/>
      <w:bookmarkStart w:id="272" w:name="_Toc151193698"/>
      <w:r/>
      <w:bookmarkStart w:id="273" w:name="_Toc164608642"/>
      <w:r/>
      <w:bookmarkStart w:id="274" w:name="_Toc226337224"/>
      <w:r/>
      <w:bookmarkStart w:id="275" w:name="_Toc226965718"/>
      <w:r/>
      <w:bookmarkStart w:id="276" w:name="_Toc151193770"/>
      <w:r/>
      <w:bookmarkStart w:id="277" w:name="_Toc150774628"/>
      <w:r/>
      <w:bookmarkStart w:id="278" w:name="_Toc150480766"/>
      <w:r/>
      <w:bookmarkStart w:id="279" w:name="_Toc150509279"/>
      <w:r/>
      <w:bookmarkStart w:id="280" w:name="_Toc149720821"/>
      <w:r/>
      <w:bookmarkStart w:id="281" w:name="_Toc127151729"/>
      <w:r/>
      <w:bookmarkStart w:id="282" w:name="_Toc150774733"/>
      <w:r/>
      <w:bookmarkStart w:id="283" w:name="_Toc305158870"/>
      <w:r>
        <w:rPr>
          <w:color w:val="auto"/>
          <w:sz w:val="24"/>
          <w:highlight w:val="none"/>
        </w:rPr>
        <w:t xml:space="preserve">投标文件</w:t>
      </w:r>
      <w:bookmarkEnd w:id="251"/>
      <w:r/>
      <w:bookmarkEnd w:id="252"/>
      <w:r/>
      <w:bookmarkEnd w:id="253"/>
      <w:r>
        <w:rPr>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
        </w:numPr>
        <w:ind w:left="1077" w:hanging="720"/>
        <w:spacing w:line="360" w:lineRule="auto"/>
        <w:tabs>
          <w:tab w:val="left" w:pos="1080" w:leader="none"/>
          <w:tab w:val="left" w:pos="2014" w:leader="none"/>
        </w:tabs>
        <w:rPr>
          <w:color w:val="auto"/>
          <w:sz w:val="24"/>
          <w:highlight w:val="none"/>
        </w:rPr>
      </w:pPr>
      <w:r/>
      <w:bookmarkStart w:id="284"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投标人认为应附的其他材料。</w:t>
      </w:r>
      <w:bookmarkEnd w:id="284"/>
      <w:r/>
      <w:r/>
    </w:p>
    <w:p>
      <w:pPr>
        <w:numPr>
          <w:ilvl w:val="0"/>
          <w:numId w:val="1"/>
        </w:numPr>
        <w:ind w:left="357" w:hanging="357"/>
        <w:spacing w:line="360" w:lineRule="auto"/>
        <w:tabs>
          <w:tab w:val="left" w:pos="360" w:leader="none"/>
        </w:tabs>
        <w:rPr>
          <w:color w:val="auto"/>
          <w:sz w:val="24"/>
          <w:highlight w:val="none"/>
        </w:rPr>
        <w:outlineLvl w:val="1"/>
      </w:pPr>
      <w:r/>
      <w:bookmarkStart w:id="285" w:name="_Toc195842895"/>
      <w:r/>
      <w:bookmarkStart w:id="286" w:name="_Toc151193700"/>
      <w:r/>
      <w:bookmarkStart w:id="287" w:name="_Toc127151530"/>
      <w:r/>
      <w:bookmarkStart w:id="288" w:name="_Toc150774735"/>
      <w:r/>
      <w:bookmarkStart w:id="289" w:name="_Toc149720823"/>
      <w:r/>
      <w:bookmarkStart w:id="290" w:name="_Toc520356155"/>
      <w:r/>
      <w:bookmarkStart w:id="291" w:name="_Toc150774630"/>
      <w:r/>
      <w:bookmarkStart w:id="292" w:name="_Toc164351624"/>
      <w:r/>
      <w:bookmarkStart w:id="293" w:name="_Toc127161444"/>
      <w:r/>
      <w:bookmarkStart w:id="294" w:name="_Toc142311032"/>
      <w:r/>
      <w:bookmarkStart w:id="295" w:name="_Toc150509281"/>
      <w:r/>
      <w:bookmarkStart w:id="296" w:name="_Toc151193628"/>
      <w:r/>
      <w:bookmarkStart w:id="297" w:name="_Toc151190157"/>
      <w:r/>
      <w:bookmarkStart w:id="298" w:name="_Toc151193918"/>
      <w:r/>
      <w:bookmarkStart w:id="299" w:name="_Toc150480768"/>
      <w:r/>
      <w:bookmarkStart w:id="300" w:name="_Toc164229371"/>
      <w:r/>
      <w:bookmarkStart w:id="301" w:name="_Toc151193844"/>
      <w:r/>
      <w:bookmarkStart w:id="302" w:name="_Toc164608644"/>
      <w:r/>
      <w:bookmarkStart w:id="303" w:name="_Toc164229225"/>
      <w:r/>
      <w:bookmarkStart w:id="304" w:name="_Toc151193772"/>
      <w:r/>
      <w:bookmarkStart w:id="305" w:name="_Toc127151731"/>
      <w:r/>
      <w:bookmarkStart w:id="306" w:name="_Toc164608799"/>
      <w:r>
        <w:rPr>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1"/>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color w:val="auto"/>
          <w:sz w:val="24"/>
          <w:highlight w:val="none"/>
        </w:rPr>
      </w:pPr>
      <w:r>
        <w:rPr>
          <w:color w:val="auto"/>
          <w:sz w:val="24"/>
          <w:highlight w:val="none"/>
        </w:rPr>
        <w:t xml:space="preserve">按照招标文件要求完成本项目的全部相关服务费用。</w:t>
      </w:r>
      <w:r/>
    </w:p>
    <w:p>
      <w:pPr>
        <w:numPr>
          <w:ilvl w:val="2"/>
          <w:numId w:val="1"/>
        </w:numPr>
        <w:spacing w:line="360" w:lineRule="auto"/>
        <w:rPr>
          <w:b/>
          <w:bCs/>
          <w:color w:val="auto"/>
          <w:sz w:val="24"/>
          <w:highlight w:val="none"/>
        </w:rPr>
      </w:pPr>
      <w:r>
        <w:rPr>
          <w:rFonts w:hint="eastAsia"/>
          <w:b/>
          <w:bCs/>
          <w:color w:val="auto"/>
          <w:sz w:val="24"/>
          <w:highlight w:val="none"/>
          <w:lang w:eastAsia="zh-CN"/>
        </w:rPr>
        <w:t xml:space="preserve">按照投标文件格式中“分项报价表”要求填写总价及各项分项报价。</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1"/>
        </w:numPr>
        <w:ind w:left="357" w:hanging="357"/>
        <w:spacing w:line="360" w:lineRule="auto"/>
        <w:tabs>
          <w:tab w:val="left" w:pos="360" w:leader="none"/>
        </w:tabs>
        <w:rPr>
          <w:rFonts w:hint="eastAsia"/>
          <w:color w:val="auto"/>
          <w:sz w:val="24"/>
          <w:highlight w:val="none"/>
        </w:rPr>
        <w:outlineLvl w:val="1"/>
      </w:pPr>
      <w:r/>
      <w:bookmarkStart w:id="307" w:name="_Toc305158873"/>
      <w:r/>
      <w:bookmarkStart w:id="308" w:name="_Toc226965721"/>
      <w:r/>
      <w:bookmarkStart w:id="309" w:name="_Ref467306513"/>
      <w:r/>
      <w:bookmarkStart w:id="310" w:name="_Toc151193629"/>
      <w:r/>
      <w:bookmarkStart w:id="311" w:name="_Toc150480769"/>
      <w:r/>
      <w:bookmarkStart w:id="312" w:name="_Toc164608800"/>
      <w:r/>
      <w:bookmarkStart w:id="313" w:name="_Toc150509282"/>
      <w:r/>
      <w:bookmarkStart w:id="314" w:name="_Toc164229226"/>
      <w:r/>
      <w:bookmarkStart w:id="315" w:name="_Toc305158799"/>
      <w:r/>
      <w:bookmarkStart w:id="316" w:name="_Toc264969221"/>
      <w:r/>
      <w:bookmarkStart w:id="317" w:name="_Toc150774736"/>
      <w:r/>
      <w:bookmarkStart w:id="318" w:name="_Toc127151732"/>
      <w:r/>
      <w:bookmarkStart w:id="319" w:name="_Toc151190158"/>
      <w:r/>
      <w:bookmarkStart w:id="320" w:name="_Toc127151531"/>
      <w:r/>
      <w:bookmarkStart w:id="321" w:name="_Toc226309775"/>
      <w:r/>
      <w:bookmarkStart w:id="322" w:name="_Toc164351625"/>
      <w:r/>
      <w:bookmarkStart w:id="323" w:name="_Toc520356156"/>
      <w:r/>
      <w:bookmarkStart w:id="324" w:name="_Toc195842896"/>
      <w:r/>
      <w:bookmarkStart w:id="325" w:name="_Toc164229372"/>
      <w:r/>
      <w:bookmarkStart w:id="326" w:name="_Toc164608645"/>
      <w:r/>
      <w:bookmarkStart w:id="327" w:name="_Toc151193701"/>
      <w:r/>
      <w:bookmarkStart w:id="328" w:name="_Toc142311033"/>
      <w:r/>
      <w:bookmarkStart w:id="329" w:name="_Toc151193919"/>
      <w:r/>
      <w:bookmarkStart w:id="330" w:name="_Toc151193845"/>
      <w:r/>
      <w:bookmarkStart w:id="331" w:name="_Toc127161445"/>
      <w:r/>
      <w:bookmarkStart w:id="332" w:name="_Toc226337227"/>
      <w:r/>
      <w:bookmarkStart w:id="333" w:name="_Toc265228369"/>
      <w:r/>
      <w:bookmarkStart w:id="334" w:name="_Toc226965804"/>
      <w:r/>
      <w:bookmarkStart w:id="335" w:name="_Toc151193773"/>
      <w:r/>
      <w:bookmarkStart w:id="336" w:name="_Toc150774631"/>
      <w:r/>
      <w:bookmarkStart w:id="337" w:name="_Toc149720824"/>
      <w:r>
        <w:rPr>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 xml:space="preserve">投标保证金：</w:t>
      </w:r>
      <w:r>
        <w:rPr>
          <w:rFonts w:hint="eastAsia" w:ascii="Times New Roman" w:hAnsi="Times New Roman" w:eastAsia="宋体" w:cs="Times New Roman"/>
          <w:color w:val="auto"/>
          <w:sz w:val="24"/>
          <w:highlight w:val="none"/>
        </w:rPr>
        <w:t xml:space="preserve">根据江苏省和常州市的相关文件规定，免收投标保证金。</w:t>
      </w:r>
      <w:r/>
    </w:p>
    <w:p>
      <w:pPr>
        <w:numPr>
          <w:ilvl w:val="0"/>
          <w:numId w:val="1"/>
        </w:numPr>
        <w:ind w:left="357" w:hanging="357"/>
        <w:spacing w:line="360" w:lineRule="auto"/>
        <w:tabs>
          <w:tab w:val="left" w:pos="360" w:leader="none"/>
        </w:tabs>
        <w:rPr>
          <w:color w:val="auto"/>
          <w:sz w:val="24"/>
          <w:highlight w:val="none"/>
        </w:rPr>
        <w:outlineLvl w:val="1"/>
      </w:pPr>
      <w:r/>
      <w:bookmarkStart w:id="338" w:name="_Toc127151532"/>
      <w:r/>
      <w:bookmarkStart w:id="339" w:name="_Toc151193702"/>
      <w:r/>
      <w:bookmarkStart w:id="340" w:name="_Toc226337228"/>
      <w:r/>
      <w:bookmarkStart w:id="341" w:name="_Toc150774632"/>
      <w:r/>
      <w:bookmarkStart w:id="342" w:name="_Toc151193846"/>
      <w:r/>
      <w:bookmarkStart w:id="343" w:name="_Toc142311034"/>
      <w:r/>
      <w:bookmarkStart w:id="344" w:name="_Toc150509283"/>
      <w:r/>
      <w:bookmarkStart w:id="345" w:name="_Toc150774737"/>
      <w:r/>
      <w:bookmarkStart w:id="346" w:name="_Toc520356157"/>
      <w:r/>
      <w:bookmarkStart w:id="347" w:name="_Toc127161446"/>
      <w:r/>
      <w:bookmarkStart w:id="348" w:name="_Toc305158800"/>
      <w:r/>
      <w:bookmarkStart w:id="349" w:name="_Toc149720825"/>
      <w:r/>
      <w:bookmarkStart w:id="350" w:name="_Toc164229227"/>
      <w:r/>
      <w:bookmarkStart w:id="351" w:name="_Toc164608646"/>
      <w:r/>
      <w:bookmarkStart w:id="352" w:name="_Toc150480770"/>
      <w:r/>
      <w:bookmarkStart w:id="353" w:name="_Toc195842897"/>
      <w:r/>
      <w:bookmarkStart w:id="354" w:name="_Toc127151733"/>
      <w:r/>
      <w:bookmarkStart w:id="355" w:name="_Toc164229373"/>
      <w:r/>
      <w:bookmarkStart w:id="356" w:name="_Toc151193920"/>
      <w:r/>
      <w:bookmarkStart w:id="357" w:name="_Toc151193630"/>
      <w:r/>
      <w:bookmarkStart w:id="358" w:name="_Toc151190159"/>
      <w:r/>
      <w:bookmarkStart w:id="359" w:name="_Toc226309776"/>
      <w:r/>
      <w:bookmarkStart w:id="360" w:name="_Toc164351626"/>
      <w:r/>
      <w:bookmarkStart w:id="361" w:name="_Toc265228370"/>
      <w:r/>
      <w:bookmarkStart w:id="362" w:name="_Toc226965722"/>
      <w:r/>
      <w:bookmarkStart w:id="363" w:name="_Toc305158874"/>
      <w:r/>
      <w:bookmarkStart w:id="364" w:name="_Toc164608801"/>
      <w:r/>
      <w:bookmarkStart w:id="365" w:name="_Toc151193774"/>
      <w:r/>
      <w:bookmarkStart w:id="366" w:name="_Toc226965805"/>
      <w:r/>
      <w:bookmarkStart w:id="367" w:name="_Toc264969222"/>
      <w:r>
        <w:rPr>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1"/>
        </w:numPr>
        <w:ind w:left="357" w:hanging="357"/>
        <w:spacing w:line="360" w:lineRule="auto"/>
        <w:tabs>
          <w:tab w:val="left" w:pos="360" w:leader="none"/>
        </w:tabs>
        <w:rPr>
          <w:color w:val="auto"/>
          <w:sz w:val="24"/>
          <w:highlight w:val="none"/>
        </w:rPr>
        <w:outlineLvl w:val="1"/>
      </w:pPr>
      <w:r/>
      <w:bookmarkStart w:id="368" w:name="_Toc151193631"/>
      <w:r/>
      <w:bookmarkStart w:id="369" w:name="_Toc151193921"/>
      <w:r/>
      <w:bookmarkStart w:id="370" w:name="_Toc226965806"/>
      <w:r/>
      <w:bookmarkStart w:id="371" w:name="_Toc127161447"/>
      <w:r/>
      <w:bookmarkStart w:id="372" w:name="_Toc127151734"/>
      <w:r/>
      <w:bookmarkStart w:id="373" w:name="_Toc265228371"/>
      <w:r/>
      <w:bookmarkStart w:id="374" w:name="_Toc226309777"/>
      <w:r/>
      <w:bookmarkStart w:id="375" w:name="_Toc150480771"/>
      <w:r/>
      <w:bookmarkStart w:id="376" w:name="_Toc142311035"/>
      <w:r/>
      <w:bookmarkStart w:id="377" w:name="_Toc195842898"/>
      <w:r/>
      <w:bookmarkStart w:id="378" w:name="_Toc150774633"/>
      <w:r/>
      <w:bookmarkStart w:id="379" w:name="_Toc151190160"/>
      <w:r/>
      <w:bookmarkStart w:id="380" w:name="_Toc149720826"/>
      <w:r/>
      <w:bookmarkStart w:id="381" w:name="_Toc151193847"/>
      <w:r/>
      <w:bookmarkStart w:id="382" w:name="_Toc520356158"/>
      <w:r/>
      <w:bookmarkStart w:id="383" w:name="_Toc164229374"/>
      <w:r/>
      <w:bookmarkStart w:id="384" w:name="_Toc164608647"/>
      <w:r/>
      <w:bookmarkStart w:id="385" w:name="_Toc226965723"/>
      <w:r/>
      <w:bookmarkStart w:id="386" w:name="_Toc150509284"/>
      <w:r/>
      <w:bookmarkStart w:id="387" w:name="_Toc226337229"/>
      <w:r/>
      <w:bookmarkStart w:id="388" w:name="_Toc305158875"/>
      <w:r/>
      <w:bookmarkStart w:id="389" w:name="_Toc127151533"/>
      <w:r/>
      <w:bookmarkStart w:id="390" w:name="_Toc151193775"/>
      <w:r/>
      <w:bookmarkStart w:id="391" w:name="_Toc151193703"/>
      <w:r/>
      <w:bookmarkStart w:id="392" w:name="_Toc150774738"/>
      <w:r/>
      <w:bookmarkStart w:id="393" w:name="_Toc305158801"/>
      <w:r/>
      <w:bookmarkStart w:id="394" w:name="_Toc264969223"/>
      <w:r/>
      <w:bookmarkStart w:id="395" w:name="_Toc164229228"/>
      <w:r/>
      <w:bookmarkStart w:id="396" w:name="_Toc164608802"/>
      <w:r/>
      <w:bookmarkStart w:id="397" w:name="_Toc164351627"/>
      <w:r>
        <w:rPr>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auto"/>
          <w:sz w:val="24"/>
          <w:highlight w:val="none"/>
        </w:rPr>
        <w:t xml:space="preserve">、加盖公章</w:t>
      </w:r>
      <w:r/>
    </w:p>
    <w:p>
      <w:pPr>
        <w:numPr>
          <w:ilvl w:val="1"/>
          <w:numId w:val="1"/>
        </w:numPr>
        <w:ind w:left="1077" w:hanging="720"/>
        <w:spacing w:line="360" w:lineRule="auto"/>
        <w:tabs>
          <w:tab w:val="left" w:pos="1080" w:leader="none"/>
          <w:tab w:val="left" w:pos="2014" w:leader="none"/>
        </w:tabs>
        <w:rPr>
          <w:color w:val="auto"/>
          <w:sz w:val="24"/>
          <w:highlight w:val="none"/>
        </w:rPr>
      </w:pPr>
      <w:r/>
      <w:bookmarkStart w:id="398" w:name="_Toc151193848"/>
      <w:r/>
      <w:bookmarkStart w:id="399" w:name="_Toc195842899"/>
      <w:r/>
      <w:bookmarkStart w:id="400" w:name="_Toc265228372"/>
      <w:r/>
      <w:bookmarkStart w:id="401" w:name="_Toc151193632"/>
      <w:r/>
      <w:bookmarkStart w:id="402" w:name="_Toc151190161"/>
      <w:r/>
      <w:bookmarkStart w:id="403" w:name="_Toc305158876"/>
      <w:r/>
      <w:bookmarkStart w:id="404" w:name="_Toc150509285"/>
      <w:r/>
      <w:bookmarkStart w:id="405" w:name="_Toc150774634"/>
      <w:r/>
      <w:bookmarkStart w:id="406" w:name="_Toc151193776"/>
      <w:r/>
      <w:bookmarkStart w:id="407" w:name="_Toc150480772"/>
      <w:r/>
      <w:bookmarkStart w:id="408" w:name="_Toc226337230"/>
      <w:r/>
      <w:bookmarkStart w:id="409" w:name="_Toc226965724"/>
      <w:r/>
      <w:bookmarkStart w:id="410" w:name="_Toc520356159"/>
      <w:r/>
      <w:bookmarkStart w:id="411" w:name="_Toc150774739"/>
      <w:r/>
      <w:bookmarkStart w:id="412" w:name="_Toc226965807"/>
      <w:r/>
      <w:bookmarkStart w:id="413" w:name="_Toc151193704"/>
      <w:r/>
      <w:bookmarkStart w:id="414" w:name="_Toc127151534"/>
      <w:r/>
      <w:bookmarkStart w:id="415" w:name="_Toc264969224"/>
      <w:r/>
      <w:bookmarkStart w:id="416" w:name="_Toc226309778"/>
      <w:r/>
      <w:bookmarkStart w:id="417" w:name="_Toc305158802"/>
      <w:r/>
      <w:bookmarkStart w:id="418" w:name="_Toc151193922"/>
      <w:r/>
      <w:bookmarkStart w:id="419" w:name="_Toc142311036"/>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91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
        </w:numPr>
        <w:ind w:left="357" w:hanging="357"/>
        <w:spacing w:line="360" w:lineRule="auto"/>
        <w:tabs>
          <w:tab w:val="left" w:pos="360" w:leader="none"/>
        </w:tabs>
        <w:rPr>
          <w:color w:val="auto"/>
          <w:sz w:val="24"/>
          <w:highlight w:val="none"/>
        </w:rPr>
        <w:outlineLvl w:val="1"/>
      </w:pPr>
      <w:r/>
      <w:bookmarkStart w:id="420" w:name="_Toc151193849"/>
      <w:r/>
      <w:bookmarkStart w:id="421" w:name="_Toc142311037"/>
      <w:r/>
      <w:bookmarkStart w:id="422" w:name="_Toc226965808"/>
      <w:r/>
      <w:bookmarkStart w:id="423" w:name="_Toc164608804"/>
      <w:r/>
      <w:bookmarkStart w:id="424" w:name="_Toc151190162"/>
      <w:r/>
      <w:bookmarkStart w:id="425" w:name="_Toc264969225"/>
      <w:r/>
      <w:bookmarkStart w:id="426" w:name="_Toc151193777"/>
      <w:r/>
      <w:bookmarkStart w:id="427" w:name="_Toc520356160"/>
      <w:r/>
      <w:bookmarkStart w:id="428" w:name="_Toc150774635"/>
      <w:r/>
      <w:bookmarkStart w:id="429" w:name="_Toc150774740"/>
      <w:r/>
      <w:bookmarkStart w:id="430" w:name="_Toc305158877"/>
      <w:r/>
      <w:bookmarkStart w:id="431" w:name="_Toc127161449"/>
      <w:r/>
      <w:bookmarkStart w:id="432" w:name="_Toc151193633"/>
      <w:r/>
      <w:bookmarkStart w:id="433" w:name="_Toc151193705"/>
      <w:r/>
      <w:bookmarkStart w:id="434" w:name="_Toc149720828"/>
      <w:r/>
      <w:bookmarkStart w:id="435" w:name="_Toc150509286"/>
      <w:r/>
      <w:bookmarkStart w:id="436" w:name="_Toc151193923"/>
      <w:r/>
      <w:bookmarkStart w:id="437" w:name="_Toc164608649"/>
      <w:r/>
      <w:bookmarkStart w:id="438" w:name="_Toc305158803"/>
      <w:r/>
      <w:bookmarkStart w:id="439" w:name="_Toc226337231"/>
      <w:r/>
      <w:bookmarkStart w:id="440" w:name="_Toc164229230"/>
      <w:r/>
      <w:bookmarkStart w:id="441" w:name="_Toc127151736"/>
      <w:r/>
      <w:bookmarkStart w:id="442" w:name="_Toc265228373"/>
      <w:r/>
      <w:bookmarkStart w:id="443" w:name="_Toc164351629"/>
      <w:r/>
      <w:bookmarkStart w:id="444" w:name="_Toc195842900"/>
      <w:r/>
      <w:bookmarkStart w:id="445" w:name="_Toc150480773"/>
      <w:r/>
      <w:bookmarkStart w:id="446" w:name="_Toc164229376"/>
      <w:r/>
      <w:bookmarkStart w:id="447" w:name="_Toc226309779"/>
      <w:r/>
      <w:bookmarkStart w:id="448" w:name="_Toc226965725"/>
      <w:r/>
      <w:bookmarkStart w:id="449" w:name="_Toc127151535"/>
      <w:r>
        <w:rPr>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auto"/>
          <w:sz w:val="24"/>
          <w:highlight w:val="none"/>
        </w:rPr>
        <w:t xml:space="preserve">提交</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政府采购一体化平台“苏采云”</w:t>
      </w:r>
      <w:r>
        <w:rPr>
          <w:color w:val="auto"/>
          <w:sz w:val="24"/>
          <w:highlight w:val="none"/>
        </w:rPr>
        <w:t xml:space="preserve">。投标人根据招标文件及</w:t>
      </w:r>
      <w:r>
        <w:rPr>
          <w:rFonts w:hint="eastAsia"/>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lang w:bidi="ar"/>
        </w:rPr>
        <w:t xml:space="preserve">政府采购一体化平台“苏采云”</w:t>
      </w:r>
      <w:r>
        <w:rPr>
          <w:color w:val="auto"/>
          <w:sz w:val="24"/>
          <w:highlight w:val="none"/>
        </w:rPr>
        <w:t xml:space="preserve">以外任何形式提交的投标文件。</w:t>
      </w:r>
      <w:r/>
    </w:p>
    <w:p>
      <w:pPr>
        <w:numPr>
          <w:ilvl w:val="0"/>
          <w:numId w:val="1"/>
        </w:numPr>
        <w:ind w:left="357" w:hanging="357"/>
        <w:spacing w:line="360" w:lineRule="auto"/>
        <w:tabs>
          <w:tab w:val="left" w:pos="360" w:leader="none"/>
        </w:tabs>
        <w:rPr>
          <w:color w:val="auto"/>
          <w:sz w:val="24"/>
          <w:highlight w:val="none"/>
        </w:rPr>
        <w:outlineLvl w:val="1"/>
      </w:pPr>
      <w:r/>
      <w:bookmarkStart w:id="450" w:name="_Toc149720829"/>
      <w:r/>
      <w:bookmarkStart w:id="451" w:name="_Toc151193706"/>
      <w:r/>
      <w:bookmarkStart w:id="452" w:name="_Toc151193850"/>
      <w:r/>
      <w:bookmarkStart w:id="453" w:name="_Toc142311038"/>
      <w:r/>
      <w:bookmarkStart w:id="454" w:name="_Toc305158878"/>
      <w:r/>
      <w:bookmarkStart w:id="455" w:name="_Toc127151536"/>
      <w:r/>
      <w:bookmarkStart w:id="456" w:name="_Toc127151737"/>
      <w:r/>
      <w:bookmarkStart w:id="457" w:name="_Toc164608650"/>
      <w:r/>
      <w:bookmarkStart w:id="458" w:name="_Toc164351630"/>
      <w:r/>
      <w:bookmarkStart w:id="459" w:name="_Toc150509287"/>
      <w:r/>
      <w:bookmarkStart w:id="460" w:name="_Toc151193778"/>
      <w:r/>
      <w:bookmarkStart w:id="461" w:name="_Toc226965809"/>
      <w:r/>
      <w:bookmarkStart w:id="462" w:name="_Toc520356161"/>
      <w:r/>
      <w:bookmarkStart w:id="463" w:name="_Toc151193634"/>
      <w:r/>
      <w:bookmarkStart w:id="464" w:name="_Toc264969226"/>
      <w:r/>
      <w:bookmarkStart w:id="465" w:name="_Toc265228374"/>
      <w:r/>
      <w:bookmarkStart w:id="466" w:name="_Toc305158804"/>
      <w:r/>
      <w:bookmarkStart w:id="467" w:name="_Toc150480774"/>
      <w:r/>
      <w:bookmarkStart w:id="468" w:name="_Toc150774636"/>
      <w:r/>
      <w:bookmarkStart w:id="469" w:name="_Toc151190163"/>
      <w:r/>
      <w:bookmarkStart w:id="470" w:name="_Toc164229377"/>
      <w:r/>
      <w:bookmarkStart w:id="471" w:name="_Toc150774741"/>
      <w:r/>
      <w:bookmarkStart w:id="472" w:name="_Toc164229231"/>
      <w:r/>
      <w:bookmarkStart w:id="473" w:name="_Toc195842901"/>
      <w:r/>
      <w:bookmarkStart w:id="474" w:name="_Toc226337232"/>
      <w:r/>
      <w:bookmarkStart w:id="475" w:name="_Toc127161450"/>
      <w:r/>
      <w:bookmarkStart w:id="476" w:name="_Toc164608805"/>
      <w:r/>
      <w:bookmarkStart w:id="477" w:name="_Toc151193924"/>
      <w:r/>
      <w:bookmarkStart w:id="478" w:name="_Toc226965726"/>
      <w:r/>
      <w:bookmarkStart w:id="479" w:name="_Toc226309780"/>
      <w:r>
        <w:rPr>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auto"/>
          <w:sz w:val="24"/>
          <w:highlight w:val="none"/>
        </w:rPr>
        <w:t xml:space="preserve">时间</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lang w:bidi="ar"/>
        </w:rPr>
        <w:t xml:space="preserve">政府采购一体化平台“苏采云”</w:t>
      </w:r>
      <w:r>
        <w:rPr>
          <w:color w:val="auto"/>
          <w:sz w:val="24"/>
          <w:highlight w:val="none"/>
        </w:rPr>
        <w:t xml:space="preserve">。</w:t>
      </w:r>
      <w:r/>
    </w:p>
    <w:p>
      <w:pPr>
        <w:numPr>
          <w:ilvl w:val="0"/>
          <w:numId w:val="1"/>
        </w:numPr>
        <w:ind w:left="357" w:hanging="357"/>
        <w:spacing w:line="360" w:lineRule="auto"/>
        <w:tabs>
          <w:tab w:val="left" w:pos="360" w:leader="none"/>
        </w:tabs>
        <w:rPr>
          <w:color w:val="auto"/>
          <w:sz w:val="24"/>
          <w:highlight w:val="none"/>
        </w:rPr>
        <w:outlineLvl w:val="1"/>
      </w:pPr>
      <w:r/>
      <w:bookmarkStart w:id="480" w:name="_Toc305158805"/>
      <w:r/>
      <w:bookmarkStart w:id="481" w:name="_Toc195842902"/>
      <w:r/>
      <w:bookmarkStart w:id="482" w:name="_Toc164351631"/>
      <w:r/>
      <w:bookmarkStart w:id="483" w:name="_Toc127151738"/>
      <w:r/>
      <w:bookmarkStart w:id="484" w:name="_Toc127151537"/>
      <w:r/>
      <w:bookmarkStart w:id="485" w:name="_Toc164229378"/>
      <w:r/>
      <w:bookmarkStart w:id="486" w:name="_Toc142311039"/>
      <w:r/>
      <w:bookmarkStart w:id="487" w:name="_Toc150480775"/>
      <w:r/>
      <w:bookmarkStart w:id="488" w:name="_Toc151193925"/>
      <w:r/>
      <w:bookmarkStart w:id="489" w:name="_Toc127161451"/>
      <w:r/>
      <w:bookmarkStart w:id="490" w:name="_Toc305158879"/>
      <w:r/>
      <w:bookmarkStart w:id="491" w:name="_Toc520356162"/>
      <w:r/>
      <w:bookmarkStart w:id="492" w:name="_Toc151193707"/>
      <w:r/>
      <w:bookmarkStart w:id="493" w:name="_Toc150774637"/>
      <w:r/>
      <w:bookmarkStart w:id="494" w:name="_Toc151193851"/>
      <w:r/>
      <w:bookmarkStart w:id="495" w:name="_Toc226965727"/>
      <w:r/>
      <w:bookmarkStart w:id="496" w:name="_Toc151190164"/>
      <w:r/>
      <w:bookmarkStart w:id="497" w:name="_Toc164229232"/>
      <w:r/>
      <w:bookmarkStart w:id="498" w:name="_Toc151193635"/>
      <w:r/>
      <w:bookmarkStart w:id="499" w:name="_Toc264969227"/>
      <w:r/>
      <w:bookmarkStart w:id="500" w:name="_Toc150509288"/>
      <w:r/>
      <w:bookmarkStart w:id="501" w:name="_Toc164608651"/>
      <w:r/>
      <w:bookmarkStart w:id="502" w:name="_Toc151193779"/>
      <w:r/>
      <w:bookmarkStart w:id="503" w:name="_Toc164608806"/>
      <w:r/>
      <w:bookmarkStart w:id="504" w:name="_Toc265228375"/>
      <w:r/>
      <w:bookmarkStart w:id="505" w:name="_Toc226309781"/>
      <w:r/>
      <w:bookmarkStart w:id="506" w:name="_Toc226965810"/>
      <w:r/>
      <w:bookmarkStart w:id="507" w:name="_Toc149720830"/>
      <w:r/>
      <w:bookmarkStart w:id="508" w:name="_Toc226337233"/>
      <w:r/>
      <w:bookmarkStart w:id="509" w:name="_Toc150774742"/>
      <w:r>
        <w:rPr>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lang w:bidi="ar"/>
        </w:rPr>
        <w:t xml:space="preserve">政府采购一体化平台“苏采云”</w:t>
      </w:r>
      <w:r>
        <w:rPr>
          <w:color w:val="auto"/>
          <w:sz w:val="24"/>
          <w:highlight w:val="none"/>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911"/>
        <w:spacing w:before="0" w:line="360" w:lineRule="auto"/>
        <w:rPr>
          <w:rFonts w:ascii="Times New Roman" w:hAnsi="Times New Roman" w:eastAsia="宋体"/>
          <w:color w:val="auto"/>
          <w:sz w:val="28"/>
          <w:highlight w:val="none"/>
        </w:rPr>
      </w:pPr>
      <w:r/>
      <w:bookmarkStart w:id="510" w:name="_Toc264969228"/>
      <w:r/>
      <w:bookmarkStart w:id="511" w:name="_Toc151193852"/>
      <w:r/>
      <w:bookmarkStart w:id="512" w:name="_Toc305158880"/>
      <w:r/>
      <w:bookmarkStart w:id="513" w:name="_Toc150509289"/>
      <w:r/>
      <w:bookmarkStart w:id="514" w:name="_Toc151193780"/>
      <w:r/>
      <w:bookmarkStart w:id="515" w:name="_Toc150774743"/>
      <w:r/>
      <w:bookmarkStart w:id="516" w:name="_Toc520356163"/>
      <w:r/>
      <w:bookmarkStart w:id="517" w:name="_Toc151193708"/>
      <w:r/>
      <w:bookmarkStart w:id="518" w:name="_Toc151190165"/>
      <w:r/>
      <w:bookmarkStart w:id="519" w:name="_Toc226337234"/>
      <w:r/>
      <w:bookmarkStart w:id="520" w:name="_Toc150774638"/>
      <w:r/>
      <w:bookmarkStart w:id="521" w:name="_Toc265228376"/>
      <w:r/>
      <w:bookmarkStart w:id="522" w:name="_Toc226965728"/>
      <w:r/>
      <w:bookmarkStart w:id="523" w:name="_Toc151193926"/>
      <w:r/>
      <w:bookmarkStart w:id="524" w:name="_Toc305158806"/>
      <w:r/>
      <w:bookmarkStart w:id="525" w:name="_Toc142311040"/>
      <w:r/>
      <w:bookmarkStart w:id="526" w:name="_Toc150480776"/>
      <w:r/>
      <w:bookmarkStart w:id="527" w:name="_Toc195842903"/>
      <w:r/>
      <w:bookmarkStart w:id="528" w:name="_Toc151193636"/>
      <w:r/>
      <w:bookmarkStart w:id="529" w:name="_Toc226309782"/>
      <w:r/>
      <w:bookmarkStart w:id="530" w:name="_Toc226965811"/>
      <w:r/>
      <w:bookmarkStart w:id="531" w:name="_Toc127151538"/>
      <w:r>
        <w:rPr>
          <w:rFonts w:ascii="Times New Roman" w:hAnsi="Times New Roman" w:eastAsia="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
        </w:numPr>
        <w:ind w:left="357" w:hanging="357"/>
        <w:spacing w:line="360" w:lineRule="auto"/>
        <w:tabs>
          <w:tab w:val="left" w:pos="360" w:leader="none"/>
        </w:tabs>
        <w:rPr>
          <w:color w:val="auto"/>
          <w:sz w:val="24"/>
          <w:highlight w:val="none"/>
        </w:rPr>
        <w:outlineLvl w:val="1"/>
      </w:pPr>
      <w:r/>
      <w:bookmarkStart w:id="532" w:name="_Toc164229380"/>
      <w:r/>
      <w:bookmarkStart w:id="533" w:name="_Toc226965729"/>
      <w:r/>
      <w:bookmarkStart w:id="534" w:name="_Toc150774639"/>
      <w:r/>
      <w:bookmarkStart w:id="535" w:name="_Toc151193853"/>
      <w:r/>
      <w:bookmarkStart w:id="536" w:name="_Toc164351633"/>
      <w:r/>
      <w:bookmarkStart w:id="537" w:name="_Toc150480777"/>
      <w:r/>
      <w:bookmarkStart w:id="538" w:name="_Toc305158807"/>
      <w:r/>
      <w:bookmarkStart w:id="539" w:name="_Toc151190166"/>
      <w:r/>
      <w:bookmarkStart w:id="540" w:name="_Toc127151740"/>
      <w:r/>
      <w:bookmarkStart w:id="541" w:name="_Toc305158881"/>
      <w:r/>
      <w:bookmarkStart w:id="542" w:name="_Toc150509290"/>
      <w:r/>
      <w:bookmarkStart w:id="543" w:name="_Toc151193781"/>
      <w:r/>
      <w:bookmarkStart w:id="544" w:name="_Toc142311041"/>
      <w:r/>
      <w:bookmarkStart w:id="545" w:name="_Toc127161453"/>
      <w:r/>
      <w:bookmarkStart w:id="546" w:name="_Toc164229234"/>
      <w:r/>
      <w:bookmarkStart w:id="547" w:name="_Toc195842904"/>
      <w:r/>
      <w:bookmarkStart w:id="548" w:name="_Toc264969229"/>
      <w:r/>
      <w:bookmarkStart w:id="549" w:name="_Toc149720832"/>
      <w:r/>
      <w:bookmarkStart w:id="550" w:name="_Toc151193927"/>
      <w:r/>
      <w:bookmarkStart w:id="551" w:name="_Toc265228377"/>
      <w:r/>
      <w:bookmarkStart w:id="552" w:name="_Toc226309783"/>
      <w:r/>
      <w:bookmarkStart w:id="553" w:name="_Toc520356164"/>
      <w:r/>
      <w:bookmarkStart w:id="554" w:name="_Toc150774744"/>
      <w:r/>
      <w:bookmarkStart w:id="555" w:name="_Toc164608808"/>
      <w:r/>
      <w:bookmarkStart w:id="556" w:name="_Toc226965812"/>
      <w:r/>
      <w:bookmarkStart w:id="557" w:name="_Toc127151539"/>
      <w:r/>
      <w:bookmarkStart w:id="558" w:name="_Toc151193637"/>
      <w:r/>
      <w:bookmarkStart w:id="559" w:name="_Toc226337235"/>
      <w:r/>
      <w:bookmarkStart w:id="560" w:name="_Toc164608653"/>
      <w:r/>
      <w:bookmarkStart w:id="561" w:name="_Toc151193709"/>
      <w:r>
        <w:rPr>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bidi="ar"/>
        </w:rPr>
        <w:t xml:space="preserve">政府采购一体化平台“苏采云”</w:t>
      </w:r>
      <w:r>
        <w:rPr>
          <w:rFonts w:hint="eastAsia"/>
          <w:color w:val="auto"/>
          <w:sz w:val="24"/>
          <w:highlight w:val="none"/>
        </w:rPr>
        <w:t xml:space="preserve">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lang w:bidi="ar"/>
        </w:rPr>
        <w:t xml:space="preserve">政府采购一体化平台“苏采云”</w:t>
      </w:r>
      <w:r>
        <w:rPr>
          <w:rFonts w:hint="eastAsia"/>
          <w:color w:val="auto"/>
          <w:sz w:val="24"/>
          <w:highlight w:val="none"/>
        </w:rPr>
        <w:t xml:space="preserve">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62" w:name="_Toc520356165"/>
      <w:r>
        <w:rPr>
          <w:rFonts w:hint="eastAsia"/>
          <w:color w:val="auto"/>
          <w:sz w:val="24"/>
          <w:highlight w:val="none"/>
        </w:rPr>
        <w:t xml:space="preserve">。投标人超过规定时间未确认但是未提出异议的，系统将视同已确认</w:t>
      </w:r>
      <w:r>
        <w:rPr>
          <w:color w:val="auto"/>
          <w:sz w:val="24"/>
          <w:highlight w:val="none"/>
        </w:rPr>
        <w:t xml:space="preserve">。</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rFonts w:hint="eastAsia"/>
          <w:color w:val="auto"/>
          <w:sz w:val="24"/>
          <w:highlight w:val="none"/>
        </w:rPr>
      </w:pPr>
      <w:r>
        <w:rPr>
          <w:color w:val="auto"/>
          <w:sz w:val="24"/>
          <w:highlight w:val="none"/>
        </w:rPr>
        <w:t xml:space="preserve">投标人不足3家的，不予开标。</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1"/>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2"/>
      <w:r/>
    </w:p>
    <w:p>
      <w:pPr>
        <w:numPr>
          <w:ilvl w:val="0"/>
          <w:numId w:val="1"/>
        </w:numPr>
        <w:ind w:left="357" w:hanging="357"/>
        <w:spacing w:line="360" w:lineRule="auto"/>
        <w:tabs>
          <w:tab w:val="left" w:pos="360" w:leader="none"/>
        </w:tabs>
        <w:rPr>
          <w:color w:val="auto"/>
          <w:sz w:val="24"/>
          <w:highlight w:val="none"/>
        </w:rPr>
        <w:outlineLvl w:val="1"/>
      </w:pPr>
      <w:r/>
      <w:bookmarkStart w:id="563" w:name="_Toc164608809"/>
      <w:r/>
      <w:bookmarkStart w:id="564" w:name="_Toc127151540"/>
      <w:r/>
      <w:bookmarkStart w:id="565" w:name="_Toc150480778"/>
      <w:r/>
      <w:bookmarkStart w:id="566" w:name="_Toc195842905"/>
      <w:r/>
      <w:bookmarkStart w:id="567" w:name="_Toc150774640"/>
      <w:r/>
      <w:bookmarkStart w:id="568" w:name="_Toc305158808"/>
      <w:r/>
      <w:bookmarkStart w:id="569" w:name="_Toc226965730"/>
      <w:r/>
      <w:bookmarkStart w:id="570" w:name="_Toc142311042"/>
      <w:r/>
      <w:bookmarkStart w:id="571" w:name="_Toc151193638"/>
      <w:r/>
      <w:bookmarkStart w:id="572" w:name="_Toc150774745"/>
      <w:r/>
      <w:bookmarkStart w:id="573" w:name="_Toc127151741"/>
      <w:r/>
      <w:bookmarkStart w:id="574" w:name="_Toc151193928"/>
      <w:r/>
      <w:bookmarkStart w:id="575" w:name="_Toc151190167"/>
      <w:r/>
      <w:bookmarkStart w:id="576" w:name="_Toc151193854"/>
      <w:r/>
      <w:bookmarkStart w:id="577" w:name="_Toc164608654"/>
      <w:r/>
      <w:bookmarkStart w:id="578" w:name="_Toc265228378"/>
      <w:r/>
      <w:bookmarkStart w:id="579" w:name="_Toc226309784"/>
      <w:r/>
      <w:bookmarkStart w:id="580" w:name="_Toc164229235"/>
      <w:r/>
      <w:bookmarkStart w:id="581" w:name="_Toc226337236"/>
      <w:r/>
      <w:bookmarkStart w:id="582" w:name="_Toc151193782"/>
      <w:r/>
      <w:bookmarkStart w:id="583" w:name="_Toc226965813"/>
      <w:r/>
      <w:bookmarkStart w:id="584" w:name="_Toc149720833"/>
      <w:r/>
      <w:bookmarkStart w:id="585" w:name="_Toc127161454"/>
      <w:r/>
      <w:bookmarkStart w:id="586" w:name="_Toc305158882"/>
      <w:r/>
      <w:bookmarkStart w:id="587" w:name="_Toc151193710"/>
      <w:r/>
      <w:bookmarkStart w:id="588" w:name="_Toc164351634"/>
      <w:r/>
      <w:bookmarkStart w:id="589" w:name="_Toc150509291"/>
      <w:r/>
      <w:bookmarkStart w:id="590" w:name="_Toc264969230"/>
      <w:r/>
      <w:bookmarkStart w:id="591" w:name="_Toc164229381"/>
      <w:r>
        <w:rPr>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911"/>
        <w:spacing w:before="0" w:line="360" w:lineRule="auto"/>
        <w:rPr>
          <w:rFonts w:ascii="Times New Roman" w:hAnsi="Times New Roman" w:eastAsia="宋体"/>
          <w:color w:val="auto"/>
          <w:sz w:val="28"/>
          <w:highlight w:val="none"/>
        </w:rPr>
      </w:pPr>
      <w:r/>
      <w:bookmarkStart w:id="594" w:name="_Toc226965735"/>
      <w:r/>
      <w:bookmarkStart w:id="595" w:name="_Toc195842910"/>
      <w:r/>
      <w:bookmarkStart w:id="596" w:name="_Toc226337241"/>
      <w:r/>
      <w:bookmarkStart w:id="597" w:name="_Toc305158813"/>
      <w:r/>
      <w:bookmarkStart w:id="598" w:name="_Toc151193787"/>
      <w:r/>
      <w:bookmarkStart w:id="599" w:name="_Toc226309789"/>
      <w:r/>
      <w:bookmarkStart w:id="600" w:name="_Toc151193715"/>
      <w:r/>
      <w:bookmarkStart w:id="601" w:name="_Toc150774750"/>
      <w:r/>
      <w:bookmarkStart w:id="602" w:name="_Toc305158887"/>
      <w:r/>
      <w:bookmarkStart w:id="603" w:name="_Toc151193933"/>
      <w:r/>
      <w:bookmarkStart w:id="604" w:name="_Toc151193859"/>
      <w:r/>
      <w:bookmarkStart w:id="605" w:name="_Toc226965818"/>
      <w:r/>
      <w:bookmarkStart w:id="606" w:name="_Toc127151545"/>
      <w:r/>
      <w:bookmarkStart w:id="607" w:name="_Toc151193643"/>
      <w:r/>
      <w:bookmarkStart w:id="608" w:name="_Toc265228383"/>
      <w:r/>
      <w:bookmarkStart w:id="609" w:name="_Toc142311047"/>
      <w:r/>
      <w:bookmarkStart w:id="610" w:name="_Toc150774645"/>
      <w:r/>
      <w:bookmarkStart w:id="611" w:name="_Toc150480783"/>
      <w:r/>
      <w:bookmarkStart w:id="612" w:name="_Toc151190172"/>
      <w:r/>
      <w:bookmarkStart w:id="613" w:name="_Toc264969235"/>
      <w:r/>
      <w:bookmarkStart w:id="614" w:name="_Toc150509296"/>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2311049"/>
      <w:r/>
      <w:bookmarkStart w:id="616" w:name="_Toc127151547"/>
      <w:r/>
      <w:bookmarkStart w:id="617" w:name="_Toc150774647"/>
      <w:r/>
      <w:bookmarkStart w:id="618" w:name="_Toc164229242"/>
      <w:r/>
      <w:bookmarkStart w:id="619" w:name="_Toc151193861"/>
      <w:r/>
      <w:bookmarkStart w:id="620" w:name="_Toc127151748"/>
      <w:r/>
      <w:bookmarkStart w:id="621" w:name="_Toc265228385"/>
      <w:r/>
      <w:bookmarkStart w:id="622" w:name="_Toc164608661"/>
      <w:r/>
      <w:bookmarkStart w:id="623" w:name="_Toc226965737"/>
      <w:r/>
      <w:bookmarkStart w:id="624" w:name="_Toc226337243"/>
      <w:r/>
      <w:bookmarkStart w:id="625" w:name="_Toc151193935"/>
      <w:r/>
      <w:bookmarkStart w:id="626" w:name="_Toc164351641"/>
      <w:r/>
      <w:bookmarkStart w:id="627" w:name="_Toc305158815"/>
      <w:r/>
      <w:bookmarkStart w:id="628" w:name="_Toc226965820"/>
      <w:r/>
      <w:bookmarkStart w:id="629" w:name="_Toc264969237"/>
      <w:r/>
      <w:bookmarkStart w:id="630" w:name="_Toc127161461"/>
      <w:r/>
      <w:bookmarkStart w:id="631" w:name="_Toc151193717"/>
      <w:r/>
      <w:bookmarkStart w:id="632" w:name="_Toc150774752"/>
      <w:r/>
      <w:bookmarkStart w:id="633" w:name="_Toc151193789"/>
      <w:r/>
      <w:bookmarkStart w:id="634" w:name="_Toc150480785"/>
      <w:r/>
      <w:bookmarkStart w:id="635" w:name="_Toc164608816"/>
      <w:r/>
      <w:bookmarkStart w:id="636" w:name="_Toc151193645"/>
      <w:r/>
      <w:bookmarkStart w:id="637" w:name="_Toc150509298"/>
      <w:r/>
      <w:bookmarkStart w:id="638" w:name="_Toc151190174"/>
      <w:r/>
      <w:bookmarkStart w:id="639" w:name="_Toc305158889"/>
      <w:r/>
      <w:bookmarkStart w:id="640" w:name="_Toc164229388"/>
      <w:r/>
      <w:bookmarkStart w:id="641" w:name="_Toc149720840"/>
      <w:r/>
      <w:bookmarkStart w:id="642" w:name="_Toc226309791"/>
      <w:r/>
      <w:bookmarkStart w:id="643" w:name="_Toc195842912"/>
      <w:r/>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1"/>
        </w:numPr>
        <w:ind w:left="357" w:hanging="357"/>
        <w:spacing w:line="360" w:lineRule="auto"/>
        <w:tabs>
          <w:tab w:val="left" w:pos="360" w:leader="none"/>
        </w:tabs>
        <w:rPr>
          <w:color w:val="auto"/>
          <w:sz w:val="24"/>
          <w:highlight w:val="none"/>
        </w:rPr>
        <w:outlineLvl w:val="1"/>
      </w:pPr>
      <w:r/>
      <w:bookmarkStart w:id="644" w:name="_Toc305158891"/>
      <w:r/>
      <w:bookmarkStart w:id="645" w:name="_Toc305158817"/>
      <w:r/>
      <w:bookmarkStart w:id="646" w:name="_Toc226965739"/>
      <w:r/>
      <w:bookmarkStart w:id="647" w:name="_Toc142311051"/>
      <w:r/>
      <w:bookmarkStart w:id="648" w:name="_Toc127151750"/>
      <w:r/>
      <w:bookmarkStart w:id="649" w:name="_Toc151193791"/>
      <w:r/>
      <w:bookmarkStart w:id="650" w:name="_Toc150480787"/>
      <w:r/>
      <w:bookmarkStart w:id="651" w:name="_Toc226965822"/>
      <w:r/>
      <w:bookmarkStart w:id="652" w:name="_Toc150774649"/>
      <w:r/>
      <w:bookmarkStart w:id="653" w:name="_Toc164351643"/>
      <w:r/>
      <w:bookmarkStart w:id="654" w:name="_Toc151190176"/>
      <w:r/>
      <w:bookmarkStart w:id="655" w:name="_Toc127151549"/>
      <w:r/>
      <w:bookmarkStart w:id="656" w:name="_Toc151193719"/>
      <w:r/>
      <w:bookmarkStart w:id="657" w:name="_Toc150774754"/>
      <w:r/>
      <w:bookmarkStart w:id="658" w:name="_Toc226337245"/>
      <w:r/>
      <w:bookmarkStart w:id="659" w:name="_Toc151193937"/>
      <w:r/>
      <w:bookmarkStart w:id="660" w:name="_Toc164229244"/>
      <w:r/>
      <w:bookmarkStart w:id="661" w:name="_Toc164608818"/>
      <w:r/>
      <w:bookmarkStart w:id="662" w:name="_Toc150509300"/>
      <w:r/>
      <w:bookmarkStart w:id="663" w:name="_Toc151193647"/>
      <w:r/>
      <w:bookmarkStart w:id="664" w:name="_Toc195842914"/>
      <w:r/>
      <w:bookmarkStart w:id="665" w:name="_Toc264969239"/>
      <w:r/>
      <w:bookmarkStart w:id="666" w:name="_Toc226309793"/>
      <w:r/>
      <w:bookmarkStart w:id="667" w:name="_Toc265228387"/>
      <w:r/>
      <w:bookmarkStart w:id="668" w:name="_Toc164229390"/>
      <w:r/>
      <w:bookmarkStart w:id="669" w:name="_Toc151193863"/>
      <w:r/>
      <w:bookmarkStart w:id="670" w:name="_Toc149720842"/>
      <w:r/>
      <w:bookmarkStart w:id="671" w:name="_Toc164608663"/>
      <w:r/>
      <w:bookmarkStart w:id="672" w:name="_Toc127161463"/>
      <w:r/>
      <w:bookmarkStart w:id="673" w:name="_Ref467306425"/>
      <w:r/>
      <w:bookmarkStart w:id="674" w:name="_Ref467307090"/>
      <w:r/>
      <w:bookmarkStart w:id="675" w:name="_Toc520356176"/>
      <w:r>
        <w:rPr>
          <w:color w:val="auto"/>
          <w:sz w:val="24"/>
          <w:highlight w:val="none"/>
        </w:rPr>
        <w:t xml:space="preserve">中标公告与中标通知书</w:t>
      </w:r>
      <w:bookmarkEnd w:id="644"/>
      <w:r/>
      <w:bookmarkEnd w:id="645"/>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1"/>
        </w:numPr>
        <w:spacing w:line="360" w:lineRule="auto"/>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1"/>
        </w:numPr>
        <w:spacing w:line="360" w:lineRule="auto"/>
        <w:rPr>
          <w:color w:val="auto"/>
          <w:sz w:val="24"/>
          <w:highlight w:val="none"/>
        </w:rPr>
      </w:pPr>
      <w:r>
        <w:rPr>
          <w:color w:val="auto"/>
          <w:sz w:val="24"/>
          <w:highlight w:val="none"/>
        </w:rPr>
        <w:t xml:space="preserve">出现影响采购公正的违法、违规行为的；</w:t>
      </w:r>
      <w:r/>
    </w:p>
    <w:p>
      <w:pPr>
        <w:numPr>
          <w:ilvl w:val="2"/>
          <w:numId w:val="1"/>
        </w:numPr>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1"/>
        </w:numPr>
        <w:spacing w:line="360" w:lineRule="auto"/>
        <w:rPr>
          <w:rFonts w:hint="eastAsia"/>
          <w:color w:val="auto"/>
          <w:sz w:val="24"/>
          <w:highlight w:val="none"/>
        </w:rPr>
      </w:pPr>
      <w:r>
        <w:rPr>
          <w:color w:val="auto"/>
          <w:sz w:val="24"/>
          <w:highlight w:val="none"/>
        </w:rPr>
        <w:t xml:space="preserve">因重大变故，采购任务取消的。</w:t>
      </w:r>
      <w:r/>
    </w:p>
    <w:p>
      <w:pPr>
        <w:numPr>
          <w:ilvl w:val="2"/>
          <w:numId w:val="1"/>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1"/>
        </w:numPr>
        <w:ind w:left="357" w:hanging="357"/>
        <w:spacing w:line="360" w:lineRule="auto"/>
        <w:tabs>
          <w:tab w:val="left" w:pos="360" w:leader="none"/>
        </w:tabs>
        <w:rPr>
          <w:color w:val="auto"/>
          <w:sz w:val="24"/>
          <w:highlight w:val="none"/>
        </w:rPr>
        <w:outlineLvl w:val="1"/>
      </w:pPr>
      <w:r/>
      <w:bookmarkStart w:id="676" w:name="_Toc151190177"/>
      <w:r/>
      <w:bookmarkStart w:id="677" w:name="_Toc164608819"/>
      <w:r/>
      <w:bookmarkStart w:id="678" w:name="_Toc150774650"/>
      <w:r/>
      <w:bookmarkStart w:id="679" w:name="_Toc151193792"/>
      <w:r/>
      <w:bookmarkStart w:id="680" w:name="_Ref467306377"/>
      <w:r/>
      <w:bookmarkStart w:id="681" w:name="_Ref467306978"/>
      <w:r/>
      <w:bookmarkStart w:id="682" w:name="_Toc226309794"/>
      <w:r/>
      <w:bookmarkStart w:id="683" w:name="_Toc151193720"/>
      <w:r/>
      <w:bookmarkStart w:id="684" w:name="_Toc164608664"/>
      <w:r/>
      <w:bookmarkStart w:id="685" w:name="_Toc265228388"/>
      <w:r/>
      <w:bookmarkStart w:id="686" w:name="_Toc226337246"/>
      <w:r/>
      <w:bookmarkStart w:id="687" w:name="_Toc149720843"/>
      <w:r/>
      <w:bookmarkStart w:id="688" w:name="_Toc142311052"/>
      <w:r/>
      <w:bookmarkStart w:id="689" w:name="_Ref467307062"/>
      <w:r/>
      <w:bookmarkStart w:id="690" w:name="_Toc150480788"/>
      <w:r/>
      <w:bookmarkStart w:id="691" w:name="_Toc226965740"/>
      <w:r/>
      <w:bookmarkStart w:id="692" w:name="_Toc164229245"/>
      <w:r/>
      <w:bookmarkStart w:id="693" w:name="_Toc226965823"/>
      <w:r/>
      <w:bookmarkStart w:id="694" w:name="_Toc164229391"/>
      <w:r/>
      <w:bookmarkStart w:id="695" w:name="_Toc151193864"/>
      <w:r/>
      <w:bookmarkStart w:id="696" w:name="_Toc520356175"/>
      <w:r/>
      <w:bookmarkStart w:id="697" w:name="_Toc195842915"/>
      <w:r/>
      <w:bookmarkStart w:id="698" w:name="_Toc164351644"/>
      <w:r/>
      <w:bookmarkStart w:id="699" w:name="_Toc305158818"/>
      <w:r/>
      <w:bookmarkStart w:id="700" w:name="_Toc150774755"/>
      <w:r/>
      <w:bookmarkStart w:id="701" w:name="_Toc151193648"/>
      <w:r/>
      <w:bookmarkStart w:id="702" w:name="_Toc150509301"/>
      <w:r/>
      <w:bookmarkStart w:id="703" w:name="_Toc127151550"/>
      <w:r/>
      <w:bookmarkStart w:id="704" w:name="_Toc127151751"/>
      <w:r/>
      <w:bookmarkStart w:id="705" w:name="_Toc151193938"/>
      <w:r/>
      <w:bookmarkStart w:id="706" w:name="_Toc264969240"/>
      <w:r/>
      <w:bookmarkStart w:id="707" w:name="_Toc305158892"/>
      <w:r/>
      <w:bookmarkStart w:id="708" w:name="_Toc127161464"/>
      <w:r/>
      <w:bookmarkStart w:id="709" w:name="_Ref467307204"/>
      <w:r>
        <w:rPr>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3"/>
      <w:bookmarkEnd w:id="674"/>
      <w:bookmarkEnd w:id="675"/>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1"/>
        </w:numPr>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1"/>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1"/>
        </w:numPr>
        <w:spacing w:line="360" w:lineRule="auto"/>
        <w:rPr>
          <w:rFonts w:hint="eastAsia"/>
          <w:color w:val="auto"/>
          <w:sz w:val="24"/>
          <w:highlight w:val="none"/>
        </w:rPr>
      </w:pPr>
      <w:r>
        <w:rPr>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jc w:val="left"/>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10"/>
          <w:color w:val="auto"/>
          <w:highlight w:val="none"/>
        </w:rPr>
        <w:t xml:space="preserve">http://gk</w:t>
      </w:r>
      <w:bookmarkStart w:id="710" w:name="_Hlt100654014"/>
      <w:r>
        <w:rPr>
          <w:rStyle w:val="910"/>
          <w:color w:val="auto"/>
          <w:highlight w:val="none"/>
        </w:rPr>
        <w:t xml:space="preserve">s</w:t>
      </w:r>
      <w:bookmarkEnd w:id="710"/>
      <w:r>
        <w:rPr>
          <w:rStyle w:val="910"/>
          <w:color w:val="auto"/>
          <w:highlight w:val="none"/>
        </w:rPr>
        <w:t xml:space="preserve">.m</w:t>
      </w:r>
      <w:bookmarkStart w:id="711" w:name="_Hlt100653993"/>
      <w:r/>
      <w:bookmarkStart w:id="712" w:name="_Hlt100653994"/>
      <w:r>
        <w:rPr>
          <w:rStyle w:val="910"/>
          <w:color w:val="auto"/>
          <w:highlight w:val="none"/>
        </w:rPr>
        <w:t xml:space="preserve">o</w:t>
      </w:r>
      <w:bookmarkEnd w:id="711"/>
      <w:r/>
      <w:bookmarkEnd w:id="712"/>
      <w:r>
        <w:rPr>
          <w:rStyle w:val="910"/>
          <w:color w:val="auto"/>
          <w:highlight w:val="none"/>
        </w:rPr>
        <w:t xml:space="preserve">f.gov.cn/ztztz/zhengfucaigouguanli/201802/t20180201_2804589.htm</w:t>
      </w:r>
      <w:r>
        <w:rPr>
          <w:color w:val="auto"/>
          <w:highlight w:val="none"/>
        </w:rPr>
        <w:fldChar w:fldCharType="end"/>
      </w:r>
      <w:r>
        <w:rPr>
          <w:rFonts w:hint="eastAsia"/>
          <w:color w:val="auto"/>
          <w:highlight w:val="none"/>
        </w:rPr>
        <w:t xml:space="preserve">）</w:t>
      </w:r>
      <w:r/>
    </w:p>
    <w:p>
      <w:pPr>
        <w:numPr>
          <w:ilvl w:val="2"/>
          <w:numId w:val="1"/>
        </w:numPr>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rFonts w:hint="eastAsia"/>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1"/>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1"/>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采购代理服务费开票方式：江苏增值税普通发票。</w:t>
      </w:r>
      <w:r/>
    </w:p>
    <w:p>
      <w:pPr>
        <w:jc w:val="center"/>
        <w:spacing w:line="360" w:lineRule="auto"/>
        <w:rPr>
          <w:b/>
          <w:color w:val="auto"/>
          <w:sz w:val="36"/>
          <w:szCs w:val="36"/>
          <w:highlight w:val="none"/>
        </w:rPr>
        <w:outlineLvl w:val="0"/>
      </w:pPr>
      <w:r/>
      <w:bookmarkStart w:id="713" w:name="_Toc226965827"/>
      <w:r/>
      <w:bookmarkStart w:id="714" w:name="_Toc142311056"/>
      <w:r/>
      <w:bookmarkStart w:id="715" w:name="_Toc150774759"/>
      <w:r/>
      <w:bookmarkStart w:id="716" w:name="_Toc150480792"/>
      <w:r/>
      <w:bookmarkStart w:id="717" w:name="_Toc264969244"/>
      <w:r/>
      <w:bookmarkStart w:id="718" w:name="_Toc305158896"/>
      <w:r/>
      <w:bookmarkStart w:id="719" w:name="_Toc305158822"/>
      <w:r/>
      <w:bookmarkStart w:id="720" w:name="_Toc265228392"/>
      <w:r/>
      <w:bookmarkStart w:id="721" w:name="_Toc127151554"/>
      <w:r/>
      <w:bookmarkStart w:id="722" w:name="_Toc353825544"/>
      <w:r/>
      <w:bookmarkStart w:id="723" w:name="_Toc353873934"/>
      <w:r/>
      <w:bookmarkStart w:id="724" w:name="_Toc226337250"/>
      <w:r/>
      <w:bookmarkStart w:id="725" w:name="_Toc353873664"/>
      <w:r>
        <w:rPr>
          <w:color w:val="auto"/>
          <w:sz w:val="24"/>
          <w:highlight w:val="none"/>
        </w:rPr>
        <w:br w:type="page" w:clear="all"/>
      </w:r>
      <w:bookmarkStart w:id="726" w:name="_Toc99301421"/>
      <w:r>
        <w:rPr>
          <w:rFonts w:ascii="Times New Roman" w:hAnsi="Times New Roman" w:eastAsia="宋体" w:cs="Times New Roman"/>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auto"/>
          <w:sz w:val="24"/>
          <w:highlight w:val="none"/>
        </w:rPr>
        <w:outlineLvl w:val="1"/>
      </w:pPr>
      <w:r/>
      <w:bookmarkStart w:id="728" w:name="_Toc99301422"/>
      <w:r>
        <w:rPr>
          <w:b/>
          <w:color w:val="auto"/>
          <w:sz w:val="24"/>
          <w:highlight w:val="none"/>
        </w:rPr>
        <w:t xml:space="preserve">一、资格审查程序</w:t>
      </w:r>
      <w:bookmarkEnd w:id="728"/>
      <w:r/>
      <w:r/>
    </w:p>
    <w:p>
      <w:pPr>
        <w:numPr>
          <w:ilvl w:val="0"/>
          <w:numId w:val="4"/>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4"/>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89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color w:val="auto"/>
                <w:sz w:val="24"/>
                <w:highlight w:val="none"/>
              </w:rPr>
            </w:pPr>
            <w:r/>
            <w:bookmarkStart w:id="729" w:name="_Hlt487972895"/>
            <w:r/>
            <w:bookmarkEnd w:id="729"/>
            <w:r>
              <w:rPr>
                <w:b/>
                <w:color w:val="auto"/>
                <w:sz w:val="24"/>
                <w:highlight w:val="none"/>
              </w:rPr>
              <w:t xml:space="preserve">序号</w:t>
            </w:r>
            <w:r/>
          </w:p>
        </w:tc>
        <w:tc>
          <w:tcPr>
            <w:tcW w:w="106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95"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中小企业声明函</w:t>
            </w:r>
            <w:r/>
          </w:p>
        </w:tc>
        <w:tc>
          <w:tcPr>
            <w:tcW w:w="2595"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color w:val="auto"/>
                <w:sz w:val="24"/>
                <w:highlight w:val="none"/>
              </w:rPr>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2-3</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其他</w:t>
            </w:r>
            <w:r>
              <w:rPr>
                <w:color w:val="auto"/>
                <w:sz w:val="24"/>
                <w:highlight w:val="none"/>
              </w:rPr>
              <w:t xml:space="preserve">落实政府采购政策的资格要求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54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联合体各成员单位均须提供本表中序号1-1、1-2的证明文件。</w:t>
            </w:r>
            <w:r/>
          </w:p>
          <w:p>
            <w:pPr>
              <w:tabs>
                <w:tab w:val="left" w:pos="1080" w:leader="none"/>
              </w:tabs>
              <w:rPr>
                <w:color w:val="auto"/>
                <w:sz w:val="24"/>
                <w:highlight w:val="none"/>
              </w:rPr>
            </w:pPr>
            <w:r>
              <w:rPr>
                <w:rFonts w:hint="eastAsia"/>
                <w:color w:val="auto"/>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w:t>
            </w:r>
            <w:r>
              <w:rPr>
                <w:b/>
                <w:color w:val="auto"/>
                <w:sz w:val="24"/>
                <w:highlight w:val="none"/>
              </w:rPr>
              <w:t xml:space="preserve">投标无效</w:t>
            </w:r>
            <w:r>
              <w:rPr>
                <w:color w:val="auto"/>
                <w:sz w:val="24"/>
                <w:highlight w:val="none"/>
              </w:rPr>
              <w:t xml:space="preserve">。</w:t>
            </w:r>
            <w:r/>
          </w:p>
          <w:p>
            <w:pPr>
              <w:tabs>
                <w:tab w:val="left" w:pos="1080" w:leader="none"/>
              </w:tabs>
              <w:rPr>
                <w:color w:val="auto"/>
                <w:sz w:val="24"/>
                <w:highlight w:val="none"/>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提供《联合协议》</w:t>
            </w:r>
            <w:r>
              <w:rPr>
                <w:rFonts w:hint="eastAsia"/>
                <w:color w:val="auto"/>
                <w:sz w:val="24"/>
                <w:highlight w:val="none"/>
              </w:rPr>
              <w:t xml:space="preserve">原</w:t>
            </w:r>
            <w:r>
              <w:rPr>
                <w:color w:val="auto"/>
                <w:sz w:val="24"/>
                <w:highlight w:val="none"/>
              </w:rPr>
              <w:t xml:space="preserve">件的电子件</w:t>
            </w:r>
            <w:r/>
          </w:p>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color w:val="auto"/>
          <w:sz w:val="24"/>
          <w:highlight w:val="none"/>
        </w:rPr>
      </w:pPr>
      <w:r/>
      <w:bookmarkStart w:id="730" w:name="_Toc353873940"/>
      <w:r/>
      <w:bookmarkStart w:id="731" w:name="_Toc127151779"/>
      <w:r/>
      <w:bookmarkStart w:id="732" w:name="_Toc353825550"/>
      <w:r/>
      <w:bookmarkStart w:id="733" w:name="_Toc226965858"/>
      <w:r/>
      <w:bookmarkStart w:id="734" w:name="_Toc127161490"/>
      <w:r>
        <w:rPr>
          <w:color w:val="auto"/>
          <w:sz w:val="24"/>
          <w:highlight w:val="none"/>
        </w:rPr>
        <w:br w:type="page" w:clear="all"/>
      </w:r>
      <w:r/>
    </w:p>
    <w:p>
      <w:pPr>
        <w:jc w:val="center"/>
        <w:spacing w:line="360" w:lineRule="auto"/>
        <w:rPr>
          <w:rFonts w:ascii="Times New Roman" w:hAnsi="Times New Roman" w:eastAsia="宋体" w:cs="Times New Roman"/>
          <w:b/>
          <w:color w:val="auto"/>
          <w:sz w:val="36"/>
          <w:szCs w:val="36"/>
          <w:highlight w:val="none"/>
        </w:rPr>
        <w:outlineLvl w:val="0"/>
      </w:pPr>
      <w:r/>
      <w:bookmarkStart w:id="735" w:name="_Toc99301423"/>
      <w:r>
        <w:rPr>
          <w:rFonts w:ascii="Times New Roman" w:hAnsi="Times New Roman" w:eastAsia="宋体" w:cs="Times New Roman"/>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5"/>
        </w:numPr>
        <w:spacing w:line="360" w:lineRule="auto"/>
        <w:tabs>
          <w:tab w:val="left" w:pos="360" w:leader="none"/>
        </w:tabs>
        <w:rPr>
          <w:color w:val="auto"/>
          <w:sz w:val="24"/>
          <w:highlight w:val="none"/>
        </w:rPr>
        <w:outlineLvl w:val="1"/>
      </w:pPr>
      <w:r/>
      <w:bookmarkStart w:id="737" w:name="_Toc226309785"/>
      <w:r/>
      <w:bookmarkStart w:id="738" w:name="_Toc265228379"/>
      <w:r/>
      <w:bookmarkStart w:id="739" w:name="_Toc150774746"/>
      <w:r/>
      <w:bookmarkStart w:id="740" w:name="_Toc164351635"/>
      <w:r/>
      <w:bookmarkStart w:id="741" w:name="_Toc195842906"/>
      <w:r/>
      <w:bookmarkStart w:id="742" w:name="_Toc150509292"/>
      <w:r/>
      <w:bookmarkStart w:id="743" w:name="_Toc151193711"/>
      <w:r/>
      <w:bookmarkStart w:id="744" w:name="_Toc164229382"/>
      <w:r/>
      <w:bookmarkStart w:id="745" w:name="_Toc164608810"/>
      <w:r/>
      <w:bookmarkStart w:id="746" w:name="_Toc150480779"/>
      <w:r/>
      <w:bookmarkStart w:id="747" w:name="_Toc151193855"/>
      <w:r/>
      <w:bookmarkStart w:id="748" w:name="_Toc150774641"/>
      <w:r/>
      <w:bookmarkStart w:id="749" w:name="_Toc142311043"/>
      <w:r/>
      <w:bookmarkStart w:id="750" w:name="_Toc164608655"/>
      <w:r/>
      <w:bookmarkStart w:id="751" w:name="_Toc264969231"/>
      <w:r/>
      <w:bookmarkStart w:id="752" w:name="_Toc226965731"/>
      <w:r/>
      <w:bookmarkStart w:id="753" w:name="_Toc127151742"/>
      <w:r/>
      <w:bookmarkStart w:id="754" w:name="_Toc226965814"/>
      <w:r/>
      <w:bookmarkStart w:id="755" w:name="_Toc149720834"/>
      <w:r/>
      <w:bookmarkStart w:id="756" w:name="_Toc164229236"/>
      <w:r/>
      <w:bookmarkStart w:id="757" w:name="_Toc127161455"/>
      <w:r/>
      <w:bookmarkStart w:id="758" w:name="_Toc151190168"/>
      <w:r/>
      <w:bookmarkStart w:id="759" w:name="_Toc305158883"/>
      <w:r/>
      <w:bookmarkStart w:id="760" w:name="_Toc305158809"/>
      <w:r/>
      <w:bookmarkStart w:id="761" w:name="_Toc127151541"/>
      <w:r/>
      <w:bookmarkStart w:id="762" w:name="_Toc226337237"/>
      <w:r/>
      <w:bookmarkStart w:id="763" w:name="_Toc151193639"/>
      <w:r/>
      <w:bookmarkStart w:id="764" w:name="_Toc151193929"/>
      <w:r/>
      <w:bookmarkStart w:id="765" w:name="_Toc151193783"/>
      <w:r/>
      <w:bookmarkStart w:id="766" w:name="_Toc353873941"/>
      <w:r/>
      <w:bookmarkStart w:id="767" w:name="_Toc353825551"/>
      <w:r/>
      <w:bookmarkStart w:id="768" w:name="_Toc195842920"/>
      <w:r/>
      <w:bookmarkStart w:id="769" w:name="_Toc150480793"/>
      <w:r/>
      <w:bookmarkStart w:id="770" w:name="_Toc353873665"/>
      <w:r/>
      <w:bookmarkStart w:id="771" w:name="_Toc142311057"/>
      <w:r/>
      <w:bookmarkStart w:id="772" w:name="_Toc353825545"/>
      <w:r/>
      <w:bookmarkStart w:id="773" w:name="_Toc150774760"/>
      <w:r/>
      <w:bookmarkStart w:id="774" w:name="_Toc264969245"/>
      <w:r/>
      <w:bookmarkStart w:id="775" w:name="_Toc305158897"/>
      <w:r/>
      <w:bookmarkStart w:id="776" w:name="_Toc265228393"/>
      <w:r/>
      <w:bookmarkStart w:id="777" w:name="_Toc353873935"/>
      <w:r/>
      <w:bookmarkStart w:id="778" w:name="_Toc226337251"/>
      <w:r/>
      <w:bookmarkStart w:id="779" w:name="_Toc305158823"/>
      <w:r/>
      <w:bookmarkStart w:id="780" w:name="_Toc226965828"/>
      <w:r/>
      <w:bookmarkStart w:id="781" w:name="_Toc127151555"/>
      <w:r>
        <w:rPr>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2"/>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8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default"/>
                <w:b/>
                <w:color w:val="auto"/>
                <w:sz w:val="24"/>
              </w:rPr>
            </w:pPr>
            <w:r>
              <w:rPr>
                <w:rFonts w:hint="default"/>
                <w:b/>
                <w:color w:val="auto"/>
                <w:sz w:val="24"/>
              </w:rPr>
              <w:t xml:space="preserve">序号</w:t>
            </w:r>
            <w:r/>
          </w:p>
        </w:tc>
        <w:tc>
          <w:tcPr>
            <w:tcW w:w="976" w:type="pct"/>
            <w:vAlign w:val="center"/>
            <w:textDirection w:val="lrTb"/>
            <w:noWrap w:val="false"/>
          </w:tcPr>
          <w:p>
            <w:pPr>
              <w:jc w:val="center"/>
              <w:widowControl/>
              <w:rPr>
                <w:rFonts w:hint="default"/>
                <w:b/>
                <w:color w:val="auto"/>
                <w:sz w:val="24"/>
              </w:rPr>
            </w:pPr>
            <w:r>
              <w:rPr>
                <w:rFonts w:hint="default"/>
                <w:b/>
                <w:color w:val="auto"/>
                <w:sz w:val="24"/>
              </w:rPr>
              <w:t xml:space="preserve">审查因素</w:t>
            </w:r>
            <w:r/>
          </w:p>
        </w:tc>
        <w:tc>
          <w:tcPr>
            <w:tcW w:w="3620" w:type="pct"/>
            <w:vAlign w:val="center"/>
            <w:textDirection w:val="lrTb"/>
            <w:noWrap w:val="false"/>
          </w:tcPr>
          <w:p>
            <w:pPr>
              <w:jc w:val="center"/>
              <w:widowControl/>
              <w:rPr>
                <w:rFonts w:hint="default"/>
                <w:b/>
                <w:color w:val="auto"/>
                <w:sz w:val="24"/>
              </w:rPr>
            </w:pPr>
            <w:r>
              <w:rPr>
                <w:rFonts w:hint="default"/>
                <w:b/>
                <w:color w:val="auto"/>
                <w:sz w:val="24"/>
              </w:rPr>
              <w:t xml:space="preserve">审查内容</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w:t>
            </w:r>
            <w:r/>
          </w:p>
        </w:tc>
        <w:tc>
          <w:tcPr>
            <w:tcW w:w="976" w:type="pct"/>
            <w:vAlign w:val="center"/>
            <w:textDirection w:val="lrTb"/>
            <w:noWrap w:val="false"/>
          </w:tcPr>
          <w:p>
            <w:pPr>
              <w:jc w:val="left"/>
              <w:widowControl/>
              <w:rPr>
                <w:rFonts w:hint="default"/>
                <w:color w:val="auto"/>
                <w:sz w:val="24"/>
              </w:rPr>
            </w:pPr>
            <w:r>
              <w:rPr>
                <w:rFonts w:hint="eastAsia"/>
                <w:color w:val="auto"/>
                <w:sz w:val="24"/>
              </w:rPr>
              <w:t xml:space="preserve">投标函、</w:t>
            </w:r>
            <w:r>
              <w:rPr>
                <w:rFonts w:hint="eastAsia"/>
                <w:color w:val="auto"/>
                <w:sz w:val="24"/>
              </w:rPr>
              <w:t xml:space="preserve">法定代表人资格证明书和政府采购供应商信用承诺书</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按招标文件要求提供</w:t>
            </w:r>
            <w:r>
              <w:rPr>
                <w:rFonts w:hint="eastAsia"/>
                <w:color w:val="auto"/>
                <w:sz w:val="24"/>
              </w:rPr>
              <w:t xml:space="preserve">投标函、</w:t>
            </w:r>
            <w:r>
              <w:rPr>
                <w:rFonts w:hint="eastAsia"/>
                <w:color w:val="auto"/>
                <w:sz w:val="24"/>
              </w:rPr>
              <w:t xml:space="preserve">法定代表人资格证明书和政府采购供应商信用承诺书</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2</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投标完整性</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未</w:t>
            </w:r>
            <w:r>
              <w:rPr>
                <w:rFonts w:hint="default"/>
                <w:color w:val="auto"/>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3</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投标报价</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投标报价</w:t>
            </w:r>
            <w:r>
              <w:rPr>
                <w:rFonts w:hint="eastAsia"/>
                <w:color w:val="auto"/>
                <w:sz w:val="24"/>
              </w:rPr>
              <w:t xml:space="preserve">未</w:t>
            </w:r>
            <w:r>
              <w:rPr>
                <w:rFonts w:hint="default"/>
                <w:color w:val="auto"/>
                <w:sz w:val="24"/>
              </w:rPr>
              <w:t xml:space="preserve">超过招标文件中规定的项目/采购包预算金额或者项目/采购包最高限价</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4</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报价唯一性</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w:t>
            </w:r>
            <w:r>
              <w:rPr>
                <w:rFonts w:hint="eastAsia"/>
                <w:color w:val="auto"/>
                <w:sz w:val="24"/>
              </w:rPr>
              <w:t xml:space="preserve">出现可选择性或可调整的报价（招标文件另有规定的除外）</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5</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投标有效期</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投标文件中承诺的投标有效期</w:t>
            </w:r>
            <w:r>
              <w:rPr>
                <w:rFonts w:hint="eastAsia"/>
                <w:color w:val="auto"/>
                <w:sz w:val="24"/>
              </w:rPr>
              <w:t xml:space="preserve">满足</w:t>
            </w:r>
            <w:r>
              <w:rPr>
                <w:rFonts w:hint="default"/>
                <w:color w:val="auto"/>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6</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签署、加盖公章</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eastAsia"/>
                <w:color w:val="auto"/>
                <w:sz w:val="24"/>
              </w:rPr>
              <w:t xml:space="preserve">7</w:t>
            </w:r>
            <w:r/>
          </w:p>
        </w:tc>
        <w:tc>
          <w:tcPr>
            <w:tcW w:w="976" w:type="pct"/>
            <w:vAlign w:val="center"/>
            <w:textDirection w:val="lrTb"/>
            <w:noWrap w:val="false"/>
          </w:tcPr>
          <w:p>
            <w:pPr>
              <w:jc w:val="left"/>
              <w:widowControl/>
              <w:rPr>
                <w:rFonts w:hint="default"/>
                <w:color w:val="auto"/>
                <w:sz w:val="24"/>
              </w:rPr>
            </w:pPr>
            <w:r>
              <w:rPr>
                <w:rFonts w:hint="eastAsia"/>
                <w:color w:val="auto"/>
                <w:sz w:val="24"/>
              </w:rPr>
              <w:t xml:space="preserve">实质性格式</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标记为</w:t>
            </w:r>
            <w:r>
              <w:rPr>
                <w:rFonts w:hint="default"/>
                <w:color w:val="auto"/>
                <w:sz w:val="24"/>
              </w:rPr>
              <w:t xml:space="preserve">“实质性格式”的</w:t>
            </w:r>
            <w:r>
              <w:rPr>
                <w:rFonts w:hint="eastAsia"/>
                <w:color w:val="auto"/>
                <w:sz w:val="24"/>
              </w:rPr>
              <w:t xml:space="preserve">文件均按</w:t>
            </w:r>
            <w:r>
              <w:rPr>
                <w:rFonts w:hint="default"/>
                <w:color w:val="auto"/>
                <w:sz w:val="24"/>
              </w:rPr>
              <w:t xml:space="preserve">招标文件</w:t>
            </w:r>
            <w:r>
              <w:rPr>
                <w:rFonts w:hint="eastAsia"/>
                <w:color w:val="auto"/>
                <w:sz w:val="24"/>
              </w:rPr>
              <w:t xml:space="preserve">要求提供；</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8</w:t>
            </w:r>
            <w:r/>
          </w:p>
        </w:tc>
        <w:tc>
          <w:tcPr>
            <w:tcW w:w="976" w:type="pct"/>
            <w:vAlign w:val="center"/>
            <w:textDirection w:val="lrTb"/>
            <w:noWrap w:val="false"/>
          </w:tcPr>
          <w:p>
            <w:pPr>
              <w:jc w:val="left"/>
              <w:widowControl/>
              <w:rPr>
                <w:rFonts w:hint="default"/>
                <w:color w:val="auto"/>
                <w:sz w:val="24"/>
              </w:rPr>
            </w:pPr>
            <w:r>
              <w:rPr>
                <w:rFonts w:hint="default" w:ascii="Segoe UI Symbol" w:hAnsi="Segoe UI Symbol" w:cs="Segoe UI Symbol"/>
                <w:color w:val="auto"/>
                <w:sz w:val="24"/>
              </w:rPr>
              <w:t xml:space="preserve">★</w:t>
            </w:r>
            <w:r>
              <w:rPr>
                <w:rFonts w:hint="default"/>
                <w:color w:val="auto"/>
                <w:sz w:val="24"/>
              </w:rPr>
              <w:t xml:space="preserve">号条款响应</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投标文件满足招标文件</w:t>
            </w:r>
            <w:r>
              <w:rPr>
                <w:rFonts w:hint="default"/>
                <w:color w:val="auto"/>
                <w:sz w:val="24"/>
              </w:rPr>
              <w:t xml:space="preserve">第五章《采购需求》</w:t>
            </w:r>
            <w:r>
              <w:rPr>
                <w:rFonts w:hint="default"/>
                <w:color w:val="auto"/>
                <w:sz w:val="24"/>
              </w:rPr>
              <w:t xml:space="preserve">中</w:t>
            </w:r>
            <w:r>
              <w:rPr>
                <w:rFonts w:hint="default" w:ascii="Segoe UI Symbol" w:hAnsi="Segoe UI Symbol" w:cs="Segoe UI Symbol"/>
                <w:color w:val="auto"/>
                <w:sz w:val="24"/>
              </w:rPr>
              <w:t xml:space="preserve">★</w:t>
            </w:r>
            <w:r>
              <w:rPr>
                <w:rFonts w:hint="default"/>
                <w:color w:val="auto"/>
                <w:sz w:val="24"/>
              </w:rPr>
              <w:t xml:space="preserve">号条款要求的；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9</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分包承担主体资质（如有）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分包承担主体具备《投标人须知资料表》载明的资质条件</w:t>
            </w:r>
            <w:r>
              <w:rPr>
                <w:rFonts w:hint="eastAsia"/>
                <w:color w:val="auto"/>
                <w:sz w:val="24"/>
              </w:rPr>
              <w:t xml:space="preserve">且</w:t>
            </w:r>
            <w:r>
              <w:rPr>
                <w:rFonts w:hint="default"/>
                <w:color w:val="auto"/>
                <w:sz w:val="24"/>
              </w:rPr>
              <w:t xml:space="preserve">提供</w:t>
            </w:r>
            <w:r>
              <w:rPr>
                <w:rFonts w:hint="eastAsia"/>
                <w:color w:val="auto"/>
                <w:sz w:val="24"/>
              </w:rPr>
              <w:t xml:space="preserve">了</w:t>
            </w:r>
            <w:r>
              <w:rPr>
                <w:rFonts w:hint="default"/>
                <w:color w:val="auto"/>
                <w:sz w:val="24"/>
              </w:rPr>
              <w:t xml:space="preserve">资质证书电子件</w:t>
            </w:r>
            <w:r>
              <w:rPr>
                <w:rFonts w:hint="eastAsia"/>
                <w:color w:val="auto"/>
                <w:sz w:val="24"/>
              </w:rPr>
              <w:t xml:space="preserve">（如有）</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10</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分包意向协议</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按招标文件规定签订并提供分包意向协议原件的电子件的；</w:t>
            </w:r>
            <w:r>
              <w:rPr>
                <w:rFonts w:hint="eastAsia"/>
                <w:color w:val="auto"/>
                <w:sz w:val="24"/>
              </w:rPr>
              <w:t xml:space="preserve">（如有）</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11</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报价的修正（如有）</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不涉及报价修正</w:t>
            </w:r>
            <w:r>
              <w:rPr>
                <w:rFonts w:hint="default"/>
                <w:color w:val="auto"/>
                <w:sz w:val="24"/>
              </w:rPr>
              <w:t xml:space="preserve">，或投标文件报价出现前后不一致</w:t>
            </w:r>
            <w:r>
              <w:rPr>
                <w:rFonts w:hint="eastAsia"/>
                <w:color w:val="auto"/>
                <w:sz w:val="24"/>
              </w:rPr>
              <w:t xml:space="preserve">时</w:t>
            </w:r>
            <w:r>
              <w:rPr>
                <w:rFonts w:hint="default"/>
                <w:color w:val="auto"/>
                <w:sz w:val="24"/>
              </w:rPr>
              <w:t xml:space="preserve">，投标人对修正后的报价予</w:t>
            </w:r>
            <w:r>
              <w:rPr>
                <w:rFonts w:hint="eastAsia"/>
                <w:color w:val="auto"/>
                <w:sz w:val="24"/>
              </w:rPr>
              <w:t xml:space="preserve">以</w:t>
            </w:r>
            <w:r>
              <w:rPr>
                <w:rFonts w:hint="default"/>
                <w:color w:val="auto"/>
                <w:sz w:val="24"/>
              </w:rPr>
              <w:t xml:space="preserve">确认；（如有）</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12</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报价合理性</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报价合理，或</w:t>
            </w:r>
            <w:r>
              <w:rPr>
                <w:rFonts w:hint="eastAsia"/>
                <w:color w:val="auto"/>
                <w:sz w:val="24"/>
              </w:rPr>
              <w:t xml:space="preserve">投标人的报价明显低于其他通过符合性审查投标人的报价，</w:t>
            </w:r>
            <w:r>
              <w:rPr>
                <w:rFonts w:hint="default"/>
                <w:color w:val="auto"/>
                <w:sz w:val="24"/>
              </w:rPr>
              <w:t xml:space="preserve">有可能影响产品质量或者不能诚信履约的</w:t>
            </w:r>
            <w:r>
              <w:rPr>
                <w:rFonts w:hint="eastAsia"/>
                <w:color w:val="auto"/>
                <w:sz w:val="24"/>
              </w:rPr>
              <w:t xml:space="preserve">，能够应评标委员会要求在规定时间内证明其报价合理性的</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13</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进口产品</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eastAsia" w:ascii="宋体" w:hAnsi="宋体"/>
                <w:color w:val="auto"/>
                <w:sz w:val="24"/>
              </w:rPr>
              <w:t xml:space="preserve">招标文件</w:t>
            </w:r>
            <w:r>
              <w:rPr>
                <w:rFonts w:hint="default" w:ascii="宋体" w:hAnsi="宋体"/>
                <w:color w:val="auto"/>
                <w:sz w:val="24"/>
              </w:rPr>
              <w:t xml:space="preserve">不接受进口产品投标</w:t>
            </w:r>
            <w:r>
              <w:rPr>
                <w:rFonts w:hint="eastAsia" w:ascii="宋体" w:hAnsi="宋体"/>
                <w:color w:val="auto"/>
                <w:sz w:val="24"/>
              </w:rPr>
              <w:t xml:space="preserve">的内容时</w:t>
            </w:r>
            <w:r>
              <w:rPr>
                <w:rFonts w:hint="default" w:ascii="宋体" w:hAnsi="宋体"/>
                <w:color w:val="auto"/>
                <w:sz w:val="24"/>
              </w:rPr>
              <w:t xml:space="preserve">，</w:t>
            </w:r>
            <w:r>
              <w:rPr>
                <w:rFonts w:hint="eastAsia" w:ascii="宋体" w:hAnsi="宋体"/>
                <w:color w:val="auto"/>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14</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国家有关部门对投标人的投标产品有强制性规定或要求的（如相应技术、安全、节能和环保等），投标人的投标产品</w:t>
            </w:r>
            <w:r>
              <w:rPr>
                <w:rFonts w:hint="eastAsia"/>
                <w:color w:val="auto"/>
                <w:sz w:val="24"/>
              </w:rPr>
              <w:t xml:space="preserve">应</w:t>
            </w:r>
            <w:r>
              <w:rPr>
                <w:rFonts w:hint="default"/>
                <w:color w:val="auto"/>
                <w:sz w:val="24"/>
              </w:rPr>
              <w:t xml:space="preserve">符合相应规定或要求</w:t>
            </w:r>
            <w:r>
              <w:rPr>
                <w:rFonts w:hint="eastAsia"/>
                <w:color w:val="auto"/>
                <w:sz w:val="24"/>
              </w:rPr>
              <w:t xml:space="preserve">，并提供证明文件电子件：</w:t>
            </w:r>
            <w:r/>
          </w:p>
          <w:p>
            <w:pPr>
              <w:jc w:val="left"/>
              <w:widowControl/>
              <w:rPr>
                <w:rFonts w:hint="default"/>
                <w:color w:val="auto"/>
                <w:sz w:val="24"/>
              </w:rPr>
            </w:pPr>
            <w:r>
              <w:rPr>
                <w:rFonts w:hint="eastAsia"/>
                <w:color w:val="auto"/>
                <w:sz w:val="24"/>
              </w:rPr>
              <w:t xml:space="preserve">1）</w:t>
            </w:r>
            <w:r>
              <w:rPr>
                <w:rFonts w:hint="default"/>
                <w:color w:val="auto"/>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auto"/>
                <w:sz w:val="24"/>
              </w:rPr>
            </w:pPr>
            <w:r>
              <w:rPr>
                <w:rFonts w:hint="eastAsia"/>
                <w:color w:val="auto"/>
                <w:sz w:val="24"/>
              </w:rPr>
              <w:t xml:space="preserve">2）</w:t>
            </w:r>
            <w:r>
              <w:rPr>
                <w:rFonts w:hint="default"/>
                <w:color w:val="auto"/>
                <w:sz w:val="24"/>
              </w:rPr>
              <w:t xml:space="preserve">投标产品如涉及计算机信息系统安全专用产品的，须</w:t>
            </w:r>
            <w:r>
              <w:rPr>
                <w:rFonts w:hint="eastAsia"/>
                <w:color w:val="auto"/>
                <w:sz w:val="24"/>
              </w:rPr>
              <w:t xml:space="preserve">提供</w:t>
            </w:r>
            <w:r>
              <w:rPr>
                <w:rFonts w:hint="default"/>
                <w:color w:val="auto"/>
                <w:sz w:val="24"/>
              </w:rPr>
              <w:t xml:space="preserve">公安部颁发的计算机信息系统安全专用产品销售许可证；</w:t>
            </w:r>
            <w:r/>
          </w:p>
          <w:p>
            <w:pPr>
              <w:jc w:val="left"/>
              <w:widowControl/>
              <w:rPr>
                <w:rFonts w:hint="default"/>
                <w:color w:val="auto"/>
                <w:sz w:val="24"/>
              </w:rPr>
            </w:pPr>
            <w:r>
              <w:rPr>
                <w:rFonts w:hint="default"/>
                <w:color w:val="auto"/>
                <w:sz w:val="24"/>
              </w:rPr>
              <w:t xml:space="preserve">3</w:t>
            </w:r>
            <w:r>
              <w:rPr>
                <w:rFonts w:hint="eastAsia"/>
                <w:color w:val="auto"/>
                <w:sz w:val="24"/>
              </w:rPr>
              <w:t xml:space="preserve">）</w:t>
            </w:r>
            <w:r>
              <w:rPr>
                <w:rFonts w:hint="default"/>
                <w:color w:val="auto"/>
                <w:sz w:val="24"/>
              </w:rPr>
              <w:t xml:space="preserve">投标产品如有属于开展国家信息安全产品认证产品范围的，须</w:t>
            </w:r>
            <w:r>
              <w:rPr>
                <w:rFonts w:hint="eastAsia"/>
                <w:color w:val="auto"/>
                <w:sz w:val="24"/>
              </w:rPr>
              <w:t xml:space="preserve">提供</w:t>
            </w:r>
            <w:r>
              <w:rPr>
                <w:rFonts w:hint="default"/>
                <w:color w:val="auto"/>
                <w:sz w:val="24"/>
              </w:rPr>
              <w:t xml:space="preserve">由中国网络安全审查技术与认证中心（原中国信息安全认证中心）按国家标准认证颁发的有效认证证书等）；</w:t>
            </w:r>
            <w:r/>
          </w:p>
          <w:p>
            <w:pPr>
              <w:jc w:val="left"/>
              <w:widowControl/>
              <w:rPr>
                <w:rFonts w:hint="default"/>
                <w:color w:val="auto"/>
                <w:sz w:val="24"/>
              </w:rPr>
            </w:pPr>
            <w:r>
              <w:rPr>
                <w:rFonts w:hint="eastAsia"/>
                <w:color w:val="auto"/>
                <w:sz w:val="24"/>
              </w:rPr>
              <w:t xml:space="preserve">4）</w:t>
            </w:r>
            <w:r>
              <w:rPr>
                <w:rFonts w:hint="default"/>
                <w:color w:val="auto"/>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15</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公平竞争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16</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串通投标</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不存在《政府采购货物和服务招标投标管理办法》视为投标人串通投标的情形：（一）不同投标人的投标文件由同一单位或者个人编制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；（二）不同投标人委托同一单位或者个人办理投标事宜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17</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附加条件</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w:t>
            </w:r>
            <w:r>
              <w:rPr>
                <w:rFonts w:hint="default"/>
                <w:color w:val="auto"/>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eastAsia"/>
                <w:color w:val="auto"/>
                <w:sz w:val="24"/>
              </w:rPr>
              <w:t xml:space="preserve">1</w:t>
            </w:r>
            <w:r>
              <w:rPr>
                <w:rFonts w:hint="default"/>
                <w:color w:val="auto"/>
                <w:sz w:val="24"/>
              </w:rPr>
              <w:t xml:space="preserve">8</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其他无效情形</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投标人、投标文件</w:t>
            </w:r>
            <w:r>
              <w:rPr>
                <w:rFonts w:hint="eastAsia"/>
                <w:color w:val="auto"/>
                <w:sz w:val="24"/>
              </w:rPr>
              <w:t xml:space="preserve">不存在</w:t>
            </w:r>
            <w:r>
              <w:rPr>
                <w:rFonts w:hint="default"/>
                <w:color w:val="auto"/>
                <w:sz w:val="24"/>
              </w:rPr>
              <w:t xml:space="preserve">不符合法律、法规和招标文件规定的其他无效情形。</w:t>
            </w:r>
            <w:r/>
          </w:p>
        </w:tc>
      </w:tr>
    </w:tbl>
    <w:p>
      <w:pPr>
        <w:numPr>
          <w:ilvl w:val="0"/>
          <w:numId w:val="6"/>
        </w:numPr>
        <w:spacing w:line="360" w:lineRule="auto"/>
        <w:tabs>
          <w:tab w:val="left" w:pos="1080" w:leader="none"/>
          <w:tab w:val="left" w:pos="1589" w:leader="none"/>
        </w:tabs>
        <w:rPr>
          <w:color w:val="auto"/>
          <w:sz w:val="24"/>
          <w:highlight w:val="none"/>
        </w:rPr>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numPr>
          <w:ilvl w:val="0"/>
          <w:numId w:val="5"/>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5"/>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ascii="Times New Roman" w:hAnsi="Times New Roman"/>
          <w:color w:val="auto"/>
          <w:sz w:val="24"/>
          <w:szCs w:val="24"/>
          <w:highlight w:val="none"/>
          <w:lang w:eastAsia="zh-CN"/>
        </w:rPr>
        <w:t xml:space="preserve">☑</w:t>
      </w: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无，按下述2.4.2-2.4.7项规定修正。</w:t>
      </w:r>
      <w:r/>
    </w:p>
    <w:p>
      <w:pPr>
        <w:numPr>
          <w:ilvl w:val="2"/>
          <w:numId w:val="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5"/>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5"/>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0"/>
        </w:numPr>
        <w:ind w:left="11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2.6    政府采购评审中出现下列情形之一的，评审委员会应当启动异常低价投标（响应）审查程序：</w:t>
      </w:r>
      <w:r/>
    </w:p>
    <w:p>
      <w:pPr>
        <w:numPr>
          <w:ilvl w:val="0"/>
          <w:numId w:val="0"/>
        </w:numPr>
        <w:ind w:left="1135" w:firstLine="720"/>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1.投标（响应）报价低于全部通过符合性审查供应商投标（响应）报价平均值</w:t>
      </w:r>
      <w:r>
        <w:rPr>
          <w:rFonts w:hint="eastAsia" w:ascii="Times New Roman" w:hAnsi="Times New Roman" w:eastAsia="宋体" w:cs="Times New Roman"/>
          <w:color w:val="auto"/>
          <w:sz w:val="24"/>
          <w:highlight w:val="none"/>
          <w:lang w:val="en-US" w:eastAsia="zh-CN"/>
        </w:rPr>
        <w:t xml:space="preserve">65</w:t>
      </w:r>
      <w:r>
        <w:rPr>
          <w:rFonts w:hint="eastAsia" w:ascii="Times New Roman" w:hAnsi="Times New Roman" w:eastAsia="宋体" w:cs="Times New Roman"/>
          <w:color w:val="auto"/>
          <w:sz w:val="24"/>
          <w:highlight w:val="none"/>
        </w:rPr>
        <w:t xml:space="preserve">%的，即投标（响应）报价&lt;全部通过符合性审查供应商投标（响应）报价平均值×</w:t>
      </w:r>
      <w:r>
        <w:rPr>
          <w:rFonts w:hint="eastAsia" w:ascii="Times New Roman" w:hAnsi="Times New Roman" w:eastAsia="宋体" w:cs="Times New Roman"/>
          <w:color w:val="auto"/>
          <w:sz w:val="24"/>
          <w:highlight w:val="none"/>
          <w:lang w:val="en-US" w:eastAsia="zh-CN"/>
        </w:rPr>
        <w:t xml:space="preserve">65</w:t>
      </w:r>
      <w:r>
        <w:rPr>
          <w:rFonts w:hint="eastAsia" w:ascii="Times New Roman" w:hAnsi="Times New Roman" w:eastAsia="宋体" w:cs="Times New Roman"/>
          <w:color w:val="auto"/>
          <w:sz w:val="24"/>
          <w:highlight w:val="none"/>
        </w:rPr>
        <w:t xml:space="preserve">%；</w:t>
      </w:r>
      <w:r/>
    </w:p>
    <w:p>
      <w:pPr>
        <w:numPr>
          <w:ilvl w:val="0"/>
          <w:numId w:val="0"/>
        </w:numPr>
        <w:ind w:left="1135" w:firstLine="720"/>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2.投标（响应）报价低于通过符合性审查的次低报价供应商投标（响应）报价</w:t>
      </w:r>
      <w:r>
        <w:rPr>
          <w:rFonts w:hint="eastAsia" w:ascii="Times New Roman" w:hAnsi="Times New Roman" w:eastAsia="宋体" w:cs="Times New Roman"/>
          <w:color w:val="auto"/>
          <w:sz w:val="24"/>
          <w:highlight w:val="none"/>
          <w:lang w:val="en-US" w:eastAsia="zh-CN"/>
        </w:rPr>
        <w:t xml:space="preserve">65</w:t>
      </w:r>
      <w:r>
        <w:rPr>
          <w:rFonts w:hint="eastAsia" w:ascii="Times New Roman" w:hAnsi="Times New Roman" w:eastAsia="宋体" w:cs="Times New Roman"/>
          <w:color w:val="auto"/>
          <w:sz w:val="24"/>
          <w:highlight w:val="none"/>
        </w:rPr>
        <w:t xml:space="preserve">%的，即投标（响应）报价&lt;通过符合性审查的次低报价供应商投标（响应）报价×</w:t>
      </w:r>
      <w:r>
        <w:rPr>
          <w:rFonts w:hint="eastAsia" w:ascii="Times New Roman" w:hAnsi="Times New Roman" w:eastAsia="宋体" w:cs="Times New Roman"/>
          <w:color w:val="auto"/>
          <w:sz w:val="24"/>
          <w:highlight w:val="none"/>
          <w:lang w:val="en-US" w:eastAsia="zh-CN"/>
        </w:rPr>
        <w:t xml:space="preserve">65</w:t>
      </w:r>
      <w:r>
        <w:rPr>
          <w:rFonts w:hint="eastAsia" w:ascii="Times New Roman" w:hAnsi="Times New Roman" w:eastAsia="宋体" w:cs="Times New Roman"/>
          <w:color w:val="auto"/>
          <w:sz w:val="24"/>
          <w:highlight w:val="none"/>
        </w:rPr>
        <w:t xml:space="preserve">%；</w:t>
      </w:r>
      <w:r/>
    </w:p>
    <w:p>
      <w:pPr>
        <w:numPr>
          <w:ilvl w:val="0"/>
          <w:numId w:val="0"/>
        </w:numPr>
        <w:ind w:left="1135" w:firstLine="720"/>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3.投标（响应）报价低于采购项目最高限价</w:t>
      </w:r>
      <w:r>
        <w:rPr>
          <w:rFonts w:hint="eastAsia" w:ascii="Times New Roman" w:hAnsi="Times New Roman" w:eastAsia="宋体" w:cs="Times New Roman"/>
          <w:color w:val="auto"/>
          <w:sz w:val="24"/>
          <w:highlight w:val="none"/>
          <w:lang w:val="en-US" w:eastAsia="zh-CN"/>
        </w:rPr>
        <w:t xml:space="preserve">65</w:t>
      </w:r>
      <w:r>
        <w:rPr>
          <w:rFonts w:hint="eastAsia" w:ascii="Times New Roman" w:hAnsi="Times New Roman" w:eastAsia="宋体" w:cs="Times New Roman"/>
          <w:color w:val="auto"/>
          <w:sz w:val="24"/>
          <w:highlight w:val="none"/>
        </w:rPr>
        <w:t xml:space="preserve">%的，即投标（响应）报价&lt;采购项目最高限价×</w:t>
      </w:r>
      <w:r>
        <w:rPr>
          <w:rFonts w:hint="eastAsia" w:ascii="Times New Roman" w:hAnsi="Times New Roman" w:eastAsia="宋体" w:cs="Times New Roman"/>
          <w:color w:val="auto"/>
          <w:sz w:val="24"/>
          <w:highlight w:val="none"/>
          <w:lang w:val="en-US" w:eastAsia="zh-CN"/>
        </w:rPr>
        <w:t xml:space="preserve">65</w:t>
      </w:r>
      <w:r>
        <w:rPr>
          <w:rFonts w:hint="eastAsia" w:ascii="Times New Roman" w:hAnsi="Times New Roman" w:eastAsia="宋体" w:cs="Times New Roman"/>
          <w:color w:val="auto"/>
          <w:sz w:val="24"/>
          <w:highlight w:val="none"/>
        </w:rPr>
        <w:t xml:space="preserve">%；</w:t>
      </w:r>
      <w:r/>
    </w:p>
    <w:p>
      <w:pPr>
        <w:numPr>
          <w:ilvl w:val="0"/>
          <w:numId w:val="0"/>
        </w:numPr>
        <w:ind w:left="1135" w:firstLine="720"/>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4.评审委员会基于专业判断，认为供应商报价过低，有可能影响产品质量或者不能诚信履约的其他情形。</w:t>
      </w:r>
      <w:r/>
    </w:p>
    <w:p>
      <w:pPr>
        <w:numPr>
          <w:ilvl w:val="0"/>
          <w:numId w:val="0"/>
        </w:numPr>
        <w:ind w:left="1135" w:firstLine="720"/>
        <w:spacing w:line="360" w:lineRule="auto"/>
        <w:tabs>
          <w:tab w:val="left" w:pos="1080" w:leader="none"/>
          <w:tab w:val="left" w:pos="1589" w:leader="none"/>
          <w:tab w:val="left" w:pos="2035"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相关法律法规对供应商报价有规定的，从其规定。</w:t>
      </w:r>
      <w:r/>
    </w:p>
    <w:p>
      <w:pPr>
        <w:numPr>
          <w:ilvl w:val="0"/>
          <w:numId w:val="5"/>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66"/>
      <w:r/>
      <w:bookmarkEnd w:id="767"/>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最低评标价法，指投标文件满足招标文件全部实质性要求，且投标报价最低的投标人为中标候选人的评标方法。</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rFonts w:hint="eastAsia" w:ascii="Times New Roman" w:hAnsi="Times New Roman"/>
          <w:color w:val="auto"/>
          <w:sz w:val="24"/>
          <w:szCs w:val="24"/>
          <w:highlight w:val="none"/>
          <w:lang w:eastAsia="zh-CN"/>
        </w:rPr>
        <w:t xml:space="preserve">□</w:t>
      </w:r>
      <w:r>
        <w:rPr>
          <w:color w:val="auto"/>
          <w:sz w:val="24"/>
          <w:highlight w:val="none"/>
        </w:rPr>
        <w:t xml:space="preserve">其他方式，具体要求：_____</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关于无线局域网认证产品政府采购清单中的产品，优先采购的具体规定（如涉及）_____。</w:t>
      </w:r>
      <w:r/>
    </w:p>
    <w:p>
      <w:pPr>
        <w:numPr>
          <w:ilvl w:val="0"/>
          <w:numId w:val="5"/>
        </w:numPr>
        <w:spacing w:line="360" w:lineRule="auto"/>
        <w:tabs>
          <w:tab w:val="left" w:pos="360" w:leader="none"/>
        </w:tabs>
        <w:rPr>
          <w:color w:val="auto"/>
          <w:sz w:val="24"/>
          <w:highlight w:val="none"/>
        </w:rPr>
        <w:outlineLvl w:val="1"/>
      </w:pPr>
      <w:r>
        <w:rPr>
          <w:color w:val="auto"/>
          <w:sz w:val="24"/>
          <w:highlight w:val="none"/>
        </w:rPr>
        <w:t xml:space="preserve">确定</w:t>
      </w:r>
      <w:bookmarkStart w:id="783" w:name="_Toc305158814"/>
      <w:r/>
      <w:bookmarkStart w:id="784" w:name="_Toc164608815"/>
      <w:r/>
      <w:bookmarkStart w:id="785" w:name="_Toc150774751"/>
      <w:r/>
      <w:bookmarkStart w:id="786" w:name="_Toc164229241"/>
      <w:r/>
      <w:bookmarkStart w:id="787" w:name="_Toc264969236"/>
      <w:r/>
      <w:bookmarkStart w:id="788" w:name="_Toc226309790"/>
      <w:r/>
      <w:bookmarkStart w:id="789" w:name="_Toc151193860"/>
      <w:r/>
      <w:bookmarkStart w:id="790" w:name="_Toc149720839"/>
      <w:r/>
      <w:bookmarkStart w:id="791" w:name="_Toc151193934"/>
      <w:r/>
      <w:bookmarkStart w:id="792" w:name="_Toc520356170"/>
      <w:r/>
      <w:bookmarkStart w:id="793" w:name="_Toc226337242"/>
      <w:r/>
      <w:bookmarkStart w:id="794" w:name="_Ref467307010"/>
      <w:r/>
      <w:bookmarkStart w:id="795" w:name="_Toc151193644"/>
      <w:r/>
      <w:bookmarkStart w:id="796" w:name="_Toc127161460"/>
      <w:r/>
      <w:bookmarkStart w:id="797" w:name="_Toc151193716"/>
      <w:r/>
      <w:bookmarkStart w:id="798" w:name="_Toc150509297"/>
      <w:r/>
      <w:bookmarkStart w:id="799" w:name="_Toc151190173"/>
      <w:r/>
      <w:bookmarkStart w:id="800" w:name="_Toc127151546"/>
      <w:r/>
      <w:bookmarkStart w:id="801" w:name="_Toc164351640"/>
      <w:r/>
      <w:bookmarkStart w:id="802" w:name="_Toc226965736"/>
      <w:r/>
      <w:bookmarkStart w:id="803" w:name="_Toc164608660"/>
      <w:r/>
      <w:bookmarkStart w:id="804" w:name="_Toc150774646"/>
      <w:r/>
      <w:bookmarkStart w:id="805" w:name="_Toc127151747"/>
      <w:r/>
      <w:bookmarkStart w:id="806" w:name="_Toc151193788"/>
      <w:r/>
      <w:bookmarkStart w:id="807" w:name="_Toc142311048"/>
      <w:r/>
      <w:bookmarkStart w:id="808" w:name="_Toc150480784"/>
      <w:r/>
      <w:bookmarkStart w:id="809" w:name="_Toc195842911"/>
      <w:r/>
      <w:bookmarkStart w:id="810" w:name="_Toc226965819"/>
      <w:r/>
      <w:bookmarkStart w:id="811" w:name="_Toc265228384"/>
      <w:r/>
      <w:bookmarkStart w:id="812" w:name="_Toc164229387"/>
      <w:r/>
      <w:bookmarkStart w:id="813" w:name="_Toc305158888"/>
      <w:r>
        <w:rPr>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12"/>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□随机抽取</w:t>
      </w:r>
      <w:r/>
    </w:p>
    <w:p>
      <w:pPr>
        <w:pStyle w:val="912"/>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其他方式，具体要求：</w:t>
      </w:r>
      <w:r>
        <w:rPr>
          <w:rFonts w:ascii="Times New Roman" w:hAnsi="Times New Roman"/>
          <w:color w:val="auto"/>
          <w:sz w:val="24"/>
          <w:szCs w:val="24"/>
          <w:highlight w:val="none"/>
          <w:u w:val="single"/>
        </w:rPr>
        <w:t xml:space="preserve">投标评标价最低的供应商获得中标人推荐资格。</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5"/>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5"/>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color w:val="auto"/>
          <w:sz w:val="24"/>
          <w:highlight w:val="none"/>
        </w:rPr>
      </w:r>
      <w:r/>
    </w:p>
    <w:p>
      <w:pPr>
        <w:jc w:val="center"/>
        <w:spacing w:line="360" w:lineRule="auto"/>
        <w:tabs>
          <w:tab w:val="left" w:pos="360" w:leader="none"/>
          <w:tab w:val="left" w:pos="900" w:leader="none"/>
        </w:tabs>
        <w:rPr>
          <w:b/>
          <w:color w:val="auto"/>
          <w:sz w:val="36"/>
          <w:szCs w:val="36"/>
          <w:highlight w:val="none"/>
        </w:rPr>
        <w:outlineLvl w:val="1"/>
      </w:pPr>
      <w:r>
        <w:rPr>
          <w:b/>
          <w:color w:val="auto"/>
          <w:sz w:val="24"/>
          <w:highlight w:val="none"/>
        </w:rPr>
        <w:t xml:space="preserve">二、评标标准</w:t>
      </w:r>
      <w:r/>
    </w:p>
    <w:tbl>
      <w:tblPr>
        <w:tblStyle w:val="8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51"/>
        <w:gridCol w:w="800"/>
        <w:gridCol w:w="8586"/>
        <w:gridCol w:w="2625"/>
      </w:tblGrid>
      <w:tr>
        <w:trPr>
          <w:cantSplit/>
          <w:trHeight w:val="424"/>
          <w:tblHeader/>
        </w:trPr>
        <w:tc>
          <w:tcPr>
            <w:tcW w:w="741" w:type="dxa"/>
            <w:vAlign w:val="center"/>
            <w:textDirection w:val="lrTb"/>
            <w:noWrap w:val="false"/>
          </w:tcPr>
          <w:p>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1251" w:type="dxa"/>
            <w:vAlign w:val="center"/>
            <w:textDirection w:val="lrTb"/>
            <w:noWrap w:val="false"/>
          </w:tcPr>
          <w:p>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评分因素</w:t>
            </w:r>
            <w:r/>
          </w:p>
        </w:tc>
        <w:tc>
          <w:tcPr>
            <w:tcW w:w="800" w:type="dxa"/>
            <w:vAlign w:val="center"/>
            <w:textDirection w:val="lrTb"/>
            <w:noWrap w:val="false"/>
          </w:tcPr>
          <w:p>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分值</w:t>
            </w:r>
            <w:r/>
          </w:p>
        </w:tc>
        <w:tc>
          <w:tcPr>
            <w:tcW w:w="8586" w:type="dxa"/>
            <w:vAlign w:val="center"/>
            <w:textDirection w:val="lrTb"/>
            <w:noWrap w:val="false"/>
          </w:tcPr>
          <w:p>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评分标准</w:t>
            </w:r>
            <w:r/>
          </w:p>
        </w:tc>
        <w:tc>
          <w:tcPr>
            <w:tcW w:w="2625" w:type="dxa"/>
            <w:vAlign w:val="center"/>
            <w:textDirection w:val="lrTb"/>
            <w:noWrap w:val="false"/>
          </w:tcPr>
          <w:p>
            <w:pPr>
              <w:jc w:val="center"/>
              <w:spacing w:before="0" w:after="0" w:line="240" w:lineRule="auto"/>
              <w:widowControl w:val="off"/>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51"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p>
        </w:tc>
        <w:tc>
          <w:tcPr>
            <w:tcW w:w="800"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858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投标报价得分＝（评标基准价/投标报价）×分值。</w:t>
            </w:r>
            <w:r/>
          </w:p>
        </w:tc>
        <w:tc>
          <w:tcPr>
            <w:tcW w:w="2625"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此处最终报价指经过报价修正，及因落实政府采购政策进行价格调整后的最终报价，详见第三章《评标方法和评标标准》3。</w:t>
            </w:r>
            <w:r/>
          </w:p>
        </w:tc>
      </w:tr>
      <w:tr>
        <w:trPr>
          <w:cantSplit/>
          <w:trHeight w:val="478"/>
        </w:trPr>
        <w:tc>
          <w:tcPr>
            <w:tcW w:w="741"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12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主观</w:t>
            </w:r>
            <w:r>
              <w:rPr>
                <w:rFonts w:hint="eastAsia" w:ascii="宋体" w:hAnsi="宋体" w:eastAsia="宋体" w:cs="宋体"/>
                <w:sz w:val="24"/>
                <w:szCs w:val="24"/>
                <w:highlight w:val="none"/>
              </w:rPr>
              <w:t xml:space="preserve">分</w:t>
            </w:r>
            <w:r/>
          </w:p>
        </w:tc>
        <w:tc>
          <w:tcPr>
            <w:tcW w:w="800"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w:t>
            </w:r>
            <w:r/>
          </w:p>
        </w:tc>
        <w:tc>
          <w:tcPr>
            <w:tcW w:w="858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2.1</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highlight w:val="none"/>
              </w:rPr>
              <w:t xml:space="preserve">全年养护计划</w:t>
            </w:r>
            <w:r/>
          </w:p>
        </w:tc>
        <w:tc>
          <w:tcPr>
            <w:tcW w:w="800"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tcW w:w="8586"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根据投标人对</w:t>
            </w:r>
            <w:r>
              <w:rPr>
                <w:rFonts w:hint="eastAsia" w:ascii="宋体" w:hAnsi="宋体" w:eastAsia="宋体" w:cs="宋体"/>
                <w:b w:val="0"/>
                <w:bCs w:val="0"/>
                <w:i w:val="0"/>
                <w:iCs w:val="0"/>
                <w:color w:val="000000"/>
                <w:sz w:val="24"/>
                <w:szCs w:val="24"/>
                <w:highlight w:val="none"/>
              </w:rPr>
              <w:t xml:space="preserve">全年养护计划</w:t>
            </w:r>
            <w:r>
              <w:rPr>
                <w:rFonts w:hint="eastAsia" w:ascii="宋体" w:hAnsi="宋体" w:eastAsia="宋体" w:cs="宋体"/>
                <w:b w:val="0"/>
                <w:bCs w:val="0"/>
                <w:sz w:val="24"/>
                <w:szCs w:val="24"/>
                <w:highlight w:val="none"/>
                <w:lang w:val="en-US" w:eastAsia="zh-CN" w:bidi="ar-SA"/>
              </w:rPr>
              <w:t xml:space="preserve">进行评分，</w:t>
            </w:r>
            <w:r>
              <w:rPr>
                <w:rFonts w:hint="eastAsia" w:ascii="宋体" w:hAnsi="宋体" w:eastAsia="宋体" w:cs="宋体"/>
                <w:b w:val="0"/>
                <w:bCs w:val="0"/>
                <w:color w:val="000000"/>
                <w:sz w:val="24"/>
                <w:szCs w:val="24"/>
                <w:highlight w:val="none"/>
                <w:lang w:eastAsia="zh-CN"/>
              </w:rPr>
              <w:t xml:space="preserve">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养护月历、</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冬季涂白实施计划与标准</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标段情况调查和养护情况分析</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总体养护组织布置及规划等，</w:t>
            </w:r>
            <w:r>
              <w:rPr>
                <w:rFonts w:hint="eastAsia" w:ascii="宋体" w:hAnsi="宋体" w:eastAsia="宋体" w:cs="宋体"/>
                <w:b w:val="0"/>
                <w:bCs w:val="0"/>
                <w:color w:val="000000"/>
                <w:sz w:val="24"/>
                <w:szCs w:val="24"/>
                <w:highlight w:val="none"/>
                <w:lang w:val="en-US" w:eastAsia="zh-CN"/>
              </w:rPr>
              <w:t xml:space="preserve">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未提供方案不得分。</w:t>
            </w:r>
            <w:r/>
          </w:p>
        </w:tc>
        <w:tc>
          <w:tcPr>
            <w:tcW w:w="2625" w:type="dxa"/>
            <w:vAlign w:val="center"/>
            <w:textDirection w:val="lrTb"/>
            <w:noWrap w:val="false"/>
          </w:tcPr>
          <w:p>
            <w:pPr>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2.2</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highlight w:val="none"/>
              </w:rPr>
              <w:t xml:space="preserve">病虫害防治方案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tcW w:w="8586"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根据投标人对</w:t>
            </w:r>
            <w:r>
              <w:rPr>
                <w:rFonts w:hint="eastAsia" w:ascii="宋体" w:hAnsi="宋体" w:eastAsia="宋体" w:cs="Times New Roman"/>
                <w:b w:val="0"/>
                <w:bCs w:val="0"/>
                <w:sz w:val="24"/>
                <w:szCs w:val="24"/>
                <w:highlight w:val="none"/>
              </w:rPr>
              <w:t xml:space="preserve">病虫害防治方案</w:t>
            </w:r>
            <w:r>
              <w:rPr>
                <w:rFonts w:hint="eastAsia" w:ascii="宋体" w:hAnsi="宋体" w:eastAsia="宋体" w:cs="宋体"/>
                <w:b w:val="0"/>
                <w:bCs w:val="0"/>
                <w:sz w:val="24"/>
                <w:szCs w:val="24"/>
                <w:highlight w:val="none"/>
                <w:lang w:val="en-US" w:eastAsia="zh-CN" w:bidi="ar-SA"/>
              </w:rPr>
              <w:t xml:space="preserve">进行评分，</w:t>
            </w:r>
            <w:r>
              <w:rPr>
                <w:rFonts w:hint="eastAsia" w:ascii="宋体" w:hAnsi="宋体" w:eastAsia="宋体" w:cs="宋体"/>
                <w:b w:val="0"/>
                <w:bCs w:val="0"/>
                <w:color w:val="000000"/>
                <w:sz w:val="24"/>
                <w:szCs w:val="24"/>
                <w:highlight w:val="none"/>
                <w:lang w:eastAsia="zh-CN"/>
              </w:rPr>
              <w:t xml:space="preserve">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食叶性害虫防治方案、</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 xml:space="preserve">蛀干性害虫防治方案</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刺吸式害虫防治方案</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常见病害防治方案</w:t>
            </w:r>
            <w:r>
              <w:rPr>
                <w:rFonts w:hint="eastAsia" w:ascii="宋体" w:hAnsi="宋体" w:eastAsia="宋体" w:cs="宋体"/>
                <w:b w:val="0"/>
                <w:bCs w:val="0"/>
                <w:sz w:val="24"/>
                <w:szCs w:val="24"/>
                <w:highlight w:val="none"/>
                <w:lang w:val="en-US" w:eastAsia="zh-CN" w:bidi="ar-SA"/>
              </w:rPr>
              <w:t xml:space="preserve">等，</w:t>
            </w:r>
            <w:r>
              <w:rPr>
                <w:rFonts w:hint="eastAsia" w:ascii="宋体" w:hAnsi="宋体" w:eastAsia="宋体" w:cs="宋体"/>
                <w:b w:val="0"/>
                <w:bCs w:val="0"/>
                <w:color w:val="000000"/>
                <w:sz w:val="24"/>
                <w:szCs w:val="24"/>
                <w:highlight w:val="none"/>
                <w:lang w:val="en-US" w:eastAsia="zh-CN"/>
              </w:rPr>
              <w:t xml:space="preserve">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ind w:left="0" w:firstLine="0"/>
              <w:jc w:val="left"/>
              <w:keepLines w:val="0"/>
              <w:keepNext w:val="0"/>
              <w:pageBreakBefore w:val="0"/>
              <w:spacing w:line="240" w:lineRule="auto"/>
              <w:widowControl w:val="off"/>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未提供方案不得分。</w:t>
            </w:r>
            <w:r/>
          </w:p>
        </w:tc>
        <w:tc>
          <w:tcPr>
            <w:tcW w:w="2625" w:type="dxa"/>
            <w:vAlign w:val="center"/>
            <w:textDirection w:val="lrTb"/>
            <w:noWrap w:val="false"/>
          </w:tcPr>
          <w:p>
            <w:pPr>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植物修剪方案</w:t>
            </w:r>
            <w:r/>
          </w:p>
        </w:tc>
        <w:tc>
          <w:tcPr>
            <w:shd w:val="clear" w:color="auto" w:fill="auto"/>
            <w:tcW w:w="800"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shd w:val="clear" w:color="auto" w:fill="auto"/>
            <w:tcW w:w="8586"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根据投标人对</w:t>
            </w:r>
            <w:r>
              <w:rPr>
                <w:rFonts w:hint="eastAsia" w:ascii="宋体" w:hAnsi="宋体" w:eastAsia="宋体" w:cs="Times New Roman"/>
                <w:b w:val="0"/>
                <w:bCs w:val="0"/>
                <w:sz w:val="24"/>
                <w:szCs w:val="24"/>
                <w:highlight w:val="none"/>
              </w:rPr>
              <w:t xml:space="preserve">植物修剪方案</w:t>
            </w:r>
            <w:r>
              <w:rPr>
                <w:rFonts w:hint="eastAsia" w:ascii="宋体" w:hAnsi="宋体" w:eastAsia="宋体" w:cs="宋体"/>
                <w:b w:val="0"/>
                <w:bCs w:val="0"/>
                <w:sz w:val="24"/>
                <w:szCs w:val="24"/>
                <w:highlight w:val="none"/>
                <w:lang w:val="en-US" w:eastAsia="zh-CN" w:bidi="ar-SA"/>
              </w:rPr>
              <w:t xml:space="preserve">进行评分，</w:t>
            </w:r>
            <w:r>
              <w:rPr>
                <w:rFonts w:hint="eastAsia" w:ascii="宋体" w:hAnsi="宋体" w:eastAsia="宋体" w:cs="宋体"/>
                <w:b w:val="0"/>
                <w:bCs w:val="0"/>
                <w:color w:val="000000"/>
                <w:sz w:val="24"/>
                <w:szCs w:val="24"/>
                <w:highlight w:val="none"/>
                <w:lang w:eastAsia="zh-CN"/>
              </w:rPr>
              <w:t xml:space="preserve">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大型乔木修剪方案</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 xml:space="preserve">绿篱色块修剪方案</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草坪修剪方案</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常见花灌木修剪方案</w:t>
            </w:r>
            <w:r>
              <w:rPr>
                <w:rFonts w:hint="eastAsia" w:ascii="宋体" w:hAnsi="宋体" w:eastAsia="宋体" w:cs="宋体"/>
                <w:b w:val="0"/>
                <w:bCs w:val="0"/>
                <w:sz w:val="24"/>
                <w:szCs w:val="24"/>
                <w:highlight w:val="none"/>
                <w:lang w:val="en-US" w:eastAsia="zh-CN" w:bidi="ar-SA"/>
              </w:rPr>
              <w:t xml:space="preserve">等，</w:t>
            </w:r>
            <w:r>
              <w:rPr>
                <w:rFonts w:hint="eastAsia" w:ascii="宋体" w:hAnsi="宋体" w:eastAsia="宋体" w:cs="宋体"/>
                <w:b w:val="0"/>
                <w:bCs w:val="0"/>
                <w:color w:val="000000"/>
                <w:sz w:val="24"/>
                <w:szCs w:val="24"/>
                <w:highlight w:val="none"/>
                <w:lang w:val="en-US" w:eastAsia="zh-CN"/>
              </w:rPr>
              <w:t xml:space="preserve">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90"/>
        </w:trPr>
        <w:tc>
          <w:tcPr>
            <w:tcW w:w="741" w:type="dxa"/>
            <w:vAlign w:val="center"/>
            <w:textDirection w:val="lrTb"/>
            <w:noWrap w:val="false"/>
          </w:tcPr>
          <w:p>
            <w:pPr>
              <w:ind w:firstLine="28"/>
              <w:jc w:val="center"/>
              <w:rPr>
                <w:rFonts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2.4</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进度保证措施</w:t>
            </w:r>
            <w:r/>
          </w:p>
        </w:tc>
        <w:tc>
          <w:tcPr>
            <w:shd w:val="clear" w:color="auto" w:fill="auto"/>
            <w:tcW w:w="800"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shd w:val="clear" w:color="auto" w:fill="auto"/>
            <w:tcW w:w="8586"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根据投标人对</w:t>
            </w:r>
            <w:r>
              <w:rPr>
                <w:rFonts w:hint="eastAsia" w:ascii="宋体" w:hAnsi="宋体" w:eastAsia="宋体" w:cs="宋体"/>
                <w:b w:val="0"/>
                <w:bCs w:val="0"/>
                <w:color w:val="000000"/>
                <w:sz w:val="24"/>
                <w:szCs w:val="24"/>
                <w:highlight w:val="none"/>
              </w:rPr>
              <w:t xml:space="preserve">进度保证措施</w:t>
            </w:r>
            <w:r>
              <w:rPr>
                <w:rFonts w:hint="eastAsia" w:ascii="宋体" w:hAnsi="宋体" w:eastAsia="宋体" w:cs="宋体"/>
                <w:b w:val="0"/>
                <w:bCs w:val="0"/>
                <w:sz w:val="24"/>
                <w:szCs w:val="24"/>
                <w:highlight w:val="none"/>
                <w:lang w:val="en-US" w:eastAsia="zh-CN" w:bidi="ar-SA"/>
              </w:rPr>
              <w:t xml:space="preserve">进行评分，</w:t>
            </w:r>
            <w:r>
              <w:rPr>
                <w:rFonts w:hint="eastAsia" w:ascii="宋体" w:hAnsi="宋体" w:eastAsia="宋体" w:cs="宋体"/>
                <w:b w:val="0"/>
                <w:bCs w:val="0"/>
                <w:color w:val="000000"/>
                <w:sz w:val="24"/>
                <w:szCs w:val="24"/>
                <w:highlight w:val="none"/>
                <w:lang w:eastAsia="zh-CN"/>
              </w:rPr>
              <w:t xml:space="preserve">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rPr>
              <w:t xml:space="preserve">项目计划和进度</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组织与责任制度、</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资源保障制度、</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沟通制度等，</w:t>
            </w:r>
            <w:r>
              <w:rPr>
                <w:rFonts w:hint="eastAsia" w:ascii="宋体" w:hAnsi="宋体" w:eastAsia="宋体" w:cs="宋体"/>
                <w:b w:val="0"/>
                <w:bCs w:val="0"/>
                <w:color w:val="000000"/>
                <w:sz w:val="24"/>
                <w:szCs w:val="24"/>
                <w:highlight w:val="none"/>
                <w:lang w:val="en-US" w:eastAsia="zh-CN"/>
              </w:rPr>
              <w:t xml:space="preserve">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p>
        </w:tc>
        <w:tc>
          <w:tcPr>
            <w:tcW w:w="1251" w:type="dxa"/>
            <w:vAlign w:val="center"/>
            <w:textDirection w:val="lrTb"/>
            <w:noWrap w:val="false"/>
          </w:tcPr>
          <w:p>
            <w:pPr>
              <w:ind w:firstLine="28"/>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安全文明</w:t>
            </w:r>
            <w:r/>
          </w:p>
          <w:p>
            <w:pPr>
              <w:ind w:firstLine="28"/>
              <w:jc w:val="center"/>
              <w:spacing w:line="240" w:lineRule="auto"/>
              <w:rPr>
                <w:rFonts w:hint="eastAsia" w:ascii="宋体" w:hAnsi="宋体" w:eastAsia="宋体" w:cs="宋体"/>
                <w:sz w:val="24"/>
                <w:szCs w:val="24"/>
                <w:highlight w:val="none"/>
                <w:lang w:eastAsia="zh-CN"/>
              </w:rPr>
            </w:pPr>
            <w:r>
              <w:rPr>
                <w:rFonts w:hint="eastAsia" w:ascii="宋体" w:hAnsi="宋体" w:eastAsia="宋体" w:cs="Times New Roman"/>
                <w:sz w:val="24"/>
                <w:szCs w:val="24"/>
                <w:highlight w:val="none"/>
              </w:rPr>
              <w:t xml:space="preserve">保障措施</w:t>
            </w:r>
            <w:r/>
          </w:p>
        </w:tc>
        <w:tc>
          <w:tcPr>
            <w:shd w:val="clear" w:color="auto" w:fill="auto"/>
            <w:tcW w:w="800"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shd w:val="clear" w:color="auto" w:fill="auto"/>
            <w:tcW w:w="8586"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根据投标人对</w:t>
            </w:r>
            <w:r>
              <w:rPr>
                <w:rFonts w:hint="eastAsia" w:ascii="宋体" w:hAnsi="宋体" w:eastAsia="宋体" w:cs="Times New Roman"/>
                <w:b w:val="0"/>
                <w:bCs w:val="0"/>
                <w:sz w:val="24"/>
                <w:szCs w:val="24"/>
                <w:highlight w:val="none"/>
              </w:rPr>
              <w:t xml:space="preserve">安全文明保障措施</w:t>
            </w:r>
            <w:r>
              <w:rPr>
                <w:rFonts w:hint="eastAsia" w:ascii="宋体" w:hAnsi="宋体" w:eastAsia="宋体" w:cs="宋体"/>
                <w:b w:val="0"/>
                <w:bCs w:val="0"/>
                <w:sz w:val="24"/>
                <w:szCs w:val="24"/>
                <w:highlight w:val="none"/>
                <w:lang w:val="en-US" w:eastAsia="zh-CN" w:bidi="ar-SA"/>
              </w:rPr>
              <w:t xml:space="preserve">进行评分，</w:t>
            </w:r>
            <w:r>
              <w:rPr>
                <w:rFonts w:hint="eastAsia" w:ascii="宋体" w:hAnsi="宋体" w:eastAsia="宋体" w:cs="宋体"/>
                <w:b w:val="0"/>
                <w:bCs w:val="0"/>
                <w:color w:val="000000"/>
                <w:sz w:val="24"/>
                <w:szCs w:val="24"/>
                <w:highlight w:val="none"/>
                <w:lang w:eastAsia="zh-CN"/>
              </w:rPr>
              <w:t xml:space="preserve">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安全文明保障措施</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 xml:space="preserve">作业安全管理措施</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安全设施设备</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安全检查记录</w:t>
            </w:r>
            <w:r>
              <w:rPr>
                <w:rFonts w:hint="eastAsia" w:ascii="宋体" w:hAnsi="宋体" w:eastAsia="宋体" w:cs="Times New Roman"/>
                <w:b w:val="0"/>
                <w:bCs w:val="0"/>
                <w:sz w:val="24"/>
                <w:szCs w:val="24"/>
                <w:highlight w:val="none"/>
                <w:lang w:eastAsia="zh-CN"/>
              </w:rPr>
              <w:t xml:space="preserve">、⑤</w:t>
            </w:r>
            <w:r>
              <w:rPr>
                <w:rFonts w:hint="eastAsia" w:ascii="宋体" w:hAnsi="宋体" w:eastAsia="宋体" w:cs="Times New Roman"/>
                <w:b w:val="0"/>
                <w:bCs w:val="0"/>
                <w:sz w:val="24"/>
                <w:szCs w:val="24"/>
                <w:highlight w:val="none"/>
              </w:rPr>
              <w:t xml:space="preserve">安全教育培训计划</w:t>
            </w:r>
            <w:r>
              <w:rPr>
                <w:rFonts w:hint="eastAsia" w:ascii="宋体" w:hAnsi="宋体" w:eastAsia="宋体" w:cs="宋体"/>
                <w:b w:val="0"/>
                <w:bCs w:val="0"/>
                <w:sz w:val="24"/>
                <w:szCs w:val="24"/>
                <w:highlight w:val="none"/>
                <w:lang w:val="en-US" w:eastAsia="zh-CN" w:bidi="ar-SA"/>
              </w:rPr>
              <w:t xml:space="preserve">等，</w:t>
            </w:r>
            <w:r>
              <w:rPr>
                <w:rFonts w:hint="eastAsia" w:ascii="宋体" w:hAnsi="宋体" w:eastAsia="宋体" w:cs="宋体"/>
                <w:b w:val="0"/>
                <w:bCs w:val="0"/>
                <w:color w:val="000000"/>
                <w:sz w:val="24"/>
                <w:szCs w:val="24"/>
                <w:highlight w:val="none"/>
                <w:lang w:val="en-US" w:eastAsia="zh-CN"/>
              </w:rPr>
              <w:t xml:space="preserve">根据以上内容进行综合评审，上述内容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内部管理制度</w:t>
            </w:r>
            <w:r/>
          </w:p>
        </w:tc>
        <w:tc>
          <w:tcPr>
            <w:shd w:val="clear" w:color="auto" w:fill="auto"/>
            <w:tcW w:w="800"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shd w:val="clear" w:color="auto" w:fill="auto"/>
            <w:tcW w:w="8586"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根据投标人对</w:t>
            </w:r>
            <w:r>
              <w:rPr>
                <w:rFonts w:hint="eastAsia" w:ascii="宋体" w:hAnsi="宋体" w:eastAsia="宋体" w:cs="Times New Roman"/>
                <w:b w:val="0"/>
                <w:bCs w:val="0"/>
                <w:sz w:val="24"/>
                <w:szCs w:val="24"/>
                <w:highlight w:val="none"/>
              </w:rPr>
              <w:t xml:space="preserve">内部管理制度</w:t>
            </w:r>
            <w:r>
              <w:rPr>
                <w:rFonts w:hint="eastAsia" w:ascii="宋体" w:hAnsi="宋体" w:eastAsia="宋体" w:cs="宋体"/>
                <w:b w:val="0"/>
                <w:bCs w:val="0"/>
                <w:sz w:val="24"/>
                <w:szCs w:val="24"/>
                <w:highlight w:val="none"/>
                <w:lang w:val="en-US" w:eastAsia="zh-CN" w:bidi="ar-SA"/>
              </w:rPr>
              <w:t xml:space="preserve">进行评分，</w:t>
            </w:r>
            <w:r>
              <w:rPr>
                <w:rFonts w:hint="eastAsia" w:ascii="宋体" w:hAnsi="宋体" w:eastAsia="宋体" w:cs="宋体"/>
                <w:b w:val="0"/>
                <w:bCs w:val="0"/>
                <w:color w:val="000000"/>
                <w:sz w:val="24"/>
                <w:szCs w:val="24"/>
                <w:highlight w:val="none"/>
                <w:lang w:eastAsia="zh-CN"/>
              </w:rPr>
              <w:t xml:space="preserve">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 xml:space="preserve">组织架构</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 xml:space="preserve">项目内部养护检查考核制度</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 xml:space="preserve">自查自纠制度</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 xml:space="preserve">奖惩措施</w:t>
            </w:r>
            <w:r>
              <w:rPr>
                <w:rFonts w:hint="eastAsia" w:ascii="宋体" w:hAnsi="宋体" w:eastAsia="宋体" w:cs="Times New Roman"/>
                <w:b w:val="0"/>
                <w:bCs w:val="0"/>
                <w:sz w:val="24"/>
                <w:szCs w:val="24"/>
                <w:highlight w:val="none"/>
                <w:lang w:eastAsia="zh-CN"/>
              </w:rPr>
              <w:t xml:space="preserve">、⑤</w:t>
            </w:r>
            <w:r>
              <w:rPr>
                <w:rFonts w:hint="eastAsia" w:ascii="宋体" w:hAnsi="宋体" w:eastAsia="宋体" w:cs="宋体"/>
                <w:b w:val="0"/>
                <w:bCs w:val="0"/>
                <w:sz w:val="24"/>
                <w:szCs w:val="24"/>
                <w:highlight w:val="none"/>
                <w:lang w:val="en-US" w:eastAsia="zh-CN"/>
              </w:rPr>
              <w:t xml:space="preserve">养护管理制度</w:t>
            </w:r>
            <w:r>
              <w:rPr>
                <w:rFonts w:hint="eastAsia" w:ascii="宋体" w:hAnsi="宋体" w:eastAsia="宋体" w:cs="宋体"/>
                <w:b w:val="0"/>
                <w:bCs w:val="0"/>
                <w:sz w:val="24"/>
                <w:szCs w:val="24"/>
                <w:highlight w:val="none"/>
                <w:lang w:val="en-US" w:eastAsia="zh-CN" w:bidi="ar-SA"/>
              </w:rPr>
              <w:t xml:space="preserve">等，</w:t>
            </w:r>
            <w:r>
              <w:rPr>
                <w:rFonts w:hint="eastAsia" w:ascii="宋体" w:hAnsi="宋体" w:eastAsia="宋体" w:cs="宋体"/>
                <w:b w:val="0"/>
                <w:bCs w:val="0"/>
                <w:color w:val="000000"/>
                <w:sz w:val="24"/>
                <w:szCs w:val="24"/>
                <w:highlight w:val="none"/>
                <w:lang w:val="en-US" w:eastAsia="zh-CN"/>
              </w:rPr>
              <w:t xml:space="preserve">根据以上内容进行综合评审，上述内容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3087"/>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p>
        </w:tc>
        <w:tc>
          <w:tcPr>
            <w:tcW w:w="1251" w:type="dxa"/>
            <w:vAlign w:val="center"/>
            <w:textDirection w:val="lrTb"/>
            <w:noWrap w:val="false"/>
          </w:tcPr>
          <w:p>
            <w:pPr>
              <w:ind w:firstLine="28"/>
              <w:jc w:val="center"/>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极端天气和突发事件预案</w:t>
            </w:r>
            <w:r/>
          </w:p>
        </w:tc>
        <w:tc>
          <w:tcPr>
            <w:shd w:val="clear" w:color="auto" w:fill="auto"/>
            <w:tcW w:w="800"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shd w:val="clear" w:color="auto" w:fill="auto"/>
            <w:tcW w:w="8586"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根据投标人对</w:t>
            </w:r>
            <w:r>
              <w:rPr>
                <w:rFonts w:hint="eastAsia" w:ascii="宋体" w:hAnsi="宋体" w:eastAsia="宋体" w:cs="Times New Roman"/>
                <w:b w:val="0"/>
                <w:bCs w:val="0"/>
                <w:sz w:val="24"/>
                <w:szCs w:val="24"/>
                <w:highlight w:val="none"/>
              </w:rPr>
              <w:t xml:space="preserve">极端天气和突发事件预案</w:t>
            </w:r>
            <w:r>
              <w:rPr>
                <w:rFonts w:hint="eastAsia" w:ascii="宋体" w:hAnsi="宋体" w:eastAsia="宋体" w:cs="宋体"/>
                <w:b w:val="0"/>
                <w:bCs w:val="0"/>
                <w:sz w:val="24"/>
                <w:szCs w:val="24"/>
                <w:highlight w:val="none"/>
                <w:lang w:val="en-US" w:eastAsia="zh-CN" w:bidi="ar-SA"/>
              </w:rPr>
              <w:t xml:space="preserve">进行评分，</w:t>
            </w:r>
            <w:r>
              <w:rPr>
                <w:rFonts w:hint="eastAsia" w:ascii="宋体" w:hAnsi="宋体" w:eastAsia="宋体" w:cs="宋体"/>
                <w:b w:val="0"/>
                <w:bCs w:val="0"/>
                <w:color w:val="000000"/>
                <w:sz w:val="24"/>
                <w:szCs w:val="24"/>
                <w:highlight w:val="none"/>
                <w:lang w:eastAsia="zh-CN"/>
              </w:rPr>
              <w:t xml:space="preserve">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抗旱保苗预案</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 xml:space="preserve">防台风应急预案</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防寒防冻应急预案</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 xml:space="preserve">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 xml:space="preserve">排水防涝应急预案</w:t>
            </w:r>
            <w:r>
              <w:rPr>
                <w:rFonts w:hint="eastAsia" w:ascii="宋体" w:hAnsi="宋体" w:eastAsia="宋体" w:cs="宋体"/>
                <w:b w:val="0"/>
                <w:bCs w:val="0"/>
                <w:sz w:val="24"/>
                <w:szCs w:val="24"/>
                <w:highlight w:val="none"/>
                <w:lang w:val="en-US" w:eastAsia="zh-CN" w:bidi="ar-SA"/>
              </w:rPr>
              <w:t xml:space="preserve">等，</w:t>
            </w:r>
            <w:r>
              <w:rPr>
                <w:rFonts w:hint="eastAsia" w:ascii="宋体" w:hAnsi="宋体" w:eastAsia="宋体" w:cs="宋体"/>
                <w:b w:val="0"/>
                <w:bCs w:val="0"/>
                <w:color w:val="000000"/>
                <w:sz w:val="24"/>
                <w:szCs w:val="24"/>
                <w:highlight w:val="none"/>
                <w:lang w:val="en-US" w:eastAsia="zh-CN"/>
              </w:rPr>
              <w:t xml:space="preserve">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ind w:left="0" w:firstLine="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451"/>
        </w:trPr>
        <w:tc>
          <w:tcPr>
            <w:tcW w:w="741" w:type="dxa"/>
            <w:vAlign w:val="center"/>
            <w:textDirection w:val="lrTb"/>
            <w:noWrap w:val="false"/>
          </w:tcPr>
          <w:p>
            <w:pPr>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W w:w="1251" w:type="dxa"/>
            <w:vAlign w:val="center"/>
            <w:textDirection w:val="lrTb"/>
            <w:noWrap w:val="false"/>
          </w:tcPr>
          <w:p>
            <w:pPr>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客观</w:t>
            </w:r>
            <w:r>
              <w:rPr>
                <w:rFonts w:hint="eastAsia" w:ascii="宋体" w:hAnsi="宋体" w:eastAsia="宋体" w:cs="宋体"/>
                <w:sz w:val="24"/>
                <w:szCs w:val="24"/>
                <w:highlight w:val="none"/>
              </w:rPr>
              <w:t xml:space="preserve">分</w:t>
            </w:r>
            <w:r/>
          </w:p>
        </w:tc>
        <w:tc>
          <w:tcPr>
            <w:tcW w:w="800" w:type="dxa"/>
            <w:vAlign w:val="center"/>
            <w:textDirection w:val="lrTb"/>
            <w:noWrap w:val="false"/>
          </w:tcPr>
          <w:p>
            <w:pPr>
              <w:ind w:firstLine="28"/>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p>
        </w:tc>
        <w:tc>
          <w:tcPr>
            <w:tcW w:w="8586"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2625" w:type="dxa"/>
            <w:vAlign w:val="center"/>
            <w:textDirection w:val="lrTb"/>
            <w:noWrap w:val="false"/>
          </w:tcPr>
          <w:p>
            <w:pPr>
              <w:ind w:left="-38"/>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tc>
      </w:tr>
      <w:tr>
        <w:trPr>
          <w:cantSplit/>
          <w:trHeight w:val="158"/>
        </w:trPr>
        <w:tc>
          <w:tcPr>
            <w:tcW w:w="741" w:type="dxa"/>
            <w:vAlign w:val="center"/>
            <w:textDirection w:val="lrTb"/>
            <w:noWrap w:val="false"/>
          </w:tcPr>
          <w:p>
            <w:pPr>
              <w:ind w:firstLine="2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3.1</w:t>
            </w:r>
            <w:r/>
          </w:p>
        </w:tc>
        <w:tc>
          <w:tcPr>
            <w:shd w:val="clear" w:color="auto" w:fill="auto"/>
            <w:tcW w:w="1251"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业绩</w:t>
            </w:r>
            <w:r/>
          </w:p>
        </w:tc>
        <w:tc>
          <w:tcPr>
            <w:shd w:val="clear" w:color="auto" w:fill="auto"/>
            <w:tcW w:w="800" w:type="dxa"/>
            <w:vAlign w:val="center"/>
            <w:textDirection w:val="lrTb"/>
            <w:noWrap w:val="false"/>
          </w:tcPr>
          <w:p>
            <w:pPr>
              <w:ind w:left="0"/>
              <w:jc w:val="center"/>
              <w:keepLines w:val="0"/>
              <w:keepNext w:val="0"/>
              <w:pageBreakBefore w:val="0"/>
              <w:spacing w:line="240" w:lineRule="auto"/>
              <w:rPr>
                <w:rFonts w:hint="default" w:ascii="宋体" w:hAnsi="宋体" w:eastAsia="宋体" w:cs="宋体"/>
                <w:sz w:val="24"/>
                <w:szCs w:val="24"/>
                <w:highlight w:val="none"/>
                <w:lang w:val="en-US" w:eastAsia="zh-CN" w:bidi="ar-SA"/>
              </w:rPr>
            </w:pPr>
            <w:r>
              <w:rPr>
                <w:rFonts w:hint="eastAsia" w:ascii="宋体" w:hAnsi="宋体" w:cs="宋体"/>
                <w:color w:val="000000"/>
                <w:sz w:val="24"/>
                <w:szCs w:val="24"/>
                <w:highlight w:val="none"/>
                <w:lang w:val="en-US" w:eastAsia="zh-CN"/>
              </w:rPr>
              <w:t xml:space="preserve">20</w:t>
            </w:r>
            <w:r/>
          </w:p>
        </w:tc>
        <w:tc>
          <w:tcPr>
            <w:shd w:val="clear" w:color="auto" w:fill="auto"/>
            <w:tcW w:w="8586"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供应商提供</w:t>
            </w:r>
            <w:r>
              <w:rPr>
                <w:rFonts w:hint="eastAsia" w:ascii="宋体" w:hAnsi="宋体" w:eastAsia="宋体" w:cs="宋体"/>
                <w:sz w:val="24"/>
                <w:highlight w:val="none"/>
                <w:lang w:eastAsia="zh-CN"/>
              </w:rPr>
              <w:t xml:space="preserve">自</w:t>
            </w:r>
            <w:r>
              <w:rPr>
                <w:rFonts w:hint="eastAsia" w:ascii="宋体" w:hAnsi="宋体" w:eastAsia="宋体" w:cs="宋体"/>
                <w:sz w:val="24"/>
                <w:highlight w:val="none"/>
                <w:lang w:val="en-US" w:eastAsia="zh-CN"/>
              </w:rPr>
              <w:t xml:space="preserve">2023</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09</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1日以来</w:t>
            </w:r>
            <w:r>
              <w:rPr>
                <w:rFonts w:hint="eastAsia" w:ascii="宋体" w:hAnsi="宋体" w:eastAsia="宋体" w:cs="宋体"/>
                <w:sz w:val="24"/>
                <w:highlight w:val="none"/>
                <w:lang w:eastAsia="zh-CN"/>
              </w:rPr>
              <w:t xml:space="preserve">类似</w:t>
            </w:r>
            <w:r>
              <w:rPr>
                <w:rFonts w:hint="eastAsia" w:ascii="宋体" w:hAnsi="宋体" w:eastAsia="宋体" w:cs="宋体"/>
                <w:sz w:val="24"/>
                <w:highlight w:val="none"/>
              </w:rPr>
              <w:t xml:space="preserve">业绩证明</w:t>
            </w:r>
            <w:r>
              <w:rPr>
                <w:rFonts w:hint="eastAsia" w:ascii="宋体" w:hAnsi="宋体" w:eastAsia="宋体" w:cs="宋体"/>
                <w:sz w:val="24"/>
                <w:highlight w:val="none"/>
                <w:lang w:eastAsia="zh-CN"/>
              </w:rPr>
              <w:t xml:space="preserve">（以合同签订时间为准）的</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分，最高得</w:t>
            </w:r>
            <w:r>
              <w:rPr>
                <w:rFonts w:hint="eastAsia" w:ascii="宋体" w:hAnsi="宋体" w:cs="宋体"/>
                <w:sz w:val="24"/>
                <w:highlight w:val="none"/>
                <w:lang w:val="en-US" w:eastAsia="zh-CN"/>
              </w:rPr>
              <w:t xml:space="preserve">20</w:t>
            </w:r>
            <w:r>
              <w:rPr>
                <w:rFonts w:hint="eastAsia" w:ascii="宋体" w:hAnsi="宋体" w:eastAsia="宋体" w:cs="宋体"/>
                <w:sz w:val="24"/>
                <w:highlight w:val="none"/>
              </w:rPr>
              <w:t xml:space="preserve">分。</w:t>
            </w:r>
            <w:r/>
          </w:p>
        </w:tc>
        <w:tc>
          <w:tcPr>
            <w:tcW w:w="2625" w:type="dxa"/>
            <w:vAlign w:val="center"/>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提供合同扫描件上传，否则不得分。</w:t>
            </w:r>
            <w:r/>
          </w:p>
        </w:tc>
      </w:tr>
      <w:tr>
        <w:trPr>
          <w:cantSplit/>
          <w:trHeight w:val="475"/>
        </w:trPr>
        <w:tc>
          <w:tcPr>
            <w:gridSpan w:val="2"/>
            <w:tcW w:w="1992"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800"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c>
          <w:tcPr>
            <w:gridSpan w:val="2"/>
            <w:tcW w:w="1121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center"/>
        <w:spacing w:line="360" w:lineRule="auto"/>
        <w:rPr>
          <w:b/>
          <w:color w:val="auto"/>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color w:val="auto"/>
          <w:sz w:val="36"/>
          <w:szCs w:val="36"/>
          <w:highlight w:val="none"/>
        </w:rPr>
      </w:r>
      <w:r/>
    </w:p>
    <w:p>
      <w:pPr>
        <w:jc w:val="center"/>
        <w:spacing w:line="360" w:lineRule="auto"/>
        <w:rPr>
          <w:rFonts w:hint="eastAsia" w:ascii="宋体" w:hAnsi="宋体" w:eastAsia="宋体" w:cs="宋体"/>
          <w:b/>
          <w:sz w:val="36"/>
          <w:szCs w:val="36"/>
        </w:rPr>
        <w:outlineLvl w:val="0"/>
      </w:pPr>
      <w:r/>
      <w:bookmarkStart w:id="814" w:name="_Toc28873"/>
      <w:r/>
      <w:bookmarkStart w:id="815" w:name="_Toc99301425"/>
      <w:r>
        <w:rPr>
          <w:rFonts w:hint="eastAsia" w:ascii="宋体" w:hAnsi="宋体" w:eastAsia="宋体" w:cs="宋体"/>
          <w:b/>
          <w:sz w:val="36"/>
          <w:szCs w:val="36"/>
        </w:rPr>
        <w:t xml:space="preserve">第五章   采购需求</w:t>
      </w:r>
      <w:bookmarkEnd w:id="814"/>
      <w:r/>
      <w:r/>
    </w:p>
    <w:p>
      <w:pPr>
        <w:pStyle w:val="917"/>
        <w:numPr>
          <w:ilvl w:val="0"/>
          <w:numId w:val="7"/>
        </w:numPr>
        <w:contextualSpacing/>
        <w:jc w:val="both"/>
        <w:spacing w:line="360" w:lineRule="auto"/>
        <w:rPr>
          <w:rFonts w:ascii="Times New Roman" w:hAnsi="Times New Roman"/>
          <w:b/>
          <w:sz w:val="24"/>
          <w:szCs w:val="24"/>
        </w:rPr>
      </w:pPr>
      <w:r>
        <w:rPr>
          <w:rFonts w:ascii="Times New Roman" w:hAnsi="Times New Roman"/>
          <w:b/>
          <w:sz w:val="24"/>
          <w:szCs w:val="24"/>
        </w:rPr>
        <w:t xml:space="preserve">采购标的</w:t>
      </w:r>
      <w:r/>
    </w:p>
    <w:p>
      <w:pPr>
        <w:pStyle w:val="917"/>
        <w:numPr>
          <w:ilvl w:val="0"/>
          <w:numId w:val="0"/>
        </w:numPr>
        <w:contextualSpacing/>
        <w:ind w:firstLine="482"/>
        <w:jc w:val="both"/>
        <w:spacing w:line="360" w:lineRule="auto"/>
        <w:rPr>
          <w:rFonts w:hint="eastAsia" w:ascii="Times New Roman" w:hAnsi="Times New Roman" w:eastAsia="宋体"/>
          <w:b/>
          <w:sz w:val="24"/>
          <w:szCs w:val="24"/>
          <w:lang w:eastAsia="zh-CN"/>
        </w:rPr>
      </w:pPr>
      <w:r>
        <w:rPr>
          <w:rFonts w:hint="eastAsia"/>
          <w:b/>
          <w:sz w:val="24"/>
          <w:szCs w:val="24"/>
          <w:lang w:val="en-US" w:eastAsia="zh-CN"/>
        </w:rPr>
        <w:t xml:space="preserve">1、</w:t>
      </w:r>
      <w:r>
        <w:rPr>
          <w:rFonts w:hint="eastAsia"/>
          <w:b/>
          <w:sz w:val="24"/>
          <w:szCs w:val="24"/>
          <w:lang w:eastAsia="zh-CN"/>
        </w:rPr>
        <w:t xml:space="preserve">采购清单</w:t>
      </w:r>
      <w:r/>
    </w:p>
    <w:tbl>
      <w:tblPr>
        <w:tblStyle w:val="899"/>
        <w:tblW w:w="95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5"/>
        <w:gridCol w:w="1013"/>
        <w:gridCol w:w="1800"/>
        <w:gridCol w:w="609"/>
        <w:gridCol w:w="2769"/>
        <w:gridCol w:w="2731"/>
      </w:tblGrid>
      <w:tr>
        <w:trPr>
          <w:jc w:val="center"/>
          <w:trHeight w:val="297"/>
        </w:trPr>
        <w:tc>
          <w:tcPr>
            <w:tcW w:w="625"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包号</w:t>
            </w:r>
            <w:r/>
          </w:p>
        </w:tc>
        <w:tc>
          <w:tcPr>
            <w:tcW w:w="1013"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标的名称</w:t>
            </w:r>
            <w:r/>
          </w:p>
        </w:tc>
        <w:tc>
          <w:tcPr>
            <w:tcW w:w="1800"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采购包预算金额（万元）</w:t>
            </w:r>
            <w:r/>
          </w:p>
        </w:tc>
        <w:tc>
          <w:tcPr>
            <w:tcW w:w="609" w:type="dxa"/>
            <w:vAlign w:val="top"/>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数量</w:t>
            </w:r>
            <w:r/>
          </w:p>
        </w:tc>
        <w:tc>
          <w:tcPr>
            <w:tcW w:w="2769" w:type="dxa"/>
            <w:vAlign w:val="top"/>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养护面积（㎡）</w:t>
            </w:r>
            <w:r/>
          </w:p>
        </w:tc>
        <w:tc>
          <w:tcPr>
            <w:tcW w:w="2731"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简要技术需求或服务要求</w:t>
            </w:r>
            <w:r/>
          </w:p>
        </w:tc>
      </w:tr>
      <w:tr>
        <w:trPr>
          <w:jc w:val="center"/>
          <w:trHeight w:val="297"/>
        </w:trPr>
        <w:tc>
          <w:tcPr>
            <w:tcW w:w="62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01</w:t>
            </w:r>
            <w:r/>
          </w:p>
        </w:tc>
        <w:tc>
          <w:tcPr>
            <w:tcW w:w="1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上兴集镇标段</w:t>
            </w:r>
            <w:r/>
          </w:p>
        </w:tc>
        <w:tc>
          <w:tcPr>
            <w:tcW w:w="1800" w:type="dxa"/>
            <w:vAlign w:val="center"/>
            <w:textDirection w:val="lrTb"/>
            <w:noWrap w:val="false"/>
          </w:tcPr>
          <w:p>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167.718万/年</w:t>
            </w:r>
            <w:r/>
          </w:p>
        </w:tc>
        <w:tc>
          <w:tcPr>
            <w:tcW w:w="609" w:type="dxa"/>
            <w:vAlign w:val="center"/>
            <w:textDirection w:val="lrTb"/>
            <w:noWrap w:val="false"/>
          </w:tcPr>
          <w:p>
            <w:pPr>
              <w:contextualSpacing/>
              <w:jc w:val="center"/>
              <w:rPr>
                <w:rFonts w:hint="eastAsia" w:ascii="宋体" w:hAnsi="宋体" w:eastAsia="宋体" w:cs="宋体"/>
                <w:color w:val="auto"/>
                <w:sz w:val="24"/>
                <w:szCs w:val="24"/>
                <w:highlight w:val="none"/>
              </w:rPr>
            </w:pPr>
            <w:r>
              <w:rPr>
                <w:rFonts w:hint="eastAsia" w:ascii="宋体" w:hAnsi="宋体" w:cs="宋体"/>
                <w:color w:val="auto"/>
                <w:sz w:val="24"/>
                <w:lang w:val="en-US" w:eastAsia="zh-CN"/>
              </w:rPr>
              <w:t xml:space="preserve">1</w:t>
            </w:r>
            <w:r/>
          </w:p>
        </w:tc>
        <w:tc>
          <w:tcPr>
            <w:tcW w:w="2769" w:type="dxa"/>
            <w:vAlign w:val="center"/>
            <w:textDirection w:val="lrTb"/>
            <w:noWrap w:val="false"/>
          </w:tcPr>
          <w:p>
            <w:pPr>
              <w:contextualSpacing/>
              <w:jc w:val="both"/>
              <w:rPr>
                <w:rFonts w:hint="eastAsia" w:ascii="宋体" w:hAnsi="宋体" w:eastAsia="宋体" w:cs="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一级养护区域面积约159700㎡，二级养护区域面积约171050㎡，三级养护区域面积约43000㎡。</w:t>
            </w:r>
            <w:r/>
          </w:p>
        </w:tc>
        <w:tc>
          <w:tcPr>
            <w:tcW w:w="2731" w:type="dxa"/>
            <w:vAlign w:val="center"/>
            <w:textDirection w:val="lrTb"/>
            <w:noWrap w:val="false"/>
          </w:tcPr>
          <w:p>
            <w:pPr>
              <w:contextualSpacing/>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绿化养护，根据区域和养护标准，按要求进行作业，接受甲方和条线部门的考核。</w:t>
            </w:r>
            <w:r/>
          </w:p>
        </w:tc>
      </w:tr>
      <w:tr>
        <w:trPr>
          <w:jc w:val="center"/>
          <w:trHeight w:val="936"/>
        </w:trPr>
        <w:tc>
          <w:tcPr>
            <w:tcW w:w="625"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02</w:t>
            </w:r>
            <w:r/>
          </w:p>
        </w:tc>
        <w:tc>
          <w:tcPr>
            <w:shd w:val="clear" w:color="auto" w:fill="auto"/>
            <w:tcW w:w="1013" w:type="dxa"/>
            <w:vAlign w:val="center"/>
            <w:textDirection w:val="lrTb"/>
            <w:noWrap w:val="false"/>
          </w:tcPr>
          <w:p>
            <w:pPr>
              <w:jc w:val="center"/>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rPr>
              <w:t xml:space="preserve">104国道标段</w:t>
            </w:r>
            <w:r/>
          </w:p>
        </w:tc>
        <w:tc>
          <w:tcPr>
            <w:shd w:val="clear" w:color="auto" w:fill="auto"/>
            <w:tcW w:w="1800" w:type="dxa"/>
            <w:vAlign w:val="center"/>
            <w:textDirection w:val="lrTb"/>
            <w:noWrap w:val="false"/>
          </w:tcPr>
          <w:p>
            <w:pPr>
              <w:contextualSpacing/>
              <w:jc w:val="center"/>
              <w:rPr>
                <w:rFonts w:hint="default" w:ascii="宋体" w:hAnsi="宋体" w:eastAsia="宋体" w:cs="宋体"/>
                <w:color w:val="auto"/>
                <w:sz w:val="24"/>
                <w:szCs w:val="24"/>
                <w:lang w:val="en-US" w:eastAsia="zh-CN" w:bidi="ar-SA"/>
              </w:rPr>
            </w:pPr>
            <w:r>
              <w:rPr>
                <w:rFonts w:hint="eastAsia" w:ascii="宋体" w:hAnsi="宋体" w:cs="宋体"/>
                <w:color w:val="auto"/>
                <w:sz w:val="24"/>
                <w:lang w:val="en-US" w:eastAsia="zh-CN"/>
              </w:rPr>
              <w:t xml:space="preserve">158.014万/年</w:t>
            </w:r>
            <w:r/>
          </w:p>
        </w:tc>
        <w:tc>
          <w:tcPr>
            <w:shd w:val="clear" w:color="auto" w:fill="auto"/>
            <w:tcW w:w="609" w:type="dxa"/>
            <w:vAlign w:val="center"/>
            <w:textDirection w:val="lrTb"/>
            <w:noWrap w:val="false"/>
          </w:tcPr>
          <w:p>
            <w:pPr>
              <w:contextualSpacing/>
              <w:jc w:val="center"/>
              <w:rPr>
                <w:rFonts w:hint="eastAsia" w:ascii="宋体" w:hAnsi="宋体" w:eastAsia="宋体" w:cs="宋体"/>
                <w:color w:val="auto"/>
                <w:sz w:val="24"/>
                <w:szCs w:val="24"/>
                <w:lang w:val="en-US" w:eastAsia="zh-CN" w:bidi="ar-SA"/>
              </w:rPr>
            </w:pPr>
            <w:r>
              <w:rPr>
                <w:rFonts w:hint="eastAsia" w:ascii="宋体" w:hAnsi="宋体" w:cs="宋体"/>
                <w:color w:val="auto"/>
                <w:sz w:val="24"/>
                <w:lang w:val="en-US" w:eastAsia="zh-CN"/>
              </w:rPr>
              <w:t xml:space="preserve">1</w:t>
            </w:r>
            <w:r/>
          </w:p>
        </w:tc>
        <w:tc>
          <w:tcPr>
            <w:shd w:val="clear" w:color="auto" w:fill="auto"/>
            <w:tcW w:w="2769"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b w:val="0"/>
                <w:bCs/>
                <w:sz w:val="24"/>
                <w:szCs w:val="24"/>
                <w:highlight w:val="none"/>
                <w:lang w:val="en-US" w:eastAsia="zh-CN"/>
              </w:rPr>
              <w:t xml:space="preserve">二级养护区域面积约176080㎡，三级养护区域面积约129000㎡。</w:t>
            </w:r>
            <w:r/>
          </w:p>
        </w:tc>
        <w:tc>
          <w:tcPr>
            <w:shd w:val="clear" w:color="auto" w:fill="auto"/>
            <w:tcW w:w="2731" w:type="dxa"/>
            <w:vAlign w:val="center"/>
            <w:textDirection w:val="lrTb"/>
            <w:noWrap w:val="false"/>
          </w:tcPr>
          <w:p>
            <w:pPr>
              <w:contextualSpacing/>
              <w:jc w:val="both"/>
              <w:rPr>
                <w:rFonts w:hint="default"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highlight w:val="none"/>
                <w:lang w:val="en-US" w:eastAsia="zh-CN"/>
              </w:rPr>
              <w:t xml:space="preserve">绿化养护，根据区域和养护标准，按要求进行作业，接受甲方和条线部门的考核。</w:t>
            </w:r>
            <w:r/>
          </w:p>
        </w:tc>
      </w:tr>
      <w:tr>
        <w:trPr>
          <w:jc w:val="center"/>
          <w:trHeight w:val="297"/>
        </w:trPr>
        <w:tc>
          <w:tcPr>
            <w:tcW w:w="625"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03</w:t>
            </w:r>
            <w:r/>
          </w:p>
        </w:tc>
        <w:tc>
          <w:tcPr>
            <w:tcW w:w="1013" w:type="dxa"/>
            <w:vAlign w:val="center"/>
            <w:textDirection w:val="lrTb"/>
            <w:noWrap w:val="false"/>
          </w:tcPr>
          <w:p>
            <w:pPr>
              <w:jc w:val="center"/>
              <w:rPr>
                <w:rFonts w:hint="eastAsia"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工业园区标段</w:t>
            </w:r>
            <w:r/>
          </w:p>
        </w:tc>
        <w:tc>
          <w:tcPr>
            <w:tcW w:w="1800" w:type="dxa"/>
            <w:vAlign w:val="center"/>
            <w:textDirection w:val="lrTb"/>
            <w:noWrap w:val="false"/>
          </w:tcPr>
          <w:p>
            <w:pPr>
              <w:contextualSpacing/>
              <w:jc w:val="center"/>
              <w:rPr>
                <w:rFonts w:hint="default" w:ascii="宋体" w:hAnsi="宋体" w:cs="宋体"/>
                <w:color w:val="auto"/>
                <w:sz w:val="24"/>
                <w:lang w:val="en-US" w:eastAsia="zh-CN"/>
              </w:rPr>
            </w:pPr>
            <w:r>
              <w:rPr>
                <w:rFonts w:hint="eastAsia" w:ascii="宋体" w:hAnsi="宋体" w:cs="宋体"/>
                <w:color w:val="auto"/>
                <w:sz w:val="24"/>
                <w:lang w:val="en-US" w:eastAsia="zh-CN"/>
              </w:rPr>
              <w:t xml:space="preserve">112.6万/年</w:t>
            </w:r>
            <w:r/>
          </w:p>
        </w:tc>
        <w:tc>
          <w:tcPr>
            <w:tcW w:w="609" w:type="dxa"/>
            <w:vAlign w:val="center"/>
            <w:textDirection w:val="lrTb"/>
            <w:noWrap w:val="false"/>
          </w:tcPr>
          <w:p>
            <w:pPr>
              <w:contextualSpacing/>
              <w:jc w:val="center"/>
              <w:rPr>
                <w:rFonts w:hint="eastAsia" w:ascii="宋体" w:hAnsi="宋体" w:cs="宋体"/>
                <w:color w:val="auto"/>
                <w:sz w:val="24"/>
                <w:lang w:val="en-US" w:eastAsia="zh-CN"/>
              </w:rPr>
            </w:pPr>
            <w:r>
              <w:rPr>
                <w:rFonts w:hint="eastAsia" w:ascii="宋体" w:hAnsi="宋体" w:cs="宋体"/>
                <w:color w:val="auto"/>
                <w:sz w:val="24"/>
                <w:lang w:val="en-US" w:eastAsia="zh-CN"/>
              </w:rPr>
              <w:t xml:space="preserve">1</w:t>
            </w:r>
            <w:r/>
          </w:p>
        </w:tc>
        <w:tc>
          <w:tcPr>
            <w:tcW w:w="276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b w:val="0"/>
                <w:bCs/>
                <w:sz w:val="24"/>
                <w:szCs w:val="24"/>
                <w:highlight w:val="none"/>
                <w:lang w:val="en-US" w:eastAsia="zh-CN"/>
              </w:rPr>
              <w:t xml:space="preserve">二级养护区域面积约308650㎡，三级养护区域面积约6200㎡。</w:t>
            </w:r>
            <w:r/>
          </w:p>
        </w:tc>
        <w:tc>
          <w:tcPr>
            <w:tcW w:w="2731" w:type="dxa"/>
            <w:vAlign w:val="center"/>
            <w:textDirection w:val="lrTb"/>
            <w:noWrap w:val="false"/>
          </w:tcPr>
          <w:p>
            <w:pPr>
              <w:contextualSpacing/>
              <w:jc w:val="both"/>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highlight w:val="none"/>
                <w:lang w:val="en-US" w:eastAsia="zh-CN"/>
              </w:rPr>
              <w:t xml:space="preserve">绿化养护，根据区域和养护标准，按要求进行作业，接受甲方和条线部门的考核。</w:t>
            </w:r>
            <w:r/>
          </w:p>
        </w:tc>
      </w:tr>
      <w:tr>
        <w:trPr>
          <w:jc w:val="center"/>
          <w:trHeight w:val="297"/>
        </w:trPr>
        <w:tc>
          <w:tcPr>
            <w:tcW w:w="625"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04</w:t>
            </w:r>
            <w:r/>
          </w:p>
        </w:tc>
        <w:tc>
          <w:tcPr>
            <w:shd w:val="clear" w:color="auto" w:fill="auto"/>
            <w:tcW w:w="1013" w:type="dxa"/>
            <w:vAlign w:val="center"/>
            <w:textDirection w:val="lrTb"/>
            <w:noWrap w:val="false"/>
          </w:tcPr>
          <w:p>
            <w:pPr>
              <w:jc w:val="center"/>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rPr>
              <w:t xml:space="preserve">上沛及曹山标段</w:t>
            </w:r>
            <w:r/>
          </w:p>
        </w:tc>
        <w:tc>
          <w:tcPr>
            <w:shd w:val="clear" w:color="auto" w:fill="auto"/>
            <w:tcW w:w="1800" w:type="dxa"/>
            <w:vAlign w:val="center"/>
            <w:textDirection w:val="lrTb"/>
            <w:noWrap w:val="false"/>
          </w:tcPr>
          <w:p>
            <w:pPr>
              <w:contextualSpacing/>
              <w:jc w:val="center"/>
              <w:rPr>
                <w:rFonts w:hint="default" w:ascii="宋体" w:hAnsi="宋体" w:eastAsia="宋体" w:cs="宋体"/>
                <w:color w:val="auto"/>
                <w:sz w:val="24"/>
                <w:szCs w:val="24"/>
                <w:lang w:val="en-US" w:eastAsia="zh-CN" w:bidi="ar-SA"/>
              </w:rPr>
            </w:pPr>
            <w:r>
              <w:rPr>
                <w:rFonts w:hint="eastAsia" w:ascii="宋体" w:hAnsi="宋体" w:cs="宋体"/>
                <w:color w:val="auto"/>
                <w:sz w:val="24"/>
                <w:lang w:val="en-US" w:eastAsia="zh-CN"/>
              </w:rPr>
              <w:t xml:space="preserve">88.668万/年</w:t>
            </w:r>
            <w:r/>
          </w:p>
        </w:tc>
        <w:tc>
          <w:tcPr>
            <w:shd w:val="clear" w:color="auto" w:fill="auto"/>
            <w:tcW w:w="609" w:type="dxa"/>
            <w:vAlign w:val="center"/>
            <w:textDirection w:val="lrTb"/>
            <w:noWrap w:val="false"/>
          </w:tcPr>
          <w:p>
            <w:pPr>
              <w:contextualSpacing/>
              <w:jc w:val="center"/>
              <w:rPr>
                <w:rFonts w:hint="eastAsia" w:ascii="宋体" w:hAnsi="宋体" w:eastAsia="宋体" w:cs="宋体"/>
                <w:color w:val="auto"/>
                <w:sz w:val="24"/>
                <w:szCs w:val="24"/>
                <w:lang w:val="en-US" w:eastAsia="zh-CN" w:bidi="ar-SA"/>
              </w:rPr>
            </w:pPr>
            <w:r>
              <w:rPr>
                <w:rFonts w:hint="eastAsia" w:ascii="宋体" w:hAnsi="宋体" w:cs="宋体"/>
                <w:color w:val="auto"/>
                <w:sz w:val="24"/>
                <w:lang w:val="en-US" w:eastAsia="zh-CN"/>
              </w:rPr>
              <w:t xml:space="preserve">1</w:t>
            </w:r>
            <w:r/>
          </w:p>
        </w:tc>
        <w:tc>
          <w:tcPr>
            <w:shd w:val="clear" w:color="auto" w:fill="auto"/>
            <w:tcW w:w="2769"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b w:val="0"/>
                <w:bCs/>
                <w:sz w:val="24"/>
                <w:szCs w:val="24"/>
                <w:highlight w:val="none"/>
                <w:lang w:val="en-US" w:eastAsia="zh-CN"/>
              </w:rPr>
              <w:t xml:space="preserve">一级养护区域面积约77800㎡，二级养护区域面积约103300㎡，三级养护区域面积约20000㎡。</w:t>
            </w:r>
            <w:r/>
          </w:p>
        </w:tc>
        <w:tc>
          <w:tcPr>
            <w:shd w:val="clear" w:color="auto" w:fill="auto"/>
            <w:tcW w:w="2731" w:type="dxa"/>
            <w:vAlign w:val="center"/>
            <w:textDirection w:val="lrTb"/>
            <w:noWrap w:val="false"/>
          </w:tcPr>
          <w:p>
            <w:pPr>
              <w:contextualSpacing/>
              <w:jc w:val="both"/>
              <w:rPr>
                <w:rFonts w:hint="default"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highlight w:val="none"/>
                <w:lang w:val="en-US" w:eastAsia="zh-CN"/>
              </w:rPr>
              <w:t xml:space="preserve">绿化养护，根据区域和养护标准，按要求进行作业，接受甲方和条线部门的考核。</w:t>
            </w:r>
            <w:r/>
          </w:p>
        </w:tc>
      </w:tr>
    </w:tbl>
    <w:p>
      <w:pPr>
        <w:pStyle w:val="917"/>
        <w:numPr>
          <w:ilvl w:val="0"/>
          <w:numId w:val="0"/>
        </w:numPr>
        <w:contextualSpacing/>
        <w:jc w:val="both"/>
        <w:spacing w:line="360" w:lineRule="auto"/>
        <w:rPr>
          <w:rFonts w:hint="default" w:ascii="Times New Roman" w:hAnsi="Times New Roman"/>
          <w:b/>
          <w:sz w:val="24"/>
          <w:szCs w:val="24"/>
          <w:lang w:val="en-US" w:eastAsia="zh-CN"/>
        </w:rPr>
      </w:pPr>
      <w:r>
        <w:rPr>
          <w:rFonts w:hint="eastAsia" w:ascii="Times New Roman" w:hAnsi="Times New Roman"/>
          <w:b/>
          <w:sz w:val="24"/>
          <w:szCs w:val="24"/>
          <w:lang w:val="en-US" w:eastAsia="zh-CN"/>
        </w:rPr>
        <w:t xml:space="preserve">2.服务范围：（具体面积详见后附清单）</w:t>
      </w:r>
      <w:r/>
    </w:p>
    <w:p>
      <w:pPr>
        <w:jc w:val="both"/>
        <w:spacing w:line="360" w:lineRule="auto"/>
        <w:rPr>
          <w:rFonts w:hint="eastAsia" w:ascii="宋体" w:hAnsi="宋体" w:eastAsia="宋体" w:cs="宋体"/>
          <w:color w:val="auto"/>
          <w:sz w:val="24"/>
          <w:szCs w:val="24"/>
          <w:highlight w:val="none"/>
          <w:lang w:val="en-US" w:eastAsia="zh-CN"/>
        </w:rPr>
        <w:outlineLvl w:val="0"/>
      </w:pPr>
      <w:r>
        <w:rPr>
          <w:rFonts w:hint="eastAsia"/>
          <w:b w:val="0"/>
          <w:bCs/>
          <w:sz w:val="24"/>
          <w:szCs w:val="24"/>
          <w:lang w:val="en-US" w:eastAsia="zh-CN"/>
        </w:rPr>
        <w:t xml:space="preserve">01包</w:t>
      </w:r>
      <w:r>
        <w:rPr>
          <w:rFonts w:hint="eastAsia"/>
          <w:b w:val="0"/>
          <w:bCs/>
          <w:sz w:val="24"/>
          <w:szCs w:val="24"/>
          <w:lang w:eastAsia="zh-CN"/>
        </w:rPr>
        <w:t xml:space="preserve">：</w:t>
      </w:r>
      <w:r>
        <w:rPr>
          <w:rFonts w:hint="eastAsia" w:ascii="宋体" w:hAnsi="宋体" w:eastAsia="宋体" w:cs="宋体"/>
          <w:color w:val="auto"/>
          <w:sz w:val="24"/>
          <w:szCs w:val="24"/>
          <w:highlight w:val="none"/>
          <w:lang w:val="en-US" w:eastAsia="zh-CN"/>
        </w:rPr>
        <w:t xml:space="preserve">上兴集镇标段绿化养护总面积约373750㎡；</w:t>
      </w:r>
      <w:r/>
    </w:p>
    <w:p>
      <w:pPr>
        <w:jc w:val="both"/>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02包：</w:t>
      </w:r>
      <w:r>
        <w:rPr>
          <w:rFonts w:hint="eastAsia" w:ascii="宋体" w:hAnsi="宋体" w:cs="宋体"/>
          <w:color w:val="auto"/>
          <w:sz w:val="24"/>
          <w:szCs w:val="24"/>
          <w:vertAlign w:val="baseline"/>
          <w:lang w:val="en-US" w:eastAsia="zh-CN"/>
        </w:rPr>
        <w:t xml:space="preserve">104国道标段</w:t>
      </w:r>
      <w:r>
        <w:rPr>
          <w:rFonts w:hint="eastAsia" w:ascii="宋体" w:hAnsi="宋体" w:eastAsia="宋体" w:cs="宋体"/>
          <w:color w:val="auto"/>
          <w:sz w:val="24"/>
          <w:szCs w:val="24"/>
          <w:highlight w:val="none"/>
          <w:lang w:val="en-US" w:eastAsia="zh-CN"/>
        </w:rPr>
        <w:t xml:space="preserve">绿化养护总面积约305080㎡；</w:t>
      </w:r>
      <w:r/>
    </w:p>
    <w:p>
      <w:pPr>
        <w:jc w:val="both"/>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03包：</w:t>
      </w:r>
      <w:r>
        <w:rPr>
          <w:rFonts w:hint="eastAsia" w:ascii="宋体" w:hAnsi="宋体" w:cs="宋体"/>
          <w:color w:val="auto"/>
          <w:sz w:val="24"/>
          <w:szCs w:val="24"/>
          <w:vertAlign w:val="baseline"/>
          <w:lang w:val="en-US" w:eastAsia="zh-CN"/>
        </w:rPr>
        <w:t xml:space="preserve">工业园区标段</w:t>
      </w:r>
      <w:r>
        <w:rPr>
          <w:rFonts w:hint="eastAsia" w:ascii="宋体" w:hAnsi="宋体" w:eastAsia="宋体" w:cs="宋体"/>
          <w:color w:val="auto"/>
          <w:sz w:val="24"/>
          <w:szCs w:val="24"/>
          <w:highlight w:val="none"/>
          <w:lang w:val="en-US" w:eastAsia="zh-CN"/>
        </w:rPr>
        <w:t xml:space="preserve">绿化养护总面积约</w:t>
      </w:r>
      <w:r>
        <w:rPr>
          <w:rFonts w:hint="eastAsia" w:ascii="宋体" w:hAnsi="宋体" w:cs="宋体"/>
          <w:color w:val="auto"/>
          <w:sz w:val="24"/>
          <w:szCs w:val="24"/>
          <w:highlight w:val="none"/>
          <w:lang w:val="en-US" w:eastAsia="zh-CN"/>
        </w:rPr>
        <w:t xml:space="preserve">314850</w:t>
      </w:r>
      <w:r>
        <w:rPr>
          <w:rFonts w:hint="eastAsia" w:ascii="宋体" w:hAnsi="宋体" w:eastAsia="宋体" w:cs="宋体"/>
          <w:color w:val="auto"/>
          <w:sz w:val="24"/>
          <w:szCs w:val="24"/>
          <w:highlight w:val="none"/>
          <w:lang w:val="en-US" w:eastAsia="zh-CN"/>
        </w:rPr>
        <w:t xml:space="preserve">㎡；</w:t>
      </w:r>
      <w:r/>
    </w:p>
    <w:p>
      <w:pPr>
        <w:jc w:val="both"/>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04包：</w:t>
      </w:r>
      <w:r>
        <w:rPr>
          <w:rFonts w:hint="eastAsia" w:ascii="宋体" w:hAnsi="宋体" w:cs="宋体"/>
          <w:color w:val="auto"/>
          <w:sz w:val="24"/>
          <w:szCs w:val="24"/>
          <w:vertAlign w:val="baseline"/>
          <w:lang w:val="en-US" w:eastAsia="zh-CN"/>
        </w:rPr>
        <w:t xml:space="preserve">上沛及曹山标段</w:t>
      </w:r>
      <w:r>
        <w:rPr>
          <w:rFonts w:hint="eastAsia" w:ascii="宋体" w:hAnsi="宋体" w:eastAsia="宋体" w:cs="宋体"/>
          <w:color w:val="auto"/>
          <w:sz w:val="24"/>
          <w:szCs w:val="24"/>
          <w:highlight w:val="none"/>
          <w:lang w:val="en-US" w:eastAsia="zh-CN"/>
        </w:rPr>
        <w:t xml:space="preserve">绿化养护总面积约201100㎡。</w:t>
      </w:r>
      <w:r/>
    </w:p>
    <w:p>
      <w:pPr>
        <w:jc w:val="both"/>
        <w:spacing w:line="360" w:lineRule="auto"/>
        <w:rPr>
          <w:rFonts w:hint="default" w:ascii="宋体" w:hAnsi="宋体" w:eastAsia="宋体" w:cs="宋体"/>
          <w:b/>
          <w:bCs/>
          <w:color w:val="auto"/>
          <w:sz w:val="24"/>
          <w:szCs w:val="24"/>
          <w:highlight w:val="none"/>
          <w:lang w:val="en-US" w:eastAsia="zh-CN"/>
        </w:rPr>
        <w:outlineLvl w:val="0"/>
      </w:pPr>
      <w:r>
        <w:rPr>
          <w:rFonts w:hint="default" w:ascii="宋体" w:hAnsi="宋体" w:eastAsia="宋体" w:cs="宋体"/>
          <w:b/>
          <w:bCs/>
          <w:color w:val="auto"/>
          <w:sz w:val="24"/>
          <w:szCs w:val="24"/>
          <w:highlight w:val="none"/>
          <w:lang w:val="en-US" w:eastAsia="zh-CN"/>
        </w:rPr>
        <w:t xml:space="preserve">注：最终</w:t>
      </w:r>
      <w:r>
        <w:rPr>
          <w:rFonts w:hint="eastAsia" w:ascii="宋体" w:hAnsi="宋体" w:eastAsia="宋体" w:cs="宋体"/>
          <w:b/>
          <w:bCs/>
          <w:color w:val="auto"/>
          <w:sz w:val="24"/>
          <w:szCs w:val="24"/>
          <w:highlight w:val="none"/>
          <w:lang w:val="en-US" w:eastAsia="zh-CN"/>
        </w:rPr>
        <w:t xml:space="preserve">养护</w:t>
      </w:r>
      <w:r>
        <w:rPr>
          <w:rFonts w:hint="default" w:ascii="宋体" w:hAnsi="宋体" w:eastAsia="宋体" w:cs="宋体"/>
          <w:b/>
          <w:bCs/>
          <w:color w:val="auto"/>
          <w:sz w:val="24"/>
          <w:szCs w:val="24"/>
          <w:highlight w:val="none"/>
          <w:lang w:val="en-US" w:eastAsia="zh-CN"/>
        </w:rPr>
        <w:t xml:space="preserve">面积以溧阳市上兴镇人民政府移交单面积为准。</w:t>
      </w:r>
      <w:r/>
    </w:p>
    <w:p>
      <w:pPr>
        <w:jc w:val="both"/>
        <w:spacing w:line="360" w:lineRule="auto"/>
        <w:rPr>
          <w:rFonts w:hint="default" w:ascii="宋体" w:hAnsi="宋体" w:eastAsia="宋体" w:cs="宋体"/>
          <w:b w:val="0"/>
          <w:bCs w:val="0"/>
          <w:color w:val="auto"/>
          <w:sz w:val="24"/>
          <w:szCs w:val="24"/>
          <w:highlight w:val="none"/>
          <w:lang w:val="en-US" w:eastAsia="zh-CN"/>
        </w:rPr>
        <w:outlineLvl w:val="0"/>
      </w:pPr>
      <w:r>
        <w:rPr>
          <w:rFonts w:hint="default" w:ascii="宋体" w:hAnsi="宋体" w:eastAsia="宋体" w:cs="宋体"/>
          <w:b/>
          <w:bCs/>
          <w:color w:val="auto"/>
          <w:sz w:val="24"/>
          <w:szCs w:val="24"/>
          <w:highlight w:val="none"/>
          <w:lang w:val="en-US" w:eastAsia="zh-CN"/>
        </w:rPr>
        <w:t xml:space="preserve">3.服务内容包括但不限于</w:t>
      </w:r>
      <w:r>
        <w:rPr>
          <w:rFonts w:hint="default" w:ascii="宋体" w:hAnsi="宋体" w:eastAsia="宋体" w:cs="宋体"/>
          <w:b w:val="0"/>
          <w:bCs w:val="0"/>
          <w:color w:val="auto"/>
          <w:sz w:val="24"/>
          <w:szCs w:val="24"/>
          <w:highlight w:val="none"/>
          <w:lang w:val="en-US" w:eastAsia="zh-CN"/>
        </w:rPr>
        <w:t xml:space="preserve">：对树苗的整枝修剪、松土培根、追施肥料、病虫防治、花卉苗木的抗旱排涝、移苗补缺、草籽、草花、化肥等养护用品的采购等。</w:t>
      </w:r>
      <w:r/>
    </w:p>
    <w:p>
      <w:pPr>
        <w:jc w:val="both"/>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二、商务要求</w:t>
      </w:r>
      <w:r/>
    </w:p>
    <w:p>
      <w:pPr>
        <w:jc w:val="both"/>
        <w:spacing w:line="360" w:lineRule="auto"/>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1、合同履行期限：服务期限为两年，合同一年一签，经考核合格后方可续签下一年度合同。</w:t>
      </w:r>
      <w:r/>
    </w:p>
    <w:p>
      <w:pPr>
        <w:jc w:val="both"/>
        <w:spacing w:line="360" w:lineRule="auto"/>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2、付款方式：合同签订后预付当年合同价款的10%作为预付款，第一个季度满后付至当年合同价款（扣除相应考核扣款）的25%，第二个季度满后付至当年合同价款（扣除相应考核扣款）的50%，第三个季度满后付至合当年同价款（扣除相应考核扣款）的75%，第四个季度满后付至当年合同价款（扣除相应考核扣款）的100%。</w:t>
      </w:r>
      <w:r/>
    </w:p>
    <w:p>
      <w:pPr>
        <w:ind w:firstLine="0"/>
        <w:jc w:val="both"/>
        <w:keepLines w:val="0"/>
        <w:keepNext w:val="0"/>
        <w:pageBreakBefore w:val="0"/>
        <w:spacing w:line="360" w:lineRule="auto"/>
        <w:widowControl w:val="off"/>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lang w:val="en-US" w:eastAsia="zh-CN"/>
        </w:rPr>
        <w:t xml:space="preserve">三、</w:t>
      </w:r>
      <w:r>
        <w:rPr>
          <w:rFonts w:ascii="宋体" w:hAnsi="宋体" w:eastAsia="宋体" w:cs="宋体"/>
          <w:b/>
          <w:bCs/>
          <w:spacing w:val="-2"/>
          <w:sz w:val="24"/>
          <w:szCs w:val="24"/>
          <w:highlight w:val="none"/>
        </w:rPr>
        <w:t xml:space="preserve">绿地养护质量标准</w:t>
      </w:r>
      <w:r/>
    </w:p>
    <w:p>
      <w:pPr>
        <w:ind w:firstLine="476"/>
        <w:jc w:val="both"/>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pacing w:val="-1"/>
          <w:sz w:val="24"/>
          <w:szCs w:val="24"/>
          <w:highlight w:val="none"/>
        </w:rPr>
        <w:t xml:space="preserve">严格按照《江苏省城市园林绿化养护管理分级标准》进行养护。</w:t>
      </w:r>
      <w:r/>
    </w:p>
    <w:p>
      <w:pPr>
        <w:ind w:left="3294"/>
        <w:spacing w:before="183" w:line="219"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pacing w:val="-2"/>
          <w:sz w:val="24"/>
          <w:szCs w:val="24"/>
          <w:highlight w:val="none"/>
        </w:rPr>
        <w:t xml:space="preserve">园林绿化养护管理分级标准</w:t>
      </w:r>
      <w:r/>
    </w:p>
    <w:tbl>
      <w:tblPr>
        <w:tblStyle w:val="899"/>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521"/>
        <w:gridCol w:w="2696"/>
        <w:gridCol w:w="2807"/>
        <w:gridCol w:w="2779"/>
      </w:tblGrid>
      <w:tr>
        <w:trPr>
          <w:jc w:val="center"/>
          <w:trHeight w:val="408"/>
        </w:trPr>
        <w:tc>
          <w:tcPr>
            <w:gridSpan w:val="2"/>
            <w:tcW w:w="1131" w:type="dxa"/>
            <w:vAlign w:val="center"/>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管护类别</w:t>
            </w:r>
            <w:r/>
          </w:p>
        </w:tc>
        <w:tc>
          <w:tcPr>
            <w:tcW w:w="2696"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一级管护绿地</w:t>
            </w:r>
            <w:r/>
          </w:p>
        </w:tc>
        <w:tc>
          <w:tcPr>
            <w:tcW w:w="2807"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二级管护绿地</w:t>
            </w:r>
            <w:r/>
          </w:p>
        </w:tc>
        <w:tc>
          <w:tcPr>
            <w:tcW w:w="2779"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三级管护绿地</w:t>
            </w:r>
            <w:r/>
          </w:p>
        </w:tc>
      </w:tr>
      <w:tr>
        <w:trPr>
          <w:jc w:val="center"/>
          <w:trHeight w:val="405"/>
        </w:trPr>
        <w:tc>
          <w:tcPr>
            <w:tcW w:w="610" w:type="dxa"/>
            <w:vAlign w:val="center"/>
            <w:vMerge w:val="restart"/>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一</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园</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林</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植</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物</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护</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一</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园</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林</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植</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物</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护</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乔</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木</w:t>
            </w:r>
            <w:r/>
          </w:p>
        </w:tc>
        <w:tc>
          <w:tcPr>
            <w:tcW w:w="2696"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生长健壮，树冠完整，树形优美。</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分枝点合适，无枯枝死杈；主侧枝分布匀称、数量适宜；修剪及时、合理，内膛不乱，通风透光。树木不歪斜（造型树木除外）。叶片大小、颜色正常，无黄叶、焦叶、卷叶。无缺株、死株。无可视的病虫危害症状，被害株率≤2%，地下害虫≤2头/㎡。</w:t>
            </w:r>
            <w:r/>
          </w:p>
        </w:tc>
        <w:tc>
          <w:tcPr>
            <w:tcW w:w="2807"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生长正常，树冠完整，树形较优美。</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分枝点较合适，基本无枯枝死杈；主侧枝分布匀称、数量较适宜；修剪及时、合理，内膛不乱，通风透光；树木基本不歪斜（造型树木除外）。叶片大小、颜色正常，无明显黄叶、焦叶、卷叶。基本无枯死株。基本无可视的病虫危害症状，被害株率≤5%。</w:t>
            </w:r>
            <w:r/>
          </w:p>
        </w:tc>
        <w:tc>
          <w:tcPr>
            <w:tcW w:w="2779"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生长正常，树冠完整。</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无明显枯枝死杈；主侧枝分布匀称、数量较适宜；修剪合理；树木无明显歪斜（造型树木除外）。叶片大小、颜色正常，有黄叶、焦叶和卷叶的株数不超过 10%，正常叶片保存率在 85%以上。无明显枯死株。无明显可视的病虫危害症状，被害株率≤10%。</w:t>
            </w:r>
            <w:r/>
          </w:p>
        </w:tc>
      </w:tr>
      <w:tr>
        <w:trPr>
          <w:jc w:val="center"/>
          <w:trHeight w:val="786"/>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行</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道</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树</w:t>
            </w:r>
            <w:r/>
          </w:p>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696"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树形完整、树冠舒展，分枝点偏差在正负10cm内；保留 3级及以上分枝，长势良好，无徒长枝、病虫枝、交叉枝、重叠枝、下垂枝、扭伤枝、萌蘖枝、枯枝以及烂头等。 树穴有平整盖板或种植地被植物、覆盖植物树皮碎屑，黄土不裸露，树穴设施完好。</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补植的行道树品种与原行道树一致，规格适宜，一般为：落叶树种的胸径在15cm以下，常绿树种的胸径在12cm 以下。</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无可视的病虫危害症状，被害株率≤2%，地下害虫≤2 头/㎡。</w:t>
            </w:r>
            <w:r/>
          </w:p>
        </w:tc>
        <w:tc>
          <w:tcPr>
            <w:tcW w:w="2807"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树形、树冠舒展，分枝点偏差在正负20cm内；保留2级及以上分枝，长势良好，无明显徒长枝、病虫枝、交叉枝、重叠枝、下垂枝、扭伤枝、枯枝和烂头以及萌蘖枝等。</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补植的行道树品种与原行道树一致，规格适宜，一般为：落叶树种的胸径在15cm以下，常绿树种的胸径在12cm以下。</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基本无可视的病虫危害症状，被害株率≤5%。</w:t>
            </w:r>
            <w:r/>
          </w:p>
        </w:tc>
        <w:tc>
          <w:tcPr>
            <w:tcW w:w="2779"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树形、树冠舒展，分枝点偏差在正负30cm内；保留1级及以上分枝，长势良好，无明显徒长枝、病虫枝、交叉枝、重叠枝、下垂枝、扭伤枝、枯枝和烂头以及萌蘖枝等。</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补植的行道树品种与原行道树一致，规格适宜，一般为：落叶树种的胸径在15cm以下，常绿树种的胸径在12cm以下。</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无明显可视的病虫危害症状，被害株率≤10%。</w:t>
            </w:r>
            <w:r/>
          </w:p>
        </w:tc>
      </w:tr>
      <w:tr>
        <w:trPr>
          <w:jc w:val="center"/>
          <w:trHeight w:val="246"/>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花</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灌</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木</w:t>
            </w:r>
            <w:r/>
          </w:p>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696"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花灌木株形丰满，枝叶茂密，开花适时，花后修剪及时合理。</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无可视的病虫危害症状，被害株率≤2%，地下害虫≤2 头/㎡。</w:t>
            </w:r>
            <w:r/>
          </w:p>
        </w:tc>
        <w:tc>
          <w:tcPr>
            <w:tcW w:w="2807"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花灌木株形丰满，开花适时，花后修剪及时合理。</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基本无可视的病虫危害症状，被害株率≤5%。</w:t>
            </w:r>
            <w:r/>
          </w:p>
        </w:tc>
        <w:tc>
          <w:tcPr>
            <w:tcW w:w="2779"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花灌木开花适时，花后能够进行修剪。</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病虫害防治较及时，被害株率≤10%。</w:t>
            </w:r>
            <w:r/>
          </w:p>
        </w:tc>
      </w:tr>
      <w:tr>
        <w:trPr>
          <w:jc w:val="center"/>
          <w:trHeight w:val="1313"/>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古树</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名木</w:t>
            </w:r>
            <w:r/>
          </w:p>
        </w:tc>
        <w:tc>
          <w:tcPr>
            <w:gridSpan w:val="3"/>
            <w:tcW w:w="8282" w:type="dxa"/>
            <w:vAlign w:val="center"/>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古树名木按照国家、省相关要求进行养护，各项养护管理措施到位，植株生长正常，状态良好。</w:t>
            </w:r>
            <w:r/>
          </w:p>
        </w:tc>
      </w:tr>
      <w:tr>
        <w:trPr>
          <w:jc w:val="center"/>
          <w:trHeight w:val="439"/>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（模</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纹、色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块）等</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绿篱、模纹和色块等修剪及时。绿篱线条清晰，同类观赏面规则，整齐一致；模纹和色块线条流畅、主要观赏面圆润饱满，符合设计要求。枝叶茂密，造型优美。造型树木根据不同的生长特性及时摘心、攀扎。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无可视的病虫危害症状，被害株率≤2%，地下害虫≤2头/㎡。</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绿篱、模纹和色块等修剪较及时，枝叶茂密，造型优美。基本无可视的病虫危害症状，被害株率≤5%。</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绿篱、模纹和色块等能定期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修剪。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无明显可视的病虫危害症状，被害面积≤10%。</w:t>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1774"/>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水生</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植物</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水生植物密度适宜，花期正常、花色鲜艳美观，无干枯叶、残花等。</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无可视的病虫危害症状，被害株率≤2%。</w:t>
            </w:r>
            <w:r/>
          </w:p>
        </w:tc>
        <w:tc>
          <w:tcPr>
            <w:tcW w:w="2807"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水生植物密度适宜，花期、 花色正常，无明显干枯叶、残花等。</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基本无可视的病虫危害症状，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被害株率≤5%。</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水生植物能够正常生长、开花。</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无明显可视的病虫危害症状，被害面积≤10%。</w:t>
            </w:r>
            <w:r/>
          </w:p>
        </w:tc>
      </w:tr>
      <w:tr>
        <w:trPr>
          <w:jc w:val="center"/>
          <w:trHeight w:val="2507"/>
        </w:trPr>
        <w:tc>
          <w:tcPr>
            <w:tcW w:w="610" w:type="dxa"/>
            <w:vAlign w:val="center"/>
            <w:vMerge w:val="restart"/>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一</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园</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林</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植</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物</w:t>
            </w:r>
            <w:r/>
          </w:p>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w:t>
            </w:r>
            <w:r/>
          </w:p>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护</w:t>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攀援</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植物</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根据不同植物的攀缘特点，及时采取相应的技术措施，生长旺盛。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及时清除枯枝，疏删老弱藤蔓；开花的攀缘植物适时开花。</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无可视的病虫危害症状，被害株率≤2%。</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根据不同植物的攀缘特点，能及时采取相应的技术措施，生长良好。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及时清除枯枝，疏删老弱藤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蔓；开花的攀缘植物能适时开花。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基本无可视的病虫危害症状， 被害株率≤5%。</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开花的攀缘植物能适时开花。</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无明显可视的病虫危害症状，被害面积≤10%。</w:t>
            </w:r>
            <w:r/>
          </w:p>
        </w:tc>
      </w:tr>
      <w:tr>
        <w:trPr>
          <w:jc w:val="center"/>
          <w:trHeight w:val="421"/>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地被</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花卉</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多年生地被植物（含花境）和露地一、二年生花卉生长健壮，株行距适宜，色彩鲜艳，花期整齐，图案清晰。无缺株、倒伏，残花量不大于10％。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无可视的病虫危害症状，被害株率≤2%，地下害虫≤2头/㎡。</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多年生地被植物（含花境）和露地一、二年生花卉栽植轮廓较清晰、美观，覆盖率98%以上。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无明显残缺、残花、残叶、杂草等</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残花量不大于 15%。基本无可视的病虫危害症状，被害面积≤5%，地下害虫≤5头/㎡。</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多年生地被植物覆盖率90%以上。生长正常，开花适时。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无明显可视的病虫危害症状，被害面积≤10%，地下害虫≤10头/㎡。</w:t>
            </w:r>
            <w:r/>
          </w:p>
        </w:tc>
      </w:tr>
      <w:tr>
        <w:trPr>
          <w:jc w:val="center"/>
          <w:trHeight w:val="2365"/>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竹类</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竹林保持适宜密度，通风透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光、生长健壮、叶色正常，及时清除老鞭、砍伐后的竹蔸、干枯株等。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无可视的病虫危害症状，被害株率≤2%，地下害虫≤2头/㎡。</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竹林保持较适宜密度，通风透光良好、生长较健壮，叶色基本正常，能及时清除老鞭、砍伐后的竹蔸、干枯株等。</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基本无可视的病虫危害症状，被害株率≤5%，地下害虫≤5 头/㎡。</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竹林生长、叶色基本正常，能定期清除老鞭、砍伐后的竹蔸、干枯株等。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无明显可视的病虫危害症状，被害株率≤10%，地下害虫≤10 头/㎡。</w:t>
            </w:r>
            <w:r/>
          </w:p>
        </w:tc>
      </w:tr>
      <w:tr>
        <w:trPr>
          <w:jc w:val="center"/>
          <w:trHeight w:val="3060"/>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草坪</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草坪外观整齐，边缘线清晰，生长旺盛，草根不裸露；无可视斑秃；生长季节不枯黄，修剪及时，绿地内杂草率≤2%。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无可视的病虫危害症状，被害株率≤2%，地下害虫≤2头/㎡。</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草坪覆盖率95%以上，单块斑秃面积不超过0.2㎡或10㎡绿地内斑秃面积不超过3块；草坪内杂草率≤10%。草坪绿色期：冷季型草坪不得少于 260天，暖季型草坪不得少于 170天。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基本无可视的病虫危害症状，被害面积≤5%，地下害虫≤5 头/㎡。</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草坪覆盖率 90%以上，单块斑秃面积不超过 0.3㎡或10㎡绿地内斑秃面积不超过4块；草坪内杂草率≤15%。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草坪绿色期：冷季型草坪不得少于240天，暖季型草坪不得少于160天。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无明显可视的病虫危害症状，被害面积≤10%，地下害虫≤10头/㎡。</w:t>
            </w:r>
            <w:r/>
          </w:p>
        </w:tc>
      </w:tr>
      <w:tr>
        <w:trPr>
          <w:jc w:val="center"/>
          <w:trHeight w:val="2365"/>
        </w:trPr>
        <w:tc>
          <w:tcPr>
            <w:tcW w:w="610" w:type="dxa"/>
            <w:vAlign w:val="center"/>
            <w:vMerge w:val="restart"/>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二</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园</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林</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施</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维</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护</w:t>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古建</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筑</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外观完整；构件、陈设清洁、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完好；墙面、屋面、地面无污染、无渗漏；及时维修，无安全隐患。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防火、防雪、防台风暴雨、防蚁等保护措施落实有效。</w:t>
            </w:r>
            <w:r/>
          </w:p>
        </w:tc>
        <w:tc>
          <w:tcPr>
            <w:gridSpan w:val="2"/>
            <w:tcW w:w="558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外观完整；构件、陈设较清洁、较完好；墙面、屋面、地面基本无污染、无渗漏；定期维修，无安全隐患。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防火、防雪、防台风暴雨、防蚁等保护措施落实有效。</w:t>
            </w:r>
            <w:r/>
          </w:p>
        </w:tc>
      </w:tr>
      <w:tr>
        <w:trPr>
          <w:jc w:val="center"/>
          <w:trHeight w:val="2365"/>
        </w:trPr>
        <w:tc>
          <w:tcPr>
            <w:tcW w:w="610"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仿古</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建筑</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外观完整；构件、陈设清洁、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完好；墙面、屋面、地面无污染、无渗漏，管道无堵塞及锈蚀；及时维修，无安全隐患。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防火、防雪、防台风暴雨、防蚁等保护措施落实有效。</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外观完整；构件、陈设较清洁、较完好；墙面、屋面、地面基本无污染、无渗漏，管道无堵塞、基本无锈蚀；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定期维修，无安全隐患。防火、防雪、防台风暴雨、防蚁等保护措施落实有效。</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外观基本完整；构件、陈设较清洁、基本完好；墙面、屋面、地面无明显污染、无明显渗漏，管道无堵塞、无明显锈蚀；常规维修，无安全隐患。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防火、防雪、防台风暴雨、防蚁等保护措施落实有效。</w:t>
            </w:r>
            <w:r/>
          </w:p>
        </w:tc>
      </w:tr>
      <w:tr>
        <w:trPr>
          <w:jc w:val="center"/>
          <w:trHeight w:val="368"/>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现代</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建筑</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外观完整，外貌整洁；设施清洁、完好，设备安全运行；墙面、屋面、地面及时粉刷、清洗；无污染、无渗漏，管道无堵塞及锈蚀；及时维修，无安全隐患。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防火、防雪、防台风暴雨等保护措施落实有效。</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外观完整，外貌较整洁，定期粉刷、清洗；设施清洁、完好，设备安全运行；墙面、屋面、地面及时粉刷、清洗，基本无污染、无渗漏，管道无堵塞、基本无锈蚀；定期维修，无安全隐患。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防火、防雪、防台风暴雨等保护措施落实有效。</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外观完整，外貌较干净；设施干净、基本完好，设备安全运行；墙面、屋面、地面定期进行粉刷、清洗，基本无污染、无渗漏，管道无堵塞、无明显锈蚀；常规维修，无安全隐患。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防火、防雪、防台风暴雨等保护措施落实有效。</w:t>
            </w:r>
            <w:r/>
          </w:p>
        </w:tc>
      </w:tr>
      <w:tr>
        <w:trPr>
          <w:jc w:val="center"/>
          <w:trHeight w:val="439"/>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假山</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禁止攀爬的假山有醒目标志和防护设施；假山周围10m 及石缝内无影响安全和景观的杂草、杂物，种植穴不空缺；假山及孤赏石表面无乱涂乱刻痕迹。</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禁止攀爬的假山有醒目标志和防护设施；假山周围5m及石缝内无影响安全和景观的杂草、杂物；假山及孤赏石表面基本无乱涂乱刻痕迹。</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有禁止攀爬的假山有醒目标志和防护设施；假山周围5m 及石缝内无影响安全和景观的杂草、杂物； 假山及孤赏石表面无明显的乱涂乱刻痕迹。</w:t>
            </w:r>
            <w:r/>
          </w:p>
        </w:tc>
      </w:tr>
      <w:tr>
        <w:trPr>
          <w:jc w:val="center"/>
          <w:trHeight w:val="1219"/>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花坛</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花坛表面整洁、无破损；叠石花坛的叠石无松动。补缝颜色与石材接近，无明显色差。</w:t>
            </w:r>
            <w:r/>
          </w:p>
        </w:tc>
        <w:tc>
          <w:tcPr>
            <w:tcW w:w="2807"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花坛表面整洁、基本无破损；叠石花坛的叠石基本不松动。补缝颜色与石材基本接近。</w:t>
            </w:r>
            <w:r/>
          </w:p>
        </w:tc>
        <w:tc>
          <w:tcPr>
            <w:tcW w:w="2779"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花坛表面整洁、无明显破损；叠石花坛的叠石无明显松动。补缝颜色与石材基本接近。</w:t>
            </w:r>
            <w:r/>
          </w:p>
        </w:tc>
      </w:tr>
      <w:tr>
        <w:trPr>
          <w:jc w:val="center"/>
          <w:trHeight w:val="1219"/>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雕塑</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雕塑结构、基础安全完整。表面清洁无垢，无刻写痕迹。</w:t>
            </w:r>
            <w:r/>
          </w:p>
        </w:tc>
        <w:tc>
          <w:tcPr>
            <w:tcW w:w="2807"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雕塑结构、基础安全完整。表面基本清洁无垢，无刻写痕迹。</w:t>
            </w:r>
            <w:r/>
          </w:p>
        </w:tc>
        <w:tc>
          <w:tcPr>
            <w:tcW w:w="2779"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雕塑结构、基础安全完整。表面基本清洁，无明显污垢，无明显刻写痕迹。</w:t>
            </w:r>
            <w:r/>
          </w:p>
        </w:tc>
      </w:tr>
      <w:tr>
        <w:trPr>
          <w:jc w:val="center"/>
          <w:trHeight w:val="1219"/>
        </w:trPr>
        <w:tc>
          <w:tcPr>
            <w:tcW w:w="610"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喷泉</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景设</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施）</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设备按照规定检查维护，损坏部件及时更换，确保安全运行； </w:t>
            </w:r>
            <w:r/>
          </w:p>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喷嘴无堵塞，喷涌效果好，景观优良；循环、动力及水位控制设施完好，运行正常</w:t>
            </w:r>
            <w:r>
              <w:rPr>
                <w:rFonts w:hint="eastAsia" w:ascii="宋体" w:hAnsi="宋体" w:eastAsia="宋体" w:cs="宋体"/>
                <w:color w:val="000000"/>
                <w:sz w:val="24"/>
                <w:szCs w:val="24"/>
                <w:highlight w:val="none"/>
                <w:lang w:eastAsia="zh-CN" w:bidi="ar"/>
              </w:rPr>
              <w:t xml:space="preserve">。</w:t>
            </w:r>
            <w:r/>
          </w:p>
        </w:tc>
        <w:tc>
          <w:tcPr>
            <w:gridSpan w:val="2"/>
            <w:tcW w:w="558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设备按照规定检查维护，损坏部件及时更换，确保安全运行；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喷嘴基本无堵塞，喷涌效果较好，基本保证景观质量；循环、动力及水位控制设施完好，运行正常。</w:t>
            </w:r>
            <w:r/>
          </w:p>
        </w:tc>
      </w:tr>
      <w:tr>
        <w:trPr>
          <w:jc w:val="center"/>
          <w:trHeight w:val="1219"/>
        </w:trPr>
        <w:tc>
          <w:tcPr>
            <w:tcW w:w="610"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栏杆</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完整、清洁、无缺损，无刻划痕迹； </w:t>
            </w:r>
            <w:r/>
          </w:p>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竹、木材质无腐朽，金属类材质无锈蚀，无安全隐患。</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完整、清洁、无缺损，基本无刻划痕迹； </w:t>
            </w:r>
            <w:r/>
          </w:p>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竹、木材质基本无腐朽，金属类材质基本无锈蚀，无安全隐患。</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完整、清洁、无缺损，无明显刻划痕迹； </w:t>
            </w:r>
            <w:r/>
          </w:p>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竹、木材质无明显腐朽，金属类材质无明显锈蚀，无安全隐患。</w:t>
            </w:r>
            <w:r/>
          </w:p>
        </w:tc>
      </w:tr>
      <w:tr>
        <w:trPr>
          <w:jc w:val="center"/>
          <w:trHeight w:val="1219"/>
        </w:trPr>
        <w:tc>
          <w:tcPr>
            <w:tcW w:w="610"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桌凳</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桌凳表面清洁； </w:t>
            </w:r>
            <w:r/>
          </w:p>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竹木类材料无腐朽，其他类材料无锈蚀。无刻划。安全坚固，无松动，无缺损。</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桌凳表面清洁； </w:t>
            </w:r>
            <w:r/>
          </w:p>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竹木类基本无腐朽，其他类材料基本无锈蚀。无刻划。安全坚固，无松动，基本无缺损。</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桌凳表面基本清洁； </w:t>
            </w:r>
            <w:r/>
          </w:p>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竹木类无明显腐朽，其他类材料，无明显锈蚀和刻划。安全坚固，无松动，基本无缺损。</w:t>
            </w:r>
            <w:r/>
          </w:p>
        </w:tc>
      </w:tr>
      <w:tr>
        <w:trPr>
          <w:jc w:val="center"/>
          <w:trHeight w:val="1219"/>
        </w:trPr>
        <w:tc>
          <w:tcPr>
            <w:tcW w:w="610"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围墙</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外观整洁、完整；墙面、顶面无污染、无渗漏；及时维修，无安全隐患。 </w:t>
            </w:r>
            <w:r/>
          </w:p>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防火、防雪、防台风暴雨、防蚁等保护措施落实有效。</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外观完整；墙面、顶面基本无污染、无渗漏；定期维修，无安全隐患。 </w:t>
            </w:r>
            <w:r/>
          </w:p>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防火、防雪、防台风暴雨、防蚁等保护措施落实有效。</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外观基本完整；墙面、顶面无明显污染、基本无渗漏；常规维修，无</w:t>
            </w:r>
            <w:r>
              <w:rPr>
                <w:rFonts w:hint="eastAsia" w:ascii="宋体" w:hAnsi="宋体" w:eastAsia="宋体" w:cs="宋体"/>
                <w:color w:val="000000"/>
                <w:sz w:val="24"/>
                <w:szCs w:val="24"/>
                <w:highlight w:val="none"/>
                <w:lang w:eastAsia="zh-CN" w:bidi="ar"/>
              </w:rPr>
              <w:t xml:space="preserve">安全隐患</w:t>
            </w:r>
            <w:r>
              <w:rPr>
                <w:rFonts w:hint="eastAsia" w:ascii="宋体" w:hAnsi="宋体" w:eastAsia="宋体" w:cs="宋体"/>
                <w:color w:val="000000"/>
                <w:sz w:val="24"/>
                <w:szCs w:val="24"/>
                <w:highlight w:val="none"/>
                <w:lang w:bidi="ar"/>
              </w:rPr>
              <w:t xml:space="preserve">。 </w:t>
            </w:r>
            <w:r/>
          </w:p>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防火、防雪、防台风暴雨、防蚁等保护措施落实有效。</w:t>
            </w:r>
            <w:r/>
          </w:p>
        </w:tc>
      </w:tr>
      <w:tr>
        <w:trPr>
          <w:jc w:val="center"/>
          <w:trHeight w:val="294"/>
        </w:trPr>
        <w:tc>
          <w:tcPr>
            <w:tcW w:w="610"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树穴</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侧石及盖板坚固无松动，无缺损；盖板平整，无坑洼、沉陷、倾覆、腐朽、锈蚀；池体整洁。</w:t>
            </w:r>
            <w:r/>
          </w:p>
        </w:tc>
        <w:tc>
          <w:tcPr>
            <w:tcW w:w="2807"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侧石及盖板坚固无松动，无缺损；盖板基本平整，无明显坑洼、沉陷、倾覆、腐朽、锈蚀；池体基本整洁。</w:t>
            </w:r>
            <w:r/>
          </w:p>
        </w:tc>
        <w:tc>
          <w:tcPr>
            <w:tcW w:w="2779"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侧石及盖板无明显松动，无明显缺损，；盖板基本平整，无明显坑洼、沉陷、倾覆、腐朽、锈蚀；池体基本整洁。</w:t>
            </w:r>
            <w:r/>
          </w:p>
        </w:tc>
      </w:tr>
      <w:tr>
        <w:trPr>
          <w:jc w:val="center"/>
          <w:trHeight w:val="3059"/>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园路</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路面平整，无坑洼破损（小于等于维修率），无面层松动、沉陷、倾覆或面层脱落。伸缩缝嵌缝完好。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路面、路沿、台阶清洁，无垃圾及痰迹。</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无障碍通道及应急通道整洁畅通。</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路面平整，无坑洼破损（小于等于维修率），无面层松动、沉陷、倾覆或面层脱落。伸缩缝嵌缝基本完好；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路面基本清洁，基本无垃圾、无痰迹。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无障碍通道及应急通道畅通，基本整洁。</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路面平整，无明显坑洼破损（不超过维修率 5%），无面层松动、沉陷、倾覆或面层脱落；伸嵌缝无明显漏嵌。</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路面基本清洁，无明显垃圾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和痰迹。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无障碍通道及应急通道畅通，基本整洁。</w:t>
            </w:r>
            <w:r/>
          </w:p>
        </w:tc>
      </w:tr>
      <w:tr>
        <w:trPr>
          <w:jc w:val="center"/>
          <w:trHeight w:val="3239"/>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桥面平整，无坑洼，排水通畅。栏杆无缺损，墩台无混凝土剥落、露筋等。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雨雪冰冻季节防范措施落实有效。</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桥面基本平整，无明显坑洼破损，排水基本通畅。栏杆无缺损，墩台无明显混凝土剥落、露筋等。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雨雪冰冻季节防范措施落实有效。</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桥面基本平整，有少量坑洼破损，排水基本通畅。栏杆无缺损，墩台有少量混凝土剥落、露筋等，但不影响安全和使用。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雨雪冰冻季节防范措施落实有效。</w:t>
            </w:r>
            <w:r/>
          </w:p>
        </w:tc>
      </w:tr>
      <w:tr>
        <w:trPr>
          <w:jc w:val="center"/>
          <w:trHeight w:val="1866"/>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停车</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场</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场地平整、无坑洼，环境清洁，排水良好，车位标志清晰；</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乔木枝下高满足停车需要，无影响驾驶视线的植物枝叶；收费明示。</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场地较平整、清洁，排水基本通畅，车位标志清晰；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乔木枝下高满足停车需要，无影响驾驶视线的植物枝叶；收费明示。</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场地基本平整、清洁，排水较通畅，有车位标志；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乔木枝下高满足停车需要，无影响驾驶视线的植物枝叶；收费明示。</w:t>
            </w:r>
            <w:r/>
          </w:p>
        </w:tc>
      </w:tr>
      <w:tr>
        <w:trPr>
          <w:jc w:val="center"/>
          <w:trHeight w:val="402"/>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土底</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水体</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水质符合地表水环境质量标准的要求；水面清洁，无漂浮物。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安全警示标志设置规范、齐全。</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水体排灌等设施完好，运行正常。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驳岸安全稳固、整齐美观，无缺损。</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水质符合地表水环境质量标准的要求；水面清洁，基本无漂浮物。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水体排灌等设施完好，运行正常。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驳岸安全稳固、整齐美观，无明显缺损。</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水质符合地表水环境质量标准的要求；水面清洁，无明显漂浮物。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水体排灌等设施基本完好，运行基本正常。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驳岸安全稳固，有少量缺损，但不影响安全使用。</w:t>
            </w:r>
            <w:r/>
          </w:p>
        </w:tc>
      </w:tr>
      <w:tr>
        <w:trPr>
          <w:jc w:val="center"/>
          <w:trHeight w:val="2469"/>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非土</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底</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水体</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水质符合地表水环境质量标准的相应要求；水面清洁，无漂浮物。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安全警示标志设置规范、齐全。</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池底、池岸安全稳固，各类面层无缺损。</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水质符合地表水环境质量标准的相应要求；水面清洁，基本无漂浮物。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池底、池岸安全稳固，各类面层基本无缺损。</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水质符合地表水环境质量标准的相应要求；水面清洁，无明显漂浮物。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池底、池岸安全稳固，各类面层无明显缺损。</w:t>
            </w:r>
            <w:r/>
          </w:p>
        </w:tc>
      </w:tr>
      <w:tr>
        <w:trPr>
          <w:jc w:val="center"/>
          <w:trHeight w:val="2727"/>
        </w:trPr>
        <w:tc>
          <w:tcPr>
            <w:tcW w:w="610" w:type="dxa"/>
            <w:vAlign w:val="center"/>
            <w:vMerge w:val="restart"/>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二</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园</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林</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施</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维护</w:t>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公共</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卫生</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间</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室内地面保持清洁，无垃圾、积水。便器无污物外溢、漏水。臭味强度不高于 0 级；保持通风，目测无蚊蝇。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无障碍通道、蹲位、洗手池以及其它各类设施齐全，使用正常。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墙面及隔离板无乱贴乱画痕迹；引导标识醒目。</w:t>
            </w:r>
            <w:r/>
          </w:p>
        </w:tc>
        <w:tc>
          <w:tcPr>
            <w:gridSpan w:val="2"/>
            <w:tcW w:w="558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室内地面保持清洁，无垃圾、积水。便器无污物外溢、漏水。臭味强度不高于 1 级；保持通风，目测基本无蚊蝇。</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无障碍通道、蹲位及其它各类设施齐全；使用基本正常。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墙面及隔离板基本无乱贴乱画痕迹；引导标识清晰。</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1163"/>
        </w:trPr>
        <w:tc>
          <w:tcPr>
            <w:tcW w:w="610"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垃圾</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箱</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外观清洁、完整，内壁无污垢陈渍，箱内无陈积垃圾；分类设置。</w:t>
            </w:r>
            <w:r/>
          </w:p>
        </w:tc>
        <w:tc>
          <w:tcPr>
            <w:tcW w:w="2807"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外观清洁、完整，内壁无明显污垢陈渍，箱内无陈积垃圾；分类设置。</w:t>
            </w:r>
            <w:r/>
          </w:p>
        </w:tc>
        <w:tc>
          <w:tcPr>
            <w:tcW w:w="2779"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外观基本清洁、完整，内壁无明显污垢陈渍，箱内基本无陈积垃圾。</w:t>
            </w:r>
            <w:r/>
          </w:p>
        </w:tc>
      </w:tr>
      <w:tr>
        <w:trPr>
          <w:jc w:val="center"/>
          <w:trHeight w:val="1954"/>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供</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电、</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照明</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输配电运行正常，使用安全。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各类照明设施完好（完好率≥95%）、清洁、安全；亮灯率≥98%。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入地管线标志明显，档案图纸齐全。</w:t>
            </w:r>
            <w:r/>
          </w:p>
        </w:tc>
        <w:tc>
          <w:tcPr>
            <w:tcW w:w="280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输配电运行正常，使用安全。</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各类照明设施基本完好（完好率≥90%）、清洁、安全；亮灯率≥96%。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入地管线标志明显，档案图纸完整。</w:t>
            </w:r>
            <w:r/>
          </w:p>
        </w:tc>
        <w:tc>
          <w:tcPr>
            <w:tcW w:w="277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输配电运行正常，使用安全。</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各类照明设施基本完好（完好率≥90%）、清洁、安全；亮灯率≥90%。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入地管线标志明显，档案图纸完整。</w:t>
            </w:r>
            <w:r/>
          </w:p>
        </w:tc>
      </w:tr>
      <w:tr>
        <w:trPr>
          <w:jc w:val="center"/>
          <w:trHeight w:val="768"/>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弱电</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各类弱电系统设备完好，使用正常。</w:t>
            </w:r>
            <w:r/>
          </w:p>
        </w:tc>
        <w:tc>
          <w:tcPr>
            <w:gridSpan w:val="2"/>
            <w:tcW w:w="558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各类弱电系统设备基本完好，能正常使用。</w:t>
            </w:r>
            <w:r/>
          </w:p>
        </w:tc>
      </w:tr>
      <w:tr>
        <w:trPr>
          <w:jc w:val="center"/>
          <w:trHeight w:val="1808"/>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给排</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水</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管道通畅；外露的给排水等设施清洁、完整。井盖、井篦安放平稳，与井框吻合，无倾覆。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防汛、消防等设备完好，使用正常。</w:t>
            </w:r>
            <w:r/>
          </w:p>
        </w:tc>
        <w:tc>
          <w:tcPr>
            <w:gridSpan w:val="2"/>
            <w:tcW w:w="558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管道基本畅通；外露的给排水等设施清洁、完整。井盖、井篦安放基本平稳，与井框吻合，无倾覆。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防汛、消防等设备完好、使用正常。</w:t>
            </w:r>
            <w:r/>
          </w:p>
        </w:tc>
      </w:tr>
      <w:tr>
        <w:trPr>
          <w:jc w:val="center"/>
          <w:trHeight w:val="933"/>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标识</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牌示齐全、完整、整洁，文字及图案清晰。</w:t>
            </w:r>
            <w:r/>
          </w:p>
        </w:tc>
        <w:tc>
          <w:tcPr>
            <w:tcW w:w="2807"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牌示基本齐全，较整洁，文字及图案清晰。</w:t>
            </w:r>
            <w:r/>
          </w:p>
        </w:tc>
        <w:tc>
          <w:tcPr>
            <w:tcW w:w="2779"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牌示基本齐全，无明显污垢，文字及图案能辨识。</w:t>
            </w:r>
            <w:r/>
          </w:p>
        </w:tc>
      </w:tr>
      <w:tr>
        <w:trPr>
          <w:jc w:val="center"/>
          <w:trHeight w:val="2033"/>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游乐、</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健身</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设施</w:t>
            </w:r>
            <w:r/>
          </w:p>
        </w:tc>
        <w:tc>
          <w:tcPr>
            <w:gridSpan w:val="3"/>
            <w:tcW w:w="8282"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所有设施明示生产单位及使用要求、操作规程；维护管理人员经培训合格，持证上岗。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设施按照规定检查维护，安全运转；管理档案清晰完整。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环境整洁。</w:t>
            </w:r>
            <w:r/>
          </w:p>
        </w:tc>
      </w:tr>
      <w:tr>
        <w:trPr>
          <w:jc w:val="center"/>
          <w:trHeight w:val="1536"/>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广播</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音响</w:t>
            </w:r>
            <w:r/>
          </w:p>
        </w:tc>
        <w:tc>
          <w:tcPr>
            <w:tcW w:w="269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外壳完整、稳固、清洁。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设备完好。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适时广播，白天音响小于55分贝，晚间小于45分贝。</w:t>
            </w:r>
            <w:r/>
          </w:p>
        </w:tc>
        <w:tc>
          <w:tcPr>
            <w:gridSpan w:val="2"/>
            <w:tcW w:w="5586"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外壳较完整、稳固、清洁。 </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设备基本完好，不影响安全、正常使用。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适时广播，白天音响小于55分贝，晚间小于45分贝。</w:t>
            </w:r>
            <w:r/>
          </w:p>
        </w:tc>
      </w:tr>
      <w:tr>
        <w:trPr>
          <w:jc w:val="center"/>
          <w:trHeight w:val="923"/>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减灾</w:t>
            </w:r>
            <w:r/>
          </w:p>
        </w:tc>
        <w:tc>
          <w:tcPr>
            <w:gridSpan w:val="3"/>
            <w:tcW w:w="8282"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各种防灾避险等设施完好，防灾避险通道畅通。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值班、巡视、应急预案等防灾避险措施落实。</w:t>
            </w:r>
            <w:r/>
          </w:p>
        </w:tc>
      </w:tr>
      <w:tr>
        <w:trPr>
          <w:jc w:val="center"/>
          <w:trHeight w:val="349"/>
        </w:trPr>
        <w:tc>
          <w:tcPr>
            <w:tcW w:w="610" w:type="dxa"/>
            <w:vAlign w:val="center"/>
            <w:vMerge w:val="restart"/>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三</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其</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它</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w:t>
            </w:r>
            <w:r/>
          </w:p>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理</w:t>
            </w:r>
            <w:r/>
          </w:p>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整体</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面貌</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绿地（含水面）整洁，无条状、块状污染物，点状污染物每 100m2≤2 处；无杂物，无树枝、树叶、草屑等生产垃圾，无擅自搭棚、摆摊设点等现象；植被、地被等基本无人为破坏；建筑（构筑）及设施完好，安全使用；水面异味。</w:t>
            </w:r>
            <w:r/>
          </w:p>
        </w:tc>
        <w:tc>
          <w:tcPr>
            <w:tcW w:w="2807"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绿地（含水面）较整洁，基本无条状和块状污染物，点状污染物每 100m2≤4 处；基本无杂物，无明显树枝、树叶、草屑等生产垃圾，无擅自搭棚、摆摊设点等现象；建筑（构筑）及设施基本完好，安全使用；水面无异味。 </w:t>
            </w:r>
            <w:r/>
          </w:p>
        </w:tc>
        <w:tc>
          <w:tcPr>
            <w:tcW w:w="2779"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绿地（含水面）基本整洁，无明显杂物，无明显白色污染（树挂），无明显树枝、树叶、草屑等生产垃圾积存，无擅自搭棚、摆摊设点等现象；建筑（构筑）及设施基本完好，安全使用；水面无明显异味。</w:t>
            </w:r>
            <w:r/>
          </w:p>
        </w:tc>
      </w:tr>
      <w:tr>
        <w:trPr>
          <w:jc w:val="center"/>
          <w:trHeight w:val="1267"/>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人员</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着装</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在岗的养护、安保等人员统一着装，衣帽整齐，佩戴工号牌，且有所属单位的明显标志。</w:t>
            </w:r>
            <w:r/>
          </w:p>
        </w:tc>
        <w:tc>
          <w:tcPr>
            <w:tcW w:w="2807"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在岗工作人员能统一着装，衣帽整齐。</w:t>
            </w:r>
            <w:r/>
          </w:p>
        </w:tc>
        <w:tc>
          <w:tcPr>
            <w:tcW w:w="2779" w:type="dxa"/>
            <w:vAlign w:val="center"/>
            <w:textDirection w:val="lrTb"/>
            <w:noWrap w:val="false"/>
          </w:tcPr>
          <w:p>
            <w:pPr>
              <w:ind w:firstLine="120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p>
        </w:tc>
      </w:tr>
      <w:tr>
        <w:trPr>
          <w:jc w:val="center"/>
          <w:trHeight w:val="1219"/>
        </w:trPr>
        <w:tc>
          <w:tcPr>
            <w:tcW w:w="610" w:type="dxa"/>
            <w:vAlign w:val="center"/>
            <w:vMerge w:val="continue"/>
            <w:textDirection w:val="lrTb"/>
            <w:noWrap w:val="false"/>
          </w:tcPr>
          <w:p>
            <w:pP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2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技术</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档案</w:t>
            </w:r>
            <w:r/>
          </w:p>
        </w:tc>
        <w:tc>
          <w:tcPr>
            <w:tcW w:w="269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养护管理技术档案健全，记录清晰，并有专人负责。</w:t>
            </w:r>
            <w:r/>
          </w:p>
        </w:tc>
        <w:tc>
          <w:tcPr>
            <w:gridSpan w:val="2"/>
            <w:tcW w:w="5586"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建立养护管理技术档案，记录清晰。</w:t>
            </w:r>
            <w:r/>
          </w:p>
        </w:tc>
      </w:tr>
    </w:tbl>
    <w:p>
      <w:pPr>
        <w:numPr>
          <w:ilvl w:val="0"/>
          <w:numId w:val="0"/>
        </w:numPr>
        <w:contextualSpacing/>
        <w:ind w:firstLine="482"/>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四</w:t>
      </w:r>
      <w:r>
        <w:rPr>
          <w:rFonts w:hint="eastAsia" w:ascii="宋体" w:hAnsi="宋体" w:eastAsia="宋体" w:cs="宋体"/>
          <w:b/>
          <w:bCs w:val="0"/>
          <w:color w:val="auto"/>
          <w:sz w:val="24"/>
          <w:szCs w:val="24"/>
          <w:highlight w:val="none"/>
          <w:lang w:val="en-US" w:eastAsia="zh-CN" w:bidi="ar-SA"/>
        </w:rPr>
        <w:t xml:space="preserve">、草花养护要求</w:t>
      </w:r>
      <w:r/>
    </w:p>
    <w:p>
      <w:pPr>
        <w:numPr>
          <w:ilvl w:val="0"/>
          <w:numId w:val="0"/>
        </w:numPr>
        <w:contextualSpacing/>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①</w:t>
      </w:r>
      <w:r>
        <w:rPr>
          <w:rFonts w:hint="eastAsia" w:ascii="宋体" w:hAnsi="宋体" w:eastAsia="宋体" w:cs="宋体"/>
          <w:b w:val="0"/>
          <w:bCs/>
          <w:color w:val="auto"/>
          <w:sz w:val="24"/>
          <w:szCs w:val="24"/>
          <w:highlight w:val="none"/>
          <w:lang w:val="en-US" w:eastAsia="zh-CN" w:bidi="ar-SA"/>
        </w:rPr>
        <w:t xml:space="preserve">每年度草花更换不少于3次，每次换季更新时，应在换季更新前上报种植设计方案，经过采购单位审核同意后方可实施。草花种植设计总的原则应力求简洁、大气、明快、线条流畅。十字路口机非隔离带及中央隔离带布置草花时，应注意对称（草坪品种、色泽等）；路口花坛面积较小时，以种植一个品种为宜；一般每个路口的草花品种不得超过3种。草花应规格统一，使用容器苗，草花的根、茎、叶、花必须发育良好，花完好无损，叶色鲜艳，无枯叶、焦边现象，整个植株健壮，圆满匀称，花色亮丽，无病虫害。种植草花时应由采购单位对草花样品进行确认后方可进行种植。</w:t>
      </w:r>
      <w:r/>
    </w:p>
    <w:p>
      <w:pPr>
        <w:numPr>
          <w:ilvl w:val="0"/>
          <w:numId w:val="0"/>
        </w:numPr>
        <w:contextualSpacing/>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②每季草花更换具体时间、草花种植施工工期由采购单位通知。每季更换草花的施工日期不能超过8天，如因施工单位原因造成工期延长，则在当季养护考核时扣除相应分数。</w:t>
      </w:r>
      <w:r/>
    </w:p>
    <w:p>
      <w:pPr>
        <w:numPr>
          <w:ilvl w:val="0"/>
          <w:numId w:val="0"/>
        </w:numPr>
        <w:contextualSpacing/>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③种植草花时应处理好种植地形，清除多余的土方及各类垃圾（或按要求增加土方），必要时进行土壤改良后，方可开始草花种植。在整个采购年度内，成交投标人应随时根据地形、土壤肥力变化，随时做好地形调整、追肥等工作。土方高度必须低于侧石边缘，浇水后要保持路面整洁、清洁，不得污染地面。</w:t>
      </w:r>
      <w:r/>
    </w:p>
    <w:p>
      <w:pPr>
        <w:numPr>
          <w:ilvl w:val="0"/>
          <w:numId w:val="0"/>
        </w:numPr>
        <w:contextualSpacing/>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④不同颜色或品种草花组成图案种植时，界限应清晰，界限模糊的，必须在2天内整改完毕。</w:t>
      </w:r>
      <w:r/>
    </w:p>
    <w:p>
      <w:pPr>
        <w:numPr>
          <w:ilvl w:val="0"/>
          <w:numId w:val="0"/>
        </w:numPr>
        <w:contextualSpacing/>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⑤草花种植密度应视季节不同及花型大小不同而定，总体要求饱满无空隙， 种植完成后必须达到“黄土不露天”的效果。种植时草花距离侧石应小于6cm，超出范围的，必须在2天内整改完毕。</w:t>
      </w:r>
      <w:r/>
    </w:p>
    <w:p>
      <w:pPr>
        <w:numPr>
          <w:ilvl w:val="0"/>
          <w:numId w:val="0"/>
        </w:numPr>
        <w:contextualSpacing/>
        <w:ind w:firstLine="480"/>
        <w:jc w:val="both"/>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⑥草花种植深度应为原种植深度，不得损伤茎叶，并保持根系完整。种植过深，导致草花茎叶损伤或草花高度不一致（高差大于2cm）以及种植过浅，容器苗土面高于种植区域土面，必须在2天内整改完毕。</w:t>
      </w:r>
      <w:r/>
    </w:p>
    <w:p>
      <w:pPr>
        <w:jc w:val="both"/>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五、服务要求</w:t>
      </w:r>
      <w:r/>
    </w:p>
    <w:p>
      <w:pPr>
        <w:ind w:firstLine="482"/>
        <w:spacing w:line="360" w:lineRule="auto"/>
        <w:tabs>
          <w:tab w:val="left" w:pos="5025" w:leader="none"/>
        </w:tabs>
        <w:rPr>
          <w:rFonts w:hint="eastAsia" w:ascii="宋体" w:hAnsi="宋体" w:cs="宋体"/>
          <w:b/>
          <w:color w:val="auto"/>
          <w:sz w:val="24"/>
          <w:highlight w:val="none"/>
        </w:rPr>
      </w:pPr>
      <w:r>
        <w:rPr>
          <w:rFonts w:ascii="Segoe UI Symbol" w:hAnsi="Segoe UI Symbol" w:cs="Segoe UI Symbol"/>
          <w:b/>
          <w:bCs/>
          <w:color w:val="auto"/>
          <w:sz w:val="24"/>
          <w:highlight w:val="none"/>
        </w:rPr>
        <w:t xml:space="preserve">★</w:t>
      </w:r>
      <w:r>
        <w:rPr>
          <w:rFonts w:hint="eastAsia" w:ascii="宋体" w:hAnsi="宋体" w:cs="宋体"/>
          <w:b/>
          <w:color w:val="auto"/>
          <w:sz w:val="24"/>
          <w:highlight w:val="none"/>
        </w:rPr>
        <w:t xml:space="preserve">1、供应商承接本项目必须按要求派驻</w:t>
      </w:r>
      <w:r>
        <w:rPr>
          <w:rFonts w:hint="eastAsia" w:ascii="宋体" w:hAnsi="宋体" w:cs="宋体"/>
          <w:b/>
          <w:color w:val="auto"/>
          <w:sz w:val="24"/>
          <w:highlight w:val="none"/>
          <w:lang w:val="en-US" w:eastAsia="zh-CN"/>
        </w:rPr>
        <w:t xml:space="preserve">作业</w:t>
      </w:r>
      <w:r>
        <w:rPr>
          <w:rFonts w:hint="eastAsia" w:ascii="宋体" w:hAnsi="宋体" w:cs="宋体"/>
          <w:b/>
          <w:color w:val="auto"/>
          <w:sz w:val="24"/>
          <w:highlight w:val="none"/>
        </w:rPr>
        <w:t xml:space="preserve">人员，且不得低于相应标段最低</w:t>
      </w:r>
      <w:r>
        <w:rPr>
          <w:rFonts w:hint="eastAsia" w:ascii="宋体" w:hAnsi="宋体" w:cs="宋体"/>
          <w:b/>
          <w:color w:val="auto"/>
          <w:sz w:val="24"/>
          <w:highlight w:val="none"/>
          <w:lang w:val="en-US" w:eastAsia="zh-CN"/>
        </w:rPr>
        <w:t xml:space="preserve">作业人数要求</w:t>
      </w:r>
      <w:r>
        <w:rPr>
          <w:rFonts w:hint="eastAsia" w:ascii="宋体" w:hAnsi="宋体" w:cs="宋体"/>
          <w:b/>
          <w:color w:val="auto"/>
          <w:sz w:val="24"/>
          <w:highlight w:val="none"/>
        </w:rPr>
        <w:t xml:space="preserve">，否则作无效投标处理。</w:t>
      </w:r>
      <w:r/>
    </w:p>
    <w:p>
      <w:pPr>
        <w:ind w:firstLine="482"/>
        <w:jc w:val="both"/>
        <w:spacing w:line="360" w:lineRule="auto"/>
        <w:rPr>
          <w:rFonts w:hint="eastAsia" w:ascii="宋体" w:hAnsi="宋体" w:cs="宋体"/>
          <w:b/>
          <w:bCs/>
          <w:color w:val="auto"/>
          <w:sz w:val="24"/>
          <w:highlight w:val="none"/>
        </w:rPr>
        <w:outlineLvl w:val="0"/>
      </w:pPr>
      <w:r>
        <w:rPr>
          <w:rFonts w:hint="eastAsia" w:ascii="宋体" w:hAnsi="宋体"/>
          <w:b/>
          <w:bCs/>
          <w:color w:val="auto"/>
          <w:sz w:val="24"/>
          <w:highlight w:val="none"/>
        </w:rPr>
        <w:t xml:space="preserve">中标后，中标供应商未按要求</w:t>
      </w:r>
      <w:r>
        <w:rPr>
          <w:rFonts w:hint="eastAsia" w:ascii="宋体" w:hAnsi="宋体" w:cs="宋体"/>
          <w:b/>
          <w:color w:val="auto"/>
          <w:sz w:val="24"/>
          <w:highlight w:val="none"/>
        </w:rPr>
        <w:t xml:space="preserve">派驻</w:t>
      </w:r>
      <w:r>
        <w:rPr>
          <w:rFonts w:hint="eastAsia" w:ascii="宋体" w:hAnsi="宋体" w:cs="宋体"/>
          <w:b/>
          <w:color w:val="auto"/>
          <w:sz w:val="24"/>
          <w:highlight w:val="none"/>
          <w:lang w:val="en-US" w:eastAsia="zh-CN"/>
        </w:rPr>
        <w:t xml:space="preserve">作业</w:t>
      </w:r>
      <w:r>
        <w:rPr>
          <w:rFonts w:hint="eastAsia" w:ascii="宋体" w:hAnsi="宋体" w:cs="宋体"/>
          <w:b/>
          <w:color w:val="auto"/>
          <w:sz w:val="24"/>
          <w:highlight w:val="none"/>
        </w:rPr>
        <w:t xml:space="preserve">人员</w:t>
      </w:r>
      <w:r>
        <w:rPr>
          <w:rFonts w:hint="eastAsia" w:ascii="宋体" w:hAnsi="宋体" w:eastAsia="宋体" w:cs="宋体"/>
          <w:b/>
          <w:color w:val="auto"/>
          <w:sz w:val="24"/>
          <w:highlight w:val="none"/>
        </w:rPr>
        <w:t xml:space="preserve">或低于相应标段</w:t>
      </w:r>
      <w:r>
        <w:rPr>
          <w:rFonts w:hint="eastAsia" w:ascii="宋体" w:hAnsi="宋体" w:cs="宋体"/>
          <w:b/>
          <w:color w:val="auto"/>
          <w:sz w:val="24"/>
          <w:highlight w:val="none"/>
        </w:rPr>
        <w:t xml:space="preserve">最低</w:t>
      </w:r>
      <w:r>
        <w:rPr>
          <w:rFonts w:hint="eastAsia" w:ascii="宋体" w:hAnsi="宋体" w:cs="宋体"/>
          <w:b/>
          <w:color w:val="auto"/>
          <w:sz w:val="24"/>
          <w:highlight w:val="none"/>
          <w:lang w:val="en-US" w:eastAsia="zh-CN"/>
        </w:rPr>
        <w:t xml:space="preserve">作业人数要求</w:t>
      </w:r>
      <w:r>
        <w:rPr>
          <w:rFonts w:hint="eastAsia" w:ascii="宋体" w:hAnsi="宋体" w:eastAsia="宋体" w:cs="宋体"/>
          <w:b/>
          <w:color w:val="auto"/>
          <w:sz w:val="24"/>
          <w:highlight w:val="none"/>
        </w:rPr>
        <w:t xml:space="preserve">的</w:t>
      </w:r>
      <w:r>
        <w:rPr>
          <w:rFonts w:hint="eastAsia" w:ascii="宋体" w:hAnsi="宋体"/>
          <w:b/>
          <w:bCs/>
          <w:color w:val="auto"/>
          <w:sz w:val="24"/>
          <w:highlight w:val="none"/>
        </w:rPr>
        <w:t xml:space="preserve">，采购人有权取消其中标资格或单方面终止合同（取消中标资格的，中标资格顺延或重新招标；终止合同的，由相邻标段</w:t>
      </w:r>
      <w:r>
        <w:rPr>
          <w:rFonts w:hint="eastAsia" w:ascii="宋体" w:hAnsi="宋体"/>
          <w:b/>
          <w:bCs/>
          <w:color w:val="auto"/>
          <w:sz w:val="24"/>
          <w:highlight w:val="none"/>
          <w:lang w:eastAsia="zh-CN"/>
        </w:rPr>
        <w:t xml:space="preserve">中标供应商</w:t>
      </w:r>
      <w:r>
        <w:rPr>
          <w:rFonts w:hint="eastAsia" w:ascii="宋体" w:hAnsi="宋体"/>
          <w:b/>
          <w:bCs/>
          <w:color w:val="auto"/>
          <w:sz w:val="24"/>
          <w:highlight w:val="none"/>
        </w:rPr>
        <w:t xml:space="preserve">临时代管，代管期限最长不得超过3个月，且代管期内遇合同到期则代管自动终止），</w:t>
      </w:r>
      <w:r>
        <w:rPr>
          <w:rFonts w:hint="eastAsia" w:ascii="宋体" w:hAnsi="宋体" w:cs="宋体"/>
          <w:b/>
          <w:bCs/>
          <w:color w:val="auto"/>
          <w:sz w:val="24"/>
          <w:highlight w:val="none"/>
        </w:rPr>
        <w:t xml:space="preserve">其所有损失由原中标供应商承担。</w:t>
      </w:r>
      <w:r/>
    </w:p>
    <w:p>
      <w:pPr>
        <w:numPr>
          <w:ilvl w:val="0"/>
          <w:numId w:val="8"/>
        </w:numPr>
        <w:ind w:firstLine="480"/>
        <w:spacing w:line="360" w:lineRule="auto"/>
        <w:tabs>
          <w:tab w:val="left" w:pos="5025" w:leader="none"/>
        </w:tabs>
        <w:rPr>
          <w:rFonts w:ascii="宋体" w:hAnsi="宋体" w:cs="宋体"/>
          <w:color w:val="auto"/>
          <w:sz w:val="24"/>
          <w:highlight w:val="none"/>
        </w:rPr>
      </w:pPr>
      <w:r>
        <w:rPr>
          <w:rFonts w:hint="eastAsia" w:ascii="宋体" w:hAnsi="宋体" w:cs="宋体"/>
          <w:color w:val="auto"/>
          <w:sz w:val="24"/>
          <w:highlight w:val="none"/>
        </w:rPr>
        <w:t xml:space="preserve">在进行劳动力测算时，供应商</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rPr>
        <w:t xml:space="preserve">根据自身经验及现场情况等因素自行配置，但不得低于最低</w:t>
      </w:r>
      <w:r>
        <w:rPr>
          <w:rFonts w:hint="eastAsia" w:ascii="宋体" w:hAnsi="宋体" w:cs="宋体"/>
          <w:color w:val="auto"/>
          <w:sz w:val="24"/>
          <w:highlight w:val="none"/>
          <w:lang w:val="en-US" w:eastAsia="zh-CN"/>
        </w:rPr>
        <w:t xml:space="preserve">作业</w:t>
      </w:r>
      <w:r>
        <w:rPr>
          <w:rFonts w:hint="eastAsia" w:ascii="宋体" w:hAnsi="宋体" w:cs="宋体"/>
          <w:color w:val="auto"/>
          <w:sz w:val="24"/>
          <w:highlight w:val="none"/>
        </w:rPr>
        <w:t xml:space="preserve">人数要求，供应商在投标报价中</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rPr>
        <w:t xml:space="preserve">充分考虑该因素，一旦中标，投标报价不随人员配置数量增加而调整。</w:t>
      </w:r>
      <w:r/>
    </w:p>
    <w:p>
      <w:pPr>
        <w:numPr>
          <w:ilvl w:val="0"/>
          <w:numId w:val="8"/>
        </w:numPr>
        <w:ind w:firstLine="480"/>
        <w:spacing w:line="360" w:lineRule="auto"/>
        <w:tabs>
          <w:tab w:val="left" w:pos="5025" w:leader="none"/>
        </w:tabs>
        <w:rPr>
          <w:rFonts w:ascii="宋体" w:hAnsi="宋体" w:cs="宋体"/>
          <w:color w:val="auto"/>
          <w:sz w:val="24"/>
          <w:highlight w:val="none"/>
        </w:rPr>
      </w:pPr>
      <w:r>
        <w:rPr>
          <w:rFonts w:hint="eastAsia" w:ascii="宋体" w:hAnsi="宋体" w:eastAsia="宋体" w:cs="宋体"/>
          <w:sz w:val="24"/>
          <w:highlight w:val="none"/>
        </w:rPr>
        <w:t xml:space="preserve">承包期内因省、市政府出台文件调整最低人员保障工资的,中标人须无条件予以调整，该风险投标人投标时须综合考虑并承担，</w:t>
      </w:r>
      <w:r>
        <w:rPr>
          <w:rFonts w:hint="eastAsia" w:ascii="宋体" w:hAnsi="宋体" w:eastAsia="宋体" w:cs="宋体"/>
          <w:sz w:val="24"/>
          <w:highlight w:val="none"/>
          <w:lang w:eastAsia="zh-CN"/>
        </w:rPr>
        <w:t xml:space="preserve">中标</w:t>
      </w:r>
      <w:r>
        <w:rPr>
          <w:rFonts w:hint="eastAsia" w:ascii="宋体" w:hAnsi="宋体" w:eastAsia="宋体" w:cs="宋体"/>
          <w:sz w:val="24"/>
          <w:highlight w:val="none"/>
        </w:rPr>
        <w:t xml:space="preserve">后采购人不再给予。</w:t>
      </w:r>
      <w:r/>
    </w:p>
    <w:p>
      <w:pPr>
        <w:ind w:firstLine="480"/>
        <w:spacing w:line="360" w:lineRule="auto"/>
        <w:tabs>
          <w:tab w:val="left" w:pos="502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现有绿地内的苗木发生缺失或死亡，由中标供应商按同品种同规格赔偿并包栽包活管理1年。由于自然灾害和不可抗力原因造成的苗木缺损，由中标供应商向报溧阳经济开发区综合行政执法</w:t>
      </w:r>
      <w:r>
        <w:rPr>
          <w:rFonts w:hint="eastAsia" w:ascii="宋体" w:hAnsi="宋体" w:cs="宋体"/>
          <w:color w:val="auto"/>
          <w:sz w:val="24"/>
          <w:highlight w:val="none"/>
          <w:lang w:val="en-US" w:eastAsia="zh-CN"/>
        </w:rPr>
        <w:t xml:space="preserve">和安全生产监督管理办公室</w:t>
      </w:r>
      <w:r>
        <w:rPr>
          <w:rFonts w:hint="eastAsia" w:ascii="宋体" w:hAnsi="宋体" w:cs="宋体"/>
          <w:color w:val="auto"/>
          <w:sz w:val="24"/>
          <w:highlight w:val="none"/>
        </w:rPr>
        <w:t xml:space="preserve">提出书面申请，经溧阳经济开发区综合行政执法</w:t>
      </w:r>
      <w:r>
        <w:rPr>
          <w:rFonts w:hint="eastAsia" w:ascii="宋体" w:hAnsi="宋体" w:cs="宋体"/>
          <w:color w:val="auto"/>
          <w:sz w:val="24"/>
          <w:highlight w:val="none"/>
          <w:lang w:val="en-US" w:eastAsia="zh-CN"/>
        </w:rPr>
        <w:t xml:space="preserve">和安全生产监督管理办公室</w:t>
      </w:r>
      <w:r>
        <w:rPr>
          <w:rFonts w:hint="eastAsia" w:ascii="宋体" w:hAnsi="宋体" w:cs="宋体"/>
          <w:color w:val="auto"/>
          <w:sz w:val="24"/>
          <w:highlight w:val="none"/>
        </w:rPr>
        <w:t xml:space="preserve">组织有关人员现场核实后再做处理决定。</w:t>
      </w:r>
      <w:r/>
    </w:p>
    <w:p>
      <w:pPr>
        <w:ind w:firstLine="480"/>
        <w:spacing w:line="360" w:lineRule="auto"/>
        <w:tabs>
          <w:tab w:val="left" w:pos="502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绿地电费由采购人支付，不计入投标报价，中标供应商应做好用电设施和其他一切绿地内设施的日常开放及维修工作。除电费外的其它管养期内发生的一切费用包括但不限于园林建筑、喷泉、公厕、园路、广场、侧石、坐凳、果壳箱等所有设施的日常维修管理均由中标供应商承担。</w:t>
      </w:r>
      <w:r/>
    </w:p>
    <w:p>
      <w:pPr>
        <w:ind w:firstLine="480"/>
        <w:keepLines w:val="0"/>
        <w:keepNext w:val="0"/>
        <w:pageBreakBefore w:val="0"/>
        <w:spacing w:line="360" w:lineRule="auto"/>
        <w:widowControl w:val="off"/>
        <w:rPr>
          <w:rFonts w:hint="default" w:ascii="宋体" w:hAnsi="宋体" w:eastAsia="宋体" w:cs="宋体"/>
          <w:sz w:val="24"/>
          <w:highlight w:val="none"/>
          <w:lang w:val="en-US" w:eastAsia="zh-CN"/>
        </w:rPr>
        <w:outlineLvl w:val="0"/>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机械设备、车辆配置</w:t>
      </w:r>
      <w:r/>
    </w:p>
    <w:tbl>
      <w:tblPr>
        <w:tblStyle w:val="90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2263"/>
        <w:gridCol w:w="6230"/>
      </w:tblGrid>
      <w:tr>
        <w:trPr>
          <w:jc w:val="center"/>
          <w:trHeight w:val="383"/>
          <w:tblHeader/>
        </w:trPr>
        <w:tc>
          <w:tcPr>
            <w:tcW w:w="795" w:type="dxa"/>
            <w:vAlign w:val="center"/>
            <w:textDirection w:val="lrTb"/>
            <w:noWrap w:val="false"/>
          </w:tcPr>
          <w:p>
            <w:pPr>
              <w:ind w:left="0" w:right="0" w:firstLine="0"/>
              <w:jc w:val="center"/>
              <w:spacing w:after="0" w:line="240" w:lineRule="auto"/>
              <w:rPr>
                <w:rFonts w:hint="eastAsia" w:ascii="宋体" w:hAnsi="宋体" w:cs="宋体"/>
                <w:b/>
                <w:bCs/>
                <w:sz w:val="24"/>
                <w:szCs w:val="24"/>
                <w:highlight w:val="yellow"/>
                <w:vertAlign w:val="baseline"/>
                <w:lang w:val="en-US" w:eastAsia="zh-CN"/>
              </w:rPr>
            </w:pPr>
            <w:r>
              <w:rPr>
                <w:rFonts w:hint="eastAsia" w:ascii="宋体" w:hAnsi="宋体" w:eastAsia="宋体" w:cs="宋体"/>
                <w:b/>
                <w:color w:val="auto"/>
                <w:sz w:val="24"/>
                <w:szCs w:val="24"/>
                <w:highlight w:val="none"/>
              </w:rPr>
              <w:t xml:space="preserve">包号</w:t>
            </w:r>
            <w:r/>
          </w:p>
        </w:tc>
        <w:tc>
          <w:tcPr>
            <w:tcW w:w="2263" w:type="dxa"/>
            <w:vAlign w:val="center"/>
            <w:textDirection w:val="lrTb"/>
            <w:noWrap w:val="false"/>
          </w:tcPr>
          <w:p>
            <w:pPr>
              <w:ind w:left="0" w:right="0" w:firstLine="0"/>
              <w:jc w:val="center"/>
              <w:spacing w:after="0" w:line="240" w:lineRule="auto"/>
              <w:rPr>
                <w:rFonts w:hint="eastAsia" w:ascii="宋体" w:hAnsi="宋体" w:cs="宋体"/>
                <w:b/>
                <w:bCs/>
                <w:sz w:val="24"/>
                <w:szCs w:val="24"/>
                <w:highlight w:val="none"/>
                <w:vertAlign w:val="baseline"/>
                <w:lang w:val="en-US" w:eastAsia="zh-CN"/>
              </w:rPr>
            </w:pPr>
            <w:r>
              <w:rPr>
                <w:rFonts w:hint="eastAsia" w:ascii="宋体" w:hAnsi="宋体" w:eastAsia="宋体" w:cs="宋体"/>
                <w:b/>
                <w:color w:val="auto"/>
                <w:sz w:val="24"/>
                <w:szCs w:val="24"/>
                <w:highlight w:val="none"/>
              </w:rPr>
              <w:t xml:space="preserve">标的名称</w:t>
            </w:r>
            <w:r/>
          </w:p>
        </w:tc>
        <w:tc>
          <w:tcPr>
            <w:tcW w:w="6230" w:type="dxa"/>
            <w:vAlign w:val="center"/>
            <w:textDirection w:val="lrTb"/>
            <w:noWrap w:val="false"/>
          </w:tcPr>
          <w:p>
            <w:pPr>
              <w:ind w:left="0" w:right="0" w:firstLine="0"/>
              <w:jc w:val="center"/>
              <w:keepLines w:val="0"/>
              <w:keepNext w:val="0"/>
              <w:pageBreakBefore w:val="0"/>
              <w:spacing w:after="0" w:line="240" w:lineRule="auto"/>
              <w:widowControl w:val="off"/>
              <w:rPr>
                <w:rFonts w:hint="default" w:ascii="宋体" w:hAnsi="宋体" w:cs="宋体"/>
                <w:b/>
                <w:bCs/>
                <w:sz w:val="24"/>
                <w:szCs w:val="24"/>
                <w:highlight w:val="none"/>
                <w:vertAlign w:val="baseline"/>
                <w:lang w:val="en-US" w:eastAsia="zh-CN"/>
              </w:rPr>
              <w:outlineLvl w:val="0"/>
            </w:pPr>
            <w:r>
              <w:rPr>
                <w:rFonts w:hint="eastAsia" w:ascii="宋体" w:hAnsi="宋体" w:cs="宋体"/>
                <w:b/>
                <w:bCs/>
                <w:sz w:val="24"/>
                <w:szCs w:val="24"/>
                <w:highlight w:val="none"/>
                <w:vertAlign w:val="baseline"/>
                <w:lang w:val="en-US" w:eastAsia="zh-CN"/>
              </w:rPr>
              <w:t xml:space="preserve">最低配置数量</w:t>
            </w:r>
            <w:r/>
          </w:p>
        </w:tc>
      </w:tr>
      <w:tr>
        <w:trPr>
          <w:jc w:val="center"/>
          <w:trHeight w:val="0"/>
        </w:trPr>
        <w:tc>
          <w:tcPr>
            <w:tcW w:w="795" w:type="dxa"/>
            <w:vAlign w:val="center"/>
            <w:textDirection w:val="lrTb"/>
            <w:noWrap w:val="false"/>
          </w:tcPr>
          <w:p>
            <w:pPr>
              <w:ind w:left="0" w:right="0" w:firstLine="0"/>
              <w:jc w:val="center"/>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rPr>
              <w:t xml:space="preserve">01</w:t>
            </w:r>
            <w:r/>
          </w:p>
        </w:tc>
        <w:tc>
          <w:tcPr>
            <w:tcW w:w="2263" w:type="dxa"/>
            <w:vAlign w:val="center"/>
            <w:textDirection w:val="lrTb"/>
            <w:noWrap w:val="false"/>
          </w:tcPr>
          <w:p>
            <w:pPr>
              <w:ind w:left="0" w:right="0" w:firstLine="0"/>
              <w:jc w:val="both"/>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（上兴集镇标段</w:t>
            </w:r>
            <w:r>
              <w:rPr>
                <w:rFonts w:hint="eastAsia" w:ascii="宋体" w:hAnsi="宋体" w:cs="宋体"/>
                <w:color w:val="auto"/>
                <w:sz w:val="24"/>
                <w:szCs w:val="24"/>
                <w:highlight w:val="none"/>
                <w:lang w:val="en-US" w:eastAsia="zh-CN"/>
              </w:rPr>
              <w:t xml:space="preserve">）</w:t>
            </w:r>
            <w:r/>
          </w:p>
        </w:tc>
        <w:tc>
          <w:tcPr>
            <w:tcW w:w="6230"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b w:val="0"/>
                <w:bCs/>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rPr>
              <w:t xml:space="preserve">绿篱机、草坪机、割灌机各不少于5台；吹风机、油锯</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药水机、水泵各不少于3台；</w:t>
            </w:r>
            <w:r>
              <w:rPr>
                <w:rFonts w:hint="eastAsia" w:ascii="宋体" w:hAnsi="宋体" w:cs="宋体"/>
                <w:b/>
                <w:bCs/>
                <w:color w:val="auto"/>
                <w:sz w:val="24"/>
                <w:highlight w:val="none"/>
              </w:rPr>
              <w:t xml:space="preserve">核定载质量≥</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吨</w:t>
            </w:r>
            <w:r>
              <w:rPr>
                <w:rFonts w:hint="eastAsia" w:ascii="宋体" w:hAnsi="宋体" w:cs="宋体"/>
                <w:b/>
                <w:bCs/>
                <w:color w:val="auto"/>
                <w:sz w:val="24"/>
                <w:highlight w:val="none"/>
                <w:lang w:eastAsia="zh-CN"/>
              </w:rPr>
              <w:t xml:space="preserve">的</w:t>
            </w:r>
            <w:r>
              <w:rPr>
                <w:rFonts w:hint="eastAsia" w:ascii="宋体" w:hAnsi="宋体" w:eastAsia="宋体" w:cs="宋体"/>
                <w:b/>
                <w:bCs/>
                <w:color w:val="auto"/>
                <w:sz w:val="24"/>
                <w:szCs w:val="24"/>
                <w:highlight w:val="none"/>
              </w:rPr>
              <w:t xml:space="preserve">洒水车</w:t>
            </w:r>
            <w:r>
              <w:rPr>
                <w:rFonts w:hint="eastAsia" w:ascii="宋体" w:hAnsi="宋体" w:eastAsia="宋体" w:cs="宋体"/>
                <w:b w:val="0"/>
                <w:bCs w:val="0"/>
                <w:color w:val="auto"/>
                <w:sz w:val="24"/>
                <w:szCs w:val="24"/>
                <w:highlight w:val="none"/>
              </w:rPr>
              <w:t xml:space="preserve">不少于1辆</w:t>
            </w:r>
            <w:r>
              <w:rPr>
                <w:rFonts w:hint="eastAsia" w:ascii="宋体" w:hAnsi="宋体" w:eastAsia="宋体" w:cs="宋体"/>
                <w:b w:val="0"/>
                <w:bCs w:val="0"/>
                <w:color w:val="auto"/>
                <w:sz w:val="24"/>
                <w:szCs w:val="24"/>
                <w:highlight w:val="none"/>
                <w:lang w:eastAsia="zh-CN"/>
              </w:rPr>
              <w:t xml:space="preserve">。</w:t>
            </w:r>
            <w:r/>
          </w:p>
        </w:tc>
      </w:tr>
      <w:tr>
        <w:trPr>
          <w:jc w:val="center"/>
          <w:trHeight w:val="0"/>
        </w:trPr>
        <w:tc>
          <w:tcPr>
            <w:tcW w:w="795" w:type="dxa"/>
            <w:vAlign w:val="center"/>
            <w:textDirection w:val="lrTb"/>
            <w:noWrap w:val="false"/>
          </w:tcPr>
          <w:p>
            <w:pPr>
              <w:ind w:left="0" w:right="0" w:firstLine="0"/>
              <w:jc w:val="center"/>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 xml:space="preserve">02</w:t>
            </w:r>
            <w:r/>
          </w:p>
        </w:tc>
        <w:tc>
          <w:tcPr>
            <w:shd w:val="clear" w:color="auto" w:fill="auto"/>
            <w:tcW w:w="2263" w:type="dxa"/>
            <w:vAlign w:val="center"/>
            <w:textDirection w:val="lrTb"/>
            <w:noWrap w:val="false"/>
          </w:tcPr>
          <w:p>
            <w:pPr>
              <w:ind w:left="0" w:right="0" w:firstLine="0"/>
              <w:jc w:val="center"/>
              <w:spacing w:after="0" w:line="240" w:lineRule="auto"/>
              <w:rPr>
                <w:rFonts w:hint="eastAsia" w:ascii="宋体" w:hAnsi="宋体" w:eastAsia="宋体" w:cs="宋体"/>
                <w:b w:val="0"/>
                <w:bCs/>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（104国道标段）</w:t>
            </w:r>
            <w:r/>
          </w:p>
        </w:tc>
        <w:tc>
          <w:tcPr>
            <w:shd w:val="clear" w:color="auto" w:fill="auto"/>
            <w:tcW w:w="6230"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b w:val="0"/>
                <w:bCs/>
                <w:color w:val="auto"/>
                <w:sz w:val="24"/>
                <w:szCs w:val="24"/>
                <w:highlight w:val="none"/>
                <w:vertAlign w:val="baseline"/>
                <w:lang w:val="en-US" w:eastAsia="zh-CN" w:bidi="ar-SA"/>
              </w:rPr>
              <w:outlineLvl w:val="0"/>
            </w:pPr>
            <w:r>
              <w:rPr>
                <w:rFonts w:hint="eastAsia" w:ascii="宋体" w:hAnsi="宋体" w:eastAsia="宋体" w:cs="宋体"/>
                <w:b w:val="0"/>
                <w:bCs w:val="0"/>
                <w:color w:val="auto"/>
                <w:sz w:val="24"/>
                <w:szCs w:val="24"/>
                <w:highlight w:val="none"/>
              </w:rPr>
              <w:t xml:space="preserve">绿篱机、草坪机、割灌机、药水机、水泵各不少于3台；吹风机、油锯各</w:t>
            </w:r>
            <w:r>
              <w:rPr>
                <w:rFonts w:hint="eastAsia" w:ascii="宋体" w:hAnsi="宋体" w:cs="宋体"/>
                <w:b w:val="0"/>
                <w:bCs w:val="0"/>
                <w:color w:val="auto"/>
                <w:sz w:val="24"/>
                <w:szCs w:val="24"/>
                <w:highlight w:val="none"/>
                <w:lang w:val="en-US" w:eastAsia="zh-CN"/>
              </w:rPr>
              <w:t xml:space="preserve">不少于2</w:t>
            </w:r>
            <w:r>
              <w:rPr>
                <w:rFonts w:hint="eastAsia" w:ascii="宋体" w:hAnsi="宋体" w:eastAsia="宋体" w:cs="宋体"/>
                <w:b w:val="0"/>
                <w:bCs w:val="0"/>
                <w:color w:val="auto"/>
                <w:sz w:val="24"/>
                <w:szCs w:val="24"/>
                <w:highlight w:val="none"/>
              </w:rPr>
              <w:t xml:space="preserve">台；</w:t>
            </w:r>
            <w:r>
              <w:rPr>
                <w:rFonts w:hint="eastAsia" w:ascii="宋体" w:hAnsi="宋体" w:cs="宋体"/>
                <w:b/>
                <w:bCs/>
                <w:color w:val="auto"/>
                <w:sz w:val="24"/>
                <w:highlight w:val="none"/>
              </w:rPr>
              <w:t xml:space="preserve">核定载质量≥</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吨</w:t>
            </w:r>
            <w:r>
              <w:rPr>
                <w:rFonts w:hint="eastAsia" w:ascii="宋体" w:hAnsi="宋体" w:cs="宋体"/>
                <w:b/>
                <w:bCs/>
                <w:color w:val="auto"/>
                <w:sz w:val="24"/>
                <w:highlight w:val="none"/>
                <w:lang w:eastAsia="zh-CN"/>
              </w:rPr>
              <w:t xml:space="preserve">的</w:t>
            </w:r>
            <w:r>
              <w:rPr>
                <w:rFonts w:hint="eastAsia" w:ascii="宋体" w:hAnsi="宋体" w:eastAsia="宋体" w:cs="宋体"/>
                <w:b/>
                <w:bCs/>
                <w:color w:val="auto"/>
                <w:sz w:val="24"/>
                <w:szCs w:val="24"/>
                <w:highlight w:val="none"/>
              </w:rPr>
              <w:t xml:space="preserve">洒水车</w:t>
            </w:r>
            <w:r>
              <w:rPr>
                <w:rFonts w:hint="eastAsia" w:ascii="宋体" w:hAnsi="宋体" w:eastAsia="宋体" w:cs="宋体"/>
                <w:b w:val="0"/>
                <w:bCs w:val="0"/>
                <w:color w:val="auto"/>
                <w:sz w:val="24"/>
                <w:szCs w:val="24"/>
                <w:highlight w:val="none"/>
              </w:rPr>
              <w:t xml:space="preserve">不少于1辆</w:t>
            </w:r>
            <w:r>
              <w:rPr>
                <w:rFonts w:hint="eastAsia" w:ascii="宋体" w:hAnsi="宋体" w:eastAsia="宋体" w:cs="宋体"/>
                <w:b w:val="0"/>
                <w:bCs w:val="0"/>
                <w:color w:val="auto"/>
                <w:sz w:val="24"/>
                <w:szCs w:val="24"/>
                <w:highlight w:val="none"/>
                <w:lang w:eastAsia="zh-CN"/>
              </w:rPr>
              <w:t xml:space="preserve">。</w:t>
            </w:r>
            <w:r/>
          </w:p>
        </w:tc>
      </w:tr>
      <w:tr>
        <w:trPr>
          <w:jc w:val="center"/>
          <w:trHeight w:val="0"/>
        </w:trPr>
        <w:tc>
          <w:tcPr>
            <w:tcW w:w="795" w:type="dxa"/>
            <w:vAlign w:val="center"/>
            <w:textDirection w:val="lrTb"/>
            <w:noWrap w:val="false"/>
          </w:tcPr>
          <w:p>
            <w:pPr>
              <w:ind w:left="0" w:right="0" w:firstLine="0"/>
              <w:jc w:val="center"/>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 xml:space="preserve">03</w:t>
            </w:r>
            <w:r/>
          </w:p>
        </w:tc>
        <w:tc>
          <w:tcPr>
            <w:tcW w:w="2263" w:type="dxa"/>
            <w:vAlign w:val="center"/>
            <w:textDirection w:val="lrTb"/>
            <w:noWrap w:val="false"/>
          </w:tcPr>
          <w:p>
            <w:pPr>
              <w:ind w:left="0" w:right="0" w:firstLine="0"/>
              <w:jc w:val="center"/>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（工业园区标段）</w:t>
            </w:r>
            <w:r/>
          </w:p>
        </w:tc>
        <w:tc>
          <w:tcPr>
            <w:tcW w:w="6230"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b w:val="0"/>
                <w:bCs/>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rPr>
              <w:t xml:space="preserve">绿篱机、草坪机、割灌机、药水机、水泵各不少于3台；吹风机、油锯各不少于2台；</w:t>
            </w:r>
            <w:r>
              <w:rPr>
                <w:rFonts w:hint="eastAsia" w:ascii="宋体" w:hAnsi="宋体" w:cs="宋体"/>
                <w:b/>
                <w:bCs/>
                <w:color w:val="auto"/>
                <w:sz w:val="24"/>
                <w:highlight w:val="none"/>
              </w:rPr>
              <w:t xml:space="preserve">核定载质量≥</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吨</w:t>
            </w:r>
            <w:r>
              <w:rPr>
                <w:rFonts w:hint="eastAsia" w:ascii="宋体" w:hAnsi="宋体" w:cs="宋体"/>
                <w:b/>
                <w:bCs/>
                <w:color w:val="auto"/>
                <w:sz w:val="24"/>
                <w:highlight w:val="none"/>
                <w:lang w:eastAsia="zh-CN"/>
              </w:rPr>
              <w:t xml:space="preserve">的</w:t>
            </w:r>
            <w:r>
              <w:rPr>
                <w:rFonts w:hint="eastAsia" w:ascii="宋体" w:hAnsi="宋体" w:eastAsia="宋体" w:cs="宋体"/>
                <w:b/>
                <w:bCs/>
                <w:color w:val="auto"/>
                <w:sz w:val="24"/>
                <w:szCs w:val="24"/>
                <w:highlight w:val="none"/>
              </w:rPr>
              <w:t xml:space="preserve">洒水车</w:t>
            </w:r>
            <w:r>
              <w:rPr>
                <w:rFonts w:hint="eastAsia" w:ascii="宋体" w:hAnsi="宋体" w:eastAsia="宋体" w:cs="宋体"/>
                <w:b w:val="0"/>
                <w:bCs w:val="0"/>
                <w:color w:val="auto"/>
                <w:sz w:val="24"/>
                <w:szCs w:val="24"/>
                <w:highlight w:val="none"/>
              </w:rPr>
              <w:t xml:space="preserve">不少于1辆</w:t>
            </w:r>
            <w:r>
              <w:rPr>
                <w:rFonts w:hint="eastAsia" w:ascii="宋体" w:hAnsi="宋体" w:eastAsia="宋体" w:cs="宋体"/>
                <w:b w:val="0"/>
                <w:bCs w:val="0"/>
                <w:color w:val="auto"/>
                <w:sz w:val="24"/>
                <w:szCs w:val="24"/>
                <w:highlight w:val="none"/>
                <w:lang w:eastAsia="zh-CN"/>
              </w:rPr>
              <w:t xml:space="preserve">。</w:t>
            </w:r>
            <w:r/>
          </w:p>
        </w:tc>
      </w:tr>
      <w:tr>
        <w:trPr>
          <w:jc w:val="center"/>
          <w:trHeight w:val="0"/>
        </w:trPr>
        <w:tc>
          <w:tcPr>
            <w:tcW w:w="795" w:type="dxa"/>
            <w:vAlign w:val="center"/>
            <w:textDirection w:val="lrTb"/>
            <w:noWrap w:val="false"/>
          </w:tcPr>
          <w:p>
            <w:pPr>
              <w:ind w:left="0" w:right="0" w:firstLine="0"/>
              <w:jc w:val="center"/>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 xml:space="preserve">04</w:t>
            </w:r>
            <w:r/>
          </w:p>
        </w:tc>
        <w:tc>
          <w:tcPr>
            <w:shd w:val="clear" w:color="auto" w:fill="auto"/>
            <w:tcW w:w="2263" w:type="dxa"/>
            <w:vAlign w:val="center"/>
            <w:textDirection w:val="lrTb"/>
            <w:noWrap w:val="false"/>
          </w:tcPr>
          <w:p>
            <w:pPr>
              <w:ind w:left="0" w:right="0" w:firstLine="0"/>
              <w:jc w:val="center"/>
              <w:spacing w:after="0" w:line="240" w:lineRule="auto"/>
              <w:rPr>
                <w:rFonts w:hint="eastAsia" w:ascii="宋体" w:hAnsi="宋体" w:eastAsia="宋体" w:cs="宋体"/>
                <w:b w:val="0"/>
                <w:bCs/>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（上沛及曹山标段）</w:t>
            </w:r>
            <w:r/>
          </w:p>
        </w:tc>
        <w:tc>
          <w:tcPr>
            <w:shd w:val="clear" w:color="auto" w:fill="auto"/>
            <w:tcW w:w="6230"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b w:val="0"/>
                <w:bCs/>
                <w:color w:val="auto"/>
                <w:sz w:val="24"/>
                <w:szCs w:val="24"/>
                <w:highlight w:val="none"/>
                <w:vertAlign w:val="baseline"/>
                <w:lang w:val="en-US" w:eastAsia="zh-CN" w:bidi="ar-SA"/>
              </w:rPr>
              <w:outlineLvl w:val="0"/>
            </w:pPr>
            <w:r>
              <w:rPr>
                <w:rFonts w:hint="eastAsia" w:ascii="宋体" w:hAnsi="宋体" w:eastAsia="宋体" w:cs="宋体"/>
                <w:b w:val="0"/>
                <w:bCs w:val="0"/>
                <w:color w:val="auto"/>
                <w:sz w:val="24"/>
                <w:szCs w:val="24"/>
                <w:highlight w:val="none"/>
              </w:rPr>
              <w:t xml:space="preserve">绿篱机、草坪机、割灌机各不少于5台；吹风机、油锯各不少于3台；药水机、水泵各不少于2台；</w:t>
            </w:r>
            <w:r>
              <w:rPr>
                <w:rFonts w:hint="eastAsia" w:ascii="宋体" w:hAnsi="宋体" w:cs="宋体"/>
                <w:b/>
                <w:bCs/>
                <w:color w:val="auto"/>
                <w:sz w:val="24"/>
                <w:highlight w:val="none"/>
              </w:rPr>
              <w:t xml:space="preserve">核定载质量≥</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吨</w:t>
            </w:r>
            <w:r>
              <w:rPr>
                <w:rFonts w:hint="eastAsia" w:ascii="宋体" w:hAnsi="宋体" w:cs="宋体"/>
                <w:b/>
                <w:bCs/>
                <w:color w:val="auto"/>
                <w:sz w:val="24"/>
                <w:highlight w:val="none"/>
                <w:lang w:eastAsia="zh-CN"/>
              </w:rPr>
              <w:t xml:space="preserve">的</w:t>
            </w:r>
            <w:r>
              <w:rPr>
                <w:rFonts w:hint="eastAsia" w:ascii="宋体" w:hAnsi="宋体" w:eastAsia="宋体" w:cs="宋体"/>
                <w:b/>
                <w:bCs/>
                <w:color w:val="auto"/>
                <w:sz w:val="24"/>
                <w:szCs w:val="24"/>
                <w:highlight w:val="none"/>
              </w:rPr>
              <w:t xml:space="preserve">洒水车</w:t>
            </w:r>
            <w:r>
              <w:rPr>
                <w:rFonts w:hint="eastAsia" w:ascii="宋体" w:hAnsi="宋体" w:eastAsia="宋体" w:cs="宋体"/>
                <w:b w:val="0"/>
                <w:bCs w:val="0"/>
                <w:color w:val="auto"/>
                <w:sz w:val="24"/>
                <w:szCs w:val="24"/>
                <w:highlight w:val="none"/>
              </w:rPr>
              <w:t xml:space="preserve">不少于1辆</w:t>
            </w:r>
            <w:r>
              <w:rPr>
                <w:rFonts w:hint="eastAsia" w:ascii="宋体" w:hAnsi="宋体" w:eastAsia="宋体" w:cs="宋体"/>
                <w:b w:val="0"/>
                <w:bCs w:val="0"/>
                <w:color w:val="auto"/>
                <w:sz w:val="24"/>
                <w:szCs w:val="24"/>
                <w:highlight w:val="none"/>
                <w:lang w:eastAsia="zh-CN"/>
              </w:rPr>
              <w:t xml:space="preserve">。</w:t>
            </w:r>
            <w:r/>
          </w:p>
        </w:tc>
      </w:tr>
    </w:tbl>
    <w:p>
      <w:pPr>
        <w:ind w:firstLine="480"/>
        <w:jc w:val="both"/>
        <w:spacing w:line="360" w:lineRule="auto"/>
        <w:rPr>
          <w:rFonts w:hint="eastAsia" w:ascii="宋体" w:hAnsi="宋体" w:eastAsia="宋体" w:cs="宋体"/>
          <w:b/>
          <w:bCs/>
          <w:sz w:val="24"/>
          <w:highlight w:val="none"/>
        </w:rPr>
        <w:outlineLvl w:val="0"/>
      </w:pPr>
      <w:r>
        <w:rPr>
          <w:rFonts w:hint="eastAsia" w:ascii="宋体" w:hAnsi="宋体" w:cs="宋体"/>
          <w:sz w:val="24"/>
          <w:highlight w:val="none"/>
          <w:lang w:val="en-US" w:eastAsia="zh-CN"/>
        </w:rPr>
        <w:t xml:space="preserve"> </w:t>
      </w:r>
      <w:r>
        <w:rPr>
          <w:rFonts w:hint="eastAsia" w:ascii="宋体" w:hAnsi="宋体" w:cs="宋体"/>
          <w:b/>
          <w:bCs/>
          <w:sz w:val="24"/>
          <w:highlight w:val="none"/>
          <w:lang w:val="en-US" w:eastAsia="zh-CN"/>
        </w:rPr>
        <w:t xml:space="preserve"> 注：</w:t>
      </w:r>
      <w:r>
        <w:rPr>
          <w:rFonts w:hint="eastAsia" w:ascii="宋体" w:hAnsi="宋体" w:eastAsia="宋体" w:cs="宋体"/>
          <w:b/>
          <w:bCs/>
          <w:sz w:val="24"/>
          <w:highlight w:val="none"/>
        </w:rPr>
        <w:t xml:space="preserve">以上</w:t>
      </w:r>
      <w:r>
        <w:rPr>
          <w:rFonts w:hint="eastAsia" w:ascii="宋体" w:hAnsi="宋体" w:eastAsia="宋体" w:cs="宋体"/>
          <w:b/>
          <w:bCs/>
          <w:sz w:val="24"/>
          <w:highlight w:val="none"/>
          <w:lang w:val="en-US" w:eastAsia="zh-CN"/>
        </w:rPr>
        <w:t xml:space="preserve">自有</w:t>
      </w:r>
      <w:r>
        <w:rPr>
          <w:rFonts w:hint="eastAsia" w:ascii="宋体" w:hAnsi="宋体" w:eastAsia="宋体" w:cs="宋体"/>
          <w:b/>
          <w:bCs/>
          <w:sz w:val="24"/>
          <w:highlight w:val="none"/>
        </w:rPr>
        <w:t xml:space="preserve">机械</w:t>
      </w:r>
      <w:r>
        <w:rPr>
          <w:rFonts w:hint="eastAsia" w:ascii="宋体" w:hAnsi="宋体" w:cs="宋体"/>
          <w:b/>
          <w:bCs/>
          <w:sz w:val="24"/>
          <w:highlight w:val="none"/>
          <w:lang w:val="en-US" w:eastAsia="zh-CN"/>
        </w:rPr>
        <w:t xml:space="preserve">或车辆</w:t>
      </w:r>
      <w:r>
        <w:rPr>
          <w:rFonts w:hint="eastAsia" w:ascii="宋体" w:hAnsi="宋体" w:eastAsia="宋体" w:cs="宋体"/>
          <w:b/>
          <w:bCs/>
          <w:sz w:val="24"/>
          <w:highlight w:val="none"/>
        </w:rPr>
        <w:t xml:space="preserve">需提供购买发票等证明材料</w:t>
      </w:r>
      <w:r>
        <w:rPr>
          <w:rFonts w:hint="eastAsia" w:ascii="宋体" w:hAnsi="宋体" w:eastAsia="宋体" w:cs="宋体"/>
          <w:b/>
          <w:bCs/>
          <w:sz w:val="24"/>
          <w:highlight w:val="none"/>
          <w:lang w:val="en-US" w:eastAsia="zh-CN"/>
        </w:rPr>
        <w:t xml:space="preserve">原件扫描件</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租赁机械</w:t>
      </w:r>
      <w:r>
        <w:rPr>
          <w:rFonts w:hint="eastAsia" w:ascii="宋体" w:hAnsi="宋体" w:cs="宋体"/>
          <w:b/>
          <w:bCs/>
          <w:sz w:val="24"/>
          <w:highlight w:val="none"/>
          <w:lang w:val="en-US" w:eastAsia="zh-CN"/>
        </w:rPr>
        <w:t xml:space="preserve">或车辆</w:t>
      </w:r>
      <w:r>
        <w:rPr>
          <w:rFonts w:hint="eastAsia" w:ascii="宋体" w:hAnsi="宋体" w:eastAsia="宋体" w:cs="宋体"/>
          <w:b/>
          <w:bCs/>
          <w:sz w:val="24"/>
          <w:highlight w:val="none"/>
          <w:lang w:val="en-US" w:eastAsia="zh-CN"/>
        </w:rPr>
        <w:t xml:space="preserve">需提供租赁协议</w:t>
      </w:r>
      <w:r>
        <w:rPr>
          <w:rFonts w:hint="eastAsia" w:ascii="宋体" w:hAnsi="宋体" w:eastAsia="宋体" w:cs="宋体"/>
          <w:b/>
          <w:bCs/>
          <w:sz w:val="24"/>
          <w:highlight w:val="none"/>
        </w:rPr>
        <w:t xml:space="preserve">等证明材料</w:t>
      </w:r>
      <w:r>
        <w:rPr>
          <w:rFonts w:hint="eastAsia" w:ascii="宋体" w:hAnsi="宋体" w:eastAsia="宋体" w:cs="宋体"/>
          <w:b/>
          <w:bCs/>
          <w:sz w:val="24"/>
          <w:highlight w:val="none"/>
          <w:lang w:val="en-US" w:eastAsia="zh-CN"/>
        </w:rPr>
        <w:t xml:space="preserve">原件扫描件；</w:t>
      </w:r>
      <w:r>
        <w:rPr>
          <w:rFonts w:hint="eastAsia" w:ascii="宋体" w:hAnsi="宋体" w:cs="宋体"/>
          <w:b/>
          <w:bCs/>
          <w:sz w:val="24"/>
          <w:highlight w:val="none"/>
          <w:lang w:val="en-US" w:eastAsia="zh-CN"/>
        </w:rPr>
        <w:t xml:space="preserve">车辆需提供行驶证</w:t>
      </w:r>
      <w:r>
        <w:rPr>
          <w:rFonts w:hint="eastAsia" w:ascii="宋体" w:hAnsi="宋体" w:eastAsia="宋体" w:cs="宋体"/>
          <w:b/>
          <w:bCs/>
          <w:sz w:val="24"/>
          <w:highlight w:val="none"/>
        </w:rPr>
        <w:t xml:space="preserve">。</w:t>
      </w:r>
      <w:r/>
    </w:p>
    <w:p>
      <w:pPr>
        <w:ind w:firstLine="480"/>
        <w:jc w:val="both"/>
        <w:spacing w:line="360" w:lineRule="auto"/>
        <w:rPr>
          <w:rFonts w:hint="eastAsia" w:ascii="宋体" w:hAnsi="宋体" w:eastAsia="宋体" w:cs="宋体"/>
          <w:b w:val="0"/>
          <w:bCs w:val="0"/>
          <w:sz w:val="24"/>
          <w:highlight w:val="none"/>
          <w:lang w:val="en-US" w:eastAsia="zh-CN"/>
        </w:rPr>
        <w:outlineLvl w:val="0"/>
      </w:pP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、人员配置</w:t>
      </w:r>
      <w:r/>
    </w:p>
    <w:tbl>
      <w:tblPr>
        <w:tblStyle w:val="908"/>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3577"/>
        <w:gridCol w:w="4662"/>
      </w:tblGrid>
      <w:tr>
        <w:trPr>
          <w:jc w:val="center"/>
          <w:trHeight w:val="0"/>
          <w:tblHeader/>
        </w:trPr>
        <w:tc>
          <w:tcPr>
            <w:tcW w:w="0" w:type="auto"/>
            <w:vAlign w:val="center"/>
            <w:textDirection w:val="lrTb"/>
            <w:noWrap w:val="false"/>
          </w:tcPr>
          <w:p>
            <w:pPr>
              <w:ind w:left="0" w:right="0" w:firstLine="0"/>
              <w:jc w:val="center"/>
              <w:keepNext/>
              <w:spacing w:after="0" w:line="240" w:lineRule="auto"/>
              <w:rPr>
                <w:rFonts w:hint="eastAsia" w:ascii="宋体" w:hAnsi="宋体" w:cs="宋体"/>
                <w:b/>
                <w:bCs/>
                <w:sz w:val="24"/>
                <w:szCs w:val="24"/>
                <w:highlight w:val="none"/>
                <w:vertAlign w:val="baseline"/>
                <w:lang w:val="en-US" w:eastAsia="zh-CN"/>
              </w:rPr>
            </w:pPr>
            <w:r>
              <w:rPr>
                <w:rFonts w:hint="eastAsia" w:ascii="宋体" w:hAnsi="宋体" w:eastAsia="宋体" w:cs="宋体"/>
                <w:b/>
                <w:color w:val="auto"/>
                <w:sz w:val="24"/>
                <w:szCs w:val="24"/>
                <w:highlight w:val="none"/>
              </w:rPr>
              <w:t xml:space="preserve">包号</w:t>
            </w:r>
            <w:r/>
          </w:p>
        </w:tc>
        <w:tc>
          <w:tcPr>
            <w:tcW w:w="0" w:type="auto"/>
            <w:vAlign w:val="center"/>
            <w:textDirection w:val="lrTb"/>
            <w:noWrap w:val="false"/>
          </w:tcPr>
          <w:p>
            <w:pPr>
              <w:ind w:left="0" w:right="0" w:firstLine="0"/>
              <w:jc w:val="center"/>
              <w:keepNext/>
              <w:spacing w:after="0" w:line="240" w:lineRule="auto"/>
              <w:rPr>
                <w:rFonts w:hint="eastAsia" w:ascii="宋体" w:hAnsi="宋体" w:cs="宋体"/>
                <w:b/>
                <w:bCs/>
                <w:sz w:val="24"/>
                <w:szCs w:val="24"/>
                <w:highlight w:val="none"/>
                <w:vertAlign w:val="baseline"/>
                <w:lang w:val="en-US" w:eastAsia="zh-CN"/>
              </w:rPr>
            </w:pPr>
            <w:r>
              <w:rPr>
                <w:rFonts w:hint="eastAsia" w:ascii="宋体" w:hAnsi="宋体" w:eastAsia="宋体" w:cs="宋体"/>
                <w:b/>
                <w:color w:val="auto"/>
                <w:sz w:val="24"/>
                <w:szCs w:val="24"/>
                <w:highlight w:val="none"/>
              </w:rPr>
              <w:t xml:space="preserve">标的名称</w:t>
            </w:r>
            <w:r/>
          </w:p>
        </w:tc>
        <w:tc>
          <w:tcPr>
            <w:tcW w:w="4662" w:type="dxa"/>
            <w:vAlign w:val="center"/>
            <w:textDirection w:val="lrTb"/>
            <w:noWrap w:val="false"/>
          </w:tcPr>
          <w:p>
            <w:pPr>
              <w:ind w:left="0" w:right="0" w:firstLine="0"/>
              <w:jc w:val="center"/>
              <w:keepLines w:val="0"/>
              <w:keepNext/>
              <w:pageBreakBefore w:val="0"/>
              <w:spacing w:after="0" w:line="240" w:lineRule="auto"/>
              <w:widowControl w:val="off"/>
              <w:rPr>
                <w:rFonts w:hint="default" w:ascii="宋体" w:hAnsi="宋体" w:cs="宋体"/>
                <w:b/>
                <w:bCs/>
                <w:sz w:val="24"/>
                <w:szCs w:val="24"/>
                <w:highlight w:val="none"/>
                <w:vertAlign w:val="baseline"/>
                <w:lang w:val="en-US" w:eastAsia="zh-CN"/>
              </w:rPr>
              <w:outlineLvl w:val="0"/>
            </w:pPr>
            <w:r>
              <w:rPr>
                <w:rFonts w:hint="eastAsia" w:ascii="宋体" w:hAnsi="宋体" w:eastAsia="宋体" w:cs="宋体"/>
                <w:b/>
                <w:sz w:val="24"/>
                <w:highlight w:val="none"/>
                <w:lang w:eastAsia="zh-CN"/>
              </w:rPr>
              <w:t xml:space="preserve">绿化养护人员</w:t>
            </w:r>
            <w:r>
              <w:rPr>
                <w:rFonts w:hint="eastAsia" w:ascii="宋体" w:hAnsi="宋体" w:cs="宋体"/>
                <w:b/>
                <w:sz w:val="24"/>
                <w:highlight w:val="none"/>
                <w:lang w:val="en-US" w:eastAsia="zh-CN"/>
              </w:rPr>
              <w:t xml:space="preserve">配置最低人数</w:t>
            </w:r>
            <w:r/>
          </w:p>
        </w:tc>
      </w:tr>
      <w:tr>
        <w:trPr>
          <w:jc w:val="center"/>
          <w:trHeight w:val="0"/>
        </w:trPr>
        <w:tc>
          <w:tcPr>
            <w:tcW w:w="0" w:type="auto"/>
            <w:vAlign w:val="center"/>
            <w:textDirection w:val="lrTb"/>
            <w:noWrap w:val="false"/>
          </w:tcPr>
          <w:p>
            <w:pPr>
              <w:ind w:left="0" w:right="0" w:firstLine="0"/>
              <w:jc w:val="center"/>
              <w:keepNext/>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rPr>
              <w:t xml:space="preserve">01</w:t>
            </w:r>
            <w:r/>
          </w:p>
        </w:tc>
        <w:tc>
          <w:tcPr>
            <w:tcW w:w="0" w:type="auto"/>
            <w:vAlign w:val="center"/>
            <w:textDirection w:val="lrTb"/>
            <w:noWrap w:val="false"/>
          </w:tcPr>
          <w:p>
            <w:pPr>
              <w:ind w:left="0" w:right="0" w:firstLine="0"/>
              <w:jc w:val="center"/>
              <w:keepNext/>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（上兴集镇标段</w:t>
            </w:r>
            <w:r>
              <w:rPr>
                <w:rFonts w:hint="eastAsia" w:ascii="宋体" w:hAnsi="宋体" w:cs="宋体"/>
                <w:color w:val="auto"/>
                <w:sz w:val="24"/>
                <w:szCs w:val="24"/>
                <w:highlight w:val="none"/>
                <w:lang w:val="en-US" w:eastAsia="zh-CN"/>
              </w:rPr>
              <w:t xml:space="preserve">）</w:t>
            </w:r>
            <w:r/>
          </w:p>
        </w:tc>
        <w:tc>
          <w:tcPr>
            <w:tcW w:w="4662" w:type="dxa"/>
            <w:vAlign w:val="center"/>
            <w:textDirection w:val="lrTb"/>
            <w:noWrap w:val="false"/>
          </w:tcPr>
          <w:p>
            <w:pPr>
              <w:ind w:left="0" w:right="0" w:firstLine="0"/>
              <w:jc w:val="center"/>
              <w:keepLines w:val="0"/>
              <w:keepNext/>
              <w:pageBreakBefore w:val="0"/>
              <w:spacing w:after="0" w:line="240" w:lineRule="auto"/>
              <w:widowControl w:val="off"/>
              <w:rPr>
                <w:rFonts w:hint="default" w:ascii="宋体" w:hAnsi="宋体" w:cs="宋体"/>
                <w:b w:val="0"/>
                <w:bCs/>
                <w:color w:val="auto"/>
                <w:sz w:val="24"/>
                <w:szCs w:val="24"/>
                <w:highlight w:val="none"/>
                <w:vertAlign w:val="baseline"/>
                <w:lang w:val="en-US" w:eastAsia="zh-CN"/>
              </w:rPr>
              <w:outlineLvl w:val="0"/>
            </w:pPr>
            <w:r>
              <w:rPr>
                <w:rFonts w:hint="eastAsia" w:ascii="宋体" w:hAnsi="宋体" w:eastAsia="宋体" w:cs="宋体"/>
                <w:color w:val="auto"/>
                <w:sz w:val="24"/>
                <w:highlight w:val="none"/>
                <w:lang w:eastAsia="zh-CN"/>
              </w:rPr>
              <w:t xml:space="preserve">最低不得少于24</w:t>
            </w:r>
            <w:r>
              <w:rPr>
                <w:rFonts w:hint="eastAsia" w:ascii="宋体" w:hAnsi="宋体" w:cs="宋体"/>
                <w:color w:val="auto"/>
                <w:sz w:val="24"/>
                <w:highlight w:val="none"/>
                <w:lang w:val="en-US" w:eastAsia="zh-CN"/>
              </w:rPr>
              <w:t xml:space="preserve">人</w:t>
            </w:r>
            <w:r/>
          </w:p>
        </w:tc>
      </w:tr>
      <w:tr>
        <w:trPr>
          <w:jc w:val="center"/>
          <w:trHeight w:val="0"/>
        </w:trPr>
        <w:tc>
          <w:tcPr>
            <w:tcW w:w="0" w:type="auto"/>
            <w:vAlign w:val="center"/>
            <w:textDirection w:val="lrTb"/>
            <w:noWrap w:val="false"/>
          </w:tcPr>
          <w:p>
            <w:pPr>
              <w:ind w:left="0" w:right="0" w:firstLine="0"/>
              <w:jc w:val="center"/>
              <w:keepNext/>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 xml:space="preserve">02</w:t>
            </w:r>
            <w:r/>
          </w:p>
        </w:tc>
        <w:tc>
          <w:tcPr>
            <w:shd w:val="clear" w:color="auto" w:fill="auto"/>
            <w:tcW w:w="0" w:type="auto"/>
            <w:vAlign w:val="center"/>
            <w:textDirection w:val="lrTb"/>
            <w:noWrap w:val="false"/>
          </w:tcPr>
          <w:p>
            <w:pPr>
              <w:ind w:left="0" w:right="0" w:firstLine="0"/>
              <w:jc w:val="center"/>
              <w:keepNext/>
              <w:spacing w:after="0" w:line="240" w:lineRule="auto"/>
              <w:rPr>
                <w:rFonts w:hint="eastAsia" w:ascii="宋体" w:hAnsi="宋体" w:eastAsia="宋体" w:cs="宋体"/>
                <w:b w:val="0"/>
                <w:bCs/>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（104国道标段）</w:t>
            </w:r>
            <w:r/>
          </w:p>
        </w:tc>
        <w:tc>
          <w:tcPr>
            <w:shd w:val="clear" w:color="auto" w:fill="auto"/>
            <w:tcW w:w="4662" w:type="dxa"/>
            <w:vAlign w:val="center"/>
            <w:textDirection w:val="lrTb"/>
            <w:noWrap w:val="false"/>
          </w:tcPr>
          <w:p>
            <w:pPr>
              <w:ind w:left="0" w:right="0" w:firstLine="0"/>
              <w:jc w:val="center"/>
              <w:keepLines w:val="0"/>
              <w:keepNext/>
              <w:pageBreakBefore w:val="0"/>
              <w:spacing w:after="0" w:line="240" w:lineRule="auto"/>
              <w:widowControl w:val="off"/>
              <w:rPr>
                <w:rFonts w:hint="default" w:ascii="宋体" w:hAnsi="宋体" w:eastAsia="宋体" w:cs="宋体"/>
                <w:b w:val="0"/>
                <w:bCs/>
                <w:color w:val="auto"/>
                <w:sz w:val="24"/>
                <w:szCs w:val="24"/>
                <w:highlight w:val="none"/>
                <w:vertAlign w:val="baseline"/>
                <w:lang w:val="en-US" w:eastAsia="zh-CN" w:bidi="ar-SA"/>
              </w:rPr>
              <w:outlineLvl w:val="0"/>
            </w:pPr>
            <w:r>
              <w:rPr>
                <w:rFonts w:hint="eastAsia" w:ascii="宋体" w:hAnsi="宋体" w:eastAsia="宋体" w:cs="宋体"/>
                <w:color w:val="auto"/>
                <w:sz w:val="24"/>
                <w:highlight w:val="none"/>
                <w:lang w:eastAsia="zh-CN"/>
              </w:rPr>
              <w:t xml:space="preserve">最低不得少于</w:t>
            </w:r>
            <w:r>
              <w:rPr>
                <w:rFonts w:hint="eastAsia" w:ascii="宋体" w:hAnsi="宋体" w:cs="宋体"/>
                <w:color w:val="auto"/>
                <w:sz w:val="24"/>
                <w:highlight w:val="none"/>
                <w:lang w:val="en-US" w:eastAsia="zh-CN"/>
              </w:rPr>
              <w:t xml:space="preserve">23人</w:t>
            </w:r>
            <w:r/>
          </w:p>
        </w:tc>
      </w:tr>
      <w:tr>
        <w:trPr>
          <w:jc w:val="center"/>
          <w:trHeight w:val="0"/>
        </w:trPr>
        <w:tc>
          <w:tcPr>
            <w:tcW w:w="0" w:type="auto"/>
            <w:vAlign w:val="center"/>
            <w:textDirection w:val="lrTb"/>
            <w:noWrap w:val="false"/>
          </w:tcPr>
          <w:p>
            <w:pPr>
              <w:ind w:left="0" w:right="0" w:firstLine="0"/>
              <w:jc w:val="center"/>
              <w:keepNext/>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 xml:space="preserve">03</w:t>
            </w:r>
            <w:r/>
          </w:p>
        </w:tc>
        <w:tc>
          <w:tcPr>
            <w:tcW w:w="0" w:type="auto"/>
            <w:vAlign w:val="center"/>
            <w:textDirection w:val="lrTb"/>
            <w:noWrap w:val="false"/>
          </w:tcPr>
          <w:p>
            <w:pPr>
              <w:ind w:left="0" w:right="0" w:firstLine="0"/>
              <w:jc w:val="center"/>
              <w:keepNext/>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（工业园区标段）</w:t>
            </w:r>
            <w:r/>
          </w:p>
        </w:tc>
        <w:tc>
          <w:tcPr>
            <w:tcW w:w="4662" w:type="dxa"/>
            <w:vAlign w:val="center"/>
            <w:textDirection w:val="lrTb"/>
            <w:noWrap w:val="false"/>
          </w:tcPr>
          <w:p>
            <w:pPr>
              <w:ind w:left="0" w:right="0" w:firstLine="0"/>
              <w:jc w:val="center"/>
              <w:keepLines w:val="0"/>
              <w:keepNext/>
              <w:pageBreakBefore w:val="0"/>
              <w:spacing w:after="0" w:line="240" w:lineRule="auto"/>
              <w:widowControl w:val="off"/>
              <w:rPr>
                <w:rFonts w:hint="default" w:ascii="宋体" w:hAnsi="宋体" w:cs="宋体"/>
                <w:b w:val="0"/>
                <w:bCs/>
                <w:color w:val="auto"/>
                <w:sz w:val="24"/>
                <w:szCs w:val="24"/>
                <w:highlight w:val="none"/>
                <w:vertAlign w:val="baseline"/>
                <w:lang w:val="en-US" w:eastAsia="zh-CN"/>
              </w:rPr>
              <w:outlineLvl w:val="0"/>
            </w:pPr>
            <w:r>
              <w:rPr>
                <w:rFonts w:hint="eastAsia" w:ascii="宋体" w:hAnsi="宋体" w:eastAsia="宋体" w:cs="宋体"/>
                <w:color w:val="auto"/>
                <w:sz w:val="24"/>
                <w:highlight w:val="none"/>
                <w:lang w:eastAsia="zh-CN"/>
              </w:rPr>
              <w:t xml:space="preserve">最低不得少于</w:t>
            </w:r>
            <w:r>
              <w:rPr>
                <w:rFonts w:hint="eastAsia" w:ascii="宋体" w:hAnsi="宋体" w:cs="宋体"/>
                <w:color w:val="auto"/>
                <w:sz w:val="24"/>
                <w:highlight w:val="none"/>
                <w:lang w:val="en-US" w:eastAsia="zh-CN"/>
              </w:rPr>
              <w:t xml:space="preserve">15人</w:t>
            </w:r>
            <w:r/>
          </w:p>
        </w:tc>
      </w:tr>
      <w:tr>
        <w:trPr>
          <w:jc w:val="center"/>
          <w:trHeight w:val="0"/>
        </w:trPr>
        <w:tc>
          <w:tcPr>
            <w:tcW w:w="1045" w:type="dxa"/>
            <w:vAlign w:val="center"/>
            <w:textDirection w:val="lrTb"/>
            <w:noWrap w:val="false"/>
          </w:tcPr>
          <w:p>
            <w:pPr>
              <w:ind w:left="0" w:right="0" w:firstLine="0"/>
              <w:jc w:val="center"/>
              <w:keepNext/>
              <w:spacing w:after="0" w:line="240" w:lineRule="auto"/>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 xml:space="preserve">04</w:t>
            </w:r>
            <w:r/>
          </w:p>
        </w:tc>
        <w:tc>
          <w:tcPr>
            <w:shd w:val="clear" w:color="auto" w:fill="auto"/>
            <w:tcW w:w="3577" w:type="dxa"/>
            <w:vAlign w:val="center"/>
            <w:textDirection w:val="lrTb"/>
            <w:noWrap w:val="false"/>
          </w:tcPr>
          <w:p>
            <w:pPr>
              <w:ind w:left="0" w:right="0" w:firstLine="0"/>
              <w:jc w:val="center"/>
              <w:keepNext/>
              <w:spacing w:after="0" w:line="240" w:lineRule="auto"/>
              <w:rPr>
                <w:rFonts w:hint="eastAsia" w:ascii="宋体" w:hAnsi="宋体" w:eastAsia="宋体" w:cs="宋体"/>
                <w:b w:val="0"/>
                <w:bCs/>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（上沛及曹山标段）</w:t>
            </w:r>
            <w:r/>
          </w:p>
        </w:tc>
        <w:tc>
          <w:tcPr>
            <w:shd w:val="clear" w:color="auto" w:fill="auto"/>
            <w:tcW w:w="4662" w:type="dxa"/>
            <w:vAlign w:val="center"/>
            <w:textDirection w:val="lrTb"/>
            <w:noWrap w:val="false"/>
          </w:tcPr>
          <w:p>
            <w:pPr>
              <w:ind w:left="0" w:right="0" w:firstLine="0"/>
              <w:jc w:val="center"/>
              <w:keepLines w:val="0"/>
              <w:keepNext/>
              <w:pageBreakBefore w:val="0"/>
              <w:spacing w:after="0" w:line="240" w:lineRule="auto"/>
              <w:widowControl w:val="off"/>
              <w:rPr>
                <w:rFonts w:hint="default" w:ascii="宋体" w:hAnsi="宋体" w:eastAsia="宋体" w:cs="宋体"/>
                <w:b w:val="0"/>
                <w:bCs/>
                <w:color w:val="auto"/>
                <w:sz w:val="24"/>
                <w:szCs w:val="24"/>
                <w:highlight w:val="none"/>
                <w:vertAlign w:val="baseline"/>
                <w:lang w:val="en-US" w:eastAsia="zh-CN" w:bidi="ar-SA"/>
              </w:rPr>
              <w:outlineLvl w:val="0"/>
            </w:pPr>
            <w:r>
              <w:rPr>
                <w:rFonts w:hint="eastAsia" w:ascii="宋体" w:hAnsi="宋体" w:eastAsia="宋体" w:cs="宋体"/>
                <w:color w:val="auto"/>
                <w:sz w:val="24"/>
                <w:highlight w:val="none"/>
                <w:lang w:eastAsia="zh-CN"/>
              </w:rPr>
              <w:t xml:space="preserve">最低不得少于</w:t>
            </w:r>
            <w:r>
              <w:rPr>
                <w:rFonts w:hint="eastAsia" w:ascii="宋体" w:hAnsi="宋体" w:cs="宋体"/>
                <w:color w:val="auto"/>
                <w:sz w:val="24"/>
                <w:highlight w:val="none"/>
                <w:lang w:val="en-US" w:eastAsia="zh-CN"/>
              </w:rPr>
              <w:t xml:space="preserve">10人</w:t>
            </w:r>
            <w:r/>
          </w:p>
        </w:tc>
      </w:tr>
    </w:tbl>
    <w:p>
      <w:pPr>
        <w:ind w:firstLine="482"/>
        <w:keepLines w:val="0"/>
        <w:keepNext w:val="0"/>
        <w:pageBreakBefore w:val="0"/>
        <w:spacing w:line="360" w:lineRule="auto"/>
        <w:widowControl w:val="off"/>
        <w:rPr>
          <w:rFonts w:ascii="宋体" w:hAnsi="宋体" w:eastAsia="宋体" w:cs="宋体"/>
          <w:b/>
          <w:bCs/>
          <w:sz w:val="24"/>
          <w:highlight w:val="none"/>
        </w:rPr>
        <w:outlineLvl w:val="0"/>
      </w:pPr>
      <w:r>
        <w:rPr>
          <w:rFonts w:hint="eastAsia" w:ascii="宋体" w:hAnsi="宋体" w:cs="宋体"/>
          <w:b/>
          <w:bCs w:val="0"/>
          <w:sz w:val="24"/>
          <w:szCs w:val="24"/>
          <w:highlight w:val="none"/>
          <w:lang w:val="en-US" w:eastAsia="zh-CN"/>
        </w:rPr>
        <w:t xml:space="preserve">注：</w:t>
      </w:r>
      <w:r>
        <w:rPr>
          <w:rFonts w:hint="eastAsia" w:ascii="宋体" w:hAnsi="宋体" w:eastAsia="宋体" w:cs="宋体"/>
          <w:b/>
          <w:bCs/>
          <w:sz w:val="24"/>
          <w:highlight w:val="none"/>
          <w:lang w:eastAsia="zh-CN"/>
        </w:rPr>
        <w:t xml:space="preserve">每</w:t>
      </w:r>
      <w:r>
        <w:rPr>
          <w:rFonts w:hint="eastAsia" w:ascii="宋体" w:hAnsi="宋体" w:cs="宋体"/>
          <w:b/>
          <w:bCs/>
          <w:sz w:val="24"/>
          <w:highlight w:val="none"/>
          <w:lang w:val="en-US" w:eastAsia="zh-CN"/>
        </w:rPr>
        <w:t xml:space="preserve">包</w:t>
      </w:r>
      <w:r>
        <w:rPr>
          <w:rFonts w:hint="eastAsia" w:ascii="宋体" w:hAnsi="宋体" w:eastAsia="宋体" w:cs="宋体"/>
          <w:b/>
          <w:bCs/>
          <w:sz w:val="24"/>
          <w:highlight w:val="none"/>
          <w:lang w:eastAsia="zh-CN"/>
        </w:rPr>
        <w:t xml:space="preserve">都需配备</w:t>
      </w:r>
      <w:r>
        <w:rPr>
          <w:rFonts w:hint="eastAsia" w:ascii="宋体" w:hAnsi="宋体" w:eastAsia="宋体" w:cs="宋体"/>
          <w:b/>
          <w:bCs/>
          <w:sz w:val="24"/>
          <w:highlight w:val="none"/>
          <w:lang w:val="en-US" w:eastAsia="zh-CN"/>
        </w:rPr>
        <w:t xml:space="preserve">1名</w:t>
      </w:r>
      <w:r>
        <w:rPr>
          <w:rFonts w:hint="eastAsia" w:ascii="宋体" w:hAnsi="宋体" w:eastAsia="宋体" w:cs="宋体"/>
          <w:b/>
          <w:bCs/>
          <w:sz w:val="24"/>
          <w:highlight w:val="none"/>
        </w:rPr>
        <w:t xml:space="preserve">项目负责人</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rPr>
        <w:t xml:space="preserve">项目负责人包含在最低养护人数中，人员年龄</w:t>
      </w:r>
      <w:r>
        <w:rPr>
          <w:rFonts w:hint="eastAsia" w:ascii="宋体" w:hAnsi="宋体" w:eastAsia="宋体" w:cs="宋体"/>
          <w:b/>
          <w:bCs/>
          <w:color w:val="auto"/>
          <w:sz w:val="24"/>
          <w:highlight w:val="none"/>
          <w:lang w:val="en-US" w:eastAsia="zh-CN"/>
        </w:rPr>
        <w:t xml:space="preserve">女性：年龄 50周岁以下；男性：年龄 60周岁以下</w:t>
      </w:r>
      <w:r>
        <w:rPr>
          <w:rFonts w:hint="eastAsia" w:ascii="宋体" w:hAnsi="宋体" w:eastAsia="宋体" w:cs="宋体"/>
          <w:b/>
          <w:bCs/>
          <w:color w:val="auto"/>
          <w:sz w:val="24"/>
          <w:highlight w:val="none"/>
        </w:rPr>
        <w:t xml:space="preserve">，</w:t>
      </w:r>
      <w:r>
        <w:rPr>
          <w:rFonts w:hint="eastAsia" w:ascii="宋体" w:hAnsi="宋体" w:eastAsia="宋体" w:cs="宋体"/>
          <w:b/>
          <w:bCs/>
          <w:sz w:val="24"/>
          <w:highlight w:val="none"/>
        </w:rPr>
        <w:t xml:space="preserve">为投标人的正式职工或者聘用人员，如需更换人员，需经</w:t>
      </w:r>
      <w:r>
        <w:rPr>
          <w:rFonts w:hint="eastAsia" w:ascii="宋体" w:hAnsi="宋体" w:cs="宋体"/>
          <w:color w:val="auto"/>
          <w:sz w:val="24"/>
          <w:highlight w:val="none"/>
        </w:rPr>
        <w:t xml:space="preserve">溧阳经济开发区综合行政执法</w:t>
      </w:r>
      <w:r>
        <w:rPr>
          <w:rFonts w:hint="eastAsia" w:ascii="宋体" w:hAnsi="宋体" w:cs="宋体"/>
          <w:color w:val="auto"/>
          <w:sz w:val="24"/>
          <w:highlight w:val="none"/>
          <w:lang w:val="en-US" w:eastAsia="zh-CN"/>
        </w:rPr>
        <w:t xml:space="preserve">和安全生产监督管理办公室</w:t>
      </w:r>
      <w:r>
        <w:rPr>
          <w:rFonts w:hint="eastAsia" w:ascii="宋体" w:hAnsi="宋体" w:eastAsia="宋体" w:cs="宋体"/>
          <w:b/>
          <w:bCs/>
          <w:sz w:val="24"/>
          <w:highlight w:val="none"/>
        </w:rPr>
        <w:t xml:space="preserve">书面同意并扣除管养费人民币1万元后方可更换。</w:t>
      </w:r>
      <w:r/>
    </w:p>
    <w:p>
      <w:pPr>
        <w:pStyle w:val="92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①养护作业人员男女不限</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女性：年龄 5</w:t>
      </w:r>
      <w:r>
        <w:rPr>
          <w:rFonts w:hint="eastAsia" w:ascii="宋体" w:hAnsi="宋体" w:cs="宋体"/>
          <w:b w:val="0"/>
          <w:bCs/>
          <w:sz w:val="24"/>
          <w:szCs w:val="24"/>
          <w:highlight w:val="none"/>
          <w:lang w:val="en-US" w:eastAsia="zh-CN"/>
        </w:rPr>
        <w:t xml:space="preserve">0</w:t>
      </w:r>
      <w:r>
        <w:rPr>
          <w:rFonts w:hint="eastAsia" w:ascii="宋体" w:hAnsi="宋体" w:eastAsia="宋体" w:cs="宋体"/>
          <w:b w:val="0"/>
          <w:bCs/>
          <w:sz w:val="24"/>
          <w:szCs w:val="24"/>
          <w:highlight w:val="none"/>
          <w:lang w:val="en-US" w:eastAsia="zh-CN"/>
        </w:rPr>
        <w:t xml:space="preserve">周岁以下；男性：年龄6</w:t>
      </w:r>
      <w:r>
        <w:rPr>
          <w:rFonts w:hint="eastAsia" w:ascii="宋体" w:hAnsi="宋体" w:cs="宋体"/>
          <w:b w:val="0"/>
          <w:bCs/>
          <w:sz w:val="24"/>
          <w:szCs w:val="24"/>
          <w:highlight w:val="none"/>
          <w:lang w:val="en-US" w:eastAsia="zh-CN"/>
        </w:rPr>
        <w:t xml:space="preserve">0</w:t>
      </w:r>
      <w:r>
        <w:rPr>
          <w:rFonts w:hint="eastAsia" w:ascii="宋体" w:hAnsi="宋体" w:eastAsia="宋体" w:cs="宋体"/>
          <w:b w:val="0"/>
          <w:bCs/>
          <w:sz w:val="24"/>
          <w:szCs w:val="24"/>
          <w:highlight w:val="none"/>
          <w:lang w:val="en-US" w:eastAsia="zh-CN"/>
        </w:rPr>
        <w:t xml:space="preserve">周岁以下。</w:t>
      </w:r>
      <w:r>
        <w:rPr>
          <w:rFonts w:hint="eastAsia" w:ascii="宋体" w:hAnsi="宋体" w:cs="宋体"/>
          <w:b w:val="0"/>
          <w:bCs/>
          <w:sz w:val="24"/>
          <w:szCs w:val="24"/>
          <w:highlight w:val="none"/>
          <w:lang w:val="en-US" w:eastAsia="zh-CN"/>
        </w:rPr>
        <w:t xml:space="preserve">管理人员每周工作时间不少于6天，每天工作时间不少于8小时。</w:t>
      </w:r>
      <w:r>
        <w:rPr>
          <w:rFonts w:hint="eastAsia" w:ascii="宋体" w:hAnsi="宋体" w:eastAsia="宋体" w:cs="宋体"/>
          <w:b w:val="0"/>
          <w:bCs/>
          <w:sz w:val="24"/>
          <w:szCs w:val="24"/>
          <w:highlight w:val="none"/>
          <w:lang w:val="en-US" w:eastAsia="zh-CN"/>
        </w:rPr>
        <w:t xml:space="preserve">所有人员身体健康，具有一定的绿化养护经验，工作效率高。 </w:t>
      </w:r>
      <w:r/>
    </w:p>
    <w:p>
      <w:pPr>
        <w:ind w:firstLine="480"/>
        <w:keepLines w:val="0"/>
        <w:keepNext w:val="0"/>
        <w:pageBreakBefore w:val="0"/>
        <w:spacing w:line="360" w:lineRule="auto"/>
        <w:widowControl w:val="off"/>
        <w:rPr>
          <w:rFonts w:hint="eastAsia" w:ascii="宋体" w:hAnsi="宋体" w:eastAsia="宋体" w:cs="宋体"/>
          <w:sz w:val="24"/>
          <w:highlight w:val="none"/>
        </w:rPr>
        <w:outlineLvl w:val="0"/>
      </w:pPr>
      <w:r>
        <w:rPr>
          <w:rFonts w:hint="eastAsia" w:ascii="宋体" w:hAnsi="宋体" w:cs="宋体"/>
          <w:sz w:val="24"/>
          <w:highlight w:val="none"/>
          <w:lang w:val="en-US" w:eastAsia="zh-CN"/>
        </w:rPr>
        <w:t xml:space="preserve">②</w:t>
      </w:r>
      <w:r>
        <w:rPr>
          <w:rFonts w:hint="eastAsia" w:ascii="宋体" w:hAnsi="宋体" w:eastAsia="宋体" w:cs="宋体"/>
          <w:sz w:val="24"/>
          <w:highlight w:val="none"/>
        </w:rPr>
        <w:t xml:space="preserve">工作时间：当日 7：00—当日 18：00，由养护管理承包方根据季节制定轮值计划并报</w:t>
      </w:r>
      <w:r>
        <w:rPr>
          <w:rFonts w:hint="eastAsia" w:ascii="宋体" w:hAnsi="宋体" w:cs="宋体"/>
          <w:color w:val="auto"/>
          <w:sz w:val="24"/>
          <w:highlight w:val="none"/>
        </w:rPr>
        <w:t xml:space="preserve">报溧阳经济开发区综合行政执法</w:t>
      </w:r>
      <w:r>
        <w:rPr>
          <w:rFonts w:hint="eastAsia" w:ascii="宋体" w:hAnsi="宋体" w:cs="宋体"/>
          <w:color w:val="auto"/>
          <w:sz w:val="24"/>
          <w:highlight w:val="none"/>
          <w:lang w:val="en-US" w:eastAsia="zh-CN"/>
        </w:rPr>
        <w:t xml:space="preserve">和安全生产监督管理办公室</w:t>
      </w:r>
      <w:r>
        <w:rPr>
          <w:rFonts w:hint="eastAsia" w:ascii="宋体" w:hAnsi="宋体" w:eastAsia="宋体" w:cs="宋体"/>
          <w:sz w:val="24"/>
          <w:highlight w:val="none"/>
        </w:rPr>
        <w:t xml:space="preserve">同意。</w:t>
      </w:r>
      <w:r/>
    </w:p>
    <w:p>
      <w:pPr>
        <w:pStyle w:val="92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③养护作业人员应统一着装上岗，制服应有反光标志，颜色应以黄、红等视觉明显的色调为宜。背后应印有“XXX 绿化养护+单位名称（全、简称均可）”的醒目字样。 </w:t>
      </w:r>
      <w:r/>
    </w:p>
    <w:p>
      <w:pPr>
        <w:pStyle w:val="92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④确保安全、文明施工原则。养护作业应注意自身和第三方的施工操作人员和行人的安全，注意不损害周边市政设施和建筑物，不影响市容环境。做好各项围护、防护措施， 配合采购人的管理。养护工作中确保零安全事故，如有由中标人自行承担。 </w:t>
      </w:r>
      <w:r/>
    </w:p>
    <w:p>
      <w:pPr>
        <w:pStyle w:val="92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⑤</w:t>
      </w:r>
      <w:r>
        <w:rPr>
          <w:rFonts w:hint="eastAsia" w:ascii="宋体" w:hAnsi="宋体" w:eastAsia="宋体" w:cs="宋体"/>
          <w:b w:val="0"/>
          <w:bCs/>
          <w:sz w:val="24"/>
          <w:szCs w:val="24"/>
          <w:highlight w:val="none"/>
          <w:lang w:val="en-US" w:eastAsia="zh-CN"/>
        </w:rPr>
        <w:t xml:space="preserve">参加养护的投标人，应具备应急抢险机制与能力，能在出险半小时内到达现场组织抢险。 </w:t>
      </w:r>
      <w:r/>
    </w:p>
    <w:p>
      <w:pPr>
        <w:pStyle w:val="927"/>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rPr>
        <w:t xml:space="preserve">⑥</w:t>
      </w:r>
      <w:r>
        <w:rPr>
          <w:rFonts w:hint="eastAsia" w:ascii="宋体" w:hAnsi="宋体" w:eastAsia="宋体" w:cs="宋体"/>
          <w:b w:val="0"/>
          <w:bCs/>
          <w:sz w:val="24"/>
          <w:szCs w:val="24"/>
          <w:highlight w:val="none"/>
          <w:lang w:val="en-US" w:eastAsia="zh-CN"/>
        </w:rPr>
        <w:t xml:space="preserve">在中标人实施项目期间，采购人将针对中标人配置的人员进行核查，如出现缺员现象将进行惩罚，且招标人有权立即解除合同，解除合同的通知自发出之日起生效。造成损失由中标人自行负责，如造成招标人损失将追究中标人相关法律责任。</w:t>
      </w:r>
      <w:r>
        <w:rPr>
          <w:rFonts w:hint="eastAsia" w:ascii="宋体" w:hAnsi="宋体" w:eastAsia="宋体" w:cs="宋体"/>
          <w:b w:val="0"/>
          <w:bCs/>
          <w:sz w:val="24"/>
          <w:szCs w:val="24"/>
          <w:highlight w:val="none"/>
          <w:lang w:val="en-US" w:eastAsia="zh-CN" w:bidi="ar-SA"/>
        </w:rPr>
        <w:t xml:space="preserve"> </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rPr>
        <w:outlineLvl w:val="0"/>
      </w:pPr>
      <w:r>
        <w:rPr>
          <w:rFonts w:hint="eastAsia" w:ascii="宋体" w:hAnsi="宋体" w:cs="宋体"/>
          <w:sz w:val="24"/>
          <w:highlight w:val="none"/>
          <w:lang w:val="en-US" w:eastAsia="zh-CN"/>
        </w:rPr>
        <w:t xml:space="preserve">8、</w:t>
      </w:r>
      <w:r>
        <w:rPr>
          <w:rFonts w:hint="eastAsia" w:ascii="宋体" w:hAnsi="宋体" w:eastAsia="宋体" w:cs="宋体"/>
          <w:b/>
          <w:bCs/>
          <w:color w:val="auto"/>
          <w:sz w:val="24"/>
          <w:highlight w:val="none"/>
          <w:lang w:eastAsia="zh-CN"/>
        </w:rPr>
        <w:t xml:space="preserve">投标人需对采购需求所有内容</w:t>
      </w:r>
      <w:r>
        <w:rPr>
          <w:rFonts w:hint="eastAsia" w:ascii="宋体" w:hAnsi="宋体" w:eastAsia="宋体" w:cs="宋体"/>
          <w:b/>
          <w:bCs/>
          <w:color w:val="auto"/>
          <w:sz w:val="24"/>
          <w:highlight w:val="none"/>
        </w:rPr>
        <w:t xml:space="preserve">出具一份承诺书</w:t>
      </w:r>
      <w:r>
        <w:rPr>
          <w:rFonts w:hint="eastAsia" w:ascii="宋体" w:hAnsi="宋体" w:eastAsia="宋体" w:cs="宋体"/>
          <w:b/>
          <w:bCs/>
          <w:color w:val="auto"/>
          <w:sz w:val="24"/>
          <w:highlight w:val="none"/>
          <w:lang w:eastAsia="zh-CN"/>
        </w:rPr>
        <w:t xml:space="preserve">（格式自拟）</w:t>
      </w:r>
      <w:r>
        <w:rPr>
          <w:rFonts w:hint="eastAsia" w:ascii="宋体" w:hAnsi="宋体" w:eastAsia="宋体" w:cs="宋体"/>
          <w:b/>
          <w:bCs/>
          <w:color w:val="auto"/>
          <w:sz w:val="24"/>
          <w:highlight w:val="none"/>
        </w:rPr>
        <w:t xml:space="preserve">，否则按无效投标文件处理。</w:t>
      </w:r>
      <w:r/>
    </w:p>
    <w:p>
      <w:pPr>
        <w:ind w:firstLine="480"/>
        <w:spacing w:line="360" w:lineRule="auto"/>
        <w:tabs>
          <w:tab w:val="left" w:pos="5025"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9、</w:t>
      </w:r>
      <w:r>
        <w:rPr>
          <w:rFonts w:hint="eastAsia" w:ascii="宋体" w:hAnsi="宋体" w:cs="宋体"/>
          <w:b w:val="0"/>
          <w:bCs/>
          <w:color w:val="auto"/>
          <w:sz w:val="24"/>
          <w:highlight w:val="none"/>
        </w:rPr>
        <w:t xml:space="preserve">供应商必须承诺一旦中标，必须在中标通知书发出后1周内在溧阳市设有固定的办公经营场所，能够满足办公、仓储等要求，提供相关产权证明或租赁合同等材料。否则，采购人有权取消其中标资格。</w:t>
      </w:r>
      <w:r/>
    </w:p>
    <w:p>
      <w:pPr>
        <w:ind w:firstLine="480"/>
        <w:spacing w:line="360" w:lineRule="auto"/>
        <w:rPr>
          <w:rFonts w:ascii="宋体" w:hAnsi="宋体" w:cs="宋体"/>
          <w:sz w:val="24"/>
        </w:rPr>
      </w:pPr>
      <w:r>
        <w:rPr>
          <w:rFonts w:hint="eastAsia" w:ascii="宋体" w:hAnsi="宋体" w:cs="宋体"/>
          <w:sz w:val="24"/>
          <w:lang w:val="en-US" w:eastAsia="zh-CN"/>
        </w:rPr>
        <w:t xml:space="preserve">10、供应商</w:t>
      </w:r>
      <w:r>
        <w:rPr>
          <w:rFonts w:hint="eastAsia" w:ascii="宋体" w:hAnsi="宋体" w:cs="宋体"/>
          <w:sz w:val="24"/>
        </w:rPr>
        <w:t xml:space="preserve">必须制定灾害性天气应急预案，建立一支稳定的应急抢险队伍，并</w:t>
      </w:r>
      <w:r>
        <w:rPr>
          <w:rFonts w:hint="eastAsia" w:ascii="宋体" w:hAnsi="宋体" w:cs="宋体"/>
          <w:b/>
          <w:bCs/>
          <w:sz w:val="24"/>
        </w:rPr>
        <w:t xml:space="preserve">保证有能力调配到高空作业车、大功率电锯等必须的应急设备</w:t>
      </w:r>
      <w:r>
        <w:rPr>
          <w:rFonts w:hint="eastAsia" w:ascii="宋体" w:hAnsi="宋体" w:cs="宋体"/>
          <w:sz w:val="24"/>
        </w:rPr>
        <w:t xml:space="preserve">，确保出现灾害性天气时，能够第一时间投入抢险救灾中，并服从</w:t>
      </w:r>
      <w:r>
        <w:rPr>
          <w:rFonts w:hint="eastAsia" w:ascii="宋体" w:hAnsi="宋体" w:cs="宋体"/>
          <w:sz w:val="24"/>
          <w:lang w:val="en-US" w:eastAsia="zh-CN"/>
        </w:rPr>
        <w:t xml:space="preserve">采购人</w:t>
      </w:r>
      <w:r>
        <w:rPr>
          <w:rFonts w:hint="eastAsia" w:ascii="宋体" w:hAnsi="宋体" w:cs="宋体"/>
          <w:sz w:val="24"/>
        </w:rPr>
        <w:t xml:space="preserve">另行安排的其它范围内的应急抢险任务。</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管养期内，</w:t>
      </w:r>
      <w:r>
        <w:rPr>
          <w:rFonts w:hint="eastAsia" w:ascii="宋体" w:hAnsi="宋体" w:cs="宋体"/>
          <w:sz w:val="24"/>
          <w:lang w:val="en-US" w:eastAsia="zh-CN"/>
        </w:rPr>
        <w:t xml:space="preserve">中标供应商</w:t>
      </w:r>
      <w:r>
        <w:rPr>
          <w:rFonts w:hint="eastAsia" w:ascii="宋体" w:hAnsi="宋体" w:cs="宋体"/>
          <w:sz w:val="24"/>
        </w:rPr>
        <w:t xml:space="preserve">须加强安全生产管理，积极主动采取防范措施，解除安全隐患，同时为</w:t>
      </w:r>
      <w:r>
        <w:rPr>
          <w:rFonts w:hint="eastAsia" w:ascii="宋体" w:hAnsi="宋体" w:cs="宋体"/>
          <w:sz w:val="24"/>
          <w:lang w:val="en-US" w:eastAsia="zh-CN"/>
        </w:rPr>
        <w:t xml:space="preserve">作业人员</w:t>
      </w:r>
      <w:r>
        <w:rPr>
          <w:rFonts w:hint="eastAsia" w:ascii="宋体" w:hAnsi="宋体" w:cs="宋体"/>
          <w:sz w:val="24"/>
        </w:rPr>
        <w:t xml:space="preserve">购买保险等方式来规避风险。如养护标段中发生安全事故、人员伤亡事件，由</w:t>
      </w:r>
      <w:r>
        <w:rPr>
          <w:rFonts w:hint="eastAsia" w:ascii="宋体" w:hAnsi="宋体" w:cs="宋体"/>
          <w:sz w:val="24"/>
          <w:lang w:val="en-US" w:eastAsia="zh-CN"/>
        </w:rPr>
        <w:t xml:space="preserve">中标供应商</w:t>
      </w:r>
      <w:r>
        <w:rPr>
          <w:rFonts w:hint="eastAsia" w:ascii="宋体" w:hAnsi="宋体" w:cs="宋体"/>
          <w:sz w:val="24"/>
        </w:rPr>
        <w:t xml:space="preserve">自行负责处理解决，处理过程中发生的费用（包括赔偿费用）由</w:t>
      </w:r>
      <w:r>
        <w:rPr>
          <w:rFonts w:hint="eastAsia" w:ascii="宋体" w:hAnsi="宋体" w:cs="宋体"/>
          <w:sz w:val="24"/>
          <w:lang w:val="en-US" w:eastAsia="zh-CN"/>
        </w:rPr>
        <w:t xml:space="preserve">中标供应商自行</w:t>
      </w:r>
      <w:r>
        <w:rPr>
          <w:rFonts w:hint="eastAsia" w:ascii="宋体" w:hAnsi="宋体" w:cs="宋体"/>
          <w:sz w:val="24"/>
        </w:rPr>
        <w:t xml:space="preserve">承担。</w:t>
      </w:r>
      <w:r/>
    </w:p>
    <w:p>
      <w:pPr>
        <w:ind w:firstLine="480"/>
        <w:spacing w:line="360" w:lineRule="auto"/>
        <w:rPr>
          <w:rFonts w:hint="eastAsia" w:ascii="宋体" w:hAnsi="宋体" w:cs="宋体"/>
          <w:b/>
          <w:color w:val="auto"/>
          <w:sz w:val="24"/>
          <w:highlight w:val="none"/>
        </w:rPr>
      </w:pPr>
      <w:r>
        <w:rPr>
          <w:rFonts w:hint="eastAsia" w:ascii="宋体" w:hAnsi="宋体" w:cs="宋体"/>
          <w:sz w:val="24"/>
          <w:lang w:val="en-US" w:eastAsia="zh-CN"/>
        </w:rPr>
        <w:t xml:space="preserve">12、</w:t>
      </w:r>
      <w:r>
        <w:rPr>
          <w:rFonts w:hint="eastAsia" w:ascii="宋体" w:hAnsi="宋体" w:cs="宋体"/>
          <w:sz w:val="24"/>
        </w:rPr>
        <w:t xml:space="preserve">管养期内，</w:t>
      </w:r>
      <w:r>
        <w:rPr>
          <w:rFonts w:hint="eastAsia" w:ascii="宋体" w:hAnsi="宋体" w:cs="宋体"/>
          <w:sz w:val="24"/>
          <w:lang w:val="en-US" w:eastAsia="zh-CN"/>
        </w:rPr>
        <w:t xml:space="preserve">中标供应商若因</w:t>
      </w:r>
      <w:r>
        <w:rPr>
          <w:rFonts w:hint="eastAsia" w:ascii="宋体" w:hAnsi="宋体" w:cs="宋体"/>
          <w:sz w:val="24"/>
        </w:rPr>
        <w:t xml:space="preserve">不当养护造成绿化损失或严重社会影响，如草坪杂化、乔木修剪过重、地被花境长势衰退或严重不良等由</w:t>
      </w:r>
      <w:r>
        <w:rPr>
          <w:rFonts w:hint="eastAsia" w:ascii="宋体" w:hAnsi="宋体" w:cs="宋体"/>
          <w:sz w:val="24"/>
          <w:lang w:val="en-US" w:eastAsia="zh-CN"/>
        </w:rPr>
        <w:t xml:space="preserve">中标供应商</w:t>
      </w:r>
      <w:r>
        <w:rPr>
          <w:rFonts w:hint="eastAsia" w:ascii="宋体" w:hAnsi="宋体" w:cs="宋体"/>
          <w:sz w:val="24"/>
        </w:rPr>
        <w:t xml:space="preserve">负责更新，费用由</w:t>
      </w:r>
      <w:r>
        <w:rPr>
          <w:rFonts w:hint="eastAsia" w:ascii="宋体" w:hAnsi="宋体" w:cs="宋体"/>
          <w:sz w:val="24"/>
          <w:lang w:val="en-US" w:eastAsia="zh-CN"/>
        </w:rPr>
        <w:t xml:space="preserve">中标供应商</w:t>
      </w:r>
      <w:r>
        <w:rPr>
          <w:rFonts w:hint="eastAsia" w:ascii="宋体" w:hAnsi="宋体" w:cs="宋体"/>
          <w:sz w:val="24"/>
        </w:rPr>
        <w:t xml:space="preserve">自行承担。</w:t>
      </w:r>
      <w:r/>
    </w:p>
    <w:p>
      <w:pPr>
        <w:pStyle w:val="927"/>
        <w:numPr>
          <w:ilvl w:val="0"/>
          <w:numId w:val="0"/>
        </w:numPr>
        <w:contextualSpacing/>
        <w:ind w:firstLine="482"/>
        <w:keepLines w:val="0"/>
        <w:keepNext w:val="0"/>
        <w:pageBreakBefore w:val="0"/>
        <w:spacing w:line="360" w:lineRule="auto"/>
        <w:rPr>
          <w:rFonts w:hint="eastAsia" w:ascii="Times New Roman" w:hAnsi="Times New Roman" w:eastAsia="宋体" w:cs="Times New Roman"/>
          <w:b/>
          <w:bCs w:val="0"/>
          <w:sz w:val="24"/>
          <w:szCs w:val="24"/>
          <w:highlight w:val="none"/>
          <w:lang w:val="en-US" w:eastAsia="zh-CN"/>
        </w:rPr>
      </w:pP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w:t>
      </w:r>
      <w:r>
        <w:rPr>
          <w:rFonts w:hint="eastAsia" w:ascii="Times New Roman" w:hAnsi="Times New Roman" w:eastAsia="宋体" w:cs="Times New Roman"/>
          <w:b/>
          <w:bCs w:val="0"/>
          <w:sz w:val="24"/>
          <w:szCs w:val="24"/>
          <w:highlight w:val="none"/>
          <w:lang w:val="en-US" w:eastAsia="zh-CN"/>
        </w:rPr>
        <w:t xml:space="preserve">报价验收要求 </w:t>
      </w:r>
      <w:r/>
    </w:p>
    <w:p>
      <w:pPr>
        <w:pStyle w:val="927"/>
        <w:numPr>
          <w:ilvl w:val="0"/>
          <w:numId w:val="0"/>
        </w:numPr>
        <w:contextualSpacing/>
        <w:ind w:firstLine="48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（1）投标人应对所投项目的全部内容进行报价。 </w:t>
      </w:r>
      <w:r/>
    </w:p>
    <w:p>
      <w:pPr>
        <w:pStyle w:val="927"/>
        <w:numPr>
          <w:ilvl w:val="0"/>
          <w:numId w:val="0"/>
        </w:numPr>
        <w:contextualSpacing/>
        <w:ind w:firstLine="48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（2）投标人在投报价格时应充分考虑以下因素： </w:t>
      </w:r>
      <w:r/>
    </w:p>
    <w:p>
      <w:pPr>
        <w:pStyle w:val="927"/>
        <w:numPr>
          <w:ilvl w:val="0"/>
          <w:numId w:val="0"/>
        </w:numPr>
        <w:contextualSpacing/>
        <w:ind w:firstLine="72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①各投标人应结合绿地养护等级要求进行报价</w:t>
      </w:r>
      <w:r/>
    </w:p>
    <w:p>
      <w:pPr>
        <w:pStyle w:val="927"/>
        <w:numPr>
          <w:ilvl w:val="0"/>
          <w:numId w:val="0"/>
        </w:numPr>
        <w:contextualSpacing/>
        <w:ind w:firstLine="72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②报价包括但不限于：绿化养护费用、员工费用和管理人员费用、离职补偿金、社会保险、通讯费、服装费、管理费、培训费、办公费、各类加班费、岗位补贴、高温费、员工福利、利润、设备、</w:t>
      </w:r>
      <w:r>
        <w:rPr>
          <w:rFonts w:hint="eastAsia" w:ascii="宋体" w:hAnsi="宋体" w:cs="宋体"/>
          <w:b w:val="0"/>
          <w:bCs/>
          <w:sz w:val="24"/>
          <w:szCs w:val="24"/>
          <w:highlight w:val="none"/>
          <w:lang w:val="en-US" w:eastAsia="zh-CN"/>
        </w:rPr>
        <w:t xml:space="preserve">应急费、</w:t>
      </w:r>
      <w:r>
        <w:rPr>
          <w:rFonts w:hint="eastAsia" w:ascii="宋体" w:hAnsi="宋体" w:eastAsia="宋体" w:cs="宋体"/>
          <w:b w:val="0"/>
          <w:bCs/>
          <w:sz w:val="24"/>
          <w:szCs w:val="24"/>
          <w:highlight w:val="none"/>
          <w:lang w:val="en-US" w:eastAsia="zh-CN"/>
        </w:rPr>
        <w:t xml:space="preserve">工具、消耗品、工会费、各种税费、政策性文件规定及合同明示或暗示的所有风险、责任、义务</w:t>
      </w:r>
      <w:r>
        <w:rPr>
          <w:rFonts w:hint="eastAsia" w:ascii="宋体" w:hAnsi="宋体" w:cs="宋体"/>
          <w:b w:val="0"/>
          <w:bCs/>
          <w:sz w:val="24"/>
          <w:szCs w:val="24"/>
          <w:highlight w:val="none"/>
          <w:lang w:val="en-US" w:eastAsia="zh-CN"/>
        </w:rPr>
        <w:t xml:space="preserve">和各标段对应其养护标准的零星维修</w:t>
      </w:r>
      <w:r>
        <w:rPr>
          <w:rFonts w:hint="eastAsia" w:ascii="宋体" w:hAnsi="宋体" w:eastAsia="宋体" w:cs="宋体"/>
          <w:b w:val="0"/>
          <w:bCs/>
          <w:sz w:val="24"/>
          <w:szCs w:val="24"/>
          <w:highlight w:val="none"/>
          <w:lang w:val="en-US" w:eastAsia="zh-CN"/>
        </w:rPr>
        <w:t xml:space="preserve">等各项应有的费用。采购人不接受供应商任何因遗漏报价而发生的费用追加，因</w:t>
      </w:r>
      <w:r>
        <w:rPr>
          <w:rFonts w:hint="eastAsia" w:ascii="宋体" w:hAnsi="宋体" w:cs="宋体"/>
          <w:b w:val="0"/>
          <w:bCs/>
          <w:sz w:val="24"/>
          <w:szCs w:val="24"/>
          <w:highlight w:val="none"/>
          <w:lang w:val="en-US" w:eastAsia="zh-CN"/>
        </w:rPr>
        <w:t xml:space="preserve">投标人</w:t>
      </w:r>
      <w:r>
        <w:rPr>
          <w:rFonts w:hint="eastAsia" w:ascii="宋体" w:hAnsi="宋体" w:eastAsia="宋体" w:cs="宋体"/>
          <w:b w:val="0"/>
          <w:bCs/>
          <w:sz w:val="24"/>
          <w:szCs w:val="24"/>
          <w:highlight w:val="none"/>
          <w:lang w:val="en-US" w:eastAsia="zh-CN"/>
        </w:rPr>
        <w:t xml:space="preserve">违反《劳动法》等法律法规而造成采购人的连带责任和损失全部由</w:t>
      </w:r>
      <w:r>
        <w:rPr>
          <w:rFonts w:hint="eastAsia" w:ascii="宋体" w:hAnsi="宋体" w:cs="宋体"/>
          <w:b w:val="0"/>
          <w:bCs/>
          <w:sz w:val="24"/>
          <w:szCs w:val="24"/>
          <w:highlight w:val="none"/>
          <w:lang w:val="en-US" w:eastAsia="zh-CN"/>
        </w:rPr>
        <w:t xml:space="preserve">投标人</w:t>
      </w:r>
      <w:r>
        <w:rPr>
          <w:rFonts w:hint="eastAsia" w:ascii="宋体" w:hAnsi="宋体" w:eastAsia="宋体" w:cs="宋体"/>
          <w:b w:val="0"/>
          <w:bCs/>
          <w:sz w:val="24"/>
          <w:szCs w:val="24"/>
          <w:highlight w:val="none"/>
          <w:lang w:val="en-US" w:eastAsia="zh-CN"/>
        </w:rPr>
        <w:t xml:space="preserve">承担。 </w:t>
      </w:r>
      <w:r/>
    </w:p>
    <w:p>
      <w:pPr>
        <w:pStyle w:val="927"/>
        <w:numPr>
          <w:ilvl w:val="0"/>
          <w:numId w:val="0"/>
        </w:numPr>
        <w:contextualSpacing/>
        <w:ind w:firstLine="48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③本合同采用总价打包制，合同期内费用一律不予调整，供应商对一般突发性事件必须有相应的应对措施，并考虑合同期内的物价、政策等所有风险因素，在投标时自行预测并纳入投标总价中。服务期间，如遇国家出台提高最低工资和最低社会保险缴纳基数标准等强制性规定，供应商必须保障其员工的基本法定待遇，采购人不承担增加的有关费用。各投标单位应充分考虑恢复因人为因素造成对苗木、设施等损坏所发生的费用。报价中含水电费、农药等，水源自行解决。 </w:t>
      </w:r>
      <w:r/>
    </w:p>
    <w:p>
      <w:pPr>
        <w:pStyle w:val="927"/>
        <w:numPr>
          <w:ilvl w:val="0"/>
          <w:numId w:val="0"/>
        </w:numPr>
        <w:contextualSpacing/>
        <w:ind w:firstLine="480"/>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④</w:t>
      </w:r>
      <w:r>
        <w:rPr>
          <w:rFonts w:hint="eastAsia" w:ascii="宋体" w:hAnsi="宋体" w:cs="宋体"/>
          <w:b w:val="0"/>
          <w:bCs/>
          <w:sz w:val="24"/>
          <w:szCs w:val="24"/>
          <w:highlight w:val="none"/>
          <w:lang w:val="en-US" w:eastAsia="zh-CN"/>
        </w:rPr>
        <w:t xml:space="preserve">投标人</w:t>
      </w:r>
      <w:r>
        <w:rPr>
          <w:rFonts w:hint="eastAsia" w:ascii="宋体" w:hAnsi="宋体" w:eastAsia="宋体" w:cs="宋体"/>
          <w:b w:val="0"/>
          <w:bCs/>
          <w:sz w:val="24"/>
          <w:szCs w:val="24"/>
          <w:highlight w:val="none"/>
          <w:lang w:val="en-US" w:eastAsia="zh-CN"/>
        </w:rPr>
        <w:t xml:space="preserve">应严格遵守国家有关的法律、法规及行业标准，负责员工的一切工资、福利、保险等费用，所有服务员工上岗前必须签订劳动合同；员工因社保、工资、福利等问题</w:t>
      </w:r>
      <w:r>
        <w:rPr>
          <w:rFonts w:hint="eastAsia" w:ascii="宋体" w:hAnsi="宋体" w:eastAsia="宋体" w:cs="宋体"/>
          <w:b w:val="0"/>
          <w:bCs/>
          <w:color w:val="000000"/>
          <w:sz w:val="24"/>
          <w:szCs w:val="24"/>
          <w:highlight w:val="none"/>
          <w:lang w:val="en-US" w:eastAsia="zh-CN" w:bidi="ar"/>
        </w:rPr>
        <w:t xml:space="preserve">产生的纠纷和发生职业暴露、工伤、疾病甚至死亡的一切责任及费用由</w:t>
      </w:r>
      <w:r>
        <w:rPr>
          <w:rFonts w:hint="eastAsia" w:ascii="宋体" w:hAnsi="宋体" w:cs="宋体"/>
          <w:b w:val="0"/>
          <w:bCs/>
          <w:sz w:val="24"/>
          <w:szCs w:val="24"/>
          <w:highlight w:val="none"/>
          <w:lang w:val="en-US" w:eastAsia="zh-CN"/>
        </w:rPr>
        <w:t xml:space="preserve">投标人</w:t>
      </w:r>
      <w:r>
        <w:rPr>
          <w:rFonts w:hint="eastAsia" w:ascii="宋体" w:hAnsi="宋体" w:eastAsia="宋体" w:cs="宋体"/>
          <w:b w:val="0"/>
          <w:bCs/>
          <w:color w:val="000000"/>
          <w:sz w:val="24"/>
          <w:szCs w:val="24"/>
          <w:highlight w:val="none"/>
          <w:lang w:val="en-US" w:eastAsia="zh-CN" w:bidi="ar"/>
        </w:rPr>
        <w:t xml:space="preserve">全部负责。 </w:t>
      </w:r>
      <w:r/>
    </w:p>
    <w:p>
      <w:pPr>
        <w:ind w:firstLine="480"/>
        <w:jc w:val="left"/>
        <w:keepLines w:val="0"/>
        <w:keepNext w:val="0"/>
        <w:pageBreakBefore w:val="0"/>
        <w:spacing w:line="360" w:lineRule="auto"/>
        <w:widowControl/>
        <w:rPr>
          <w:rFonts w:hint="eastAsia" w:ascii="宋体" w:hAnsi="宋体" w:eastAsia="宋体" w:cs="宋体"/>
          <w:b w:val="0"/>
          <w:bCs/>
          <w:sz w:val="24"/>
          <w:szCs w:val="24"/>
          <w:highlight w:val="none"/>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（3）移交时以现场清点数据为移交依据，中标人须配合采购人确定最终移交清单数据。 </w:t>
      </w:r>
      <w:r/>
    </w:p>
    <w:p>
      <w:pPr>
        <w:ind w:firstLine="480"/>
        <w:jc w:val="left"/>
        <w:keepLines w:val="0"/>
        <w:keepNext w:val="0"/>
        <w:pageBreakBefore w:val="0"/>
        <w:spacing w:line="360" w:lineRule="auto"/>
        <w:widowControl/>
        <w:rPr>
          <w:rFonts w:hint="eastAsia" w:ascii="宋体" w:hAnsi="宋体" w:eastAsia="宋体" w:cs="宋体"/>
          <w:b w:val="0"/>
          <w:bCs/>
          <w:sz w:val="24"/>
          <w:szCs w:val="24"/>
          <w:highlight w:val="none"/>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（4）移交要求 </w:t>
      </w:r>
      <w:r/>
    </w:p>
    <w:p>
      <w:pPr>
        <w:pStyle w:val="927"/>
        <w:numPr>
          <w:ilvl w:val="0"/>
          <w:numId w:val="0"/>
        </w:numPr>
        <w:contextualSpacing/>
        <w:ind w:firstLine="48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交接时间：以采购人指令为准。 </w:t>
      </w:r>
      <w:r/>
    </w:p>
    <w:p>
      <w:pPr>
        <w:pStyle w:val="927"/>
        <w:numPr>
          <w:ilvl w:val="0"/>
          <w:numId w:val="0"/>
        </w:numPr>
        <w:contextualSpacing/>
        <w:ind w:firstLine="480"/>
        <w:keepLines w:val="0"/>
        <w:keepNext w:val="0"/>
        <w:pageBreakBefore w:val="0"/>
        <w:spacing w:line="360" w:lineRule="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rPr>
        <w:t xml:space="preserve">移交时以交接单为移交依据，由采购人、原履约单位、现履约单位签字认可后为正式移交。</w:t>
      </w:r>
      <w:r>
        <w:rPr>
          <w:rFonts w:hint="eastAsia" w:ascii="宋体" w:hAnsi="宋体" w:eastAsia="宋体" w:cs="宋体"/>
          <w:b w:val="0"/>
          <w:bCs/>
          <w:sz w:val="24"/>
          <w:szCs w:val="24"/>
          <w:highlight w:val="none"/>
          <w:lang w:val="en-US" w:eastAsia="zh-CN" w:bidi="ar-SA"/>
        </w:rPr>
        <w:t xml:space="preserve"> </w:t>
      </w:r>
      <w:r/>
    </w:p>
    <w:p>
      <w:pPr>
        <w:ind w:firstLine="480"/>
        <w:jc w:val="left"/>
        <w:keepLines w:val="0"/>
        <w:keepNext w:val="0"/>
        <w:pageBreakBefore w:val="0"/>
        <w:spacing w:line="360" w:lineRule="auto"/>
        <w:widowControl/>
        <w:rPr>
          <w:rFonts w:hint="eastAsia" w:ascii="宋体" w:hAnsi="宋体" w:eastAsia="宋体" w:cs="宋体"/>
          <w:b w:val="0"/>
          <w:bCs/>
          <w:sz w:val="24"/>
          <w:szCs w:val="24"/>
          <w:highlight w:val="none"/>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（5）验收 </w:t>
      </w:r>
      <w:r/>
    </w:p>
    <w:p>
      <w:pPr>
        <w:pStyle w:val="927"/>
        <w:numPr>
          <w:ilvl w:val="0"/>
          <w:numId w:val="0"/>
        </w:numPr>
        <w:contextualSpacing/>
        <w:ind w:firstLine="480"/>
        <w:keepLines w:val="0"/>
        <w:keepNext w:val="0"/>
        <w:pageBreakBefore w:val="0"/>
        <w:spacing w:line="360" w:lineRule="auto"/>
        <w:rPr>
          <w:rFonts w:hint="eastAsia" w:ascii="宋体" w:hAnsi="宋体" w:cs="宋体"/>
          <w:b/>
          <w:bCs/>
          <w:color w:val="ff0000"/>
          <w:sz w:val="24"/>
          <w:highlight w:val="none"/>
        </w:rPr>
      </w:pPr>
      <w:r>
        <w:rPr>
          <w:rFonts w:hint="eastAsia" w:ascii="宋体" w:hAnsi="宋体" w:eastAsia="宋体" w:cs="宋体"/>
          <w:b w:val="0"/>
          <w:bCs/>
          <w:sz w:val="24"/>
          <w:szCs w:val="24"/>
          <w:highlight w:val="none"/>
          <w:lang w:val="en-US" w:eastAsia="zh-CN"/>
        </w:rPr>
        <w:t xml:space="preserve">履约期间将依照招标文件要求、中标单位投标文件内的承诺及采购人制定的相关办法、细则等，对该采购项目对应采购包的内容进行考核或验收。</w:t>
      </w:r>
      <w:r/>
    </w:p>
    <w:p>
      <w:pPr>
        <w:pStyle w:val="917"/>
        <w:numPr>
          <w:ilvl w:val="0"/>
          <w:numId w:val="0"/>
        </w:numPr>
        <w:contextualSpacing/>
        <w:ind w:firstLine="482"/>
        <w:jc w:val="left"/>
        <w:spacing w:line="360" w:lineRule="auto"/>
        <w:rPr>
          <w:rFonts w:hint="eastAsia" w:ascii="Times New Roman" w:hAnsi="Times New Roman"/>
          <w:b/>
          <w:bCs w:val="0"/>
          <w:sz w:val="24"/>
          <w:szCs w:val="24"/>
          <w:lang w:val="en-US" w:eastAsia="zh-CN"/>
        </w:rPr>
      </w:pPr>
      <w:r>
        <w:rPr>
          <w:rFonts w:hint="eastAsia" w:ascii="Times New Roman" w:hAnsi="Times New Roman"/>
          <w:b/>
          <w:bCs w:val="0"/>
          <w:sz w:val="24"/>
          <w:szCs w:val="24"/>
          <w:lang w:val="en-US" w:eastAsia="zh-CN" w:bidi="ar-SA"/>
        </w:rPr>
        <w:t xml:space="preserve">七、绿化管养</w:t>
      </w:r>
      <w:r>
        <w:rPr>
          <w:rFonts w:hint="eastAsia" w:ascii="Times New Roman" w:hAnsi="Times New Roman"/>
          <w:b/>
          <w:bCs w:val="0"/>
          <w:sz w:val="24"/>
          <w:szCs w:val="24"/>
          <w:lang w:val="en-US" w:eastAsia="zh-CN"/>
        </w:rPr>
        <w:t xml:space="preserve">考核办法</w:t>
      </w:r>
      <w:r/>
    </w:p>
    <w:p>
      <w:pPr>
        <w:ind w:firstLine="720"/>
        <w:spacing w:line="360" w:lineRule="auto"/>
        <w:rPr>
          <w:rFonts w:ascii="宋体" w:hAnsi="宋体" w:cs="宋体"/>
          <w:b/>
          <w:bCs/>
          <w:sz w:val="24"/>
        </w:rPr>
      </w:pPr>
      <w:r>
        <w:rPr>
          <w:rFonts w:hint="eastAsia" w:ascii="宋体" w:hAnsi="宋体" w:cs="宋体"/>
          <w:sz w:val="24"/>
          <w:lang w:val="en-US" w:eastAsia="zh-CN"/>
        </w:rPr>
        <w:t xml:space="preserve">1、</w:t>
      </w:r>
      <w:r>
        <w:rPr>
          <w:rFonts w:hint="eastAsia" w:ascii="宋体" w:hAnsi="宋体" w:cs="宋体"/>
          <w:sz w:val="24"/>
        </w:rPr>
        <w:t xml:space="preserve">绿化管养考</w:t>
      </w:r>
      <w:r>
        <w:rPr>
          <w:rFonts w:hint="eastAsia" w:ascii="宋体" w:hAnsi="宋体" w:cs="宋体"/>
          <w:sz w:val="24"/>
          <w:highlight w:val="none"/>
        </w:rPr>
        <w:t xml:space="preserve">核由</w:t>
      </w:r>
      <w:r>
        <w:rPr>
          <w:rFonts w:hint="eastAsia" w:ascii="宋体" w:hAnsi="宋体" w:cs="宋体"/>
          <w:color w:val="auto"/>
          <w:sz w:val="24"/>
          <w:highlight w:val="none"/>
        </w:rPr>
        <w:t xml:space="preserve">溧阳经济开发区综</w:t>
      </w:r>
      <w:bookmarkStart w:id="816" w:name="OLE_LINK6"/>
      <w:r>
        <w:rPr>
          <w:rFonts w:hint="eastAsia" w:ascii="宋体" w:hAnsi="宋体" w:cs="宋体"/>
          <w:color w:val="auto"/>
          <w:sz w:val="24"/>
          <w:highlight w:val="none"/>
        </w:rPr>
        <w:t xml:space="preserve">合行政</w:t>
      </w:r>
      <w:bookmarkEnd w:id="816"/>
      <w:r>
        <w:rPr>
          <w:rFonts w:hint="eastAsia" w:ascii="宋体" w:hAnsi="宋体" w:cs="宋体"/>
          <w:color w:val="auto"/>
          <w:sz w:val="24"/>
          <w:highlight w:val="none"/>
        </w:rPr>
        <w:t xml:space="preserve">执法</w:t>
      </w:r>
      <w:r>
        <w:rPr>
          <w:rFonts w:hint="eastAsia" w:ascii="宋体" w:hAnsi="宋体" w:cs="宋体"/>
          <w:color w:val="auto"/>
          <w:sz w:val="24"/>
          <w:highlight w:val="none"/>
          <w:lang w:val="en-US" w:eastAsia="zh-CN"/>
        </w:rPr>
        <w:t xml:space="preserve">和安全生产监督管理办公室</w:t>
      </w:r>
      <w:r>
        <w:rPr>
          <w:rFonts w:hint="eastAsia" w:ascii="宋体" w:hAnsi="宋体" w:cs="宋体"/>
          <w:sz w:val="24"/>
          <w:highlight w:val="none"/>
        </w:rPr>
        <w:t xml:space="preserve">组织实施。绿化管养考核由日常考核巡查和月考核组成</w:t>
      </w:r>
      <w:r>
        <w:rPr>
          <w:rFonts w:hint="eastAsia" w:ascii="宋体" w:hAnsi="宋体" w:cs="宋体"/>
          <w:sz w:val="24"/>
          <w:highlight w:val="none"/>
          <w:lang w:eastAsia="zh-CN"/>
        </w:rPr>
        <w:t xml:space="preserve">，</w:t>
      </w:r>
      <w:r>
        <w:rPr>
          <w:rFonts w:hint="eastAsia" w:ascii="宋体" w:hAnsi="宋体" w:cs="宋体"/>
          <w:sz w:val="24"/>
          <w:highlight w:val="none"/>
        </w:rPr>
        <w:t xml:space="preserve">考核实行百分制，综合评分=1</w:t>
      </w:r>
      <w:r>
        <w:rPr>
          <w:rFonts w:hint="eastAsia" w:ascii="宋体" w:hAnsi="宋体" w:cs="宋体"/>
          <w:sz w:val="24"/>
        </w:rPr>
        <w:t xml:space="preserve">00-日常考核扣分×70%-月度考核扣分×30%－特别条款扣分。</w:t>
      </w:r>
      <w:r>
        <w:rPr>
          <w:rFonts w:hint="eastAsia" w:ascii="宋体" w:hAnsi="宋体" w:cs="宋体"/>
          <w:sz w:val="24"/>
          <w:lang w:val="en-US" w:eastAsia="zh-CN"/>
        </w:rPr>
        <w:t xml:space="preserve">当月考核</w:t>
      </w:r>
      <w:r>
        <w:rPr>
          <w:rFonts w:hint="eastAsia" w:ascii="宋体" w:hAnsi="宋体" w:cs="宋体"/>
          <w:sz w:val="24"/>
        </w:rPr>
        <w:t xml:space="preserve">综合评分低于80分为不合格</w:t>
      </w:r>
      <w:r>
        <w:rPr>
          <w:rFonts w:hint="eastAsia" w:ascii="宋体" w:hAnsi="宋体" w:cs="宋体"/>
          <w:sz w:val="24"/>
          <w:lang w:eastAsia="zh-CN"/>
        </w:rPr>
        <w:t xml:space="preserve">，</w:t>
      </w:r>
      <w:r>
        <w:rPr>
          <w:rFonts w:hint="eastAsia" w:ascii="宋体" w:hAnsi="宋体" w:cs="宋体"/>
          <w:sz w:val="24"/>
        </w:rPr>
        <w:t xml:space="preserve">综合评分在95分以上者（含95分）按合同价正常结算；综合评分在90（含）-95分，每下降1分，扣款200元，以此类推计算；85（含）-90分，每下降1分，扣款500元；综合评分在80（含）-85分，每下降1分，扣款1000元；综合评分在80分以下者，扣除当月养护经费。</w:t>
      </w:r>
      <w:r/>
    </w:p>
    <w:p>
      <w:pPr>
        <w:ind w:firstLine="480"/>
        <w:spacing w:line="360" w:lineRule="auto"/>
        <w:rPr>
          <w:rFonts w:ascii="宋体" w:hAnsi="宋体" w:cs="宋体"/>
          <w:sz w:val="24"/>
          <w:highlight w:val="yellow"/>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有下列情形之一的，养护合同自动终止，</w:t>
      </w:r>
      <w:r>
        <w:rPr>
          <w:rFonts w:hint="eastAsia" w:ascii="宋体" w:hAnsi="宋体" w:cs="宋体"/>
          <w:sz w:val="24"/>
          <w:highlight w:val="none"/>
          <w:lang w:val="en-US" w:eastAsia="zh-CN"/>
        </w:rPr>
        <w:t xml:space="preserve">采购人将</w:t>
      </w:r>
      <w:r>
        <w:rPr>
          <w:rFonts w:hint="eastAsia" w:ascii="宋体" w:hAnsi="宋体" w:cs="宋体"/>
          <w:sz w:val="24"/>
          <w:highlight w:val="none"/>
        </w:rPr>
        <w:t xml:space="preserve">扣</w:t>
      </w:r>
      <w:r>
        <w:rPr>
          <w:rFonts w:hint="eastAsia" w:ascii="宋体" w:hAnsi="宋体" w:cs="宋体"/>
          <w:sz w:val="24"/>
        </w:rPr>
        <w:t xml:space="preserve">除管养保证金</w:t>
      </w:r>
      <w:r>
        <w:rPr>
          <w:rFonts w:hint="eastAsia" w:ascii="宋体" w:hAnsi="宋体" w:cs="宋体"/>
          <w:sz w:val="24"/>
          <w:lang w:eastAsia="zh-CN"/>
        </w:rPr>
        <w:t xml:space="preserve">，</w:t>
      </w:r>
      <w:r>
        <w:rPr>
          <w:rFonts w:hint="eastAsia" w:ascii="宋体" w:hAnsi="宋体" w:cs="宋体"/>
          <w:sz w:val="24"/>
          <w:lang w:val="en-US" w:eastAsia="zh-CN"/>
        </w:rPr>
        <w:t xml:space="preserve">并保留</w:t>
      </w:r>
      <w:r>
        <w:rPr>
          <w:rFonts w:hint="eastAsia" w:ascii="宋体" w:hAnsi="宋体" w:cs="宋体"/>
          <w:sz w:val="24"/>
        </w:rPr>
        <w:t xml:space="preserve">依法继续向</w:t>
      </w:r>
      <w:r>
        <w:rPr>
          <w:rFonts w:hint="eastAsia" w:ascii="宋体" w:hAnsi="宋体" w:cs="宋体"/>
          <w:sz w:val="24"/>
          <w:lang w:val="en-US" w:eastAsia="zh-CN"/>
        </w:rPr>
        <w:t xml:space="preserve">中标供应商</w:t>
      </w:r>
      <w:r>
        <w:rPr>
          <w:rFonts w:hint="eastAsia" w:ascii="宋体" w:hAnsi="宋体" w:cs="宋体"/>
          <w:sz w:val="24"/>
        </w:rPr>
        <w:t xml:space="preserve">追究相应法律和经济责任</w:t>
      </w:r>
      <w:r>
        <w:rPr>
          <w:rFonts w:hint="eastAsia" w:ascii="宋体" w:hAnsi="宋体" w:cs="宋体"/>
          <w:sz w:val="24"/>
          <w:lang w:eastAsia="zh-CN"/>
        </w:rPr>
        <w:t xml:space="preserve">的</w:t>
      </w:r>
      <w:r>
        <w:rPr>
          <w:rFonts w:hint="eastAsia" w:ascii="宋体" w:hAnsi="宋体" w:cs="宋体"/>
          <w:sz w:val="24"/>
          <w:lang w:val="en-US" w:eastAsia="zh-CN"/>
        </w:rPr>
        <w:t xml:space="preserve">权利</w:t>
      </w:r>
      <w:r>
        <w:rPr>
          <w:rFonts w:hint="eastAsia" w:ascii="宋体" w:hAnsi="宋体" w:cs="宋体"/>
          <w:sz w:val="24"/>
        </w:rPr>
        <w:t xml:space="preserve">。</w:t>
      </w:r>
      <w:r/>
    </w:p>
    <w:p>
      <w:pPr>
        <w:ind w:firstLine="482"/>
        <w:spacing w:line="360" w:lineRule="auto"/>
        <w:rPr>
          <w:rFonts w:ascii="宋体" w:hAnsi="宋体" w:cs="宋体"/>
          <w:b/>
          <w:bCs/>
          <w:color w:val="auto"/>
          <w:sz w:val="24"/>
          <w:highlight w:val="yellow"/>
        </w:rPr>
      </w:pPr>
      <w:r>
        <w:rPr>
          <w:rFonts w:hint="eastAsia" w:ascii="宋体" w:hAnsi="宋体" w:cs="宋体"/>
          <w:b/>
          <w:bCs/>
          <w:color w:val="auto"/>
          <w:sz w:val="24"/>
        </w:rPr>
        <w:t xml:space="preserve">（</w:t>
      </w:r>
      <w:r>
        <w:rPr>
          <w:rFonts w:hint="eastAsia" w:ascii="宋体" w:hAnsi="宋体" w:cs="宋体"/>
          <w:b/>
          <w:bCs/>
          <w:color w:val="auto"/>
          <w:sz w:val="24"/>
          <w:highlight w:val="none"/>
        </w:rPr>
        <w:t xml:space="preserve">1）未按采购文件的要求组织养护工作的（如管养期间没有固定经营场所、机具非自有</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人员未按要求配备</w:t>
      </w:r>
      <w:r>
        <w:rPr>
          <w:rFonts w:hint="eastAsia" w:ascii="宋体" w:hAnsi="宋体" w:cs="宋体"/>
          <w:b/>
          <w:bCs/>
          <w:color w:val="auto"/>
          <w:sz w:val="24"/>
          <w:highlight w:val="none"/>
        </w:rPr>
        <w:t xml:space="preserve">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养护年度中</w:t>
      </w:r>
      <w:r>
        <w:rPr>
          <w:rFonts w:hint="eastAsia" w:ascii="宋体" w:hAnsi="宋体" w:cs="宋体"/>
          <w:sz w:val="24"/>
          <w:highlight w:val="none"/>
        </w:rPr>
        <w:t xml:space="preserve">连续二次</w:t>
      </w:r>
      <w:r>
        <w:rPr>
          <w:rFonts w:hint="eastAsia" w:ascii="宋体" w:hAnsi="宋体" w:cs="宋体"/>
          <w:sz w:val="24"/>
          <w:highlight w:val="none"/>
          <w:lang w:val="en-US" w:eastAsia="zh-CN"/>
        </w:rPr>
        <w:t xml:space="preserve">月</w:t>
      </w:r>
      <w:r>
        <w:rPr>
          <w:rFonts w:hint="eastAsia" w:ascii="宋体" w:hAnsi="宋体" w:cs="宋体"/>
          <w:sz w:val="24"/>
          <w:highlight w:val="none"/>
        </w:rPr>
        <w:t xml:space="preserve">考核综合评分在80分以下的；</w:t>
      </w:r>
      <w:r/>
    </w:p>
    <w:p>
      <w:pPr>
        <w:ind w:firstLine="480"/>
        <w:spacing w:line="360" w:lineRule="auto"/>
        <w:rPr>
          <w:rFonts w:ascii="宋体" w:hAnsi="宋体" w:cs="宋体"/>
          <w:sz w:val="24"/>
        </w:rPr>
      </w:pPr>
      <w:r>
        <w:rPr>
          <w:rFonts w:hint="eastAsia" w:ascii="宋体" w:hAnsi="宋体" w:cs="宋体"/>
          <w:sz w:val="24"/>
        </w:rPr>
        <w:t xml:space="preserve">（3）管养合同进行转包</w:t>
      </w:r>
      <w:r>
        <w:rPr>
          <w:rFonts w:hint="eastAsia" w:ascii="宋体" w:hAnsi="宋体" w:cs="宋体"/>
          <w:sz w:val="24"/>
          <w:lang w:val="en-US" w:eastAsia="zh-CN"/>
        </w:rPr>
        <w:t xml:space="preserve">或</w:t>
      </w:r>
      <w:r>
        <w:rPr>
          <w:rFonts w:hint="eastAsia" w:ascii="宋体" w:hAnsi="宋体" w:cs="宋体"/>
          <w:sz w:val="24"/>
        </w:rPr>
        <w:t xml:space="preserve">管养现场负责人随意更换的；</w:t>
      </w:r>
      <w:r/>
    </w:p>
    <w:p>
      <w:pPr>
        <w:ind w:firstLine="480"/>
        <w:spacing w:line="360" w:lineRule="auto"/>
        <w:rPr>
          <w:rFonts w:hint="eastAsia" w:ascii="宋体" w:hAnsi="宋体" w:cs="宋体"/>
          <w:sz w:val="24"/>
        </w:rPr>
      </w:pPr>
      <w:r>
        <w:rPr>
          <w:rFonts w:hint="eastAsia" w:ascii="宋体" w:hAnsi="宋体" w:cs="宋体"/>
          <w:sz w:val="24"/>
        </w:rPr>
        <w:t xml:space="preserve">（4）在管养期内，发生重大质量、安全</w:t>
      </w:r>
      <w:r>
        <w:rPr>
          <w:rFonts w:hint="eastAsia" w:ascii="宋体" w:hAnsi="宋体" w:cs="宋体"/>
          <w:sz w:val="24"/>
          <w:lang w:val="en-US" w:eastAsia="zh-CN"/>
        </w:rPr>
        <w:t xml:space="preserve">等</w:t>
      </w:r>
      <w:r>
        <w:rPr>
          <w:rFonts w:hint="eastAsia" w:ascii="宋体" w:hAnsi="宋体" w:cs="宋体"/>
          <w:sz w:val="24"/>
        </w:rPr>
        <w:t xml:space="preserve">方面的责任事故，对绿化景观造成严重破坏或造成严重社会影响的。</w:t>
      </w:r>
      <w:r/>
    </w:p>
    <w:p>
      <w:pPr>
        <w:ind w:firstLine="480"/>
        <w:spacing w:line="360" w:lineRule="auto"/>
        <w:rPr>
          <w:rFonts w:hint="eastAsia" w:ascii="宋体" w:hAnsi="宋体" w:cs="宋体"/>
          <w:sz w:val="24"/>
        </w:rPr>
      </w:pPr>
      <w:r>
        <w:rPr>
          <w:rFonts w:hint="eastAsia" w:ascii="宋体" w:hAnsi="宋体" w:cs="宋体"/>
          <w:sz w:val="24"/>
          <w:highlight w:val="none"/>
        </w:rPr>
        <w:t xml:space="preserve">养护合同自动终止</w:t>
      </w:r>
      <w:r>
        <w:rPr>
          <w:rFonts w:hint="eastAsia" w:ascii="宋体" w:hAnsi="宋体" w:cs="宋体"/>
          <w:sz w:val="24"/>
          <w:highlight w:val="none"/>
          <w:lang w:eastAsia="zh-CN"/>
        </w:rPr>
        <w:t xml:space="preserve">的</w:t>
      </w:r>
      <w:r>
        <w:rPr>
          <w:rFonts w:hint="eastAsia" w:ascii="宋体" w:hAnsi="宋体" w:cs="宋体"/>
          <w:sz w:val="24"/>
          <w:highlight w:val="none"/>
        </w:rPr>
        <w:t xml:space="preserve">，</w:t>
      </w:r>
      <w:r>
        <w:rPr>
          <w:rFonts w:hint="eastAsia" w:ascii="宋体" w:hAnsi="宋体"/>
          <w:b/>
          <w:bCs/>
          <w:color w:val="auto"/>
          <w:sz w:val="24"/>
          <w:highlight w:val="none"/>
        </w:rPr>
        <w:t xml:space="preserve">由相邻标段</w:t>
      </w:r>
      <w:r>
        <w:rPr>
          <w:rFonts w:hint="eastAsia" w:ascii="宋体" w:hAnsi="宋体"/>
          <w:b/>
          <w:bCs/>
          <w:color w:val="auto"/>
          <w:sz w:val="24"/>
          <w:highlight w:val="none"/>
          <w:lang w:eastAsia="zh-CN"/>
        </w:rPr>
        <w:t xml:space="preserve">中标供应商</w:t>
      </w:r>
      <w:r>
        <w:rPr>
          <w:rFonts w:hint="eastAsia" w:ascii="宋体" w:hAnsi="宋体"/>
          <w:b/>
          <w:bCs/>
          <w:color w:val="auto"/>
          <w:sz w:val="24"/>
          <w:highlight w:val="none"/>
        </w:rPr>
        <w:t xml:space="preserve">临时代管，代管期限最长不得超过3个月，且代管期内遇合同到期则代管自动终止，</w:t>
      </w:r>
      <w:r>
        <w:rPr>
          <w:rFonts w:hint="eastAsia" w:ascii="宋体" w:hAnsi="宋体" w:cs="宋体"/>
          <w:b/>
          <w:bCs/>
          <w:color w:val="auto"/>
          <w:sz w:val="24"/>
          <w:highlight w:val="none"/>
        </w:rPr>
        <w:t xml:space="preserve">其所有损失由原中标供应商承担。</w:t>
      </w:r>
      <w:r/>
    </w:p>
    <w:p>
      <w:pPr>
        <w:ind w:firstLine="480"/>
        <w:spacing w:line="360" w:lineRule="auto"/>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暴露出的同一问题</w:t>
      </w:r>
      <w:r>
        <w:rPr>
          <w:rFonts w:hint="eastAsia" w:ascii="宋体" w:hAnsi="宋体" w:cs="宋体"/>
          <w:sz w:val="24"/>
          <w:lang w:val="en-US" w:eastAsia="zh-CN"/>
        </w:rPr>
        <w:t xml:space="preserve">采购人</w:t>
      </w:r>
      <w:r>
        <w:rPr>
          <w:rFonts w:hint="eastAsia" w:ascii="宋体" w:hAnsi="宋体" w:cs="宋体"/>
          <w:sz w:val="24"/>
        </w:rPr>
        <w:t xml:space="preserve">电话通知</w:t>
      </w:r>
      <w:r>
        <w:rPr>
          <w:rFonts w:hint="eastAsia" w:ascii="宋体" w:hAnsi="宋体" w:cs="宋体"/>
          <w:sz w:val="24"/>
          <w:lang w:val="en-US" w:eastAsia="zh-CN"/>
        </w:rPr>
        <w:t xml:space="preserve">中标供应商</w:t>
      </w:r>
      <w:r>
        <w:rPr>
          <w:rFonts w:hint="eastAsia" w:ascii="宋体" w:hAnsi="宋体" w:cs="宋体"/>
          <w:sz w:val="24"/>
        </w:rPr>
        <w:t xml:space="preserve">两次后仍未整改到位，</w:t>
      </w:r>
      <w:r>
        <w:rPr>
          <w:rFonts w:hint="eastAsia" w:ascii="宋体" w:hAnsi="宋体" w:cs="宋体"/>
          <w:sz w:val="24"/>
          <w:lang w:val="en-US" w:eastAsia="zh-CN"/>
        </w:rPr>
        <w:t xml:space="preserve">采购人</w:t>
      </w:r>
      <w:r>
        <w:rPr>
          <w:rFonts w:hint="eastAsia" w:ascii="宋体" w:hAnsi="宋体" w:cs="宋体"/>
          <w:sz w:val="24"/>
        </w:rPr>
        <w:t xml:space="preserve">将开出“整改通知书”，并在当月综合评分中扣除5分。</w:t>
      </w:r>
      <w:r/>
    </w:p>
    <w:p>
      <w:pPr>
        <w:ind w:firstLine="480"/>
        <w:spacing w:line="360" w:lineRule="auto"/>
        <w:rPr>
          <w:rFonts w:ascii="宋体" w:hAnsi="宋体" w:cs="宋体"/>
          <w:sz w:val="24"/>
          <w:highlight w:val="none"/>
        </w:rPr>
      </w:pPr>
      <w:r>
        <w:rPr>
          <w:rFonts w:hint="eastAsia" w:ascii="宋体" w:hAnsi="宋体" w:cs="宋体"/>
          <w:sz w:val="24"/>
          <w:lang w:val="en-US" w:eastAsia="zh-CN"/>
        </w:rPr>
        <w:t xml:space="preserve">4、</w:t>
      </w:r>
      <w:r>
        <w:rPr>
          <w:rFonts w:hint="eastAsia" w:ascii="宋体" w:hAnsi="宋体" w:cs="宋体"/>
          <w:sz w:val="24"/>
        </w:rPr>
        <w:t xml:space="preserve">日常检查过程中，出现</w:t>
      </w:r>
      <w:r>
        <w:rPr>
          <w:rFonts w:hint="eastAsia" w:ascii="宋体" w:hAnsi="宋体" w:cs="宋体"/>
          <w:sz w:val="24"/>
          <w:highlight w:val="none"/>
        </w:rPr>
        <w:t xml:space="preserve">下列情况时，除按规定扣分外，还需直接扣除养护经费：</w:t>
      </w:r>
      <w:r/>
    </w:p>
    <w:p>
      <w:pPr>
        <w:ind w:firstLine="480"/>
        <w:spacing w:line="360" w:lineRule="auto"/>
        <w:rPr>
          <w:rFonts w:ascii="宋体" w:hAnsi="宋体" w:cs="宋体"/>
          <w:sz w:val="24"/>
        </w:rPr>
      </w:pPr>
      <w:r>
        <w:rPr>
          <w:rFonts w:hint="eastAsia" w:ascii="宋体" w:hAnsi="宋体" w:cs="宋体"/>
          <w:sz w:val="24"/>
          <w:highlight w:val="none"/>
        </w:rPr>
        <w:t xml:space="preserve">（1）现场负责人应按时按规定参加</w:t>
      </w:r>
      <w:bookmarkStart w:id="817" w:name="OLE_LINK3"/>
      <w:r>
        <w:rPr>
          <w:rFonts w:hint="eastAsia" w:ascii="宋体" w:hAnsi="宋体" w:cs="宋体"/>
          <w:color w:val="auto"/>
          <w:sz w:val="24"/>
          <w:highlight w:val="none"/>
        </w:rPr>
        <w:t xml:space="preserve">报</w:t>
      </w:r>
      <w:bookmarkStart w:id="818" w:name="OLE_LINK5"/>
      <w:r>
        <w:rPr>
          <w:rFonts w:hint="eastAsia" w:ascii="宋体" w:hAnsi="宋体" w:cs="宋体"/>
          <w:color w:val="auto"/>
          <w:sz w:val="24"/>
          <w:highlight w:val="none"/>
        </w:rPr>
        <w:t xml:space="preserve">溧阳经济开发区综合行政执法</w:t>
      </w:r>
      <w:r>
        <w:rPr>
          <w:rFonts w:hint="eastAsia" w:ascii="宋体" w:hAnsi="宋体" w:cs="宋体"/>
          <w:color w:val="auto"/>
          <w:sz w:val="24"/>
          <w:highlight w:val="none"/>
          <w:lang w:val="en-US" w:eastAsia="zh-CN"/>
        </w:rPr>
        <w:t xml:space="preserve">和安全生产监督管理办公室</w:t>
      </w:r>
      <w:bookmarkEnd w:id="817"/>
      <w:r/>
      <w:bookmarkEnd w:id="818"/>
      <w:r>
        <w:rPr>
          <w:rFonts w:hint="eastAsia" w:ascii="宋体" w:hAnsi="宋体" w:cs="宋体"/>
          <w:sz w:val="24"/>
          <w:highlight w:val="none"/>
        </w:rPr>
        <w:t xml:space="preserve">组</w:t>
      </w:r>
      <w:r>
        <w:rPr>
          <w:rFonts w:hint="eastAsia" w:ascii="宋体" w:hAnsi="宋体" w:cs="宋体"/>
          <w:sz w:val="24"/>
        </w:rPr>
        <w:t xml:space="preserve">织的各项培训、会议；无故缺席的一次扣500元；</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（2）按合同规定的</w:t>
      </w:r>
      <w:r>
        <w:rPr>
          <w:rFonts w:hint="eastAsia" w:ascii="宋体" w:hAnsi="宋体" w:cs="宋体"/>
          <w:b/>
          <w:color w:val="auto"/>
          <w:sz w:val="24"/>
          <w:highlight w:val="none"/>
          <w:lang w:val="en-US" w:eastAsia="zh-CN"/>
        </w:rPr>
        <w:t xml:space="preserve">作业人</w:t>
      </w:r>
      <w:r>
        <w:rPr>
          <w:rFonts w:hint="eastAsia" w:ascii="宋体" w:hAnsi="宋体" w:cs="宋体"/>
          <w:b/>
          <w:color w:val="auto"/>
          <w:sz w:val="24"/>
          <w:highlight w:val="none"/>
        </w:rPr>
        <w:t xml:space="preserve">数到岗到位，不足规定的人数时，按每人每天200元扣除；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（3）处于失管状态的</w:t>
      </w:r>
      <w:r>
        <w:rPr>
          <w:rFonts w:hint="eastAsia" w:ascii="宋体" w:hAnsi="宋体" w:cs="宋体"/>
          <w:sz w:val="24"/>
        </w:rPr>
        <w:t xml:space="preserve">地块，</w:t>
      </w:r>
      <w:r>
        <w:rPr>
          <w:rFonts w:hint="eastAsia" w:ascii="宋体" w:hAnsi="宋体" w:cs="宋体"/>
          <w:sz w:val="24"/>
          <w:lang w:val="en-US" w:eastAsia="zh-CN"/>
        </w:rPr>
        <w:t xml:space="preserve">采购人</w:t>
      </w:r>
      <w:r>
        <w:rPr>
          <w:rFonts w:hint="eastAsia" w:ascii="宋体" w:hAnsi="宋体" w:cs="宋体"/>
          <w:sz w:val="24"/>
        </w:rPr>
        <w:t xml:space="preserve">有权根据失管的严重程度，在扣分的基础上，</w:t>
      </w:r>
      <w:r>
        <w:rPr>
          <w:rFonts w:hint="eastAsia" w:ascii="宋体" w:hAnsi="宋体" w:cs="宋体"/>
          <w:sz w:val="24"/>
          <w:highlight w:val="none"/>
        </w:rPr>
        <w:t xml:space="preserve">直接扣除当月的养护费用；</w:t>
      </w:r>
      <w:r/>
    </w:p>
    <w:p>
      <w:pPr>
        <w:ind w:firstLine="480"/>
        <w:spacing w:line="360" w:lineRule="auto"/>
        <w:rPr>
          <w:rFonts w:hint="eastAsia" w:ascii="宋体" w:hAnsi="宋体" w:eastAsia="宋体" w:cs="宋体"/>
          <w:sz w:val="24"/>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因工人集体罢工、上访、群众举报和投诉等事件致使</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或</w:t>
      </w:r>
      <w:r>
        <w:rPr>
          <w:rFonts w:hint="eastAsia" w:ascii="宋体" w:hAnsi="宋体" w:cs="宋体"/>
          <w:color w:val="auto"/>
          <w:sz w:val="24"/>
          <w:highlight w:val="none"/>
        </w:rPr>
        <w:t xml:space="preserve">溧阳经济开发区综合行政执法</w:t>
      </w:r>
      <w:r>
        <w:rPr>
          <w:rFonts w:hint="eastAsia" w:ascii="宋体" w:hAnsi="宋体" w:cs="宋体"/>
          <w:color w:val="auto"/>
          <w:sz w:val="24"/>
          <w:highlight w:val="none"/>
          <w:lang w:val="en-US" w:eastAsia="zh-CN"/>
        </w:rPr>
        <w:t xml:space="preserve">和安全生产监督管理办公室</w:t>
      </w:r>
      <w:r>
        <w:rPr>
          <w:rFonts w:hint="eastAsia" w:ascii="宋体" w:hAnsi="宋体" w:cs="宋体"/>
          <w:sz w:val="24"/>
          <w:highlight w:val="none"/>
        </w:rPr>
        <w:t xml:space="preserve">名誉受损或</w:t>
      </w:r>
      <w:r>
        <w:rPr>
          <w:rFonts w:hint="eastAsia" w:ascii="宋体" w:hAnsi="宋体" w:cs="宋体"/>
          <w:sz w:val="24"/>
        </w:rPr>
        <w:t xml:space="preserve">其它损失的，除按考核要求扣分外，直接扣款2000元/次，情节特别严重的终止管养合同；</w:t>
      </w:r>
      <w:r/>
    </w:p>
    <w:p>
      <w:pPr>
        <w:ind w:firstLine="480"/>
        <w:spacing w:line="360" w:lineRule="auto"/>
        <w:rPr>
          <w:rFonts w:hint="eastAsia" w:ascii="宋体" w:hAnsi="宋体" w:cs="宋体"/>
          <w:b/>
          <w:bCs/>
          <w:sz w:val="24"/>
        </w:rPr>
      </w:pPr>
      <w:r>
        <w:rPr>
          <w:rFonts w:hint="eastAsia" w:ascii="宋体" w:hAnsi="宋体" w:cs="宋体"/>
          <w:sz w:val="24"/>
          <w:lang w:val="en-US" w:eastAsia="zh-CN"/>
        </w:rPr>
        <w:t xml:space="preserve">注：上述</w:t>
      </w:r>
      <w:r>
        <w:rPr>
          <w:rFonts w:hint="eastAsia" w:ascii="宋体" w:hAnsi="宋体" w:cs="宋体"/>
          <w:sz w:val="24"/>
        </w:rPr>
        <w:t xml:space="preserve">措施中所指的扣款是每月考核综合评分扣款，在结算资金时结清。</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考核实施细则</w:t>
      </w:r>
      <w:r/>
    </w:p>
    <w:tbl>
      <w:tblPr>
        <w:tblStyle w:val="899"/>
        <w:tblpPr w:horzAnchor="page" w:tblpX="1185" w:vertAnchor="text" w:tblpY="293" w:leftFromText="180" w:topFromText="0" w:rightFromText="180" w:bottomFromText="0"/>
        <w:tblW w:w="98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759"/>
        <w:gridCol w:w="4396"/>
        <w:gridCol w:w="2954"/>
        <w:gridCol w:w="796"/>
      </w:tblGrid>
      <w:tr>
        <w:trPr>
          <w:trHeight w:val="374"/>
        </w:trPr>
        <w:tc>
          <w:tcPr>
            <w:tcW w:w="941" w:type="dxa"/>
            <w:vAlign w:val="center"/>
            <w:textDirection w:val="lrTb"/>
            <w:noWrap w:val="false"/>
          </w:tcPr>
          <w:p>
            <w:pPr>
              <w:jc w:val="center"/>
              <w:widowControl/>
              <w:rPr>
                <w:rFonts w:ascii="宋体" w:hAnsi="宋体"/>
                <w:sz w:val="24"/>
              </w:rPr>
            </w:pPr>
            <w:r>
              <w:rPr>
                <w:rFonts w:hint="eastAsia" w:ascii="宋体" w:hAnsi="宋体"/>
                <w:sz w:val="24"/>
              </w:rPr>
              <w:t xml:space="preserve">项目</w:t>
            </w:r>
            <w:r/>
          </w:p>
        </w:tc>
        <w:tc>
          <w:tcPr>
            <w:tcW w:w="759" w:type="dxa"/>
            <w:vAlign w:val="center"/>
            <w:textDirection w:val="lrTb"/>
            <w:noWrap w:val="false"/>
          </w:tcPr>
          <w:p>
            <w:pPr>
              <w:jc w:val="center"/>
              <w:widowControl/>
              <w:rPr>
                <w:rFonts w:ascii="宋体" w:hAnsi="宋体"/>
                <w:sz w:val="24"/>
              </w:rPr>
            </w:pPr>
            <w:r>
              <w:rPr>
                <w:rFonts w:hint="eastAsia" w:ascii="宋体" w:hAnsi="宋体"/>
                <w:sz w:val="24"/>
              </w:rPr>
              <w:t xml:space="preserve">分值</w:t>
            </w:r>
            <w:r/>
          </w:p>
        </w:tc>
        <w:tc>
          <w:tcPr>
            <w:tcW w:w="4396" w:type="dxa"/>
            <w:vAlign w:val="center"/>
            <w:textDirection w:val="lrTb"/>
            <w:noWrap w:val="false"/>
          </w:tcPr>
          <w:p>
            <w:pPr>
              <w:jc w:val="center"/>
              <w:widowControl/>
              <w:rPr>
                <w:rFonts w:ascii="宋体" w:hAnsi="宋体"/>
                <w:sz w:val="24"/>
              </w:rPr>
            </w:pPr>
            <w:r>
              <w:rPr>
                <w:rFonts w:hint="eastAsia" w:ascii="宋体" w:hAnsi="宋体"/>
                <w:sz w:val="24"/>
              </w:rPr>
              <w:t xml:space="preserve">考</w:t>
            </w:r>
            <w:r>
              <w:rPr>
                <w:rFonts w:ascii="宋体" w:hAnsi="宋体"/>
                <w:sz w:val="24"/>
              </w:rPr>
              <w:t xml:space="preserve">  </w:t>
            </w:r>
            <w:r>
              <w:rPr>
                <w:rFonts w:hint="eastAsia" w:ascii="宋体" w:hAnsi="宋体"/>
                <w:sz w:val="24"/>
              </w:rPr>
              <w:t xml:space="preserve">核</w:t>
            </w:r>
            <w:r>
              <w:rPr>
                <w:rFonts w:ascii="宋体" w:hAnsi="宋体"/>
                <w:sz w:val="24"/>
              </w:rPr>
              <w:t xml:space="preserve">  </w:t>
            </w:r>
            <w:r>
              <w:rPr>
                <w:rFonts w:hint="eastAsia" w:ascii="宋体" w:hAnsi="宋体"/>
                <w:sz w:val="24"/>
              </w:rPr>
              <w:t xml:space="preserve">标</w:t>
            </w:r>
            <w:r>
              <w:rPr>
                <w:rFonts w:ascii="宋体" w:hAnsi="宋体"/>
                <w:sz w:val="24"/>
              </w:rPr>
              <w:t xml:space="preserve">  </w:t>
            </w:r>
            <w:r>
              <w:rPr>
                <w:rFonts w:hint="eastAsia" w:ascii="宋体" w:hAnsi="宋体"/>
                <w:sz w:val="24"/>
              </w:rPr>
              <w:t xml:space="preserve">准</w:t>
            </w:r>
            <w:r/>
          </w:p>
        </w:tc>
        <w:tc>
          <w:tcPr>
            <w:tcW w:w="2954" w:type="dxa"/>
            <w:vAlign w:val="center"/>
            <w:textDirection w:val="lrTb"/>
            <w:noWrap w:val="false"/>
          </w:tcPr>
          <w:p>
            <w:pPr>
              <w:jc w:val="center"/>
              <w:widowControl/>
              <w:rPr>
                <w:rFonts w:ascii="宋体" w:hAnsi="宋体"/>
                <w:sz w:val="24"/>
              </w:rPr>
            </w:pPr>
            <w:r>
              <w:rPr>
                <w:rFonts w:hint="eastAsia" w:ascii="宋体" w:hAnsi="宋体"/>
                <w:sz w:val="24"/>
              </w:rPr>
              <w:t xml:space="preserve">扣</w:t>
            </w:r>
            <w:r>
              <w:rPr>
                <w:rFonts w:ascii="宋体" w:hAnsi="宋体"/>
                <w:sz w:val="24"/>
              </w:rPr>
              <w:t xml:space="preserve">  </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细</w:t>
            </w:r>
            <w:r>
              <w:rPr>
                <w:rFonts w:ascii="宋体" w:hAnsi="宋体"/>
                <w:sz w:val="24"/>
              </w:rPr>
              <w:t xml:space="preserve">  </w:t>
            </w:r>
            <w:r>
              <w:rPr>
                <w:rFonts w:hint="eastAsia" w:ascii="宋体" w:hAnsi="宋体"/>
                <w:sz w:val="24"/>
              </w:rPr>
              <w:t xml:space="preserve">则</w:t>
            </w:r>
            <w:r/>
          </w:p>
        </w:tc>
        <w:tc>
          <w:tcPr>
            <w:tcW w:w="796" w:type="dxa"/>
            <w:vAlign w:val="center"/>
            <w:textDirection w:val="lrTb"/>
            <w:noWrap w:val="false"/>
          </w:tcPr>
          <w:p>
            <w:pPr>
              <w:jc w:val="center"/>
              <w:widowControl/>
              <w:rPr>
                <w:rFonts w:ascii="宋体" w:hAnsi="宋体"/>
                <w:sz w:val="24"/>
              </w:rPr>
            </w:pPr>
            <w:r>
              <w:rPr>
                <w:rFonts w:hint="eastAsia" w:ascii="宋体" w:hAnsi="宋体"/>
                <w:sz w:val="24"/>
              </w:rPr>
              <w:t xml:space="preserve">扣分</w:t>
            </w:r>
            <w:r/>
          </w:p>
        </w:tc>
      </w:tr>
      <w:tr>
        <w:trPr>
          <w:cantSplit/>
          <w:trHeight w:val="744"/>
        </w:trPr>
        <w:tc>
          <w:tcPr>
            <w:tcW w:w="941" w:type="dxa"/>
            <w:vAlign w:val="center"/>
            <w:vMerge w:val="restart"/>
            <w:textDirection w:val="lrTb"/>
            <w:noWrap w:val="false"/>
          </w:tcPr>
          <w:p>
            <w:pPr>
              <w:jc w:val="center"/>
              <w:widowControl/>
              <w:rPr>
                <w:rFonts w:ascii="宋体" w:hAnsi="宋体"/>
                <w:sz w:val="24"/>
              </w:rPr>
            </w:pPr>
            <w:r>
              <w:rPr>
                <w:rFonts w:hint="eastAsia" w:ascii="宋体" w:hAnsi="宋体"/>
                <w:sz w:val="24"/>
              </w:rPr>
              <w:t xml:space="preserve">卫生</w:t>
            </w:r>
            <w:r/>
          </w:p>
          <w:p>
            <w:pPr>
              <w:jc w:val="center"/>
              <w:widowControl/>
              <w:rPr>
                <w:rFonts w:ascii="宋体" w:hAnsi="宋体"/>
                <w:sz w:val="24"/>
              </w:rPr>
            </w:pPr>
            <w:r>
              <w:rPr>
                <w:rFonts w:hint="eastAsia" w:ascii="宋体" w:hAnsi="宋体"/>
                <w:sz w:val="24"/>
              </w:rPr>
              <w:t xml:space="preserve">保洁</w:t>
            </w:r>
            <w:r/>
          </w:p>
        </w:tc>
        <w:tc>
          <w:tcPr>
            <w:tcW w:w="759" w:type="dxa"/>
            <w:vAlign w:val="center"/>
            <w:vMerge w:val="restart"/>
            <w:textDirection w:val="lrTb"/>
            <w:noWrap w:val="false"/>
          </w:tcPr>
          <w:p>
            <w:pPr>
              <w:jc w:val="center"/>
              <w:widowControl/>
              <w:rPr>
                <w:rFonts w:ascii="宋体" w:hAnsi="宋体"/>
                <w:sz w:val="24"/>
              </w:rPr>
            </w:pPr>
            <w:r>
              <w:rPr>
                <w:rFonts w:hint="eastAsia" w:ascii="宋体" w:hAnsi="宋体"/>
                <w:sz w:val="24"/>
              </w:rPr>
              <w:t xml:space="preserve">1</w:t>
            </w:r>
            <w:r>
              <w:rPr>
                <w:rFonts w:ascii="宋体" w:hAnsi="宋体"/>
                <w:sz w:val="24"/>
              </w:rPr>
              <w:t xml:space="preserve">0</w:t>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1</w:t>
            </w:r>
            <w:r>
              <w:rPr>
                <w:rFonts w:hint="eastAsia" w:ascii="宋体" w:hAnsi="宋体"/>
                <w:sz w:val="24"/>
              </w:rPr>
              <w:t xml:space="preserve">、花坛、树池、绿地内无白色垃圾、落叶、建筑垃圾；水面无漂浮物等。</w:t>
            </w:r>
            <w:r/>
          </w:p>
        </w:tc>
        <w:tc>
          <w:tcPr>
            <w:tcW w:w="2954" w:type="dxa"/>
            <w:vAlign w:val="center"/>
            <w:vMerge w:val="restart"/>
            <w:textDirection w:val="lrTb"/>
            <w:noWrap w:val="false"/>
          </w:tcPr>
          <w:p>
            <w:pPr>
              <w:jc w:val="left"/>
              <w:widowControl/>
              <w:rPr>
                <w:rFonts w:ascii="宋体" w:hAnsi="宋体"/>
                <w:sz w:val="24"/>
              </w:rPr>
            </w:pPr>
            <w:r>
              <w:rPr>
                <w:rFonts w:hint="eastAsia" w:ascii="宋体" w:hAnsi="宋体"/>
                <w:sz w:val="24"/>
              </w:rPr>
              <w:t xml:space="preserve">发现有陈旧垃圾、杂物扣</w:t>
            </w:r>
            <w:r>
              <w:rPr>
                <w:rFonts w:ascii="宋体" w:hAnsi="宋体"/>
                <w:sz w:val="24"/>
              </w:rPr>
              <w:t xml:space="preserve">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处；发现有卫生死角扣</w:t>
            </w:r>
            <w:r>
              <w:rPr>
                <w:rFonts w:ascii="宋体" w:hAnsi="宋体"/>
                <w:sz w:val="24"/>
              </w:rPr>
              <w:t xml:space="preserve">5</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处；发现园林设施及水体不整洁扣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处；垃圾当天不及时清运扣</w:t>
            </w:r>
            <w:r>
              <w:rPr>
                <w:rFonts w:ascii="宋体" w:hAnsi="宋体"/>
                <w:sz w:val="24"/>
              </w:rPr>
              <w:t xml:space="preserve">2</w:t>
            </w:r>
            <w:r>
              <w:rPr>
                <w:rFonts w:hint="eastAsia" w:ascii="宋体" w:hAnsi="宋体"/>
                <w:sz w:val="24"/>
              </w:rPr>
              <w:t xml:space="preserve">分。</w:t>
            </w:r>
            <w:r/>
          </w:p>
        </w:tc>
        <w:tc>
          <w:tcPr>
            <w:tcW w:w="796" w:type="dxa"/>
            <w:vAlign w:val="center"/>
            <w:vMerge w:val="restart"/>
            <w:textDirection w:val="lrTb"/>
            <w:noWrap w:val="false"/>
          </w:tcPr>
          <w:p>
            <w:pPr>
              <w:jc w:val="center"/>
              <w:widowControl/>
              <w:rPr>
                <w:rFonts w:ascii="宋体" w:hAnsi="宋体"/>
                <w:sz w:val="24"/>
              </w:rPr>
            </w:pPr>
            <w:r>
              <w:rPr>
                <w:rFonts w:ascii="宋体" w:hAnsi="宋体"/>
                <w:sz w:val="24"/>
              </w:rPr>
            </w:r>
            <w:r/>
          </w:p>
        </w:tc>
      </w:tr>
      <w:tr>
        <w:trPr>
          <w:cantSplit/>
          <w:trHeight w:val="678"/>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2</w:t>
            </w:r>
            <w:r>
              <w:rPr>
                <w:rFonts w:hint="eastAsia" w:ascii="宋体" w:hAnsi="宋体"/>
                <w:sz w:val="24"/>
              </w:rPr>
              <w:t xml:space="preserve">、园林设施整洁卫生；厕所无异臭、地面无积水、无积渍、定期喷药灭菌、灭虫。</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702"/>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3</w:t>
            </w:r>
            <w:r>
              <w:rPr>
                <w:rFonts w:hint="eastAsia" w:ascii="宋体" w:hAnsi="宋体"/>
                <w:sz w:val="24"/>
              </w:rPr>
              <w:t xml:space="preserve">、生产垃圾日产日清，重点地段随产随清。</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397"/>
        </w:trPr>
        <w:tc>
          <w:tcPr>
            <w:tcW w:w="941" w:type="dxa"/>
            <w:vAlign w:val="center"/>
            <w:vMerge w:val="restart"/>
            <w:textDirection w:val="lrTb"/>
            <w:noWrap w:val="false"/>
          </w:tcPr>
          <w:p>
            <w:pPr>
              <w:jc w:val="center"/>
              <w:widowControl/>
              <w:rPr>
                <w:rFonts w:ascii="宋体" w:hAnsi="宋体"/>
                <w:sz w:val="24"/>
              </w:rPr>
            </w:pPr>
            <w:r>
              <w:rPr>
                <w:rFonts w:hint="eastAsia" w:ascii="宋体" w:hAnsi="宋体"/>
                <w:sz w:val="24"/>
              </w:rPr>
              <w:t xml:space="preserve">草坪</w:t>
            </w:r>
            <w:r/>
          </w:p>
          <w:p>
            <w:pPr>
              <w:jc w:val="center"/>
              <w:widowControl/>
              <w:rPr>
                <w:rFonts w:ascii="宋体" w:hAnsi="宋体"/>
                <w:sz w:val="24"/>
              </w:rPr>
            </w:pPr>
            <w:r>
              <w:rPr>
                <w:rFonts w:hint="eastAsia" w:ascii="宋体" w:hAnsi="宋体"/>
                <w:sz w:val="24"/>
              </w:rPr>
              <w:t xml:space="preserve">养护</w:t>
            </w:r>
            <w:r/>
          </w:p>
        </w:tc>
        <w:tc>
          <w:tcPr>
            <w:tcW w:w="759" w:type="dxa"/>
            <w:vAlign w:val="center"/>
            <w:vMerge w:val="restart"/>
            <w:textDirection w:val="lrTb"/>
            <w:noWrap w:val="false"/>
          </w:tcPr>
          <w:p>
            <w:pPr>
              <w:jc w:val="center"/>
              <w:widowControl/>
              <w:rPr>
                <w:rFonts w:ascii="宋体" w:hAnsi="宋体"/>
                <w:sz w:val="24"/>
              </w:rPr>
            </w:pPr>
            <w:r>
              <w:rPr>
                <w:rFonts w:hint="eastAsia" w:ascii="宋体" w:hAnsi="宋体"/>
                <w:sz w:val="24"/>
              </w:rPr>
              <w:t xml:space="preserve">2</w:t>
            </w:r>
            <w:r>
              <w:rPr>
                <w:rFonts w:ascii="宋体" w:hAnsi="宋体"/>
                <w:sz w:val="24"/>
              </w:rPr>
              <w:t xml:space="preserve">0</w:t>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1</w:t>
            </w:r>
            <w:r>
              <w:rPr>
                <w:rFonts w:hint="eastAsia" w:ascii="宋体" w:hAnsi="宋体"/>
                <w:sz w:val="24"/>
              </w:rPr>
              <w:t xml:space="preserve">、生长期长势好，草坪绿期长，抗旱浇水和雨后排水及时，无退化现象。</w:t>
            </w:r>
            <w:r/>
          </w:p>
        </w:tc>
        <w:tc>
          <w:tcPr>
            <w:tcW w:w="2954" w:type="dxa"/>
            <w:vAlign w:val="center"/>
            <w:vMerge w:val="restart"/>
            <w:textDirection w:val="lrTb"/>
            <w:noWrap w:val="false"/>
          </w:tcPr>
          <w:p>
            <w:pPr>
              <w:jc w:val="left"/>
              <w:widowControl/>
              <w:rPr>
                <w:rFonts w:ascii="宋体" w:hAnsi="宋体"/>
                <w:sz w:val="24"/>
              </w:rPr>
            </w:pPr>
            <w:r>
              <w:rPr>
                <w:rFonts w:hint="eastAsia" w:ascii="宋体" w:hAnsi="宋体"/>
                <w:sz w:val="24"/>
              </w:rPr>
              <w:t xml:space="preserve">未及时做好浇水、排水工作致草坪生长不良扣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处；修剪不合格每平方扣</w:t>
            </w:r>
            <w:r>
              <w:rPr>
                <w:rFonts w:ascii="宋体" w:hAnsi="宋体"/>
                <w:sz w:val="24"/>
              </w:rPr>
              <w:t xml:space="preserve">1</w:t>
            </w:r>
            <w:r>
              <w:rPr>
                <w:rFonts w:hint="eastAsia" w:ascii="宋体" w:hAnsi="宋体"/>
                <w:sz w:val="24"/>
              </w:rPr>
              <w:t xml:space="preserve">分；病虫害防治不力造成危害影响景观的每平方扣</w:t>
            </w:r>
            <w:r>
              <w:rPr>
                <w:rFonts w:ascii="宋体" w:hAnsi="宋体"/>
                <w:sz w:val="24"/>
              </w:rPr>
              <w:t xml:space="preserve">1</w:t>
            </w:r>
            <w:r>
              <w:rPr>
                <w:rFonts w:hint="eastAsia" w:ascii="宋体" w:hAnsi="宋体"/>
                <w:sz w:val="24"/>
              </w:rPr>
              <w:t xml:space="preserve">分；杂草明显、界线不清扣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w:t>
            </w:r>
            <w:r/>
          </w:p>
        </w:tc>
        <w:tc>
          <w:tcPr>
            <w:tcW w:w="796" w:type="dxa"/>
            <w:vAlign w:val="center"/>
            <w:vMerge w:val="restart"/>
            <w:textDirection w:val="lrTb"/>
            <w:noWrap w:val="false"/>
          </w:tcPr>
          <w:p>
            <w:pPr>
              <w:jc w:val="center"/>
              <w:widowControl/>
              <w:rPr>
                <w:rFonts w:ascii="宋体" w:hAnsi="宋体"/>
                <w:sz w:val="24"/>
              </w:rPr>
            </w:pPr>
            <w:r>
              <w:rPr>
                <w:rFonts w:ascii="宋体" w:hAnsi="宋体"/>
                <w:sz w:val="24"/>
              </w:rPr>
            </w:r>
            <w:r/>
          </w:p>
        </w:tc>
      </w:tr>
      <w:tr>
        <w:trPr>
          <w:cantSplit/>
          <w:trHeight w:val="315"/>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spacing w:line="320" w:lineRule="exact"/>
              <w:widowControl/>
              <w:rPr>
                <w:rFonts w:ascii="宋体" w:hAnsi="宋体"/>
                <w:sz w:val="24"/>
              </w:rPr>
            </w:pPr>
            <w:r>
              <w:rPr>
                <w:rFonts w:ascii="宋体" w:hAnsi="宋体"/>
                <w:sz w:val="24"/>
              </w:rPr>
              <w:t xml:space="preserve">2</w:t>
            </w:r>
            <w:r>
              <w:rPr>
                <w:rFonts w:hint="eastAsia" w:ascii="宋体" w:hAnsi="宋体"/>
                <w:sz w:val="24"/>
              </w:rPr>
              <w:t xml:space="preserve">、修剪平整，冬绿型草坪高度不超过</w:t>
            </w:r>
            <w:r>
              <w:rPr>
                <w:rFonts w:ascii="宋体" w:hAnsi="宋体"/>
                <w:sz w:val="24"/>
              </w:rPr>
              <w:t xml:space="preserve">10</w:t>
            </w:r>
            <w:r>
              <w:rPr>
                <w:rFonts w:hint="eastAsia" w:ascii="宋体" w:hAnsi="宋体"/>
                <w:sz w:val="24"/>
              </w:rPr>
              <w:t xml:space="preserve">厘米，夏绿型草坪高度不超过</w:t>
            </w:r>
            <w:r>
              <w:rPr>
                <w:rFonts w:ascii="宋体" w:hAnsi="宋体"/>
                <w:sz w:val="24"/>
              </w:rPr>
              <w:t xml:space="preserve">6</w:t>
            </w:r>
            <w:r>
              <w:rPr>
                <w:rFonts w:hint="eastAsia" w:ascii="宋体" w:hAnsi="宋体"/>
                <w:sz w:val="24"/>
              </w:rPr>
              <w:t xml:space="preserve">厘米，休眠期前作较低修剪。</w:t>
            </w:r>
            <w:r/>
          </w:p>
        </w:tc>
        <w:tc>
          <w:tcPr>
            <w:tcW w:w="2954" w:type="dxa"/>
            <w:vAlign w:val="center"/>
            <w:vMerge w:val="continue"/>
            <w:textDirection w:val="lrTb"/>
            <w:noWrap w:val="false"/>
          </w:tcPr>
          <w:p>
            <w:pPr>
              <w:jc w:val="left"/>
              <w:spacing w:line="320" w:lineRule="exac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315"/>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spacing w:line="320" w:lineRule="exact"/>
              <w:widowControl/>
              <w:rPr>
                <w:rFonts w:ascii="宋体" w:hAnsi="宋体"/>
                <w:sz w:val="24"/>
              </w:rPr>
            </w:pPr>
            <w:r>
              <w:rPr>
                <w:rFonts w:ascii="宋体" w:hAnsi="宋体"/>
                <w:sz w:val="24"/>
              </w:rPr>
              <w:t xml:space="preserve">3</w:t>
            </w:r>
            <w:r>
              <w:rPr>
                <w:rFonts w:hint="eastAsia" w:ascii="宋体" w:hAnsi="宋体"/>
                <w:sz w:val="24"/>
              </w:rPr>
              <w:t xml:space="preserve">、草坪无病虫害，无空秃，有一定厚度，草根不裸露。</w:t>
            </w:r>
            <w:r/>
          </w:p>
        </w:tc>
        <w:tc>
          <w:tcPr>
            <w:tcW w:w="2954" w:type="dxa"/>
            <w:vAlign w:val="center"/>
            <w:vMerge w:val="continue"/>
            <w:textDirection w:val="lrTb"/>
            <w:noWrap w:val="false"/>
          </w:tcPr>
          <w:p>
            <w:pPr>
              <w:jc w:val="left"/>
              <w:spacing w:line="320" w:lineRule="exac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602"/>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spacing w:line="320" w:lineRule="exact"/>
              <w:widowControl/>
              <w:rPr>
                <w:rFonts w:ascii="宋体" w:hAnsi="宋体"/>
                <w:sz w:val="24"/>
              </w:rPr>
            </w:pPr>
            <w:r>
              <w:rPr>
                <w:rFonts w:ascii="宋体" w:hAnsi="宋体"/>
                <w:sz w:val="24"/>
              </w:rPr>
              <w:t xml:space="preserve">4</w:t>
            </w:r>
            <w:r>
              <w:rPr>
                <w:rFonts w:hint="eastAsia" w:ascii="宋体" w:hAnsi="宋体"/>
                <w:sz w:val="24"/>
              </w:rPr>
              <w:t xml:space="preserve">、无杂草，与绿篱色块、地被之间界线清晰。</w:t>
            </w:r>
            <w:r/>
          </w:p>
        </w:tc>
        <w:tc>
          <w:tcPr>
            <w:tcW w:w="2954" w:type="dxa"/>
            <w:vAlign w:val="center"/>
            <w:vMerge w:val="continue"/>
            <w:textDirection w:val="lrTb"/>
            <w:noWrap w:val="false"/>
          </w:tcPr>
          <w:p>
            <w:pPr>
              <w:jc w:val="left"/>
              <w:spacing w:line="320" w:lineRule="exac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315"/>
        </w:trPr>
        <w:tc>
          <w:tcPr>
            <w:tcW w:w="941" w:type="dxa"/>
            <w:vAlign w:val="center"/>
            <w:vMerge w:val="restart"/>
            <w:textDirection w:val="lrTb"/>
            <w:noWrap w:val="false"/>
          </w:tcPr>
          <w:p>
            <w:pPr>
              <w:jc w:val="center"/>
              <w:widowControl/>
              <w:rPr>
                <w:rFonts w:ascii="宋体" w:hAnsi="宋体"/>
                <w:sz w:val="24"/>
              </w:rPr>
            </w:pPr>
            <w:r>
              <w:rPr>
                <w:rFonts w:hint="eastAsia" w:ascii="宋体" w:hAnsi="宋体"/>
                <w:sz w:val="24"/>
              </w:rPr>
              <w:t xml:space="preserve">乔灌木</w:t>
            </w:r>
            <w:r/>
          </w:p>
          <w:p>
            <w:pPr>
              <w:jc w:val="center"/>
              <w:widowControl/>
              <w:rPr>
                <w:rFonts w:ascii="宋体" w:hAnsi="宋体"/>
                <w:sz w:val="24"/>
              </w:rPr>
            </w:pPr>
            <w:r>
              <w:rPr>
                <w:rFonts w:hint="eastAsia" w:ascii="宋体" w:hAnsi="宋体"/>
                <w:sz w:val="24"/>
              </w:rPr>
              <w:t xml:space="preserve">养护</w:t>
            </w:r>
            <w:r/>
          </w:p>
        </w:tc>
        <w:tc>
          <w:tcPr>
            <w:tcW w:w="759" w:type="dxa"/>
            <w:vAlign w:val="center"/>
            <w:vMerge w:val="restart"/>
            <w:textDirection w:val="lrTb"/>
            <w:noWrap w:val="false"/>
          </w:tcPr>
          <w:p>
            <w:pPr>
              <w:jc w:val="center"/>
              <w:widowControl/>
              <w:rPr>
                <w:rFonts w:ascii="宋体" w:hAnsi="宋体"/>
                <w:sz w:val="24"/>
              </w:rPr>
            </w:pPr>
            <w:r>
              <w:rPr>
                <w:rFonts w:ascii="宋体" w:hAnsi="宋体"/>
                <w:sz w:val="24"/>
              </w:rPr>
              <w:t xml:space="preserve">20</w:t>
            </w:r>
            <w:r/>
          </w:p>
        </w:tc>
        <w:tc>
          <w:tcPr>
            <w:tcW w:w="4396" w:type="dxa"/>
            <w:vAlign w:val="center"/>
            <w:textDirection w:val="lrTb"/>
            <w:noWrap w:val="false"/>
          </w:tcPr>
          <w:p>
            <w:pPr>
              <w:jc w:val="left"/>
              <w:spacing w:line="320" w:lineRule="exact"/>
              <w:widowControl/>
              <w:rPr>
                <w:rFonts w:ascii="宋体" w:hAnsi="宋体"/>
                <w:sz w:val="24"/>
              </w:rPr>
            </w:pPr>
            <w:r>
              <w:rPr>
                <w:rFonts w:ascii="宋体" w:hAnsi="宋体"/>
                <w:sz w:val="24"/>
              </w:rPr>
              <w:t xml:space="preserve">1</w:t>
            </w:r>
            <w:r>
              <w:rPr>
                <w:rFonts w:hint="eastAsia" w:ascii="宋体" w:hAnsi="宋体"/>
                <w:sz w:val="24"/>
              </w:rPr>
              <w:t xml:space="preserve">、树木生长正常，无死树、断枝及明显枯死枝，无倾斜、歪倒现象，绿篱色块基本无空缺。</w:t>
            </w:r>
            <w:r/>
          </w:p>
        </w:tc>
        <w:tc>
          <w:tcPr>
            <w:tcW w:w="2954" w:type="dxa"/>
            <w:vAlign w:val="center"/>
            <w:vMerge w:val="restart"/>
            <w:textDirection w:val="lrTb"/>
            <w:noWrap w:val="false"/>
          </w:tcPr>
          <w:p>
            <w:pPr>
              <w:jc w:val="left"/>
              <w:spacing w:line="320" w:lineRule="exact"/>
              <w:widowControl/>
              <w:rPr>
                <w:rFonts w:ascii="宋体" w:hAnsi="宋体"/>
                <w:sz w:val="24"/>
              </w:rPr>
            </w:pPr>
            <w:r>
              <w:rPr>
                <w:rFonts w:hint="eastAsia" w:ascii="宋体" w:hAnsi="宋体"/>
                <w:sz w:val="24"/>
              </w:rPr>
              <w:t xml:space="preserve">管护不到位，未及时做好浇水、排水工作致苗木死亡的扣</w:t>
            </w:r>
            <w:r>
              <w:rPr>
                <w:rFonts w:ascii="宋体" w:hAnsi="宋体"/>
                <w:sz w:val="24"/>
              </w:rPr>
              <w:t xml:space="preserve">5</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处；歪斜树不及时扶正、死树、枯枝、断枝不及时处理扣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株。修剪、清理不及时及修剪手法过重扣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处；绿篱色块成片死亡未及时补缺到位扣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处。出现病虫害症状，防治不力的扣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次，造成严重危害的扣</w:t>
            </w:r>
            <w:r>
              <w:rPr>
                <w:rFonts w:ascii="宋体" w:hAnsi="宋体"/>
                <w:sz w:val="24"/>
              </w:rPr>
              <w:t xml:space="preserve">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次，造成一定范围植株死亡的扣</w:t>
            </w:r>
            <w:r>
              <w:rPr>
                <w:rFonts w:ascii="宋体" w:hAnsi="宋体"/>
                <w:sz w:val="24"/>
              </w:rPr>
              <w:t xml:space="preserve">5</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次。</w:t>
            </w:r>
            <w:r/>
          </w:p>
          <w:p>
            <w:pPr>
              <w:jc w:val="left"/>
              <w:spacing w:line="320" w:lineRule="exact"/>
              <w:widowControl/>
              <w:rPr>
                <w:rFonts w:ascii="宋体" w:hAnsi="宋体"/>
                <w:sz w:val="24"/>
              </w:rPr>
            </w:pPr>
            <w:r>
              <w:rPr>
                <w:rFonts w:hint="eastAsia" w:ascii="宋体" w:hAnsi="宋体"/>
                <w:sz w:val="24"/>
              </w:rPr>
              <w:t xml:space="preserve">发现明显杂草、杂树扣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w:t>
            </w:r>
            <w:r/>
          </w:p>
        </w:tc>
        <w:tc>
          <w:tcPr>
            <w:tcW w:w="796" w:type="dxa"/>
            <w:vAlign w:val="center"/>
            <w:vMerge w:val="restart"/>
            <w:textDirection w:val="lrTb"/>
            <w:noWrap w:val="false"/>
          </w:tcPr>
          <w:p>
            <w:pPr>
              <w:jc w:val="center"/>
              <w:widowControl/>
              <w:rPr>
                <w:rFonts w:ascii="宋体" w:hAnsi="宋体"/>
                <w:sz w:val="24"/>
              </w:rPr>
            </w:pPr>
            <w:r>
              <w:rPr>
                <w:rFonts w:ascii="宋体" w:hAnsi="宋体"/>
                <w:sz w:val="24"/>
              </w:rPr>
            </w:r>
            <w:r/>
          </w:p>
        </w:tc>
      </w:tr>
      <w:tr>
        <w:trPr>
          <w:cantSplit/>
          <w:trHeight w:val="315"/>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2</w:t>
            </w:r>
            <w:r>
              <w:rPr>
                <w:rFonts w:hint="eastAsia" w:ascii="宋体" w:hAnsi="宋体"/>
                <w:sz w:val="24"/>
              </w:rPr>
              <w:t xml:space="preserve">、树木的修剪符合景观观赏要求，乔木根部无萌孽枝，绿篱、色块修剪及时到位，垂直绿化牵引、绑扎到位。</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315"/>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3</w:t>
            </w:r>
            <w:r>
              <w:rPr>
                <w:rFonts w:hint="eastAsia" w:ascii="宋体" w:hAnsi="宋体"/>
                <w:sz w:val="24"/>
              </w:rPr>
              <w:t xml:space="preserve">、树木病虫害防治及时、有效，蛀干害虫</w:t>
            </w:r>
            <w:r>
              <w:rPr>
                <w:rFonts w:ascii="宋体" w:hAnsi="宋体"/>
                <w:sz w:val="24"/>
              </w:rPr>
              <w:t xml:space="preserve">&lt;3%,</w:t>
            </w:r>
            <w:r>
              <w:rPr>
                <w:rFonts w:hint="eastAsia" w:ascii="宋体" w:hAnsi="宋体"/>
                <w:sz w:val="24"/>
              </w:rPr>
              <w:t xml:space="preserve">食叶性害虫</w:t>
            </w:r>
            <w:r>
              <w:rPr>
                <w:rFonts w:ascii="宋体" w:hAnsi="宋体"/>
                <w:sz w:val="24"/>
              </w:rPr>
              <w:t xml:space="preserve">&lt;5%,</w:t>
            </w:r>
            <w:r>
              <w:rPr>
                <w:rFonts w:hint="eastAsia" w:ascii="宋体" w:hAnsi="宋体"/>
                <w:sz w:val="24"/>
              </w:rPr>
              <w:t xml:space="preserve">刺吸性害虫</w:t>
            </w:r>
            <w:r>
              <w:rPr>
                <w:rFonts w:ascii="宋体" w:hAnsi="宋体"/>
                <w:sz w:val="24"/>
              </w:rPr>
              <w:t xml:space="preserve">&lt;10%</w:t>
            </w:r>
            <w:r>
              <w:rPr>
                <w:rFonts w:hint="eastAsia" w:ascii="宋体" w:hAnsi="宋体"/>
                <w:sz w:val="24"/>
              </w:rPr>
              <w:t xml:space="preserve">。</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692"/>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4</w:t>
            </w:r>
            <w:r>
              <w:rPr>
                <w:rFonts w:hint="eastAsia" w:ascii="宋体" w:hAnsi="宋体"/>
                <w:sz w:val="24"/>
              </w:rPr>
              <w:t xml:space="preserve">、绿地内无大型杂草、无缠绕性、攀缘性杂草，无乱牵乱挂现象，杂树、树桩清除及时。</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461"/>
        </w:trPr>
        <w:tc>
          <w:tcPr>
            <w:tcW w:w="941" w:type="dxa"/>
            <w:vAlign w:val="center"/>
            <w:vMerge w:val="restart"/>
            <w:textDirection w:val="lrTb"/>
            <w:noWrap w:val="false"/>
          </w:tcPr>
          <w:p>
            <w:pPr>
              <w:jc w:val="center"/>
              <w:widowControl/>
              <w:rPr>
                <w:rFonts w:ascii="宋体" w:hAnsi="宋体"/>
                <w:sz w:val="24"/>
              </w:rPr>
            </w:pPr>
            <w:r>
              <w:rPr>
                <w:rFonts w:hint="eastAsia" w:ascii="宋体" w:hAnsi="宋体"/>
                <w:sz w:val="24"/>
              </w:rPr>
              <w:t xml:space="preserve">设施</w:t>
            </w:r>
            <w:r/>
          </w:p>
          <w:p>
            <w:pPr>
              <w:jc w:val="center"/>
              <w:widowControl/>
              <w:rPr>
                <w:rFonts w:ascii="宋体" w:hAnsi="宋体"/>
                <w:sz w:val="24"/>
              </w:rPr>
            </w:pPr>
            <w:r>
              <w:rPr>
                <w:rFonts w:hint="eastAsia" w:ascii="宋体" w:hAnsi="宋体"/>
                <w:sz w:val="24"/>
              </w:rPr>
              <w:t xml:space="preserve">维护</w:t>
            </w:r>
            <w:r/>
          </w:p>
        </w:tc>
        <w:tc>
          <w:tcPr>
            <w:tcW w:w="759" w:type="dxa"/>
            <w:vAlign w:val="center"/>
            <w:vMerge w:val="restart"/>
            <w:textDirection w:val="lrTb"/>
            <w:noWrap w:val="false"/>
          </w:tcPr>
          <w:p>
            <w:pPr>
              <w:jc w:val="center"/>
              <w:widowControl/>
              <w:rPr>
                <w:rFonts w:ascii="宋体" w:hAnsi="宋体"/>
                <w:sz w:val="24"/>
              </w:rPr>
            </w:pPr>
            <w:r>
              <w:rPr>
                <w:rFonts w:ascii="宋体" w:hAnsi="宋体"/>
                <w:sz w:val="24"/>
              </w:rPr>
              <w:t xml:space="preserve">15</w:t>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1</w:t>
            </w:r>
            <w:r>
              <w:rPr>
                <w:rFonts w:hint="eastAsia" w:ascii="宋体" w:hAnsi="宋体"/>
                <w:sz w:val="24"/>
              </w:rPr>
              <w:t xml:space="preserve">、建筑小品、辅助设施和标志标牌等完好，无人为损坏或遗失，如有缺损及时上报并按原貌修复。</w:t>
            </w:r>
            <w:r/>
          </w:p>
        </w:tc>
        <w:tc>
          <w:tcPr>
            <w:tcW w:w="2954" w:type="dxa"/>
            <w:vAlign w:val="center"/>
            <w:vMerge w:val="restart"/>
            <w:textDirection w:val="lrTb"/>
            <w:noWrap w:val="false"/>
          </w:tcPr>
          <w:p>
            <w:pPr>
              <w:jc w:val="left"/>
              <w:widowControl/>
              <w:rPr>
                <w:rFonts w:ascii="宋体" w:hAnsi="宋体"/>
                <w:sz w:val="24"/>
              </w:rPr>
            </w:pPr>
            <w:r>
              <w:rPr>
                <w:rFonts w:hint="eastAsia" w:ascii="宋体" w:hAnsi="宋体"/>
                <w:sz w:val="24"/>
              </w:rPr>
              <w:t xml:space="preserve">设施破损未能及时上报或未按要求恢复的扣</w:t>
            </w:r>
            <w:r>
              <w:rPr>
                <w:rFonts w:ascii="宋体" w:hAnsi="宋体"/>
                <w:sz w:val="24"/>
              </w:rPr>
              <w:t xml:space="preserve">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件次，每拖垃</w:t>
            </w:r>
            <w:r>
              <w:rPr>
                <w:rFonts w:ascii="宋体" w:hAnsi="宋体"/>
                <w:sz w:val="24"/>
              </w:rPr>
              <w:t xml:space="preserve">1</w:t>
            </w:r>
            <w:r>
              <w:rPr>
                <w:rFonts w:hint="eastAsia" w:ascii="宋体" w:hAnsi="宋体"/>
                <w:sz w:val="24"/>
              </w:rPr>
              <w:t xml:space="preserve">天扣</w:t>
            </w:r>
            <w:r>
              <w:rPr>
                <w:rFonts w:ascii="宋体" w:hAnsi="宋体"/>
                <w:sz w:val="24"/>
              </w:rPr>
              <w:t xml:space="preserve">1</w:t>
            </w:r>
            <w:r>
              <w:rPr>
                <w:rFonts w:hint="eastAsia" w:ascii="宋体" w:hAnsi="宋体"/>
                <w:sz w:val="24"/>
              </w:rPr>
              <w:t xml:space="preserve">分；设施不按规定开放扣</w:t>
            </w:r>
            <w:r>
              <w:rPr>
                <w:rFonts w:ascii="宋体" w:hAnsi="宋体"/>
                <w:sz w:val="24"/>
              </w:rPr>
              <w:t xml:space="preserve">5</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次</w:t>
            </w:r>
            <w:r>
              <w:rPr>
                <w:rFonts w:ascii="宋体" w:hAnsi="宋体"/>
                <w:sz w:val="24"/>
              </w:rPr>
              <w:t xml:space="preserve">,</w:t>
            </w:r>
            <w:r>
              <w:rPr>
                <w:rFonts w:hint="eastAsia" w:ascii="宋体" w:hAnsi="宋体"/>
                <w:sz w:val="24"/>
              </w:rPr>
              <w:t xml:space="preserve">重大检查或节日设施不能正常运行，加倍扣分；乱张贴、乱涂写每发现</w:t>
            </w:r>
            <w:r>
              <w:rPr>
                <w:rFonts w:ascii="宋体" w:hAnsi="宋体"/>
                <w:sz w:val="24"/>
              </w:rPr>
              <w:t xml:space="preserve">1</w:t>
            </w:r>
            <w:r>
              <w:rPr>
                <w:rFonts w:hint="eastAsia" w:ascii="宋体" w:hAnsi="宋体"/>
                <w:sz w:val="24"/>
              </w:rPr>
              <w:t xml:space="preserve">处扣</w:t>
            </w:r>
            <w:r>
              <w:rPr>
                <w:rFonts w:ascii="宋体" w:hAnsi="宋体"/>
                <w:sz w:val="24"/>
              </w:rPr>
              <w:t xml:space="preserve">1</w:t>
            </w:r>
            <w:r>
              <w:rPr>
                <w:rFonts w:hint="eastAsia" w:ascii="宋体" w:hAnsi="宋体"/>
                <w:sz w:val="24"/>
              </w:rPr>
              <w:t xml:space="preserve">分。公厕无专人管理的扣</w:t>
            </w:r>
            <w:r>
              <w:rPr>
                <w:rFonts w:ascii="宋体" w:hAnsi="宋体"/>
                <w:sz w:val="24"/>
              </w:rPr>
              <w:t xml:space="preserve">5 </w:t>
            </w:r>
            <w:r>
              <w:rPr>
                <w:rFonts w:hint="eastAsia" w:ascii="宋体" w:hAnsi="宋体"/>
                <w:sz w:val="24"/>
              </w:rPr>
              <w:t xml:space="preserve">分，管理不到位的扣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项。</w:t>
            </w:r>
            <w:r/>
          </w:p>
        </w:tc>
        <w:tc>
          <w:tcPr>
            <w:tcW w:w="796" w:type="dxa"/>
            <w:vAlign w:val="center"/>
            <w:vMerge w:val="restart"/>
            <w:textDirection w:val="lrTb"/>
            <w:noWrap w:val="false"/>
          </w:tcPr>
          <w:p>
            <w:pPr>
              <w:jc w:val="center"/>
              <w:widowControl/>
              <w:rPr>
                <w:rFonts w:ascii="宋体" w:hAnsi="宋体"/>
                <w:sz w:val="24"/>
              </w:rPr>
            </w:pPr>
            <w:r>
              <w:rPr>
                <w:rFonts w:ascii="宋体" w:hAnsi="宋体"/>
                <w:sz w:val="24"/>
              </w:rPr>
            </w:r>
            <w:r/>
          </w:p>
        </w:tc>
      </w:tr>
      <w:tr>
        <w:trPr>
          <w:cantSplit/>
          <w:trHeight w:val="313"/>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2</w:t>
            </w:r>
            <w:r>
              <w:rPr>
                <w:rFonts w:hint="eastAsia" w:ascii="宋体" w:hAnsi="宋体"/>
                <w:sz w:val="24"/>
              </w:rPr>
              <w:t xml:space="preserve">、各类灯光、喷泉等设施按规定开放；公厕有专人负责，严格按相关要求开放管理。</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303"/>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3</w:t>
            </w:r>
            <w:r>
              <w:rPr>
                <w:rFonts w:hint="eastAsia" w:ascii="宋体" w:hAnsi="宋体"/>
                <w:sz w:val="24"/>
              </w:rPr>
              <w:t xml:space="preserve">、定期清洗，无灰尘污渍，无乱张贴、乱涂写现象。</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345"/>
        </w:trPr>
        <w:tc>
          <w:tcPr>
            <w:tcW w:w="941" w:type="dxa"/>
            <w:vAlign w:val="center"/>
            <w:vMerge w:val="restart"/>
            <w:textDirection w:val="lrTb"/>
            <w:noWrap w:val="false"/>
          </w:tcPr>
          <w:p>
            <w:pPr>
              <w:jc w:val="center"/>
              <w:widowControl/>
              <w:rPr>
                <w:rFonts w:ascii="宋体" w:hAnsi="宋体"/>
                <w:sz w:val="24"/>
              </w:rPr>
            </w:pPr>
            <w:r>
              <w:rPr>
                <w:rFonts w:hint="eastAsia" w:ascii="宋体" w:hAnsi="宋体"/>
                <w:sz w:val="24"/>
              </w:rPr>
              <w:t xml:space="preserve">绿地</w:t>
            </w:r>
            <w:r/>
          </w:p>
          <w:p>
            <w:pPr>
              <w:jc w:val="center"/>
              <w:widowControl/>
              <w:rPr>
                <w:rFonts w:ascii="宋体" w:hAnsi="宋体"/>
                <w:sz w:val="24"/>
              </w:rPr>
            </w:pPr>
            <w:r>
              <w:rPr>
                <w:rFonts w:hint="eastAsia" w:ascii="宋体" w:hAnsi="宋体"/>
                <w:sz w:val="24"/>
              </w:rPr>
              <w:t xml:space="preserve">秩序</w:t>
            </w:r>
            <w:r/>
          </w:p>
        </w:tc>
        <w:tc>
          <w:tcPr>
            <w:tcW w:w="759" w:type="dxa"/>
            <w:vAlign w:val="center"/>
            <w:vMerge w:val="restart"/>
            <w:textDirection w:val="lrTb"/>
            <w:noWrap w:val="false"/>
          </w:tcPr>
          <w:p>
            <w:pPr>
              <w:jc w:val="center"/>
              <w:widowControl/>
              <w:rPr>
                <w:rFonts w:ascii="宋体" w:hAnsi="宋体"/>
                <w:sz w:val="24"/>
              </w:rPr>
            </w:pPr>
            <w:r>
              <w:rPr>
                <w:rFonts w:ascii="宋体" w:hAnsi="宋体"/>
                <w:sz w:val="24"/>
              </w:rPr>
              <w:t xml:space="preserve">10</w:t>
            </w:r>
            <w:r/>
          </w:p>
        </w:tc>
        <w:tc>
          <w:tcPr>
            <w:tcW w:w="4396" w:type="dxa"/>
            <w:vAlign w:val="center"/>
            <w:textDirection w:val="lrTb"/>
            <w:noWrap w:val="false"/>
          </w:tcPr>
          <w:p>
            <w:pPr>
              <w:jc w:val="lef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t xml:space="preserve">1</w:t>
            </w:r>
            <w:r>
              <w:rPr>
                <w:rFonts w:hint="eastAsia" w:ascii="宋体" w:hAnsi="宋体"/>
                <w:sz w:val="24"/>
              </w:rPr>
              <w:t xml:space="preserve">、绿地上有杂物堆放、乱停车、乱披挂、乱设摊、乱晾晒、乱焚烧生产垃圾的现象。</w:t>
            </w:r>
            <w:r/>
          </w:p>
          <w:p>
            <w:pPr>
              <w:jc w:val="left"/>
              <w:widowControl/>
              <w:rPr>
                <w:rFonts w:ascii="宋体" w:hAnsi="宋体"/>
                <w:sz w:val="24"/>
              </w:rPr>
            </w:pPr>
            <w:r>
              <w:rPr>
                <w:rFonts w:ascii="宋体" w:hAnsi="宋体"/>
                <w:sz w:val="24"/>
              </w:rPr>
            </w:r>
            <w:r/>
          </w:p>
        </w:tc>
        <w:tc>
          <w:tcPr>
            <w:tcW w:w="2954" w:type="dxa"/>
            <w:vAlign w:val="center"/>
            <w:vMerge w:val="restart"/>
            <w:textDirection w:val="lrTb"/>
            <w:noWrap w:val="false"/>
          </w:tcPr>
          <w:p>
            <w:pPr>
              <w:jc w:val="left"/>
              <w:widowControl/>
              <w:rPr>
                <w:rFonts w:ascii="宋体" w:hAnsi="宋体"/>
                <w:sz w:val="24"/>
              </w:rPr>
            </w:pPr>
            <w:r>
              <w:rPr>
                <w:rFonts w:hint="eastAsia" w:ascii="宋体" w:hAnsi="宋体"/>
                <w:sz w:val="24"/>
              </w:rPr>
              <w:t xml:space="preserve">发现一辆扣</w:t>
            </w:r>
            <w:r>
              <w:rPr>
                <w:rFonts w:ascii="宋体" w:hAnsi="宋体"/>
                <w:sz w:val="24"/>
              </w:rPr>
              <w:t xml:space="preserve">1</w:t>
            </w:r>
            <w:r>
              <w:rPr>
                <w:rFonts w:hint="eastAsia" w:ascii="宋体" w:hAnsi="宋体"/>
                <w:sz w:val="24"/>
              </w:rPr>
              <w:t xml:space="preserve">分，管养人员自己的车辆扣</w:t>
            </w:r>
            <w:r>
              <w:rPr>
                <w:rFonts w:ascii="宋体" w:hAnsi="宋体"/>
                <w:sz w:val="24"/>
              </w:rPr>
              <w:t xml:space="preserve">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辆</w:t>
            </w:r>
            <w:r>
              <w:rPr>
                <w:rFonts w:ascii="宋体" w:hAnsi="宋体"/>
                <w:sz w:val="24"/>
              </w:rPr>
              <w:t xml:space="preserve">,</w:t>
            </w:r>
            <w:r>
              <w:rPr>
                <w:rFonts w:hint="eastAsia" w:ascii="宋体" w:hAnsi="宋体"/>
                <w:sz w:val="24"/>
              </w:rPr>
              <w:t xml:space="preserve">杂物堆放、乱披披挂、乱晾晒扣</w:t>
            </w:r>
            <w:r>
              <w:rPr>
                <w:rFonts w:ascii="宋体" w:hAnsi="宋体"/>
                <w:sz w:val="24"/>
              </w:rPr>
              <w:t xml:space="preserve">1</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处，乱设置扣</w:t>
            </w:r>
            <w:r>
              <w:rPr>
                <w:rFonts w:ascii="宋体" w:hAnsi="宋体"/>
                <w:sz w:val="24"/>
              </w:rPr>
              <w:t xml:space="preserve">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处，乱焚烧生产垃圾扣</w:t>
            </w:r>
            <w:r>
              <w:rPr>
                <w:rFonts w:ascii="宋体" w:hAnsi="宋体"/>
                <w:sz w:val="24"/>
              </w:rPr>
              <w:t xml:space="preserve">3</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处，扣完为</w:t>
            </w:r>
            <w:r/>
          </w:p>
          <w:p>
            <w:pPr>
              <w:jc w:val="left"/>
              <w:widowControl/>
              <w:rPr>
                <w:rFonts w:ascii="宋体" w:hAnsi="宋体"/>
                <w:sz w:val="24"/>
              </w:rPr>
            </w:pPr>
            <w:r>
              <w:rPr>
                <w:rFonts w:hint="eastAsia" w:ascii="宋体" w:hAnsi="宋体"/>
                <w:sz w:val="24"/>
              </w:rPr>
              <w:t xml:space="preserve">止。绿地侵占、破坏设施未发现制止或发现未汇报的扣</w:t>
            </w:r>
            <w:r>
              <w:rPr>
                <w:rFonts w:ascii="宋体" w:hAnsi="宋体"/>
                <w:sz w:val="24"/>
              </w:rPr>
              <w:t xml:space="preserve">2</w:t>
            </w:r>
            <w:r>
              <w:rPr>
                <w:rFonts w:hint="eastAsia" w:ascii="宋体" w:hAnsi="宋体"/>
                <w:sz w:val="24"/>
              </w:rPr>
              <w:t xml:space="preserve">分</w:t>
            </w:r>
            <w:r/>
          </w:p>
          <w:p>
            <w:pPr>
              <w:jc w:val="left"/>
              <w:widowControl/>
              <w:rPr>
                <w:rFonts w:ascii="宋体" w:hAnsi="宋体"/>
                <w:sz w:val="24"/>
              </w:rPr>
            </w:pPr>
            <w:r>
              <w:rPr>
                <w:rFonts w:ascii="宋体" w:hAnsi="宋体"/>
                <w:sz w:val="24"/>
              </w:rPr>
              <w:t xml:space="preserve">/</w:t>
            </w:r>
            <w:r>
              <w:rPr>
                <w:rFonts w:hint="eastAsia" w:ascii="宋体" w:hAnsi="宋体"/>
                <w:sz w:val="24"/>
              </w:rPr>
              <w:t xml:space="preserve">次。</w:t>
            </w:r>
            <w:r/>
          </w:p>
        </w:tc>
        <w:tc>
          <w:tcPr>
            <w:tcW w:w="796" w:type="dxa"/>
            <w:vAlign w:val="center"/>
            <w:vMerge w:val="restart"/>
            <w:textDirection w:val="lrTb"/>
            <w:noWrap w:val="false"/>
          </w:tcPr>
          <w:p>
            <w:pPr>
              <w:jc w:val="center"/>
              <w:widowControl/>
              <w:rPr>
                <w:rFonts w:ascii="宋体" w:hAnsi="宋体"/>
                <w:sz w:val="24"/>
              </w:rPr>
            </w:pPr>
            <w:r>
              <w:rPr>
                <w:rFonts w:ascii="宋体" w:hAnsi="宋体"/>
                <w:sz w:val="24"/>
              </w:rPr>
            </w:r>
            <w:r/>
          </w:p>
        </w:tc>
      </w:tr>
      <w:tr>
        <w:trPr>
          <w:cantSplit/>
          <w:trHeight w:val="345"/>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2</w:t>
            </w:r>
            <w:r>
              <w:rPr>
                <w:rFonts w:hint="eastAsia" w:ascii="宋体" w:hAnsi="宋体"/>
                <w:sz w:val="24"/>
              </w:rPr>
              <w:t xml:space="preserve">、发现绿地侵占、偷盗苗木、破坏设施等现象，要立即制止，同时第一时间与甲方联系并汇报。</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622"/>
        </w:trPr>
        <w:tc>
          <w:tcPr>
            <w:tcW w:w="941" w:type="dxa"/>
            <w:vAlign w:val="center"/>
            <w:textDirection w:val="lrTb"/>
            <w:noWrap w:val="false"/>
          </w:tcPr>
          <w:p>
            <w:pPr>
              <w:jc w:val="center"/>
              <w:widowControl/>
              <w:rPr>
                <w:rFonts w:ascii="宋体" w:hAnsi="宋体"/>
                <w:sz w:val="24"/>
              </w:rPr>
            </w:pPr>
            <w:r>
              <w:rPr>
                <w:rFonts w:hint="eastAsia" w:ascii="宋体" w:hAnsi="宋体"/>
                <w:sz w:val="24"/>
              </w:rPr>
              <w:t xml:space="preserve">台帐记录</w:t>
            </w:r>
            <w:r/>
          </w:p>
        </w:tc>
        <w:tc>
          <w:tcPr>
            <w:tcW w:w="759" w:type="dxa"/>
            <w:vAlign w:val="center"/>
            <w:textDirection w:val="lrTb"/>
            <w:noWrap w:val="false"/>
          </w:tcPr>
          <w:p>
            <w:pPr>
              <w:jc w:val="center"/>
              <w:widowControl/>
              <w:rPr>
                <w:rFonts w:ascii="宋体" w:hAnsi="宋体"/>
                <w:sz w:val="24"/>
              </w:rPr>
            </w:pPr>
            <w:r>
              <w:rPr>
                <w:rFonts w:ascii="宋体" w:hAnsi="宋体"/>
                <w:sz w:val="24"/>
              </w:rPr>
              <w:t xml:space="preserve">10</w:t>
            </w:r>
            <w:r/>
          </w:p>
        </w:tc>
        <w:tc>
          <w:tcPr>
            <w:tcW w:w="4396" w:type="dxa"/>
            <w:vAlign w:val="center"/>
            <w:textDirection w:val="lrTb"/>
            <w:noWrap w:val="false"/>
          </w:tcPr>
          <w:p>
            <w:pPr>
              <w:jc w:val="left"/>
              <w:spacing w:line="380" w:lineRule="exact"/>
              <w:widowControl/>
              <w:rPr>
                <w:rFonts w:ascii="宋体" w:hAnsi="宋体"/>
                <w:sz w:val="24"/>
              </w:rPr>
            </w:pPr>
            <w:r>
              <w:rPr>
                <w:rFonts w:ascii="宋体" w:hAnsi="宋体"/>
                <w:sz w:val="24"/>
              </w:rPr>
              <w:t xml:space="preserve">1</w:t>
            </w:r>
            <w:r>
              <w:rPr>
                <w:rFonts w:hint="eastAsia" w:ascii="宋体" w:hAnsi="宋体"/>
                <w:sz w:val="24"/>
              </w:rPr>
              <w:t xml:space="preserve">、提供当月考勤情况记录表、管理工作小结及次月工作计划安排。</w:t>
            </w:r>
            <w:r/>
          </w:p>
          <w:p>
            <w:pPr>
              <w:jc w:val="left"/>
              <w:spacing w:line="380" w:lineRule="exact"/>
              <w:widowControl/>
              <w:rPr>
                <w:rFonts w:ascii="宋体" w:hAnsi="宋体"/>
                <w:sz w:val="24"/>
              </w:rPr>
            </w:pPr>
            <w:r>
              <w:rPr>
                <w:rFonts w:ascii="宋体" w:hAnsi="宋体"/>
                <w:sz w:val="24"/>
              </w:rPr>
              <w:t xml:space="preserve">2</w:t>
            </w:r>
            <w:r>
              <w:rPr>
                <w:rFonts w:hint="eastAsia" w:ascii="宋体" w:hAnsi="宋体"/>
                <w:sz w:val="24"/>
              </w:rPr>
              <w:t xml:space="preserve">、及时做好各类灾害性天气的应急预案。</w:t>
            </w:r>
            <w:r/>
          </w:p>
          <w:p>
            <w:pPr>
              <w:jc w:val="left"/>
              <w:spacing w:line="380" w:lineRule="exact"/>
              <w:widowControl/>
              <w:rPr>
                <w:rFonts w:ascii="宋体" w:hAnsi="宋体"/>
                <w:sz w:val="24"/>
              </w:rPr>
            </w:pPr>
            <w:r>
              <w:rPr>
                <w:rFonts w:ascii="宋体" w:hAnsi="宋体"/>
                <w:sz w:val="24"/>
              </w:rPr>
              <w:t xml:space="preserve">3</w:t>
            </w:r>
            <w:r>
              <w:rPr>
                <w:rFonts w:hint="eastAsia" w:ascii="宋体" w:hAnsi="宋体"/>
                <w:sz w:val="24"/>
              </w:rPr>
              <w:t xml:space="preserve">、做好每月安全例会和文明作业的台帐资料。</w:t>
            </w:r>
            <w:r/>
          </w:p>
          <w:p>
            <w:pPr>
              <w:jc w:val="left"/>
              <w:spacing w:line="380" w:lineRule="exact"/>
              <w:widowControl/>
              <w:rPr>
                <w:rFonts w:ascii="宋体" w:hAnsi="宋体"/>
                <w:sz w:val="24"/>
              </w:rPr>
            </w:pPr>
            <w:r>
              <w:rPr>
                <w:rFonts w:ascii="宋体" w:hAnsi="宋体"/>
                <w:sz w:val="24"/>
              </w:rPr>
              <w:t xml:space="preserve">4</w:t>
            </w:r>
            <w:r>
              <w:rPr>
                <w:rFonts w:hint="eastAsia" w:ascii="宋体" w:hAnsi="宋体"/>
                <w:sz w:val="24"/>
              </w:rPr>
              <w:t xml:space="preserve">、提供人员工资福利发放单（复印件）。</w:t>
            </w:r>
            <w:r/>
          </w:p>
        </w:tc>
        <w:tc>
          <w:tcPr>
            <w:tcW w:w="2954" w:type="dxa"/>
            <w:vAlign w:val="center"/>
            <w:textDirection w:val="lrTb"/>
            <w:noWrap w:val="false"/>
          </w:tcPr>
          <w:p>
            <w:pPr>
              <w:jc w:val="left"/>
              <w:spacing w:line="380" w:lineRule="exact"/>
              <w:widowControl/>
              <w:rPr>
                <w:rFonts w:ascii="宋体" w:hAnsi="宋体"/>
                <w:sz w:val="24"/>
              </w:rPr>
            </w:pPr>
            <w:r>
              <w:rPr>
                <w:rFonts w:hint="eastAsia" w:ascii="宋体" w:hAnsi="宋体"/>
                <w:sz w:val="24"/>
              </w:rPr>
              <w:t xml:space="preserve">未按要求完成上交的，每缺一项扣</w:t>
            </w:r>
            <w:r>
              <w:rPr>
                <w:rFonts w:ascii="宋体" w:hAnsi="宋体"/>
                <w:sz w:val="24"/>
              </w:rPr>
              <w:t xml:space="preserve">2</w:t>
            </w:r>
            <w:r>
              <w:rPr>
                <w:rFonts w:hint="eastAsia" w:ascii="宋体" w:hAnsi="宋体"/>
                <w:sz w:val="24"/>
              </w:rPr>
              <w:t xml:space="preserve">分</w:t>
            </w:r>
            <w:r/>
          </w:p>
        </w:tc>
        <w:tc>
          <w:tcPr>
            <w:tcW w:w="796" w:type="dxa"/>
            <w:vAlign w:val="center"/>
            <w:textDirection w:val="lrTb"/>
            <w:noWrap w:val="false"/>
          </w:tcPr>
          <w:p>
            <w:pPr>
              <w:jc w:val="center"/>
              <w:widowControl/>
              <w:rPr>
                <w:rFonts w:ascii="宋体" w:hAnsi="宋体"/>
                <w:sz w:val="24"/>
              </w:rPr>
            </w:pPr>
            <w:r>
              <w:rPr>
                <w:rFonts w:ascii="宋体" w:hAnsi="宋体"/>
                <w:sz w:val="24"/>
              </w:rPr>
            </w:r>
            <w:r/>
          </w:p>
        </w:tc>
      </w:tr>
      <w:tr>
        <w:trPr>
          <w:cantSplit/>
          <w:trHeight w:val="926"/>
        </w:trPr>
        <w:tc>
          <w:tcPr>
            <w:tcW w:w="941" w:type="dxa"/>
            <w:vAlign w:val="center"/>
            <w:vMerge w:val="restart"/>
            <w:textDirection w:val="lrTb"/>
            <w:noWrap w:val="false"/>
          </w:tcPr>
          <w:p>
            <w:pPr>
              <w:jc w:val="center"/>
              <w:widowControl/>
              <w:rPr>
                <w:rFonts w:ascii="宋体" w:hAnsi="宋体"/>
                <w:sz w:val="24"/>
              </w:rPr>
            </w:pPr>
            <w:r>
              <w:rPr>
                <w:rFonts w:hint="eastAsia" w:ascii="宋体" w:hAnsi="宋体"/>
                <w:sz w:val="24"/>
              </w:rPr>
              <w:t xml:space="preserve">其他</w:t>
            </w:r>
            <w:r/>
          </w:p>
        </w:tc>
        <w:tc>
          <w:tcPr>
            <w:tcW w:w="759" w:type="dxa"/>
            <w:vAlign w:val="center"/>
            <w:vMerge w:val="restart"/>
            <w:textDirection w:val="lrTb"/>
            <w:noWrap w:val="false"/>
          </w:tcPr>
          <w:p>
            <w:pPr>
              <w:jc w:val="center"/>
              <w:widowControl/>
              <w:rPr>
                <w:rFonts w:ascii="宋体" w:hAnsi="宋体"/>
                <w:sz w:val="24"/>
              </w:rPr>
            </w:pPr>
            <w:r>
              <w:rPr>
                <w:rFonts w:ascii="宋体" w:hAnsi="宋体"/>
                <w:sz w:val="24"/>
              </w:rPr>
              <w:t xml:space="preserve">15</w:t>
            </w:r>
            <w:r/>
          </w:p>
        </w:tc>
        <w:tc>
          <w:tcPr>
            <w:tcW w:w="4396" w:type="dxa"/>
            <w:vAlign w:val="center"/>
            <w:textDirection w:val="lrTb"/>
            <w:noWrap w:val="false"/>
          </w:tcPr>
          <w:p>
            <w:pPr>
              <w:jc w:val="left"/>
              <w:spacing w:line="380" w:lineRule="exact"/>
              <w:widowControl/>
              <w:rPr>
                <w:rFonts w:ascii="宋体" w:hAnsi="宋体"/>
                <w:sz w:val="24"/>
              </w:rPr>
            </w:pPr>
            <w:r>
              <w:rPr>
                <w:rFonts w:ascii="宋体" w:hAnsi="宋体"/>
                <w:sz w:val="24"/>
              </w:rPr>
              <w:t xml:space="preserve">1</w:t>
            </w:r>
            <w:r>
              <w:rPr>
                <w:rFonts w:hint="eastAsia" w:ascii="宋体" w:hAnsi="宋体"/>
                <w:sz w:val="24"/>
              </w:rPr>
              <w:t xml:space="preserve">、上岗人员符合管养绿地要求，人员齐全，年龄符合规定。定职定岗，按规定着标志服装。</w:t>
            </w:r>
            <w:r/>
          </w:p>
        </w:tc>
        <w:tc>
          <w:tcPr>
            <w:tcW w:w="2954" w:type="dxa"/>
            <w:vAlign w:val="center"/>
            <w:vMerge w:val="restart"/>
            <w:textDirection w:val="lrTb"/>
            <w:noWrap w:val="false"/>
          </w:tcPr>
          <w:p>
            <w:pPr>
              <w:jc w:val="left"/>
              <w:spacing w:line="380" w:lineRule="exact"/>
              <w:widowControl/>
              <w:rPr>
                <w:rFonts w:ascii="宋体" w:hAnsi="宋体"/>
                <w:sz w:val="24"/>
              </w:rPr>
            </w:pPr>
            <w:r>
              <w:rPr>
                <w:rFonts w:hint="eastAsia" w:ascii="宋体" w:hAnsi="宋体"/>
                <w:sz w:val="24"/>
              </w:rPr>
              <w:t xml:space="preserve">上岗人员有缺少或不符合要求扣</w:t>
            </w:r>
            <w:r>
              <w:rPr>
                <w:rFonts w:ascii="宋体" w:hAnsi="宋体"/>
                <w:sz w:val="24"/>
              </w:rPr>
              <w:t xml:space="preserve">5</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人，聚众聊天、串岗离岗发现</w:t>
            </w:r>
            <w:r>
              <w:rPr>
                <w:rFonts w:ascii="宋体" w:hAnsi="宋体"/>
                <w:sz w:val="24"/>
              </w:rPr>
              <w:t xml:space="preserve">1</w:t>
            </w:r>
            <w:r>
              <w:rPr>
                <w:rFonts w:hint="eastAsia" w:ascii="宋体" w:hAnsi="宋体"/>
                <w:sz w:val="24"/>
              </w:rPr>
              <w:t xml:space="preserve">人扣</w:t>
            </w:r>
            <w:r>
              <w:rPr>
                <w:rFonts w:ascii="宋体" w:hAnsi="宋体"/>
                <w:sz w:val="24"/>
              </w:rPr>
              <w:t xml:space="preserve">1</w:t>
            </w:r>
            <w:r>
              <w:rPr>
                <w:rFonts w:hint="eastAsia" w:ascii="宋体" w:hAnsi="宋体"/>
                <w:sz w:val="24"/>
              </w:rPr>
              <w:t xml:space="preserve">分；不着标志服装</w:t>
            </w:r>
            <w:r>
              <w:rPr>
                <w:rFonts w:ascii="宋体" w:hAnsi="宋体"/>
                <w:sz w:val="24"/>
              </w:rPr>
              <w:t xml:space="preserve">,</w:t>
            </w:r>
            <w:r>
              <w:rPr>
                <w:rFonts w:hint="eastAsia" w:ascii="宋体" w:hAnsi="宋体"/>
                <w:sz w:val="24"/>
              </w:rPr>
              <w:t xml:space="preserve">每发现</w:t>
            </w:r>
            <w:r>
              <w:rPr>
                <w:rFonts w:ascii="宋体" w:hAnsi="宋体"/>
                <w:sz w:val="24"/>
              </w:rPr>
              <w:t xml:space="preserve">1</w:t>
            </w:r>
            <w:r>
              <w:rPr>
                <w:rFonts w:hint="eastAsia" w:ascii="宋体" w:hAnsi="宋体"/>
                <w:sz w:val="24"/>
              </w:rPr>
              <w:t xml:space="preserve">人扣</w:t>
            </w:r>
            <w:r>
              <w:rPr>
                <w:rFonts w:ascii="宋体" w:hAnsi="宋体"/>
                <w:sz w:val="24"/>
              </w:rPr>
              <w:t xml:space="preserve">1</w:t>
            </w:r>
            <w:r>
              <w:rPr>
                <w:rFonts w:hint="eastAsia" w:ascii="宋体" w:hAnsi="宋体"/>
                <w:sz w:val="24"/>
              </w:rPr>
              <w:t xml:space="preserve">分。未按作业安全操作规程进行登高、机械操作的发现一次扣</w:t>
            </w:r>
            <w:r>
              <w:rPr>
                <w:rFonts w:ascii="宋体" w:hAnsi="宋体"/>
                <w:sz w:val="24"/>
              </w:rPr>
              <w:t xml:space="preserve">1</w:t>
            </w:r>
            <w:r>
              <w:rPr>
                <w:rFonts w:hint="eastAsia" w:ascii="宋体" w:hAnsi="宋体"/>
                <w:sz w:val="24"/>
              </w:rPr>
              <w:t xml:space="preserve">分。不服从甲方管理，未能按要求完成任务的一次扣</w:t>
            </w:r>
            <w:r>
              <w:rPr>
                <w:rFonts w:ascii="宋体" w:hAnsi="宋体"/>
                <w:sz w:val="24"/>
              </w:rPr>
              <w:t xml:space="preserve">2</w:t>
            </w:r>
            <w:r>
              <w:rPr>
                <w:rFonts w:hint="eastAsia" w:ascii="宋体" w:hAnsi="宋体"/>
                <w:sz w:val="24"/>
              </w:rPr>
              <w:t xml:space="preserve">分。</w:t>
            </w:r>
            <w:r/>
          </w:p>
        </w:tc>
        <w:tc>
          <w:tcPr>
            <w:tcW w:w="796" w:type="dxa"/>
            <w:vAlign w:val="center"/>
            <w:vMerge w:val="restart"/>
            <w:textDirection w:val="lrTb"/>
            <w:noWrap w:val="false"/>
          </w:tcPr>
          <w:p>
            <w:pPr>
              <w:jc w:val="center"/>
              <w:widowControl/>
              <w:rPr>
                <w:rFonts w:ascii="宋体" w:hAnsi="宋体"/>
                <w:sz w:val="24"/>
              </w:rPr>
            </w:pPr>
            <w:r>
              <w:rPr>
                <w:rFonts w:ascii="宋体" w:hAnsi="宋体"/>
                <w:sz w:val="24"/>
              </w:rPr>
            </w:r>
            <w:r/>
          </w:p>
        </w:tc>
      </w:tr>
      <w:tr>
        <w:trPr>
          <w:cantSplit/>
          <w:trHeight w:val="1005"/>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2</w:t>
            </w:r>
            <w:r>
              <w:rPr>
                <w:rFonts w:hint="eastAsia" w:ascii="宋体" w:hAnsi="宋体"/>
                <w:sz w:val="24"/>
              </w:rPr>
              <w:t xml:space="preserve">、安全要求，按绿化作业安全操作规程执行</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315"/>
        </w:trPr>
        <w:tc>
          <w:tcPr>
            <w:tcW w:w="941"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759" w:type="dxa"/>
            <w:vAlign w:val="center"/>
            <w:vMerge w:val="continue"/>
            <w:textDirection w:val="lrTb"/>
            <w:noWrap w:val="false"/>
          </w:tcPr>
          <w:p>
            <w:pPr>
              <w:jc w:val="center"/>
              <w:widowControl/>
              <w:rPr>
                <w:rFonts w:ascii="宋体" w:hAnsi="宋体"/>
                <w:sz w:val="24"/>
              </w:rPr>
            </w:pPr>
            <w:r>
              <w:rPr>
                <w:rFonts w:ascii="宋体" w:hAnsi="宋体"/>
                <w:sz w:val="24"/>
              </w:rPr>
            </w:r>
            <w:r/>
          </w:p>
        </w:tc>
        <w:tc>
          <w:tcPr>
            <w:tcW w:w="4396" w:type="dxa"/>
            <w:vAlign w:val="center"/>
            <w:textDirection w:val="lrTb"/>
            <w:noWrap w:val="false"/>
          </w:tcPr>
          <w:p>
            <w:pPr>
              <w:jc w:val="left"/>
              <w:widowControl/>
              <w:rPr>
                <w:rFonts w:ascii="宋体" w:hAnsi="宋体"/>
                <w:sz w:val="24"/>
              </w:rPr>
            </w:pPr>
            <w:r>
              <w:rPr>
                <w:rFonts w:ascii="宋体" w:hAnsi="宋体"/>
                <w:sz w:val="24"/>
              </w:rPr>
              <w:t xml:space="preserve">3</w:t>
            </w:r>
            <w:r>
              <w:rPr>
                <w:rFonts w:hint="eastAsia" w:ascii="宋体" w:hAnsi="宋体"/>
                <w:sz w:val="24"/>
              </w:rPr>
              <w:t xml:space="preserve">、服从甲方统一管理</w:t>
            </w:r>
            <w:r>
              <w:rPr>
                <w:rFonts w:ascii="宋体" w:hAnsi="宋体"/>
                <w:sz w:val="24"/>
              </w:rPr>
              <w:t xml:space="preserve">,</w:t>
            </w:r>
            <w:r>
              <w:rPr>
                <w:rFonts w:hint="eastAsia" w:ascii="宋体" w:hAnsi="宋体"/>
                <w:sz w:val="24"/>
              </w:rPr>
              <w:t xml:space="preserve">完成甲方安排的各项任务</w:t>
            </w:r>
            <w:r/>
          </w:p>
        </w:tc>
        <w:tc>
          <w:tcPr>
            <w:tcW w:w="2954" w:type="dxa"/>
            <w:vAlign w:val="center"/>
            <w:vMerge w:val="continue"/>
            <w:textDirection w:val="lrTb"/>
            <w:noWrap w:val="false"/>
          </w:tcPr>
          <w:p>
            <w:pPr>
              <w:jc w:val="left"/>
              <w:widowControl/>
              <w:rPr>
                <w:rFonts w:ascii="宋体" w:hAnsi="宋体"/>
                <w:sz w:val="24"/>
              </w:rPr>
            </w:pPr>
            <w:r>
              <w:rPr>
                <w:rFonts w:ascii="宋体" w:hAnsi="宋体"/>
                <w:sz w:val="24"/>
              </w:rPr>
            </w:r>
            <w:r/>
          </w:p>
        </w:tc>
        <w:tc>
          <w:tcPr>
            <w:tcW w:w="796" w:type="dxa"/>
            <w:vAlign w:val="center"/>
            <w:vMerge w:val="continue"/>
            <w:textDirection w:val="lrTb"/>
            <w:noWrap w:val="false"/>
          </w:tcPr>
          <w:p>
            <w:pPr>
              <w:jc w:val="center"/>
              <w:widowControl/>
              <w:rPr>
                <w:rFonts w:ascii="宋体" w:hAnsi="宋体"/>
                <w:sz w:val="24"/>
              </w:rPr>
            </w:pPr>
            <w:r>
              <w:rPr>
                <w:rFonts w:ascii="宋体" w:hAnsi="宋体"/>
                <w:sz w:val="24"/>
              </w:rPr>
            </w:r>
            <w:r/>
          </w:p>
        </w:tc>
      </w:tr>
      <w:tr>
        <w:trPr>
          <w:cantSplit/>
          <w:trHeight w:val="437"/>
        </w:trPr>
        <w:tc>
          <w:tcPr>
            <w:tcW w:w="941" w:type="dxa"/>
            <w:vAlign w:val="center"/>
            <w:textDirection w:val="lrTb"/>
            <w:noWrap w:val="false"/>
          </w:tcPr>
          <w:p>
            <w:pPr>
              <w:jc w:val="center"/>
              <w:widowControl/>
              <w:rPr>
                <w:rFonts w:ascii="宋体" w:hAnsi="宋体"/>
                <w:sz w:val="24"/>
              </w:rPr>
            </w:pPr>
            <w:r>
              <w:rPr>
                <w:rFonts w:hint="eastAsia" w:ascii="宋体" w:hAnsi="宋体"/>
                <w:sz w:val="24"/>
              </w:rPr>
              <w:t xml:space="preserve">合计</w:t>
            </w:r>
            <w:r/>
          </w:p>
        </w:tc>
        <w:tc>
          <w:tcPr>
            <w:tcW w:w="759" w:type="dxa"/>
            <w:vAlign w:val="center"/>
            <w:textDirection w:val="lrTb"/>
            <w:noWrap w:val="false"/>
          </w:tcPr>
          <w:p>
            <w:pPr>
              <w:jc w:val="center"/>
              <w:widowControl/>
              <w:rPr>
                <w:rFonts w:ascii="宋体" w:hAnsi="宋体"/>
                <w:sz w:val="24"/>
              </w:rPr>
            </w:pPr>
            <w:r>
              <w:rPr>
                <w:rFonts w:ascii="宋体" w:hAnsi="宋体"/>
                <w:sz w:val="24"/>
              </w:rPr>
              <w:t xml:space="preserve">100</w:t>
            </w:r>
            <w:r/>
          </w:p>
        </w:tc>
        <w:tc>
          <w:tcPr>
            <w:tcW w:w="4396" w:type="dxa"/>
            <w:vAlign w:val="center"/>
            <w:textDirection w:val="lrTb"/>
            <w:noWrap w:val="false"/>
          </w:tcPr>
          <w:p>
            <w:pPr>
              <w:jc w:val="left"/>
              <w:widowControl/>
              <w:rPr>
                <w:rFonts w:ascii="宋体" w:hAnsi="宋体"/>
                <w:sz w:val="24"/>
              </w:rPr>
            </w:pPr>
            <w:r>
              <w:rPr>
                <w:rFonts w:ascii="宋体" w:hAnsi="宋体"/>
                <w:sz w:val="24"/>
              </w:rPr>
            </w:r>
            <w:r/>
          </w:p>
        </w:tc>
        <w:tc>
          <w:tcPr>
            <w:tcW w:w="2954" w:type="dxa"/>
            <w:vAlign w:val="center"/>
            <w:textDirection w:val="lrTb"/>
            <w:noWrap w:val="false"/>
          </w:tcPr>
          <w:p>
            <w:pPr>
              <w:jc w:val="left"/>
              <w:widowControl/>
              <w:rPr>
                <w:rFonts w:ascii="宋体" w:hAnsi="宋体"/>
                <w:sz w:val="24"/>
              </w:rPr>
            </w:pPr>
            <w:r>
              <w:rPr>
                <w:rFonts w:hint="eastAsia" w:ascii="宋体" w:hAnsi="宋体"/>
                <w:sz w:val="24"/>
              </w:rPr>
              <w:t xml:space="preserve">得分</w:t>
            </w:r>
            <w:r/>
          </w:p>
        </w:tc>
        <w:tc>
          <w:tcPr>
            <w:tcW w:w="796" w:type="dxa"/>
            <w:vAlign w:val="center"/>
            <w:textDirection w:val="lrTb"/>
            <w:noWrap w:val="false"/>
          </w:tcPr>
          <w:p>
            <w:pPr>
              <w:jc w:val="center"/>
              <w:widowControl/>
              <w:rPr>
                <w:rFonts w:ascii="宋体" w:hAnsi="宋体"/>
                <w:sz w:val="24"/>
              </w:rPr>
            </w:pPr>
            <w:r>
              <w:rPr>
                <w:rFonts w:ascii="宋体" w:hAnsi="宋体"/>
                <w:sz w:val="24"/>
              </w:rPr>
            </w:r>
            <w:r/>
          </w:p>
        </w:tc>
      </w:tr>
      <w:tr>
        <w:trPr>
          <w:cantSplit/>
          <w:trHeight w:val="924"/>
        </w:trPr>
        <w:tc>
          <w:tcPr>
            <w:tcW w:w="941" w:type="dxa"/>
            <w:vAlign w:val="center"/>
            <w:textDirection w:val="lrTb"/>
            <w:noWrap w:val="false"/>
          </w:tcPr>
          <w:p>
            <w:pPr>
              <w:jc w:val="center"/>
              <w:widowControl/>
              <w:rPr>
                <w:rFonts w:ascii="宋体" w:hAnsi="宋体"/>
                <w:sz w:val="24"/>
              </w:rPr>
            </w:pPr>
            <w:r>
              <w:rPr>
                <w:rFonts w:hint="eastAsia" w:ascii="宋体" w:hAnsi="宋体"/>
                <w:sz w:val="24"/>
              </w:rPr>
              <w:t xml:space="preserve">特别</w:t>
            </w:r>
            <w:r/>
          </w:p>
          <w:p>
            <w:pPr>
              <w:jc w:val="center"/>
              <w:widowControl/>
              <w:rPr>
                <w:rFonts w:ascii="宋体" w:hAnsi="宋体"/>
                <w:sz w:val="24"/>
              </w:rPr>
            </w:pPr>
            <w:r>
              <w:rPr>
                <w:rFonts w:hint="eastAsia" w:ascii="宋体" w:hAnsi="宋体"/>
                <w:sz w:val="24"/>
              </w:rPr>
              <w:t xml:space="preserve">条款</w:t>
            </w:r>
            <w:r/>
          </w:p>
        </w:tc>
        <w:tc>
          <w:tcPr>
            <w:gridSpan w:val="3"/>
            <w:tcBorders>
              <w:top w:val="none" w:color="000000" w:sz="4" w:space="0"/>
            </w:tcBorders>
            <w:tcW w:w="8109" w:type="dxa"/>
            <w:vAlign w:val="center"/>
            <w:textDirection w:val="lrTb"/>
            <w:noWrap w:val="false"/>
          </w:tcPr>
          <w:p>
            <w:pPr>
              <w:jc w:val="left"/>
              <w:spacing w:line="460" w:lineRule="exact"/>
              <w:widowControl/>
              <w:rPr>
                <w:rFonts w:ascii="宋体" w:hAnsi="宋体"/>
                <w:sz w:val="24"/>
              </w:rPr>
            </w:pPr>
            <w:r>
              <w:rPr>
                <w:rFonts w:hint="eastAsia" w:ascii="宋体" w:hAnsi="宋体"/>
                <w:sz w:val="24"/>
              </w:rPr>
              <w:t xml:space="preserve">1、被媒体曝光或受到各级领导通报批评的，发生一次扣</w:t>
            </w:r>
            <w:r>
              <w:rPr>
                <w:rFonts w:ascii="宋体" w:hAnsi="宋体"/>
                <w:sz w:val="24"/>
              </w:rPr>
              <w:t xml:space="preserve">5</w:t>
            </w:r>
            <w:r>
              <w:rPr>
                <w:rFonts w:hint="eastAsia" w:ascii="宋体" w:hAnsi="宋体"/>
                <w:sz w:val="24"/>
              </w:rPr>
              <w:t xml:space="preserve">分；</w:t>
            </w:r>
            <w:r/>
          </w:p>
          <w:p>
            <w:pPr>
              <w:jc w:val="left"/>
              <w:spacing w:line="460" w:lineRule="exact"/>
              <w:widowControl/>
              <w:rPr>
                <w:rFonts w:ascii="宋体" w:hAnsi="宋体"/>
                <w:sz w:val="24"/>
              </w:rPr>
            </w:pPr>
            <w:r>
              <w:rPr>
                <w:rFonts w:hint="eastAsia" w:ascii="宋体" w:hAnsi="宋体"/>
                <w:sz w:val="24"/>
              </w:rPr>
              <w:t xml:space="preserve">2、各部门发现的问题或者群众来信来访未能及时整改处理或回复处理不及时、不真实的，每次扣</w:t>
            </w:r>
            <w:r>
              <w:rPr>
                <w:rFonts w:ascii="宋体" w:hAnsi="宋体"/>
                <w:sz w:val="24"/>
              </w:rPr>
              <w:t xml:space="preserve">5</w:t>
            </w:r>
            <w:r>
              <w:rPr>
                <w:rFonts w:hint="eastAsia" w:ascii="宋体" w:hAnsi="宋体"/>
                <w:sz w:val="24"/>
              </w:rPr>
              <w:t xml:space="preserve">分；</w:t>
            </w:r>
            <w:r/>
          </w:p>
          <w:p>
            <w:pPr>
              <w:jc w:val="left"/>
              <w:spacing w:line="460" w:lineRule="exact"/>
              <w:widowControl/>
              <w:rPr>
                <w:rFonts w:hint="eastAsia" w:ascii="宋体" w:hAnsi="宋体"/>
                <w:sz w:val="24"/>
              </w:rPr>
            </w:pPr>
            <w:r>
              <w:rPr>
                <w:rFonts w:hint="eastAsia" w:ascii="宋体" w:hAnsi="宋体"/>
                <w:sz w:val="24"/>
              </w:rPr>
              <w:t xml:space="preserve">3、城市长效管理、数字化城管督查、网格案件中因管理出现扣分的，直接按实际扣分。</w:t>
            </w:r>
            <w:r/>
          </w:p>
          <w:p>
            <w:pPr>
              <w:jc w:val="left"/>
              <w:spacing w:line="460" w:lineRule="exact"/>
              <w:widowControl/>
              <w:rPr>
                <w:rFonts w:ascii="宋体" w:hAnsi="宋体"/>
                <w:sz w:val="24"/>
              </w:rPr>
            </w:pPr>
            <w:r>
              <w:rPr>
                <w:rFonts w:hint="eastAsia" w:ascii="宋体" w:hAnsi="宋体"/>
                <w:sz w:val="24"/>
              </w:rPr>
              <w:t xml:space="preserve">4、不服从采购人统一管理，未完成采购人安排的其他任务，发生一次扣5分。</w:t>
            </w:r>
            <w:r/>
          </w:p>
        </w:tc>
        <w:tc>
          <w:tcPr>
            <w:tcW w:w="796" w:type="dxa"/>
            <w:vAlign w:val="center"/>
            <w:textDirection w:val="lrTb"/>
            <w:noWrap w:val="false"/>
          </w:tcPr>
          <w:p>
            <w:pPr>
              <w:jc w:val="center"/>
              <w:widowControl/>
              <w:rPr>
                <w:rFonts w:ascii="宋体" w:hAnsi="宋体"/>
                <w:sz w:val="24"/>
              </w:rPr>
            </w:pPr>
            <w:r>
              <w:rPr>
                <w:rFonts w:ascii="宋体" w:hAnsi="宋体"/>
                <w:sz w:val="24"/>
              </w:rPr>
            </w:r>
            <w:r/>
          </w:p>
        </w:tc>
      </w:tr>
    </w:tbl>
    <w:p>
      <w:pPr>
        <w:spacing w:line="360" w:lineRule="auto"/>
        <w:rPr>
          <w:rFonts w:ascii="宋体" w:hAnsi="宋体" w:cs="宋体"/>
          <w:sz w:val="24"/>
        </w:rPr>
      </w:pPr>
      <w:r>
        <w:rPr>
          <w:rFonts w:hint="eastAsia" w:ascii="宋体" w:hAnsi="宋体" w:cs="宋体"/>
          <w:sz w:val="24"/>
        </w:rPr>
        <w:t xml:space="preserve">说明：1.考核细则实施扣分，每一项扣分以扣完本项目分值为止。</w:t>
      </w:r>
      <w:r/>
    </w:p>
    <w:p>
      <w:pPr>
        <w:ind w:firstLine="720"/>
        <w:spacing w:line="360" w:lineRule="auto"/>
        <w:rPr>
          <w:rFonts w:ascii="宋体" w:hAnsi="宋体" w:cs="宋体"/>
          <w:sz w:val="24"/>
        </w:rPr>
      </w:pPr>
      <w:r>
        <w:rPr>
          <w:rFonts w:hint="eastAsia" w:ascii="宋体" w:hAnsi="宋体" w:cs="宋体"/>
          <w:sz w:val="24"/>
        </w:rPr>
        <w:t xml:space="preserve">2.日常考核时，对于人员上岗、着装、日常保洁、病虫害以及一些直接造成损害的问题直接扣分；其他问题按要求整改处理，在规定期限未能处理到位的进行扣分。月考核中，发现问题直接扣分。</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注：</w:t>
      </w:r>
      <w:r>
        <w:rPr>
          <w:rFonts w:hint="eastAsia" w:ascii="宋体" w:hAnsi="宋体" w:cs="宋体"/>
          <w:sz w:val="24"/>
          <w:highlight w:val="none"/>
        </w:rPr>
        <w:t xml:space="preserve">本细则最终解释权归</w:t>
      </w:r>
      <w:r>
        <w:rPr>
          <w:rFonts w:hint="eastAsia" w:ascii="宋体" w:hAnsi="宋体" w:cs="宋体"/>
          <w:color w:val="auto"/>
          <w:sz w:val="24"/>
          <w:highlight w:val="none"/>
        </w:rPr>
        <w:t xml:space="preserve">报溧阳经济开发区综合行政执法</w:t>
      </w:r>
      <w:r>
        <w:rPr>
          <w:rFonts w:hint="eastAsia" w:ascii="宋体" w:hAnsi="宋体" w:cs="宋体"/>
          <w:color w:val="auto"/>
          <w:sz w:val="24"/>
          <w:highlight w:val="none"/>
          <w:lang w:val="en-US" w:eastAsia="zh-CN"/>
        </w:rPr>
        <w:t xml:space="preserve">和安全生产监督管理办公室</w:t>
      </w:r>
      <w:r>
        <w:rPr>
          <w:rFonts w:hint="eastAsia" w:ascii="宋体" w:hAnsi="宋体" w:cs="宋体"/>
          <w:sz w:val="24"/>
          <w:highlight w:val="none"/>
        </w:rPr>
        <w:t xml:space="preserve">。</w:t>
      </w:r>
      <w:r/>
    </w:p>
    <w:p>
      <w:pPr>
        <w:ind w:firstLine="480"/>
        <w:jc w:val="both"/>
        <w:spacing w:line="360" w:lineRule="auto"/>
        <w:rPr>
          <w:rFonts w:hint="eastAsia" w:ascii="宋体" w:hAnsi="宋体" w:cs="宋体"/>
          <w:b w:val="0"/>
          <w:bCs w:val="0"/>
          <w:sz w:val="24"/>
          <w:highlight w:val="none"/>
          <w:lang w:val="en-US" w:eastAsia="zh-CN"/>
        </w:rPr>
        <w:outlineLvl w:val="0"/>
      </w:pPr>
      <w:r>
        <w:rPr>
          <w:rFonts w:hint="eastAsia" w:ascii="宋体" w:hAnsi="宋体" w:cs="宋体"/>
          <w:b w:val="0"/>
          <w:bCs w:val="0"/>
          <w:sz w:val="24"/>
          <w:highlight w:val="none"/>
          <w:lang w:val="en-US" w:eastAsia="zh-CN"/>
        </w:rPr>
        <w:t xml:space="preserve">附件：面积清单</w:t>
      </w:r>
      <w:r/>
    </w:p>
    <w:tbl>
      <w:tblPr>
        <w:tblStyle w:val="899"/>
        <w:tblW w:w="86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79"/>
        <w:gridCol w:w="3736"/>
        <w:gridCol w:w="2128"/>
        <w:gridCol w:w="1650"/>
      </w:tblGrid>
      <w:tr>
        <w:trPr>
          <w:trHeight w:val="285"/>
        </w:trPr>
        <w:tc>
          <w:tcPr>
            <w:gridSpan w:val="3"/>
            <w:shd w:val="clear" w:color="auto" w:fill="auto"/>
            <w:tcBorders>
              <w:top w:val="none" w:color="000000" w:sz="4" w:space="0"/>
              <w:left w:val="none" w:color="000000" w:sz="4" w:space="0"/>
              <w:bottom w:val="none" w:color="000000" w:sz="4" w:space="0"/>
              <w:right w:val="none" w:color="000000" w:sz="4" w:space="0"/>
            </w:tcBorders>
            <w:tcW w:w="70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 （上兴集镇标段）</w:t>
            </w:r>
            <w:r/>
          </w:p>
        </w:tc>
        <w:tc>
          <w:tcPr>
            <w:shd w:val="clear" w:color="auto" w:fill="auto"/>
            <w:tcBorders>
              <w:top w:val="none" w:color="000000" w:sz="4" w:space="0"/>
              <w:left w:val="none" w:color="000000" w:sz="4" w:space="0"/>
              <w:bottom w:val="single" w:color="auto" w:sz="4" w:space="0"/>
              <w:right w:val="none" w:color="000000" w:sz="4" w:space="0"/>
            </w:tcBorders>
            <w:tcW w:w="16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路段</w:t>
            </w:r>
            <w:r>
              <w:rPr>
                <w:rFonts w:hint="default" w:ascii="Arial" w:hAnsi="Arial" w:eastAsia="等线" w:cs="Arial"/>
                <w:i w:val="0"/>
                <w:iCs w:val="0"/>
                <w:color w:val="000000"/>
                <w:sz w:val="22"/>
                <w:szCs w:val="22"/>
                <w:u w:val="none"/>
                <w:lang w:val="en-US" w:eastAsia="zh-CN" w:bidi="ar"/>
              </w:rPr>
              <w:t xml:space="preserve">/</w:t>
            </w:r>
            <w:r>
              <w:rPr>
                <w:rStyle w:val="930"/>
                <w:lang w:val="en-US" w:eastAsia="zh-CN" w:bidi="ar"/>
              </w:rPr>
              <w:t xml:space="preserve">地块名称</w:t>
            </w:r>
            <w:r/>
          </w:p>
        </w:tc>
        <w:tc>
          <w:tcPr>
            <w:shd w:val="clear" w:color="auto" w:fill="auto"/>
            <w:tcBorders>
              <w:top w:val="single" w:color="000000" w:sz="8" w:space="0"/>
              <w:left w:val="none" w:color="000000" w:sz="4" w:space="0"/>
              <w:bottom w:val="single" w:color="000000" w:sz="8" w:space="0"/>
              <w:right w:val="single" w:color="auto" w:sz="4"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养护等级</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w:t>
            </w:r>
            <w:r>
              <w:rPr>
                <w:rFonts w:hint="default" w:ascii="Arial" w:hAnsi="Arial" w:eastAsia="等线" w:cs="Arial"/>
                <w:i w:val="0"/>
                <w:iCs w:val="0"/>
                <w:color w:val="000000"/>
                <w:sz w:val="22"/>
                <w:szCs w:val="22"/>
                <w:u w:val="none"/>
                <w:lang w:val="en-US" w:eastAsia="zh-CN" w:bidi="ar"/>
              </w:rPr>
              <w:t xml:space="preserve">)</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永兴大道西段（</w:t>
            </w:r>
            <w:r>
              <w:rPr>
                <w:rFonts w:hint="default" w:ascii="Arial" w:hAnsi="Arial" w:eastAsia="等线" w:cs="Arial"/>
                <w:i w:val="0"/>
                <w:iCs w:val="0"/>
                <w:color w:val="000000"/>
                <w:sz w:val="22"/>
                <w:szCs w:val="22"/>
                <w:u w:val="none"/>
                <w:lang w:val="en-US" w:eastAsia="zh-CN" w:bidi="ar"/>
              </w:rPr>
              <w:t xml:space="preserve">G104</w:t>
            </w:r>
            <w:r>
              <w:rPr>
                <w:rStyle w:val="930"/>
                <w:lang w:val="en-US" w:eastAsia="zh-CN" w:bidi="ar"/>
              </w:rPr>
              <w:t xml:space="preserve">以西）</w:t>
            </w:r>
            <w:r/>
          </w:p>
        </w:tc>
        <w:tc>
          <w:tcPr>
            <w:shd w:val="clear" w:color="auto" w:fill="auto"/>
            <w:tcBorders>
              <w:top w:val="none" w:color="000000" w:sz="4" w:space="0"/>
              <w:left w:val="none" w:color="000000" w:sz="4" w:space="0"/>
              <w:bottom w:val="single" w:color="000000" w:sz="8" w:space="0"/>
              <w:right w:val="single" w:color="auto" w:sz="4"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17600</w:t>
            </w:r>
            <w:r/>
          </w:p>
        </w:tc>
      </w:tr>
      <w:tr>
        <w:trPr>
          <w:trHeight w:val="406"/>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牌楼公园</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一级</w:t>
            </w:r>
            <w:r/>
          </w:p>
        </w:tc>
        <w:tc>
          <w:tcPr>
            <w:shd w:val="clear" w:color="auto" w:fill="auto"/>
            <w:tcBorders>
              <w:top w:val="single" w:color="auto"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58000</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上兴埠公园</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70000</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上兴河一期</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10300</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上兴河二期</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45000</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牌楼路（老明路</w:t>
            </w:r>
            <w:r>
              <w:rPr>
                <w:rFonts w:hint="default" w:ascii="Arial" w:hAnsi="Arial" w:eastAsia="等线" w:cs="Arial"/>
                <w:i w:val="0"/>
                <w:iCs w:val="0"/>
                <w:color w:val="000000"/>
                <w:sz w:val="22"/>
                <w:szCs w:val="22"/>
                <w:u w:val="none"/>
                <w:lang w:val="en-US" w:eastAsia="zh-CN" w:bidi="ar"/>
              </w:rPr>
              <w:t xml:space="preserve">—</w:t>
            </w:r>
            <w:r>
              <w:rPr>
                <w:rStyle w:val="930"/>
                <w:lang w:val="en-US" w:eastAsia="zh-CN" w:bidi="ar"/>
              </w:rPr>
              <w:t xml:space="preserve">永兴大道）</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1900</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牌楼河（永兴桥</w:t>
            </w:r>
            <w:r>
              <w:rPr>
                <w:rFonts w:hint="default" w:ascii="Arial" w:hAnsi="Arial" w:eastAsia="等线" w:cs="Arial"/>
                <w:i w:val="0"/>
                <w:iCs w:val="0"/>
                <w:color w:val="000000"/>
                <w:sz w:val="22"/>
                <w:szCs w:val="22"/>
                <w:u w:val="none"/>
                <w:lang w:val="en-US" w:eastAsia="zh-CN" w:bidi="ar"/>
              </w:rPr>
              <w:t xml:space="preserve">—</w:t>
            </w:r>
            <w:r>
              <w:rPr>
                <w:rStyle w:val="930"/>
                <w:lang w:val="en-US" w:eastAsia="zh-CN" w:bidi="ar"/>
              </w:rPr>
              <w:t xml:space="preserve">公园桥）</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15000</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政府广场、大院及后山</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26700</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港口路（老明路</w:t>
            </w:r>
            <w:r>
              <w:rPr>
                <w:rFonts w:hint="default" w:ascii="Arial" w:hAnsi="Arial" w:eastAsia="等线" w:cs="Arial"/>
                <w:i w:val="0"/>
                <w:iCs w:val="0"/>
                <w:color w:val="000000"/>
                <w:sz w:val="22"/>
                <w:szCs w:val="22"/>
                <w:u w:val="none"/>
                <w:lang w:val="en-US" w:eastAsia="zh-CN" w:bidi="ar"/>
              </w:rPr>
              <w:t xml:space="preserve">—</w:t>
            </w:r>
            <w:r>
              <w:rPr>
                <w:rStyle w:val="930"/>
                <w:lang w:val="en-US" w:eastAsia="zh-CN" w:bidi="ar"/>
              </w:rPr>
              <w:t xml:space="preserve">果园路，含派出所）</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6600</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通港大道西段（</w:t>
            </w:r>
            <w:r>
              <w:rPr>
                <w:rFonts w:hint="default" w:ascii="Arial" w:hAnsi="Arial" w:eastAsia="等线" w:cs="Arial"/>
                <w:i w:val="0"/>
                <w:iCs w:val="0"/>
                <w:color w:val="000000"/>
                <w:sz w:val="22"/>
                <w:szCs w:val="22"/>
                <w:u w:val="none"/>
                <w:lang w:val="en-US" w:eastAsia="zh-CN" w:bidi="ar"/>
              </w:rPr>
              <w:t xml:space="preserve">G104</w:t>
            </w:r>
            <w:r>
              <w:rPr>
                <w:rStyle w:val="930"/>
                <w:lang w:val="en-US" w:eastAsia="zh-CN" w:bidi="ar"/>
              </w:rPr>
              <w:t xml:space="preserve">以西）</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10500</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公园路（老明路－公园桥）</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3500</w:t>
            </w:r>
            <w:r/>
          </w:p>
        </w:tc>
      </w:tr>
      <w:tr>
        <w:trPr>
          <w:trHeight w:val="340"/>
        </w:trPr>
        <w:tc>
          <w:tcPr>
            <w:shd w:val="clear" w:color="auto" w:fill="auto"/>
            <w:tcBorders>
              <w:top w:val="none" w:color="000000" w:sz="4" w:space="0"/>
              <w:left w:val="single" w:color="000000" w:sz="8" w:space="0"/>
              <w:bottom w:val="single" w:color="auto" w:sz="4"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新菜场及联强路中段</w:t>
            </w:r>
            <w:r/>
          </w:p>
        </w:tc>
        <w:tc>
          <w:tcPr>
            <w:shd w:val="clear" w:color="auto" w:fill="auto"/>
            <w:tcBorders>
              <w:top w:val="none" w:color="000000" w:sz="4" w:space="0"/>
              <w:left w:val="none" w:color="000000" w:sz="4" w:space="0"/>
              <w:bottom w:val="single" w:color="auto" w:sz="4"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auto" w:sz="4"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8500</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老明路（节点绿化）</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一级</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5000</w:t>
            </w:r>
            <w:r/>
          </w:p>
        </w:tc>
      </w:tr>
      <w:tr>
        <w:trPr>
          <w:trHeight w:val="340"/>
        </w:trPr>
        <w:tc>
          <w:tcPr>
            <w:shd w:val="clear" w:color="auto" w:fill="auto"/>
            <w:tcBorders>
              <w:top w:val="single" w:color="auto" w:sz="4" w:space="0"/>
              <w:left w:val="single" w:color="000000" w:sz="8" w:space="0"/>
              <w:bottom w:val="single" w:color="auto" w:sz="4"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老明路（常规绿化）</w:t>
            </w:r>
            <w:r/>
          </w:p>
        </w:tc>
        <w:tc>
          <w:tcPr>
            <w:shd w:val="clear" w:color="auto" w:fill="auto"/>
            <w:tcBorders>
              <w:top w:val="single" w:color="auto" w:sz="4" w:space="0"/>
              <w:left w:val="none" w:color="000000" w:sz="4" w:space="0"/>
              <w:bottom w:val="single" w:color="auto" w:sz="4"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auto" w:sz="4" w:space="0"/>
              <w:left w:val="none" w:color="000000" w:sz="4" w:space="0"/>
              <w:bottom w:val="single" w:color="auto" w:sz="4"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45000</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茂兴路</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2000</w:t>
            </w:r>
            <w:r/>
          </w:p>
        </w:tc>
      </w:tr>
      <w:tr>
        <w:trPr>
          <w:trHeight w:val="340"/>
        </w:trPr>
        <w:tc>
          <w:tcPr>
            <w:shd w:val="clear" w:color="auto" w:fill="auto"/>
            <w:tcBorders>
              <w:top w:val="single" w:color="auto"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16</w:t>
            </w:r>
            <w:r/>
          </w:p>
        </w:tc>
        <w:tc>
          <w:tcPr>
            <w:shd w:val="clear" w:color="auto" w:fill="auto"/>
            <w:tcBorders>
              <w:top w:val="single" w:color="auto"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零星地块</w:t>
            </w:r>
            <w:r/>
          </w:p>
        </w:tc>
        <w:tc>
          <w:tcPr>
            <w:shd w:val="clear" w:color="auto" w:fill="auto"/>
            <w:tcBorders>
              <w:top w:val="single" w:color="auto"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auto"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10000</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金河湾</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3000</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果园路</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13000</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园中路</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9000</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联强路南段</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6000</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联强路北段</w:t>
            </w:r>
            <w:r/>
          </w:p>
        </w:tc>
        <w:tc>
          <w:tcPr>
            <w:shd w:val="clear" w:color="auto" w:fill="auto"/>
            <w:tcBorders>
              <w:top w:val="none" w:color="000000" w:sz="4" w:space="0"/>
              <w:left w:val="none" w:color="000000" w:sz="4" w:space="0"/>
              <w:bottom w:val="single" w:color="000000" w:sz="8"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4150</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聚兴公寓周边</w:t>
            </w:r>
            <w:r/>
          </w:p>
        </w:tc>
        <w:tc>
          <w:tcPr>
            <w:shd w:val="clear" w:color="auto" w:fill="auto"/>
            <w:tcBorders>
              <w:top w:val="none" w:color="000000" w:sz="4" w:space="0"/>
              <w:left w:val="none" w:color="000000" w:sz="4" w:space="0"/>
              <w:bottom w:val="single" w:color="auto" w:sz="4" w:space="0"/>
              <w:right w:val="single" w:color="000000" w:sz="8" w:space="0"/>
            </w:tcBorders>
            <w:tcW w:w="2128"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auto" w:sz="4" w:space="0"/>
              <w:right w:val="single" w:color="000000" w:sz="8"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3000</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117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auto" w:sz="4" w:space="0"/>
            </w:tcBorders>
            <w:tcW w:w="3736"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总计</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tcPr>
          <w:p>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373750</w:t>
            </w:r>
            <w:r/>
          </w:p>
        </w:tc>
      </w:tr>
    </w:tbl>
    <w:p>
      <w:pPr>
        <w:ind w:firstLine="480"/>
        <w:jc w:val="both"/>
        <w:spacing w:line="360" w:lineRule="auto"/>
        <w:rPr>
          <w:rFonts w:hint="eastAsia" w:ascii="宋体" w:hAnsi="宋体" w:cs="宋体"/>
          <w:b w:val="0"/>
          <w:bCs w:val="0"/>
          <w:sz w:val="24"/>
          <w:highlight w:val="none"/>
          <w:lang w:val="en-US" w:eastAsia="zh-CN"/>
        </w:rPr>
        <w:outlineLvl w:val="0"/>
      </w:pPr>
      <w:r>
        <w:rPr>
          <w:rFonts w:hint="eastAsia" w:ascii="宋体" w:hAnsi="宋体" w:cs="宋体"/>
          <w:b w:val="0"/>
          <w:bCs w:val="0"/>
          <w:sz w:val="24"/>
          <w:highlight w:val="none"/>
          <w:lang w:val="en-US" w:eastAsia="zh-CN"/>
        </w:rPr>
      </w:r>
      <w:r/>
    </w:p>
    <w:tbl>
      <w:tblPr>
        <w:tblStyle w:val="899"/>
        <w:tblW w:w="86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5"/>
        <w:gridCol w:w="4235"/>
        <w:gridCol w:w="1635"/>
        <w:gridCol w:w="1635"/>
      </w:tblGrid>
      <w:tr>
        <w:trP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867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（104国道标段）</w:t>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165" w:type="dxa"/>
            <w:vAlign w:val="top"/>
            <w:textDirection w:val="lrTb"/>
            <w:noWrap w:val="false"/>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2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路段</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地块名称</w:t>
            </w:r>
            <w:r/>
          </w:p>
        </w:tc>
        <w:tc>
          <w:tcPr>
            <w:shd w:val="clear" w:color="auto" w:fill="auto"/>
            <w:tcBorders>
              <w:top w:val="single" w:color="000000" w:sz="8"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养护等级</w:t>
            </w:r>
            <w:r/>
          </w:p>
        </w:tc>
        <w:tc>
          <w:tcPr>
            <w:shd w:val="clear" w:color="auto" w:fill="auto"/>
            <w:tcBorders>
              <w:top w:val="single" w:color="000000" w:sz="8"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面积</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w:t>
            </w:r>
            <w:r>
              <w:rPr>
                <w:rFonts w:hint="default" w:ascii="Arial" w:hAnsi="Arial" w:eastAsia="等线" w:cs="Arial"/>
                <w:i w:val="0"/>
                <w:iCs w:val="0"/>
                <w:color w:val="000000"/>
                <w:sz w:val="22"/>
                <w:szCs w:val="22"/>
                <w:u w:val="none"/>
                <w:lang w:val="en-US" w:eastAsia="zh-CN" w:bidi="ar"/>
              </w:rPr>
              <w:t xml:space="preserve">)</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2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G104</w:t>
            </w:r>
            <w:r>
              <w:rPr>
                <w:rFonts w:hint="eastAsia" w:ascii="等线" w:hAnsi="等线" w:eastAsia="等线" w:cs="等线"/>
                <w:i w:val="0"/>
                <w:iCs w:val="0"/>
                <w:color w:val="000000"/>
                <w:sz w:val="22"/>
                <w:szCs w:val="22"/>
                <w:u w:val="none"/>
                <w:lang w:val="en-US" w:eastAsia="zh-CN" w:bidi="ar"/>
              </w:rPr>
              <w:t xml:space="preserve">老河口红绿灯以南节点及水体</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120000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2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G104</w:t>
            </w:r>
            <w:r>
              <w:rPr>
                <w:rFonts w:hint="eastAsia" w:ascii="等线" w:hAnsi="等线" w:eastAsia="等线" w:cs="等线"/>
                <w:i w:val="0"/>
                <w:iCs w:val="0"/>
                <w:color w:val="000000"/>
                <w:sz w:val="22"/>
                <w:szCs w:val="22"/>
                <w:u w:val="none"/>
                <w:lang w:val="en-US" w:eastAsia="zh-CN" w:bidi="ar"/>
              </w:rPr>
              <w:t xml:space="preserve">老河口红绿灯以南老标段区域</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66000</w:t>
            </w:r>
            <w:r/>
          </w:p>
        </w:tc>
      </w:tr>
      <w:tr>
        <w:trPr>
          <w:trHeight w:val="320"/>
        </w:trPr>
        <w:tc>
          <w:tcPr>
            <w:shd w:val="clear" w:color="auto" w:fill="auto"/>
            <w:tcBorders>
              <w:top w:val="none" w:color="000000" w:sz="4" w:space="0"/>
              <w:left w:val="single" w:color="000000" w:sz="8" w:space="0"/>
              <w:bottom w:val="single" w:color="000000" w:sz="8" w:space="0"/>
              <w:right w:val="single" w:color="000000" w:sz="8" w:space="0"/>
            </w:tcBorders>
            <w:tcW w:w="116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2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G104</w:t>
            </w:r>
            <w:r>
              <w:rPr>
                <w:rFonts w:hint="eastAsia" w:ascii="等线" w:hAnsi="等线" w:eastAsia="等线" w:cs="等线"/>
                <w:i w:val="0"/>
                <w:iCs w:val="0"/>
                <w:color w:val="000000"/>
                <w:sz w:val="22"/>
                <w:szCs w:val="22"/>
                <w:u w:val="none"/>
                <w:lang w:val="en-US" w:eastAsia="zh-CN" w:bidi="ar"/>
              </w:rPr>
              <w:t xml:space="preserve">老河口红绿灯以北、北环路节点绿化</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40000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2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G104</w:t>
            </w:r>
            <w:r>
              <w:rPr>
                <w:rFonts w:hint="eastAsia" w:ascii="等线" w:hAnsi="等线" w:eastAsia="等线" w:cs="等线"/>
                <w:i w:val="0"/>
                <w:iCs w:val="0"/>
                <w:color w:val="000000"/>
                <w:sz w:val="22"/>
                <w:szCs w:val="22"/>
                <w:u w:val="none"/>
                <w:lang w:val="en-US" w:eastAsia="zh-CN" w:bidi="ar"/>
              </w:rPr>
              <w:t xml:space="preserve">老河口红绿灯以北老标段区域</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30000</w:t>
            </w:r>
            <w:r/>
          </w:p>
        </w:tc>
      </w:tr>
      <w:tr>
        <w:trPr>
          <w:trHeight w:val="323"/>
        </w:trPr>
        <w:tc>
          <w:tcPr>
            <w:shd w:val="clear" w:color="auto" w:fill="auto"/>
            <w:tcBorders>
              <w:top w:val="none" w:color="000000" w:sz="4" w:space="0"/>
              <w:left w:val="single" w:color="000000" w:sz="8" w:space="0"/>
              <w:bottom w:val="single" w:color="000000" w:sz="8" w:space="0"/>
              <w:right w:val="single" w:color="000000" w:sz="8" w:space="0"/>
            </w:tcBorders>
            <w:tcW w:w="116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2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上上线（</w:t>
            </w:r>
            <w:r>
              <w:rPr>
                <w:rFonts w:hint="default" w:ascii="Arial" w:hAnsi="Arial" w:eastAsia="等线" w:cs="Arial"/>
                <w:i w:val="0"/>
                <w:iCs w:val="0"/>
                <w:color w:val="000000"/>
                <w:sz w:val="22"/>
                <w:szCs w:val="22"/>
                <w:u w:val="none"/>
                <w:lang w:val="en-US" w:eastAsia="zh-CN" w:bidi="ar"/>
              </w:rPr>
              <w:t xml:space="preserve">G104—</w:t>
            </w:r>
            <w:r>
              <w:rPr>
                <w:rFonts w:hint="eastAsia" w:ascii="等线" w:hAnsi="等线" w:eastAsia="等线" w:cs="等线"/>
                <w:i w:val="0"/>
                <w:iCs w:val="0"/>
                <w:color w:val="000000"/>
                <w:sz w:val="22"/>
                <w:szCs w:val="22"/>
                <w:u w:val="none"/>
                <w:lang w:val="en-US" w:eastAsia="zh-CN" w:bidi="ar"/>
              </w:rPr>
              <w:t xml:space="preserve">宁杭高速天桥）</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33000</w:t>
            </w:r>
            <w:r/>
          </w:p>
        </w:tc>
      </w:tr>
      <w:tr>
        <w:trPr>
          <w:trHeight w:val="300"/>
        </w:trPr>
        <w:tc>
          <w:tcPr>
            <w:shd w:val="clear" w:color="auto" w:fill="auto"/>
            <w:tcBorders>
              <w:top w:val="none" w:color="000000" w:sz="4" w:space="0"/>
              <w:left w:val="single" w:color="000000" w:sz="8" w:space="0"/>
              <w:bottom w:val="single" w:color="auto" w:sz="4" w:space="0"/>
              <w:right w:val="single" w:color="000000" w:sz="8" w:space="0"/>
            </w:tcBorders>
            <w:tcW w:w="116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000000" w:sz="8" w:space="0"/>
            </w:tcBorders>
            <w:tcW w:w="42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涧东绿化</w:t>
            </w:r>
            <w:r/>
          </w:p>
        </w:tc>
        <w:tc>
          <w:tcPr>
            <w:shd w:val="clear" w:color="auto" w:fill="auto"/>
            <w:tcBorders>
              <w:top w:val="none" w:color="000000" w:sz="4" w:space="0"/>
              <w:left w:val="none" w:color="000000" w:sz="4" w:space="0"/>
              <w:bottom w:val="single" w:color="auto" w:sz="4" w:space="0"/>
              <w:right w:val="single" w:color="000000" w:sz="8"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auto" w:sz="4" w:space="0"/>
              <w:right w:val="single" w:color="000000" w:sz="8"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10500</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6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2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永和公园</w:t>
            </w:r>
            <w:r/>
          </w:p>
        </w:tc>
        <w:tc>
          <w:tcPr>
            <w:shd w:val="clear" w:color="auto" w:fill="auto"/>
            <w:tcBorders>
              <w:top w:val="single" w:color="auto" w:sz="4" w:space="0"/>
              <w:left w:val="single" w:color="auto" w:sz="4" w:space="0"/>
              <w:bottom w:val="single" w:color="auto" w:sz="4" w:space="0"/>
              <w:right w:val="single" w:color="auto" w:sz="4"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auto" w:sz="4" w:space="0"/>
              <w:left w:val="single" w:color="auto" w:sz="4" w:space="0"/>
              <w:bottom w:val="single" w:color="auto" w:sz="4" w:space="0"/>
              <w:right w:val="single" w:color="auto" w:sz="4"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3600</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6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2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高铁下花台</w:t>
            </w:r>
            <w:r/>
          </w:p>
        </w:tc>
        <w:tc>
          <w:tcPr>
            <w:shd w:val="clear" w:color="auto" w:fill="auto"/>
            <w:tcBorders>
              <w:top w:val="single" w:color="auto" w:sz="4" w:space="0"/>
              <w:left w:val="single" w:color="auto" w:sz="4" w:space="0"/>
              <w:bottom w:val="single" w:color="auto" w:sz="4" w:space="0"/>
              <w:right w:val="single" w:color="auto" w:sz="4"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auto" w:sz="4" w:space="0"/>
              <w:left w:val="single" w:color="auto" w:sz="4" w:space="0"/>
              <w:bottom w:val="single" w:color="auto" w:sz="4" w:space="0"/>
              <w:right w:val="single" w:color="auto" w:sz="4"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300</w:t>
            </w:r>
            <w:r/>
          </w:p>
        </w:tc>
      </w:tr>
      <w:tr>
        <w:trPr>
          <w:trHeight w:val="300"/>
        </w:trPr>
        <w:tc>
          <w:tcPr>
            <w:shd w:val="clear" w:color="auto" w:fill="auto"/>
            <w:tcBorders>
              <w:top w:val="single" w:color="auto" w:sz="4" w:space="0"/>
              <w:left w:val="single" w:color="000000" w:sz="8" w:space="0"/>
              <w:bottom w:val="single" w:color="000000" w:sz="8" w:space="0"/>
              <w:right w:val="single" w:color="000000" w:sz="8" w:space="0"/>
            </w:tcBorders>
            <w:tcW w:w="116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w:t>
            </w:r>
            <w:r/>
          </w:p>
        </w:tc>
        <w:tc>
          <w:tcPr>
            <w:shd w:val="clear" w:color="auto" w:fill="auto"/>
            <w:tcBorders>
              <w:top w:val="single" w:color="auto" w:sz="4" w:space="0"/>
              <w:left w:val="none" w:color="000000" w:sz="4" w:space="0"/>
              <w:bottom w:val="single" w:color="000000" w:sz="8" w:space="0"/>
              <w:right w:val="single" w:color="000000" w:sz="8" w:space="0"/>
            </w:tcBorders>
            <w:tcW w:w="42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永和街道</w:t>
            </w:r>
            <w:r/>
          </w:p>
        </w:tc>
        <w:tc>
          <w:tcPr>
            <w:shd w:val="clear" w:color="auto" w:fill="auto"/>
            <w:tcBorders>
              <w:top w:val="single" w:color="auto"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auto"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1680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423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总计</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305080</w:t>
            </w:r>
            <w:r/>
          </w:p>
        </w:tc>
      </w:tr>
    </w:tbl>
    <w:p>
      <w:pPr>
        <w:ind w:firstLine="480"/>
        <w:jc w:val="both"/>
        <w:spacing w:line="360" w:lineRule="auto"/>
        <w:rPr>
          <w:rFonts w:hint="eastAsia" w:ascii="宋体" w:hAnsi="宋体" w:cs="宋体"/>
          <w:b w:val="0"/>
          <w:bCs w:val="0"/>
          <w:sz w:val="24"/>
          <w:highlight w:val="none"/>
          <w:lang w:val="en-US" w:eastAsia="zh-CN"/>
        </w:rPr>
        <w:outlineLvl w:val="0"/>
      </w:pPr>
      <w:r>
        <w:rPr>
          <w:rFonts w:hint="eastAsia" w:ascii="宋体" w:hAnsi="宋体" w:cs="宋体"/>
          <w:b w:val="0"/>
          <w:bCs w:val="0"/>
          <w:sz w:val="24"/>
          <w:highlight w:val="none"/>
          <w:lang w:val="en-US" w:eastAsia="zh-CN"/>
        </w:rPr>
      </w:r>
      <w:r/>
    </w:p>
    <w:tbl>
      <w:tblPr>
        <w:tblStyle w:val="899"/>
        <w:tblW w:w="86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6"/>
        <w:gridCol w:w="4187"/>
        <w:gridCol w:w="1663"/>
        <w:gridCol w:w="1609"/>
      </w:tblGrid>
      <w:tr>
        <w:trPr>
          <w:trHeight w:val="260"/>
        </w:trPr>
        <w:tc>
          <w:tcPr>
            <w:gridSpan w:val="3"/>
            <w:shd w:val="clear" w:color="auto" w:fill="auto"/>
            <w:tcBorders>
              <w:top w:val="none" w:color="000000" w:sz="4" w:space="0"/>
              <w:left w:val="none" w:color="000000" w:sz="4" w:space="0"/>
              <w:bottom w:val="none" w:color="000000" w:sz="4" w:space="0"/>
              <w:right w:val="none" w:color="000000" w:sz="4" w:space="0"/>
            </w:tcBorders>
            <w:tcW w:w="705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w:t>
            </w:r>
            <w:r>
              <w:rPr>
                <w:rFonts w:hint="eastAsia" w:ascii="宋体" w:hAnsi="宋体" w:cs="宋体"/>
                <w:b/>
                <w:bCs/>
                <w:i w:val="0"/>
                <w:iCs w:val="0"/>
                <w:color w:val="000000"/>
                <w:sz w:val="22"/>
                <w:szCs w:val="22"/>
                <w:u w:val="none"/>
                <w:lang w:val="en-US" w:eastAsia="zh-CN" w:bidi="ar"/>
              </w:rPr>
              <w:t xml:space="preserve">工业园区标段</w:t>
            </w:r>
            <w:r>
              <w:rPr>
                <w:rFonts w:hint="eastAsia" w:ascii="宋体" w:hAnsi="宋体" w:eastAsia="宋体" w:cs="宋体"/>
                <w:b/>
                <w:bCs/>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160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路段</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地块名称</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养护等级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面积</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w:t>
            </w:r>
            <w:r>
              <w:rPr>
                <w:rFonts w:hint="default" w:ascii="Arial" w:hAnsi="Arial" w:eastAsia="等线" w:cs="Arial"/>
                <w:i w:val="0"/>
                <w:iCs w:val="0"/>
                <w:color w:val="000000"/>
                <w:sz w:val="22"/>
                <w:szCs w:val="22"/>
                <w:u w:val="none"/>
                <w:lang w:val="en-US" w:eastAsia="zh-CN"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上城路（</w:t>
            </w:r>
            <w:r>
              <w:rPr>
                <w:rFonts w:hint="default" w:ascii="Arial" w:hAnsi="Arial" w:eastAsia="等线" w:cs="Arial"/>
                <w:i w:val="0"/>
                <w:iCs w:val="0"/>
                <w:color w:val="000000"/>
                <w:sz w:val="22"/>
                <w:szCs w:val="22"/>
                <w:u w:val="none"/>
                <w:lang w:val="en-US" w:eastAsia="zh-CN" w:bidi="ar"/>
              </w:rPr>
              <w:t xml:space="preserve">G104—</w:t>
            </w:r>
            <w:r>
              <w:rPr>
                <w:rFonts w:hint="eastAsia" w:ascii="等线" w:hAnsi="等线" w:eastAsia="等线" w:cs="等线"/>
                <w:i w:val="0"/>
                <w:iCs w:val="0"/>
                <w:color w:val="000000"/>
                <w:sz w:val="22"/>
                <w:szCs w:val="22"/>
                <w:u w:val="none"/>
                <w:lang w:val="en-US" w:eastAsia="zh-CN" w:bidi="ar"/>
              </w:rPr>
              <w:t xml:space="preserve">子午路）</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45800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子午路南段（上城路</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北湖南路）</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47400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子午路北段（上上线</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上城路）</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24000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子午路延伸段（北湖南路</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中兴大道）</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13750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北湖南路（</w:t>
            </w:r>
            <w:r>
              <w:rPr>
                <w:rFonts w:hint="default" w:ascii="Arial" w:hAnsi="Arial" w:eastAsia="等线" w:cs="Arial"/>
                <w:i w:val="0"/>
                <w:iCs w:val="0"/>
                <w:color w:val="000000"/>
                <w:sz w:val="22"/>
                <w:szCs w:val="22"/>
                <w:u w:val="none"/>
                <w:lang w:val="en-US" w:eastAsia="zh-CN" w:bidi="ar"/>
              </w:rPr>
              <w:t xml:space="preserve">G104—</w:t>
            </w:r>
            <w:r>
              <w:rPr>
                <w:rFonts w:hint="eastAsia" w:ascii="等线" w:hAnsi="等线" w:eastAsia="等线" w:cs="等线"/>
                <w:i w:val="0"/>
                <w:iCs w:val="0"/>
                <w:color w:val="000000"/>
                <w:sz w:val="22"/>
                <w:szCs w:val="22"/>
                <w:u w:val="none"/>
                <w:lang w:val="en-US" w:eastAsia="zh-CN" w:bidi="ar"/>
              </w:rPr>
              <w:t xml:space="preserve">子午路）</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75200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北湖西路（上城路</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北湖南路）</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22800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永兴大道东段（</w:t>
            </w:r>
            <w:r>
              <w:rPr>
                <w:rFonts w:hint="default" w:ascii="Arial" w:hAnsi="Arial" w:eastAsia="等线" w:cs="Arial"/>
                <w:i w:val="0"/>
                <w:iCs w:val="0"/>
                <w:color w:val="000000"/>
                <w:sz w:val="22"/>
                <w:szCs w:val="22"/>
                <w:u w:val="none"/>
                <w:lang w:val="en-US" w:eastAsia="zh-CN" w:bidi="ar"/>
              </w:rPr>
              <w:t xml:space="preserve">G104—</w:t>
            </w:r>
            <w:r>
              <w:rPr>
                <w:rFonts w:hint="eastAsia" w:ascii="等线" w:hAnsi="等线" w:eastAsia="等线" w:cs="等线"/>
                <w:i w:val="0"/>
                <w:iCs w:val="0"/>
                <w:color w:val="000000"/>
                <w:sz w:val="22"/>
                <w:szCs w:val="22"/>
                <w:u w:val="none"/>
                <w:lang w:val="en-US" w:eastAsia="zh-CN" w:bidi="ar"/>
              </w:rPr>
              <w:t xml:space="preserve">子午路）</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28200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振兴大道（上上线</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上城路）</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43500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通港大道东段（</w:t>
            </w:r>
            <w:r>
              <w:rPr>
                <w:rFonts w:hint="default" w:ascii="Arial" w:hAnsi="Arial" w:eastAsia="等线" w:cs="Arial"/>
                <w:i w:val="0"/>
                <w:iCs w:val="0"/>
                <w:color w:val="000000"/>
                <w:sz w:val="22"/>
                <w:szCs w:val="22"/>
                <w:u w:val="none"/>
                <w:lang w:val="en-US" w:eastAsia="zh-CN" w:bidi="ar"/>
              </w:rPr>
              <w:t xml:space="preserve">G104</w:t>
            </w:r>
            <w:r>
              <w:rPr>
                <w:rFonts w:hint="eastAsia" w:ascii="等线" w:hAnsi="等线" w:eastAsia="等线" w:cs="等线"/>
                <w:i w:val="0"/>
                <w:iCs w:val="0"/>
                <w:color w:val="000000"/>
                <w:sz w:val="22"/>
                <w:szCs w:val="22"/>
                <w:u w:val="none"/>
                <w:lang w:val="en-US" w:eastAsia="zh-CN" w:bidi="ar"/>
              </w:rPr>
              <w:t xml:space="preserve">以东）</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法特尔厂区内河道坡地</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1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314850</w:t>
            </w:r>
            <w:r/>
          </w:p>
        </w:tc>
      </w:tr>
    </w:tbl>
    <w:p>
      <w:pPr>
        <w:ind w:firstLine="480"/>
        <w:jc w:val="both"/>
        <w:spacing w:line="360" w:lineRule="auto"/>
        <w:rPr>
          <w:rFonts w:hint="eastAsia" w:ascii="宋体" w:hAnsi="宋体" w:cs="宋体"/>
          <w:b w:val="0"/>
          <w:bCs w:val="0"/>
          <w:sz w:val="24"/>
          <w:highlight w:val="none"/>
          <w:lang w:val="en-US" w:eastAsia="zh-CN"/>
        </w:rPr>
        <w:outlineLvl w:val="0"/>
      </w:pPr>
      <w:r>
        <w:rPr>
          <w:rFonts w:hint="eastAsia" w:ascii="宋体" w:hAnsi="宋体" w:cs="宋体"/>
          <w:b w:val="0"/>
          <w:bCs w:val="0"/>
          <w:sz w:val="24"/>
          <w:highlight w:val="none"/>
          <w:lang w:val="en-US" w:eastAsia="zh-CN"/>
        </w:rPr>
      </w:r>
      <w:r/>
    </w:p>
    <w:tbl>
      <w:tblPr>
        <w:tblStyle w:val="899"/>
        <w:tblW w:w="89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5"/>
        <w:gridCol w:w="4170"/>
        <w:gridCol w:w="1789"/>
        <w:gridCol w:w="1909"/>
      </w:tblGrid>
      <w:tr>
        <w:trPr>
          <w:trHeight w:val="260"/>
        </w:trPr>
        <w:tc>
          <w:tcPr>
            <w:gridSpan w:val="4"/>
            <w:shd w:val="clear" w:color="auto" w:fill="auto"/>
            <w:tcBorders>
              <w:top w:val="none" w:color="000000" w:sz="4" w:space="0"/>
              <w:left w:val="none" w:color="000000" w:sz="4" w:space="0"/>
              <w:bottom w:val="none" w:color="000000" w:sz="4" w:space="0"/>
              <w:right w:val="none" w:color="000000" w:sz="4" w:space="0"/>
            </w:tcBorders>
            <w:tcW w:w="899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（上沛及曹山标段）</w:t>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125" w:type="dxa"/>
            <w:vAlign w:val="top"/>
            <w:textDirection w:val="lrTb"/>
            <w:noWrap w:val="false"/>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路段</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地块名称</w:t>
            </w:r>
            <w:r/>
          </w:p>
        </w:tc>
        <w:tc>
          <w:tcPr>
            <w:shd w:val="clear" w:color="auto" w:fill="auto"/>
            <w:tcBorders>
              <w:top w:val="single" w:color="000000" w:sz="8" w:space="0"/>
              <w:left w:val="none" w:color="000000" w:sz="4" w:space="0"/>
              <w:bottom w:val="single" w:color="000000" w:sz="8" w:space="0"/>
              <w:right w:val="single" w:color="000000" w:sz="8" w:space="0"/>
            </w:tcBorders>
            <w:tcW w:w="178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养护等级</w:t>
            </w:r>
            <w:r/>
          </w:p>
        </w:tc>
        <w:tc>
          <w:tcPr>
            <w:shd w:val="clear" w:color="auto" w:fill="auto"/>
            <w:tcBorders>
              <w:top w:val="single" w:color="000000" w:sz="8" w:space="0"/>
              <w:left w:val="none" w:color="000000" w:sz="4" w:space="0"/>
              <w:bottom w:val="single" w:color="000000" w:sz="8" w:space="0"/>
              <w:right w:val="single" w:color="000000" w:sz="8" w:space="0"/>
            </w:tcBorders>
            <w:tcW w:w="190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面积</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w:t>
            </w:r>
            <w:r>
              <w:rPr>
                <w:rFonts w:hint="default" w:ascii="Arial" w:hAnsi="Arial" w:eastAsia="等线" w:cs="Arial"/>
                <w:i w:val="0"/>
                <w:iCs w:val="0"/>
                <w:color w:val="000000"/>
                <w:sz w:val="22"/>
                <w:szCs w:val="22"/>
                <w:u w:val="none"/>
                <w:lang w:val="en-US" w:eastAsia="zh-CN" w:bidi="ar"/>
              </w:rPr>
              <w:t xml:space="preserve">)</w:t>
            </w:r>
            <w:r/>
          </w:p>
        </w:tc>
      </w:tr>
      <w:tr>
        <w:trPr>
          <w:trHeight w:val="300"/>
        </w:trPr>
        <w:tc>
          <w:tcPr>
            <w:shd w:val="clear" w:color="auto" w:fill="auto"/>
            <w:tcBorders>
              <w:top w:val="none" w:color="000000" w:sz="4" w:space="0"/>
              <w:left w:val="single" w:color="000000" w:sz="8" w:space="0"/>
              <w:bottom w:val="single" w:color="auto" w:sz="4" w:space="0"/>
              <w:right w:val="single" w:color="000000" w:sz="8" w:space="0"/>
            </w:tcBorders>
            <w:tcW w:w="112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上沛街道、天山路、环卫基地、西环路、芳山路</w:t>
            </w:r>
            <w:r>
              <w:rPr>
                <w:rFonts w:hint="default" w:ascii="Arial" w:hAnsi="Arial" w:eastAsia="等线" w:cs="Arial"/>
                <w:i w:val="0"/>
                <w:iCs w:val="0"/>
                <w:color w:val="000000"/>
                <w:sz w:val="22"/>
                <w:szCs w:val="22"/>
                <w:u w:val="none"/>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彭家桥、汤桥路至玄武矿门北侧</w:t>
            </w:r>
            <w:r/>
          </w:p>
        </w:tc>
        <w:tc>
          <w:tcPr>
            <w:shd w:val="clear" w:color="auto" w:fill="auto"/>
            <w:tcBorders>
              <w:top w:val="none" w:color="000000" w:sz="4" w:space="0"/>
              <w:left w:val="none" w:color="000000" w:sz="4" w:space="0"/>
              <w:bottom w:val="single" w:color="auto" w:sz="4" w:space="0"/>
              <w:right w:val="single" w:color="000000" w:sz="8" w:space="0"/>
            </w:tcBorders>
            <w:tcW w:w="178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auto" w:sz="4" w:space="0"/>
              <w:right w:val="single" w:color="000000" w:sz="8" w:space="0"/>
            </w:tcBorders>
            <w:tcW w:w="19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50000</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2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上沛公园</w:t>
            </w:r>
            <w:r/>
          </w:p>
        </w:tc>
        <w:tc>
          <w:tcPr>
            <w:shd w:val="clear" w:color="auto" w:fill="auto"/>
            <w:tcBorders>
              <w:top w:val="single" w:color="auto" w:sz="4" w:space="0"/>
              <w:left w:val="single" w:color="auto" w:sz="4" w:space="0"/>
              <w:bottom w:val="single" w:color="auto" w:sz="4" w:space="0"/>
              <w:right w:val="single" w:color="auto" w:sz="4" w:space="0"/>
            </w:tcBorders>
            <w:tcW w:w="178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一级</w:t>
            </w:r>
            <w:r/>
          </w:p>
        </w:tc>
        <w:tc>
          <w:tcPr>
            <w:shd w:val="clear" w:color="auto" w:fill="auto"/>
            <w:tcBorders>
              <w:top w:val="single" w:color="auto" w:sz="4" w:space="0"/>
              <w:left w:val="single" w:color="auto" w:sz="4" w:space="0"/>
              <w:bottom w:val="single" w:color="auto" w:sz="4" w:space="0"/>
              <w:right w:val="single" w:color="auto" w:sz="4" w:space="0"/>
            </w:tcBorders>
            <w:tcW w:w="19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60000</w:t>
            </w:r>
            <w:r/>
          </w:p>
        </w:tc>
      </w:tr>
      <w:tr>
        <w:trPr>
          <w:trHeight w:val="320"/>
        </w:trPr>
        <w:tc>
          <w:tcPr>
            <w:shd w:val="clear" w:color="auto" w:fill="auto"/>
            <w:tcBorders>
              <w:top w:val="single" w:color="auto" w:sz="4" w:space="0"/>
              <w:left w:val="single" w:color="000000" w:sz="8" w:space="0"/>
              <w:bottom w:val="single" w:color="000000" w:sz="8" w:space="0"/>
              <w:right w:val="single" w:color="000000" w:sz="8" w:space="0"/>
            </w:tcBorders>
            <w:tcW w:w="112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w:t>
            </w:r>
            <w:r/>
          </w:p>
        </w:tc>
        <w:tc>
          <w:tcPr>
            <w:shd w:val="clear" w:color="auto" w:fill="auto"/>
            <w:tcBorders>
              <w:top w:val="single" w:color="auto" w:sz="4" w:space="0"/>
              <w:left w:val="none" w:color="000000" w:sz="4" w:space="0"/>
              <w:bottom w:val="single" w:color="000000" w:sz="8"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沛公园</w:t>
            </w:r>
            <w:r/>
          </w:p>
        </w:tc>
        <w:tc>
          <w:tcPr>
            <w:shd w:val="clear" w:color="auto" w:fill="auto"/>
            <w:tcBorders>
              <w:top w:val="single" w:color="auto" w:sz="4" w:space="0"/>
              <w:left w:val="none" w:color="000000" w:sz="4" w:space="0"/>
              <w:bottom w:val="single" w:color="000000" w:sz="8" w:space="0"/>
              <w:right w:val="single" w:color="000000" w:sz="8" w:space="0"/>
            </w:tcBorders>
            <w:tcW w:w="178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一级</w:t>
            </w:r>
            <w:r/>
          </w:p>
        </w:tc>
        <w:tc>
          <w:tcPr>
            <w:shd w:val="clear" w:color="auto" w:fill="auto"/>
            <w:tcBorders>
              <w:top w:val="single" w:color="auto" w:sz="4" w:space="0"/>
              <w:left w:val="none" w:color="000000" w:sz="4" w:space="0"/>
              <w:bottom w:val="single" w:color="000000" w:sz="8" w:space="0"/>
              <w:right w:val="single" w:color="000000" w:sz="8" w:space="0"/>
            </w:tcBorders>
            <w:tcW w:w="19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7800</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1125" w:type="dxa"/>
            <w:vAlign w:val="top"/>
            <w:vMerge w:val="restart"/>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none" w:color="000000" w:sz="4"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曹山园区</w:t>
            </w:r>
            <w:r/>
          </w:p>
        </w:tc>
        <w:tc>
          <w:tcPr>
            <w:shd w:val="clear" w:color="auto" w:fill="auto"/>
            <w:tcBorders>
              <w:top w:val="none" w:color="000000" w:sz="4" w:space="0"/>
              <w:left w:val="none" w:color="000000" w:sz="4" w:space="0"/>
              <w:bottom w:val="single" w:color="000000" w:sz="8" w:space="0"/>
              <w:right w:val="single" w:color="000000" w:sz="8" w:space="0"/>
            </w:tcBorders>
            <w:tcW w:w="1789" w:type="dxa"/>
            <w:vAlign w:val="top"/>
            <w:vMerge w:val="restart"/>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一级</w:t>
            </w:r>
            <w:r/>
          </w:p>
        </w:tc>
        <w:tc>
          <w:tcPr>
            <w:shd w:val="clear" w:color="auto" w:fill="auto"/>
            <w:tcBorders>
              <w:top w:val="none" w:color="000000" w:sz="4" w:space="0"/>
              <w:left w:val="none" w:color="000000" w:sz="4" w:space="0"/>
              <w:bottom w:val="single" w:color="000000" w:sz="8" w:space="0"/>
              <w:right w:val="single" w:color="000000" w:sz="8" w:space="0"/>
            </w:tcBorders>
            <w:tcW w:w="1909" w:type="dxa"/>
            <w:vAlign w:val="top"/>
            <w:vMerge w:val="restart"/>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10000</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1125" w:type="dxa"/>
            <w:vAlign w:val="top"/>
            <w:vMerge w:val="continue"/>
            <w:textDirection w:val="lrTb"/>
            <w:noWrap w:val="false"/>
          </w:tcPr>
          <w:p>
            <w:pPr>
              <w:jc w:val="center"/>
              <w:rPr>
                <w:rFonts w:hint="default" w:ascii="Arial" w:hAnsi="Arial" w:eastAsia="宋体" w:cs="Arial"/>
                <w:i w:val="0"/>
                <w:iCs w:val="0"/>
                <w:color w:val="000000"/>
                <w:sz w:val="22"/>
                <w:szCs w:val="22"/>
                <w:u w:val="none"/>
              </w:rPr>
            </w:pPr>
            <w:r>
              <w:rPr>
                <w:rFonts w:hint="default" w:ascii="Arial" w:hAnsi="Arial" w:eastAsia="宋体" w:cs="Arial"/>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（一级区域）</w:t>
            </w:r>
            <w:r/>
          </w:p>
        </w:tc>
        <w:tc>
          <w:tcPr>
            <w:shd w:val="clear" w:color="auto" w:fill="auto"/>
            <w:tcBorders>
              <w:top w:val="none" w:color="000000" w:sz="4" w:space="0"/>
              <w:left w:val="none" w:color="000000" w:sz="4" w:space="0"/>
              <w:bottom w:val="single" w:color="000000" w:sz="8" w:space="0"/>
              <w:right w:val="single" w:color="000000" w:sz="8" w:space="0"/>
            </w:tcBorders>
            <w:tcW w:w="1789" w:type="dxa"/>
            <w:vAlign w:val="top"/>
            <w:vMerge w:val="continue"/>
            <w:textDirection w:val="lrTb"/>
            <w:noWrap w:val="false"/>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909" w:type="dxa"/>
            <w:vAlign w:val="top"/>
            <w:vMerge w:val="continue"/>
            <w:textDirection w:val="lrTb"/>
            <w:noWrap w:val="false"/>
          </w:tcPr>
          <w:p>
            <w:pPr>
              <w:jc w:val="center"/>
              <w:rPr>
                <w:rFonts w:hint="default" w:ascii="Arial" w:hAnsi="Arial" w:eastAsia="宋体" w:cs="Arial"/>
                <w:i w:val="0"/>
                <w:iCs w:val="0"/>
                <w:color w:val="000000"/>
                <w:sz w:val="22"/>
                <w:szCs w:val="22"/>
                <w:u w:val="none"/>
              </w:rPr>
            </w:pPr>
            <w:r>
              <w:rPr>
                <w:rFonts w:hint="default" w:ascii="Arial" w:hAnsi="Arial" w:eastAsia="宋体" w:cs="Arial"/>
                <w:i w:val="0"/>
                <w:iCs w:val="0"/>
                <w:color w:val="000000"/>
                <w:sz w:val="22"/>
                <w:szCs w:val="22"/>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25" w:type="dxa"/>
            <w:vAlign w:val="top"/>
            <w:vMerge w:val="restart"/>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曹山园区</w:t>
            </w:r>
            <w:r/>
          </w:p>
        </w:tc>
        <w:tc>
          <w:tcPr>
            <w:shd w:val="clear" w:color="auto" w:fill="auto"/>
            <w:tcBorders>
              <w:top w:val="none" w:color="000000" w:sz="4" w:space="0"/>
              <w:left w:val="none" w:color="000000" w:sz="4" w:space="0"/>
              <w:bottom w:val="single" w:color="000000" w:sz="8" w:space="0"/>
              <w:right w:val="single" w:color="000000" w:sz="8" w:space="0"/>
            </w:tcBorders>
            <w:tcW w:w="1789" w:type="dxa"/>
            <w:vAlign w:val="top"/>
            <w:vMerge w:val="restart"/>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909" w:type="dxa"/>
            <w:vAlign w:val="top"/>
            <w:vMerge w:val="restart"/>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20000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25" w:type="dxa"/>
            <w:vAlign w:val="top"/>
            <w:vMerge w:val="continue"/>
            <w:textDirection w:val="lrTb"/>
            <w:noWrap w:val="false"/>
          </w:tcPr>
          <w:p>
            <w:pPr>
              <w:jc w:val="center"/>
              <w:rPr>
                <w:rFonts w:hint="default" w:ascii="Arial" w:hAnsi="Arial" w:eastAsia="宋体" w:cs="Arial"/>
                <w:i w:val="0"/>
                <w:iCs w:val="0"/>
                <w:color w:val="000000"/>
                <w:sz w:val="22"/>
                <w:szCs w:val="22"/>
                <w:u w:val="none"/>
              </w:rPr>
            </w:pPr>
            <w:r>
              <w:rPr>
                <w:rFonts w:hint="default" w:ascii="Arial" w:hAnsi="Arial" w:eastAsia="宋体" w:cs="Arial"/>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（二级区域）</w:t>
            </w:r>
            <w:r/>
          </w:p>
        </w:tc>
        <w:tc>
          <w:tcPr>
            <w:shd w:val="clear" w:color="auto" w:fill="auto"/>
            <w:tcBorders>
              <w:top w:val="none" w:color="000000" w:sz="4" w:space="0"/>
              <w:left w:val="none" w:color="000000" w:sz="4" w:space="0"/>
              <w:bottom w:val="single" w:color="000000" w:sz="8" w:space="0"/>
              <w:right w:val="single" w:color="000000" w:sz="8" w:space="0"/>
            </w:tcBorders>
            <w:tcW w:w="1789" w:type="dxa"/>
            <w:vAlign w:val="top"/>
            <w:vMerge w:val="continue"/>
            <w:textDirection w:val="lrTb"/>
            <w:noWrap w:val="false"/>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909" w:type="dxa"/>
            <w:vAlign w:val="top"/>
            <w:vMerge w:val="continue"/>
            <w:textDirection w:val="lrTb"/>
            <w:noWrap w:val="false"/>
          </w:tcPr>
          <w:p>
            <w:pPr>
              <w:jc w:val="center"/>
              <w:rPr>
                <w:rFonts w:hint="default" w:ascii="Arial" w:hAnsi="Arial" w:eastAsia="宋体" w:cs="Arial"/>
                <w:i w:val="0"/>
                <w:iCs w:val="0"/>
                <w:color w:val="000000"/>
                <w:sz w:val="22"/>
                <w:szCs w:val="22"/>
                <w:u w:val="none"/>
              </w:rPr>
            </w:pPr>
            <w:r>
              <w:rPr>
                <w:rFonts w:hint="default" w:ascii="Arial" w:hAnsi="Arial" w:eastAsia="宋体" w:cs="Arial"/>
                <w:i w:val="0"/>
                <w:iCs w:val="0"/>
                <w:color w:val="000000"/>
                <w:sz w:val="22"/>
                <w:szCs w:val="22"/>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2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曹山高速道口节点绿化</w:t>
            </w:r>
            <w:r/>
          </w:p>
        </w:tc>
        <w:tc>
          <w:tcPr>
            <w:shd w:val="clear" w:color="auto" w:fill="auto"/>
            <w:tcBorders>
              <w:top w:val="none" w:color="000000" w:sz="4" w:space="0"/>
              <w:left w:val="none" w:color="000000" w:sz="4" w:space="0"/>
              <w:bottom w:val="single" w:color="000000" w:sz="8" w:space="0"/>
              <w:right w:val="single" w:color="000000" w:sz="8" w:space="0"/>
            </w:tcBorders>
            <w:tcW w:w="178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9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2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老明路往上沛方向（二级区域）</w:t>
            </w:r>
            <w:r/>
          </w:p>
        </w:tc>
        <w:tc>
          <w:tcPr>
            <w:shd w:val="clear" w:color="auto" w:fill="auto"/>
            <w:tcBorders>
              <w:top w:val="none" w:color="000000" w:sz="4" w:space="0"/>
              <w:left w:val="none" w:color="000000" w:sz="4" w:space="0"/>
              <w:bottom w:val="single" w:color="000000" w:sz="8" w:space="0"/>
              <w:right w:val="single" w:color="000000" w:sz="8" w:space="0"/>
            </w:tcBorders>
            <w:tcW w:w="178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9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2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老明路往上沛方向（人工湖边地块）</w:t>
            </w:r>
            <w:r/>
          </w:p>
        </w:tc>
        <w:tc>
          <w:tcPr>
            <w:shd w:val="clear" w:color="auto" w:fill="auto"/>
            <w:tcBorders>
              <w:top w:val="none" w:color="000000" w:sz="4" w:space="0"/>
              <w:left w:val="none" w:color="000000" w:sz="4" w:space="0"/>
              <w:bottom w:val="single" w:color="000000" w:sz="8" w:space="0"/>
              <w:right w:val="single" w:color="000000" w:sz="8" w:space="0"/>
            </w:tcBorders>
            <w:tcW w:w="178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9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20000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25"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汤桥小游园</w:t>
            </w:r>
            <w:r/>
          </w:p>
        </w:tc>
        <w:tc>
          <w:tcPr>
            <w:shd w:val="clear" w:color="auto" w:fill="auto"/>
            <w:tcBorders>
              <w:top w:val="none" w:color="000000" w:sz="4" w:space="0"/>
              <w:left w:val="none" w:color="000000" w:sz="4" w:space="0"/>
              <w:bottom w:val="single" w:color="000000" w:sz="8" w:space="0"/>
              <w:right w:val="single" w:color="000000" w:sz="8" w:space="0"/>
            </w:tcBorders>
            <w:tcW w:w="1789"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9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25"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4170" w:type="dxa"/>
            <w:vAlign w:val="top"/>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总计</w:t>
            </w:r>
            <w:r/>
          </w:p>
        </w:tc>
        <w:tc>
          <w:tcPr>
            <w:shd w:val="clear" w:color="auto" w:fill="auto"/>
            <w:tcBorders>
              <w:top w:val="none" w:color="000000" w:sz="4" w:space="0"/>
              <w:left w:val="none" w:color="000000" w:sz="4" w:space="0"/>
              <w:bottom w:val="single" w:color="000000" w:sz="8" w:space="0"/>
              <w:right w:val="single" w:color="000000" w:sz="8" w:space="0"/>
            </w:tcBorders>
            <w:tcW w:w="178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909" w:type="dxa"/>
            <w:vAlign w:val="top"/>
            <w:textDirection w:val="lrTb"/>
            <w:noWrap w:val="false"/>
          </w:tcPr>
          <w:p>
            <w:pPr>
              <w:jc w:val="center"/>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201100</w:t>
            </w:r>
            <w:r/>
          </w:p>
        </w:tc>
      </w:tr>
    </w:tbl>
    <w:p>
      <w:pPr>
        <w:ind w:firstLine="482"/>
        <w:jc w:val="both"/>
        <w:spacing w:line="360" w:lineRule="auto"/>
        <w:rPr>
          <w:rFonts w:hint="eastAsia" w:ascii="宋体" w:hAnsi="宋体" w:eastAsia="宋体" w:cs="宋体"/>
          <w:b/>
          <w:bCs/>
          <w:sz w:val="24"/>
          <w:highlight w:val="none"/>
          <w:lang w:val="en-US" w:eastAsia="zh-CN"/>
        </w:rPr>
        <w:outlineLvl w:val="0"/>
      </w:pPr>
      <w:r>
        <w:rPr>
          <w:rFonts w:hint="eastAsia" w:ascii="宋体" w:hAnsi="宋体" w:eastAsia="宋体" w:cs="宋体"/>
          <w:b/>
          <w:bCs/>
          <w:sz w:val="24"/>
          <w:highlight w:val="none"/>
          <w:lang w:val="en-US" w:eastAsia="zh-CN"/>
        </w:rPr>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r/>
    </w:p>
    <w:p>
      <w:pPr>
        <w:jc w:val="both"/>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outlineLvl w:val="0"/>
      </w:pPr>
      <w:r>
        <w:rPr>
          <w:b/>
          <w:sz w:val="36"/>
          <w:szCs w:val="36"/>
        </w:rPr>
        <w:t xml:space="preserve"> 第六章   拟签订的合同文本</w:t>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rPr>
          <w:rFonts w:hint="eastAsia" w:cs="Times New Roman"/>
          <w:b/>
          <w:sz w:val="36"/>
          <w:szCs w:val="36"/>
          <w:lang w:eastAsia="zh-CN"/>
        </w:rPr>
      </w:pPr>
      <w:r>
        <w:rPr>
          <w:rFonts w:hint="eastAsia" w:cs="Times New Roman"/>
          <w:b/>
          <w:sz w:val="36"/>
          <w:szCs w:val="36"/>
          <w:lang w:eastAsia="zh-CN"/>
        </w:rPr>
      </w:r>
      <w:r/>
    </w:p>
    <w:p>
      <w:pPr>
        <w:pStyle w:val="900"/>
        <w:ind w:left="0" w:firstLine="0"/>
        <w:rPr>
          <w:rFonts w:hint="eastAsia" w:cs="Times New Roman"/>
          <w:b/>
          <w:sz w:val="36"/>
          <w:szCs w:val="36"/>
          <w:lang w:eastAsia="zh-CN"/>
        </w:rPr>
      </w:pPr>
      <w:r>
        <w:rPr>
          <w:rFonts w:hint="eastAsia" w:cs="Times New Roman"/>
          <w:b/>
          <w:sz w:val="36"/>
          <w:szCs w:val="36"/>
          <w:lang w:eastAsia="zh-CN"/>
        </w:rPr>
        <w:t xml:space="preserve">合同编号：C-2026-0180</w:t>
      </w:r>
      <w:r/>
    </w:p>
    <w:p>
      <w:pPr>
        <w:pStyle w:val="900"/>
        <w:ind w:left="0" w:firstLine="0"/>
        <w:jc w:val="center"/>
        <w:spacing w:line="360" w:lineRule="auto"/>
        <w:rPr>
          <w:rFonts w:hint="eastAsia" w:cs="Times New Roman"/>
          <w:b/>
          <w:sz w:val="36"/>
          <w:szCs w:val="36"/>
          <w:lang w:eastAsia="zh-CN"/>
        </w:rPr>
      </w:pPr>
      <w:r>
        <w:rPr>
          <w:rFonts w:hint="eastAsia" w:cs="Times New Roman"/>
          <w:b/>
          <w:sz w:val="36"/>
          <w:szCs w:val="36"/>
          <w:lang w:eastAsia="zh-CN"/>
        </w:rPr>
        <w:t xml:space="preserve">项目名称：溧阳经济开发区（上兴镇）2026年度绿化养护服务项目</w:t>
      </w:r>
      <w:r/>
    </w:p>
    <w:p>
      <w:pPr>
        <w:pStyle w:val="900"/>
        <w:ind w:left="0" w:firstLine="0"/>
        <w:spacing w:line="360" w:lineRule="auto"/>
        <w:rPr>
          <w:rFonts w:hint="eastAsia" w:cs="Times New Roman"/>
          <w:b/>
          <w:sz w:val="36"/>
          <w:szCs w:val="36"/>
          <w:lang w:eastAsia="zh-CN"/>
        </w:rPr>
      </w:pPr>
      <w:r>
        <w:rPr>
          <w:rFonts w:hint="eastAsia" w:cs="Times New Roman"/>
          <w:b/>
          <w:sz w:val="36"/>
          <w:szCs w:val="36"/>
          <w:lang w:eastAsia="zh-CN"/>
        </w:rPr>
        <w:t xml:space="preserve">项目编号：</w:t>
      </w:r>
      <w:r/>
    </w:p>
    <w:p>
      <w:pPr>
        <w:spacing w:line="360" w:lineRule="auto"/>
        <w:rPr>
          <w:rFonts w:hint="eastAsia" w:ascii="Times New Roman" w:hAnsi="Times New Roman" w:eastAsia="宋体" w:cs="Times New Roman"/>
          <w:b/>
          <w:sz w:val="36"/>
          <w:szCs w:val="36"/>
          <w:lang w:val="en-US" w:eastAsia="zh-CN" w:bidi="ar-SA"/>
        </w:rPr>
      </w:pPr>
      <w:r>
        <w:rPr>
          <w:rFonts w:hint="eastAsia" w:ascii="Times New Roman" w:hAnsi="Times New Roman" w:eastAsia="宋体" w:cs="Times New Roman"/>
          <w:b/>
          <w:sz w:val="36"/>
          <w:szCs w:val="36"/>
          <w:lang w:val="en-US" w:eastAsia="zh-CN" w:bidi="ar-SA"/>
        </w:rPr>
        <w:t xml:space="preserve">签约地点：</w:t>
      </w:r>
      <w:r/>
    </w:p>
    <w:p>
      <w:pPr>
        <w:pStyle w:val="900"/>
        <w:ind w:left="0" w:firstLine="0"/>
        <w:spacing w:line="360" w:lineRule="auto"/>
        <w:rPr>
          <w:rFonts w:hint="eastAsia" w:ascii="Times New Roman" w:hAnsi="Times New Roman" w:eastAsia="宋体" w:cs="Times New Roman"/>
          <w:b/>
          <w:sz w:val="36"/>
          <w:szCs w:val="36"/>
          <w:lang w:val="en-US" w:eastAsia="zh-CN" w:bidi="ar-SA"/>
        </w:rPr>
      </w:pPr>
      <w:r>
        <w:rPr>
          <w:rFonts w:hint="eastAsia" w:ascii="Times New Roman" w:hAnsi="Times New Roman" w:eastAsia="宋体" w:cs="Times New Roman"/>
          <w:b/>
          <w:sz w:val="36"/>
          <w:szCs w:val="36"/>
          <w:lang w:val="en-US" w:eastAsia="zh-CN" w:bidi="ar-SA"/>
        </w:rPr>
        <w:t xml:space="preserve">签约时间：  年   月   日</w:t>
      </w:r>
      <w:r/>
    </w:p>
    <w:p>
      <w:pPr>
        <w:jc w:val="center"/>
        <w:spacing w:line="500" w:lineRule="exact"/>
        <w:rPr>
          <w:rFonts w:hint="eastAsia" w:ascii="宋体" w:hAnsi="宋体" w:cs="宋体"/>
          <w:sz w:val="24"/>
        </w:rPr>
      </w:pPr>
      <w:r>
        <w:rPr>
          <w:rFonts w:hint="eastAsia" w:ascii="宋体" w:hAnsi="宋体" w:cs="宋体"/>
          <w:sz w:val="24"/>
        </w:rPr>
      </w:r>
      <w:r/>
    </w:p>
    <w:p>
      <w:pPr>
        <w:jc w:val="center"/>
        <w:spacing w:line="500" w:lineRule="exact"/>
        <w:rPr>
          <w:rFonts w:hint="eastAsia" w:ascii="宋体" w:hAnsi="宋体" w:cs="宋体"/>
          <w:sz w:val="24"/>
        </w:rPr>
      </w:pPr>
      <w:r>
        <w:rPr>
          <w:rFonts w:hint="eastAsia" w:ascii="宋体" w:hAnsi="宋体" w:cs="宋体"/>
          <w:sz w:val="24"/>
        </w:rPr>
      </w:r>
      <w:r/>
    </w:p>
    <w:p>
      <w:pPr>
        <w:jc w:val="center"/>
        <w:spacing w:line="500" w:lineRule="exact"/>
        <w:rPr>
          <w:rFonts w:hint="eastAsia" w:ascii="宋体" w:hAnsi="宋体" w:cs="宋体"/>
          <w:sz w:val="24"/>
        </w:rPr>
      </w:pPr>
      <w:r>
        <w:rPr>
          <w:rFonts w:hint="eastAsia" w:ascii="宋体" w:hAnsi="宋体" w:cs="宋体"/>
          <w:sz w:val="24"/>
        </w:rPr>
      </w:r>
      <w:r/>
    </w:p>
    <w:p>
      <w:pPr>
        <w:jc w:val="center"/>
        <w:spacing w:line="500" w:lineRule="exact"/>
        <w:rPr>
          <w:rFonts w:ascii="宋体" w:hAnsi="宋体" w:cs="宋体"/>
          <w:sz w:val="24"/>
        </w:rPr>
      </w:pPr>
      <w:r>
        <w:rPr>
          <w:rFonts w:hint="eastAsia" w:ascii="宋体" w:hAnsi="宋体" w:cs="宋体"/>
          <w:sz w:val="24"/>
        </w:rPr>
        <w:t xml:space="preserve">           </w:t>
      </w:r>
      <w:r/>
    </w:p>
    <w:tbl>
      <w:tblPr>
        <w:tblStyle w:val="89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71"/>
        <w:gridCol w:w="4409"/>
      </w:tblGrid>
      <w:tr>
        <w:trPr/>
        <w:tc>
          <w:tcPr>
            <w:tcW w:w="4771" w:type="dxa"/>
            <w:vAlign w:val="top"/>
            <w:textDirection w:val="lrTb"/>
            <w:noWrap w:val="false"/>
          </w:tcPr>
          <w:p>
            <w:pPr>
              <w:jc w:val="left"/>
              <w:spacing w:line="500" w:lineRule="exact"/>
              <w:rPr>
                <w:rFonts w:ascii="宋体" w:hAnsi="宋体" w:cs="宋体"/>
                <w:sz w:val="24"/>
              </w:rPr>
            </w:pPr>
            <w:r>
              <w:rPr>
                <w:rFonts w:hint="eastAsia" w:ascii="宋体" w:hAnsi="宋体" w:cs="宋体"/>
                <w:sz w:val="24"/>
              </w:rPr>
              <w:t xml:space="preserve">采购人：（甲方）</w:t>
            </w:r>
            <w:r/>
          </w:p>
        </w:tc>
        <w:tc>
          <w:tcPr>
            <w:tcW w:w="4409" w:type="dxa"/>
            <w:vAlign w:val="top"/>
            <w:textDirection w:val="lrTb"/>
            <w:noWrap w:val="false"/>
          </w:tcPr>
          <w:p>
            <w:pPr>
              <w:spacing w:line="500" w:lineRule="exact"/>
              <w:rPr>
                <w:rFonts w:ascii="宋体" w:hAnsi="宋体" w:cs="宋体"/>
                <w:sz w:val="24"/>
              </w:rPr>
            </w:pPr>
            <w:r>
              <w:rPr>
                <w:rFonts w:hint="eastAsia" w:ascii="宋体" w:hAnsi="宋体" w:cs="宋体"/>
                <w:sz w:val="24"/>
              </w:rPr>
              <w:t xml:space="preserve">中标供应商：（乙方）</w:t>
            </w:r>
            <w:r/>
          </w:p>
        </w:tc>
      </w:tr>
    </w:tbl>
    <w:p>
      <w:pPr>
        <w:ind w:firstLine="480"/>
        <w:spacing w:line="500" w:lineRule="exact"/>
        <w:rPr>
          <w:rFonts w:ascii="宋体" w:hAnsi="宋体" w:cs="宋体"/>
          <w:sz w:val="24"/>
        </w:rPr>
      </w:pPr>
      <w:r>
        <w:rPr>
          <w:rFonts w:hint="eastAsia" w:ascii="宋体" w:hAnsi="宋体" w:cs="宋体"/>
          <w:sz w:val="24"/>
        </w:rPr>
        <w:t xml:space="preserve">根据《中华人民共和国政府采购法》、《中华人民共和国民法典》等法律法规的规定，甲乙双方按照本项目的招标结果签订本合同。</w:t>
      </w:r>
      <w:r/>
    </w:p>
    <w:p>
      <w:pPr>
        <w:ind w:firstLine="480"/>
        <w:spacing w:line="500" w:lineRule="exact"/>
        <w:rPr>
          <w:rFonts w:ascii="宋体" w:hAnsi="宋体" w:cs="宋体"/>
          <w:sz w:val="24"/>
        </w:rPr>
      </w:pPr>
      <w:r>
        <w:rPr>
          <w:rFonts w:hint="eastAsia" w:ascii="宋体" w:hAnsi="宋体" w:cs="宋体"/>
          <w:sz w:val="24"/>
        </w:rPr>
        <w:t xml:space="preserve">一、项目概况及合同金额</w:t>
      </w:r>
      <w:r/>
    </w:p>
    <w:p>
      <w:pPr>
        <w:ind w:firstLine="480"/>
        <w:spacing w:line="500" w:lineRule="exact"/>
        <w:rPr>
          <w:rFonts w:ascii="宋体" w:hAnsi="宋体" w:cs="宋体"/>
          <w:sz w:val="24"/>
        </w:rPr>
      </w:pPr>
      <w:r>
        <w:rPr>
          <w:rFonts w:hint="eastAsia" w:ascii="宋体" w:hAnsi="宋体" w:cs="宋体"/>
          <w:sz w:val="24"/>
        </w:rPr>
        <w:t xml:space="preserve">1. 项目编号：</w:t>
      </w:r>
      <w:r>
        <w:rPr>
          <w:rFonts w:hint="eastAsia" w:ascii="宋体" w:hAnsi="宋体" w:cs="宋体"/>
          <w:sz w:val="24"/>
          <w:u w:val="single"/>
        </w:rPr>
        <w:t xml:space="preserve">                 </w:t>
      </w:r>
      <w:r/>
    </w:p>
    <w:p>
      <w:pPr>
        <w:ind w:firstLine="480"/>
        <w:spacing w:line="500" w:lineRule="exact"/>
        <w:rPr>
          <w:rFonts w:ascii="宋体" w:hAnsi="宋体" w:cs="宋体"/>
          <w:sz w:val="24"/>
          <w:u w:val="single"/>
        </w:rPr>
      </w:pPr>
      <w:r>
        <w:rPr>
          <w:rFonts w:hint="eastAsia" w:ascii="宋体" w:hAnsi="宋体" w:cs="宋体"/>
          <w:sz w:val="24"/>
        </w:rPr>
        <w:t xml:space="preserve">2. 项目名称：</w:t>
      </w:r>
      <w:r>
        <w:rPr>
          <w:rFonts w:hint="eastAsia" w:ascii="宋体" w:hAnsi="宋体" w:cs="宋体"/>
          <w:sz w:val="24"/>
          <w:u w:val="single"/>
        </w:rPr>
        <w:t xml:space="preserve">                 </w:t>
      </w:r>
      <w:r/>
    </w:p>
    <w:p>
      <w:pPr>
        <w:ind w:firstLine="480"/>
        <w:spacing w:line="500" w:lineRule="exact"/>
        <w:rPr>
          <w:rFonts w:ascii="宋体" w:hAnsi="宋体" w:cs="宋体"/>
          <w:sz w:val="24"/>
        </w:rPr>
      </w:pPr>
      <w:r>
        <w:rPr>
          <w:rFonts w:hint="eastAsia" w:ascii="宋体" w:hAnsi="宋体" w:cs="宋体"/>
          <w:sz w:val="24"/>
        </w:rPr>
        <w:t xml:space="preserve">3. 养护范围及内容：</w:t>
      </w:r>
      <w:r>
        <w:rPr>
          <w:rFonts w:hint="eastAsia" w:ascii="宋体" w:hAnsi="宋体" w:cs="宋体"/>
          <w:sz w:val="24"/>
          <w:u w:val="single"/>
        </w:rPr>
        <w:t xml:space="preserve">                  </w:t>
      </w:r>
      <w:r/>
    </w:p>
    <w:p>
      <w:pPr>
        <w:ind w:firstLine="480"/>
        <w:spacing w:line="500" w:lineRule="exact"/>
        <w:rPr>
          <w:rFonts w:ascii="宋体" w:hAnsi="宋体" w:cs="宋体"/>
          <w:sz w:val="24"/>
        </w:rPr>
      </w:pPr>
      <w:r>
        <w:rPr>
          <w:rFonts w:hint="eastAsia" w:ascii="宋体" w:hAnsi="宋体" w:cs="宋体"/>
          <w:sz w:val="24"/>
        </w:rPr>
        <w:t xml:space="preserve">4. 合同金额：</w:t>
      </w:r>
      <w:r>
        <w:rPr>
          <w:rFonts w:hint="eastAsia" w:ascii="宋体" w:hAnsi="宋体" w:cs="宋体"/>
          <w:sz w:val="24"/>
          <w:lang w:eastAsia="zh-CN"/>
        </w:rPr>
        <w:t xml:space="preserve">当年度合同金额为</w:t>
      </w:r>
      <w:r>
        <w:rPr>
          <w:rFonts w:hint="eastAsia" w:ascii="宋体" w:hAnsi="宋体" w:cs="宋体"/>
          <w:sz w:val="24"/>
          <w:u w:val="single"/>
          <w:lang w:val="en-US" w:eastAsia="zh-CN"/>
        </w:rPr>
        <w:t xml:space="preserve">          </w:t>
      </w:r>
      <w:r>
        <w:rPr>
          <w:rFonts w:hint="eastAsia" w:ascii="宋体" w:hAnsi="宋体" w:cs="宋体"/>
          <w:sz w:val="24"/>
        </w:rPr>
        <w:t xml:space="preserve">元/年(大写：</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 xml:space="preserve">)</w:t>
      </w:r>
      <w:r/>
    </w:p>
    <w:p>
      <w:pPr>
        <w:ind w:firstLine="720"/>
        <w:spacing w:line="500" w:lineRule="exact"/>
        <w:rPr>
          <w:rFonts w:hint="eastAsia" w:ascii="宋体" w:hAnsi="宋体" w:cs="宋体"/>
          <w:sz w:val="24"/>
          <w:lang w:val="en-US" w:eastAsia="zh-CN"/>
        </w:rPr>
      </w:pPr>
      <w:r>
        <w:rPr>
          <w:rFonts w:hint="eastAsia" w:ascii="宋体" w:hAnsi="宋体" w:cs="宋体"/>
          <w:sz w:val="24"/>
          <w:lang w:val="en-US" w:eastAsia="zh-CN"/>
        </w:rPr>
        <w:t xml:space="preserve">两年合同总价：</w:t>
      </w:r>
      <w:r>
        <w:rPr>
          <w:rFonts w:hint="eastAsia" w:ascii="宋体" w:hAnsi="宋体" w:cs="宋体"/>
          <w:sz w:val="24"/>
        </w:rPr>
        <w:t xml:space="preserve">人民币</w:t>
      </w:r>
      <w:r>
        <w:rPr>
          <w:rFonts w:hint="eastAsia" w:ascii="宋体" w:hAnsi="宋体" w:cs="宋体"/>
          <w:sz w:val="24"/>
          <w:u w:val="single"/>
          <w:lang w:val="en-US" w:eastAsia="zh-CN"/>
        </w:rPr>
        <w:t xml:space="preserve">       </w:t>
      </w:r>
      <w:r>
        <w:rPr>
          <w:rFonts w:hint="eastAsia" w:ascii="宋体" w:hAnsi="宋体" w:cs="宋体"/>
          <w:sz w:val="24"/>
        </w:rPr>
        <w:t xml:space="preserve">元(大写：</w:t>
      </w:r>
      <w:r>
        <w:rPr>
          <w:rFonts w:hint="eastAsia" w:ascii="宋体" w:hAnsi="宋体" w:cs="宋体"/>
          <w:sz w:val="24"/>
          <w:u w:val="single"/>
          <w:lang w:val="en-US" w:eastAsia="zh-CN"/>
        </w:rPr>
        <w:t xml:space="preserve">           </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lang w:val="en-US" w:eastAsia="zh-CN"/>
        </w:rPr>
        <w:t xml:space="preserve">经考核合格后方可续签下一年合同。</w:t>
      </w:r>
      <w:r/>
    </w:p>
    <w:p>
      <w:pPr>
        <w:ind w:firstLine="480"/>
        <w:spacing w:line="500" w:lineRule="exact"/>
        <w:rPr>
          <w:rFonts w:ascii="宋体" w:hAnsi="宋体" w:cs="宋体"/>
          <w:sz w:val="24"/>
        </w:rPr>
      </w:pPr>
      <w:r>
        <w:rPr>
          <w:rFonts w:hint="eastAsia" w:ascii="宋体" w:hAnsi="宋体" w:cs="宋体"/>
          <w:sz w:val="24"/>
        </w:rPr>
        <w:t xml:space="preserve">合同金额应为完成本标段年度服务所需的全部费用。包括但不限于：人工费、管理费、培训费、机具费</w:t>
      </w:r>
      <w:r>
        <w:rPr>
          <w:rFonts w:hint="eastAsia" w:ascii="宋体" w:hAnsi="宋体" w:cs="宋体"/>
          <w:sz w:val="24"/>
          <w:lang w:eastAsia="zh-CN"/>
        </w:rPr>
        <w:t xml:space="preserve">、</w:t>
      </w:r>
      <w:r>
        <w:rPr>
          <w:rFonts w:hint="eastAsia" w:ascii="宋体" w:hAnsi="宋体" w:cs="宋体"/>
          <w:sz w:val="24"/>
        </w:rPr>
        <w:t xml:space="preserve">五金、保险、福利、利润、各种税费、不可预见费</w:t>
      </w:r>
      <w:r>
        <w:rPr>
          <w:rFonts w:hint="eastAsia" w:ascii="宋体" w:hAnsi="宋体" w:cs="宋体"/>
          <w:color w:val="auto"/>
          <w:sz w:val="24"/>
          <w:lang w:eastAsia="zh-CN"/>
        </w:rPr>
        <w:t xml:space="preserve">（如</w:t>
      </w:r>
      <w:r>
        <w:rPr>
          <w:rFonts w:hint="eastAsia" w:ascii="宋体" w:hAnsi="宋体" w:cs="宋体"/>
          <w:color w:val="auto"/>
          <w:sz w:val="24"/>
          <w:lang w:val="en-US" w:eastAsia="zh-CN"/>
        </w:rPr>
        <w:t xml:space="preserve">自然灾害应急处置、突发性病虫害爆发处置、应急安全处置等</w:t>
      </w:r>
      <w:r>
        <w:rPr>
          <w:rFonts w:hint="eastAsia" w:ascii="宋体" w:hAnsi="宋体" w:cs="宋体"/>
          <w:color w:val="auto"/>
          <w:sz w:val="24"/>
          <w:lang w:eastAsia="zh-CN"/>
        </w:rPr>
        <w:t xml:space="preserve">）</w:t>
      </w:r>
      <w:r>
        <w:rPr>
          <w:rFonts w:hint="eastAsia" w:ascii="宋体" w:hAnsi="宋体" w:cs="宋体"/>
          <w:sz w:val="24"/>
          <w:lang w:eastAsia="zh-CN"/>
        </w:rPr>
        <w:t xml:space="preserve">及</w:t>
      </w:r>
      <w:r>
        <w:rPr>
          <w:rFonts w:hint="eastAsia" w:ascii="宋体" w:hAnsi="宋体" w:cs="宋体"/>
          <w:b w:val="0"/>
          <w:bCs/>
          <w:sz w:val="24"/>
          <w:szCs w:val="24"/>
          <w:highlight w:val="none"/>
          <w:lang w:val="en-US" w:eastAsia="zh-CN"/>
        </w:rPr>
        <w:t xml:space="preserve">各标段对应其养护标准的零星维修</w:t>
      </w:r>
      <w:r>
        <w:rPr>
          <w:rFonts w:hint="eastAsia" w:ascii="宋体" w:hAnsi="宋体" w:cs="宋体"/>
          <w:sz w:val="24"/>
        </w:rPr>
        <w:t xml:space="preserve">等一切费用</w:t>
      </w:r>
      <w:r>
        <w:rPr>
          <w:rFonts w:hint="eastAsia" w:ascii="宋体" w:hAnsi="宋体" w:cs="宋体"/>
          <w:sz w:val="24"/>
          <w:lang w:eastAsia="zh-CN"/>
        </w:rPr>
        <w:t xml:space="preserve">，甲方不再承担任何费用</w:t>
      </w:r>
      <w:r>
        <w:rPr>
          <w:rFonts w:hint="eastAsia" w:ascii="宋体" w:hAnsi="宋体" w:cs="宋体"/>
          <w:sz w:val="24"/>
        </w:rPr>
        <w:t xml:space="preserve">。</w:t>
      </w:r>
      <w:r/>
    </w:p>
    <w:p>
      <w:pPr>
        <w:ind w:firstLine="480"/>
        <w:spacing w:line="500" w:lineRule="exact"/>
        <w:rPr>
          <w:rFonts w:hint="eastAsia" w:ascii="宋体" w:hAnsi="宋体" w:eastAsia="宋体" w:cs="宋体"/>
          <w:sz w:val="24"/>
          <w:lang w:eastAsia="zh-CN"/>
        </w:rPr>
      </w:pPr>
      <w:r>
        <w:rPr>
          <w:rFonts w:hint="eastAsia" w:ascii="宋体" w:hAnsi="宋体" w:cs="宋体"/>
          <w:sz w:val="24"/>
        </w:rPr>
        <w:t xml:space="preserve">二、</w:t>
      </w:r>
      <w:r>
        <w:rPr>
          <w:rFonts w:hint="eastAsia" w:ascii="宋体" w:hAnsi="宋体" w:cs="宋体"/>
          <w:sz w:val="24"/>
          <w:lang w:eastAsia="zh-CN"/>
        </w:rPr>
        <w:t xml:space="preserve">合同履行期限</w:t>
      </w:r>
      <w:r/>
    </w:p>
    <w:p>
      <w:pPr>
        <w:ind w:firstLine="480"/>
        <w:spacing w:line="500" w:lineRule="exact"/>
        <w:rPr>
          <w:rFonts w:ascii="宋体" w:hAnsi="宋体" w:cs="宋体"/>
          <w:sz w:val="24"/>
        </w:rPr>
      </w:pPr>
      <w:r>
        <w:rPr>
          <w:rFonts w:hint="eastAsia" w:ascii="宋体" w:hAnsi="宋体" w:cs="宋体"/>
          <w:sz w:val="24"/>
          <w:lang w:eastAsia="zh-CN"/>
        </w:rPr>
        <w:t xml:space="preserve">合同履行期限</w:t>
      </w:r>
      <w:r>
        <w:rPr>
          <w:rFonts w:hint="eastAsia" w:ascii="宋体" w:hAnsi="宋体" w:cs="宋体"/>
          <w:sz w:val="24"/>
        </w:rPr>
        <w:t xml:space="preserve">：</w:t>
      </w:r>
      <w:r>
        <w:rPr>
          <w:rFonts w:hint="eastAsia" w:ascii="宋体" w:hAnsi="宋体" w:cs="宋体"/>
          <w:sz w:val="24"/>
          <w:lang w:eastAsia="zh-CN"/>
        </w:rPr>
        <w:t xml:space="preserve">服务期限为两年，合同一年一签，经考核合格后方可续签下一年度合同</w:t>
      </w:r>
      <w:r>
        <w:rPr>
          <w:rFonts w:hint="eastAsia" w:ascii="宋体" w:hAnsi="宋体"/>
          <w:sz w:val="24"/>
        </w:rPr>
        <w:t xml:space="preserve">。</w:t>
      </w:r>
      <w:r/>
    </w:p>
    <w:p>
      <w:pPr>
        <w:ind w:firstLine="480"/>
        <w:spacing w:line="500" w:lineRule="exact"/>
        <w:rPr>
          <w:rFonts w:ascii="宋体" w:hAnsi="宋体" w:cs="宋体"/>
          <w:sz w:val="24"/>
        </w:rPr>
      </w:pPr>
      <w:r>
        <w:rPr>
          <w:rFonts w:hint="eastAsia" w:ascii="宋体" w:hAnsi="宋体" w:cs="宋体"/>
          <w:sz w:val="24"/>
          <w:lang w:val="en-US" w:eastAsia="zh-CN"/>
        </w:rPr>
        <w:t xml:space="preserve">三</w:t>
      </w:r>
      <w:r>
        <w:rPr>
          <w:rFonts w:hint="eastAsia" w:ascii="宋体" w:hAnsi="宋体" w:cs="宋体"/>
          <w:sz w:val="24"/>
        </w:rPr>
        <w:t xml:space="preserve">、付款方式</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合同签订后预付</w:t>
      </w:r>
      <w:r>
        <w:rPr>
          <w:rFonts w:hint="eastAsia" w:ascii="宋体" w:hAnsi="宋体" w:cs="宋体"/>
          <w:b/>
          <w:bCs/>
          <w:sz w:val="24"/>
          <w:highlight w:val="none"/>
          <w:lang w:eastAsia="zh-CN"/>
        </w:rPr>
        <w:t xml:space="preserve">当年</w:t>
      </w:r>
      <w:r>
        <w:rPr>
          <w:rFonts w:hint="eastAsia" w:ascii="宋体" w:hAnsi="宋体" w:cs="宋体"/>
          <w:b/>
          <w:bCs/>
          <w:sz w:val="24"/>
          <w:highlight w:val="none"/>
        </w:rPr>
        <w:t xml:space="preserve">合同价款的10%作为预付款，第一个季度满后付至</w:t>
      </w:r>
      <w:r>
        <w:rPr>
          <w:rFonts w:hint="eastAsia" w:ascii="宋体" w:hAnsi="宋体" w:cs="宋体"/>
          <w:b/>
          <w:bCs/>
          <w:sz w:val="24"/>
          <w:highlight w:val="none"/>
          <w:lang w:eastAsia="zh-CN"/>
        </w:rPr>
        <w:t xml:space="preserve">当年</w:t>
      </w:r>
      <w:r>
        <w:rPr>
          <w:rFonts w:hint="eastAsia" w:ascii="宋体" w:hAnsi="宋体" w:cs="宋体"/>
          <w:b/>
          <w:bCs/>
          <w:sz w:val="24"/>
          <w:highlight w:val="none"/>
        </w:rPr>
        <w:t xml:space="preserve">合同价款（扣除相应考核扣款）的25%，第二个季度满后付至</w:t>
      </w:r>
      <w:r>
        <w:rPr>
          <w:rFonts w:hint="eastAsia" w:ascii="宋体" w:hAnsi="宋体" w:cs="宋体"/>
          <w:b/>
          <w:bCs/>
          <w:sz w:val="24"/>
          <w:highlight w:val="none"/>
          <w:lang w:eastAsia="zh-CN"/>
        </w:rPr>
        <w:t xml:space="preserve">当年</w:t>
      </w:r>
      <w:r>
        <w:rPr>
          <w:rFonts w:hint="eastAsia" w:ascii="宋体" w:hAnsi="宋体" w:cs="宋体"/>
          <w:b/>
          <w:bCs/>
          <w:sz w:val="24"/>
          <w:highlight w:val="none"/>
        </w:rPr>
        <w:t xml:space="preserve">合同价款（扣除相应考核扣款）的50%，第三个季度满后付至合</w:t>
      </w:r>
      <w:r>
        <w:rPr>
          <w:rFonts w:hint="eastAsia" w:ascii="宋体" w:hAnsi="宋体" w:cs="宋体"/>
          <w:b/>
          <w:bCs/>
          <w:sz w:val="24"/>
          <w:highlight w:val="none"/>
          <w:lang w:eastAsia="zh-CN"/>
        </w:rPr>
        <w:t xml:space="preserve">当年</w:t>
      </w:r>
      <w:r>
        <w:rPr>
          <w:rFonts w:hint="eastAsia" w:ascii="宋体" w:hAnsi="宋体" w:cs="宋体"/>
          <w:b/>
          <w:bCs/>
          <w:sz w:val="24"/>
          <w:highlight w:val="none"/>
        </w:rPr>
        <w:t xml:space="preserve">同价款（扣除相应考核扣款）的75%，第四个季度满后付至</w:t>
      </w:r>
      <w:r>
        <w:rPr>
          <w:rFonts w:hint="eastAsia" w:ascii="宋体" w:hAnsi="宋体" w:cs="宋体"/>
          <w:b/>
          <w:bCs/>
          <w:sz w:val="24"/>
          <w:highlight w:val="none"/>
          <w:lang w:eastAsia="zh-CN"/>
        </w:rPr>
        <w:t xml:space="preserve">当年</w:t>
      </w:r>
      <w:r>
        <w:rPr>
          <w:rFonts w:hint="eastAsia" w:ascii="宋体" w:hAnsi="宋体" w:cs="宋体"/>
          <w:b/>
          <w:bCs/>
          <w:sz w:val="24"/>
          <w:highlight w:val="none"/>
        </w:rPr>
        <w:t xml:space="preserve">合同价款（扣除相应考核扣款）的100%。</w:t>
      </w:r>
      <w:r/>
    </w:p>
    <w:p>
      <w:pPr>
        <w:ind w:firstLine="480"/>
        <w:spacing w:line="500" w:lineRule="exact"/>
        <w:rPr>
          <w:rFonts w:ascii="宋体" w:hAnsi="宋体" w:cs="宋体"/>
          <w:sz w:val="24"/>
        </w:rPr>
      </w:pPr>
      <w:r>
        <w:rPr>
          <w:rFonts w:hint="eastAsia" w:ascii="宋体" w:hAnsi="宋体" w:cs="宋体"/>
          <w:sz w:val="24"/>
          <w:lang w:val="en-US" w:eastAsia="zh-CN"/>
        </w:rPr>
        <w:t xml:space="preserve">四</w:t>
      </w:r>
      <w:r>
        <w:rPr>
          <w:rFonts w:hint="eastAsia" w:ascii="宋体" w:hAnsi="宋体" w:cs="宋体"/>
          <w:sz w:val="24"/>
        </w:rPr>
        <w:t xml:space="preserve">、项目负责人</w:t>
      </w:r>
      <w:r/>
    </w:p>
    <w:p>
      <w:pPr>
        <w:ind w:firstLine="480"/>
        <w:spacing w:line="360" w:lineRule="auto"/>
        <w:rPr>
          <w:rFonts w:ascii="宋体" w:hAnsi="宋体" w:cs="宋体"/>
          <w:sz w:val="24"/>
          <w:u w:val="single"/>
        </w:rPr>
      </w:pPr>
      <w:r>
        <w:rPr>
          <w:rFonts w:hint="eastAsia" w:ascii="宋体" w:hAnsi="宋体" w:cs="宋体"/>
          <w:sz w:val="24"/>
        </w:rPr>
        <w:t xml:space="preserve">项目负责人：</w:t>
      </w:r>
      <w:r>
        <w:rPr>
          <w:rFonts w:hint="eastAsia" w:ascii="宋体" w:hAnsi="宋体" w:cs="宋体"/>
          <w:sz w:val="24"/>
          <w:u w:val="single"/>
        </w:rPr>
        <w:t xml:space="preserve">        </w:t>
      </w:r>
      <w:r/>
    </w:p>
    <w:p>
      <w:pPr>
        <w:ind w:firstLine="480"/>
        <w:spacing w:line="360" w:lineRule="auto"/>
        <w:rPr>
          <w:rFonts w:hint="eastAsia" w:ascii="宋体" w:hAnsi="宋体"/>
          <w:color w:val="auto"/>
          <w:sz w:val="24"/>
          <w:highlight w:val="none"/>
        </w:rPr>
      </w:pPr>
      <w:r>
        <w:rPr>
          <w:rFonts w:hint="eastAsia" w:ascii="宋体" w:hAnsi="宋体" w:cs="宋体"/>
          <w:sz w:val="24"/>
          <w:lang w:val="en-US" w:eastAsia="zh-CN"/>
        </w:rPr>
        <w:t xml:space="preserve">五、</w:t>
      </w:r>
      <w:r>
        <w:rPr>
          <w:rFonts w:hint="eastAsia" w:ascii="宋体" w:hAnsi="宋体"/>
          <w:color w:val="auto"/>
          <w:sz w:val="24"/>
          <w:highlight w:val="none"/>
        </w:rPr>
        <w:t xml:space="preserve">甲</w:t>
      </w:r>
      <w:r>
        <w:rPr>
          <w:rFonts w:hint="eastAsia" w:ascii="宋体" w:hAnsi="宋体"/>
          <w:color w:val="auto"/>
          <w:sz w:val="24"/>
          <w:highlight w:val="none"/>
          <w:lang w:val="en-US" w:eastAsia="zh-CN"/>
        </w:rPr>
        <w:t xml:space="preserve">乙双</w:t>
      </w:r>
      <w:r>
        <w:rPr>
          <w:rFonts w:hint="eastAsia" w:ascii="宋体" w:hAnsi="宋体"/>
          <w:color w:val="auto"/>
          <w:sz w:val="24"/>
          <w:highlight w:val="none"/>
        </w:rPr>
        <w:t xml:space="preserve">方</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权利和义务</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甲方的权利和义务：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1、根据《</w:t>
      </w:r>
      <w:r>
        <w:rPr>
          <w:rFonts w:hint="eastAsia" w:ascii="宋体" w:hAnsi="宋体" w:cs="宋体"/>
          <w:sz w:val="24"/>
        </w:rPr>
        <w:t xml:space="preserve">绿地管养要求</w:t>
      </w:r>
      <w:r>
        <w:rPr>
          <w:rFonts w:hint="eastAsia" w:ascii="宋体" w:hAnsi="宋体"/>
          <w:color w:val="auto"/>
          <w:sz w:val="24"/>
          <w:highlight w:val="none"/>
        </w:rPr>
        <w:t xml:space="preserve">》、《</w:t>
      </w:r>
      <w:r>
        <w:rPr>
          <w:rFonts w:hint="eastAsia" w:ascii="宋体" w:hAnsi="宋体" w:cs="宋体"/>
          <w:sz w:val="24"/>
        </w:rPr>
        <w:t xml:space="preserve">绿地管养考核</w:t>
      </w:r>
      <w:r>
        <w:rPr>
          <w:rFonts w:hint="eastAsia" w:ascii="宋体" w:hAnsi="宋体" w:cs="宋体"/>
          <w:sz w:val="24"/>
          <w:lang w:val="en-US" w:eastAsia="zh-CN"/>
        </w:rPr>
        <w:t xml:space="preserve">办法</w:t>
      </w:r>
      <w:r>
        <w:rPr>
          <w:rFonts w:hint="eastAsia" w:ascii="宋体" w:hAnsi="宋体"/>
          <w:color w:val="auto"/>
          <w:sz w:val="24"/>
          <w:highlight w:val="none"/>
        </w:rPr>
        <w:t xml:space="preserve">》，对乙方作业服务及履行合同情况进行考核和指导。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、听取乙方提出的建议并给予答复。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、监督乙方履行承诺。</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乙方</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权利和义务</w:t>
      </w:r>
      <w:r>
        <w:rPr>
          <w:rFonts w:hint="eastAsia" w:ascii="宋体" w:hAnsi="宋体"/>
          <w:color w:val="auto"/>
          <w:sz w:val="24"/>
          <w:highlight w:val="none"/>
          <w:lang w:eastAsia="zh-CN"/>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1、根据《</w:t>
      </w:r>
      <w:r>
        <w:rPr>
          <w:rFonts w:hint="eastAsia" w:ascii="宋体" w:hAnsi="宋体" w:cs="宋体"/>
          <w:sz w:val="24"/>
        </w:rPr>
        <w:t xml:space="preserve">绿地管养要求</w:t>
      </w:r>
      <w:r>
        <w:rPr>
          <w:rFonts w:hint="eastAsia" w:ascii="宋体" w:hAnsi="宋体"/>
          <w:color w:val="auto"/>
          <w:sz w:val="24"/>
          <w:highlight w:val="none"/>
        </w:rPr>
        <w:t xml:space="preserve">》、《</w:t>
      </w:r>
      <w:r>
        <w:rPr>
          <w:rFonts w:hint="eastAsia" w:ascii="宋体" w:hAnsi="宋体" w:cs="宋体"/>
          <w:sz w:val="24"/>
        </w:rPr>
        <w:t xml:space="preserve">绿地管养考核</w:t>
      </w:r>
      <w:r>
        <w:rPr>
          <w:rFonts w:hint="eastAsia" w:ascii="宋体" w:hAnsi="宋体" w:cs="宋体"/>
          <w:sz w:val="24"/>
          <w:lang w:val="en-US" w:eastAsia="zh-CN"/>
        </w:rPr>
        <w:t xml:space="preserve">办法</w:t>
      </w:r>
      <w:r>
        <w:rPr>
          <w:rFonts w:hint="eastAsia" w:ascii="宋体" w:hAnsi="宋体"/>
          <w:color w:val="auto"/>
          <w:sz w:val="24"/>
          <w:highlight w:val="none"/>
        </w:rPr>
        <w:t xml:space="preserve">》和投标文件所作的承诺组织作业。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2、为保证作业的正常有效开展，乙方负责组成固定的专业服务队伍，按要求提交作业计划和预案，经甲方认可并备案。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3、接受甲方和相关管理部门的考核及其结果。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4、独立承担作业中的安全责任和经济赔偿。</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5、在任何情况下（如灾害天气期间或重大活动期间），乙方均应保质保量按时完成甲方或政府主管部门安排的指令性任务。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6、自觉执行国家的法律、法规，按规定签订劳动用工合同，办理各类保险，人员工资按</w:t>
      </w:r>
      <w:r>
        <w:rPr>
          <w:rFonts w:hint="eastAsia" w:ascii="宋体" w:hAnsi="宋体"/>
          <w:color w:val="auto"/>
          <w:sz w:val="24"/>
          <w:highlight w:val="none"/>
          <w:lang w:val="en-US" w:eastAsia="zh-CN"/>
        </w:rPr>
        <w:t xml:space="preserve">相关</w:t>
      </w:r>
      <w:r>
        <w:rPr>
          <w:rFonts w:hint="eastAsia" w:ascii="宋体" w:hAnsi="宋体"/>
          <w:color w:val="auto"/>
          <w:sz w:val="24"/>
          <w:highlight w:val="none"/>
        </w:rPr>
        <w:t xml:space="preserve">规定执行，独立处理劳资纠纷等工作。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7、接受甲方和社会监督，对存在的问题在指定时间内整改到位，并将整改结果报甲方。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8、准时参加甲方召开的会议。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9、向甲方提出合理化建议。</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、作业权的交付和回收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甲方应于合同签订后，于</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日向乙方交付作业权，乙方应于合同期满当日无条件向甲方交还作业权。甲乙双方应提前15天进行交接手续和准备，确保准时交接。</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1、合同一方不履行合同义务或违反履行合同义务约定的，应当承担继续履行、采取补救措施或者赔偿损失等违约责任。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2、在合同生效后，甲方无故拒绝乙方，应向乙方偿付合同总金额的5%，作为违约金，违约金不足以补偿损失的，乙方有权要求甲方补足。</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1、因不可抗力（或甲、乙双方不能控制的原因）不能履行合同的，根据不可抗力的影响，部分或者全部免除责任，但合同一方迟延履行后发生不可抗力的，不能免除其责任。</w:t>
      </w:r>
      <w:r/>
    </w:p>
    <w:p>
      <w:pPr>
        <w:ind w:firstLine="480"/>
        <w:spacing w:line="360" w:lineRule="auto"/>
        <w:rPr>
          <w:rFonts w:hint="eastAsia" w:ascii="宋体" w:hAnsi="宋体" w:cs="宋体"/>
          <w:sz w:val="24"/>
          <w:lang w:val="en-US" w:eastAsia="zh-CN"/>
        </w:rPr>
      </w:pPr>
      <w:r>
        <w:rPr>
          <w:rFonts w:hint="eastAsia" w:ascii="宋体" w:hAnsi="宋体"/>
          <w:color w:val="auto"/>
          <w:sz w:val="24"/>
          <w:highlight w:val="none"/>
        </w:rPr>
        <w:t xml:space="preserve">2、合同一方因不可抗力不能履行合同的，应当及时通知对方，以减轻可能给对方造成的损失，并应当在合理期限内提供证明。</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九、履约担保</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合同签订前，乙方须向甲方缴纳</w:t>
      </w:r>
      <w:r>
        <w:rPr>
          <w:rFonts w:hint="eastAsia" w:ascii="宋体" w:hAnsi="宋体"/>
          <w:b/>
          <w:bCs/>
          <w:color w:val="auto"/>
          <w:sz w:val="24"/>
          <w:highlight w:val="none"/>
          <w:lang w:val="en-US" w:eastAsia="zh-CN"/>
        </w:rPr>
        <w:t xml:space="preserve">年度</w:t>
      </w:r>
      <w:r>
        <w:rPr>
          <w:rFonts w:hint="eastAsia" w:ascii="宋体" w:hAnsi="宋体"/>
          <w:b/>
          <w:bCs/>
          <w:color w:val="auto"/>
          <w:sz w:val="24"/>
          <w:highlight w:val="none"/>
        </w:rPr>
        <w:t xml:space="preserve">合同价的5%作为履约担保，履约担保在作业服务期满后一次性退还（无息）。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2、乙方不履行合同的履约担保不予退还，给甲方造成的损失超过履约担保数额的，还应当对超过部分予以赔偿。但因不可抗力不能履行合同的，不适应用此款规定。</w:t>
      </w:r>
      <w:r/>
    </w:p>
    <w:p>
      <w:pPr>
        <w:pStyle w:val="900"/>
        <w:ind w:left="0" w:firstLine="480"/>
        <w:rPr>
          <w:rFonts w:hint="default" w:ascii="宋体" w:hAnsi="宋体" w:eastAsia="宋体" w:cs="宋体"/>
          <w:sz w:val="24"/>
          <w:highlight w:val="none"/>
          <w:lang w:val="en-US" w:eastAsia="zh-CN"/>
        </w:rPr>
      </w:pPr>
      <w:r>
        <w:rPr>
          <w:rFonts w:hint="eastAsia" w:ascii="宋体" w:hAnsi="宋体"/>
          <w:color w:val="auto"/>
          <w:sz w:val="24"/>
          <w:highlight w:val="none"/>
          <w:lang w:val="en-US" w:eastAsia="zh-CN"/>
        </w:rPr>
        <w:t xml:space="preserve">3、履约担保可以采用现金、转账、支票、保函、保险等形式缴纳，由乙方与甲方自行沟通确定履约担保方式。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十、合同标的追加处理</w:t>
      </w:r>
      <w:r/>
    </w:p>
    <w:p>
      <w:pPr>
        <w:ind w:firstLine="480"/>
        <w:spacing w:line="500" w:lineRule="exact"/>
        <w:rPr>
          <w:rFonts w:hint="eastAsia" w:ascii="宋体" w:hAnsi="宋体"/>
          <w:sz w:val="24"/>
        </w:rPr>
      </w:pPr>
      <w:r>
        <w:rPr>
          <w:rFonts w:hint="eastAsia" w:ascii="宋体" w:hAnsi="宋体"/>
          <w:sz w:val="24"/>
          <w:highlight w:val="none"/>
        </w:rPr>
        <w:t xml:space="preserve">如因在合同履行过程中，需追加与本合同标的相同服务的，在不改变合同其他条款的前提下，</w:t>
      </w:r>
      <w:r>
        <w:rPr>
          <w:rFonts w:hint="eastAsia" w:ascii="宋体" w:hAnsi="宋体"/>
          <w:sz w:val="24"/>
          <w:highlight w:val="none"/>
          <w:lang w:val="en-US" w:eastAsia="zh-CN"/>
        </w:rPr>
        <w:t xml:space="preserve">甲方</w:t>
      </w:r>
      <w:r>
        <w:rPr>
          <w:rFonts w:hint="eastAsia" w:ascii="宋体" w:hAnsi="宋体"/>
          <w:sz w:val="24"/>
          <w:highlight w:val="none"/>
        </w:rPr>
        <w:t xml:space="preserve">可以与</w:t>
      </w:r>
      <w:r>
        <w:rPr>
          <w:rFonts w:hint="eastAsia" w:ascii="宋体" w:hAnsi="宋体"/>
          <w:sz w:val="24"/>
          <w:highlight w:val="none"/>
          <w:lang w:val="en-US" w:eastAsia="zh-CN"/>
        </w:rPr>
        <w:t xml:space="preserve">乙方</w:t>
      </w:r>
      <w:r>
        <w:rPr>
          <w:rFonts w:hint="eastAsia" w:ascii="宋体" w:hAnsi="宋体"/>
          <w:sz w:val="24"/>
          <w:highlight w:val="none"/>
        </w:rPr>
        <w:t xml:space="preserve">协商签订补充合同，但所有补充合同的采购金额不得超过原合同采购金额的10%。</w:t>
      </w:r>
      <w:r/>
    </w:p>
    <w:p>
      <w:pPr>
        <w:ind w:firstLine="480"/>
        <w:spacing w:line="288" w:lineRule="auto"/>
        <w:rPr>
          <w:rFonts w:ascii="宋体" w:hAnsi="宋体"/>
          <w:sz w:val="24"/>
        </w:rPr>
      </w:pPr>
      <w:r>
        <w:rPr>
          <w:rFonts w:hint="eastAsia" w:ascii="宋体" w:hAnsi="宋体"/>
          <w:sz w:val="24"/>
          <w:lang w:val="en-US" w:eastAsia="zh-CN"/>
        </w:rPr>
        <w:t xml:space="preserve">十一</w:t>
      </w:r>
      <w:r>
        <w:rPr>
          <w:rFonts w:hint="eastAsia" w:ascii="宋体" w:hAnsi="宋体"/>
          <w:sz w:val="24"/>
        </w:rPr>
        <w:t xml:space="preserve">、合同生效及其它：</w:t>
      </w:r>
      <w:r/>
    </w:p>
    <w:p>
      <w:pPr>
        <w:ind w:firstLine="480"/>
        <w:spacing w:line="288" w:lineRule="auto"/>
        <w:rPr>
          <w:rFonts w:ascii="宋体" w:hAnsi="宋体"/>
          <w:sz w:val="24"/>
        </w:rPr>
      </w:pPr>
      <w:r>
        <w:rPr>
          <w:rFonts w:hint="eastAsia" w:ascii="宋体" w:hAnsi="宋体"/>
          <w:sz w:val="24"/>
        </w:rPr>
        <w:t xml:space="preserve">1、生效：本合同自双方签字盖章之日起成立，并依法生效。</w:t>
      </w:r>
      <w:r/>
    </w:p>
    <w:p>
      <w:pPr>
        <w:ind w:firstLine="480"/>
        <w:spacing w:line="288" w:lineRule="auto"/>
        <w:rPr>
          <w:rFonts w:ascii="宋体" w:hAnsi="宋体"/>
          <w:sz w:val="24"/>
        </w:rPr>
      </w:pPr>
      <w:r>
        <w:rPr>
          <w:rFonts w:hint="eastAsia" w:ascii="宋体" w:hAnsi="宋体"/>
          <w:sz w:val="24"/>
        </w:rPr>
        <w:t xml:space="preserve">2、下列文件均为本合同不可分割的部分：</w:t>
      </w:r>
      <w:r/>
    </w:p>
    <w:p>
      <w:pPr>
        <w:ind w:firstLine="480"/>
        <w:spacing w:line="288" w:lineRule="auto"/>
        <w:rPr>
          <w:rFonts w:ascii="宋体" w:hAnsi="宋体"/>
          <w:sz w:val="24"/>
        </w:rPr>
      </w:pPr>
      <w:r>
        <w:rPr>
          <w:rFonts w:hint="eastAsia" w:ascii="宋体" w:hAnsi="宋体"/>
          <w:sz w:val="24"/>
        </w:rPr>
        <w:t xml:space="preserve">1)合同书及补充协议，</w:t>
      </w:r>
      <w:r/>
    </w:p>
    <w:p>
      <w:pPr>
        <w:ind w:firstLine="480"/>
        <w:spacing w:line="288" w:lineRule="auto"/>
        <w:rPr>
          <w:rFonts w:ascii="宋体" w:hAnsi="宋体"/>
          <w:sz w:val="24"/>
        </w:rPr>
      </w:pPr>
      <w:r>
        <w:rPr>
          <w:rFonts w:hint="eastAsia" w:ascii="宋体" w:hAnsi="宋体"/>
          <w:sz w:val="24"/>
        </w:rPr>
        <w:t xml:space="preserve">2)</w:t>
      </w:r>
      <w:r>
        <w:rPr>
          <w:rFonts w:hint="eastAsia" w:ascii="宋体" w:hAnsi="宋体" w:cs="宋体"/>
          <w:sz w:val="24"/>
        </w:rPr>
        <w:t xml:space="preserve">中标通知书</w:t>
      </w:r>
      <w:r>
        <w:rPr>
          <w:rFonts w:hint="eastAsia" w:ascii="宋体" w:hAnsi="宋体"/>
          <w:sz w:val="24"/>
        </w:rPr>
        <w:t xml:space="preserve">，</w:t>
      </w:r>
      <w:r/>
    </w:p>
    <w:p>
      <w:pPr>
        <w:ind w:firstLine="480"/>
        <w:spacing w:line="288" w:lineRule="auto"/>
        <w:rPr>
          <w:rFonts w:ascii="宋体" w:hAnsi="宋体"/>
          <w:sz w:val="24"/>
        </w:rPr>
      </w:pPr>
      <w:r>
        <w:rPr>
          <w:rFonts w:hint="eastAsia" w:ascii="宋体" w:hAnsi="宋体"/>
          <w:sz w:val="24"/>
        </w:rPr>
        <w:t xml:space="preserve">3)询标纪要(如有)，</w:t>
      </w:r>
      <w:r/>
    </w:p>
    <w:p>
      <w:pPr>
        <w:ind w:firstLine="480"/>
        <w:spacing w:line="288" w:lineRule="auto"/>
        <w:rPr>
          <w:rFonts w:ascii="宋体" w:hAnsi="宋体"/>
          <w:sz w:val="24"/>
        </w:rPr>
      </w:pPr>
      <w:r>
        <w:rPr>
          <w:rFonts w:hint="eastAsia" w:ascii="宋体" w:hAnsi="宋体"/>
          <w:sz w:val="24"/>
        </w:rPr>
        <w:t xml:space="preserve">4)甲乙双方签署的文件、电传、协商纪要等文件，</w:t>
      </w:r>
      <w:r/>
    </w:p>
    <w:p>
      <w:pPr>
        <w:ind w:firstLine="480"/>
        <w:spacing w:line="288" w:lineRule="auto"/>
        <w:rPr>
          <w:rFonts w:ascii="宋体" w:hAnsi="宋体"/>
          <w:sz w:val="24"/>
        </w:rPr>
      </w:pPr>
      <w:r>
        <w:rPr>
          <w:rFonts w:hint="eastAsia" w:ascii="宋体" w:hAnsi="宋体"/>
          <w:sz w:val="24"/>
        </w:rPr>
        <w:t xml:space="preserve">5)</w:t>
      </w:r>
      <w:r>
        <w:rPr>
          <w:rFonts w:hint="eastAsia" w:ascii="宋体" w:hAnsi="宋体" w:cs="宋体"/>
          <w:sz w:val="24"/>
        </w:rPr>
        <w:t xml:space="preserve">采购文件及其补充文件</w:t>
      </w:r>
      <w:r>
        <w:rPr>
          <w:rFonts w:hint="eastAsia" w:ascii="宋体" w:hAnsi="宋体"/>
          <w:sz w:val="24"/>
        </w:rPr>
        <w:t xml:space="preserve">，</w:t>
      </w:r>
      <w:r/>
    </w:p>
    <w:p>
      <w:pPr>
        <w:ind w:firstLine="480"/>
        <w:spacing w:line="288" w:lineRule="auto"/>
      </w:pPr>
      <w:r>
        <w:rPr>
          <w:rFonts w:hint="eastAsia" w:ascii="宋体" w:hAnsi="宋体"/>
          <w:sz w:val="24"/>
        </w:rPr>
        <w:t xml:space="preserve">6)</w:t>
      </w:r>
      <w:r>
        <w:rPr>
          <w:rFonts w:hint="eastAsia" w:ascii="宋体" w:hAnsi="宋体" w:cs="宋体"/>
          <w:sz w:val="24"/>
        </w:rPr>
        <w:t xml:space="preserve">投标文件及其补充文件</w:t>
      </w:r>
      <w:r>
        <w:rPr>
          <w:rFonts w:hint="eastAsia" w:ascii="宋体" w:hAnsi="宋体"/>
          <w:sz w:val="24"/>
        </w:rPr>
        <w:t xml:space="preserve">。</w:t>
      </w:r>
      <w:r/>
    </w:p>
    <w:p>
      <w:pPr>
        <w:ind w:firstLine="480"/>
        <w:spacing w:line="288" w:lineRule="auto"/>
        <w:rPr>
          <w:rFonts w:ascii="宋体" w:hAnsi="宋体"/>
          <w:sz w:val="24"/>
        </w:rPr>
      </w:pPr>
      <w:r>
        <w:rPr>
          <w:rFonts w:hint="eastAsia" w:ascii="宋体" w:hAnsi="宋体"/>
          <w:sz w:val="24"/>
        </w:rPr>
        <w:t xml:space="preserve">十</w:t>
      </w:r>
      <w:r>
        <w:rPr>
          <w:rFonts w:hint="eastAsia" w:ascii="宋体" w:hAnsi="宋体"/>
          <w:sz w:val="24"/>
          <w:lang w:val="en-US" w:eastAsia="zh-CN"/>
        </w:rPr>
        <w:t xml:space="preserve">二</w:t>
      </w:r>
      <w:r>
        <w:rPr>
          <w:rFonts w:hint="eastAsia" w:ascii="宋体" w:hAnsi="宋体"/>
          <w:sz w:val="24"/>
        </w:rPr>
        <w:t xml:space="preserve">、</w:t>
      </w:r>
      <w:r>
        <w:rPr>
          <w:rFonts w:hint="eastAsia" w:ascii="宋体" w:hAnsi="宋体"/>
          <w:bCs/>
          <w:sz w:val="24"/>
        </w:rPr>
        <w:t xml:space="preserve">合同份数：</w:t>
      </w:r>
      <w:r>
        <w:rPr>
          <w:rFonts w:hint="eastAsia" w:ascii="宋体" w:hAnsi="宋体"/>
          <w:sz w:val="24"/>
        </w:rPr>
        <w:t xml:space="preserve">本合同一式五份，甲乙双方各执二份，送代理机构备案一份。</w:t>
      </w:r>
      <w:r/>
    </w:p>
    <w:tbl>
      <w:tblPr>
        <w:tblStyle w:val="899"/>
        <w:tblW w:w="8206"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2"/>
        <w:gridCol w:w="3884"/>
      </w:tblGrid>
      <w:tr>
        <w:trPr>
          <w:trHeight w:val="503"/>
        </w:trPr>
        <w:tc>
          <w:tcPr>
            <w:tcBorders>
              <w:top w:val="single" w:color="auto" w:sz="12"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甲方（盖章）：</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tc>
        <w:tc>
          <w:tcPr>
            <w:tcBorders>
              <w:top w:val="single" w:color="auto" w:sz="12"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乙方（盖章）：</w:t>
            </w:r>
            <w:r/>
          </w:p>
          <w:p>
            <w:pPr>
              <w:rPr>
                <w:rFonts w:ascii="宋体" w:hAnsi="宋体"/>
                <w:sz w:val="24"/>
              </w:rPr>
            </w:pPr>
            <w:r>
              <w:rPr>
                <w:rFonts w:ascii="宋体" w:hAnsi="宋体"/>
                <w:sz w:val="24"/>
              </w:rPr>
            </w:r>
            <w:r/>
          </w:p>
          <w:p>
            <w:pPr>
              <w:ind w:firstLine="200"/>
              <w:rPr>
                <w:rFonts w:ascii="宋体" w:hAnsi="宋体"/>
                <w:sz w:val="24"/>
              </w:rPr>
            </w:pPr>
            <w:r>
              <w:rPr>
                <w:rFonts w:ascii="宋体" w:hAnsi="宋体"/>
                <w:sz w:val="24"/>
              </w:rPr>
            </w:r>
            <w:r/>
          </w:p>
        </w:tc>
      </w:tr>
      <w:tr>
        <w:trPr>
          <w:trHeight w:val="503"/>
        </w:trPr>
        <w:tc>
          <w:tcPr>
            <w:tcBorders>
              <w:top w:val="single" w:color="auto" w:sz="4"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开户行：</w:t>
            </w:r>
            <w:r/>
          </w:p>
        </w:tc>
        <w:tc>
          <w:tcPr>
            <w:tcBorders>
              <w:top w:val="single" w:color="auto" w:sz="4"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开户行：              </w:t>
            </w:r>
            <w:r/>
          </w:p>
        </w:tc>
      </w:tr>
      <w:tr>
        <w:trPr>
          <w:trHeight w:val="503"/>
        </w:trPr>
        <w:tc>
          <w:tcPr>
            <w:tcBorders>
              <w:top w:val="single" w:color="auto" w:sz="4"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账号：</w:t>
            </w:r>
            <w:r/>
          </w:p>
        </w:tc>
        <w:tc>
          <w:tcPr>
            <w:tcBorders>
              <w:top w:val="single" w:color="auto" w:sz="4"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账号：</w:t>
            </w:r>
            <w:r/>
          </w:p>
        </w:tc>
      </w:tr>
      <w:tr>
        <w:trPr>
          <w:trHeight w:val="503"/>
        </w:trPr>
        <w:tc>
          <w:tcPr>
            <w:tcBorders>
              <w:top w:val="single" w:color="auto" w:sz="4"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税号：</w:t>
            </w:r>
            <w:r/>
          </w:p>
        </w:tc>
        <w:tc>
          <w:tcPr>
            <w:tcBorders>
              <w:top w:val="single" w:color="auto" w:sz="4"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税号：</w:t>
            </w:r>
            <w:r/>
          </w:p>
        </w:tc>
      </w:tr>
      <w:tr>
        <w:trPr>
          <w:trHeight w:val="503"/>
        </w:trPr>
        <w:tc>
          <w:tcPr>
            <w:tcBorders>
              <w:top w:val="single" w:color="auto" w:sz="4"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法定代表人(签字)：</w:t>
            </w:r>
            <w:r/>
          </w:p>
        </w:tc>
        <w:tc>
          <w:tcPr>
            <w:tcBorders>
              <w:top w:val="single" w:color="auto" w:sz="4"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法定代表人(签字)：</w:t>
            </w:r>
            <w:r/>
          </w:p>
        </w:tc>
      </w:tr>
      <w:tr>
        <w:trPr>
          <w:trHeight w:val="503"/>
        </w:trPr>
        <w:tc>
          <w:tcPr>
            <w:tcBorders>
              <w:top w:val="single" w:color="auto" w:sz="4"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委托代理人(签字)：</w:t>
            </w:r>
            <w:r/>
          </w:p>
        </w:tc>
        <w:tc>
          <w:tcPr>
            <w:tcBorders>
              <w:top w:val="single" w:color="auto" w:sz="4"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委托代理人(签字)：</w:t>
            </w:r>
            <w:r/>
          </w:p>
        </w:tc>
      </w:tr>
      <w:tr>
        <w:trPr>
          <w:trHeight w:val="503"/>
        </w:trPr>
        <w:tc>
          <w:tcPr>
            <w:tcBorders>
              <w:top w:val="single" w:color="auto" w:sz="4"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电话：</w:t>
            </w:r>
            <w:r/>
          </w:p>
        </w:tc>
        <w:tc>
          <w:tcPr>
            <w:tcBorders>
              <w:top w:val="single" w:color="auto" w:sz="4"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电话：</w:t>
            </w:r>
            <w:r/>
          </w:p>
        </w:tc>
      </w:tr>
      <w:tr>
        <w:trPr>
          <w:trHeight w:val="503"/>
        </w:trPr>
        <w:tc>
          <w:tcPr>
            <w:tcBorders>
              <w:top w:val="single" w:color="auto" w:sz="4"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传真：</w:t>
            </w:r>
            <w:r/>
          </w:p>
        </w:tc>
        <w:tc>
          <w:tcPr>
            <w:tcBorders>
              <w:top w:val="single" w:color="auto" w:sz="4"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传真：</w:t>
            </w:r>
            <w:r/>
          </w:p>
        </w:tc>
      </w:tr>
      <w:tr>
        <w:trPr>
          <w:trHeight w:val="503"/>
        </w:trPr>
        <w:tc>
          <w:tcPr>
            <w:tcBorders>
              <w:top w:val="single" w:color="auto" w:sz="4"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邮编：</w:t>
            </w:r>
            <w:r/>
          </w:p>
        </w:tc>
        <w:tc>
          <w:tcPr>
            <w:tcBorders>
              <w:top w:val="single" w:color="auto" w:sz="4"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邮编：</w:t>
            </w:r>
            <w:r/>
          </w:p>
        </w:tc>
      </w:tr>
      <w:tr>
        <w:trPr>
          <w:trHeight w:val="503"/>
        </w:trPr>
        <w:tc>
          <w:tcPr>
            <w:tcBorders>
              <w:top w:val="single" w:color="auto" w:sz="4" w:space="0"/>
              <w:left w:val="single" w:color="auto" w:sz="12" w:space="0"/>
              <w:bottom w:val="single" w:color="auto" w:sz="4" w:space="0"/>
              <w:right w:val="single" w:color="auto" w:sz="12" w:space="0"/>
            </w:tcBorders>
            <w:tcW w:w="4322" w:type="dxa"/>
            <w:vAlign w:val="bottom"/>
            <w:textDirection w:val="lrTb"/>
            <w:noWrap w:val="false"/>
          </w:tcPr>
          <w:p>
            <w:pPr>
              <w:rPr>
                <w:rFonts w:ascii="宋体" w:hAnsi="宋体"/>
                <w:sz w:val="24"/>
              </w:rPr>
            </w:pPr>
            <w:r>
              <w:rPr>
                <w:rFonts w:hint="eastAsia" w:ascii="宋体" w:hAnsi="宋体"/>
                <w:sz w:val="24"/>
              </w:rPr>
              <w:t xml:space="preserve">地址： </w:t>
            </w:r>
            <w:r/>
          </w:p>
        </w:tc>
        <w:tc>
          <w:tcPr>
            <w:tcBorders>
              <w:top w:val="single" w:color="auto" w:sz="4" w:space="0"/>
              <w:left w:val="single" w:color="auto" w:sz="12" w:space="0"/>
              <w:bottom w:val="single" w:color="auto" w:sz="4" w:space="0"/>
              <w:right w:val="single" w:color="auto" w:sz="12" w:space="0"/>
            </w:tcBorders>
            <w:tcW w:w="3884" w:type="dxa"/>
            <w:vAlign w:val="bottom"/>
            <w:textDirection w:val="lrTb"/>
            <w:noWrap w:val="false"/>
          </w:tcPr>
          <w:p>
            <w:pPr>
              <w:rPr>
                <w:rFonts w:ascii="宋体" w:hAnsi="宋体"/>
                <w:sz w:val="24"/>
              </w:rPr>
            </w:pPr>
            <w:r>
              <w:rPr>
                <w:rFonts w:hint="eastAsia" w:ascii="宋体" w:hAnsi="宋体"/>
                <w:sz w:val="24"/>
              </w:rPr>
              <w:t xml:space="preserve">地址： </w:t>
            </w:r>
            <w:r/>
          </w:p>
        </w:tc>
      </w:tr>
    </w:tbl>
    <w:p>
      <w:pPr>
        <w:pStyle w:val="907"/>
        <w:ind w:lef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rPr>
        <w:suppressLineNumbers w:val="0"/>
      </w:pPr>
      <w:r>
        <w:rPr>
          <w:rFonts w:hint="eastAsia" w:ascii="宋体" w:hAnsi="宋体" w:eastAsia="宋体" w:cs="宋体"/>
          <w:i w:val="0"/>
          <w:iCs w:val="0"/>
          <w:caps w:val="0"/>
          <w:color w:val="auto"/>
          <w:spacing w:val="0"/>
          <w:sz w:val="24"/>
          <w:szCs w:val="24"/>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pStyle w:val="903"/>
        <w:ind w:left="0"/>
        <w:keepLines w:val="0"/>
        <w:keepNext w:val="0"/>
        <w:pageBreakBefore w:val="0"/>
        <w:spacing w:before="0" w:beforeAutospacing="0" w:afterAutospacing="0"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both"/>
        <w:spacing w:line="360" w:lineRule="auto"/>
        <w:rPr>
          <w:rFonts w:hint="eastAsia" w:eastAsia="宋体" w:cs="宋体"/>
          <w:b/>
          <w:bCs/>
          <w:lang w:eastAsia="zh-CN"/>
        </w:rPr>
        <w:outlineLvl w:val="0"/>
      </w:pPr>
      <w:r>
        <w:rPr>
          <w:rFonts w:hint="eastAsia" w:eastAsia="宋体" w:cs="宋体"/>
          <w:b/>
          <w:bCs/>
          <w:lang w:eastAsia="zh-CN"/>
        </w:rPr>
      </w:r>
      <w:r/>
    </w:p>
    <w:p>
      <w:pPr>
        <w:jc w:val="both"/>
        <w:spacing w:line="360" w:lineRule="auto"/>
        <w:rPr>
          <w:rFonts w:hint="eastAsia" w:eastAsia="宋体" w:cs="宋体"/>
          <w:b/>
          <w:bCs/>
          <w:lang w:eastAsia="zh-CN"/>
        </w:rPr>
        <w:outlineLvl w:val="0"/>
      </w:pPr>
      <w:r>
        <w:rPr>
          <w:rFonts w:hint="eastAsia" w:eastAsia="宋体" w:cs="宋体"/>
          <w:b/>
          <w:bCs/>
          <w:lang w:eastAsia="zh-CN"/>
        </w:rPr>
      </w:r>
      <w:r/>
    </w:p>
    <w:p>
      <w:pPr>
        <w:jc w:val="both"/>
        <w:spacing w:line="360" w:lineRule="auto"/>
        <w:rPr>
          <w:rFonts w:hint="eastAsia" w:eastAsia="宋体" w:cs="宋体"/>
          <w:b/>
          <w:bCs/>
          <w:lang w:eastAsia="zh-CN"/>
        </w:rPr>
        <w:outlineLvl w:val="0"/>
      </w:pPr>
      <w:r>
        <w:rPr>
          <w:rFonts w:hint="eastAsia" w:eastAsia="宋体" w:cs="宋体"/>
          <w:b/>
          <w:bCs/>
          <w:lang w:eastAsia="zh-CN"/>
        </w:rPr>
      </w:r>
      <w:r/>
    </w:p>
    <w:p>
      <w:pPr>
        <w:jc w:val="left"/>
        <w:keepLines/>
        <w:keepNext/>
        <w:spacing w:before="120" w:line="300" w:lineRule="auto"/>
        <w:rPr>
          <w:rFonts w:hint="eastAsia" w:ascii="宋体" w:hAnsi="宋体" w:eastAsia="宋体" w:cs="宋体"/>
          <w:b/>
          <w:color w:val="auto"/>
          <w:spacing w:val="20"/>
          <w:sz w:val="32"/>
          <w:szCs w:val="32"/>
          <w:highlight w:val="none"/>
        </w:rPr>
        <w:outlineLvl w:val="1"/>
      </w:pPr>
      <w:r>
        <w:rPr>
          <w:rFonts w:hint="eastAsia" w:ascii="宋体" w:hAnsi="宋体" w:eastAsia="宋体" w:cs="宋体"/>
          <w:b/>
          <w:color w:val="auto"/>
          <w:spacing w:val="20"/>
          <w:sz w:val="32"/>
          <w:szCs w:val="32"/>
          <w:highlight w:val="none"/>
        </w:rPr>
      </w:r>
      <w:r/>
    </w:p>
    <w:p>
      <w:pPr>
        <w:rPr>
          <w:rFonts w:hint="eastAsia" w:ascii="宋体" w:hAnsi="宋体" w:eastAsia="宋体" w:cs="宋体"/>
          <w:b/>
          <w:color w:val="auto"/>
          <w:sz w:val="44"/>
          <w:szCs w:val="44"/>
        </w:rPr>
      </w:pPr>
      <w:r/>
      <w:bookmarkStart w:id="819" w:name="_Toc99301426"/>
      <w:r>
        <w:rPr>
          <w:rFonts w:hint="eastAsia" w:ascii="宋体" w:hAnsi="宋体" w:eastAsia="宋体" w:cs="宋体"/>
          <w:b/>
          <w:color w:val="auto"/>
          <w:sz w:val="44"/>
          <w:szCs w:val="44"/>
        </w:rPr>
        <w:br w:type="page" w:clear="all"/>
      </w:r>
      <w:r/>
    </w:p>
    <w:p>
      <w:pPr>
        <w:jc w:val="center"/>
        <w:spacing w:line="360" w:lineRule="auto"/>
        <w:rPr>
          <w:b/>
          <w:spacing w:val="20"/>
          <w:sz w:val="24"/>
          <w:highlight w:val="none"/>
        </w:rPr>
        <w:outlineLvl w:val="0"/>
      </w:pPr>
      <w:r>
        <w:rPr>
          <w:rFonts w:hint="eastAsia" w:ascii="Times New Roman" w:hAnsi="Times New Roman" w:eastAsia="宋体" w:cs="Times New Roman"/>
          <w:b/>
          <w:sz w:val="36"/>
          <w:szCs w:val="36"/>
          <w:highlight w:val="none"/>
        </w:rPr>
        <w:t xml:space="preserve">第七章   投标文件格式</w:t>
      </w:r>
      <w:bookmarkEnd w:id="819"/>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918"/>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916"/>
        <w:ind w:firstLine="480"/>
        <w:spacing w:line="460" w:lineRule="exact"/>
        <w:rPr>
          <w:highlight w:val="none"/>
        </w:rPr>
      </w:pPr>
      <w:r>
        <w:rPr>
          <w:highlight w:val="none"/>
        </w:rPr>
      </w:r>
      <w:r/>
    </w:p>
    <w:p>
      <w:pPr>
        <w:pStyle w:val="916"/>
        <w:ind w:firstLine="480"/>
        <w:spacing w:line="460" w:lineRule="exact"/>
        <w:rPr>
          <w:highlight w:val="none"/>
        </w:rPr>
      </w:pPr>
      <w:r>
        <w:rPr>
          <w:rFonts w:hint="eastAsia"/>
          <w:highlight w:val="none"/>
        </w:rPr>
        <w:t xml:space="preserve">致：江苏溧投招标服务有限公司</w:t>
      </w:r>
      <w:r/>
    </w:p>
    <w:p>
      <w:pPr>
        <w:pStyle w:val="916"/>
        <w:ind w:firstLine="960"/>
        <w:spacing w:line="460" w:lineRule="exact"/>
        <w:rPr>
          <w:highlight w:val="none"/>
          <w:u w:val="single"/>
        </w:rPr>
      </w:pPr>
      <w:r>
        <w:rPr>
          <w:rFonts w:hint="eastAsia"/>
          <w:highlight w:val="none"/>
          <w:u w:val="single"/>
        </w:rPr>
        <w:t xml:space="preserve">（采购人名称）</w:t>
      </w:r>
      <w:r/>
    </w:p>
    <w:p>
      <w:pPr>
        <w:pStyle w:val="916"/>
        <w:ind w:firstLine="480"/>
        <w:spacing w:line="460" w:lineRule="exact"/>
        <w:rPr>
          <w:highlight w:val="none"/>
        </w:rPr>
      </w:pPr>
      <w:r>
        <w:rPr>
          <w:highlight w:val="none"/>
        </w:rPr>
      </w:r>
      <w:r/>
    </w:p>
    <w:p>
      <w:pPr>
        <w:pStyle w:val="916"/>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916"/>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916"/>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916"/>
        <w:ind w:firstLine="480"/>
        <w:spacing w:line="460" w:lineRule="exact"/>
        <w:rPr>
          <w:highlight w:val="none"/>
        </w:rPr>
      </w:pPr>
      <w:r>
        <w:rPr>
          <w:rFonts w:hint="eastAsia"/>
          <w:highlight w:val="none"/>
        </w:rPr>
        <w:t xml:space="preserve">三、我单位依法进行纳税和社会保险申报并实际履行了义务。</w:t>
      </w:r>
      <w:r/>
    </w:p>
    <w:p>
      <w:pPr>
        <w:pStyle w:val="916"/>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916"/>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916"/>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916"/>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6"/>
        <w:ind w:firstLine="480"/>
        <w:spacing w:line="460" w:lineRule="exact"/>
        <w:rPr>
          <w:highlight w:val="none"/>
        </w:rPr>
      </w:pPr>
      <w:r>
        <w:rPr>
          <w:rFonts w:hint="eastAsia"/>
          <w:highlight w:val="none"/>
        </w:rPr>
        <w:t xml:space="preserve">六、我单位具备法律、行政法规规定的其他条件。</w:t>
      </w:r>
      <w:r/>
    </w:p>
    <w:p>
      <w:pPr>
        <w:pStyle w:val="916"/>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916"/>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916"/>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916"/>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916"/>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916"/>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916"/>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916"/>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916"/>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916"/>
        <w:ind w:firstLine="480"/>
        <w:spacing w:line="460" w:lineRule="exact"/>
        <w:rPr>
          <w:highlight w:val="none"/>
        </w:rPr>
      </w:pPr>
      <w:r>
        <w:rPr>
          <w:highlight w:val="none"/>
        </w:rPr>
      </w:r>
      <w:r/>
    </w:p>
    <w:p>
      <w:pPr>
        <w:pStyle w:val="916"/>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916"/>
        <w:ind w:firstLine="480"/>
        <w:spacing w:line="460" w:lineRule="exact"/>
        <w:rPr>
          <w:highlight w:val="none"/>
        </w:rPr>
      </w:pPr>
      <w:r>
        <w:rPr>
          <w:highlight w:val="none"/>
        </w:rPr>
      </w:r>
      <w:r/>
    </w:p>
    <w:p>
      <w:pPr>
        <w:pStyle w:val="916"/>
        <w:ind w:firstLine="480"/>
        <w:spacing w:line="460" w:lineRule="exact"/>
        <w:rPr>
          <w:highlight w:val="none"/>
        </w:rPr>
      </w:pPr>
      <w:r>
        <w:rPr>
          <w:highlight w:val="none"/>
        </w:rPr>
      </w:r>
      <w:r/>
    </w:p>
    <w:p>
      <w:pPr>
        <w:pStyle w:val="916"/>
        <w:ind w:firstLine="480"/>
        <w:spacing w:line="460" w:lineRule="exact"/>
        <w:rPr>
          <w:highlight w:val="none"/>
        </w:rPr>
      </w:pPr>
      <w:r>
        <w:rPr>
          <w:rFonts w:hint="eastAsia"/>
          <w:highlight w:val="none"/>
        </w:rPr>
        <w:t xml:space="preserve">                                            投标人：（加盖公章）</w:t>
      </w:r>
      <w:r/>
    </w:p>
    <w:p>
      <w:pPr>
        <w:pStyle w:val="916"/>
        <w:ind w:firstLine="480"/>
        <w:spacing w:line="460" w:lineRule="exact"/>
        <w:rPr>
          <w:highlight w:val="none"/>
        </w:rPr>
      </w:pPr>
      <w:r>
        <w:rPr>
          <w:rFonts w:hint="eastAsia"/>
          <w:highlight w:val="none"/>
        </w:rPr>
        <w:t xml:space="preserve">                                           法定代表人（或单位负责人）签字或盖章：</w:t>
      </w:r>
      <w:r/>
    </w:p>
    <w:p>
      <w:pPr>
        <w:pStyle w:val="916"/>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3"/>
          <w:footerReference w:type="default" r:id="rId23"/>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919"/>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7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91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91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91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91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91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91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91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91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89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20" w:name="_Toc226337252"/>
      <w:r/>
      <w:bookmarkStart w:id="821" w:name="_Toc480942349"/>
      <w:r/>
      <w:bookmarkStart w:id="822" w:name="_Ref467988698"/>
      <w:r/>
      <w:bookmarkStart w:id="823" w:name="_Toc195842921"/>
      <w:r/>
      <w:bookmarkStart w:id="824" w:name="_Toc520356217"/>
      <w:r/>
      <w:bookmarkStart w:id="825" w:name="_Toc127151556"/>
      <w:r/>
      <w:bookmarkStart w:id="826" w:name="_Toc226309800"/>
      <w:r/>
      <w:bookmarkStart w:id="827" w:name="_Toc226965746"/>
      <w:r/>
      <w:bookmarkStart w:id="828" w:name="_Toc150480794"/>
      <w:r/>
      <w:bookmarkStart w:id="829" w:name="_Toc150774761"/>
      <w:r/>
      <w:bookmarkStart w:id="830" w:name="_Toc142311058"/>
      <w:r/>
      <w:bookmarkStart w:id="831" w:name="_Toc226965829"/>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32" w:name="_Hlt520356243"/>
      <w:r/>
      <w:bookmarkEnd w:id="832"/>
      <w:r/>
      <w:bookmarkStart w:id="833" w:name="_Hlt520355938"/>
      <w:r/>
      <w:bookmarkEnd w:id="833"/>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920"/>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9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921"/>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4" w:name="_Hlt520343392"/>
      <w:r/>
      <w:bookmarkEnd w:id="834"/>
      <w:r/>
      <w:bookmarkStart w:id="835" w:name="_Hlt520274407"/>
      <w:r/>
      <w:bookmarkEnd w:id="835"/>
      <w:r/>
      <w:bookmarkStart w:id="836" w:name="_Hlt520274065"/>
      <w:r/>
      <w:bookmarkEnd w:id="836"/>
      <w:r/>
      <w:bookmarkStart w:id="837" w:name="_Hlt520355504"/>
      <w:r/>
      <w:bookmarkEnd w:id="837"/>
      <w:r/>
      <w:bookmarkStart w:id="838" w:name="_Hlt520273711"/>
      <w:r/>
      <w:bookmarkEnd w:id="838"/>
      <w:r/>
      <w:bookmarkStart w:id="839" w:name="_Hlt520350918"/>
      <w:r/>
      <w:bookmarkEnd w:id="839"/>
      <w:r/>
      <w:bookmarkStart w:id="840" w:name="_Hlt520343000"/>
      <w:r/>
      <w:bookmarkEnd w:id="840"/>
      <w:r/>
      <w:bookmarkStart w:id="841" w:name="_Hlt520271212"/>
      <w:r/>
      <w:bookmarkEnd w:id="841"/>
      <w:r/>
      <w:bookmarkStart w:id="842" w:name="_Hlt520274121"/>
      <w:r/>
      <w:bookmarkEnd w:id="842"/>
      <w:r/>
      <w:bookmarkStart w:id="843" w:name="_Hlt520274393"/>
      <w:r/>
      <w:bookmarkEnd w:id="843"/>
      <w:r/>
      <w:bookmarkStart w:id="844" w:name="_Toc226337253"/>
      <w:r/>
      <w:bookmarkStart w:id="845" w:name="_Ref467988705"/>
      <w:r/>
      <w:bookmarkStart w:id="846" w:name="_Toc305158899"/>
      <w:r/>
      <w:bookmarkStart w:id="847" w:name="_Toc195842922"/>
      <w:r/>
      <w:bookmarkStart w:id="848" w:name="_Toc150480795"/>
      <w:r/>
      <w:bookmarkStart w:id="849" w:name="_Toc264969247"/>
      <w:r/>
      <w:bookmarkStart w:id="850" w:name="_Toc226965747"/>
      <w:r/>
      <w:bookmarkStart w:id="851" w:name="_Toc520356218"/>
      <w:r/>
      <w:bookmarkStart w:id="852" w:name="_Toc265228395"/>
      <w:r/>
      <w:bookmarkStart w:id="853" w:name="_Toc142311059"/>
      <w:r/>
      <w:bookmarkStart w:id="854" w:name="_Toc480942350"/>
      <w:r/>
      <w:bookmarkStart w:id="855" w:name="_Toc305158825"/>
      <w:r/>
      <w:bookmarkStart w:id="856" w:name="_Toc226309801"/>
      <w:r/>
      <w:bookmarkStart w:id="857" w:name="_Toc226965830"/>
      <w:r/>
      <w:bookmarkStart w:id="858" w:name="_Toc150774762"/>
      <w:r/>
      <w:bookmarkStart w:id="859" w:name="_Toc127151557"/>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
    </w:p>
    <w:p>
      <w:pPr>
        <w:jc w:val="center"/>
        <w:spacing w:line="360" w:lineRule="exact"/>
        <w:rPr>
          <w:b/>
          <w:sz w:val="36"/>
          <w:szCs w:val="36"/>
          <w:highlight w:val="none"/>
        </w:rPr>
      </w:pPr>
      <w:r/>
      <w:bookmarkStart w:id="860" w:name="_Toc226965831"/>
      <w:r/>
      <w:bookmarkStart w:id="861" w:name="_Toc195842923"/>
      <w:r/>
      <w:bookmarkStart w:id="862" w:name="_Toc265228396"/>
      <w:r/>
      <w:bookmarkStart w:id="863" w:name="_Toc305158826"/>
      <w:r/>
      <w:bookmarkStart w:id="864" w:name="_Toc226309802"/>
      <w:r/>
      <w:bookmarkStart w:id="865" w:name="_Toc164608672"/>
      <w:r/>
      <w:bookmarkStart w:id="866" w:name="_Toc164608827"/>
      <w:r/>
      <w:bookmarkStart w:id="867" w:name="_Toc264969248"/>
      <w:r/>
      <w:bookmarkStart w:id="868" w:name="_Toc305158900"/>
      <w:r/>
      <w:bookmarkStart w:id="869" w:name="_Toc226965748"/>
      <w:r/>
      <w:bookmarkStart w:id="870" w:name="_Toc226337254"/>
      <w:r>
        <w:rPr>
          <w:rFonts w:hint="eastAsia"/>
          <w:b/>
          <w:sz w:val="36"/>
          <w:szCs w:val="36"/>
          <w:highlight w:val="none"/>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899"/>
        <w:tblW w:w="46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0"/>
        <w:gridCol w:w="2635"/>
        <w:gridCol w:w="1509"/>
        <w:gridCol w:w="3537"/>
      </w:tblGrid>
      <w:tr>
        <w:trPr>
          <w:trHeight w:val="531"/>
        </w:trPr>
        <w:tc>
          <w:tcPr>
            <w:tcW w:w="700"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63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5040"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700"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63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507"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353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700"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63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507"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3533"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71" w:name="_Toc226965832"/>
      <w:r/>
      <w:bookmarkStart w:id="872" w:name="_Toc142311060"/>
      <w:r/>
      <w:bookmarkStart w:id="873" w:name="_Toc265228397"/>
      <w:r/>
      <w:bookmarkStart w:id="874" w:name="_Toc226965749"/>
      <w:r/>
      <w:bookmarkStart w:id="875" w:name="_Toc226337255"/>
      <w:r/>
      <w:bookmarkStart w:id="876" w:name="_Toc195842924"/>
      <w:r/>
      <w:bookmarkStart w:id="877" w:name="_Toc226309803"/>
      <w:r/>
      <w:bookmarkStart w:id="878" w:name="_Toc305158901"/>
      <w:r/>
      <w:bookmarkStart w:id="879" w:name="_Toc150480796"/>
      <w:r/>
      <w:bookmarkStart w:id="880" w:name="_Toc127151558"/>
      <w:r/>
      <w:bookmarkStart w:id="881" w:name="_Toc305158827"/>
      <w:r/>
      <w:bookmarkStart w:id="882" w:name="_Toc264969249"/>
      <w:r/>
      <w:bookmarkStart w:id="883" w:name="_Toc150774763"/>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Start w:id="884" w:name="_Toc150480798"/>
      <w:r/>
      <w:bookmarkStart w:id="885" w:name="_Toc150774765"/>
      <w:r/>
      <w:bookmarkStart w:id="886" w:name="_Toc305158830"/>
      <w:r/>
      <w:bookmarkStart w:id="887" w:name="_Toc305158904"/>
      <w:r/>
      <w:bookmarkStart w:id="888" w:name="_Toc195842927"/>
      <w:r/>
      <w:bookmarkStart w:id="889" w:name="_Toc226309806"/>
      <w:r/>
      <w:bookmarkStart w:id="890" w:name="_Toc264969252"/>
      <w:r/>
      <w:bookmarkStart w:id="891" w:name="_Toc265228400"/>
      <w:r/>
      <w:bookmarkStart w:id="892" w:name="_Toc226337258"/>
      <w:r/>
      <w:bookmarkStart w:id="893" w:name="_Toc142311062"/>
      <w:r/>
      <w:bookmarkStart w:id="894" w:name="_Toc226965835"/>
      <w:r/>
      <w:bookmarkStart w:id="895" w:name="_Toc226965752"/>
      <w:r/>
      <w:bookmarkStart w:id="896" w:name="_Toc127151562"/>
      <w:r/>
      <w:bookmarkStart w:id="897" w:name="_Toc305158829"/>
      <w:r/>
      <w:bookmarkStart w:id="898" w:name="_Toc226965834"/>
      <w:r/>
      <w:bookmarkStart w:id="899" w:name="_Toc127151561"/>
      <w:r/>
      <w:bookmarkStart w:id="900" w:name="_Toc150480797"/>
      <w:r/>
      <w:bookmarkStart w:id="901" w:name="_Toc305158903"/>
      <w:r/>
      <w:bookmarkStart w:id="902" w:name="_Toc226309805"/>
      <w:r/>
      <w:bookmarkStart w:id="903" w:name="_Toc195842926"/>
      <w:r/>
      <w:bookmarkStart w:id="904" w:name="_Toc265228399"/>
      <w:r/>
      <w:bookmarkStart w:id="905" w:name="_Toc264969251"/>
      <w:r/>
      <w:bookmarkStart w:id="906" w:name="_Toc150774764"/>
      <w:r/>
      <w:bookmarkStart w:id="907" w:name="_Toc226337257"/>
      <w:r/>
      <w:bookmarkStart w:id="908" w:name="_Toc226965751"/>
      <w:r/>
      <w:bookmarkStart w:id="909" w:name="_Toc14231106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p>
    <w:p>
      <w:pPr>
        <w:jc w:val="center"/>
        <w:spacing w:line="2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jc w:val="left"/>
        <w:spacing w:before="240" w:after="240"/>
        <w:rPr>
          <w:rFonts w:ascii="Times New Roman" w:hAnsi="Times New Roman" w:eastAsia="宋体" w:cs="Times New Roman"/>
          <w:b/>
          <w:i/>
          <w:color w:val="ff0000"/>
          <w:sz w:val="24"/>
          <w:highlight w:val="none"/>
        </w:rPr>
      </w:pPr>
      <w:r>
        <w:rPr>
          <w:rFonts w:hint="eastAsia" w:ascii="Times New Roman" w:hAnsi="Times New Roman" w:eastAsia="宋体" w:cs="Times New Roman"/>
          <w:b/>
          <w:i/>
          <w:color w:val="ff0000"/>
          <w:sz w:val="24"/>
          <w:highlight w:val="none"/>
        </w:rPr>
        <w:t xml:space="preserve">（格式示例一</w:t>
      </w:r>
      <w:r>
        <w:rPr>
          <w:rFonts w:ascii="Times New Roman" w:hAnsi="Times New Roman" w:eastAsia="宋体" w:cs="Times New Roman"/>
          <w:b/>
          <w:i/>
          <w:color w:val="ff0000"/>
          <w:sz w:val="24"/>
          <w:highlight w:val="none"/>
        </w:rPr>
        <w:t xml:space="preserve">，适用于设备采购</w:t>
      </w:r>
      <w:r>
        <w:rPr>
          <w:rFonts w:hint="eastAsia" w:ascii="Times New Roman" w:hAnsi="Times New Roman" w:eastAsia="宋体" w:cs="Times New Roman"/>
          <w:b/>
          <w:i/>
          <w:color w:val="ff0000"/>
          <w:sz w:val="24"/>
          <w:highlight w:val="none"/>
        </w:rPr>
        <w:t xml:space="preserve">，可以根据项目实际情况调整）</w:t>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899"/>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314"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w:t>
            </w:r>
            <w:r/>
          </w:p>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名称</w:t>
            </w:r>
            <w:r/>
          </w:p>
        </w:tc>
        <w:tc>
          <w:tcPr>
            <w:tcW w:w="615"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品牌商标</w:t>
            </w:r>
            <w:r/>
          </w:p>
        </w:tc>
        <w:tc>
          <w:tcPr>
            <w:tcW w:w="1380"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规格型号</w:t>
            </w:r>
            <w:r/>
          </w:p>
        </w:tc>
        <w:tc>
          <w:tcPr>
            <w:tcW w:w="148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14"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5"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hint="eastAsia" w:ascii="Times New Roman" w:hAnsi="Times New Roman" w:eastAsia="宋体" w:cs="Times New Roman"/>
          <w:color w:val="000000"/>
          <w:sz w:val="24"/>
          <w:highlight w:val="none"/>
          <w:lang w:val="en-US" w:eastAsia="zh-CN"/>
        </w:rPr>
        <w:t xml:space="preserve">应招标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jc w:val="left"/>
        <w:spacing w:before="240" w:after="240"/>
        <w:rPr>
          <w:rFonts w:ascii="Times New Roman" w:hAnsi="Times New Roman" w:eastAsia="宋体" w:cs="Times New Roman"/>
          <w:b/>
          <w:i/>
          <w:color w:val="ff0000"/>
          <w:sz w:val="24"/>
          <w:highlight w:val="none"/>
        </w:rPr>
      </w:pPr>
      <w:r>
        <w:rPr>
          <w:rFonts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b/>
          <w:i/>
          <w:color w:val="ff0000"/>
          <w:sz w:val="24"/>
          <w:highlight w:val="none"/>
        </w:rPr>
        <w:t xml:space="preserve">（格式示例二</w:t>
      </w:r>
      <w:r>
        <w:rPr>
          <w:rFonts w:ascii="Times New Roman" w:hAnsi="Times New Roman" w:eastAsia="宋体" w:cs="Times New Roman"/>
          <w:b/>
          <w:i/>
          <w:color w:val="ff0000"/>
          <w:sz w:val="24"/>
          <w:highlight w:val="none"/>
        </w:rPr>
        <w:t xml:space="preserve">，适用于服务类项目</w:t>
      </w:r>
      <w:r>
        <w:rPr>
          <w:rFonts w:hint="eastAsia" w:ascii="Times New Roman" w:hAnsi="Times New Roman" w:eastAsia="宋体" w:cs="Times New Roman"/>
          <w:b/>
          <w:i/>
          <w:color w:val="ff0000"/>
          <w:sz w:val="24"/>
          <w:highlight w:val="none"/>
        </w:rPr>
        <w:t xml:space="preserve">，可以根据项目实际情况调整）</w:t>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899"/>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2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253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ascii="Times New Roman" w:hAnsi="Times New Roman" w:eastAsia="宋体" w:cs="Times New Roman"/>
          <w:color w:val="000000"/>
          <w:sz w:val="24"/>
          <w:highlight w:val="none"/>
          <w:lang w:val="en-US" w:eastAsia="zh-CN"/>
        </w:rPr>
        <w:t xml:space="preserve">应</w:t>
      </w:r>
      <w:r>
        <w:rPr>
          <w:rFonts w:hint="eastAsia" w:ascii="Times New Roman" w:hAnsi="Times New Roman" w:eastAsia="宋体" w:cs="Times New Roman"/>
          <w:color w:val="000000"/>
          <w:sz w:val="24"/>
          <w:highlight w:val="none"/>
          <w:lang w:val="en-US" w:eastAsia="zh-CN"/>
        </w:rPr>
        <w:t xml:space="preserve">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8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89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99"/>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10" w:name="_Toc288738397"/>
      <w:r/>
      <w:bookmarkStart w:id="911" w:name="_Toc288738839"/>
      <w:r>
        <w:rPr>
          <w:rFonts w:hint="eastAsia"/>
          <w:sz w:val="24"/>
          <w:szCs w:val="20"/>
          <w:highlight w:val="none"/>
          <w:lang w:val="en-US" w:eastAsia="zh-CN"/>
        </w:rPr>
        <w:t xml:space="preserve">10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10"/>
      <w:r/>
      <w:bookmarkEnd w:id="911"/>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9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918"/>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p>
      <w:r/>
      <w:r/>
    </w:p>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24"/>
      </w:rPr>
    </w:pPr>
    <w:r/>
    <w:r/>
  </w:p>
  <w:p>
    <w:pPr>
      <w:pStyle w:val="923"/>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2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923"/>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24"/>
      </w:rPr>
      <w:framePr w:wrap="around" w:vAnchor="text" w:hAnchor="margin" w:xAlign="right" w:y="1"/>
    </w:pPr>
    <w:r>
      <w:rPr>
        <w:rStyle w:val="924"/>
      </w:rPr>
      <w:fldChar w:fldCharType="begin"/>
    </w:r>
    <w:r>
      <w:rPr>
        <w:rStyle w:val="924"/>
      </w:rPr>
      <w:instrText xml:space="preserve">PAGE  </w:instrText>
    </w:r>
    <w:r>
      <w:rPr>
        <w:rStyle w:val="924"/>
      </w:rPr>
      <w:fldChar w:fldCharType="end"/>
    </w:r>
    <w:r/>
  </w:p>
  <w:p>
    <w:pPr>
      <w:pStyle w:val="92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3"/>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3"/>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24"/>
      </w:rPr>
      <w:framePr w:wrap="around" w:vAnchor="text" w:hAnchor="margin" w:xAlign="right" w:y="1"/>
    </w:pPr>
    <w:r>
      <w:rPr>
        <w:rStyle w:val="924"/>
      </w:rPr>
      <w:fldChar w:fldCharType="begin"/>
    </w:r>
    <w:r>
      <w:rPr>
        <w:rStyle w:val="924"/>
      </w:rPr>
      <w:instrText xml:space="preserve">PAGE  </w:instrText>
    </w:r>
    <w:r>
      <w:rPr>
        <w:rStyle w:val="924"/>
      </w:rPr>
      <w:fldChar w:fldCharType="end"/>
    </w:r>
    <w:r/>
  </w:p>
  <w:p>
    <w:pPr>
      <w:pStyle w:val="923"/>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right"/>
      <w:spacing w:line="440" w:lineRule="exact"/>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7"/>
  </w:num>
  <w:num w:numId="2">
    <w:abstractNumId w:val="3"/>
  </w:num>
  <w:num w:numId="3">
    <w:abstractNumId w:val="1"/>
  </w:num>
  <w:num w:numId="4">
    <w:abstractNumId w:val="5"/>
  </w:num>
  <w:num w:numId="5">
    <w:abstractNumId w:val="6"/>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6"/>
    <w:next w:val="8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98"/>
    <w:link w:val="12"/>
    <w:uiPriority w:val="9"/>
    <w:rPr>
      <w:rFonts w:ascii="Arial" w:hAnsi="Arial" w:eastAsia="Arial" w:cs="Arial"/>
      <w:sz w:val="40"/>
      <w:szCs w:val="40"/>
    </w:rPr>
  </w:style>
  <w:style w:type="character" w:styleId="15">
    <w:name w:val="Heading 2 Char"/>
    <w:basedOn w:val="898"/>
    <w:link w:val="897"/>
    <w:uiPriority w:val="9"/>
    <w:rPr>
      <w:rFonts w:ascii="Arial" w:hAnsi="Arial" w:eastAsia="Arial" w:cs="Arial"/>
      <w:sz w:val="34"/>
    </w:rPr>
  </w:style>
  <w:style w:type="paragraph" w:styleId="16">
    <w:name w:val="Heading 3"/>
    <w:basedOn w:val="896"/>
    <w:next w:val="8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98"/>
    <w:link w:val="16"/>
    <w:uiPriority w:val="9"/>
    <w:rPr>
      <w:rFonts w:ascii="Arial" w:hAnsi="Arial" w:eastAsia="Arial" w:cs="Arial"/>
      <w:sz w:val="30"/>
      <w:szCs w:val="30"/>
    </w:rPr>
  </w:style>
  <w:style w:type="paragraph" w:styleId="18">
    <w:name w:val="Heading 4"/>
    <w:basedOn w:val="896"/>
    <w:next w:val="8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98"/>
    <w:link w:val="18"/>
    <w:uiPriority w:val="9"/>
    <w:rPr>
      <w:rFonts w:ascii="Arial" w:hAnsi="Arial" w:eastAsia="Arial" w:cs="Arial"/>
      <w:b/>
      <w:bCs/>
      <w:sz w:val="26"/>
      <w:szCs w:val="26"/>
    </w:rPr>
  </w:style>
  <w:style w:type="paragraph" w:styleId="20">
    <w:name w:val="Heading 5"/>
    <w:basedOn w:val="896"/>
    <w:next w:val="8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98"/>
    <w:link w:val="20"/>
    <w:uiPriority w:val="9"/>
    <w:rPr>
      <w:rFonts w:ascii="Arial" w:hAnsi="Arial" w:eastAsia="Arial" w:cs="Arial"/>
      <w:b/>
      <w:bCs/>
      <w:sz w:val="24"/>
      <w:szCs w:val="24"/>
    </w:rPr>
  </w:style>
  <w:style w:type="paragraph" w:styleId="22">
    <w:name w:val="Heading 6"/>
    <w:basedOn w:val="896"/>
    <w:next w:val="8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98"/>
    <w:link w:val="22"/>
    <w:uiPriority w:val="9"/>
    <w:rPr>
      <w:rFonts w:ascii="Arial" w:hAnsi="Arial" w:eastAsia="Arial" w:cs="Arial"/>
      <w:b/>
      <w:bCs/>
      <w:sz w:val="22"/>
      <w:szCs w:val="22"/>
    </w:rPr>
  </w:style>
  <w:style w:type="paragraph" w:styleId="24">
    <w:name w:val="Heading 7"/>
    <w:basedOn w:val="896"/>
    <w:next w:val="8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98"/>
    <w:link w:val="24"/>
    <w:uiPriority w:val="9"/>
    <w:rPr>
      <w:rFonts w:ascii="Arial" w:hAnsi="Arial" w:eastAsia="Arial" w:cs="Arial"/>
      <w:b/>
      <w:bCs/>
      <w:i/>
      <w:iCs/>
      <w:sz w:val="22"/>
      <w:szCs w:val="22"/>
    </w:rPr>
  </w:style>
  <w:style w:type="paragraph" w:styleId="26">
    <w:name w:val="Heading 8"/>
    <w:basedOn w:val="896"/>
    <w:next w:val="8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98"/>
    <w:link w:val="26"/>
    <w:uiPriority w:val="9"/>
    <w:rPr>
      <w:rFonts w:ascii="Arial" w:hAnsi="Arial" w:eastAsia="Arial" w:cs="Arial"/>
      <w:i/>
      <w:iCs/>
      <w:sz w:val="22"/>
      <w:szCs w:val="22"/>
    </w:rPr>
  </w:style>
  <w:style w:type="paragraph" w:styleId="28">
    <w:name w:val="Heading 9"/>
    <w:basedOn w:val="896"/>
    <w:next w:val="8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9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96"/>
    <w:next w:val="896"/>
    <w:link w:val="34"/>
    <w:uiPriority w:val="10"/>
    <w:qFormat/>
    <w:pPr>
      <w:contextualSpacing/>
      <w:spacing w:before="300" w:after="200"/>
    </w:pPr>
    <w:rPr>
      <w:sz w:val="48"/>
      <w:szCs w:val="48"/>
    </w:rPr>
  </w:style>
  <w:style w:type="character" w:styleId="34">
    <w:name w:val="Title Char"/>
    <w:basedOn w:val="898"/>
    <w:link w:val="33"/>
    <w:uiPriority w:val="10"/>
    <w:rPr>
      <w:sz w:val="48"/>
      <w:szCs w:val="48"/>
    </w:rPr>
  </w:style>
  <w:style w:type="paragraph" w:styleId="35">
    <w:name w:val="Subtitle"/>
    <w:basedOn w:val="896"/>
    <w:next w:val="896"/>
    <w:link w:val="36"/>
    <w:uiPriority w:val="11"/>
    <w:qFormat/>
    <w:pPr>
      <w:spacing w:before="200" w:after="200"/>
    </w:pPr>
    <w:rPr>
      <w:sz w:val="24"/>
      <w:szCs w:val="24"/>
    </w:rPr>
  </w:style>
  <w:style w:type="character" w:styleId="36">
    <w:name w:val="Subtitle Char"/>
    <w:basedOn w:val="898"/>
    <w:link w:val="35"/>
    <w:uiPriority w:val="11"/>
    <w:rPr>
      <w:sz w:val="24"/>
      <w:szCs w:val="24"/>
    </w:rPr>
  </w:style>
  <w:style w:type="paragraph" w:styleId="37">
    <w:name w:val="Quote"/>
    <w:basedOn w:val="896"/>
    <w:next w:val="896"/>
    <w:link w:val="38"/>
    <w:uiPriority w:val="29"/>
    <w:qFormat/>
    <w:pPr>
      <w:ind w:left="720" w:right="720"/>
    </w:pPr>
    <w:rPr>
      <w:i/>
    </w:rPr>
  </w:style>
  <w:style w:type="character" w:styleId="38">
    <w:name w:val="Quote Char"/>
    <w:link w:val="37"/>
    <w:uiPriority w:val="29"/>
    <w:rPr>
      <w:i/>
    </w:rPr>
  </w:style>
  <w:style w:type="paragraph" w:styleId="39">
    <w:name w:val="Intense Quote"/>
    <w:basedOn w:val="896"/>
    <w:next w:val="8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6"/>
    <w:link w:val="42"/>
    <w:uiPriority w:val="99"/>
    <w:unhideWhenUsed/>
    <w:pPr>
      <w:spacing w:after="0" w:line="240" w:lineRule="auto"/>
      <w:tabs>
        <w:tab w:val="center" w:pos="7143" w:leader="none"/>
        <w:tab w:val="right" w:pos="14287" w:leader="none"/>
      </w:tabs>
    </w:pPr>
  </w:style>
  <w:style w:type="character" w:styleId="42">
    <w:name w:val="Header Char"/>
    <w:basedOn w:val="898"/>
    <w:link w:val="41"/>
    <w:uiPriority w:val="99"/>
  </w:style>
  <w:style w:type="paragraph" w:styleId="43">
    <w:name w:val="Footer"/>
    <w:basedOn w:val="896"/>
    <w:link w:val="46"/>
    <w:uiPriority w:val="99"/>
    <w:unhideWhenUsed/>
    <w:pPr>
      <w:spacing w:after="0" w:line="240" w:lineRule="auto"/>
      <w:tabs>
        <w:tab w:val="center" w:pos="7143" w:leader="none"/>
        <w:tab w:val="right" w:pos="14287" w:leader="none"/>
      </w:tabs>
    </w:pPr>
  </w:style>
  <w:style w:type="character" w:styleId="44">
    <w:name w:val="Footer Char"/>
    <w:basedOn w:val="898"/>
    <w:link w:val="43"/>
    <w:uiPriority w:val="99"/>
  </w:style>
  <w:style w:type="paragraph" w:styleId="45">
    <w:name w:val="Caption"/>
    <w:basedOn w:val="896"/>
    <w:next w:val="89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98"/>
    <w:uiPriority w:val="99"/>
    <w:unhideWhenUsed/>
    <w:rPr>
      <w:vertAlign w:val="superscript"/>
    </w:rPr>
  </w:style>
  <w:style w:type="paragraph" w:styleId="177">
    <w:name w:val="endnote text"/>
    <w:basedOn w:val="8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98"/>
    <w:uiPriority w:val="99"/>
    <w:semiHidden/>
    <w:unhideWhenUsed/>
    <w:rPr>
      <w:vertAlign w:val="superscript"/>
    </w:rPr>
  </w:style>
  <w:style w:type="paragraph" w:styleId="180">
    <w:name w:val="toc 1"/>
    <w:basedOn w:val="896"/>
    <w:next w:val="896"/>
    <w:uiPriority w:val="39"/>
    <w:unhideWhenUsed/>
    <w:pPr>
      <w:ind w:left="0" w:right="0" w:firstLine="0"/>
      <w:spacing w:after="57"/>
    </w:pPr>
  </w:style>
  <w:style w:type="paragraph" w:styleId="181">
    <w:name w:val="toc 2"/>
    <w:basedOn w:val="896"/>
    <w:next w:val="896"/>
    <w:uiPriority w:val="39"/>
    <w:unhideWhenUsed/>
    <w:pPr>
      <w:ind w:left="283" w:right="0" w:firstLine="0"/>
      <w:spacing w:after="57"/>
    </w:pPr>
  </w:style>
  <w:style w:type="paragraph" w:styleId="182">
    <w:name w:val="toc 3"/>
    <w:basedOn w:val="896"/>
    <w:next w:val="896"/>
    <w:uiPriority w:val="39"/>
    <w:unhideWhenUsed/>
    <w:pPr>
      <w:ind w:left="567" w:right="0" w:firstLine="0"/>
      <w:spacing w:after="57"/>
    </w:pPr>
  </w:style>
  <w:style w:type="paragraph" w:styleId="183">
    <w:name w:val="toc 4"/>
    <w:basedOn w:val="896"/>
    <w:next w:val="896"/>
    <w:uiPriority w:val="39"/>
    <w:unhideWhenUsed/>
    <w:pPr>
      <w:ind w:left="850" w:right="0" w:firstLine="0"/>
      <w:spacing w:after="57"/>
    </w:pPr>
  </w:style>
  <w:style w:type="paragraph" w:styleId="184">
    <w:name w:val="toc 5"/>
    <w:basedOn w:val="896"/>
    <w:next w:val="896"/>
    <w:uiPriority w:val="39"/>
    <w:unhideWhenUsed/>
    <w:pPr>
      <w:ind w:left="1134" w:right="0" w:firstLine="0"/>
      <w:spacing w:after="57"/>
    </w:pPr>
  </w:style>
  <w:style w:type="paragraph" w:styleId="185">
    <w:name w:val="toc 6"/>
    <w:basedOn w:val="896"/>
    <w:next w:val="896"/>
    <w:uiPriority w:val="39"/>
    <w:unhideWhenUsed/>
    <w:pPr>
      <w:ind w:left="1417" w:right="0" w:firstLine="0"/>
      <w:spacing w:after="57"/>
    </w:pPr>
  </w:style>
  <w:style w:type="paragraph" w:styleId="186">
    <w:name w:val="toc 7"/>
    <w:basedOn w:val="896"/>
    <w:next w:val="896"/>
    <w:uiPriority w:val="39"/>
    <w:unhideWhenUsed/>
    <w:pPr>
      <w:ind w:left="1701" w:right="0" w:firstLine="0"/>
      <w:spacing w:after="57"/>
    </w:pPr>
  </w:style>
  <w:style w:type="paragraph" w:styleId="187">
    <w:name w:val="toc 8"/>
    <w:basedOn w:val="896"/>
    <w:next w:val="896"/>
    <w:uiPriority w:val="39"/>
    <w:unhideWhenUsed/>
    <w:pPr>
      <w:ind w:left="1984" w:right="0" w:firstLine="0"/>
      <w:spacing w:after="57"/>
    </w:pPr>
  </w:style>
  <w:style w:type="paragraph" w:styleId="188">
    <w:name w:val="toc 9"/>
    <w:basedOn w:val="896"/>
    <w:next w:val="8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6"/>
    <w:next w:val="896"/>
    <w:uiPriority w:val="99"/>
    <w:unhideWhenUsed/>
    <w:pPr>
      <w:spacing w:after="0" w:afterAutospacing="0"/>
    </w:pPr>
  </w:style>
  <w:style w:type="paragraph" w:styleId="896" w:default="1">
    <w:name w:val="Normal"/>
    <w:next w:val="900"/>
    <w:link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name w:val="Heading 2"/>
    <w:basedOn w:val="896"/>
    <w:next w:val="902"/>
    <w:uiPriority w:val="9"/>
    <w:unhideWhenUsed/>
    <w:qFormat/>
    <w:pPr>
      <w:keepLines/>
      <w:keepNext/>
      <w:spacing w:before="360" w:after="200"/>
      <w:outlineLvl w:val="1"/>
    </w:pPr>
    <w:rPr>
      <w:rFonts w:ascii="Arial" w:hAnsi="Arial" w:eastAsia="Arial" w:cs="Arial"/>
      <w:sz w:val="34"/>
    </w:rPr>
  </w:style>
  <w:style w:type="character" w:styleId="898" w:default="1">
    <w:name w:val="Default Paragraph Font"/>
    <w:uiPriority w:val="0"/>
    <w:semiHidden/>
    <w:qFormat/>
  </w:style>
  <w:style w:type="table" w:styleId="899" w:default="1">
    <w:name w:val="Normal Table"/>
    <w:uiPriority w:val="0"/>
    <w:semiHidden/>
    <w:qFormat/>
    <w:tblPr>
      <w:tblCellMar>
        <w:left w:w="108" w:type="dxa"/>
        <w:top w:w="0" w:type="dxa"/>
        <w:right w:w="108" w:type="dxa"/>
        <w:bottom w:w="0" w:type="dxa"/>
      </w:tblCellMar>
    </w:tblPr>
  </w:style>
  <w:style w:type="paragraph" w:styleId="900">
    <w:name w:val="Body Text First Indent 2"/>
    <w:basedOn w:val="901"/>
    <w:next w:val="896"/>
    <w:uiPriority w:val="0"/>
    <w:qFormat/>
    <w:pPr>
      <w:ind w:left="420" w:firstLine="420"/>
      <w:spacing w:after="120" w:line="480" w:lineRule="exact"/>
    </w:pPr>
    <w:rPr>
      <w:szCs w:val="20"/>
    </w:rPr>
  </w:style>
  <w:style w:type="paragraph" w:styleId="901">
    <w:name w:val="Body Text Indent"/>
    <w:basedOn w:val="896"/>
    <w:next w:val="896"/>
    <w:uiPriority w:val="0"/>
    <w:qFormat/>
    <w:pPr>
      <w:ind w:firstLine="570"/>
      <w:spacing w:line="360" w:lineRule="auto"/>
    </w:pPr>
    <w:rPr>
      <w:sz w:val="24"/>
    </w:rPr>
  </w:style>
  <w:style w:type="paragraph" w:styleId="902">
    <w:name w:val="Normal Indent"/>
    <w:basedOn w:val="896"/>
    <w:next w:val="896"/>
    <w:uiPriority w:val="0"/>
    <w:qFormat/>
    <w:pPr>
      <w:ind w:firstLine="420"/>
    </w:pPr>
    <w:rPr>
      <w:b/>
      <w:sz w:val="24"/>
    </w:rPr>
  </w:style>
  <w:style w:type="paragraph" w:styleId="903">
    <w:name w:val="Body Text"/>
    <w:basedOn w:val="896"/>
    <w:next w:val="896"/>
    <w:uiPriority w:val="0"/>
    <w:qFormat/>
    <w:pPr>
      <w:spacing w:before="120" w:line="22" w:lineRule="atLeast"/>
      <w:tabs>
        <w:tab w:val="left" w:pos="567" w:leader="none"/>
      </w:tabs>
    </w:pPr>
    <w:rPr>
      <w:rFonts w:ascii="宋体" w:hAnsi="宋体"/>
      <w:sz w:val="24"/>
    </w:rPr>
  </w:style>
  <w:style w:type="paragraph" w:styleId="904">
    <w:name w:val="Plain Text"/>
    <w:basedOn w:val="896"/>
    <w:next w:val="896"/>
    <w:uiPriority w:val="0"/>
    <w:qFormat/>
    <w:rPr>
      <w:rFonts w:hAnsi="Courier New"/>
      <w:szCs w:val="20"/>
    </w:rPr>
  </w:style>
  <w:style w:type="paragraph" w:styleId="905">
    <w:name w:val="Date"/>
    <w:basedOn w:val="896"/>
    <w:next w:val="896"/>
    <w:uiPriority w:val="0"/>
    <w:qFormat/>
    <w:pPr>
      <w:ind w:left="100"/>
    </w:pPr>
    <w:rPr>
      <w:rFonts w:ascii="仿宋_GB2312" w:hAnsi="宋体" w:eastAsia="仿宋_GB2312"/>
      <w:color w:val="000000"/>
      <w:sz w:val="24"/>
    </w:rPr>
  </w:style>
  <w:style w:type="paragraph" w:styleId="906">
    <w:name w:val="envelope return"/>
    <w:basedOn w:val="896"/>
    <w:uiPriority w:val="0"/>
    <w:qFormat/>
    <w:rPr>
      <w:rFonts w:ascii="Arial" w:hAnsi="Arial"/>
    </w:rPr>
  </w:style>
  <w:style w:type="paragraph" w:styleId="907">
    <w:name w:val="Normal (Web)"/>
    <w:basedOn w:val="896"/>
    <w:uiPriority w:val="99"/>
    <w:unhideWhenUsed/>
    <w:qFormat/>
    <w:pPr>
      <w:jc w:val="left"/>
      <w:spacing w:before="100" w:beforeAutospacing="1" w:after="100" w:afterAutospacing="1"/>
      <w:widowControl/>
    </w:pPr>
    <w:rPr>
      <w:rFonts w:ascii="宋体" w:hAnsi="宋体" w:cs="宋体"/>
      <w:sz w:val="24"/>
    </w:rPr>
  </w:style>
  <w:style w:type="table" w:styleId="9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9" w:customStyle="1">
    <w:name w:val="目录 11"/>
    <w:basedOn w:val="896"/>
    <w:next w:val="896"/>
    <w:uiPriority w:val="39"/>
    <w:qFormat/>
    <w:pPr>
      <w:spacing w:line="300" w:lineRule="auto"/>
      <w:tabs>
        <w:tab w:val="left" w:pos="1050" w:leader="none"/>
        <w:tab w:val="right" w:pos="8937" w:leader="dot"/>
      </w:tabs>
    </w:pPr>
    <w:rPr>
      <w:rFonts w:ascii="宋体" w:hAnsi="宋体"/>
      <w:b/>
      <w:sz w:val="24"/>
    </w:rPr>
  </w:style>
  <w:style w:type="character" w:styleId="910" w:customStyle="1">
    <w:name w:val="超链接1"/>
    <w:link w:val="896"/>
    <w:uiPriority w:val="99"/>
    <w:qFormat/>
    <w:rPr>
      <w:rFonts w:hint="default" w:ascii="Times New Roman" w:hAnsi="Times New Roman" w:eastAsia="宋体" w:cs="Times New Roman"/>
      <w:sz w:val="21"/>
      <w:szCs w:val="24"/>
      <w:lang w:val="en-US" w:eastAsia="zh-CN" w:bidi="ar-SA"/>
    </w:rPr>
  </w:style>
  <w:style w:type="paragraph" w:styleId="911" w:customStyle="1">
    <w:name w:val="标题 21"/>
    <w:basedOn w:val="896"/>
    <w:next w:val="896"/>
    <w:uiPriority w:val="0"/>
    <w:qFormat/>
    <w:pPr>
      <w:jc w:val="center"/>
      <w:keepLines/>
      <w:keepNext/>
      <w:spacing w:before="120" w:line="300" w:lineRule="auto"/>
      <w:outlineLvl w:val="1"/>
    </w:pPr>
    <w:rPr>
      <w:rFonts w:ascii="Arial" w:hAnsi="Arial" w:eastAsia="黑体"/>
      <w:b/>
      <w:sz w:val="30"/>
      <w:szCs w:val="20"/>
    </w:rPr>
  </w:style>
  <w:style w:type="paragraph" w:styleId="912" w:customStyle="1">
    <w:name w:val="纯文本1"/>
    <w:basedOn w:val="896"/>
    <w:uiPriority w:val="0"/>
    <w:qFormat/>
    <w:rPr>
      <w:rFonts w:hint="eastAsia" w:ascii="宋体" w:hAnsi="Courier New"/>
      <w:szCs w:val="20"/>
    </w:rPr>
  </w:style>
  <w:style w:type="paragraph" w:styleId="913" w:customStyle="1">
    <w:name w:val="列表段落"/>
    <w:basedOn w:val="896"/>
    <w:uiPriority w:val="34"/>
    <w:qFormat/>
    <w:pPr>
      <w:ind w:firstLine="420"/>
    </w:pPr>
    <w:rPr>
      <w:rFonts w:ascii="Calibri" w:hAnsi="Calibri"/>
      <w:szCs w:val="22"/>
    </w:rPr>
  </w:style>
  <w:style w:type="paragraph" w:styleId="914" w:customStyle="1">
    <w:name w:val="图例"/>
    <w:basedOn w:val="896"/>
    <w:uiPriority w:val="0"/>
    <w:qFormat/>
    <w:pPr>
      <w:jc w:val="center"/>
      <w:spacing w:before="120" w:after="120" w:line="360" w:lineRule="auto"/>
    </w:pPr>
    <w:rPr>
      <w:rFonts w:eastAsia="仿宋_GB2312"/>
      <w:b/>
      <w:sz w:val="24"/>
      <w:szCs w:val="20"/>
    </w:rPr>
  </w:style>
  <w:style w:type="paragraph" w:styleId="915" w:customStyle="1">
    <w:name w:val="批注文字1"/>
    <w:basedOn w:val="896"/>
    <w:uiPriority w:val="99"/>
    <w:qFormat/>
    <w:pPr>
      <w:jc w:val="left"/>
    </w:pPr>
  </w:style>
  <w:style w:type="paragraph" w:styleId="916" w:customStyle="1">
    <w:name w:val="正文缩进11"/>
    <w:basedOn w:val="896"/>
    <w:uiPriority w:val="0"/>
    <w:qFormat/>
    <w:pPr>
      <w:ind w:firstLine="420"/>
      <w:jc w:val="left"/>
    </w:pPr>
    <w:rPr>
      <w:rFonts w:ascii="宋体"/>
      <w:sz w:val="24"/>
    </w:rPr>
  </w:style>
  <w:style w:type="paragraph" w:styleId="917">
    <w:name w:val="List Paragraph"/>
    <w:basedOn w:val="896"/>
    <w:uiPriority w:val="34"/>
    <w:qFormat/>
    <w:pPr>
      <w:contextualSpacing/>
      <w:ind w:left="720"/>
    </w:pPr>
  </w:style>
  <w:style w:type="paragraph" w:styleId="918" w:customStyle="1">
    <w:name w:val="标题 31"/>
    <w:basedOn w:val="896"/>
    <w:next w:val="896"/>
    <w:uiPriority w:val="0"/>
    <w:qFormat/>
    <w:pPr>
      <w:jc w:val="left"/>
      <w:keepLines/>
      <w:keepNext/>
      <w:spacing w:before="360" w:after="120"/>
      <w:outlineLvl w:val="2"/>
    </w:pPr>
    <w:rPr>
      <w:rFonts w:ascii="宋体"/>
      <w:b/>
      <w:sz w:val="24"/>
      <w:szCs w:val="20"/>
      <w:u w:val="single"/>
    </w:rPr>
  </w:style>
  <w:style w:type="paragraph" w:styleId="919" w:customStyle="1">
    <w:name w:val="null3"/>
    <w:uiPriority w:val="0"/>
    <w:qFormat/>
    <w:rPr>
      <w:rFonts w:hint="eastAsia" w:ascii="Calibri" w:hAnsi="Calibri" w:eastAsia="宋体" w:cs="Times New Roman"/>
      <w:lang w:val="en-US" w:eastAsia="zh-CN" w:bidi="ar-SA"/>
    </w:rPr>
  </w:style>
  <w:style w:type="paragraph" w:styleId="920" w:customStyle="1">
    <w:name w:val="正文文本1"/>
    <w:basedOn w:val="896"/>
    <w:uiPriority w:val="0"/>
    <w:qFormat/>
    <w:pPr>
      <w:spacing w:before="120" w:line="22" w:lineRule="atLeast"/>
      <w:tabs>
        <w:tab w:val="left" w:pos="567" w:leader="none"/>
      </w:tabs>
    </w:pPr>
    <w:rPr>
      <w:rFonts w:ascii="宋体" w:hAnsi="宋体"/>
      <w:sz w:val="24"/>
    </w:rPr>
  </w:style>
  <w:style w:type="paragraph" w:styleId="921" w:customStyle="1">
    <w:name w:val="成文日期"/>
    <w:basedOn w:val="896"/>
    <w:uiPriority w:val="0"/>
    <w:qFormat/>
    <w:pPr>
      <w:ind w:right="400" w:firstLine="200"/>
      <w:jc w:val="right"/>
      <w:spacing w:line="570" w:lineRule="exact"/>
    </w:pPr>
    <w:rPr>
      <w:rFonts w:ascii="仿宋_GB2312" w:eastAsia="仿宋_GB2312"/>
      <w:sz w:val="32"/>
      <w:szCs w:val="20"/>
    </w:rPr>
  </w:style>
  <w:style w:type="paragraph" w:styleId="922" w:customStyle="1">
    <w:name w:val="页眉1"/>
    <w:basedOn w:val="896"/>
    <w:uiPriority w:val="0"/>
    <w:qFormat/>
    <w:pPr>
      <w:jc w:val="center"/>
      <w:tabs>
        <w:tab w:val="center" w:pos="4153" w:leader="none"/>
        <w:tab w:val="right" w:pos="8306" w:leader="none"/>
      </w:tabs>
      <w:pBdr>
        <w:bottom w:val="single" w:color="000000" w:sz="6" w:space="1"/>
      </w:pBdr>
    </w:pPr>
    <w:rPr>
      <w:sz w:val="18"/>
      <w:szCs w:val="18"/>
    </w:rPr>
  </w:style>
  <w:style w:type="paragraph" w:styleId="923" w:customStyle="1">
    <w:name w:val="页脚1"/>
    <w:basedOn w:val="896"/>
    <w:uiPriority w:val="99"/>
    <w:qFormat/>
    <w:pPr>
      <w:jc w:val="left"/>
      <w:tabs>
        <w:tab w:val="center" w:pos="4153" w:leader="none"/>
        <w:tab w:val="right" w:pos="8306" w:leader="none"/>
      </w:tabs>
    </w:pPr>
    <w:rPr>
      <w:rFonts w:ascii="宋体"/>
      <w:sz w:val="18"/>
      <w:szCs w:val="20"/>
    </w:rPr>
  </w:style>
  <w:style w:type="character" w:styleId="924" w:customStyle="1">
    <w:name w:val="页码1"/>
    <w:link w:val="896"/>
    <w:uiPriority w:val="0"/>
    <w:qFormat/>
  </w:style>
  <w:style w:type="character" w:styleId="925" w:customStyle="1">
    <w:name w:val="font41"/>
    <w:basedOn w:val="898"/>
    <w:uiPriority w:val="0"/>
    <w:qFormat/>
    <w:rPr>
      <w:rFonts w:ascii="Arial" w:hAnsi="Arial" w:cs="Arial"/>
      <w:b/>
      <w:bCs/>
      <w:color w:val="000000"/>
      <w:sz w:val="24"/>
      <w:szCs w:val="24"/>
      <w:u w:val="none"/>
    </w:rPr>
  </w:style>
  <w:style w:type="character" w:styleId="926" w:customStyle="1">
    <w:name w:val="font51"/>
    <w:basedOn w:val="898"/>
    <w:uiPriority w:val="0"/>
    <w:qFormat/>
    <w:rPr>
      <w:rFonts w:ascii="等线" w:hAnsi="等线" w:eastAsia="等线" w:cs="等线"/>
      <w:b/>
      <w:bCs/>
      <w:color w:val="000000"/>
      <w:sz w:val="24"/>
      <w:szCs w:val="24"/>
      <w:u w:val="none"/>
    </w:rPr>
  </w:style>
  <w:style w:type="paragraph" w:styleId="927" w:customStyle="1">
    <w:name w:val="列出段落"/>
    <w:uiPriority w:val="34"/>
    <w:qFormat/>
    <w:pPr>
      <w:ind w:firstLine="420"/>
      <w:jc w:val="both"/>
      <w:widowControl w:val="off"/>
    </w:pPr>
    <w:rPr>
      <w:rFonts w:hint="default" w:ascii="Calibri" w:hAnsi="Calibri" w:eastAsia="宋体" w:cs="Times New Roman"/>
      <w:sz w:val="21"/>
      <w:szCs w:val="22"/>
      <w:lang w:val="en-US" w:eastAsia="zh-CN" w:bidi="ar-SA"/>
    </w:rPr>
  </w:style>
  <w:style w:type="character" w:styleId="928" w:customStyle="1">
    <w:name w:val="font31"/>
    <w:basedOn w:val="898"/>
    <w:uiPriority w:val="0"/>
    <w:qFormat/>
    <w:rPr>
      <w:rFonts w:ascii="Arial" w:hAnsi="Arial" w:cs="Arial"/>
      <w:color w:val="000000"/>
      <w:sz w:val="22"/>
      <w:szCs w:val="22"/>
      <w:u w:val="none"/>
    </w:rPr>
  </w:style>
  <w:style w:type="character" w:styleId="929" w:customStyle="1">
    <w:name w:val="font21"/>
    <w:basedOn w:val="898"/>
    <w:uiPriority w:val="0"/>
    <w:qFormat/>
    <w:rPr>
      <w:rFonts w:hint="eastAsia" w:ascii="等线" w:hAnsi="等线" w:eastAsia="等线" w:cs="等线"/>
      <w:color w:val="000000"/>
      <w:sz w:val="22"/>
      <w:szCs w:val="22"/>
      <w:u w:val="none"/>
    </w:rPr>
  </w:style>
  <w:style w:type="character" w:styleId="930" w:customStyle="1">
    <w:name w:val="font11"/>
    <w:basedOn w:val="898"/>
    <w:uiPriority w:val="0"/>
    <w:qFormat/>
    <w:rPr>
      <w:rFonts w:hint="eastAsia" w:ascii="等线" w:hAnsi="等线" w:eastAsia="等线" w:cs="等线"/>
      <w:color w:val="000000"/>
      <w:sz w:val="22"/>
      <w:szCs w:val="22"/>
      <w:u w:val="none"/>
    </w:rPr>
  </w:style>
  <w:style w:type="numbering" w:styleId="234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姜珏琳</cp:lastModifiedBy>
  <cp:revision>1</cp:revision>
  <dcterms:created xsi:type="dcterms:W3CDTF">2021-04-27T13:08:00Z</dcterms:created>
  <dcterms:modified xsi:type="dcterms:W3CDTF">2026-10-21T03:24:40Z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4FACA4E4F8DA4167B02C8D105B7A2CC1</vt:lpwstr>
  </property>
  <property fmtid="{D5CDD505-2E9C-101B-9397-08002B2CF9AE}" pid="4" name="KSOTemplateDocerSaveRecord">
    <vt:lpwstr>eyJoZGlkIjoiMTUzNTIxYTNmZTcxMWFlY2RkYzMxZDcwN2Q1NGM1ZjYiLCJ1c2VySWQiOiI4NTI1NzE4MjMifQ==</vt:lpwstr>
  </property>
</Properties>
</file>