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4"/>
        <w:rPr>
          <w:rFonts w:hint="eastAsia"/>
          <w:color w:val="000000"/>
          <w:highlight w:val="none"/>
        </w:rPr>
      </w:pPr>
      <w:r>
        <w:rPr>
          <w:rFonts w:hint="eastAsia"/>
          <w:color w:val="000000"/>
          <w:highlight w:val="none"/>
        </w:rPr>
      </w:r>
      <w:r/>
    </w:p>
    <w:p>
      <w:pPr>
        <w:pStyle w:val="965"/>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p>
    <w:p>
      <w:pPr>
        <w:rPr>
          <w:rFonts w:hint="eastAsia" w:ascii="Times New Roman" w:hAnsi="Times New Roman" w:eastAsia="宋体" w:cs="Times New Roman"/>
          <w:b/>
          <w:color w:val="000000"/>
          <w:sz w:val="30"/>
          <w:szCs w:val="30"/>
          <w:highlight w:val="none"/>
          <w:u w:val="none"/>
          <w:lang w:val="en-US" w:eastAsia="zh-CN"/>
        </w:rPr>
      </w:pPr>
      <w:r>
        <w:rPr>
          <w:rFonts w:hint="eastAsia" w:eastAsia="宋体" w:cs="Times New Roman"/>
          <w:b/>
          <w:color w:val="000000"/>
          <w:sz w:val="30"/>
          <w:szCs w:val="30"/>
          <w:highlight w:val="none"/>
          <w:lang w:eastAsia="zh-CN"/>
        </w:rPr>
        <w:t xml:space="preserve">项目</w:t>
      </w:r>
      <w:r>
        <w:rPr>
          <w:rFonts w:hint="eastAsia" w:ascii="Times New Roman" w:hAnsi="Times New Roman" w:eastAsia="宋体" w:cs="Times New Roman"/>
          <w:b/>
          <w:color w:val="000000"/>
          <w:sz w:val="30"/>
          <w:szCs w:val="30"/>
          <w:highlight w:val="none"/>
          <w:lang w:eastAsia="zh-CN"/>
        </w:rPr>
        <w:t xml:space="preserve">名称：</w:t>
      </w:r>
      <w:r>
        <w:rPr>
          <w:rFonts w:hint="eastAsia" w:ascii="Times New Roman" w:hAnsi="Times New Roman" w:eastAsia="宋体" w:cs="Times New Roman"/>
          <w:b/>
          <w:color w:val="000000"/>
          <w:sz w:val="30"/>
          <w:szCs w:val="30"/>
          <w:highlight w:val="none"/>
          <w:lang w:val="en-US" w:eastAsia="zh-CN"/>
        </w:rPr>
        <w:t xml:space="preserve">2</w:t>
      </w:r>
      <w:r>
        <w:rPr>
          <w:rFonts w:hint="eastAsia" w:ascii="Times New Roman" w:hAnsi="Times New Roman" w:eastAsia="宋体" w:cs="Times New Roman"/>
          <w:b/>
          <w:i w:val="0"/>
          <w:iCs w:val="0"/>
          <w:caps w:val="0"/>
          <w:color w:val="000000"/>
          <w:spacing w:val="0"/>
          <w:sz w:val="30"/>
          <w:szCs w:val="30"/>
          <w:highlight w:val="none"/>
          <w:shd w:val="clear" w:color="auto" w:fill="auto"/>
        </w:rPr>
        <w:t xml:space="preserve">026年南京市医疗设备集中采购磁共振成像系统（</w:t>
      </w:r>
      <w:r>
        <w:rPr>
          <w:rFonts w:hint="eastAsia" w:cs="Times New Roman"/>
          <w:b/>
          <w:i w:val="0"/>
          <w:iCs w:val="0"/>
          <w:caps w:val="0"/>
          <w:color w:val="000000"/>
          <w:spacing w:val="0"/>
          <w:sz w:val="30"/>
          <w:szCs w:val="30"/>
          <w:highlight w:val="none"/>
          <w:shd w:val="clear" w:color="auto" w:fill="auto"/>
          <w:lang w:val="en-US" w:eastAsia="zh-CN"/>
        </w:rPr>
        <w:t xml:space="preserve">一</w:t>
      </w:r>
      <w:r>
        <w:rPr>
          <w:rFonts w:hint="eastAsia" w:ascii="Times New Roman" w:hAnsi="Times New Roman" w:eastAsia="宋体" w:cs="Times New Roman"/>
          <w:b/>
          <w:i w:val="0"/>
          <w:iCs w:val="0"/>
          <w:caps w:val="0"/>
          <w:color w:val="000000"/>
          <w:spacing w:val="0"/>
          <w:sz w:val="30"/>
          <w:szCs w:val="30"/>
          <w:highlight w:val="none"/>
          <w:shd w:val="clear" w:color="auto" w:fill="auto"/>
        </w:rPr>
        <w:t xml:space="preserve">）</w:t>
      </w:r>
      <w:r/>
    </w:p>
    <w:p>
      <w:pPr>
        <w:ind w:firstLine="1506"/>
        <w:rPr>
          <w:rFonts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0418</w:t>
      </w:r>
      <w:r/>
    </w:p>
    <w:p>
      <w:pPr>
        <w:jc w:val="center"/>
        <w:rPr>
          <w:rFonts w:hint="eastAsia" w:ascii="宋体" w:hAnsi="宋体" w:eastAsia="宋体" w:cs="宋体"/>
          <w:b/>
          <w:bCs/>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 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5"/>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w:t>
      </w:r>
      <w:r>
        <w:rPr>
          <w:rFonts w:hint="eastAsia" w:cs="Times New Roman"/>
          <w:b/>
          <w:bCs w:val="0"/>
          <w:color w:val="000000"/>
          <w:sz w:val="32"/>
          <w:szCs w:val="32"/>
          <w:highlight w:val="none"/>
          <w:u w:val="none"/>
          <w:lang w:val="en-US" w:eastAsia="zh-CN"/>
        </w:rPr>
        <w:t xml:space="preserve">10</w:t>
      </w:r>
      <w:r>
        <w:rPr>
          <w:rFonts w:hint="eastAsia" w:ascii="Times New Roman" w:hAnsi="Times New Roman" w:eastAsia="宋体" w:cs="Times New Roman"/>
          <w:b/>
          <w:bCs w:val="0"/>
          <w:color w:val="000000"/>
          <w:sz w:val="32"/>
          <w:szCs w:val="32"/>
          <w:highlight w:val="none"/>
          <w:u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26</w:t>
      </w:r>
      <w:bookmarkStart w:id="61" w:name="_GoBack"/>
      <w:r/>
      <w:bookmarkEnd w:id="61"/>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bookmarkEnd w:id="0"/>
      <w:r>
        <w:rPr>
          <w:rFonts w:hint="eastAsia" w:ascii="黑体" w:hAnsi="宋体" w:eastAsia="黑体" w:cs="Times New Roman"/>
          <w:color w:val="000000"/>
          <w:sz w:val="36"/>
          <w:szCs w:val="21"/>
          <w:highlight w:val="none"/>
          <w:lang w:val="en-US" w:eastAsia="zh-CN"/>
        </w:rPr>
        <w:t xml:space="preserve">30</w:t>
      </w:r>
      <w:r/>
    </w:p>
    <w:p>
      <w:pPr>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8985263"/>
      <w:r/>
      <w:bookmarkStart w:id="7" w:name="_Toc28359079"/>
      <w:r/>
      <w:bookmarkStart w:id="8" w:name="_Toc35393621"/>
      <w:r/>
      <w:bookmarkStart w:id="9" w:name="_Toc35393790"/>
      <w:r/>
      <w:bookmarkStart w:id="10" w:name="_Hlk24379207"/>
      <w:r/>
      <w:bookmarkStart w:id="11" w:name="_Toc28359002"/>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sz w:val="24"/>
          <w:szCs w:val="24"/>
          <w:highlight w:val="none"/>
        </w:rPr>
      </w:pPr>
      <w:r/>
      <w:bookmarkStart w:id="12" w:name="_Toc35393791"/>
      <w:r/>
      <w:bookmarkStart w:id="13" w:name="_Toc28359003"/>
      <w:r/>
      <w:bookmarkStart w:id="14" w:name="_Toc28359080"/>
      <w:r/>
      <w:bookmarkStart w:id="15" w:name="_Toc38985264"/>
      <w:r/>
      <w:bookmarkStart w:id="16" w:name="_Toc35393622"/>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w:t>
      </w:r>
      <w:r>
        <w:rPr>
          <w:rFonts w:hint="eastAsia" w:ascii="宋体" w:hAnsi="宋体" w:cs="Times New Roman"/>
          <w:color w:val="000000"/>
          <w:sz w:val="24"/>
          <w:szCs w:val="24"/>
          <w:highlight w:val="none"/>
          <w:lang w:val="en-US" w:eastAsia="zh-CN"/>
        </w:rPr>
        <w:t xml:space="preserve">418</w:t>
      </w:r>
      <w:r>
        <w:rPr>
          <w:rFonts w:hint="eastAsia" w:ascii="宋体" w:hAnsi="宋体" w:eastAsia="宋体" w:cs="Times New Roman"/>
          <w:color w:val="000000"/>
          <w:sz w:val="24"/>
          <w:szCs w:val="24"/>
          <w:highlight w:val="none"/>
          <w:lang w:eastAsia="zh-CN"/>
        </w:rPr>
        <w:t xml:space="preserve"> </w:t>
      </w:r>
      <w:r/>
    </w:p>
    <w:p>
      <w:pPr>
        <w:ind w:firstLine="480"/>
        <w:pageBreakBefore w:val="0"/>
        <w:spacing w:line="252"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2026年南京市医疗设备集中采</w:t>
      </w:r>
      <w:r>
        <w:rPr>
          <w:rFonts w:hint="eastAsia" w:ascii="宋体" w:hAnsi="宋体" w:eastAsia="宋体" w:cs="Times New Roman"/>
          <w:color w:val="000000"/>
          <w:sz w:val="24"/>
          <w:szCs w:val="24"/>
          <w:highlight w:val="none"/>
          <w:lang w:val="en-US" w:eastAsia="zh-CN"/>
        </w:rPr>
        <w:t xml:space="preserve">购磁共振成像系统（</w:t>
      </w:r>
      <w:r>
        <w:rPr>
          <w:rFonts w:hint="eastAsia" w:ascii="宋体" w:hAnsi="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val="en-US" w:eastAsia="zh-CN"/>
        </w:rPr>
        <w:t xml:space="preserve">）</w:t>
      </w:r>
      <w:r/>
    </w:p>
    <w:p>
      <w:pPr>
        <w:ind w:firstLine="48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3.预算金额：3555万元</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3555万元</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60天</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9.本项目允许分包。</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color w:val="000000"/>
          <w:sz w:val="24"/>
          <w:szCs w:val="24"/>
          <w:highlight w:val="none"/>
        </w:rPr>
      </w:pPr>
      <w:r/>
      <w:bookmarkStart w:id="17" w:name="_Toc38985265"/>
      <w:r/>
      <w:bookmarkStart w:id="18" w:name="_Toc35393792"/>
      <w:r/>
      <w:bookmarkStart w:id="19" w:name="_Toc35393623"/>
      <w:r/>
      <w:bookmarkStart w:id="20" w:name="_Toc28359004"/>
      <w:r/>
      <w:bookmarkStart w:id="21" w:name="_Toc28359081"/>
      <w:r>
        <w:rPr>
          <w:rFonts w:hint="eastAsia" w:ascii="宋体" w:hAnsi="宋体" w:eastAsia="宋体" w:cs="宋体"/>
          <w:color w:val="00000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p>
    <w:p>
      <w:pPr>
        <w:ind w:firstLine="480"/>
        <w:pageBreakBefore w:val="0"/>
        <w:spacing w:line="252" w:lineRule="auto"/>
        <w:widowControl/>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1.所投产品生产厂家具备《医疗器械生产许可证》</w:t>
      </w:r>
      <w:r>
        <w:rPr>
          <w:rFonts w:hint="eastAsia"/>
          <w:color w:val="000000"/>
          <w:lang w:eastAsia="zh-CN"/>
        </w:rPr>
        <w:t xml:space="preserve">。</w:t>
      </w:r>
      <w:r/>
    </w:p>
    <w:p>
      <w:pPr>
        <w:ind w:firstLine="480"/>
        <w:pageBreakBefore w:val="0"/>
        <w:spacing w:line="252" w:lineRule="auto"/>
        <w:widowControl/>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2.投标人具备《医疗器械经营许可证》。</w:t>
      </w:r>
      <w:r/>
    </w:p>
    <w:p>
      <w:pPr>
        <w:ind w:firstLine="480"/>
        <w:spacing w:line="252" w:lineRule="auto"/>
        <w:rPr>
          <w:rFonts w:hint="eastAsia"/>
          <w:lang w:val="en-US" w:eastAsia="zh-CN"/>
        </w:rPr>
      </w:pPr>
      <w:r>
        <w:rPr>
          <w:rFonts w:hint="eastAsia" w:ascii="宋体" w:hAnsi="宋体" w:eastAsia="宋体" w:cs="Times New Roman"/>
          <w:b w:val="0"/>
          <w:bCs w:val="0"/>
          <w:color w:val="auto"/>
          <w:sz w:val="24"/>
          <w:szCs w:val="24"/>
          <w:highlight w:val="none"/>
          <w:lang w:val="en-US" w:eastAsia="zh-CN"/>
        </w:rPr>
        <w:t xml:space="preserve">3.</w:t>
      </w:r>
      <w:r>
        <w:rPr>
          <w:rFonts w:hint="eastAsia" w:ascii="宋体" w:hAnsi="宋体" w:eastAsia="宋体" w:cs="Times New Roman"/>
          <w:b w:val="0"/>
          <w:bCs w:val="0"/>
          <w:color w:val="auto"/>
          <w:sz w:val="24"/>
          <w:szCs w:val="24"/>
          <w:highlight w:val="none"/>
          <w:lang w:val="en-US" w:eastAsia="zh-CN" w:bidi="ar-SA"/>
        </w:rPr>
        <w:t xml:space="preserve">投标人具备建筑装修装饰工程专业承包二级及以上资质（提供证书）</w:t>
      </w:r>
      <w:r>
        <w:rPr>
          <w:rFonts w:hint="eastAsia" w:ascii="宋体" w:hAnsi="宋体" w:eastAsia="宋体" w:cs="Times New Roman"/>
          <w:color w:val="auto"/>
          <w:sz w:val="24"/>
          <w:szCs w:val="24"/>
          <w:highlight w:val="none"/>
          <w:lang w:val="en-US" w:eastAsia="zh-CN"/>
        </w:rPr>
        <w:t xml:space="preserve">或涉及机房屏蔽装修部分内容分包给具有有效期内建筑装修装饰工程专业承包二级及以上资质证书（</w:t>
      </w:r>
      <w:r>
        <w:rPr>
          <w:rFonts w:hint="eastAsia" w:ascii="宋体" w:hAnsi="宋体" w:eastAsia="宋体" w:cs="Times New Roman"/>
          <w:i w:val="0"/>
          <w:iCs w:val="0"/>
          <w:caps w:val="0"/>
          <w:color w:val="auto"/>
          <w:spacing w:val="0"/>
          <w:sz w:val="24"/>
          <w:szCs w:val="24"/>
          <w:highlight w:val="none"/>
          <w:shd w:val="clear" w:color="auto" w:fill="auto"/>
          <w:lang w:val="en-US" w:eastAsia="zh-CN"/>
        </w:rPr>
        <w:t xml:space="preserve">提供分包情况说明及分包意向协议</w:t>
      </w:r>
      <w:r>
        <w:rPr>
          <w:rFonts w:hint="eastAsia" w:ascii="宋体" w:hAnsi="宋体" w:eastAsia="宋体" w:cs="Times New Roman"/>
          <w:color w:val="auto"/>
          <w:sz w:val="24"/>
          <w:szCs w:val="24"/>
          <w:highlight w:val="none"/>
          <w:lang w:val="en-US" w:eastAsia="zh-CN"/>
        </w:rPr>
        <w:t xml:space="preserve">（格式见第六章））</w:t>
      </w:r>
      <w:r>
        <w:rPr>
          <w:rFonts w:hint="eastAsia" w:ascii="宋体" w:hAnsi="宋体" w:eastAsia="宋体" w:cs="Times New Roman"/>
          <w:b w:val="0"/>
          <w:bCs w:val="0"/>
          <w:color w:val="auto"/>
          <w:sz w:val="24"/>
          <w:szCs w:val="24"/>
          <w:highlight w:val="none"/>
          <w:lang w:val="en-US" w:eastAsia="zh-CN" w:bidi="ar-SA"/>
        </w:rPr>
        <w:t xml:space="preserve">。</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w:t>
      </w:r>
      <w:r/>
    </w:p>
    <w:p>
      <w:pPr>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8985267"/>
      <w:r/>
      <w:bookmarkStart w:id="29" w:name="_Toc28359007"/>
      <w:r/>
      <w:bookmarkStart w:id="30" w:name="_Toc35393794"/>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lang w:val="en-US" w:eastAsia="zh-CN"/>
        </w:rPr>
        <w:t xml:space="preserve">1</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19 </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p>
    <w:p>
      <w:pPr>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796"/>
      <w:r/>
      <w:bookmarkStart w:id="36" w:name="_Toc35393627"/>
      <w:r/>
      <w:bookmarkStart w:id="37" w:name="_Toc28359085"/>
      <w:r/>
      <w:bookmarkStart w:id="38" w:name="_Toc28359008"/>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本项目不统一组织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tbl>
      <w:tblPr>
        <w:tblStyle w:val="701"/>
        <w:tblpPr w:horzAnchor="page" w:tblpX="825" w:vertAnchor="text" w:tblpY="99" w:leftFromText="180" w:topFromText="0" w:rightFromText="180" w:bottomFromText="0"/>
        <w:tblW w:w="10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133"/>
        <w:gridCol w:w="5268"/>
        <w:gridCol w:w="960"/>
        <w:gridCol w:w="1435"/>
      </w:tblGrid>
      <w:tr>
        <w:trPr>
          <w:trHeight w:val="600"/>
        </w:trPr>
        <w:tc>
          <w:tcPr>
            <w:tcW w:w="764" w:type="dxa"/>
            <w:vAlign w:val="center"/>
            <w:textDirection w:val="lrTb"/>
            <w:noWrap w:val="false"/>
          </w:tcPr>
          <w:p>
            <w:pPr>
              <w:jc w:val="center"/>
              <w:keepLines w:val="0"/>
              <w:keepNext w:val="0"/>
              <w:widowControl/>
              <w:rPr>
                <w:rFonts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序号</w:t>
            </w:r>
            <w:r/>
          </w:p>
        </w:tc>
        <w:tc>
          <w:tcPr>
            <w:tcW w:w="2133"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最终用户</w:t>
            </w:r>
            <w:r/>
          </w:p>
        </w:tc>
        <w:tc>
          <w:tcPr>
            <w:tcW w:w="5268"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交付地点</w:t>
            </w:r>
            <w:r/>
          </w:p>
        </w:tc>
        <w:tc>
          <w:tcPr>
            <w:tcW w:w="960"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lang w:val="en-US" w:eastAsia="zh-CN" w:bidi="ar"/>
              </w:rPr>
              <w:suppressLineNumbers w:val="0"/>
            </w:pPr>
            <w:r>
              <w:rPr>
                <w:rFonts w:hint="eastAsia" w:ascii="黑体" w:hAnsi="宋体" w:eastAsia="黑体" w:cs="黑体"/>
                <w:i w:val="0"/>
                <w:iCs w:val="0"/>
                <w:color w:val="000000"/>
                <w:sz w:val="18"/>
                <w:szCs w:val="18"/>
                <w:u w:val="none"/>
                <w:lang w:val="en-US" w:eastAsia="zh-CN" w:bidi="ar"/>
              </w:rPr>
              <w:t xml:space="preserve">联系人</w:t>
            </w:r>
            <w:r/>
          </w:p>
        </w:tc>
        <w:tc>
          <w:tcPr>
            <w:tcW w:w="1435"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lang w:val="en-US" w:eastAsia="zh-CN" w:bidi="ar"/>
              </w:rPr>
              <w:suppressLineNumbers w:val="0"/>
            </w:pPr>
            <w:r>
              <w:rPr>
                <w:rFonts w:hint="eastAsia" w:ascii="黑体" w:hAnsi="宋体" w:eastAsia="黑体" w:cs="黑体"/>
                <w:i w:val="0"/>
                <w:iCs w:val="0"/>
                <w:color w:val="000000"/>
                <w:sz w:val="18"/>
                <w:szCs w:val="18"/>
                <w:u w:val="none"/>
                <w:lang w:val="en-US" w:eastAsia="zh-CN" w:bidi="ar"/>
              </w:rPr>
              <w:t xml:space="preserve">联系方式</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rPr>
              <w:suppressLineNumbers w:val="0"/>
            </w:pPr>
            <w:r>
              <w:rPr>
                <w:rFonts w:hint="eastAsia" w:ascii="仿宋" w:hAnsi="仿宋" w:eastAsia="仿宋" w:cs="仿宋"/>
                <w:i w:val="0"/>
                <w:iCs w:val="0"/>
                <w:color w:val="000000"/>
                <w:sz w:val="18"/>
                <w:szCs w:val="18"/>
                <w:u w:val="none"/>
                <w:lang w:val="en-US" w:eastAsia="zh-CN"/>
              </w:rPr>
              <w:t xml:space="preserve">1</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南京鼓楼医院本部</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南京市鼓楼区中山路321号南京鼓楼医院1号楼1楼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邱老师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13813938638</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rPr>
              <w:suppressLineNumbers w:val="0"/>
            </w:pPr>
            <w:r>
              <w:rPr>
                <w:rFonts w:hint="eastAsia" w:ascii="仿宋" w:hAnsi="仿宋" w:eastAsia="仿宋" w:cs="仿宋"/>
                <w:i w:val="0"/>
                <w:iCs w:val="0"/>
                <w:color w:val="000000"/>
                <w:sz w:val="18"/>
                <w:szCs w:val="18"/>
                <w:u w:val="none"/>
                <w:lang w:val="en-US" w:eastAsia="zh-CN"/>
              </w:rPr>
              <w:t xml:space="preserve">2</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南京鼓楼医院江北院区</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南京市浦口区浦珠中路359号南京鼓楼医院江北国际医院B栋3楼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邱老师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13813938638</w:t>
            </w:r>
            <w:r/>
          </w:p>
        </w:tc>
      </w:tr>
    </w:tbl>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0"/>
        <w:spacing w:line="240" w:lineRule="auto"/>
        <w:tabs>
          <w:tab w:val="left" w:pos="900" w:leader="none"/>
        </w:tabs>
        <w:rPr>
          <w:rFonts w:hint="eastAsia" w:ascii="宋体" w:hAnsi="宋体" w:eastAsia="宋体" w:cs="Times New Roman"/>
          <w:b w:val="0"/>
          <w:bCs w:val="0"/>
          <w:color w:val="000000"/>
          <w:sz w:val="24"/>
          <w:szCs w:val="24"/>
          <w:highlight w:val="none"/>
          <w:lang w:val="en-US" w:eastAsia="zh-CN"/>
          <w14:ligatures w14:val="none"/>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szCs w:val="24"/>
          <w:highlight w:val="none"/>
          <w:lang w:val="en-US" w:eastAsia="zh-CN"/>
        </w:rPr>
        <w:t xml:space="preserve">供应商（含潜在供应商）对本项目有关的所有询问或质疑向采购人提出，由采购人负责答复。</w:t>
      </w:r>
      <w:r/>
    </w:p>
    <w:p>
      <w:pPr>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采购人《质疑函》收件人：南京市卫生健康委员会，收件地址：</w:t>
      </w:r>
      <w:r>
        <w:rPr>
          <w:rFonts w:hint="eastAsia" w:ascii="宋体" w:hAnsi="宋体" w:eastAsia="宋体" w:cs="Times New Roman"/>
          <w:color w:val="000000"/>
          <w:sz w:val="24"/>
          <w:szCs w:val="21"/>
          <w:highlight w:val="none"/>
          <w:u w:val="none"/>
          <w:lang w:val="en-US" w:eastAsia="zh-CN"/>
        </w:rPr>
        <w:t xml:space="preserve">南京市建邺区江东中路265号D座617室，</w:t>
      </w:r>
      <w:r>
        <w:rPr>
          <w:rFonts w:hint="eastAsia" w:ascii="宋体" w:hAnsi="宋体" w:eastAsia="宋体" w:cs="Times New Roman"/>
          <w:b w:val="0"/>
          <w:bCs w:val="0"/>
          <w:color w:val="000000"/>
          <w:sz w:val="24"/>
          <w:highlight w:val="none"/>
          <w:lang w:val="en-US" w:eastAsia="zh-CN"/>
        </w:rPr>
        <w:t xml:space="preserve">联系电话：025-68787830。</w:t>
      </w:r>
      <w:bookmarkEnd w:id="35"/>
      <w:r/>
      <w:bookmarkEnd w:id="36"/>
      <w:r/>
      <w:bookmarkEnd w:id="37"/>
      <w:r/>
      <w:bookmarkEnd w:id="38"/>
      <w:r/>
      <w:bookmarkEnd w:id="39"/>
      <w:r/>
      <w:r/>
    </w:p>
    <w:p>
      <w:pPr>
        <w:pStyle w:val="100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称：南京市卫生健康委员会          </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联系人：孟老师</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w:t>
      </w:r>
      <w:r>
        <w:rPr>
          <w:rFonts w:hint="eastAsia" w:ascii="宋体" w:hAnsi="宋体" w:eastAsia="宋体" w:cs="宋体"/>
          <w:i w:val="0"/>
          <w:iCs w:val="0"/>
          <w:caps w:val="0"/>
          <w:color w:val="000000"/>
          <w:spacing w:val="0"/>
          <w:sz w:val="24"/>
          <w:szCs w:val="24"/>
          <w:highlight w:val="none"/>
          <w:shd w:val="clear" w:color="auto" w:fill="auto"/>
        </w:rPr>
        <w:t xml:space="preserve">68787831</w:t>
      </w:r>
      <w:bookmarkStart w:id="40" w:name="_Toc28359086"/>
      <w:r/>
      <w:bookmarkStart w:id="41" w:name="_Toc28359009"/>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址：南京市建邺区江东中路265号  </w:t>
      </w:r>
      <w:r/>
    </w:p>
    <w:p>
      <w:pPr>
        <w:ind w:firstLine="480"/>
        <w:pageBreakBefore w:val="0"/>
        <w:spacing w:line="25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联系人：邹女士</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联系电话：025-68505810 </w:t>
      </w:r>
      <w:r/>
    </w:p>
    <w:p>
      <w:pPr>
        <w:pStyle w:val="95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88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88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88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88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88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88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pStyle w:val="88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8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8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881"/>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881"/>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88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p>
    <w:p>
      <w:pPr>
        <w:pStyle w:val="88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p>
    <w:p>
      <w:pPr>
        <w:pStyle w:val="88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p>
    <w:p>
      <w:pPr>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p>
    <w:p>
      <w:pPr>
        <w:pStyle w:val="88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p>
    <w:p>
      <w:pPr>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p>
    <w:p>
      <w:pPr>
        <w:pStyle w:val="88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83"/>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p>
    <w:p>
      <w:pPr>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p>
    <w:p>
      <w:pPr>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p>
    <w:p>
      <w:pPr>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p>
    <w:p>
      <w:pPr>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p>
    <w:p>
      <w:pPr>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954"/>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4"/>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bookmarkEnd w:id="42"/>
      <w:r/>
      <w:bookmarkStart w:id="43" w:name="_Toc120614221"/>
      <w:r/>
      <w:bookmarkStart w:id="44" w:name="_Toc513029242"/>
      <w:r/>
      <w:bookmarkStart w:id="45" w:name="_Toc479757207"/>
      <w:r/>
      <w:bookmarkStart w:id="46" w:name="_Toc16938558"/>
      <w:r/>
      <w:bookmarkStart w:id="47" w:name="_Toc20823314"/>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16938559"/>
      <w:r/>
      <w:bookmarkStart w:id="49" w:name="_Toc20823315"/>
      <w:r/>
      <w:bookmarkStart w:id="50" w:name="_Toc513029243"/>
      <w:r/>
      <w:bookmarkStart w:id="51" w:name="_Toc20823346"/>
      <w:r/>
      <w:bookmarkStart w:id="52" w:name="_Toc120614244"/>
      <w:r/>
      <w:bookmarkStart w:id="53" w:name="_Toc16938590"/>
      <w:r/>
      <w:bookmarkStart w:id="54" w:name="_Hlt16619350"/>
      <w:r/>
      <w:bookmarkStart w:id="55" w:name="_Toc479757211"/>
      <w:r/>
      <w:bookmarkStart w:id="56"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Times New Roman"/>
          <w:color w:val="000000"/>
          <w:sz w:val="24"/>
          <w:szCs w:val="24"/>
          <w:highlight w:val="none"/>
          <w:lang w:val="en-US" w:eastAsia="zh-CN"/>
        </w:rPr>
        <w:t xml:space="preserve">磁共振成像系统</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916"/>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合同签订后，甲方支付合同总价款的50%作为预付款。</w:t>
      </w:r>
      <w:r/>
    </w:p>
    <w:p>
      <w:pPr>
        <w:pStyle w:val="916"/>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供货结束并验收合格后，甲方支付合同总价款的50%。</w:t>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ascii="宋体" w:hAnsi="宋体" w:eastAsia="宋体" w:cs="Courier New"/>
          <w:color w:val="auto"/>
          <w:sz w:val="24"/>
          <w:szCs w:val="24"/>
          <w:highlight w:val="none"/>
          <w:lang w:val="en-US" w:eastAsia="zh-CN"/>
        </w:rPr>
        <w:t xml:space="preserve">满足合同约定支付条件且预算资金下达后</w:t>
      </w:r>
      <w:r>
        <w:rPr>
          <w:rFonts w:hint="eastAsia" w:ascii="宋体" w:hAnsi="宋体" w:eastAsia="宋体" w:cs="Courier New"/>
          <w:color w:val="000000"/>
          <w:sz w:val="24"/>
          <w:szCs w:val="24"/>
          <w:highlight w:val="none"/>
          <w:lang w:val="en-US" w:eastAsia="zh-CN"/>
        </w:rPr>
        <w:t xml:space="preserve">，甲方收到乙方发票后10个工作日内，将资金支付到合同约定的乙方账户。 </w:t>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 甲方无正当理由拒收货物的，应向乙方偿付拒收货物总价款 </w:t>
      </w:r>
      <w:r>
        <w:rPr>
          <w:rFonts w:hint="eastAsia" w:ascii="宋体" w:hAnsi="宋体" w:eastAsia="宋体" w:cs="Courier New"/>
          <w:color w:val="000000"/>
          <w:sz w:val="24"/>
          <w:szCs w:val="24"/>
          <w:highlight w:val="none"/>
          <w:u w:val="single"/>
        </w:rPr>
        <w:t xml:space="preserve"> 0.01%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 甲方无故逾期验收和办理货款支付手续的，应按逾期付款总额每日按逾期交付货物价款总值的</w:t>
      </w:r>
      <w:r>
        <w:rPr>
          <w:rFonts w:hint="eastAsia" w:ascii="宋体" w:hAnsi="宋体" w:eastAsia="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rPr>
        <w:t xml:space="preserve"> 向乙方支付违约金，但违约金最高不得超过合同总价的 </w:t>
      </w:r>
      <w:r>
        <w:rPr>
          <w:rFonts w:hint="eastAsia" w:ascii="宋体" w:hAnsi="宋体" w:eastAsia="宋体" w:cs="Courier New"/>
          <w:color w:val="000000"/>
          <w:sz w:val="24"/>
          <w:szCs w:val="24"/>
          <w:highlight w:val="none"/>
          <w:u w:val="single"/>
        </w:rPr>
        <w:t xml:space="preserve">1 %</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 乙方逾期交付货物的，应按逾期交货总额每日按逾期交付货物价款总值的</w:t>
      </w:r>
      <w:r>
        <w:rPr>
          <w:rFonts w:hint="eastAsia" w:ascii="宋体" w:hAnsi="宋体" w:eastAsia="宋体" w:cs="Courier New"/>
          <w:color w:val="000000"/>
          <w:sz w:val="24"/>
          <w:szCs w:val="24"/>
          <w:highlight w:val="none"/>
          <w:u w:val="single"/>
        </w:rPr>
        <w:t xml:space="preserve">1%</w:t>
      </w:r>
      <w:r>
        <w:rPr>
          <w:rFonts w:hint="eastAsia" w:ascii="宋体" w:hAnsi="宋体" w:eastAsia="宋体" w:cs="Courier New"/>
          <w:color w:val="000000"/>
          <w:sz w:val="24"/>
          <w:szCs w:val="24"/>
          <w:highlight w:val="none"/>
        </w:rPr>
        <w:t xml:space="preserve">  向甲方支付违约金，由甲方从待付货款中扣除。超过约定日期10个工作日不能交货的，甲方可解除本合同。乙方因逾期交货或因其他违约行为导致甲方解除合同的，应向甲方支付合同总价 </w:t>
      </w:r>
      <w:r>
        <w:rPr>
          <w:rFonts w:hint="eastAsia" w:ascii="宋体" w:hAnsi="宋体" w:eastAsia="宋体" w:cs="Courier New"/>
          <w:color w:val="000000"/>
          <w:sz w:val="24"/>
          <w:szCs w:val="24"/>
          <w:highlight w:val="none"/>
          <w:u w:val="single"/>
          <w:lang w:val="en-US" w:eastAsia="zh-CN"/>
        </w:rPr>
        <w:t xml:space="preserve">30 %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bookmarkEnd w:id="48"/>
      <w:r/>
      <w:bookmarkEnd w:id="49"/>
      <w:r/>
      <w:bookmarkEnd w:id="50"/>
      <w:r/>
      <w:r/>
    </w:p>
    <w:p>
      <w:pPr>
        <w:pStyle w:val="916"/>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Start w:id="57" w:name="_Hlt16619369"/>
      <w:r/>
      <w:bookmarkEnd w:id="57"/>
      <w:r>
        <w:rPr>
          <w:rFonts w:hint="eastAsia" w:hAnsi="宋体" w:eastAsia="宋体" w:cs="Courier New"/>
          <w:color w:val="000000"/>
          <w:sz w:val="24"/>
          <w:szCs w:val="24"/>
          <w:highlight w:val="none"/>
        </w:rPr>
        <w:t xml:space="preserve">  </w:t>
      </w:r>
      <w:r/>
    </w:p>
    <w:p>
      <w:pPr>
        <w:pStyle w:val="916"/>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p>
    <w:p>
      <w:pPr>
        <w:pStyle w:val="916"/>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p>
    <w:p>
      <w:pPr>
        <w:pStyle w:val="916"/>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p>
    <w:p>
      <w:pPr>
        <w:pStyle w:val="916"/>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p>
    <w:p>
      <w:pPr>
        <w:pStyle w:val="916"/>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916"/>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916"/>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ind w:right="0" w:firstLine="770"/>
        <w:jc w:val="center"/>
        <w:keepLines w:val="0"/>
        <w:keepNext w:val="0"/>
        <w:pageBreakBefore w:val="0"/>
        <w:spacing w:line="240" w:lineRule="auto"/>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highlight w:val="none"/>
        </w:rPr>
        <w:br w:type="page" w:clear="all"/>
      </w:r>
      <w:bookmarkEnd w:id="51"/>
      <w:r/>
      <w:bookmarkEnd w:id="52"/>
      <w:r/>
      <w:bookmarkEnd w:id="53"/>
      <w:r/>
      <w:bookmarkEnd w:id="54"/>
      <w:r/>
      <w:bookmarkStart w:id="58" w:name="_Toc26554093"/>
      <w:r/>
      <w:bookmarkStart w:id="59" w:name="_Toc120614281"/>
      <w:r/>
      <w:bookmarkStart w:id="60" w:name="_Toc49090575"/>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（一）项目背景</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为加强医疗设备集中采购管理，规范集中采购行为，严格采购过程控制和监管，发挥规模采购效应，结合实际，实施此项目。</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本项目属于市级集中采购医疗设备，按照统招分签的政府采购组织形式实施。需求单位依据本项目中标结果，按照分签原则，与各中标</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eastAsia="zh-CN"/>
        </w:rPr>
        <w:t xml:space="preserve">分别签订采购合同，明确采购标的、数量、质量、交货期、售后服务及违约责任等。</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（二）项目建设遵循标准</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遵循国家、行业及地方现行的规范和标准。</w:t>
      </w:r>
      <w:r/>
    </w:p>
    <w:p>
      <w:pPr>
        <w:ind w:right="0" w:firstLine="42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p>
      <w:pPr>
        <w:pStyle w:val="1007"/>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3.0T磁共振成像系统</w:t>
      </w:r>
      <w:r/>
    </w:p>
    <w:tbl>
      <w:tblPr>
        <w:tblStyle w:val="991"/>
        <w:tblW w:w="10238" w:type="dxa"/>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33"/>
        <w:gridCol w:w="2033"/>
        <w:gridCol w:w="329"/>
        <w:gridCol w:w="329"/>
        <w:gridCol w:w="963"/>
        <w:gridCol w:w="1065"/>
        <w:gridCol w:w="1504"/>
        <w:gridCol w:w="541"/>
        <w:gridCol w:w="1887"/>
        <w:gridCol w:w="1254"/>
      </w:tblGrid>
      <w:tr>
        <w:trPr>
          <w:jc w:val="center"/>
          <w:tblHeader/>
        </w:trPr>
        <w:tc>
          <w:tcPr>
            <w:tcW w:w="333"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序号</w:t>
            </w:r>
            <w:r/>
          </w:p>
        </w:tc>
        <w:tc>
          <w:tcPr>
            <w:tcW w:w="2033"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分项名称</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数量</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单位</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单价上限</w:t>
            </w:r>
            <w:r/>
          </w:p>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（万元）</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产品类型</w:t>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hAnsi="宋体" w:eastAsia="宋体" w:cs="宋体"/>
                <w:b/>
                <w:bCs/>
                <w:color w:val="000000"/>
                <w:sz w:val="21"/>
                <w:lang w:val="en-US" w:eastAsia="zh-CN"/>
              </w:rPr>
              <w:t xml:space="preserve">中小企业划分标准</w:t>
            </w:r>
            <w:r>
              <w:rPr>
                <w:rFonts w:hint="eastAsia" w:ascii="宋体" w:hAnsi="宋体" w:eastAsia="宋体" w:cs="宋体"/>
                <w:b/>
                <w:bCs/>
                <w:color w:val="000000"/>
                <w:sz w:val="21"/>
              </w:rPr>
              <w:t xml:space="preserve">所属</w:t>
            </w:r>
            <w:r>
              <w:rPr>
                <w:rFonts w:hint="eastAsia" w:ascii="宋体" w:hAnsi="宋体" w:eastAsia="宋体" w:cs="宋体"/>
                <w:b/>
                <w:bCs/>
                <w:color w:val="000000"/>
                <w:sz w:val="21"/>
                <w:lang w:eastAsia="zh-CN"/>
              </w:rPr>
              <w:t xml:space="preserve">行业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属性</w:t>
            </w:r>
            <w:r/>
          </w:p>
        </w:tc>
        <w:tc>
          <w:tcPr>
            <w:tcW w:w="1887" w:type="dxa"/>
            <w:vAlign w:val="center"/>
            <w:textDirection w:val="lrTb"/>
            <w:noWrap w:val="false"/>
          </w:tcPr>
          <w:p>
            <w:pPr>
              <w:pStyle w:val="728"/>
              <w:numPr>
                <w:ilvl w:val="0"/>
                <w:numId w:val="0"/>
              </w:numPr>
              <w:ind w:left="0" w:right="0" w:firstLine="0"/>
              <w:jc w:val="center"/>
              <w:spacing w:line="240" w:lineRule="auto"/>
              <w:rPr>
                <w:rFonts w:hint="eastAsia" w:ascii="宋体" w:hAnsi="宋体" w:eastAsia="宋体" w:cs="Times New Roman"/>
                <w:b/>
                <w:bCs/>
                <w:color w:val="000000"/>
                <w:sz w:val="21"/>
              </w:rPr>
            </w:pPr>
            <w:r>
              <w:rPr>
                <w:rFonts w:hint="eastAsia" w:ascii="宋体" w:hAnsi="宋体" w:eastAsia="宋体" w:cs="Times New Roman"/>
                <w:b/>
                <w:bCs/>
                <w:color w:val="000000"/>
                <w:sz w:val="21"/>
              </w:rPr>
              <w:t xml:space="preserve">政府强制采购节能产品</w:t>
            </w:r>
            <w:r/>
          </w:p>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hAnsi="宋体" w:eastAsia="宋体" w:cs="Times New Roman"/>
                <w:b/>
                <w:bCs/>
                <w:color w:val="000000"/>
                <w:sz w:val="21"/>
                <w:lang w:eastAsia="zh-CN"/>
              </w:rPr>
              <w:t xml:space="preserve">（</w:t>
            </w:r>
            <w:r>
              <w:rPr>
                <w:rFonts w:hint="eastAsia" w:ascii="宋体" w:hAnsi="宋体" w:eastAsia="宋体" w:cs="Times New Roman"/>
                <w:b/>
                <w:bCs/>
                <w:color w:val="000000"/>
                <w:sz w:val="21"/>
                <w:lang w:val="en-US" w:eastAsia="zh-CN"/>
              </w:rPr>
              <w:t xml:space="preserve">如有</w:t>
            </w:r>
            <w:r>
              <w:rPr>
                <w:rFonts w:hint="eastAsia" w:ascii="宋体" w:hAnsi="宋体" w:eastAsia="宋体" w:cs="Times New Roman"/>
                <w:b/>
                <w:bCs/>
                <w:color w:val="000000"/>
                <w:sz w:val="21"/>
                <w:lang w:eastAsia="zh-CN"/>
              </w:rPr>
              <w:t xml:space="preserve">）</w:t>
            </w:r>
            <w:r/>
          </w:p>
        </w:tc>
        <w:tc>
          <w:tcPr>
            <w:tcW w:w="1254" w:type="dxa"/>
            <w:vAlign w:val="center"/>
            <w:textDirection w:val="lrTb"/>
            <w:noWrap w:val="false"/>
          </w:tcPr>
          <w:p>
            <w:pPr>
              <w:pStyle w:val="728"/>
              <w:numPr>
                <w:ilvl w:val="0"/>
                <w:numId w:val="0"/>
              </w:numPr>
              <w:ind w:left="0" w:right="0" w:firstLine="0"/>
              <w:jc w:val="center"/>
              <w:spacing w:line="240" w:lineRule="auto"/>
              <w:rPr>
                <w:rFonts w:hint="eastAsia" w:ascii="宋体" w:eastAsia="宋体"/>
                <w:b/>
                <w:color w:val="000000"/>
                <w:sz w:val="21"/>
                <w:lang w:val="en-US" w:eastAsia="zh-CN"/>
              </w:rPr>
            </w:pPr>
            <w:r>
              <w:rPr>
                <w:rFonts w:hint="eastAsia" w:ascii="宋体" w:eastAsia="宋体"/>
                <w:b/>
                <w:color w:val="000000"/>
                <w:sz w:val="21"/>
                <w:lang w:val="en-US" w:eastAsia="zh-CN"/>
              </w:rPr>
              <w:t xml:space="preserve">医院名称</w:t>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3.0T磁共振设备</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1550</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核心产品</w:t>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restart"/>
            <w:textDirection w:val="lrTb"/>
            <w:noWrap w:val="false"/>
          </w:tcPr>
          <w:p>
            <w:pPr>
              <w:pStyle w:val="728"/>
              <w:numPr>
                <w:ilvl w:val="0"/>
                <w:numId w:val="0"/>
              </w:numPr>
              <w:ind w:left="0" w:right="0" w:firstLine="0"/>
              <w:jc w:val="center"/>
              <w:spacing w:line="240" w:lineRule="auto"/>
              <w:rPr>
                <w:color w:val="000000"/>
                <w:lang w:val="en-US" w:eastAsia="zh-CN"/>
              </w:rPr>
            </w:pPr>
            <w:r>
              <w:rPr>
                <w:rFonts w:hint="eastAsia"/>
                <w:color w:val="000000"/>
                <w:lang w:val="en-US" w:eastAsia="zh-CN"/>
              </w:rPr>
              <w:t xml:space="preserve">/</w:t>
            </w:r>
            <w:r/>
          </w:p>
        </w:tc>
        <w:tc>
          <w:tcPr>
            <w:tcW w:w="1254" w:type="dxa"/>
            <w:vAlign w:val="center"/>
            <w:vMerge w:val="restart"/>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南京鼓楼医院本部院区</w:t>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精密空调</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9</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水冷机组</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12</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4</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无磁监视系统</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5</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无磁升降转运床</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张</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6</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6</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无磁转运椅</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部</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7</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无磁灭火器</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8</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无磁降噪耳机</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0.2</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9</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3.0T专用磁兼容监护</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50</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10</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无磁移动输液架</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0.2</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11</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无磁护理车</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0.6</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12</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磁共振专用双立柱智能铁磁探测系统</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套</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13</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无磁信息化双筒高压注射器</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14</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线圈柜</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机房装修屏蔽</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项</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45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16</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第三方检测</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项</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17</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3.0T磁共振设备</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1550</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核心产品</w:t>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restart"/>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南京鼓楼医院江北院区</w:t>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18</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精密空调</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9</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19</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水冷机组</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12</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20</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无磁监视系统</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21</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无磁升降转运床</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张</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6</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22</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无磁转运椅</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部</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23</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无磁灭火器</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24</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无磁降噪耳机</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0.2</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3.0T专用磁兼容监护</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50</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26</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无磁移动输液架</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0.2</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27</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无磁护理车</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0.6</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28</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磁共振专用双立柱智能铁磁探测系统</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套</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29</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无磁信息化双筒高压注射器</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台</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25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30</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线圈柜</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个</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0.5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31</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机房装修屏蔽</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项</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45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r>
        <w:trPr>
          <w:jc w:val="center"/>
        </w:trPr>
        <w:tc>
          <w:tcPr>
            <w:tcW w:w="33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32</w:t>
            </w:r>
            <w:r/>
          </w:p>
        </w:tc>
        <w:tc>
          <w:tcPr>
            <w:tcW w:w="2033" w:type="dxa"/>
            <w:vAlign w:val="center"/>
            <w:textDirection w:val="lrTb"/>
            <w:noWrap w:val="false"/>
          </w:tcPr>
          <w:p>
            <w:pPr>
              <w:pStyle w:val="728"/>
              <w:numPr>
                <w:ilvl w:val="0"/>
                <w:numId w:val="0"/>
              </w:numPr>
              <w:ind w:left="0" w:right="0" w:firstLine="0"/>
              <w:jc w:val="left"/>
              <w:spacing w:line="240" w:lineRule="auto"/>
              <w:rPr>
                <w:rFonts w:hint="eastAsia"/>
                <w:color w:val="000000"/>
                <w:lang w:val="en-US" w:eastAsia="zh-CN"/>
              </w:rPr>
            </w:pPr>
            <w:r>
              <w:rPr>
                <w:rFonts w:hint="eastAsia"/>
                <w:color w:val="000000"/>
                <w:lang w:val="en-US" w:eastAsia="zh-CN"/>
              </w:rPr>
              <w:t xml:space="preserve">第三方检测</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w:t>
            </w:r>
            <w:r/>
          </w:p>
        </w:tc>
        <w:tc>
          <w:tcPr>
            <w:tcW w:w="329"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项</w:t>
            </w:r>
            <w:r/>
          </w:p>
        </w:tc>
        <w:tc>
          <w:tcPr>
            <w:tcW w:w="963"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1.5</w:t>
            </w:r>
            <w:r/>
          </w:p>
        </w:tc>
        <w:tc>
          <w:tcPr>
            <w:tcW w:w="1065"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504"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工业</w:t>
            </w:r>
            <w:r/>
          </w:p>
        </w:tc>
        <w:tc>
          <w:tcPr>
            <w:tcW w:w="541" w:type="dxa"/>
            <w:vAlign w:val="center"/>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t xml:space="preserve">货物</w:t>
            </w:r>
            <w:r/>
          </w:p>
        </w:tc>
        <w:tc>
          <w:tcPr>
            <w:tcW w:w="1887"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c>
          <w:tcPr>
            <w:tcW w:w="1254" w:type="dxa"/>
            <w:vAlign w:val="center"/>
            <w:vMerge w:val="continue"/>
            <w:textDirection w:val="lrTb"/>
            <w:noWrap w:val="false"/>
          </w:tcPr>
          <w:p>
            <w:pPr>
              <w:pStyle w:val="728"/>
              <w:numPr>
                <w:ilvl w:val="0"/>
                <w:numId w:val="0"/>
              </w:numPr>
              <w:ind w:left="0" w:right="0" w:firstLine="0"/>
              <w:jc w:val="center"/>
              <w:spacing w:line="240" w:lineRule="auto"/>
              <w:rPr>
                <w:rFonts w:hint="eastAsia"/>
                <w:color w:val="000000"/>
                <w:lang w:val="en-US" w:eastAsia="zh-CN"/>
              </w:rPr>
            </w:pPr>
            <w:r>
              <w:rPr>
                <w:rFonts w:hint="eastAsia"/>
                <w:color w:val="000000"/>
                <w:lang w:val="en-US" w:eastAsia="zh-CN"/>
              </w:rPr>
            </w:r>
            <w:r/>
          </w:p>
        </w:tc>
      </w:tr>
    </w:tbl>
    <w:p>
      <w:pPr>
        <w:ind w:firstLine="0"/>
        <w:rPr>
          <w:rFonts w:hint="eastAsia" w:ascii="宋体" w:hAnsi="宋体" w:eastAsia="宋体"/>
          <w:bCs/>
          <w:color w:val="000000"/>
          <w:position w:val="-10"/>
          <w:szCs w:val="20"/>
          <w:lang w:eastAsia="zh-CN"/>
        </w:rPr>
      </w:pPr>
      <w:r>
        <w:rPr>
          <w:rFonts w:hint="eastAsia" w:ascii="宋体" w:hAnsi="宋体" w:eastAsia="宋体"/>
          <w:bCs/>
          <w:color w:val="000000"/>
          <w:position w:val="-10"/>
          <w:szCs w:val="20"/>
          <w:lang w:eastAsia="zh-CN"/>
        </w:rPr>
      </w:r>
      <w:r/>
    </w:p>
    <w:p>
      <w:pPr>
        <w:ind w:firstLine="420"/>
        <w:rPr>
          <w:rFonts w:ascii="宋体" w:hAnsi="宋体" w:eastAsia="宋体"/>
          <w:bCs/>
          <w:color w:val="000000"/>
          <w:position w:val="-10"/>
          <w:szCs w:val="20"/>
          <w:lang w:eastAsia="zh-CN"/>
        </w:rPr>
      </w:pPr>
      <w:r>
        <w:rPr>
          <w:rFonts w:hint="eastAsia" w:ascii="宋体" w:hAnsi="宋体" w:eastAsia="宋体"/>
          <w:bCs/>
          <w:color w:val="000000"/>
          <w:position w:val="-10"/>
          <w:szCs w:val="20"/>
          <w:lang w:eastAsia="zh-CN"/>
        </w:rPr>
        <w:t xml:space="preserve">1、投标产品中 “</w:t>
      </w:r>
      <w:r>
        <w:rPr>
          <w:rFonts w:hint="eastAsia" w:ascii="宋体" w:hAnsi="宋体" w:eastAsia="宋体"/>
          <w:bCs/>
          <w:color w:val="000000"/>
          <w:position w:val="-10"/>
          <w:szCs w:val="20"/>
          <w:lang w:val="en-US" w:eastAsia="zh-CN"/>
        </w:rPr>
        <w:t xml:space="preserve">3.0T磁共振设备</w:t>
      </w:r>
      <w:r>
        <w:rPr>
          <w:rFonts w:hint="eastAsia" w:ascii="宋体" w:hAnsi="宋体" w:eastAsia="宋体"/>
          <w:bCs/>
          <w:color w:val="000000"/>
          <w:position w:val="-10"/>
          <w:szCs w:val="20"/>
          <w:lang w:eastAsia="zh-CN"/>
        </w:rPr>
        <w:t xml:space="preserve">”必须为同一品牌同一型号</w:t>
      </w:r>
      <w:r/>
    </w:p>
    <w:p>
      <w:pPr>
        <w:ind w:firstLine="367"/>
        <w:widowControl w:val="off"/>
        <w:rPr>
          <w:rFonts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2、以上项目为一个包，不接受投标产品缺漏</w:t>
      </w:r>
      <w:r/>
    </w:p>
    <w:p>
      <w:pPr>
        <w:ind w:firstLine="367"/>
        <w:widowControl w:val="off"/>
        <w:rPr>
          <w:rFonts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3、投标产品各项单价不得超过上述规定的单价最高限价</w:t>
      </w:r>
      <w:r/>
    </w:p>
    <w:p>
      <w:pPr>
        <w:ind w:firstLine="367"/>
        <w:widowControl w:val="off"/>
        <w:rPr>
          <w:rFonts w:hint="eastAsia" w:ascii="宋体" w:hAnsi="宋体" w:eastAsia="宋体"/>
          <w:bCs/>
          <w:color w:val="000000"/>
          <w:position w:val="-10"/>
          <w:szCs w:val="20"/>
          <w:lang w:eastAsia="zh-CN"/>
        </w:rPr>
        <w:outlineLvl w:val="1"/>
      </w:pPr>
      <w:r>
        <w:rPr>
          <w:rFonts w:hint="eastAsia" w:ascii="宋体" w:hAnsi="宋体" w:eastAsia="宋体"/>
          <w:bCs/>
          <w:color w:val="000000"/>
          <w:position w:val="-10"/>
          <w:szCs w:val="20"/>
          <w:lang w:eastAsia="zh-CN"/>
        </w:rPr>
        <w:t xml:space="preserve">4、需在“报价明细表（分项报价表）2” ，注明投标产品品牌、型号、制造商、分项价格等信息</w:t>
      </w:r>
      <w:r/>
    </w:p>
    <w:p>
      <w:pPr>
        <w:pStyle w:val="728"/>
        <w:ind w:left="0" w:firstLine="0"/>
        <w:rPr>
          <w:rFonts w:hint="eastAsia"/>
          <w:color w:val="000000"/>
        </w:rPr>
      </w:pPr>
      <w:r>
        <w:rPr>
          <w:rFonts w:hint="eastAsia"/>
          <w:color w:val="000000"/>
        </w:rPr>
      </w:r>
      <w:r/>
    </w:p>
    <w:p>
      <w:pPr>
        <w:ind w:right="0" w:firstLine="42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p>
    <w:p>
      <w:pPr>
        <w:pStyle w:val="728"/>
        <w:rPr>
          <w:rFonts w:hint="eastAsia"/>
          <w:color w:val="000000"/>
        </w:rPr>
      </w:pPr>
      <w:r>
        <w:rPr>
          <w:rFonts w:hint="eastAsia" w:ascii="黑体" w:hAnsi="黑体" w:eastAsia="黑体" w:cs="黑体"/>
          <w:bCs w:val="0"/>
          <w:color w:val="000000"/>
          <w:sz w:val="24"/>
          <w:szCs w:val="24"/>
          <w:lang w:val="en-US" w:eastAsia="zh-CN"/>
        </w:rPr>
        <w:t xml:space="preserve"> 3.0T磁共振成像系统</w:t>
      </w:r>
      <w:r/>
    </w:p>
    <w:tbl>
      <w:tblPr>
        <w:tblStyle w:val="701"/>
        <w:tblW w:w="50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044"/>
        <w:gridCol w:w="1851"/>
      </w:tblGrid>
      <w:tr>
        <w:trPr>
          <w:trHeight w:val="449"/>
        </w:trPr>
        <w:tc>
          <w:tcPr>
            <w:tcW w:w="1129" w:type="dxa"/>
            <w:vAlign w:val="center"/>
            <w:vMerge w:val="restart"/>
            <w:textDirection w:val="lrTb"/>
            <w:noWrap w:val="false"/>
          </w:tcPr>
          <w:p>
            <w:pPr>
              <w:ind w:right="0"/>
              <w:jc w:val="both"/>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p>
        </w:tc>
        <w:tc>
          <w:tcPr>
            <w:gridSpan w:val="2"/>
            <w:tcW w:w="8895" w:type="dxa"/>
            <w:vAlign w:val="center"/>
            <w:textDirection w:val="lrTb"/>
            <w:noWrap w:val="false"/>
          </w:tcPr>
          <w:p>
            <w:pPr>
              <w:ind w:right="0" w:firstLine="420"/>
              <w:jc w:val="left"/>
              <w:keepLines w:val="0"/>
              <w:keepNext w:val="0"/>
              <w:pageBreakBefore w:val="0"/>
              <w:spacing w:line="260" w:lineRule="exact"/>
              <w:widowControl/>
              <w:rPr>
                <w:rFonts w:hint="eastAsia" w:ascii="Times New Roman" w:hAnsi="Times New Roman" w:eastAsia="宋体" w:cs="Times New Roman"/>
                <w:b w:val="0"/>
                <w:bCs w:val="0"/>
                <w:i w:val="0"/>
                <w:iCs w:val="0"/>
                <w:color w:val="000000"/>
                <w:sz w:val="24"/>
                <w:szCs w:val="24"/>
                <w:highlight w:val="none"/>
                <w:u w:val="none"/>
                <w:lang w:val="en-US" w:eastAsia="zh-CN" w:bidi="ar-SA"/>
              </w:rPr>
              <w:suppressLineNumbers w:val="0"/>
            </w:pPr>
            <w:r>
              <w:rPr>
                <w:rFonts w:ascii="Times New Roman" w:hAnsi="Times New Roman" w:eastAsia="宋体" w:cs="Times New Roman"/>
                <w:b w:val="0"/>
                <w:bCs w:val="0"/>
                <w:color w:val="000000"/>
                <w:sz w:val="24"/>
                <w:szCs w:val="24"/>
                <w:highlight w:val="none"/>
                <w:lang w:val="en-US" w:eastAsia="zh-CN"/>
              </w:rPr>
              <w:t xml:space="preserve">1、</w:t>
            </w:r>
            <w:r>
              <w:rPr>
                <w:rFonts w:ascii="Times New Roman" w:hAnsi="Times New Roman" w:eastAsia="宋体" w:cs="Times New Roman"/>
                <w:i w:val="0"/>
                <w:iCs w:val="0"/>
                <w:color w:val="000000"/>
                <w:sz w:val="24"/>
                <w:szCs w:val="24"/>
                <w:highlight w:val="none"/>
                <w:u w:val="none"/>
                <w:lang w:val="en-US" w:eastAsia="zh-CN" w:bidi="ar"/>
              </w:rPr>
              <w:t xml:space="preserve">设备免费开放全部信息系统接口，并免费接入医院诸如PACS、HIS、医疗设备以及其他第三方等相关软件系统。设备维修密码及信息系统接口全部免费开放、相关服务升级免费</w:t>
            </w:r>
            <w:r/>
          </w:p>
        </w:tc>
      </w:tr>
      <w:tr>
        <w:trPr>
          <w:trHeight w:val="23"/>
        </w:trPr>
        <w:tc>
          <w:tcPr>
            <w:tcW w:w="1129" w:type="dxa"/>
            <w:vAlign w:val="center"/>
            <w:vMerge w:val="continue"/>
            <w:textDirection w:val="lrTb"/>
            <w:noWrap w:val="false"/>
          </w:tcPr>
          <w:p>
            <w:pPr>
              <w:ind w:right="0" w:firstLine="385"/>
              <w:jc w:val="center"/>
              <w:keepLines w:val="0"/>
              <w:keepNext w:val="0"/>
              <w:pageBreakBefore w:val="0"/>
              <w:spacing w:line="260" w:lineRule="exact"/>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ind w:right="0" w:firstLine="420"/>
              <w:jc w:val="left"/>
              <w:keepLines w:val="0"/>
              <w:keepNext w:val="0"/>
              <w:pageBreakBefore w:val="0"/>
              <w:spacing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b w:val="0"/>
                <w:bCs w:val="0"/>
                <w:color w:val="000000"/>
                <w:sz w:val="24"/>
                <w:szCs w:val="24"/>
                <w:highlight w:val="none"/>
                <w:lang w:val="en-US" w:eastAsia="zh-CN"/>
              </w:rPr>
              <w:t xml:space="preserve">2、</w:t>
            </w:r>
            <w:r>
              <w:rPr>
                <w:rFonts w:ascii="Times New Roman" w:hAnsi="Times New Roman"/>
                <w:b w:val="0"/>
                <w:bCs w:val="0"/>
                <w:color w:val="000000"/>
                <w:sz w:val="24"/>
                <w:szCs w:val="24"/>
                <w:highlight w:val="none"/>
              </w:rPr>
              <w:t xml:space="preserve">保修期结束后应</w:t>
            </w:r>
            <w:r>
              <w:rPr>
                <w:rFonts w:hint="eastAsia"/>
                <w:b w:val="0"/>
                <w:bCs w:val="0"/>
                <w:color w:val="000000"/>
                <w:sz w:val="24"/>
                <w:szCs w:val="24"/>
                <w:highlight w:val="none"/>
                <w:lang w:val="en-US" w:eastAsia="zh-CN"/>
              </w:rPr>
              <w:t xml:space="preserve">保证</w:t>
            </w:r>
            <w:r>
              <w:rPr>
                <w:rFonts w:ascii="Times New Roman" w:hAnsi="Times New Roman"/>
                <w:b w:val="0"/>
                <w:bCs w:val="0"/>
                <w:color w:val="000000"/>
                <w:sz w:val="24"/>
                <w:szCs w:val="24"/>
                <w:highlight w:val="none"/>
              </w:rPr>
              <w:t xml:space="preserve">原厂整机年维保费（包括所有零配件以及所配置的全部第三方产品以及人工服务）不得高于</w:t>
            </w:r>
            <w:r>
              <w:rPr>
                <w:rFonts w:hint="eastAsia"/>
                <w:b w:val="0"/>
                <w:bCs w:val="0"/>
                <w:color w:val="000000"/>
                <w:sz w:val="24"/>
                <w:szCs w:val="24"/>
                <w:highlight w:val="none"/>
                <w:lang w:eastAsia="zh-CN"/>
              </w:rPr>
              <w:t xml:space="preserve">相应分项报价的</w:t>
            </w:r>
            <w:r>
              <w:rPr>
                <w:rFonts w:hint="eastAsia"/>
                <w:b w:val="0"/>
                <w:bCs w:val="0"/>
                <w:color w:val="000000"/>
                <w:sz w:val="24"/>
                <w:szCs w:val="24"/>
                <w:highlight w:val="none"/>
                <w:lang w:val="en-US" w:eastAsia="zh-CN"/>
              </w:rPr>
              <w:t xml:space="preserve">5</w:t>
            </w:r>
            <w:r>
              <w:rPr>
                <w:rFonts w:hint="eastAsia"/>
                <w:b w:val="0"/>
                <w:bCs w:val="0"/>
                <w:color w:val="000000"/>
                <w:sz w:val="24"/>
                <w:szCs w:val="24"/>
                <w:highlight w:val="none"/>
                <w:lang w:eastAsia="zh-CN"/>
              </w:rPr>
              <w:t xml:space="preserve">%</w:t>
            </w:r>
            <w:r>
              <w:rPr>
                <w:rFonts w:ascii="Times New Roman" w:hAnsi="Times New Roman"/>
                <w:b w:val="0"/>
                <w:bCs w:val="0"/>
                <w:color w:val="000000"/>
                <w:sz w:val="24"/>
                <w:szCs w:val="24"/>
                <w:highlight w:val="none"/>
              </w:rPr>
              <w:t xml:space="preserve">，并根据医院实际需求</w:t>
            </w:r>
            <w:r>
              <w:rPr>
                <w:rFonts w:hint="eastAsia"/>
                <w:b w:val="0"/>
                <w:bCs w:val="0"/>
                <w:color w:val="000000"/>
                <w:sz w:val="24"/>
                <w:szCs w:val="24"/>
                <w:highlight w:val="none"/>
                <w:lang w:val="en-US" w:eastAsia="zh-CN"/>
              </w:rPr>
              <w:t xml:space="preserve">进行</w:t>
            </w:r>
            <w:r>
              <w:rPr>
                <w:rFonts w:ascii="Times New Roman" w:hAnsi="Times New Roman"/>
                <w:b w:val="0"/>
                <w:bCs w:val="0"/>
                <w:color w:val="000000"/>
                <w:sz w:val="24"/>
                <w:szCs w:val="24"/>
                <w:highlight w:val="none"/>
              </w:rPr>
              <w:t xml:space="preserve">协商，但须按照相关法律法规及流程执行</w:t>
            </w:r>
            <w:r>
              <w:rPr>
                <w:rFonts w:hint="eastAsia" w:ascii="Times New Roman" w:hAnsi="Times New Roman"/>
                <w:b w:val="0"/>
                <w:bCs w:val="0"/>
                <w:color w:val="000000"/>
                <w:sz w:val="24"/>
                <w:szCs w:val="24"/>
                <w:highlight w:val="none"/>
              </w:rPr>
              <w:t xml:space="preserve">。</w:t>
            </w:r>
            <w:r/>
          </w:p>
        </w:tc>
      </w:tr>
      <w:tr>
        <w:trPr>
          <w:trHeight w:val="23"/>
        </w:trPr>
        <w:tc>
          <w:tcPr>
            <w:tcW w:w="1129" w:type="dxa"/>
            <w:vAlign w:val="center"/>
            <w:textDirection w:val="lrTb"/>
            <w:noWrap w:val="false"/>
          </w:tcPr>
          <w:p>
            <w:pPr>
              <w:jc w:val="center"/>
              <w:rPr>
                <w:rFonts w:hint="eastAsia" w:ascii="宋体" w:hAnsi="宋体" w:eastAsia="宋体" w:cs="宋体"/>
                <w:b w:val="0"/>
                <w:bCs w:val="0"/>
                <w:i w:val="0"/>
                <w:iCs w:val="0"/>
                <w:color w:val="000000"/>
                <w:sz w:val="22"/>
                <w:szCs w:val="22"/>
                <w:u w:val="none"/>
              </w:rPr>
            </w:pPr>
            <w:r>
              <w:rPr>
                <w:rFonts w:hint="eastAsia" w:ascii="黑体" w:hAnsi="黑体" w:eastAsia="黑体" w:cs="黑体"/>
                <w:color w:val="000000"/>
                <w:lang w:eastAsia="zh-CN" w:bidi="ar"/>
              </w:rPr>
              <w:t xml:space="preserve">序号</w:t>
            </w:r>
            <w:r/>
          </w:p>
        </w:tc>
        <w:tc>
          <w:tcPr>
            <w:tcW w:w="7044" w:type="dxa"/>
            <w:vAlign w:val="center"/>
            <w:textDirection w:val="lrTb"/>
            <w:noWrap w:val="false"/>
          </w:tcPr>
          <w:p>
            <w:pPr>
              <w:jc w:val="center"/>
              <w:rPr>
                <w:rFonts w:hint="eastAsia" w:ascii="宋体" w:hAnsi="宋体" w:eastAsia="宋体" w:cs="宋体"/>
                <w:b w:val="0"/>
                <w:bCs w:val="0"/>
                <w:i w:val="0"/>
                <w:iCs w:val="0"/>
                <w:color w:val="000000"/>
                <w:sz w:val="22"/>
                <w:szCs w:val="22"/>
                <w:u w:val="none"/>
              </w:rPr>
            </w:pPr>
            <w:r>
              <w:rPr>
                <w:rFonts w:hint="eastAsia" w:ascii="黑体" w:hAnsi="黑体" w:eastAsia="黑体" w:cs="黑体"/>
                <w:color w:val="000000"/>
                <w:lang w:eastAsia="zh-CN" w:bidi="ar"/>
              </w:rPr>
              <w:t xml:space="preserve">技术参数</w:t>
            </w:r>
            <w:r/>
          </w:p>
        </w:tc>
        <w:tc>
          <w:tcPr>
            <w:tcW w:w="1851" w:type="dxa"/>
            <w:vAlign w:val="center"/>
            <w:textDirection w:val="lrTb"/>
            <w:noWrap w:val="false"/>
          </w:tcPr>
          <w:p>
            <w:pPr>
              <w:jc w:val="center"/>
              <w:rPr>
                <w:b w:val="0"/>
                <w:bCs w:val="0"/>
                <w:color w:val="000000"/>
              </w:rPr>
            </w:pPr>
            <w:r>
              <w:rPr>
                <w:rFonts w:hint="eastAsia" w:ascii="黑体" w:hAnsi="黑体" w:eastAsia="黑体" w:cs="黑体"/>
                <w:color w:val="000000"/>
                <w:lang w:eastAsia="zh-CN" w:bidi="ar"/>
              </w:rPr>
              <w:t xml:space="preserve">技术要求</w:t>
            </w:r>
            <w:r/>
          </w:p>
        </w:tc>
      </w:tr>
      <w:tr>
        <w:trPr>
          <w:trHeight w:val="246"/>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磁场强度</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≥3.0T</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中心共振频率</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≥123MHz</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磁体长度（不含外壳）</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≥170cm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磁体内径（患者检查孔道内径）大小</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≥70cm</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磁体重量（含液氦）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≤6000kg</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磁场均匀度（典型值，V－RMS测量法）40cmDSV（典型值）</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≤0.5ppm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ffffff"/>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磁场均匀度（典型值，V－RMS测量法）30cmDSV（典型值）</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≤0.06ppm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磁场均匀度（典型值，V－RMS测量法）20cmDSV（典型值）</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≤0.03ppm</w:t>
            </w:r>
            <w:r/>
          </w:p>
        </w:tc>
      </w:tr>
      <w:tr>
        <w:trPr>
          <w:trHeight w:val="90"/>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磁场均匀度（典型值，V－RMS测量法）10cmDSV（典型值）</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≤0.002ppm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Times New Roman" w:hAnsi="Times New Roman" w:eastAsia="宋体" w:cs="Times New Roman"/>
                <w:color w:val="000000"/>
                <w:sz w:val="24"/>
                <w:szCs w:val="24"/>
                <w:lang w:val="en-US" w:eastAsia="zh-CN"/>
              </w:rPr>
              <w:t xml:space="preserve">▲</w:t>
            </w:r>
            <w:r>
              <w:rPr>
                <w:rFonts w:hint="eastAsia" w:ascii="仿宋" w:hAnsi="仿宋" w:eastAsia="仿宋" w:cs="仿宋"/>
                <w:i w:val="0"/>
                <w:iCs w:val="0"/>
                <w:color w:val="000000"/>
                <w:sz w:val="22"/>
                <w:szCs w:val="22"/>
                <w:u w:val="none"/>
                <w:lang w:val="en-US" w:eastAsia="zh-CN" w:bidi="ar"/>
              </w:rPr>
              <w:t xml:space="preserve">10</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液氦腔最大容量</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≤1600L</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5高斯磁力线轴向范围：</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5高斯磁力线径向范围：</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≤3.5m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最大单轴梯度场强（不可以用有效值响应，不可以用向量梯度性能响应，X、Y、Z三轴）</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≥80mT/m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最大单轴梯度切换率（不可以用有效值响应，不可以用向量梯度性能响应，X、Y、Z三轴）</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≥200T/m/s</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独立射频发射源个数 或 并行发射通道数</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最大射频功率</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≥36kW</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发射带宽</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≥1MHz</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系统通道数</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≥150通道</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在一个视野的单次扫描中，可同时使用的独立接收线圈通道的数量，每个通道皆可生成一副独立的局部图像（不可以用最大通道数响应，不可以用可同时连接的通道之和响应，不可以用可同时连接的线圈单元之和响应）</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≥96通道</w:t>
            </w:r>
            <w:r/>
          </w:p>
        </w:tc>
      </w:tr>
      <w:tr>
        <w:trPr>
          <w:trHeight w:val="90"/>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垂直运动时扫描床最大承受重量</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≥250Kg</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扫描床运动最大速度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≥200mm/s</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扫描床内原厂一体化全脊柱线圈物理长度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≥90cm</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机架正面的两侧均有床旁操作按钮，可控制扫描床的运动和扫描；智能触控病人定位系统；一键定位，无需激光灯；床旁扫描操控系统；磁体液晶显示系统；磁体床旁双侧扫描控制面板</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最大重建矩阵</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≥1024x1024</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实时心电波形显示，实时呼吸波形显示</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最大FOV</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≥550mm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最小FOV</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≤5mm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最小二维层厚</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≤0.5mm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最小三维层厚</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≤0.05mm</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最大采集矩阵</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≥1024x1024</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临床采集弥散加权系数B值</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≥10000</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提供一套原厂主机处理工作站，处理工作站配置：内存≥96GB，硬盘容量≥8TB，2个≥24寸显示器</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提供一套服务器版后处理工作站带5个终端</w:t>
            </w:r>
            <w:r/>
          </w:p>
        </w:tc>
        <w:tc>
          <w:tcPr>
            <w:tcW w:w="1851"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CPU核心数≥8核，主CPU主频≥3.0GHz，内存≥32GB，硬盘容量≥1TB，显示器≥2个23英寸彩色液晶显示</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rPr>
                <w:rFonts w:hint="eastAsia" w:ascii="仿宋" w:hAnsi="仿宋" w:eastAsia="仿宋"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34</w:t>
            </w:r>
            <w:r/>
          </w:p>
        </w:tc>
        <w:tc>
          <w:tcPr>
            <w:tcW w:w="7044"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原厂全配置最新版本应用平台及软件包，包括且不限于：磁敏感成像、3D容积各向同性成像、压缩感知、全身弥散成像、肿瘤成像、实时造影触发、自由呼吸动态增强扫描、乳腺及硅胶假体成像、去金属伪影、高清fMRI脑功、能成像、弥散张量成像、波谱分析、神经灌注分析、灰质容积成像、磁化传递成像、肿瘤成像、全身成像、血管成像、心脏成像、神经成像、骨关节成像及儿童软件包、妇产成像软件包、科研软件包等。软件终身提供免费升级服务</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Times New Roman" w:hAnsi="Times New Roman" w:eastAsia="宋体" w:cs="Times New Roman"/>
                <w:color w:val="000000"/>
                <w:sz w:val="24"/>
                <w:szCs w:val="24"/>
                <w:lang w:val="en-US" w:eastAsia="zh-CN"/>
              </w:rPr>
              <w:t xml:space="preserve">▲</w:t>
            </w:r>
            <w:r>
              <w:rPr>
                <w:rFonts w:hint="eastAsia" w:ascii="仿宋" w:hAnsi="仿宋" w:eastAsia="仿宋" w:cs="仿宋"/>
                <w:i w:val="0"/>
                <w:iCs w:val="0"/>
                <w:color w:val="000000"/>
                <w:sz w:val="22"/>
                <w:szCs w:val="22"/>
                <w:u w:val="none"/>
                <w:lang w:val="en-US" w:eastAsia="zh-CN" w:bidi="ar"/>
              </w:rPr>
              <w:t xml:space="preserve">35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提供原厂全套全配最新版本高阶功能，包括且不限于：AI图像重建加速降噪、AI智能扫描工作流、AI运动/伪影抑制、AI智能后处理、AI辅助诊断等。软件终身提供免费升级服务。</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62"/>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提供全激活全开放DICOM 3.0及与医院PACS网络连接（包括打印，传输、接收、查询、Worklist、MPPS协议等功能），软件控制照相技术，标准激光相机数字接口</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设备免费开放全部信息系统接口，并免费接入医院诸如PACS、医疗设备以及其他第三方等相关软件系统。设备维修密码及信息系统接口全部免费开放</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color w:val="000000"/>
                <w:sz w:val="22"/>
                <w:szCs w:val="22"/>
                <w:lang w:val="en-US" w:eastAsia="zh-CN" w:bidi="ar"/>
              </w:rPr>
              <w:t xml:space="preserve">配备原厂线圈：原厂头颈联合线圈1个（≥20通道）、原厂高清头线圈或原厂头颈联合线圈1个（≥32通道）、原厂体部线圈 1个（≥16通道）、原厂脊柱线圈 1个（≥24通道）、原厂乳腺线圈 1个（≥8通道）、原厂大号柔性线圈1个、原厂小号柔性线圈1个、原厂膝关节线圈1个、足踝专用线圈1个、肩关节专用线圈、腕手关节专用线圈1个、肘关节专用线圈1个、颈部血管专用线圈1个</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tcW w:w="7044" w:type="dxa"/>
            <w:vAlign w:val="center"/>
            <w:textDirection w:val="lrTb"/>
            <w:noWrap w:val="false"/>
          </w:tcPr>
          <w:p>
            <w:pPr>
              <w:jc w:val="both"/>
              <w:rPr>
                <w:rFonts w:ascii="宋体" w:hAnsi="宋体" w:eastAsia="宋体"/>
                <w:bCs/>
                <w:color w:val="000000"/>
                <w:position w:val="-10"/>
                <w:szCs w:val="20"/>
                <w:lang w:val="en-US" w:eastAsia="zh-CN"/>
              </w:rPr>
            </w:pPr>
            <w:r>
              <w:rPr>
                <w:rFonts w:hint="eastAsia" w:ascii="黑体" w:hAnsi="黑体" w:eastAsia="黑体" w:cs="黑体"/>
                <w:bCs/>
                <w:color w:val="000000"/>
                <w:position w:val="-10"/>
                <w:szCs w:val="20"/>
                <w:lang w:val="en-US" w:eastAsia="zh-CN"/>
              </w:rPr>
              <w:t xml:space="preserve">第三方配置需求</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精密空调：</w:t>
            </w:r>
            <w:r>
              <w:rPr>
                <w:rFonts w:hint="eastAsia" w:ascii="仿宋" w:hAnsi="仿宋" w:eastAsia="仿宋" w:cs="仿宋"/>
                <w:i w:val="0"/>
                <w:iCs w:val="0"/>
                <w:color w:val="000000"/>
                <w:sz w:val="22"/>
                <w:szCs w:val="22"/>
                <w:u w:val="none"/>
                <w:lang w:val="zh-CN" w:eastAsia="zh-CN" w:bidi="ar"/>
              </w:rPr>
              <w:t xml:space="preserve">恒温恒湿，双压缩机双循环管路，两个系统可互为备份，也可同时工作</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39.2</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水冷机组：</w:t>
            </w:r>
            <w:r>
              <w:rPr>
                <w:rFonts w:hint="eastAsia" w:ascii="仿宋" w:hAnsi="仿宋" w:eastAsia="仿宋" w:cs="仿宋"/>
                <w:i w:val="0"/>
                <w:iCs w:val="0"/>
                <w:color w:val="000000"/>
                <w:sz w:val="22"/>
                <w:szCs w:val="22"/>
                <w:u w:val="none"/>
                <w:lang w:val="zh-CN" w:eastAsia="zh-CN" w:bidi="ar"/>
              </w:rPr>
              <w:t xml:space="preserve">双机组，两个独立的循环管路，互相备份，可以轮流工作，也可以同时工作</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39.3</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无磁监视系统：</w:t>
            </w:r>
            <w:r>
              <w:rPr>
                <w:rFonts w:hint="eastAsia" w:ascii="仿宋" w:hAnsi="仿宋" w:eastAsia="仿宋" w:cs="仿宋"/>
                <w:i w:val="0"/>
                <w:iCs w:val="0"/>
                <w:color w:val="000000"/>
                <w:sz w:val="22"/>
                <w:szCs w:val="22"/>
                <w:u w:val="none"/>
                <w:lang w:val="zh-CN" w:eastAsia="zh-CN" w:bidi="ar"/>
              </w:rPr>
              <w:t xml:space="preserve">支持双向通话功能</w:t>
            </w:r>
            <w:r>
              <w:rPr>
                <w:rFonts w:hint="eastAsia" w:ascii="仿宋" w:hAnsi="仿宋" w:eastAsia="仿宋" w:cs="仿宋"/>
                <w:i w:val="0"/>
                <w:iCs w:val="0"/>
                <w:color w:val="000000"/>
                <w:sz w:val="22"/>
                <w:szCs w:val="22"/>
                <w:u w:val="none"/>
                <w:lang w:val="zh-CN" w:eastAsia="zh-CN" w:bidi="ar"/>
              </w:rPr>
              <w:tab/>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39.4</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无磁升降转运床：</w:t>
            </w:r>
            <w:r>
              <w:rPr>
                <w:rFonts w:hint="eastAsia" w:ascii="仿宋" w:hAnsi="仿宋" w:eastAsia="仿宋" w:cs="仿宋"/>
                <w:i w:val="0"/>
                <w:iCs w:val="0"/>
                <w:color w:val="000000"/>
                <w:sz w:val="22"/>
                <w:szCs w:val="22"/>
                <w:u w:val="none"/>
                <w:lang w:val="zh-CN" w:eastAsia="zh-CN" w:bidi="ar"/>
              </w:rPr>
              <w:t xml:space="preserve">完全零磁，可完全通过最高等级灵敏度铁磁质探测系统的探测不出现报警，最大载重≥200公斤</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39.5</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无磁转运椅：可折叠、无金属部件，可完全通过最高等级灵敏度铁磁质探测系统的探测不出现报警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39.6</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无磁灭火器：</w:t>
            </w:r>
            <w:r>
              <w:rPr>
                <w:rFonts w:hint="eastAsia" w:ascii="仿宋" w:hAnsi="仿宋" w:eastAsia="仿宋" w:cs="仿宋"/>
                <w:i w:val="0"/>
                <w:iCs w:val="0"/>
                <w:color w:val="000000"/>
                <w:sz w:val="22"/>
                <w:szCs w:val="22"/>
                <w:u w:val="none"/>
                <w:lang w:val="en-US" w:eastAsia="zh-CN" w:bidi="ar"/>
              </w:rPr>
              <w:t xml:space="preserve">兼容3.0T磁共振，每个≥4L，可进入磁体间灭火</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39.7</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无磁降噪耳机</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39.8</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3.0T专用磁兼容监护：</w:t>
            </w:r>
            <w:r>
              <w:rPr>
                <w:rFonts w:hint="eastAsia" w:ascii="仿宋" w:hAnsi="仿宋" w:eastAsia="仿宋" w:cs="仿宋"/>
                <w:i w:val="0"/>
                <w:iCs w:val="0"/>
                <w:color w:val="000000"/>
                <w:sz w:val="22"/>
                <w:szCs w:val="22"/>
                <w:u w:val="none"/>
                <w:lang w:val="en-US" w:eastAsia="zh-CN" w:bidi="ar"/>
              </w:rPr>
              <w:t xml:space="preserve">适用于成人、小儿（含婴儿）进行磁共振检查期间同时监测心电、血氧饱和度、脉率、灌注指数和无创血压（NIBP）等指标</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39.9</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无磁移动输液架</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39.10</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无磁护理车</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39.11</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磁共振专用双立柱智能铁磁探测系统：</w:t>
            </w:r>
            <w:r>
              <w:rPr>
                <w:rFonts w:hint="eastAsia" w:ascii="仿宋" w:hAnsi="仿宋" w:eastAsia="仿宋" w:cs="仿宋"/>
                <w:i w:val="0"/>
                <w:iCs w:val="0"/>
                <w:color w:val="000000"/>
                <w:sz w:val="22"/>
                <w:szCs w:val="22"/>
                <w:u w:val="none"/>
                <w:lang w:val="zh-CN" w:eastAsia="zh-CN" w:bidi="ar"/>
              </w:rPr>
              <w:t xml:space="preserve">包含但不限于配置≥21英寸触摸屏，≥6通道传感器，满足灯光、语音及图文告警，满足智能定位报警和智能集控管理，防碰撞等</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center"/>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39.12</w:t>
            </w:r>
            <w:r/>
          </w:p>
        </w:tc>
        <w:tc>
          <w:tcPr>
            <w:tcW w:w="7044"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en-US" w:eastAsia="zh-CN" w:bidi="ar"/>
              </w:rPr>
              <w:t xml:space="preserve">无磁信息化双筒高压注射器：</w:t>
            </w:r>
            <w:r>
              <w:rPr>
                <w:rFonts w:hint="eastAsia" w:ascii="仿宋" w:hAnsi="仿宋" w:eastAsia="仿宋" w:cs="仿宋"/>
                <w:i w:val="0"/>
                <w:iCs w:val="0"/>
                <w:color w:val="000000"/>
                <w:sz w:val="22"/>
                <w:szCs w:val="22"/>
                <w:u w:val="none"/>
                <w:lang w:val="zh-CN" w:eastAsia="zh-CN" w:bidi="ar"/>
              </w:rPr>
              <w:t xml:space="preserve">适用于3.0T磁共振系统，彩色触摸屏，双筒双马达设计，双侧针筒可独立编程注射，支持自动吸药、自动排气、双流注射、静脉开放功能等功能</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zh-CN" w:eastAsia="zh-CN" w:bidi="ar"/>
              </w:rPr>
              <w:t xml:space="preserve">支持实时压力曲线显示功能，压力限制偏差≤±10psi</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zh-CN" w:eastAsia="zh-CN" w:bidi="ar"/>
              </w:rPr>
              <w:t xml:space="preserve">注射时相≥6相，可以任意选择造影剂、盐水、保持或暂停</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lang w:val="zh-CN" w:eastAsia="zh-CN" w:bidi="ar"/>
              </w:rPr>
              <w:t xml:space="preserve">具有信息化功能，与医院PACS等信息系统连接</w:t>
            </w:r>
            <w:r/>
          </w:p>
          <w:p>
            <w:pPr>
              <w:jc w:val="left"/>
              <w:keepLines w:val="0"/>
              <w:keepNext w:val="0"/>
              <w:widowControl/>
              <w:rPr>
                <w:rFonts w:hint="eastAsia" w:ascii="仿宋" w:hAnsi="仿宋" w:eastAsia="仿宋" w:cs="仿宋"/>
                <w:i w:val="0"/>
                <w:iCs w:val="0"/>
                <w:color w:val="000000"/>
                <w:sz w:val="22"/>
                <w:szCs w:val="22"/>
                <w:u w:val="none"/>
                <w:lang w:val="zh-CN"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lang w:val="zh-CN" w:eastAsia="zh-CN" w:bidi="ar"/>
              </w:rPr>
              <w:t xml:space="preserve">配套信息管理软件支持多设备数据看板及多设备管理与分析功能</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zh-CN" w:eastAsia="zh-CN" w:bidi="ar"/>
              </w:rPr>
              <w:t xml:space="preserve">（</w:t>
            </w: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lang w:val="zh-CN" w:eastAsia="zh-CN" w:bidi="ar"/>
              </w:rPr>
              <w:t xml:space="preserve">所用耗材必须南京医用耗材（药品）招采结算系统、江苏省药品（医用耗材）阳光采购和综合监管平台中标品种</w:t>
            </w:r>
            <w:r/>
          </w:p>
        </w:tc>
        <w:tc>
          <w:tcPr>
            <w:tcW w:w="1851"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top"/>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39.13</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线圈柜</w:t>
            </w:r>
            <w:r/>
          </w:p>
        </w:tc>
        <w:tc>
          <w:tcPr>
            <w:tcW w:w="1851"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top"/>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39.14</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机房装修屏蔽</w:t>
            </w:r>
            <w:r/>
          </w:p>
        </w:tc>
        <w:tc>
          <w:tcPr>
            <w:tcW w:w="1851"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top"/>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39.15</w:t>
            </w:r>
            <w:r/>
          </w:p>
        </w:tc>
        <w:tc>
          <w:tcPr>
            <w:tcW w:w="704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第三方检测</w:t>
            </w:r>
            <w:r/>
          </w:p>
        </w:tc>
        <w:tc>
          <w:tcPr>
            <w:tcW w:w="1851"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w:t>
            </w:r>
            <w:r/>
          </w:p>
        </w:tc>
      </w:tr>
      <w:tr>
        <w:trPr>
          <w:trHeight w:val="23"/>
        </w:trPr>
        <w:tc>
          <w:tcPr>
            <w:tcW w:w="1129" w:type="dxa"/>
            <w:vAlign w:val="top"/>
            <w:textDirection w:val="lrTb"/>
            <w:noWrap w:val="false"/>
          </w:tcPr>
          <w:p>
            <w:pPr>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39.16</w:t>
            </w:r>
            <w:r/>
          </w:p>
        </w:tc>
        <w:tc>
          <w:tcPr>
            <w:tcW w:w="7044" w:type="dxa"/>
            <w:vAlign w:val="center"/>
            <w:textDirection w:val="lrTb"/>
            <w:noWrap w:val="false"/>
          </w:tcPr>
          <w:p>
            <w:pPr>
              <w:numPr>
                <w:ilvl w:val="0"/>
                <w:numId w:val="0"/>
              </w:numPr>
              <w:ind w:left="0" w:firstLine="0"/>
              <w:jc w:val="left"/>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szCs w:val="22"/>
                <w:lang w:val="zh-CN" w:eastAsia="zh-CN" w:bidi="ar"/>
              </w:rPr>
              <w:t xml:space="preserve">磁共振主控台及后处理工作站工作桌、椅（</w:t>
            </w:r>
            <w:r>
              <w:rPr>
                <w:rFonts w:hint="eastAsia" w:ascii="仿宋" w:hAnsi="仿宋" w:eastAsia="仿宋" w:cs="仿宋"/>
                <w:color w:val="000000"/>
                <w:sz w:val="22"/>
                <w:szCs w:val="22"/>
                <w:lang w:val="en-US" w:eastAsia="zh-CN" w:bidi="ar"/>
              </w:rPr>
              <w:t xml:space="preserve">材质不限</w:t>
            </w:r>
            <w:r>
              <w:rPr>
                <w:rFonts w:hint="eastAsia" w:ascii="仿宋" w:hAnsi="仿宋" w:eastAsia="仿宋" w:cs="仿宋"/>
                <w:color w:val="000000"/>
                <w:sz w:val="22"/>
                <w:szCs w:val="22"/>
                <w:lang w:val="zh-CN" w:eastAsia="zh-CN" w:bidi="ar"/>
              </w:rPr>
              <w:t xml:space="preserve">）,各1套：根据场地情况定制</w:t>
            </w:r>
            <w:r/>
          </w:p>
        </w:tc>
        <w:tc>
          <w:tcPr>
            <w:tcW w:w="1851" w:type="dxa"/>
            <w:vAlign w:val="top"/>
            <w:textDirection w:val="lrTb"/>
            <w:noWrap w:val="false"/>
          </w:tcPr>
          <w:p>
            <w:pPr>
              <w:jc w:val="center"/>
              <w:widowControl/>
              <w:rPr>
                <w:rFonts w:hint="eastAsia" w:ascii="仿宋" w:hAnsi="仿宋" w:eastAsia="仿宋" w:cs="仿宋"/>
                <w:i w:val="0"/>
                <w:iCs w:val="0"/>
                <w:color w:val="000000"/>
                <w:sz w:val="22"/>
                <w:szCs w:val="22"/>
                <w:u w:val="none"/>
                <w:lang w:val="en-US" w:eastAsia="zh-CN" w:bidi="ar"/>
              </w:rPr>
            </w:pPr>
            <w:r>
              <w:rPr>
                <w:rFonts w:hint="eastAsia" w:ascii="仿宋" w:hAnsi="仿宋" w:eastAsia="仿宋" w:cs="仿宋"/>
                <w:color w:val="000000"/>
                <w:sz w:val="22"/>
                <w:lang w:val="en-US" w:eastAsia="zh-CN" w:bidi="ar"/>
              </w:rPr>
              <w:t xml:space="preserve">具备</w:t>
            </w:r>
            <w:r/>
          </w:p>
        </w:tc>
      </w:tr>
    </w:tbl>
    <w:p>
      <w:pPr>
        <w:ind w:right="0"/>
        <w:jc w:val="left"/>
        <w:keepLines w:val="0"/>
        <w:keepNext w:val="0"/>
        <w:pageBreakBefore w:val="0"/>
        <w:spacing w:after="0"/>
        <w:widowControl/>
        <w:rPr>
          <w:rFonts w:hint="eastAsia" w:ascii="Times New Roman" w:hAnsi="Times New Roman" w:eastAsia="宋体" w:cs="Times New Roman"/>
          <w:b/>
          <w:bCs/>
          <w:i w:val="0"/>
          <w:iCs w:val="0"/>
          <w:color w:val="000000"/>
          <w:sz w:val="24"/>
          <w:szCs w:val="24"/>
          <w:highlight w:val="none"/>
          <w:u w:val="none"/>
          <w:lang w:val="en-US" w:eastAsia="zh-CN" w:bidi="ar"/>
        </w:rPr>
      </w:pPr>
      <w:r>
        <w:rPr>
          <w:rFonts w:hint="eastAsia"/>
          <w:b/>
          <w:bCs/>
          <w:color w:val="000000"/>
          <w:sz w:val="24"/>
          <w:szCs w:val="24"/>
          <w:highlight w:val="none"/>
          <w:lang w:val="en-US" w:eastAsia="zh-CN"/>
        </w:rPr>
        <w:t xml:space="preserve">特别说明：</w:t>
      </w:r>
      <w:r>
        <w:rPr>
          <w:rFonts w:hint="eastAsia" w:ascii="Times New Roman" w:hAnsi="Times New Roman" w:eastAsia="宋体" w:cs="Times New Roman"/>
          <w:b/>
          <w:bCs/>
          <w:color w:val="000000"/>
          <w:sz w:val="24"/>
          <w:szCs w:val="24"/>
          <w:highlight w:val="none"/>
          <w:lang w:val="en-US" w:eastAsia="zh-CN"/>
        </w:rPr>
        <w:t xml:space="preserve">以上</w:t>
      </w:r>
      <w:r>
        <w:rPr>
          <w:rFonts w:hint="eastAsia" w:ascii="Times New Roman" w:hAnsi="Times New Roman" w:eastAsia="宋体" w:cs="Times New Roman"/>
          <w:b/>
          <w:bCs/>
          <w:i w:val="0"/>
          <w:iCs w:val="0"/>
          <w:color w:val="000000"/>
          <w:sz w:val="24"/>
          <w:szCs w:val="24"/>
          <w:highlight w:val="none"/>
          <w:u w:val="none"/>
          <w:lang w:val="en-US" w:eastAsia="zh-CN" w:bidi="ar"/>
        </w:rPr>
        <w:t xml:space="preserve">★、▲技术参数需在投标文件中提供</w:t>
      </w:r>
      <w:r>
        <w:rPr>
          <w:rFonts w:hint="eastAsia" w:ascii="Times New Roman" w:hAnsi="Times New Roman" w:eastAsia="宋体" w:cs="Times New Roman"/>
          <w:b/>
          <w:bCs/>
          <w:color w:val="000000"/>
          <w:sz w:val="24"/>
          <w:szCs w:val="24"/>
          <w:highlight w:val="none"/>
          <w:lang w:val="en-US" w:eastAsia="zh-CN" w:bidi="ar"/>
        </w:rPr>
        <w:t xml:space="preserve">所投产品有效的医疗器械注册证及附件、与注册证附件内容保持一致的最新原厂中文版技术白皮书（或产品彩页或官方网站截图或具备CMA资质的有效检测报告）</w:t>
      </w:r>
      <w:r>
        <w:rPr>
          <w:rFonts w:hint="eastAsia" w:ascii="Times New Roman" w:hAnsi="Times New Roman" w:eastAsia="宋体" w:cs="Times New Roman"/>
          <w:b/>
          <w:bCs/>
          <w:i w:val="0"/>
          <w:iCs w:val="0"/>
          <w:color w:val="000000"/>
          <w:sz w:val="24"/>
          <w:szCs w:val="24"/>
          <w:highlight w:val="none"/>
          <w:u w:val="none"/>
          <w:lang w:val="en-US" w:eastAsia="zh-CN" w:bidi="ar"/>
        </w:rPr>
        <w:t xml:space="preserve">，否则不予认可。</w:t>
      </w:r>
      <w:r/>
    </w:p>
    <w:p>
      <w:pPr>
        <w:pStyle w:val="1007"/>
        <w:ind w:right="0" w:firstLine="387"/>
        <w:keepLines w:val="0"/>
        <w:keepNext w:val="0"/>
        <w:pageBreakBefore w:val="0"/>
        <w:spacing w:after="0" w:line="240" w:lineRule="auto"/>
        <w:rPr>
          <w:rFonts w:hint="eastAsia" w:cs="宋体"/>
          <w:b/>
          <w:bCs/>
          <w:i w:val="0"/>
          <w:iCs w:val="0"/>
          <w:color w:val="000000"/>
          <w:sz w:val="22"/>
          <w:szCs w:val="22"/>
          <w:highlight w:val="none"/>
          <w:u w:val="none"/>
          <w:lang w:val="en-US" w:eastAsia="zh-CN" w:bidi="ar"/>
        </w:rPr>
      </w:pPr>
      <w:r>
        <w:rPr>
          <w:rFonts w:hint="eastAsia" w:cs="宋体"/>
          <w:b/>
          <w:bCs/>
          <w:i w:val="0"/>
          <w:iCs w:val="0"/>
          <w:color w:val="000000"/>
          <w:sz w:val="22"/>
          <w:szCs w:val="22"/>
          <w:highlight w:val="none"/>
          <w:u w:val="none"/>
          <w:lang w:val="en-US" w:eastAsia="zh-CN" w:bidi="ar"/>
        </w:rPr>
      </w:r>
      <w:r/>
    </w:p>
    <w:p>
      <w:pPr>
        <w:jc w:val="left"/>
        <w:widowControl/>
        <w:rPr>
          <w:rFonts w:hint="eastAsia" w:ascii="Times New Roman" w:hAnsi="Times New Roman" w:eastAsia="宋体" w:cs="Times New Roman"/>
          <w:b/>
          <w:bCs/>
          <w:i w:val="0"/>
          <w:iCs w:val="0"/>
          <w:color w:val="000000"/>
          <w:sz w:val="24"/>
          <w:szCs w:val="24"/>
          <w:highlight w:val="none"/>
          <w:u w:val="none"/>
          <w:lang w:val="en-US" w:eastAsia="zh-CN" w:bidi="ar"/>
        </w:rPr>
      </w:pPr>
      <w:r>
        <w:rPr>
          <w:rFonts w:hint="eastAsia" w:ascii="Times New Roman" w:hAnsi="Times New Roman" w:eastAsia="宋体" w:cs="Times New Roman"/>
          <w:b/>
          <w:bCs/>
          <w:i w:val="0"/>
          <w:iCs w:val="0"/>
          <w:color w:val="000000"/>
          <w:sz w:val="24"/>
          <w:szCs w:val="24"/>
          <w:highlight w:val="none"/>
          <w:u w:val="none"/>
          <w:lang w:val="en-US" w:eastAsia="zh-CN" w:bidi="ar"/>
        </w:rPr>
      </w:r>
      <w:r/>
    </w:p>
    <w:p>
      <w:pPr>
        <w:rPr>
          <w:color w:val="000000"/>
        </w:rPr>
      </w:pPr>
      <w:r>
        <w:rPr>
          <w:color w:val="000000"/>
        </w:rPr>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Times New Roman" w:eastAsia="宋体" w:cs="宋体"/>
          <w:b/>
          <w:bCs/>
          <w:color w:val="000000"/>
          <w:sz w:val="24"/>
          <w:szCs w:val="24"/>
          <w:highlight w:val="none"/>
          <w:lang w:val="en-US" w:eastAsia="zh-CN"/>
        </w:rPr>
        <w:t xml:space="preserve">2.</w:t>
      </w:r>
      <w:r>
        <w:rPr>
          <w:rFonts w:hint="eastAsia" w:ascii="宋体" w:hAnsi="Times New Roman" w:eastAsia="宋体" w:cs="宋体"/>
          <w:b/>
          <w:bCs/>
          <w:color w:val="000000"/>
          <w:sz w:val="24"/>
          <w:szCs w:val="24"/>
          <w:highlight w:val="none"/>
          <w:lang w:val="zh-CN"/>
        </w:rPr>
        <w:t xml:space="preserve">产品综合</w:t>
      </w:r>
      <w:r>
        <w:rPr>
          <w:rFonts w:hint="eastAsia" w:ascii="宋体" w:hAnsi="Times New Roman" w:cs="宋体"/>
          <w:b/>
          <w:bCs/>
          <w:color w:val="000000"/>
          <w:sz w:val="24"/>
          <w:szCs w:val="24"/>
          <w:highlight w:val="none"/>
          <w:lang w:val="zh-CN"/>
        </w:rPr>
        <w:t xml:space="preserve">性能要求</w:t>
      </w:r>
      <w:r>
        <w:rPr>
          <w:rFonts w:hint="eastAsia" w:ascii="宋体" w:hAnsi="宋体" w:eastAsia="宋体" w:cs="宋体"/>
          <w:bCs/>
          <w:color w:val="000000"/>
          <w:sz w:val="24"/>
          <w:szCs w:val="24"/>
          <w:highlight w:val="none"/>
          <w:lang w:val="en-US" w:eastAsia="zh-CN"/>
        </w:rPr>
        <w:t xml:space="preserve"> </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（1）产品设计、制造工艺、材质要求：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（2）产品安全性、可控及耐受度要求：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有源医疗设备应符合GB9706.1-2020医用电气设备第1部分：安全通用要求、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（3）产品易用性要求：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（4）产品新技术优配度、兼容和扩展性要求：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产品效能应符合国家和行业标准，能满足临床使用需求，产品应具有较好的兼容性和扩展性。投标人根据上述要求在投标文件中提供详细材料，体现所投产品对于上述要求的符合性或优于性。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rPr>
        <w:t xml:space="preserve">（5）投标人提供的磁共振设备为2026年7月1日后生产的产品。</w:t>
      </w:r>
      <w:r/>
    </w:p>
    <w:p>
      <w:pPr>
        <w:ind w:right="0" w:firstLine="42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rPr>
        <w:outlineLvl w:val="9"/>
      </w:pPr>
      <w:r>
        <w:rPr>
          <w:rFonts w:hint="eastAsia" w:ascii="宋体" w:hAnsi="宋体" w:eastAsia="宋体" w:cs="Times New Roman"/>
          <w:b w:val="0"/>
          <w:bCs w:val="0"/>
          <w:i w:val="0"/>
          <w:iCs w:val="0"/>
          <w:color w:val="000000"/>
          <w:sz w:val="24"/>
          <w:u w:val="none"/>
        </w:rPr>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1.报价要求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（2）供应商的任何错漏、优惠、竞争性报价不得作为减轻责任、减少服务、增加收费、降低服务质量的理由。</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right="0" w:firstLine="422"/>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机房装修均为交钥匙工程，报价请供应商与最终用户对接，采取现场踏勘等方式了解具体装修内容和要求，并在此基础上合理报价。辐射环境检测合格、环评备案完成、设备整体验收合格后方可交付使用，需求清单中环评、卫评，包含检测、防护验收费用</w:t>
      </w:r>
      <w:r>
        <w:rPr>
          <w:rFonts w:hint="eastAsia" w:ascii="宋体" w:hAnsi="宋体" w:eastAsia="宋体" w:cs="宋体"/>
          <w:b w:val="0"/>
          <w:bCs w:val="0"/>
          <w:color w:val="000000"/>
          <w:sz w:val="24"/>
          <w:szCs w:val="24"/>
          <w:highlight w:val="none"/>
          <w:lang w:val="en-US" w:eastAsia="zh-CN"/>
        </w:rPr>
        <w:t xml:space="preserve">。</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2.实施要求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2.3为使项目培训保质、保量有序实施，投标人需有足够数量技术人员组成实施团队；须针对本项目成立服务小组，设立项目联系人，指派专人全权处理销售中标设备和服务过程中的一切事宜。</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3.项目培训要求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4.质保及售后要求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4.1供应商提供的设备应为全新、未使用过的原装合格正品,并且符合国家有关质量技术标准及相关法律、法规规定的要求。签订合同前，中标供应商应配合采购人对所投产品技术资料进行核实（包括但不限于提供技术资料原件等），若经核实发现与投标文件不一致，将视为提供虚假材料。设备的质量标准、应用操作培训、售后服务及维修、耗材的供应价格等，按招标文件要求、供应商投标文件承诺及国家规定的相关标准执行。</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4.2</w:t>
      </w:r>
      <w:r>
        <w:rPr>
          <w:rFonts w:hint="eastAsia" w:ascii="宋体" w:hAnsi="宋体" w:eastAsia="宋体" w:cs="宋体"/>
          <w:color w:val="000000"/>
          <w:sz w:val="24"/>
          <w:szCs w:val="24"/>
          <w:highlight w:val="none"/>
          <w:lang w:val="en-US" w:eastAsia="zh-CN"/>
        </w:rPr>
        <w:t xml:space="preserve">供应商提供设备整机及所配置的全部第三方产品</w:t>
      </w:r>
      <w:r>
        <w:rPr>
          <w:rFonts w:hint="eastAsia" w:ascii="宋体" w:hAnsi="宋体" w:eastAsia="宋体" w:cs="宋体"/>
          <w:b w:val="0"/>
          <w:bCs w:val="0"/>
          <w:color w:val="000000"/>
          <w:sz w:val="24"/>
          <w:szCs w:val="24"/>
          <w:highlight w:val="none"/>
          <w:lang w:val="en-US" w:eastAsia="zh-CN"/>
        </w:rPr>
        <w:t xml:space="preserve">五年</w:t>
      </w:r>
      <w:r>
        <w:rPr>
          <w:rFonts w:hint="eastAsia" w:ascii="宋体" w:hAnsi="宋体" w:eastAsia="宋体" w:cs="宋体"/>
          <w:color w:val="000000"/>
          <w:sz w:val="24"/>
          <w:szCs w:val="24"/>
          <w:highlight w:val="none"/>
          <w:lang w:val="en-US" w:eastAsia="zh-CN"/>
        </w:rPr>
        <w:t xml:space="preserve">原厂质保和保修，维保期内提供原厂配件（</w:t>
      </w:r>
      <w:r>
        <w:rPr>
          <w:rFonts w:hint="eastAsia" w:ascii="宋体" w:hAnsi="宋体" w:eastAsia="宋体" w:cs="宋体"/>
          <w:color w:val="000000"/>
          <w:sz w:val="24"/>
          <w:szCs w:val="24"/>
          <w:highlight w:val="none"/>
          <w:lang w:eastAsia="zh-CN"/>
        </w:rPr>
        <w:t xml:space="preserve">费用包含在总报价中）</w:t>
      </w:r>
      <w:r>
        <w:rPr>
          <w:rFonts w:hint="eastAsia" w:ascii="宋体" w:hAnsi="宋体" w:eastAsia="宋体" w:cs="宋体"/>
          <w:color w:val="000000"/>
          <w:sz w:val="24"/>
          <w:szCs w:val="24"/>
          <w:highlight w:val="none"/>
          <w:lang w:val="en-US" w:eastAsia="zh-CN"/>
        </w:rPr>
        <w:t xml:space="preserve">。所有软件终身授权，质保期内免费软件升级、故障修复、接口调试。</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等服务内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4.4供应商提供的设备在质保期内因设备本身的质量问题发生故障，供应商应负责免费上门维修。对达不到技术要求者，根据实际情况，采购人可选择按以下办法处理：</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（1）更换：由供应商承担所发生的全部费用。</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4.5在质保期内，供应商应对设备出现的质量及安全问题负责处理解决并承担一切费用。</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4.6超过质保期的机器设备，维修时只收部件成本费用，不收取工时等杂费，成本费用不得高于投标文件所作的承诺。</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5.调试和验收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售后服务承诺，易损件和试剂耗材价格（未提供视同质保期内免费提供），中文使用说明书等。</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5.4验收时甲乙双方如果就质量问题有争议，可以委托法定检测机构进行检测评定。质量合格的检测费用由采购人承担，质量不合格的，检测费用由供应商承担。</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6.包装、发运及运输</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6.1供应商应在设备发运前对其进行满足运输距离、防潮、防震、防锈和防破损装卸等要求包装，以保证设备安全运达采购人指定地点。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6.2使用说明书、产品合格证明文件、随配附件和工具以及清单一并附于设备内。</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6.3供应商在设备发运手续办理完毕后24小时内或货到最终用户单位48小时前通知最终用户单位，以准备接货。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6.4设备在交付采购人（最终用户单位）前发生的风险均由供应商负责。</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6.5供应商在合同约定交付时间内将提供的设备送达采购人指定的地点，安装调试，并验收合格视为交付。</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7.付款条件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以第三章合同文本内容为准。</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8.交付时间及地点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（1）交付时间：</w:t>
      </w:r>
      <w:r>
        <w:rPr>
          <w:rFonts w:hint="eastAsia" w:ascii="宋体" w:hAnsi="宋体" w:eastAsia="宋体" w:cs="宋体"/>
          <w:color w:val="000000"/>
          <w:sz w:val="24"/>
          <w:szCs w:val="24"/>
          <w:highlight w:val="none"/>
          <w:lang w:val="en-US" w:eastAsia="zh-CN"/>
        </w:rPr>
        <w:t xml:space="preserve">合同签订后60天内交付并完成安装调试及验收等相关工作（指供应商在设备运送到采购人各指定地点安装调试完成并经使用验收后，将所有最终用户单位验收报告回执和供应商销售发票递交至采购人）。</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（2）交付地点：见下表。</w:t>
      </w:r>
      <w:r/>
    </w:p>
    <w:tbl>
      <w:tblPr>
        <w:tblStyle w:val="701"/>
        <w:tblpPr w:horzAnchor="page" w:tblpX="825" w:vertAnchor="text" w:tblpY="99" w:leftFromText="180" w:topFromText="0" w:rightFromText="180" w:bottomFromText="0"/>
        <w:tblW w:w="10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133"/>
        <w:gridCol w:w="5268"/>
        <w:gridCol w:w="960"/>
        <w:gridCol w:w="1435"/>
      </w:tblGrid>
      <w:tr>
        <w:trPr>
          <w:trHeight w:val="600"/>
        </w:trPr>
        <w:tc>
          <w:tcPr>
            <w:tcW w:w="764" w:type="dxa"/>
            <w:vAlign w:val="center"/>
            <w:textDirection w:val="lrTb"/>
            <w:noWrap w:val="false"/>
          </w:tcPr>
          <w:p>
            <w:pPr>
              <w:jc w:val="center"/>
              <w:keepLines w:val="0"/>
              <w:keepNext w:val="0"/>
              <w:widowControl/>
              <w:rPr>
                <w:rFonts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序号</w:t>
            </w:r>
            <w:r/>
          </w:p>
        </w:tc>
        <w:tc>
          <w:tcPr>
            <w:tcW w:w="2133"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最终用户</w:t>
            </w:r>
            <w:r/>
          </w:p>
        </w:tc>
        <w:tc>
          <w:tcPr>
            <w:tcW w:w="5268"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rPr>
              <w:suppressLineNumbers w:val="0"/>
            </w:pPr>
            <w:r>
              <w:rPr>
                <w:rFonts w:hint="eastAsia" w:ascii="黑体" w:hAnsi="宋体" w:eastAsia="黑体" w:cs="黑体"/>
                <w:i w:val="0"/>
                <w:iCs w:val="0"/>
                <w:color w:val="000000"/>
                <w:sz w:val="18"/>
                <w:szCs w:val="18"/>
                <w:u w:val="none"/>
                <w:lang w:val="en-US" w:eastAsia="zh-CN" w:bidi="ar"/>
              </w:rPr>
              <w:t xml:space="preserve">交付地点</w:t>
            </w:r>
            <w:r/>
          </w:p>
        </w:tc>
        <w:tc>
          <w:tcPr>
            <w:tcW w:w="960"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lang w:val="en-US" w:eastAsia="zh-CN" w:bidi="ar"/>
              </w:rPr>
              <w:suppressLineNumbers w:val="0"/>
            </w:pPr>
            <w:r>
              <w:rPr>
                <w:rFonts w:hint="eastAsia" w:ascii="黑体" w:hAnsi="宋体" w:eastAsia="黑体" w:cs="黑体"/>
                <w:i w:val="0"/>
                <w:iCs w:val="0"/>
                <w:color w:val="000000"/>
                <w:sz w:val="18"/>
                <w:szCs w:val="18"/>
                <w:u w:val="none"/>
                <w:lang w:val="en-US" w:eastAsia="zh-CN" w:bidi="ar"/>
              </w:rPr>
              <w:t xml:space="preserve">联系人</w:t>
            </w:r>
            <w:r/>
          </w:p>
        </w:tc>
        <w:tc>
          <w:tcPr>
            <w:tcW w:w="1435" w:type="dxa"/>
            <w:vAlign w:val="center"/>
            <w:textDirection w:val="lrTb"/>
            <w:noWrap w:val="false"/>
          </w:tcPr>
          <w:p>
            <w:pPr>
              <w:jc w:val="center"/>
              <w:keepLines w:val="0"/>
              <w:keepNext w:val="0"/>
              <w:widowControl/>
              <w:rPr>
                <w:rFonts w:hint="eastAsia" w:ascii="黑体" w:hAnsi="宋体" w:eastAsia="黑体" w:cs="黑体"/>
                <w:i w:val="0"/>
                <w:iCs w:val="0"/>
                <w:color w:val="000000"/>
                <w:sz w:val="18"/>
                <w:szCs w:val="18"/>
                <w:u w:val="none"/>
                <w:lang w:val="en-US" w:eastAsia="zh-CN" w:bidi="ar"/>
              </w:rPr>
              <w:suppressLineNumbers w:val="0"/>
            </w:pPr>
            <w:r>
              <w:rPr>
                <w:rFonts w:hint="eastAsia" w:ascii="黑体" w:hAnsi="宋体" w:eastAsia="黑体" w:cs="黑体"/>
                <w:i w:val="0"/>
                <w:iCs w:val="0"/>
                <w:color w:val="000000"/>
                <w:sz w:val="18"/>
                <w:szCs w:val="18"/>
                <w:u w:val="none"/>
                <w:lang w:val="en-US" w:eastAsia="zh-CN" w:bidi="ar"/>
              </w:rPr>
              <w:t xml:space="preserve">联系方式</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南京鼓楼医院本部</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南京市鼓楼区中山路321号南京鼓楼医院1号楼1楼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邱老师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13813938638</w:t>
            </w:r>
            <w:r/>
          </w:p>
        </w:tc>
      </w:tr>
      <w:tr>
        <w:trPr>
          <w:trHeight w:val="510"/>
        </w:trPr>
        <w:tc>
          <w:tcPr>
            <w:tcW w:w="764"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tcW w:w="2133"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南京鼓楼医院江北院区</w:t>
            </w:r>
            <w:r/>
          </w:p>
        </w:tc>
        <w:tc>
          <w:tcPr>
            <w:tcW w:w="5268"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南京市浦口区浦珠中路359号南京鼓楼医院江北国际医院B栋3楼</w:t>
            </w:r>
            <w:r/>
          </w:p>
        </w:tc>
        <w:tc>
          <w:tcPr>
            <w:tcW w:w="960" w:type="dxa"/>
            <w:vAlign w:val="center"/>
            <w:textDirection w:val="lrTb"/>
            <w:noWrap w:val="false"/>
          </w:tcPr>
          <w:p>
            <w:pPr>
              <w:jc w:val="center"/>
              <w:keepLines w:val="0"/>
              <w:keepNext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邱老师</w:t>
            </w:r>
            <w:r/>
          </w:p>
        </w:tc>
        <w:tc>
          <w:tcPr>
            <w:tcW w:w="1435" w:type="dxa"/>
            <w:vAlign w:val="center"/>
            <w:textDirection w:val="lrTb"/>
            <w:noWrap w:val="false"/>
          </w:tcPr>
          <w:p>
            <w:pPr>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13813938638</w:t>
            </w:r>
            <w:r/>
          </w:p>
        </w:tc>
      </w:tr>
    </w:tbl>
    <w:p>
      <w:pPr>
        <w:pStyle w:val="728"/>
        <w:rPr>
          <w:rFonts w:hint="eastAsia"/>
          <w:color w:val="000000"/>
        </w:rPr>
      </w:pPr>
      <w:r>
        <w:rPr>
          <w:rFonts w:hint="eastAsia"/>
          <w:color w:val="000000"/>
        </w:rPr>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9.履约保证金</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以第三章合同文本内容为准。</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10.其他要求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20"/>
        <w:spacing w:line="240" w:lineRule="auto"/>
        <w:rPr>
          <w:rFonts w:hint="eastAsia" w:ascii="宋体" w:hAnsi="宋体" w:eastAsia="宋体" w:cs="宋体"/>
          <w:b/>
          <w:bCs/>
          <w:color w:val="auto"/>
          <w:sz w:val="24"/>
          <w:szCs w:val="24"/>
          <w:highlight w:val="none"/>
          <w:lang w:val="en-US" w:eastAsia="zh-CN"/>
        </w:rPr>
      </w:pPr>
      <w:r>
        <w:rPr>
          <w:rFonts w:hint="eastAsia" w:cs="宋体"/>
          <w:b w:val="0"/>
          <w:bCs w:val="0"/>
          <w:color w:val="000000"/>
          <w:sz w:val="24"/>
          <w:szCs w:val="24"/>
          <w:highlight w:val="none"/>
          <w:lang w:val="en-US" w:eastAsia="zh-CN"/>
        </w:rPr>
        <w:t xml:space="preserve">11.</w:t>
      </w:r>
      <w:r>
        <w:rPr>
          <w:rFonts w:hint="eastAsia" w:ascii="宋体" w:hAnsi="宋体" w:eastAsia="宋体" w:cs="宋体"/>
          <w:b/>
          <w:bCs/>
          <w:color w:val="auto"/>
          <w:sz w:val="24"/>
          <w:szCs w:val="24"/>
          <w:highlight w:val="none"/>
          <w:lang w:val="en-US" w:eastAsia="zh-CN"/>
        </w:rPr>
        <w:t xml:space="preserve">分包要求</w:t>
      </w:r>
      <w:r/>
    </w:p>
    <w:p>
      <w:pPr>
        <w:ind w:firstLine="480"/>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本项目以下非主体、非关键部分的内容允许分包：</w:t>
      </w:r>
      <w:r/>
    </w:p>
    <w:tbl>
      <w:tblPr>
        <w:tblStyle w:val="723"/>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76"/>
        <w:gridCol w:w="4243"/>
        <w:gridCol w:w="2643"/>
      </w:tblGrid>
      <w:tr>
        <w:trPr>
          <w:jc w:val="center"/>
          <w:trHeight w:val="0"/>
          <w:tblHeader/>
        </w:trPr>
        <w:tc>
          <w:tcPr>
            <w:tcW w:w="3076"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b/>
                <w:i w:val="0"/>
                <w:iCs w:val="0"/>
                <w:caps w:val="0"/>
                <w:color w:val="333333"/>
                <w:spacing w:val="0"/>
                <w:sz w:val="24"/>
                <w:szCs w:val="24"/>
                <w:highlight w:val="none"/>
                <w:shd w:val="clear" w:color="auto" w:fill="auto"/>
                <w:lang w:val="en-US" w:eastAsia="zh-CN"/>
              </w:rPr>
              <w:t xml:space="preserve">允许分包履行的标的内容</w:t>
            </w:r>
            <w:r/>
          </w:p>
        </w:tc>
        <w:tc>
          <w:tcPr>
            <w:tcW w:w="424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
                <w:i w:val="0"/>
                <w:iCs w:val="0"/>
                <w:caps w:val="0"/>
                <w:color w:val="333333"/>
                <w:spacing w:val="0"/>
                <w:sz w:val="24"/>
                <w:szCs w:val="24"/>
                <w:highlight w:val="none"/>
                <w:shd w:val="clear" w:color="auto" w:fill="auto"/>
                <w:lang w:val="en-US" w:eastAsia="zh-CN"/>
              </w:rPr>
            </w:pPr>
            <w:r>
              <w:rPr>
                <w:rFonts w:hint="eastAsia" w:ascii="宋体" w:hAnsi="宋体" w:eastAsia="宋体" w:cs="宋体"/>
                <w:b/>
                <w:i w:val="0"/>
                <w:iCs w:val="0"/>
                <w:caps w:val="0"/>
                <w:color w:val="333333"/>
                <w:spacing w:val="0"/>
                <w:sz w:val="24"/>
                <w:szCs w:val="24"/>
                <w:highlight w:val="none"/>
                <w:shd w:val="clear" w:color="auto" w:fill="auto"/>
                <w:lang w:val="en-US" w:eastAsia="zh-CN"/>
              </w:rPr>
              <w:t xml:space="preserve">分包承担主体资质要求（如有）</w:t>
            </w:r>
            <w:r/>
          </w:p>
        </w:tc>
        <w:tc>
          <w:tcPr>
            <w:tcW w:w="264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b/>
                <w:i w:val="0"/>
                <w:iCs w:val="0"/>
                <w:caps w:val="0"/>
                <w:color w:val="333333"/>
                <w:spacing w:val="0"/>
                <w:sz w:val="24"/>
                <w:szCs w:val="24"/>
                <w:highlight w:val="none"/>
                <w:shd w:val="clear" w:color="auto" w:fill="auto"/>
                <w:lang w:val="en-US" w:eastAsia="zh-CN"/>
              </w:rPr>
              <w:t xml:space="preserve">中小企业划分标准所属行业</w:t>
            </w:r>
            <w:r/>
          </w:p>
        </w:tc>
      </w:tr>
      <w:tr>
        <w:trPr>
          <w:jc w:val="center"/>
          <w:trHeight w:val="0"/>
        </w:trPr>
        <w:tc>
          <w:tcPr>
            <w:tcW w:w="3076" w:type="dxa"/>
            <w:vAlign w:val="center"/>
            <w:textDirection w:val="lrTb"/>
            <w:noWrap w:val="false"/>
          </w:tcPr>
          <w:p>
            <w:pPr>
              <w:ind w:left="0" w:right="0" w:firstLine="0"/>
              <w:jc w:val="center"/>
              <w:rPr>
                <w:rFonts w:ascii="宋体" w:eastAsia="宋体"/>
                <w:sz w:val="24"/>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项目</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清单</w:t>
            </w:r>
            <w:r>
              <w:rPr>
                <w:rFonts w:hint="eastAsia" w:ascii="宋体" w:hAnsi="宋体" w:eastAsia="宋体" w:cs="宋体"/>
                <w:bCs/>
                <w:sz w:val="24"/>
                <w:szCs w:val="24"/>
                <w:highlight w:val="none"/>
                <w:lang w:val="en-US" w:eastAsia="zh-CN"/>
              </w:rPr>
              <w:t xml:space="preserve">：机房装修屏蔽</w:t>
            </w:r>
            <w:r/>
          </w:p>
          <w:p>
            <w:pPr>
              <w:ind w:left="0" w:right="0" w:firstLine="0"/>
              <w:jc w:val="center"/>
              <w:keepLines w:val="0"/>
              <w:keepNext w:val="0"/>
              <w:pageBreakBefore w:val="0"/>
              <w:spacing w:line="240" w:lineRule="auto"/>
              <w:widowControl w:val="off"/>
              <w:rPr>
                <w:rFonts w:hint="default"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r>
            <w:r/>
          </w:p>
        </w:tc>
        <w:tc>
          <w:tcPr>
            <w:tcW w:w="424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有效期内建筑装修装饰工程专业承包二级及以上资质</w:t>
            </w:r>
            <w:r/>
          </w:p>
        </w:tc>
        <w:tc>
          <w:tcPr>
            <w:tcW w:w="2643"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t xml:space="preserve">建筑业</w:t>
            </w:r>
            <w:r/>
          </w:p>
        </w:tc>
      </w:tr>
    </w:tbl>
    <w:p>
      <w:pPr>
        <w:ind w:firstLine="480"/>
        <w:spacing w:line="264"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702"/>
        <w:rPr>
          <w:rFonts w:hint="default"/>
          <w:lang w:val="en-US" w:eastAsia="zh-CN"/>
        </w:rPr>
      </w:pPr>
      <w:r>
        <w:rPr>
          <w:rFonts w:hint="default"/>
          <w:lang w:val="en-US" w:eastAsia="zh-CN"/>
        </w:rPr>
      </w:r>
      <w:r/>
    </w:p>
    <w:p>
      <w:pPr>
        <w:pStyle w:val="1001"/>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728"/>
        <w:ind w:left="0" w:firstLine="0"/>
        <w:rPr>
          <w:rFonts w:hint="eastAsia"/>
        </w:rPr>
      </w:pPr>
      <w:r>
        <w:rPr>
          <w:rFonts w:hint="eastAsia"/>
        </w:rPr>
      </w:r>
      <w:r/>
    </w:p>
    <w:p>
      <w:pPr>
        <w:ind w:right="0" w:firstLine="630"/>
        <w:jc w:val="center"/>
        <w:keepLines w:val="0"/>
        <w:keepNext w:val="0"/>
        <w:pageBreakBefore w:val="0"/>
        <w:spacing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0" w:firstLine="630"/>
        <w:jc w:val="center"/>
        <w:keepLines w:val="0"/>
        <w:keepNext w:val="0"/>
        <w:pageBreakBefore w:val="0"/>
        <w:spacing w:line="240" w:lineRule="auto"/>
        <w:rPr>
          <w:rFonts w:hint="eastAsia" w:ascii="黑体" w:hAnsi="黑体" w:eastAsia="黑体" w:cs="黑体"/>
          <w:b w:val="0"/>
          <w:bCs w:val="0"/>
          <w:color w:val="000000"/>
          <w:sz w:val="24"/>
          <w:szCs w:val="24"/>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right="0" w:firstLine="420"/>
        <w:keepLines w:val="0"/>
        <w:keepNext w:val="0"/>
        <w:pageBreakBefore w:val="0"/>
        <w:spacing w:line="240" w:lineRule="auto"/>
        <w:widowControl w:val="off"/>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right="0" w:firstLine="42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left="0"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3.多采购包评审说明</w:t>
      </w:r>
      <w:r/>
    </w:p>
    <w:p>
      <w:pPr>
        <w:ind w:left="0" w:firstLine="420"/>
        <w:spacing w:line="240" w:lineRule="auto"/>
        <w:rPr>
          <w:color w:val="000000"/>
          <w:highlight w:val="none"/>
          <w:lang w:val="en-US" w:eastAsia="zh-CN"/>
        </w:rPr>
      </w:pPr>
      <w:r>
        <w:rPr>
          <w:rFonts w:hint="eastAsia" w:ascii="宋体" w:hAnsi="宋体" w:eastAsia="宋体" w:cs="Times New Roman"/>
          <w:b w:val="0"/>
          <w:bCs w:val="0"/>
          <w:color w:val="000000"/>
          <w:sz w:val="24"/>
          <w:szCs w:val="24"/>
          <w:highlight w:val="none"/>
          <w:u w:val="none"/>
          <w:lang w:val="en-US" w:eastAsia="zh-CN"/>
        </w:rPr>
        <w:t xml:space="preserve">本项目多个采购包投标人可以兼投兼中，评审顺序依次为采购包1、采购包2、采购包3。同一投标人参与多个采购包投标时，在</w:t>
      </w:r>
      <w:r>
        <w:rPr>
          <w:rFonts w:hint="eastAsia" w:ascii="宋体" w:hAnsi="宋体" w:eastAsia="宋体" w:cs="宋体"/>
          <w:color w:val="000000"/>
          <w:sz w:val="24"/>
          <w:szCs w:val="24"/>
          <w:highlight w:val="none"/>
          <w:lang w:val="en-US" w:eastAsia="zh-CN"/>
        </w:rPr>
        <w:t xml:space="preserve">已完成评审的</w:t>
      </w:r>
      <w:r>
        <w:rPr>
          <w:rFonts w:hint="eastAsia" w:ascii="宋体" w:hAnsi="宋体"/>
          <w:color w:val="000000"/>
          <w:sz w:val="24"/>
          <w:szCs w:val="24"/>
          <w:highlight w:val="none"/>
        </w:rPr>
        <w:t xml:space="preserve">采购包</w:t>
      </w:r>
      <w:r>
        <w:rPr>
          <w:rFonts w:hint="eastAsia" w:ascii="宋体" w:hAnsi="宋体"/>
          <w:color w:val="000000"/>
          <w:sz w:val="24"/>
          <w:szCs w:val="24"/>
          <w:highlight w:val="none"/>
          <w:lang w:val="en-US" w:eastAsia="zh-CN"/>
        </w:rPr>
        <w:t xml:space="preserve">中</w:t>
      </w:r>
      <w:r>
        <w:rPr>
          <w:rFonts w:hint="eastAsia" w:ascii="宋体" w:hAnsi="宋体" w:eastAsia="宋体" w:cs="Times New Roman"/>
          <w:b w:val="0"/>
          <w:bCs w:val="0"/>
          <w:color w:val="000000"/>
          <w:sz w:val="24"/>
          <w:szCs w:val="24"/>
          <w:highlight w:val="none"/>
          <w:u w:val="none"/>
          <w:lang w:val="en-US" w:eastAsia="zh-CN"/>
        </w:rPr>
        <w:t xml:space="preserve">被确定为排名第一的中标候选人后，可以继续参与其他采购包的评审。</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right="0" w:firstLine="42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p>
    <w:p>
      <w:pPr>
        <w:ind w:right="0" w:firstLine="42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right="0" w:firstLine="420"/>
        <w:keepLines w:val="0"/>
        <w:keepNext w:val="0"/>
        <w:pageBreakBefore w:val="0"/>
        <w:spacing w:line="240" w:lineRule="auto"/>
        <w:widowControl/>
        <w:rPr>
          <w:rFonts w:hint="eastAsia" w:ascii="宋体" w:hAnsi="宋体" w:eastAsia="宋体" w:cs="宋体"/>
          <w:b/>
          <w:bCs/>
          <w:color w:val="000000"/>
          <w:sz w:val="24"/>
          <w:szCs w:val="24"/>
          <w:highlight w:val="none"/>
          <w:u w:val="none"/>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bCs/>
          <w:color w:val="000000"/>
          <w:sz w:val="24"/>
          <w:szCs w:val="24"/>
          <w:lang w:val="en-US" w:eastAsia="zh-CN"/>
        </w:rPr>
        <w:t xml:space="preserve">.</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right="0" w:firstLine="420"/>
        <w:keepLines w:val="0"/>
        <w:keepNext w:val="0"/>
        <w:pageBreakBefore w:val="0"/>
        <w:spacing w:line="240" w:lineRule="auto"/>
        <w:widowControl w:val="off"/>
        <w:rPr>
          <w:rFonts w:hint="eastAsia" w:ascii="黑体" w:hAnsi="黑体" w:eastAsia="黑体" w:cs="黑体"/>
          <w:b w:val="0"/>
          <w:bCs w:val="0"/>
          <w:color w:val="000000"/>
          <w:sz w:val="24"/>
          <w:szCs w:val="24"/>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right="0" w:firstLine="420"/>
        <w:keepLines w:val="0"/>
        <w:keepNext w:val="0"/>
        <w:pageBreakBefore w:val="0"/>
        <w:spacing w:line="240" w:lineRule="auto"/>
        <w:widowControl w:val="off"/>
        <w:rPr>
          <w:rFonts w:hint="eastAsia" w:ascii="宋体" w:hAnsi="宋体" w:eastAsia="宋体" w:cs="Times New Roman"/>
          <w:color w:val="000000"/>
          <w:sz w:val="24"/>
          <w:szCs w:val="24"/>
          <w:highlight w:val="yellow"/>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p>
    <w:p>
      <w:pPr>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9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p>
        </w:tc>
        <w:tc>
          <w:tcPr>
            <w:tcW w:w="117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p>
        </w:tc>
        <w:tc>
          <w:tcPr>
            <w:tcW w:w="633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p>
        </w:tc>
        <w:tc>
          <w:tcPr>
            <w:tcW w:w="647"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p>
        </w:tc>
        <w:tc>
          <w:tcPr>
            <w:tcW w:w="90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p>
        </w:tc>
      </w:tr>
      <w:tr>
        <w:trPr>
          <w:jc w:val="center"/>
          <w:trHeight w:val="105"/>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p>
        </w:tc>
        <w:tc>
          <w:tcPr>
            <w:tcW w:w="6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式计算：投标报价得分=(评标基准价/投标报价)×</w:t>
            </w:r>
            <w:r>
              <w:rPr>
                <w:rFonts w:hint="eastAsia" w:ascii="宋体" w:hAnsi="宋体" w:eastAsia="宋体" w:cs="宋体"/>
                <w:color w:val="000000"/>
                <w:szCs w:val="21"/>
                <w:highlight w:val="none"/>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产品技术参数</w:t>
            </w:r>
            <w:r/>
          </w:p>
        </w:tc>
        <w:tc>
          <w:tcPr>
            <w:tcW w:w="6330"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产品技术参数全部满足招标要求的得满分，打★指标为必须满足项，如有负偏离将作为无效投标，打▲指标为重要指标（共6项），有1项负偏离扣2分，其余指标（共23项）有1项负偏离扣1.3分。</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zCs w:val="21"/>
                <w:highlight w:val="none"/>
                <w:lang w:val="en-US"/>
              </w:rPr>
            </w:pPr>
            <w:r>
              <w:rPr>
                <w:rFonts w:hint="eastAsia" w:ascii="宋体" w:hAnsi="宋体" w:cs="宋体"/>
                <w:color w:val="000000"/>
                <w:szCs w:val="21"/>
                <w:highlight w:val="none"/>
                <w:lang w:val="en-US" w:eastAsia="zh-CN"/>
              </w:rPr>
              <w:t xml:space="preserve">42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产品设计、制造工艺及材质</w:t>
            </w:r>
            <w:r/>
          </w:p>
        </w:tc>
        <w:tc>
          <w:tcPr>
            <w:tcW w:w="6330" w:type="dxa"/>
            <w:vAlign w:val="center"/>
            <w:textDirection w:val="lrTb"/>
            <w:noWrap w:val="false"/>
          </w:tcPr>
          <w:p>
            <w:pPr>
              <w:pStyle w:val="995"/>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1.产品设计；2.产品制造工艺；3.产品材质。以上产品设计、产品制造工艺、产品材质。</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2.3</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产品安全性、可控耐受度及易用性</w:t>
            </w:r>
            <w:r/>
          </w:p>
        </w:tc>
        <w:tc>
          <w:tcPr>
            <w:tcW w:w="6330" w:type="dxa"/>
            <w:vAlign w:val="center"/>
            <w:textDirection w:val="lrTb"/>
            <w:noWrap w:val="false"/>
          </w:tcPr>
          <w:p>
            <w:pPr>
              <w:pStyle w:val="995"/>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1.产品安全性；2.产品可控及耐受度；3.产品易用性。以上产品安全性、产品可控及耐受度、产品易用性。</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2.4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 w:val="21"/>
                <w:szCs w:val="21"/>
                <w:highlight w:val="none"/>
              </w:rPr>
            </w:pPr>
            <w:r>
              <w:rPr>
                <w:rFonts w:hint="eastAsia" w:ascii="宋体" w:hAnsi="宋体" w:eastAsia="宋体" w:cs="宋体"/>
                <w:color w:val="000000"/>
                <w:spacing w:val="0"/>
                <w:szCs w:val="21"/>
                <w:highlight w:val="none"/>
                <w:lang w:val="en-US" w:eastAsia="zh-CN"/>
              </w:rPr>
              <w:t xml:space="preserve">产品新技术优配度、兼容扩展性</w:t>
            </w:r>
            <w:r/>
          </w:p>
        </w:tc>
        <w:tc>
          <w:tcPr>
            <w:tcW w:w="6330" w:type="dxa"/>
            <w:vAlign w:val="center"/>
            <w:textDirection w:val="lrTb"/>
            <w:noWrap w:val="false"/>
          </w:tcPr>
          <w:p>
            <w:pPr>
              <w:pStyle w:val="995"/>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产品兼容扩展性。</w:t>
            </w:r>
            <w:r>
              <w:rPr>
                <w:rFonts w:hint="eastAsia" w:ascii="宋体" w:hAnsi="宋体" w:eastAsia="宋体" w:cs="宋体"/>
                <w:color w:val="000000"/>
                <w:sz w:val="21"/>
                <w:szCs w:val="21"/>
                <w:highlight w:val="none"/>
                <w:lang w:val="en-US" w:eastAsia="zh-CN" w:bidi="ar-SA"/>
              </w:rPr>
              <w:t xml:space="preserve">以上产品先进性、兼容性、扩展性。</w:t>
            </w:r>
            <w:r>
              <w:rPr>
                <w:rFonts w:hint="eastAsia"/>
                <w:color w:val="000000"/>
                <w:sz w:val="21"/>
                <w:szCs w:val="21"/>
                <w:highlight w:val="none"/>
                <w:lang w:val="en-US" w:bidi="ar-SA"/>
              </w:rPr>
              <w:t xml:space="preserve">以上每项内容逐项评分：</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3.服务</w:t>
            </w:r>
            <w:r/>
          </w:p>
        </w:tc>
      </w:tr>
      <w:tr>
        <w:trPr>
          <w:jc w:val="center"/>
          <w:trHeight w:val="532"/>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项目实施方案</w:t>
            </w:r>
            <w:r/>
          </w:p>
        </w:tc>
        <w:tc>
          <w:tcPr>
            <w:tcW w:w="6330" w:type="dxa"/>
            <w:vAlign w:val="center"/>
            <w:textDirection w:val="lrTb"/>
            <w:noWrap w:val="false"/>
          </w:tcPr>
          <w:p>
            <w:pPr>
              <w:pStyle w:val="995"/>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color w:val="000000"/>
                <w:sz w:val="21"/>
                <w:szCs w:val="21"/>
                <w:highlight w:val="none"/>
                <w:lang w:val="en-US" w:bidi="ar-SA"/>
              </w:rPr>
              <w:t xml:space="preserve">以上每项内容逐项评分：</w:t>
            </w:r>
            <w:r/>
          </w:p>
          <w:p>
            <w:pPr>
              <w:pStyle w:val="995"/>
              <w:jc w:val="left"/>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298"/>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3.2</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项目培训方案</w:t>
            </w:r>
            <w:r/>
          </w:p>
        </w:tc>
        <w:tc>
          <w:tcPr>
            <w:tcW w:w="6330" w:type="dxa"/>
            <w:vAlign w:val="center"/>
            <w:textDirection w:val="lrTb"/>
            <w:noWrap w:val="false"/>
          </w:tcPr>
          <w:p>
            <w:pPr>
              <w:pStyle w:val="995"/>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评委根据投标人提供的</w:t>
            </w:r>
            <w:r>
              <w:rPr>
                <w:rFonts w:hint="eastAsia" w:ascii="宋体" w:hAnsi="宋体" w:eastAsia="宋体" w:cs="宋体"/>
                <w:color w:val="000000"/>
                <w:spacing w:val="0"/>
                <w:szCs w:val="21"/>
                <w:highlight w:val="none"/>
                <w:lang w:val="en-US" w:eastAsia="zh-CN"/>
              </w:rPr>
              <w:t xml:space="preserve">项目培训</w:t>
            </w:r>
            <w:r>
              <w:rPr>
                <w:rFonts w:hint="eastAsia" w:ascii="宋体" w:hAnsi="宋体" w:eastAsia="宋体" w:cs="宋体"/>
                <w:color w:val="000000"/>
                <w:sz w:val="21"/>
                <w:szCs w:val="21"/>
                <w:highlight w:val="none"/>
                <w:lang w:val="zh-CN"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综合评分，包含：1.培训计划及培训内容；2.培训师资力量。以上每项内容逐条阐述。</w:t>
            </w:r>
            <w:r/>
          </w:p>
          <w:p>
            <w:pPr>
              <w:keepLines w:val="0"/>
              <w:keepNext w:val="0"/>
              <w:pageBreakBefore w:val="0"/>
              <w:spacing w:line="360" w:lineRule="exact"/>
              <w:widowControl w:val="off"/>
              <w:rPr>
                <w:color w:val="000000"/>
                <w:lang w:val="en-US"/>
              </w:rPr>
            </w:pPr>
            <w:r>
              <w:rPr>
                <w:color w:val="000000"/>
                <w:lang w:val="en-US"/>
              </w:rPr>
              <w:t xml:space="preserve">方案内容</w:t>
            </w:r>
            <w:r>
              <w:rPr>
                <w:rFonts w:hint="eastAsia"/>
                <w:color w:val="000000"/>
                <w:lang w:val="en-US" w:eastAsia="zh-CN"/>
              </w:rPr>
              <w:t xml:space="preserve">对培训流程、周期、分层培训安排、实操内容、师资资质、行业经验、培训课件、操作手册、快速指引、售后指导资料等均详细表述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3.3</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售后服务方案</w:t>
            </w:r>
            <w:r/>
          </w:p>
        </w:tc>
        <w:tc>
          <w:tcPr>
            <w:tcW w:w="6330" w:type="dxa"/>
            <w:vAlign w:val="center"/>
            <w:textDirection w:val="lrTb"/>
            <w:noWrap w:val="false"/>
          </w:tcPr>
          <w:p>
            <w:pPr>
              <w:pStyle w:val="995"/>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sz w:val="21"/>
                <w:szCs w:val="21"/>
                <w:highlight w:val="none"/>
                <w:lang w:val="en-US" w:bidi="ar-SA"/>
              </w:rPr>
              <w:t xml:space="preserve">根据本项目采购需求中编制方案，内容包含</w:t>
            </w:r>
            <w:r>
              <w:rPr>
                <w:rFonts w:hint="eastAsia" w:ascii="宋体" w:hAnsi="宋体" w:eastAsia="宋体" w:cs="宋体"/>
                <w:color w:val="000000"/>
                <w:sz w:val="21"/>
                <w:szCs w:val="21"/>
                <w:highlight w:val="none"/>
                <w:lang w:val="en-US" w:eastAsia="zh-CN" w:bidi="ar-SA"/>
              </w:rPr>
              <w:t xml:space="preserve">：1.质保期内售后服务（响应时间，回访巡检方案、故障解决措施、技术人员保障、备品配件价格等）；2.本地化服务方案（江苏省内各服务网点、维修网点设置情况以及技术人员安排情况）。</w:t>
            </w:r>
            <w:r>
              <w:rPr>
                <w:rFonts w:hint="eastAsia"/>
                <w:color w:val="000000"/>
                <w:sz w:val="21"/>
                <w:szCs w:val="21"/>
                <w:highlight w:val="none"/>
                <w:lang w:val="en-US" w:bidi="ar-SA"/>
              </w:rPr>
              <w:t xml:space="preserve">以上每项内容逐项评分：</w:t>
            </w:r>
            <w:r/>
          </w:p>
          <w:p>
            <w:pPr>
              <w:pStyle w:val="995"/>
              <w:jc w:val="left"/>
              <w:rPr>
                <w:color w:val="000000"/>
                <w:lang w:val="en-US"/>
              </w:rPr>
            </w:pPr>
            <w:r>
              <w:rPr>
                <w:color w:val="000000"/>
                <w:lang w:val="en-US"/>
              </w:rPr>
              <w:t xml:space="preserve">方案内容</w:t>
            </w:r>
            <w:r>
              <w:rPr>
                <w:rFonts w:hint="eastAsia"/>
                <w:color w:val="000000"/>
                <w:lang w:val="en-US" w:eastAsia="zh-CN"/>
              </w:rPr>
              <w:t xml:space="preserve">对响</w:t>
            </w:r>
            <w:r>
              <w:rPr>
                <w:rFonts w:hint="eastAsia" w:ascii="Times New Roman" w:hAnsi="Times New Roman" w:eastAsia="宋体" w:cs="Times New Roman"/>
                <w:color w:val="000000"/>
                <w:lang w:val="en-US" w:eastAsia="zh-CN"/>
              </w:rPr>
              <w:t xml:space="preserve">应时间、回访巡检方案、故障解决措施、技术人员保障、备品配件价格等、江苏省内各服务网点、维修网点设置情况以及技术人员安排情况等、延保优惠、季度质控、专项技术支持、数据维护等均详细表述，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pStyle w:val="995"/>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3.4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延长质保</w:t>
            </w:r>
            <w:r/>
          </w:p>
        </w:tc>
        <w:tc>
          <w:tcPr>
            <w:tcW w:w="6330" w:type="dxa"/>
            <w:vAlign w:val="center"/>
            <w:textDirection w:val="lrTb"/>
            <w:noWrap w:val="false"/>
          </w:tcPr>
          <w:p>
            <w:pPr>
              <w:pStyle w:val="995"/>
              <w:jc w:val="left"/>
              <w:keepLines w:val="0"/>
              <w:keepNext w:val="0"/>
              <w:pageBreakBefore w:val="0"/>
              <w:spacing w:line="360" w:lineRule="exact"/>
              <w:widowControl w:val="off"/>
              <w:rPr>
                <w:rFonts w:ascii="宋体" w:hAnsi="宋体" w:eastAsia="宋体" w:cs="宋体"/>
                <w:color w:val="000000"/>
                <w:sz w:val="21"/>
                <w:szCs w:val="21"/>
                <w:highlight w:val="none"/>
              </w:rPr>
            </w:pPr>
            <w:r>
              <w:rPr>
                <w:rFonts w:hint="eastAsia"/>
                <w:color w:val="000000"/>
              </w:rPr>
              <w:t xml:space="preserve">投标人承诺在满足招标文件规定的</w:t>
            </w:r>
            <w:r>
              <w:rPr>
                <w:rFonts w:hint="eastAsia"/>
                <w:color w:val="000000"/>
                <w:lang w:val="en-US" w:eastAsia="zh-CN"/>
              </w:rPr>
              <w:t xml:space="preserve">5</w:t>
            </w:r>
            <w:r>
              <w:rPr>
                <w:rFonts w:hint="eastAsia"/>
                <w:color w:val="000000"/>
              </w:rPr>
              <w:t xml:space="preserve">年质保期基础上</w:t>
            </w:r>
            <w:r>
              <w:rPr>
                <w:rFonts w:hint="eastAsia" w:ascii="宋体" w:hAnsi="宋体" w:eastAsia="宋体" w:cs="宋体"/>
                <w:color w:val="000000"/>
                <w:sz w:val="21"/>
                <w:szCs w:val="21"/>
                <w:highlight w:val="none"/>
                <w:lang w:val="en-US" w:eastAsia="zh-CN" w:bidi="ar-SA"/>
              </w:rPr>
              <w:t xml:space="preserve">，每增加一年免费质保期的得</w:t>
            </w:r>
            <w:r>
              <w:rPr>
                <w:rFonts w:hint="eastAsia"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分，最多得3分，</w:t>
            </w:r>
            <w:r>
              <w:rPr>
                <w:rFonts w:hint="eastAsia"/>
                <w:color w:val="000000"/>
              </w:rPr>
              <w:t xml:space="preserve">每增</w:t>
            </w:r>
            <w:r>
              <w:rPr>
                <w:rFonts w:hint="eastAsia"/>
                <w:color w:val="000000"/>
              </w:rPr>
              <w:t xml:space="preserve">提供承诺书，格式自拟。</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000000"/>
                <w:spacing w:val="-6"/>
                <w:szCs w:val="21"/>
                <w:highlight w:val="none"/>
              </w:rPr>
            </w:pPr>
            <w:r>
              <w:rPr>
                <w:rFonts w:hint="eastAsia" w:ascii="宋体" w:hAnsi="宋体" w:eastAsia="宋体" w:cs="宋体"/>
                <w:color w:val="000000"/>
                <w:spacing w:val="-6"/>
                <w:szCs w:val="21"/>
                <w:highlight w:val="none"/>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p>
        </w:tc>
        <w:tc>
          <w:tcPr>
            <w:tcW w:w="1179" w:type="dxa"/>
            <w:vAlign w:val="center"/>
            <w:textDirection w:val="lrTb"/>
            <w:noWrap w:val="false"/>
          </w:tcPr>
          <w:p>
            <w:pPr>
              <w:pStyle w:val="995"/>
              <w:jc w:val="lef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pacing w:val="0"/>
                <w:sz w:val="21"/>
                <w:szCs w:val="21"/>
                <w:highlight w:val="none"/>
                <w:lang w:val="en-US" w:eastAsia="zh-CN" w:bidi="ar-SA"/>
              </w:rPr>
              <w:t xml:space="preserve">产品业绩</w:t>
            </w:r>
            <w:r/>
          </w:p>
        </w:tc>
        <w:tc>
          <w:tcPr>
            <w:tcW w:w="6330" w:type="dxa"/>
            <w:vAlign w:val="center"/>
            <w:textDirection w:val="lrTb"/>
            <w:noWrap w:val="false"/>
          </w:tcPr>
          <w:p>
            <w:pPr>
              <w:pStyle w:val="995"/>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提供2023年1月1日（含）以来（时间以合同签订时间为准）所投核心产品（同品牌同型号）业绩，每提供1个得1分，最多得3分。</w:t>
            </w:r>
            <w:r/>
          </w:p>
          <w:p>
            <w:pPr>
              <w:pStyle w:val="995"/>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pStyle w:val="995"/>
              <w:jc w:val="left"/>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同时，投标人需提供所投业绩情况说明列表，内容主要包括买方名称、供货机型、合同金额、数量、签订时间、联系人及电话等，采购人将根据此表随机抽查，如有虚假将取消中标供应商人资格。</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p>
        </w:tc>
      </w:tr>
    </w:tbl>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十一、关于符合本国产品标准的声明函（如有）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cs="宋体"/>
          <w:b w:val="0"/>
          <w:bCs w:val="0"/>
          <w:i w:val="0"/>
          <w:sz w:val="28"/>
          <w:szCs w:val="28"/>
          <w:highlight w:val="none"/>
          <w:u w:val="none"/>
          <w:lang w:val="en-US" w:eastAsia="zh-CN"/>
        </w:rPr>
        <w:t xml:space="preserve">二</w:t>
      </w:r>
      <w:r>
        <w:rPr>
          <w:rFonts w:hint="eastAsia" w:ascii="宋体" w:hAnsi="宋体" w:eastAsia="宋体" w:cs="宋体"/>
          <w:b w:val="0"/>
          <w:bCs w:val="0"/>
          <w:i w:val="0"/>
          <w:sz w:val="28"/>
          <w:szCs w:val="28"/>
          <w:highlight w:val="none"/>
          <w:u w:val="none"/>
          <w:lang w:val="en-US" w:eastAsia="zh-CN"/>
        </w:rPr>
        <w:t xml:space="preserve">、分包情况说明及分包意向协议</w:t>
      </w:r>
      <w:r/>
    </w:p>
    <w:p>
      <w:pPr>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992"/>
        <w:rPr>
          <w:rFonts w:ascii="宋体" w:hAnsi="宋体"/>
          <w:color w:val="000000"/>
          <w:sz w:val="24"/>
          <w:highlight w:val="none"/>
        </w:rPr>
      </w:pPr>
      <w:r>
        <w:rPr>
          <w:rFonts w:ascii="宋体" w:hAnsi="宋体"/>
          <w:color w:val="000000"/>
          <w:sz w:val="24"/>
          <w:highlight w:val="none"/>
        </w:rPr>
      </w:r>
      <w:r/>
    </w:p>
    <w:p>
      <w:pPr>
        <w:pStyle w:val="992"/>
        <w:rPr>
          <w:rFonts w:ascii="宋体" w:hAnsi="宋体"/>
          <w:color w:val="000000"/>
          <w:sz w:val="24"/>
          <w:highlight w:val="none"/>
        </w:rPr>
      </w:pPr>
      <w:r>
        <w:rPr>
          <w:rFonts w:ascii="宋体" w:hAnsi="宋体"/>
          <w:color w:val="000000"/>
          <w:sz w:val="24"/>
          <w:highlight w:val="none"/>
        </w:rPr>
      </w:r>
      <w:r/>
    </w:p>
    <w:p>
      <w:pPr>
        <w:pStyle w:val="992"/>
        <w:rPr>
          <w:rFonts w:ascii="宋体" w:hAnsi="宋体"/>
          <w:color w:val="000000"/>
          <w:sz w:val="24"/>
          <w:highlight w:val="none"/>
        </w:rPr>
      </w:pPr>
      <w:r>
        <w:rPr>
          <w:rFonts w:ascii="宋体" w:hAnsi="宋体"/>
          <w:color w:val="000000"/>
          <w:sz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pStyle w:val="992"/>
        <w:rPr>
          <w:rFonts w:ascii="宋体" w:hAnsi="宋体"/>
          <w:color w:val="000000"/>
          <w:sz w:val="24"/>
          <w:szCs w:val="24"/>
          <w:highlight w:val="none"/>
        </w:rPr>
      </w:pPr>
      <w:r>
        <w:rPr>
          <w:rFonts w:ascii="宋体" w:hAnsi="宋体"/>
          <w:color w:val="000000"/>
          <w:sz w:val="24"/>
          <w:szCs w:val="24"/>
          <w:highlight w:val="none"/>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93"/>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63"/>
        <w:ind w:firstLine="480"/>
        <w:spacing w:line="420" w:lineRule="exact"/>
        <w:rPr>
          <w:rFonts w:hint="eastAsia"/>
          <w:color w:val="000000"/>
          <w:sz w:val="24"/>
          <w:szCs w:val="24"/>
          <w:highlight w:val="none"/>
        </w:rPr>
      </w:pPr>
      <w:r>
        <w:rPr>
          <w:rFonts w:hint="eastAsia"/>
          <w:color w:val="000000"/>
          <w:sz w:val="24"/>
          <w:szCs w:val="24"/>
          <w:highlight w:val="none"/>
        </w:rPr>
      </w:r>
      <w:r/>
    </w:p>
    <w:p>
      <w:pPr>
        <w:pStyle w:val="963"/>
        <w:ind w:firstLine="480"/>
        <w:spacing w:line="480" w:lineRule="exact"/>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p>
    <w:p>
      <w:pPr>
        <w:pStyle w:val="963"/>
        <w:ind w:firstLine="480"/>
        <w:spacing w:line="480" w:lineRule="exact"/>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p>
    <w:p>
      <w:pPr>
        <w:pStyle w:val="963"/>
        <w:ind w:firstLine="48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p>
    <w:p>
      <w:pPr>
        <w:pStyle w:val="963"/>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p>
    <w:p>
      <w:pPr>
        <w:pStyle w:val="963"/>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p>
    <w:p>
      <w:pPr>
        <w:pStyle w:val="963"/>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p>
    <w:p>
      <w:pPr>
        <w:pStyle w:val="963"/>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color w:val="000000"/>
          <w:sz w:val="24"/>
          <w:szCs w:val="24"/>
          <w:highlight w:val="none"/>
        </w:rPr>
        <w:t xml:space="preserve">代理人联系方式（手机号码）</w:t>
      </w:r>
      <w:r>
        <w:rPr>
          <w:rFonts w:hint="eastAsia"/>
          <w:color w:val="000000"/>
          <w:sz w:val="24"/>
          <w:szCs w:val="24"/>
        </w:rPr>
        <w:t xml:space="preserve">：________________</w:t>
      </w:r>
      <w:r/>
    </w:p>
    <w:p>
      <w:pPr>
        <w:pStyle w:val="963"/>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p>
    <w:p>
      <w:pPr>
        <w:pStyle w:val="963"/>
        <w:ind w:firstLine="480"/>
        <w:spacing w:line="480" w:lineRule="exact"/>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p>
    <w:p>
      <w:pPr>
        <w:pStyle w:val="882"/>
        <w:ind w:firstLine="0"/>
        <w:rPr>
          <w:rFonts w:hint="eastAsia"/>
          <w:color w:val="000000"/>
          <w:highlight w:val="none"/>
        </w:rPr>
      </w:pPr>
      <w:r>
        <w:rPr>
          <w:rFonts w:hint="eastAsia"/>
          <w:color w:val="000000"/>
          <w:highlight w:val="none"/>
        </w:rPr>
      </w:r>
      <w:r/>
    </w:p>
    <w:p>
      <w:pPr>
        <w:pStyle w:val="963"/>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3"/>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p>
    <w:p>
      <w:pPr>
        <w:pStyle w:val="963"/>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p>
    <w:p>
      <w:pPr>
        <w:pStyle w:val="963"/>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p>
    <w:p>
      <w:pPr>
        <w:pStyle w:val="963"/>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p>
    <w:p>
      <w:pPr>
        <w:pStyle w:val="963"/>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p>
    <w:p>
      <w:pPr>
        <w:pStyle w:val="963"/>
        <w:ind w:firstLine="480"/>
        <w:spacing w:line="480" w:lineRule="exact"/>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65"/>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p>
    <w:p>
      <w:pPr>
        <w:pStyle w:val="965"/>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9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96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pStyle w:val="728"/>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p>
    <w:p>
      <w:pPr>
        <w:pStyle w:val="965"/>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p>
    <w:p>
      <w:pPr>
        <w:pStyle w:val="965"/>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65"/>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96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96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96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965"/>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965"/>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p>
    <w:p>
      <w:pPr>
        <w:ind w:firstLine="0"/>
        <w:rPr>
          <w:color w:val="000000"/>
          <w:sz w:val="24"/>
          <w:szCs w:val="24"/>
          <w:highlight w:val="none"/>
        </w:rPr>
      </w:pPr>
      <w:r>
        <w:rPr>
          <w:rFonts w:hint="eastAsia" w:ascii="宋体" w:hAnsi="宋体"/>
          <w:color w:val="000000"/>
          <w:sz w:val="24"/>
          <w:szCs w:val="24"/>
          <w:highlight w:val="none"/>
        </w:rPr>
        <w:t xml:space="preserve">项目名称：</w:t>
      </w:r>
      <w:r/>
    </w:p>
    <w:p>
      <w:pPr>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p>
    <w:tbl>
      <w:tblPr>
        <w:tblStyle w:val="70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728"/>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28"/>
        <w:rPr>
          <w:rFonts w:hint="eastAsia"/>
          <w:color w:val="000000"/>
          <w:highlight w:val="none"/>
          <w:lang w:val="en-US" w:eastAsia="zh-CN"/>
        </w:rPr>
      </w:pPr>
      <w:r>
        <w:rPr>
          <w:rFonts w:hint="eastAsia"/>
          <w:color w:val="000000"/>
          <w:highlight w:val="none"/>
          <w:lang w:val="en-US" w:eastAsia="zh-CN"/>
        </w:rPr>
      </w:r>
      <w:r/>
    </w:p>
    <w:p>
      <w:pPr>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01"/>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r>
            <w:r/>
          </w:p>
        </w:tc>
      </w:tr>
    </w:tbl>
    <w:p>
      <w:pPr>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tbl>
      <w:tblPr>
        <w:tblStyle w:val="701"/>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p>
    <w:p>
      <w:pPr>
        <w:pStyle w:val="940"/>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color w:val="000000"/>
                <w:highlight w:val="none"/>
              </w:rPr>
            </w:pPr>
            <w:r>
              <w:rPr>
                <w:color w:val="000000"/>
                <w:highlight w:val="none"/>
              </w:rPr>
            </w:r>
            <w:r/>
          </w:p>
          <w:p>
            <w:pPr>
              <w:pStyle w:val="728"/>
              <w:rPr>
                <w:rFonts w:hint="eastAsia"/>
                <w:color w:val="000000"/>
                <w:highlight w:val="none"/>
              </w:rPr>
            </w:pPr>
            <w:r>
              <w:rPr>
                <w:rFonts w:hint="eastAsia"/>
                <w:color w:val="000000"/>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40"/>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40"/>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p>
    <w:p>
      <w:pPr>
        <w:pStyle w:val="940"/>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color w:val="000000"/>
                <w:highlight w:val="none"/>
              </w:rPr>
            </w:pPr>
            <w:r>
              <w:rPr>
                <w:color w:val="000000"/>
                <w:highlight w:val="none"/>
              </w:rPr>
            </w:r>
            <w:r/>
          </w:p>
          <w:p>
            <w:pPr>
              <w:pStyle w:val="728"/>
              <w:rPr>
                <w:rFonts w:hint="eastAsia"/>
                <w:color w:val="000000"/>
                <w:highlight w:val="none"/>
              </w:rPr>
            </w:pPr>
            <w:r>
              <w:rPr>
                <w:rFonts w:hint="eastAsia"/>
                <w:color w:val="000000"/>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p>
    <w:p>
      <w:pPr>
        <w:pStyle w:val="954"/>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p>
    <w:p>
      <w:pPr>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p>
    <w:p>
      <w:pPr>
        <w:pStyle w:val="728"/>
      </w:pPr>
      <w:r/>
      <w:r/>
    </w:p>
    <w:p>
      <w:pPr>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p>
    <w:p>
      <w:pPr>
        <w:pStyle w:val="954"/>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p>
    <w:p>
      <w:pPr>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940"/>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40"/>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50"/>
          <w:rFonts w:hint="eastAsia"/>
          <w:i w:val="0"/>
          <w:color w:val="000000"/>
          <w:highlight w:val="none"/>
          <w:u w:val="single"/>
          <w:shd w:val="clear" w:color="auto" w:fill="ffffff"/>
        </w:rPr>
        <w:t xml:space="preserve">（产品名称1）</w:t>
      </w:r>
      <w:r>
        <w:rPr>
          <w:rStyle w:val="950"/>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50"/>
          <w:rFonts w:hint="eastAsia"/>
          <w:i w:val="0"/>
          <w:color w:val="000000"/>
          <w:highlight w:val="none"/>
          <w:u w:val="single"/>
          <w:shd w:val="clear" w:color="auto" w:fill="ffffff"/>
        </w:rPr>
        <w:t xml:space="preserve">（厂名）</w:t>
      </w:r>
      <w:r>
        <w:rPr>
          <w:rStyle w:val="950"/>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50"/>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50"/>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50"/>
          <w:rFonts w:hint="eastAsia"/>
          <w:i/>
          <w:strike w:val="0"/>
          <w:color w:val="000000"/>
          <w:highlight w:val="none"/>
          <w:u w:val="single"/>
          <w:shd w:val="clear" w:color="auto" w:fill="ffffff"/>
        </w:rPr>
        <w:t xml:space="preserve">（规定比例）</w:t>
      </w:r>
      <w:r>
        <w:rPr>
          <w:rStyle w:val="950"/>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50"/>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50"/>
          <w:rFonts w:hint="eastAsia"/>
          <w:i/>
          <w:strike w:val="0"/>
          <w:color w:val="000000"/>
          <w:highlight w:val="none"/>
          <w:u w:val="single"/>
          <w:shd w:val="clear" w:color="auto" w:fill="ffffff"/>
        </w:rPr>
        <w:t xml:space="preserve">（关键组件）</w:t>
      </w:r>
      <w:r>
        <w:rPr>
          <w:rStyle w:val="950"/>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50"/>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50"/>
          <w:rFonts w:hint="eastAsia"/>
          <w:i/>
          <w:strike w:val="0"/>
          <w:color w:val="000000"/>
          <w:highlight w:val="none"/>
          <w:u w:val="single"/>
          <w:shd w:val="clear" w:color="auto" w:fill="ffffff"/>
        </w:rPr>
        <w:t xml:space="preserve">（关键工序）</w:t>
      </w:r>
      <w:r>
        <w:rPr>
          <w:rStyle w:val="950"/>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p>
    <w:p>
      <w:pPr>
        <w:pStyle w:val="940"/>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50"/>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50"/>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50"/>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50"/>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50"/>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50"/>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50"/>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50"/>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50"/>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p>
    <w:p>
      <w:pPr>
        <w:pStyle w:val="940"/>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p>
    <w:p>
      <w:pPr>
        <w:pStyle w:val="940"/>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940"/>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p>
    <w:p>
      <w:pPr>
        <w:pStyle w:val="940"/>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p>
    <w:p>
      <w:pPr>
        <w:pStyle w:val="940"/>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p>
    <w:p>
      <w:pPr>
        <w:pStyle w:val="940"/>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p>
    <w:p>
      <w:pPr>
        <w:pStyle w:val="940"/>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p>
    <w:p>
      <w:pPr>
        <w:pStyle w:val="940"/>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p>
    <w:p>
      <w:pPr>
        <w:pStyle w:val="940"/>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p>
    <w:p>
      <w:pPr>
        <w:pStyle w:val="940"/>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r/>
    </w:p>
    <w:p>
      <w:pPr>
        <w:jc w:val="left"/>
        <w:keepLines w:val="0"/>
        <w:keepNext w:val="0"/>
        <w:pageBreakBefore w:val="0"/>
        <w:spacing w:line="360" w:lineRule="auto"/>
        <w:widowControl/>
        <w:rPr>
          <w:rFonts w:hint="default"/>
          <w:highlight w:val="none"/>
          <w:lang w:val="en-US"/>
        </w:rPr>
        <w:outlineLvl w:val="9"/>
      </w:pPr>
      <w:r>
        <w:rPr>
          <w:rFonts w:hint="eastAsia"/>
          <w:b w:val="0"/>
          <w:bCs w:val="0"/>
          <w:color w:val="00000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p>
    <w:p>
      <w:pPr>
        <w:jc w:val="center"/>
        <w:keepLines w:val="0"/>
        <w:keepNext w:val="0"/>
        <w:widowControl/>
        <w:rPr>
          <w:highlight w:val="none"/>
        </w:rPr>
        <w:suppressLineNumbers w:val="0"/>
      </w:pPr>
      <w:r>
        <w:rPr>
          <w:rFonts w:hint="default"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hint="default"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spacing w:after="0" w:line="240" w:lineRule="auto"/>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hint="default"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rFonts w:hint="eastAsia" w:ascii="方正小标宋简体" w:hAnsi="方正小标宋简体" w:eastAsia="方正小标宋简体" w:cs="方正小标宋简体"/>
          <w:b w:val="0"/>
          <w:bCs w:val="0"/>
          <w:sz w:val="32"/>
          <w:szCs w:val="32"/>
          <w:highlight w:val="none"/>
          <w:lang w:val="en-US" w:eastAsia="zh-CN"/>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p>
    <w:p>
      <w:pPr>
        <w:jc w:val="center"/>
        <w:keepLines w:val="0"/>
        <w:keepNext w:val="0"/>
        <w:spacing w:line="360" w:lineRule="auto"/>
        <w:widowControl/>
        <w:rPr>
          <w:rFonts w:hint="eastAsia" w:ascii="方正小标宋简体" w:hAnsi="方正小标宋简体" w:eastAsia="方正小标宋简体" w:cs="方正小标宋简体"/>
          <w:b w:val="0"/>
          <w:bCs w:val="0"/>
          <w:sz w:val="32"/>
          <w:szCs w:val="32"/>
          <w:highlight w:val="none"/>
          <w:lang w:val="en-US" w:eastAsia="zh-CN"/>
        </w:rPr>
        <w:suppressLineNumbers w:val="0"/>
      </w:pPr>
      <w:r>
        <w:rPr>
          <w:rFonts w:hint="eastAsia" w:ascii="方正小标宋简体" w:hAnsi="方正小标宋简体" w:eastAsia="方正小标宋简体" w:cs="方正小标宋简体"/>
          <w:b w:val="0"/>
          <w:bCs w:val="0"/>
          <w:sz w:val="32"/>
          <w:szCs w:val="32"/>
          <w:highlight w:val="none"/>
          <w:lang w:val="en-US" w:eastAsia="zh-CN"/>
        </w:rPr>
      </w:r>
      <w:r/>
    </w:p>
    <w:p>
      <w:pPr>
        <w:jc w:val="center"/>
        <w:keepLines w:val="0"/>
        <w:keepNext w:val="0"/>
        <w:spacing w:line="360" w:lineRule="auto"/>
        <w:widowControl/>
        <w:rPr>
          <w:rFonts w:hint="eastAsia" w:ascii="方正小标宋简体" w:hAnsi="方正小标宋简体" w:eastAsia="方正小标宋简体" w:cs="方正小标宋简体"/>
          <w:b w:val="0"/>
          <w:bCs w:val="0"/>
          <w:sz w:val="32"/>
          <w:szCs w:val="32"/>
          <w:highlight w:val="none"/>
          <w:lang w:val="en-US" w:eastAsia="zh-CN"/>
        </w:rPr>
        <w:suppressLineNumbers w:val="0"/>
      </w:pPr>
      <w:r>
        <w:rPr>
          <w:rFonts w:hint="eastAsia" w:ascii="方正小标宋简体" w:hAnsi="方正小标宋简体" w:eastAsia="方正小标宋简体" w:cs="方正小标宋简体"/>
          <w:b w:val="0"/>
          <w:bCs w:val="0"/>
          <w:sz w:val="32"/>
          <w:szCs w:val="32"/>
          <w:highlight w:val="none"/>
          <w:lang w:val="en-US" w:eastAsia="zh-CN"/>
        </w:rPr>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hint="default"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hint="default"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hint="default"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hint="default"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pStyle w:val="721"/>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jc w:val="center"/>
        <w:keepLines w:val="0"/>
        <w:keepNext w:val="0"/>
        <w:pageBreakBefore w:val="0"/>
        <w:spacing w:line="360" w:lineRule="auto"/>
        <w:widowControl/>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center"/>
        <w:keepLines w:val="0"/>
        <w:keepNext w:val="0"/>
        <w:pageBreakBefore w:val="0"/>
        <w:spacing w:line="360" w:lineRule="auto"/>
        <w:widowControl/>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center"/>
        <w:keepLines w:val="0"/>
        <w:keepNext w:val="0"/>
        <w:pageBreakBefore w:val="0"/>
        <w:spacing w:line="360" w:lineRule="auto"/>
        <w:widowControl/>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center"/>
        <w:keepLines w:val="0"/>
        <w:keepNext w:val="0"/>
        <w:pageBreakBefore w:val="0"/>
        <w:spacing w:line="360" w:lineRule="auto"/>
        <w:widowControl/>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center"/>
        <w:keepLines w:val="0"/>
        <w:keepNext w:val="0"/>
        <w:pageBreakBefore w:val="0"/>
        <w:spacing w:line="360" w:lineRule="auto"/>
        <w:widowControl/>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center"/>
        <w:keepLines w:val="0"/>
        <w:keepNext w:val="0"/>
        <w:pageBreakBefore w:val="0"/>
        <w:spacing w:line="360" w:lineRule="auto"/>
        <w:widowControl/>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center"/>
        <w:keepLines w:val="0"/>
        <w:keepNext w:val="0"/>
        <w:pageBreakBefore w:val="0"/>
        <w:spacing w:line="360" w:lineRule="auto"/>
        <w:widowControl/>
        <w:rPr>
          <w:color w:val="000000"/>
          <w:highlight w:val="none"/>
          <w:lang w:val="en-US"/>
        </w:rPr>
        <w:outlineLvl w:val="9"/>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p>
    <w:p>
      <w:pPr>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bookmarkEnd w:id="55"/>
      <w:r/>
      <w:bookmarkEnd w:id="56"/>
      <w:r/>
      <w:bookmarkEnd w:id="58"/>
      <w:r/>
      <w:bookmarkEnd w:id="59"/>
      <w:r/>
      <w:bookmarkEnd w:id="60"/>
      <w:r/>
      <w:r/>
    </w:p>
    <w:p>
      <w:pPr>
        <w:rPr>
          <w:color w:val="000000"/>
          <w:highlight w:val="none"/>
        </w:rPr>
      </w:pPr>
      <w:r>
        <w:rPr>
          <w:color w:val="000000"/>
          <w:highlight w:val="none"/>
        </w:rPr>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p>
  <w:p>
    <w:pPr>
      <w:pStyle w:val="92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3">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10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31"/>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2"/>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3"/>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4"/>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5"/>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6"/>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8"/>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9"/>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First Indent 2"/>
    <w:basedOn w:val="703"/>
    <w:next w:val="690"/>
    <w:uiPriority w:val="0"/>
    <w:qFormat/>
    <w:pPr>
      <w:ind w:left="0" w:firstLine="420"/>
      <w:spacing w:after="0" w:line="360" w:lineRule="auto"/>
    </w:pPr>
    <w:rPr>
      <w:rFonts w:ascii="宋体" w:hAnsi="宋体" w:eastAsia="宋体" w:cs="Times New Roman"/>
      <w:szCs w:val="20"/>
    </w:rPr>
  </w:style>
  <w:style w:type="paragraph" w:styleId="703">
    <w:name w:val="Body Text Indent"/>
    <w:basedOn w:val="690"/>
    <w:next w:val="704"/>
    <w:uiPriority w:val="0"/>
    <w:unhideWhenUsed/>
    <w:qFormat/>
    <w:pPr>
      <w:ind w:left="420"/>
      <w:spacing w:after="120"/>
    </w:pPr>
  </w:style>
  <w:style w:type="paragraph" w:styleId="704">
    <w:name w:val="envelope return"/>
    <w:basedOn w:val="690"/>
    <w:uiPriority w:val="0"/>
    <w:qFormat/>
    <w:rPr>
      <w:rFonts w:ascii="Arial" w:hAnsi="Arial" w:eastAsia="宋体" w:cs="宋体"/>
    </w:rPr>
  </w:style>
  <w:style w:type="paragraph" w:styleId="705">
    <w:name w:val="toc 7"/>
    <w:basedOn w:val="690"/>
    <w:next w:val="690"/>
    <w:uiPriority w:val="39"/>
    <w:unhideWhenUsed/>
    <w:qFormat/>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7"/>
    <w:uiPriority w:val="99"/>
    <w:semiHidden/>
    <w:unhideWhenUsed/>
    <w:qFormat/>
    <w:pPr>
      <w:spacing w:after="0" w:line="240" w:lineRule="auto"/>
    </w:pPr>
    <w:rPr>
      <w:sz w:val="20"/>
    </w:rPr>
  </w:style>
  <w:style w:type="paragraph" w:styleId="711">
    <w:name w:val="Footer"/>
    <w:basedOn w:val="690"/>
    <w:link w:val="750"/>
    <w:uiPriority w:val="99"/>
    <w:unhideWhenUsed/>
    <w:qFormat/>
    <w:pPr>
      <w:spacing w:after="0" w:line="240" w:lineRule="auto"/>
      <w:tabs>
        <w:tab w:val="center" w:pos="7143" w:leader="none"/>
        <w:tab w:val="right" w:pos="14287" w:leader="none"/>
      </w:tabs>
    </w:pPr>
  </w:style>
  <w:style w:type="paragraph" w:styleId="712">
    <w:name w:val="Header"/>
    <w:basedOn w:val="690"/>
    <w:link w:val="748"/>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43"/>
    <w:uiPriority w:val="11"/>
    <w:qFormat/>
    <w:pPr>
      <w:spacing w:before="200" w:after="200"/>
    </w:pPr>
    <w:rPr>
      <w:sz w:val="24"/>
      <w:szCs w:val="24"/>
    </w:rPr>
  </w:style>
  <w:style w:type="paragraph" w:styleId="716">
    <w:name w:val="footnote text"/>
    <w:basedOn w:val="690"/>
    <w:link w:val="876"/>
    <w:uiPriority w:val="99"/>
    <w:semiHidden/>
    <w:unhideWhenUsed/>
    <w:qFormat/>
    <w:pPr>
      <w:spacing w:after="40" w:line="240" w:lineRule="auto"/>
    </w:pPr>
    <w:rPr>
      <w:sz w:val="18"/>
    </w:rPr>
  </w:style>
  <w:style w:type="paragraph" w:styleId="717">
    <w:name w:val="toc 6"/>
    <w:basedOn w:val="690"/>
    <w:next w:val="690"/>
    <w:uiPriority w:val="39"/>
    <w:unhideWhenUsed/>
    <w:qFormat/>
    <w:pPr>
      <w:ind w:left="1417" w:right="0" w:firstLine="0"/>
      <w:spacing w:after="57"/>
    </w:pPr>
  </w:style>
  <w:style w:type="paragraph" w:styleId="718">
    <w:name w:val="table of figures"/>
    <w:basedOn w:val="690"/>
    <w:next w:val="690"/>
    <w:uiPriority w:val="99"/>
    <w:unhideWhenUsed/>
    <w:qFormat/>
    <w:pPr>
      <w:spacing w:after="0" w:afterAutospacing="0"/>
    </w:pPr>
  </w:style>
  <w:style w:type="paragraph" w:styleId="719">
    <w:name w:val="toc 2"/>
    <w:basedOn w:val="690"/>
    <w:next w:val="690"/>
    <w:uiPriority w:val="39"/>
    <w:unhideWhenUsed/>
    <w:qFormat/>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Normal (Web)"/>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722">
    <w:name w:val="Title"/>
    <w:basedOn w:val="690"/>
    <w:next w:val="690"/>
    <w:link w:val="742"/>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page number"/>
    <w:uiPriority w:val="0"/>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customStyle="1">
    <w:name w:val="正文首行缩进 212"/>
    <w:basedOn w:val="729"/>
    <w:next w:val="690"/>
    <w:link w:val="892"/>
    <w:uiPriority w:val="0"/>
    <w:qFormat/>
    <w:pPr>
      <w:ind w:left="0" w:firstLine="420"/>
      <w:spacing w:after="0" w:line="360" w:lineRule="auto"/>
    </w:pPr>
    <w:rPr>
      <w:rFonts w:ascii="宋体" w:hAnsi="宋体" w:eastAsia="宋体" w:cs="Times New Roman"/>
      <w:szCs w:val="20"/>
    </w:rPr>
  </w:style>
  <w:style w:type="paragraph" w:styleId="729" w:customStyle="1">
    <w:name w:val="正文文本缩进112"/>
    <w:basedOn w:val="690"/>
    <w:next w:val="730"/>
    <w:link w:val="891"/>
    <w:uiPriority w:val="0"/>
    <w:unhideWhenUsed/>
    <w:qFormat/>
    <w:pPr>
      <w:ind w:left="420"/>
      <w:spacing w:after="120"/>
    </w:pPr>
  </w:style>
  <w:style w:type="paragraph" w:styleId="730" w:customStyle="1">
    <w:name w:val="寄信人地址12"/>
    <w:basedOn w:val="690"/>
    <w:uiPriority w:val="0"/>
    <w:qFormat/>
    <w:rPr>
      <w:rFonts w:ascii="Arial" w:hAnsi="Arial" w:eastAsia="宋体" w:cs="宋体"/>
    </w:rPr>
  </w:style>
  <w:style w:type="character" w:styleId="731" w:customStyle="1">
    <w:name w:val="Heading 1 Char"/>
    <w:link w:val="691"/>
    <w:uiPriority w:val="9"/>
    <w:qFormat/>
    <w:rPr>
      <w:rFonts w:ascii="Arial" w:hAnsi="Arial" w:eastAsia="Arial" w:cs="Arial"/>
      <w:sz w:val="40"/>
      <w:szCs w:val="40"/>
    </w:rPr>
  </w:style>
  <w:style w:type="character" w:styleId="732" w:customStyle="1">
    <w:name w:val="Heading 2 Char"/>
    <w:link w:val="692"/>
    <w:uiPriority w:val="9"/>
    <w:qFormat/>
    <w:rPr>
      <w:rFonts w:ascii="Arial" w:hAnsi="Arial" w:eastAsia="Arial" w:cs="Arial"/>
      <w:sz w:val="34"/>
    </w:rPr>
  </w:style>
  <w:style w:type="character" w:styleId="733" w:customStyle="1">
    <w:name w:val="Heading 3 Char"/>
    <w:link w:val="693"/>
    <w:uiPriority w:val="9"/>
    <w:qFormat/>
    <w:rPr>
      <w:rFonts w:ascii="Arial" w:hAnsi="Arial" w:eastAsia="Arial" w:cs="Arial"/>
      <w:sz w:val="30"/>
      <w:szCs w:val="30"/>
    </w:rPr>
  </w:style>
  <w:style w:type="character" w:styleId="734" w:customStyle="1">
    <w:name w:val="Heading 4 Char"/>
    <w:link w:val="694"/>
    <w:uiPriority w:val="9"/>
    <w:qFormat/>
    <w:rPr>
      <w:rFonts w:ascii="Arial" w:hAnsi="Arial" w:eastAsia="Arial" w:cs="Arial"/>
      <w:b/>
      <w:bCs/>
      <w:sz w:val="26"/>
      <w:szCs w:val="26"/>
    </w:rPr>
  </w:style>
  <w:style w:type="character" w:styleId="735" w:customStyle="1">
    <w:name w:val="Heading 5 Char"/>
    <w:link w:val="695"/>
    <w:uiPriority w:val="9"/>
    <w:qFormat/>
    <w:rPr>
      <w:rFonts w:ascii="Arial" w:hAnsi="Arial" w:eastAsia="Arial" w:cs="Arial"/>
      <w:b/>
      <w:bCs/>
      <w:sz w:val="24"/>
      <w:szCs w:val="24"/>
    </w:rPr>
  </w:style>
  <w:style w:type="character" w:styleId="736" w:customStyle="1">
    <w:name w:val="Heading 6 Char"/>
    <w:link w:val="696"/>
    <w:uiPriority w:val="9"/>
    <w:qFormat/>
    <w:rPr>
      <w:rFonts w:ascii="Arial" w:hAnsi="Arial" w:eastAsia="Arial" w:cs="Arial"/>
      <w:b/>
      <w:bCs/>
      <w:sz w:val="22"/>
      <w:szCs w:val="22"/>
    </w:rPr>
  </w:style>
  <w:style w:type="character" w:styleId="737" w:customStyle="1">
    <w:name w:val="Heading 7 Char"/>
    <w:link w:val="697"/>
    <w:uiPriority w:val="9"/>
    <w:qFormat/>
    <w:rPr>
      <w:rFonts w:ascii="Arial" w:hAnsi="Arial" w:eastAsia="Arial" w:cs="Arial"/>
      <w:b/>
      <w:bCs/>
      <w:i/>
      <w:iCs/>
      <w:sz w:val="22"/>
      <w:szCs w:val="22"/>
    </w:rPr>
  </w:style>
  <w:style w:type="character" w:styleId="738" w:customStyle="1">
    <w:name w:val="Heading 8 Char"/>
    <w:link w:val="698"/>
    <w:uiPriority w:val="9"/>
    <w:qFormat/>
    <w:rPr>
      <w:rFonts w:ascii="Arial" w:hAnsi="Arial" w:eastAsia="Arial" w:cs="Arial"/>
      <w:i/>
      <w:iCs/>
      <w:sz w:val="22"/>
      <w:szCs w:val="22"/>
    </w:rPr>
  </w:style>
  <w:style w:type="character" w:styleId="739" w:customStyle="1">
    <w:name w:val="Heading 9 Char"/>
    <w:link w:val="699"/>
    <w:uiPriority w:val="9"/>
    <w:qFormat/>
    <w:rPr>
      <w:rFonts w:ascii="Arial" w:hAnsi="Arial" w:eastAsia="Arial" w:cs="Arial"/>
      <w:i/>
      <w:iCs/>
      <w:sz w:val="21"/>
      <w:szCs w:val="21"/>
    </w:rPr>
  </w:style>
  <w:style w:type="paragraph" w:styleId="740">
    <w:name w:val="List Paragraph"/>
    <w:basedOn w:val="690"/>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2"/>
    <w:uiPriority w:val="10"/>
    <w:qFormat/>
    <w:rPr>
      <w:sz w:val="48"/>
      <w:szCs w:val="48"/>
    </w:rPr>
  </w:style>
  <w:style w:type="character" w:styleId="743" w:customStyle="1">
    <w:name w:val="Subtitle Char"/>
    <w:link w:val="715"/>
    <w:uiPriority w:val="11"/>
    <w:qFormat/>
    <w:rPr>
      <w:sz w:val="24"/>
      <w:szCs w:val="24"/>
    </w:rPr>
  </w:style>
  <w:style w:type="paragraph" w:styleId="744">
    <w:name w:val="Quote"/>
    <w:basedOn w:val="690"/>
    <w:next w:val="690"/>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0"/>
    <w:next w:val="690"/>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2"/>
    <w:uiPriority w:val="99"/>
    <w:qFormat/>
  </w:style>
  <w:style w:type="character" w:styleId="749" w:customStyle="1">
    <w:name w:val="Footer Char"/>
    <w:link w:val="711"/>
    <w:uiPriority w:val="99"/>
    <w:qFormat/>
  </w:style>
  <w:style w:type="character" w:styleId="750" w:customStyle="1">
    <w:name w:val="Caption Char"/>
    <w:link w:val="711"/>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6"/>
    <w:uiPriority w:val="99"/>
    <w:qFormat/>
    <w:rPr>
      <w:sz w:val="18"/>
    </w:rPr>
  </w:style>
  <w:style w:type="character" w:styleId="877" w:customStyle="1">
    <w:name w:val="Endnote Text Char"/>
    <w:link w:val="710"/>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90"/>
    <w:next w:val="690"/>
    <w:link w:val="893"/>
    <w:uiPriority w:val="0"/>
    <w:qFormat/>
    <w:pPr>
      <w:jc w:val="center"/>
      <w:keepNext/>
      <w:outlineLvl w:val="0"/>
    </w:pPr>
    <w:rPr>
      <w:rFonts w:ascii="楷体_GB2312" w:hAnsi="Times New Roman" w:eastAsia="楷体_GB2312" w:cs="Times New Roman"/>
      <w:sz w:val="28"/>
      <w:szCs w:val="28"/>
    </w:rPr>
  </w:style>
  <w:style w:type="paragraph" w:styleId="880" w:customStyle="1">
    <w:name w:val="标题 21"/>
    <w:basedOn w:val="690"/>
    <w:next w:val="690"/>
    <w:link w:val="8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1" w:customStyle="1">
    <w:name w:val="标题 311"/>
    <w:basedOn w:val="690"/>
    <w:next w:val="882"/>
    <w:link w:val="89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2" w:customStyle="1">
    <w:name w:val="正文缩进11"/>
    <w:basedOn w:val="690"/>
    <w:link w:val="896"/>
    <w:uiPriority w:val="0"/>
    <w:qFormat/>
    <w:pPr>
      <w:ind w:firstLine="420"/>
    </w:pPr>
    <w:rPr>
      <w:szCs w:val="21"/>
    </w:rPr>
  </w:style>
  <w:style w:type="paragraph" w:styleId="883" w:customStyle="1">
    <w:name w:val="标题 41"/>
    <w:basedOn w:val="690"/>
    <w:next w:val="882"/>
    <w:link w:val="897"/>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标题 51"/>
    <w:basedOn w:val="690"/>
    <w:next w:val="882"/>
    <w:link w:val="898"/>
    <w:uiPriority w:val="0"/>
    <w:qFormat/>
    <w:pPr>
      <w:keepNext/>
      <w:outlineLvl w:val="4"/>
    </w:pPr>
    <w:rPr>
      <w:rFonts w:ascii="宋体" w:hAnsi="Times New Roman" w:eastAsia="宋体" w:cs="Times New Roman"/>
      <w:color w:val="000000"/>
      <w:sz w:val="28"/>
      <w:szCs w:val="28"/>
    </w:rPr>
  </w:style>
  <w:style w:type="paragraph" w:styleId="885" w:customStyle="1">
    <w:name w:val="标题 61"/>
    <w:basedOn w:val="690"/>
    <w:next w:val="690"/>
    <w:link w:val="89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6" w:customStyle="1">
    <w:name w:val="标题 71"/>
    <w:basedOn w:val="690"/>
    <w:next w:val="690"/>
    <w:link w:val="90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7" w:customStyle="1">
    <w:name w:val="标题 81"/>
    <w:basedOn w:val="690"/>
    <w:next w:val="690"/>
    <w:link w:val="90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8" w:customStyle="1">
    <w:name w:val="标题 91"/>
    <w:basedOn w:val="690"/>
    <w:next w:val="690"/>
    <w:link w:val="90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9" w:customStyle="1">
    <w:name w:val="默认段落字体1"/>
    <w:link w:val="690"/>
    <w:uiPriority w:val="1"/>
    <w:unhideWhenUsed/>
    <w:qFormat/>
  </w:style>
  <w:style w:type="table" w:styleId="890"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1" w:customStyle="1">
    <w:name w:val="正文文本缩进 Char"/>
    <w:basedOn w:val="889"/>
    <w:link w:val="729"/>
    <w:uiPriority w:val="99"/>
    <w:semiHidden/>
    <w:qFormat/>
  </w:style>
  <w:style w:type="character" w:styleId="892" w:customStyle="1">
    <w:name w:val="正文首行缩进 2 Char"/>
    <w:link w:val="728"/>
    <w:uiPriority w:val="0"/>
    <w:qFormat/>
    <w:rPr>
      <w:rFonts w:ascii="宋体" w:hAnsi="宋体" w:eastAsia="宋体" w:cs="Times New Roman"/>
      <w:szCs w:val="20"/>
    </w:rPr>
  </w:style>
  <w:style w:type="character" w:styleId="893" w:customStyle="1">
    <w:name w:val="标题 1 Char"/>
    <w:link w:val="879"/>
    <w:uiPriority w:val="0"/>
    <w:qFormat/>
    <w:rPr>
      <w:rFonts w:ascii="楷体_GB2312" w:hAnsi="Times New Roman" w:eastAsia="楷体_GB2312" w:cs="Times New Roman"/>
      <w:sz w:val="28"/>
      <w:szCs w:val="28"/>
    </w:rPr>
  </w:style>
  <w:style w:type="character" w:styleId="894" w:customStyle="1">
    <w:name w:val="标题 2 Char"/>
    <w:link w:val="880"/>
    <w:uiPriority w:val="0"/>
    <w:qFormat/>
    <w:rPr>
      <w:rFonts w:ascii="Arial" w:hAnsi="Arial" w:eastAsia="幼圆" w:cs="Arial"/>
      <w:b/>
      <w:bCs/>
      <w:sz w:val="44"/>
      <w:szCs w:val="44"/>
    </w:rPr>
  </w:style>
  <w:style w:type="character" w:styleId="895" w:customStyle="1">
    <w:name w:val="标题 3 Char"/>
    <w:link w:val="881"/>
    <w:uiPriority w:val="0"/>
    <w:qFormat/>
    <w:rPr>
      <w:rFonts w:ascii="Times New Roman" w:hAnsi="Times New Roman" w:eastAsia="宋体" w:cs="Times New Roman"/>
      <w:b/>
      <w:bCs/>
      <w:sz w:val="32"/>
      <w:szCs w:val="32"/>
    </w:rPr>
  </w:style>
  <w:style w:type="character" w:styleId="896" w:customStyle="1">
    <w:name w:val="正文缩进 Char"/>
    <w:link w:val="882"/>
    <w:uiPriority w:val="0"/>
    <w:qFormat/>
    <w:rPr>
      <w:szCs w:val="21"/>
    </w:rPr>
  </w:style>
  <w:style w:type="character" w:styleId="897" w:customStyle="1">
    <w:name w:val="标题 4 Char"/>
    <w:link w:val="883"/>
    <w:uiPriority w:val="0"/>
    <w:qFormat/>
    <w:rPr>
      <w:rFonts w:ascii="Arial" w:hAnsi="Arial" w:eastAsia="黑体" w:cs="Arial"/>
      <w:b/>
      <w:bCs/>
      <w:sz w:val="28"/>
      <w:szCs w:val="28"/>
    </w:rPr>
  </w:style>
  <w:style w:type="character" w:styleId="898" w:customStyle="1">
    <w:name w:val="标题 5 Char"/>
    <w:link w:val="884"/>
    <w:uiPriority w:val="0"/>
    <w:qFormat/>
    <w:rPr>
      <w:rFonts w:ascii="宋体" w:hAnsi="Times New Roman" w:eastAsia="宋体" w:cs="Times New Roman"/>
      <w:color w:val="000000"/>
      <w:sz w:val="28"/>
      <w:szCs w:val="28"/>
    </w:rPr>
  </w:style>
  <w:style w:type="character" w:styleId="899" w:customStyle="1">
    <w:name w:val="标题 6 Char"/>
    <w:link w:val="885"/>
    <w:uiPriority w:val="0"/>
    <w:qFormat/>
    <w:rPr>
      <w:rFonts w:ascii="Arial" w:hAnsi="Arial" w:eastAsia="黑体" w:cs="Times New Roman"/>
      <w:b/>
      <w:bCs/>
      <w:sz w:val="24"/>
      <w:szCs w:val="24"/>
    </w:rPr>
  </w:style>
  <w:style w:type="character" w:styleId="900" w:customStyle="1">
    <w:name w:val="标题 7 Char"/>
    <w:link w:val="886"/>
    <w:uiPriority w:val="0"/>
    <w:qFormat/>
    <w:rPr>
      <w:rFonts w:ascii="Times New Roman" w:hAnsi="Times New Roman" w:eastAsia="宋体" w:cs="Times New Roman"/>
      <w:b/>
      <w:bCs/>
      <w:sz w:val="24"/>
      <w:szCs w:val="24"/>
    </w:rPr>
  </w:style>
  <w:style w:type="character" w:styleId="901" w:customStyle="1">
    <w:name w:val="标题 8 Char"/>
    <w:link w:val="887"/>
    <w:uiPriority w:val="0"/>
    <w:qFormat/>
    <w:rPr>
      <w:rFonts w:ascii="Arial" w:hAnsi="Arial" w:eastAsia="黑体" w:cs="Times New Roman"/>
      <w:sz w:val="24"/>
      <w:szCs w:val="24"/>
    </w:rPr>
  </w:style>
  <w:style w:type="character" w:styleId="902" w:customStyle="1">
    <w:name w:val="标题 9 Char"/>
    <w:link w:val="888"/>
    <w:uiPriority w:val="0"/>
    <w:qFormat/>
    <w:rPr>
      <w:rFonts w:ascii="Arial" w:hAnsi="Arial" w:eastAsia="黑体" w:cs="Times New Roman"/>
      <w:szCs w:val="21"/>
    </w:rPr>
  </w:style>
  <w:style w:type="paragraph" w:styleId="903" w:customStyle="1">
    <w:name w:val="列表 31"/>
    <w:basedOn w:val="690"/>
    <w:uiPriority w:val="0"/>
    <w:qFormat/>
    <w:pPr>
      <w:ind w:left="100" w:hanging="200"/>
    </w:pPr>
    <w:rPr>
      <w:rFonts w:ascii="Times New Roman" w:hAnsi="Times New Roman" w:eastAsia="宋体" w:cs="Times New Roman"/>
      <w:szCs w:val="21"/>
    </w:rPr>
  </w:style>
  <w:style w:type="paragraph" w:styleId="904"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5" w:customStyle="1">
    <w:name w:val="文档结构图1"/>
    <w:basedOn w:val="690"/>
    <w:link w:val="906"/>
    <w:uiPriority w:val="0"/>
    <w:semiHidden/>
    <w:qFormat/>
    <w:pPr>
      <w:shd w:val="clear" w:color="auto" w:fill="000080"/>
    </w:pPr>
    <w:rPr>
      <w:rFonts w:ascii="Times New Roman" w:hAnsi="Times New Roman" w:eastAsia="宋体" w:cs="Times New Roman"/>
      <w:szCs w:val="21"/>
    </w:rPr>
  </w:style>
  <w:style w:type="character" w:styleId="906" w:customStyle="1">
    <w:name w:val="文档结构图 Char"/>
    <w:link w:val="905"/>
    <w:uiPriority w:val="0"/>
    <w:semiHidden/>
    <w:qFormat/>
    <w:rPr>
      <w:rFonts w:ascii="Times New Roman" w:hAnsi="Times New Roman" w:eastAsia="宋体" w:cs="Times New Roman"/>
      <w:szCs w:val="21"/>
      <w:shd w:val="clear" w:color="auto" w:fill="000080"/>
    </w:rPr>
  </w:style>
  <w:style w:type="paragraph" w:styleId="907" w:customStyle="1">
    <w:name w:val="批注文字1"/>
    <w:basedOn w:val="690"/>
    <w:link w:val="953"/>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8" w:customStyle="1">
    <w:name w:val="批注文字 Char"/>
    <w:basedOn w:val="889"/>
    <w:link w:val="907"/>
    <w:uiPriority w:val="99"/>
    <w:semiHidden/>
    <w:qFormat/>
  </w:style>
  <w:style w:type="paragraph" w:styleId="909" w:customStyle="1">
    <w:name w:val="正文文本 31"/>
    <w:basedOn w:val="690"/>
    <w:link w:val="910"/>
    <w:uiPriority w:val="0"/>
    <w:qFormat/>
    <w:rPr>
      <w:rFonts w:ascii="仿宋_GB2312" w:hAnsi="Arial" w:eastAsia="仿宋_GB2312" w:cs="Times New Roman"/>
      <w:sz w:val="32"/>
      <w:szCs w:val="32"/>
    </w:rPr>
  </w:style>
  <w:style w:type="character" w:styleId="910" w:customStyle="1">
    <w:name w:val="正文文本 3 Char"/>
    <w:link w:val="909"/>
    <w:uiPriority w:val="0"/>
    <w:qFormat/>
    <w:rPr>
      <w:rFonts w:ascii="仿宋_GB2312" w:hAnsi="Arial" w:eastAsia="仿宋_GB2312" w:cs="Times New Roman"/>
      <w:sz w:val="32"/>
      <w:szCs w:val="32"/>
    </w:rPr>
  </w:style>
  <w:style w:type="paragraph" w:styleId="911" w:customStyle="1">
    <w:name w:val="正文文本11"/>
    <w:basedOn w:val="690"/>
    <w:link w:val="912"/>
    <w:uiPriority w:val="0"/>
    <w:qFormat/>
    <w:rPr>
      <w:rFonts w:ascii="楷体_GB2312" w:hAnsi="Arial" w:eastAsia="楷体_GB2312" w:cs="Times New Roman"/>
      <w:sz w:val="28"/>
      <w:szCs w:val="28"/>
    </w:rPr>
  </w:style>
  <w:style w:type="character" w:styleId="912" w:customStyle="1">
    <w:name w:val="正文文本 Char"/>
    <w:link w:val="911"/>
    <w:uiPriority w:val="0"/>
    <w:qFormat/>
    <w:rPr>
      <w:rFonts w:ascii="楷体_GB2312" w:hAnsi="Arial" w:eastAsia="楷体_GB2312" w:cs="Times New Roman"/>
      <w:sz w:val="28"/>
      <w:szCs w:val="28"/>
    </w:rPr>
  </w:style>
  <w:style w:type="paragraph" w:styleId="913" w:customStyle="1">
    <w:name w:val="列表 21"/>
    <w:basedOn w:val="690"/>
    <w:uiPriority w:val="0"/>
    <w:qFormat/>
    <w:pPr>
      <w:ind w:left="100" w:hanging="200"/>
    </w:pPr>
    <w:rPr>
      <w:rFonts w:ascii="Times New Roman" w:hAnsi="Times New Roman" w:eastAsia="宋体" w:cs="Times New Roman"/>
      <w:szCs w:val="21"/>
    </w:rPr>
  </w:style>
  <w:style w:type="paragraph" w:styleId="914"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5"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6" w:customStyle="1">
    <w:name w:val="纯文本1"/>
    <w:basedOn w:val="690"/>
    <w:link w:val="917"/>
    <w:uiPriority w:val="0"/>
    <w:qFormat/>
    <w:rPr>
      <w:rFonts w:ascii="宋体" w:hAnsi="Courier New" w:eastAsia="宋体" w:cs="Courier New"/>
      <w:szCs w:val="21"/>
    </w:rPr>
  </w:style>
  <w:style w:type="character" w:styleId="917" w:customStyle="1">
    <w:name w:val="纯文本 Char"/>
    <w:link w:val="916"/>
    <w:uiPriority w:val="0"/>
    <w:qFormat/>
    <w:rPr>
      <w:rFonts w:ascii="宋体" w:hAnsi="Courier New" w:eastAsia="宋体" w:cs="Courier New"/>
      <w:szCs w:val="21"/>
    </w:rPr>
  </w:style>
  <w:style w:type="paragraph" w:styleId="918"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9" w:customStyle="1">
    <w:name w:val="日期1"/>
    <w:basedOn w:val="690"/>
    <w:next w:val="690"/>
    <w:link w:val="920"/>
    <w:uiPriority w:val="0"/>
    <w:qFormat/>
    <w:rPr>
      <w:rFonts w:ascii="Times New Roman" w:hAnsi="Times New Roman" w:eastAsia="宋体" w:cs="Times New Roman"/>
      <w:sz w:val="24"/>
      <w:szCs w:val="24"/>
    </w:rPr>
  </w:style>
  <w:style w:type="character" w:styleId="920" w:customStyle="1">
    <w:name w:val="日期 Char"/>
    <w:link w:val="919"/>
    <w:uiPriority w:val="0"/>
    <w:qFormat/>
    <w:rPr>
      <w:rFonts w:ascii="Times New Roman" w:hAnsi="Times New Roman" w:eastAsia="宋体" w:cs="Times New Roman"/>
      <w:sz w:val="24"/>
      <w:szCs w:val="24"/>
    </w:rPr>
  </w:style>
  <w:style w:type="paragraph" w:styleId="921" w:customStyle="1">
    <w:name w:val="正文文本缩进 21"/>
    <w:basedOn w:val="690"/>
    <w:link w:val="922"/>
    <w:uiPriority w:val="0"/>
    <w:qFormat/>
    <w:pPr>
      <w:ind w:left="630" w:firstLine="645"/>
    </w:pPr>
    <w:rPr>
      <w:rFonts w:ascii="Arial" w:hAnsi="Arial" w:eastAsia="仿宋_GB2312" w:cs="Arial"/>
      <w:sz w:val="32"/>
      <w:szCs w:val="32"/>
    </w:rPr>
  </w:style>
  <w:style w:type="character" w:styleId="922" w:customStyle="1">
    <w:name w:val="正文文本缩进 2 Char"/>
    <w:link w:val="921"/>
    <w:uiPriority w:val="0"/>
    <w:qFormat/>
    <w:rPr>
      <w:rFonts w:ascii="Arial" w:hAnsi="Arial" w:eastAsia="仿宋_GB2312" w:cs="Arial"/>
      <w:sz w:val="32"/>
      <w:szCs w:val="32"/>
    </w:rPr>
  </w:style>
  <w:style w:type="paragraph" w:styleId="923" w:customStyle="1">
    <w:name w:val="批注框文本1"/>
    <w:basedOn w:val="690"/>
    <w:link w:val="924"/>
    <w:uiPriority w:val="0"/>
    <w:semiHidden/>
    <w:qFormat/>
    <w:rPr>
      <w:rFonts w:ascii="Times New Roman" w:hAnsi="Times New Roman" w:eastAsia="宋体" w:cs="Times New Roman"/>
      <w:sz w:val="18"/>
      <w:szCs w:val="18"/>
    </w:rPr>
  </w:style>
  <w:style w:type="character" w:styleId="924" w:customStyle="1">
    <w:name w:val="批注框文本 Char"/>
    <w:link w:val="923"/>
    <w:uiPriority w:val="0"/>
    <w:semiHidden/>
    <w:qFormat/>
    <w:rPr>
      <w:rFonts w:ascii="Times New Roman" w:hAnsi="Times New Roman" w:eastAsia="宋体" w:cs="Times New Roman"/>
      <w:sz w:val="18"/>
      <w:szCs w:val="18"/>
    </w:rPr>
  </w:style>
  <w:style w:type="paragraph" w:styleId="925" w:customStyle="1">
    <w:name w:val="页脚1"/>
    <w:basedOn w:val="690"/>
    <w:link w:val="92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6" w:customStyle="1">
    <w:name w:val="页脚 Char"/>
    <w:link w:val="925"/>
    <w:uiPriority w:val="0"/>
    <w:qFormat/>
    <w:rPr>
      <w:rFonts w:ascii="Times New Roman" w:hAnsi="Times New Roman" w:eastAsia="宋体" w:cs="Times New Roman"/>
      <w:sz w:val="18"/>
      <w:szCs w:val="18"/>
    </w:rPr>
  </w:style>
  <w:style w:type="paragraph" w:styleId="927" w:customStyle="1">
    <w:name w:val="页眉1"/>
    <w:basedOn w:val="690"/>
    <w:link w:val="92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customStyle="1">
    <w:name w:val="页眉 Char"/>
    <w:link w:val="927"/>
    <w:uiPriority w:val="0"/>
    <w:qFormat/>
    <w:rPr>
      <w:rFonts w:ascii="Times New Roman" w:hAnsi="Times New Roman" w:eastAsia="宋体" w:cs="Times New Roman"/>
      <w:sz w:val="18"/>
      <w:szCs w:val="18"/>
    </w:rPr>
  </w:style>
  <w:style w:type="paragraph" w:styleId="929"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31" w:customStyle="1">
    <w:name w:val="列表1"/>
    <w:basedOn w:val="690"/>
    <w:uiPriority w:val="0"/>
    <w:qFormat/>
    <w:pPr>
      <w:ind w:left="200" w:hanging="200"/>
    </w:pPr>
    <w:rPr>
      <w:rFonts w:ascii="Times New Roman" w:hAnsi="Times New Roman" w:eastAsia="宋体" w:cs="Times New Roman"/>
      <w:szCs w:val="21"/>
    </w:rPr>
  </w:style>
  <w:style w:type="paragraph" w:styleId="932"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3" w:customStyle="1">
    <w:name w:val="正文文本缩进 31"/>
    <w:basedOn w:val="690"/>
    <w:link w:val="934"/>
    <w:uiPriority w:val="0"/>
    <w:qFormat/>
    <w:pPr>
      <w:ind w:left="645" w:firstLine="645"/>
    </w:pPr>
    <w:rPr>
      <w:rFonts w:ascii="Arial" w:hAnsi="Arial" w:eastAsia="仿宋_GB2312" w:cs="Arial"/>
      <w:color w:val="ffff00"/>
      <w:sz w:val="32"/>
      <w:szCs w:val="32"/>
    </w:rPr>
  </w:style>
  <w:style w:type="character" w:styleId="934" w:customStyle="1">
    <w:name w:val="正文文本缩进 3 Char"/>
    <w:link w:val="933"/>
    <w:uiPriority w:val="0"/>
    <w:qFormat/>
    <w:rPr>
      <w:rFonts w:ascii="Arial" w:hAnsi="Arial" w:eastAsia="仿宋_GB2312" w:cs="Arial"/>
      <w:color w:val="ffff00"/>
      <w:sz w:val="32"/>
      <w:szCs w:val="32"/>
    </w:rPr>
  </w:style>
  <w:style w:type="paragraph" w:styleId="935"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6"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7"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8" w:customStyle="1">
    <w:name w:val="正文文本 21"/>
    <w:basedOn w:val="690"/>
    <w:link w:val="939"/>
    <w:uiPriority w:val="0"/>
    <w:qFormat/>
    <w:pPr>
      <w:jc w:val="center"/>
      <w:widowControl/>
    </w:pPr>
    <w:rPr>
      <w:rFonts w:ascii="楷体_GB2312" w:hAnsi="Times New Roman" w:eastAsia="楷体_GB2312" w:cs="Times New Roman"/>
      <w:sz w:val="28"/>
      <w:szCs w:val="28"/>
    </w:rPr>
  </w:style>
  <w:style w:type="character" w:styleId="939" w:customStyle="1">
    <w:name w:val="正文文本 2 Char"/>
    <w:link w:val="938"/>
    <w:uiPriority w:val="0"/>
    <w:qFormat/>
    <w:rPr>
      <w:rFonts w:ascii="楷体_GB2312" w:hAnsi="Times New Roman" w:eastAsia="楷体_GB2312" w:cs="Times New Roman"/>
      <w:sz w:val="28"/>
      <w:szCs w:val="28"/>
    </w:rPr>
  </w:style>
  <w:style w:type="paragraph" w:styleId="940"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42" w:customStyle="1">
    <w:name w:val="批注主题1"/>
    <w:basedOn w:val="907"/>
    <w:next w:val="907"/>
    <w:link w:val="943"/>
    <w:uiPriority w:val="0"/>
    <w:semiHidden/>
    <w:qFormat/>
    <w:rPr>
      <w:rFonts w:ascii="Times New Roman" w:hAnsi="Times New Roman" w:eastAsia="宋体" w:cs="Times New Roman"/>
      <w:b/>
      <w:bCs/>
      <w:szCs w:val="21"/>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正文首行缩进1"/>
    <w:basedOn w:val="690"/>
    <w:link w:val="945"/>
    <w:uiPriority w:val="0"/>
    <w:qFormat/>
    <w:pPr>
      <w:ind w:firstLine="200"/>
      <w:spacing w:line="360" w:lineRule="auto"/>
    </w:pPr>
    <w:rPr>
      <w:rFonts w:ascii="仿宋_GB2312" w:hAnsi="Times New Roman" w:eastAsia="仿宋_GB2312" w:cs="Times New Roman"/>
      <w:sz w:val="30"/>
      <w:szCs w:val="30"/>
    </w:rPr>
  </w:style>
  <w:style w:type="character" w:styleId="945" w:customStyle="1">
    <w:name w:val="正文首行缩进 Char"/>
    <w:link w:val="944"/>
    <w:uiPriority w:val="0"/>
    <w:qFormat/>
    <w:rPr>
      <w:rFonts w:ascii="仿宋_GB2312" w:hAnsi="Times New Roman" w:eastAsia="仿宋_GB2312" w:cs="Times New Roman"/>
      <w:sz w:val="30"/>
      <w:szCs w:val="30"/>
    </w:rPr>
  </w:style>
  <w:style w:type="table" w:styleId="946" w:customStyle="1">
    <w:name w:val="网格型11"/>
    <w:basedOn w:val="890"/>
    <w:uiPriority w:val="0"/>
    <w:qFormat/>
    <w:pPr>
      <w:jc w:val="both"/>
      <w:widowControl w:val="off"/>
    </w:pPr>
    <w:rPr>
      <w:rFonts w:ascii="Times New Roman" w:hAnsi="Times New Roman" w:eastAsia="宋体" w:cs="Times New Roman"/>
      <w:sz w:val="20"/>
      <w:szCs w:val="20"/>
    </w:rPr>
    <w:tblPr/>
  </w:style>
  <w:style w:type="character" w:styleId="947" w:customStyle="1">
    <w:name w:val="要点1"/>
    <w:link w:val="690"/>
    <w:uiPriority w:val="0"/>
    <w:qFormat/>
    <w:rPr>
      <w:b/>
      <w:bCs/>
    </w:rPr>
  </w:style>
  <w:style w:type="character" w:styleId="948" w:customStyle="1">
    <w:name w:val="页码1"/>
    <w:link w:val="690"/>
    <w:uiPriority w:val="0"/>
    <w:qFormat/>
  </w:style>
  <w:style w:type="character" w:styleId="949" w:customStyle="1">
    <w:name w:val="已访问的超链接1"/>
    <w:link w:val="690"/>
    <w:uiPriority w:val="0"/>
    <w:qFormat/>
    <w:rPr>
      <w:color w:val="800080"/>
      <w:u w:val="single"/>
    </w:rPr>
  </w:style>
  <w:style w:type="character" w:styleId="950" w:customStyle="1">
    <w:name w:val="强调1"/>
    <w:link w:val="690"/>
    <w:uiPriority w:val="0"/>
    <w:qFormat/>
    <w:rPr>
      <w:i/>
    </w:rPr>
  </w:style>
  <w:style w:type="character" w:styleId="951" w:customStyle="1">
    <w:name w:val="超链接1"/>
    <w:link w:val="690"/>
    <w:uiPriority w:val="0"/>
    <w:qFormat/>
    <w:rPr>
      <w:color w:val="0000ff"/>
      <w:u w:val="single"/>
    </w:rPr>
  </w:style>
  <w:style w:type="character" w:styleId="952" w:customStyle="1">
    <w:name w:val="批注引用1"/>
    <w:link w:val="690"/>
    <w:uiPriority w:val="0"/>
    <w:semiHidden/>
    <w:qFormat/>
    <w:rPr>
      <w:sz w:val="21"/>
      <w:szCs w:val="21"/>
    </w:rPr>
  </w:style>
  <w:style w:type="character" w:styleId="953" w:customStyle="1">
    <w:name w:val="批注文字 字符"/>
    <w:basedOn w:val="889"/>
    <w:link w:val="907"/>
    <w:uiPriority w:val="0"/>
    <w:qFormat/>
    <w:rPr>
      <w:rFonts w:ascii="Calibri" w:hAnsi="Calibri" w:eastAsia="宋体" w:cs="Times New Roman"/>
      <w:sz w:val="21"/>
      <w:szCs w:val="24"/>
    </w:rPr>
  </w:style>
  <w:style w:type="paragraph" w:styleId="954" w:customStyle="1">
    <w:name w:val="索引 41"/>
    <w:basedOn w:val="690"/>
    <w:next w:val="690"/>
    <w:uiPriority w:val="0"/>
    <w:semiHidden/>
    <w:qFormat/>
    <w:pPr>
      <w:ind w:left="1260"/>
    </w:pPr>
    <w:rPr>
      <w:rFonts w:ascii="Calibri" w:hAnsi="Calibri" w:eastAsia="Calibri" w:cs="宋体"/>
      <w:sz w:val="20"/>
      <w:lang w:val="zh-CN"/>
    </w:rPr>
  </w:style>
  <w:style w:type="character" w:styleId="955" w:customStyle="1">
    <w:name w:val="font5 Char"/>
    <w:link w:val="690"/>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690"/>
    <w:link w:val="9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690"/>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690"/>
    <w:next w:val="911"/>
    <w:uiPriority w:val="0"/>
    <w:qFormat/>
    <w:pPr>
      <w:spacing w:after="120"/>
    </w:pPr>
    <w:rPr>
      <w:rFonts w:ascii="宋体" w:hAnsi="Arial" w:eastAsia="宋体" w:cs="Times New Roman"/>
      <w:bCs/>
      <w:iCs/>
      <w:szCs w:val="24"/>
    </w:rPr>
  </w:style>
  <w:style w:type="paragraph" w:styleId="961"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4" w:customStyle="1">
    <w:name w:val=" Char"/>
    <w:basedOn w:val="905"/>
    <w:uiPriority w:val="0"/>
    <w:qFormat/>
    <w:rPr>
      <w:rFonts w:ascii="Tahoma" w:hAnsi="Tahoma"/>
      <w:sz w:val="24"/>
      <w:szCs w:val="24"/>
    </w:rPr>
  </w:style>
  <w:style w:type="paragraph" w:styleId="965"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66"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8"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9" w:customStyle="1">
    <w:name w:val=" Char Char Char Char"/>
    <w:basedOn w:val="905"/>
    <w:uiPriority w:val="0"/>
    <w:qFormat/>
    <w:pPr>
      <w:spacing w:line="360" w:lineRule="auto"/>
    </w:pPr>
    <w:rPr>
      <w:rFonts w:ascii="Tahoma" w:hAnsi="Tahoma"/>
      <w:sz w:val="24"/>
      <w:szCs w:val="24"/>
    </w:rPr>
  </w:style>
  <w:style w:type="paragraph" w:styleId="970"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4"/>
    <w:basedOn w:val="690"/>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72"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3"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4" w:customStyle="1">
    <w:name w:val="样式1"/>
    <w:basedOn w:val="690"/>
    <w:uiPriority w:val="0"/>
    <w:qFormat/>
    <w:pPr>
      <w:numPr>
        <w:ilvl w:val="0"/>
        <w:numId w:val="3"/>
      </w:numPr>
    </w:pPr>
    <w:rPr>
      <w:rFonts w:ascii="宋体" w:hAnsi="宋体" w:eastAsia="宋体" w:cs="Times New Roman"/>
      <w:szCs w:val="21"/>
    </w:rPr>
  </w:style>
  <w:style w:type="paragraph" w:styleId="975"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9"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2"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5" w:customStyle="1">
    <w:name w:val="Char Char Char Char"/>
    <w:basedOn w:val="905"/>
    <w:uiPriority w:val="0"/>
    <w:qFormat/>
    <w:pPr>
      <w:spacing w:line="360" w:lineRule="auto"/>
    </w:pPr>
    <w:rPr>
      <w:rFonts w:ascii="Tahoma" w:hAnsi="Tahoma"/>
      <w:sz w:val="24"/>
      <w:szCs w:val="24"/>
    </w:rPr>
  </w:style>
  <w:style w:type="paragraph" w:styleId="986"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8"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1" w:customStyle="1">
    <w:name w:val="Table Normal"/>
    <w:uiPriority w:val="0"/>
    <w:qFormat/>
    <w:tblPr/>
  </w:style>
  <w:style w:type="paragraph" w:styleId="992"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3" w:customStyle="1">
    <w:name w:val="正文文本 211"/>
    <w:basedOn w:val="690"/>
    <w:uiPriority w:val="99"/>
    <w:qFormat/>
    <w:pPr>
      <w:jc w:val="center"/>
    </w:pPr>
    <w:rPr>
      <w:b/>
      <w:bCs/>
      <w:sz w:val="20"/>
      <w:szCs w:val="20"/>
    </w:rPr>
  </w:style>
  <w:style w:type="paragraph" w:styleId="994" w:customStyle="1">
    <w:name w:val="正文文本1"/>
    <w:basedOn w:val="690"/>
    <w:next w:val="690"/>
    <w:uiPriority w:val="0"/>
    <w:semiHidden/>
    <w:qFormat/>
    <w:rPr>
      <w:rFonts w:ascii="Arial" w:hAnsi="Arial" w:eastAsia="Arial" w:cs="Arial"/>
      <w:sz w:val="21"/>
      <w:szCs w:val="21"/>
      <w:lang w:val="en-US" w:eastAsia="en-US" w:bidi="ar-SA"/>
    </w:rPr>
  </w:style>
  <w:style w:type="paragraph" w:styleId="995" w:customStyle="1">
    <w:name w:val="Table Paragraph"/>
    <w:basedOn w:val="690"/>
    <w:uiPriority w:val="1"/>
    <w:qFormat/>
    <w:pPr>
      <w:jc w:val="left"/>
    </w:pPr>
    <w:rPr>
      <w:rFonts w:ascii="宋体" w:hAnsi="宋体" w:eastAsia="宋体" w:cs="宋体"/>
      <w:sz w:val="22"/>
      <w:szCs w:val="22"/>
      <w:lang w:val="zh-CN" w:bidi="zh-CN"/>
    </w:rPr>
  </w:style>
  <w:style w:type="table" w:styleId="996" w:customStyle="1">
    <w:name w:val="网格型1"/>
    <w:basedOn w:val="997"/>
    <w:uiPriority w:val="0"/>
    <w:qFormat/>
    <w:pPr>
      <w:jc w:val="both"/>
      <w:widowControl w:val="off"/>
    </w:pPr>
    <w:tblPr/>
  </w:style>
  <w:style w:type="table" w:styleId="997" w:customStyle="1">
    <w:name w:val="普通表格1"/>
    <w:uiPriority w:val="99"/>
    <w:unhideWhenUsed/>
    <w:qFormat/>
    <w:tblPr/>
  </w:style>
  <w:style w:type="paragraph" w:styleId="998" w:customStyle="1">
    <w:name w:val="正文文本缩进1"/>
    <w:basedOn w:val="690"/>
    <w:next w:val="999"/>
    <w:uiPriority w:val="0"/>
    <w:unhideWhenUsed/>
    <w:qFormat/>
    <w:pPr>
      <w:ind w:left="420"/>
      <w:spacing w:after="120"/>
    </w:pPr>
  </w:style>
  <w:style w:type="paragraph" w:styleId="999" w:customStyle="1">
    <w:name w:val="正文文本首行缩进 2"/>
    <w:basedOn w:val="998"/>
    <w:uiPriority w:val="0"/>
    <w:qFormat/>
    <w:pPr>
      <w:ind w:left="0" w:firstLine="420"/>
      <w:spacing w:after="0" w:line="360" w:lineRule="auto"/>
    </w:pPr>
    <w:rPr>
      <w:rFonts w:ascii="宋体" w:hAnsi="宋体"/>
      <w:sz w:val="20"/>
      <w:szCs w:val="20"/>
      <w:lang w:val="en-US" w:eastAsia="en-US"/>
    </w:rPr>
  </w:style>
  <w:style w:type="table" w:styleId="1000" w:customStyle="1">
    <w:name w:val="Table Normal_0"/>
    <w:uiPriority w:val="0"/>
    <w:qFormat/>
    <w:tblPr/>
  </w:style>
  <w:style w:type="paragraph" w:styleId="1001" w:customStyle="1">
    <w:name w:val="正文首行缩进 211"/>
    <w:basedOn w:val="1002"/>
    <w:next w:val="690"/>
    <w:uiPriority w:val="0"/>
    <w:qFormat/>
    <w:pPr>
      <w:ind w:left="0" w:firstLine="420"/>
      <w:spacing w:after="0" w:line="360" w:lineRule="auto"/>
    </w:pPr>
    <w:rPr>
      <w:rFonts w:ascii="宋体" w:hAnsi="宋体" w:eastAsia="宋体" w:cs="Times New Roman"/>
      <w:szCs w:val="20"/>
    </w:rPr>
  </w:style>
  <w:style w:type="paragraph" w:styleId="1002" w:customStyle="1">
    <w:name w:val="正文文本缩进111"/>
    <w:basedOn w:val="690"/>
    <w:next w:val="1003"/>
    <w:uiPriority w:val="0"/>
    <w:unhideWhenUsed/>
    <w:qFormat/>
    <w:pPr>
      <w:ind w:left="420"/>
      <w:spacing w:after="120"/>
    </w:pPr>
  </w:style>
  <w:style w:type="paragraph" w:styleId="1003" w:customStyle="1">
    <w:name w:val="寄信人地址11"/>
    <w:basedOn w:val="690"/>
    <w:uiPriority w:val="0"/>
    <w:qFormat/>
    <w:rPr>
      <w:rFonts w:ascii="Arial" w:hAnsi="Arial" w:eastAsia="宋体" w:cs="宋体"/>
    </w:rPr>
  </w:style>
  <w:style w:type="paragraph" w:styleId="1004" w:customStyle="1">
    <w:name w:val="正文文本缩进11"/>
    <w:basedOn w:val="690"/>
    <w:next w:val="1005"/>
    <w:uiPriority w:val="0"/>
    <w:unhideWhenUsed/>
    <w:qFormat/>
    <w:pPr>
      <w:ind w:left="420"/>
      <w:spacing w:after="120"/>
    </w:pPr>
  </w:style>
  <w:style w:type="paragraph" w:styleId="1005" w:customStyle="1">
    <w:name w:val="寄信人地址1"/>
    <w:basedOn w:val="690"/>
    <w:uiPriority w:val="0"/>
    <w:qFormat/>
    <w:rPr>
      <w:rFonts w:ascii="Arial" w:hAnsi="Arial" w:eastAsia="宋体" w:cs="宋体"/>
    </w:rPr>
  </w:style>
  <w:style w:type="paragraph" w:styleId="1006" w:customStyle="1">
    <w:name w:val="正文1"/>
    <w:basedOn w:val="690"/>
    <w:uiPriority w:val="0"/>
    <w:qFormat/>
    <w:pPr>
      <w:ind w:left="350" w:firstLine="0"/>
    </w:pPr>
    <w:rPr>
      <w:rFonts w:cs="Times New Roman"/>
      <w:sz w:val="20"/>
      <w:szCs w:val="24"/>
    </w:rPr>
  </w:style>
  <w:style w:type="paragraph" w:styleId="1007" w:customStyle="1">
    <w:name w:val="正文首行缩进 21"/>
    <w:basedOn w:val="1004"/>
    <w:next w:val="690"/>
    <w:uiPriority w:val="0"/>
    <w:qFormat/>
    <w:pPr>
      <w:ind w:left="0" w:firstLine="420"/>
      <w:spacing w:after="0" w:line="360" w:lineRule="auto"/>
    </w:pPr>
    <w:rPr>
      <w:rFonts w:ascii="宋体" w:hAnsi="宋体" w:eastAsia="宋体" w:cs="Times New Roman"/>
      <w:szCs w:val="20"/>
    </w:rPr>
  </w:style>
  <w:style w:type="paragraph" w:styleId="1008" w:customStyle="1">
    <w:name w:val="标题 31"/>
    <w:basedOn w:val="690"/>
    <w:next w:val="100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09" w:customStyle="1">
    <w:name w:val="正文缩进1"/>
    <w:basedOn w:val="690"/>
    <w:uiPriority w:val="0"/>
    <w:qFormat/>
    <w:pPr>
      <w:ind w:firstLine="420"/>
    </w:pPr>
    <w:rPr>
      <w:szCs w:val="21"/>
    </w:rPr>
  </w:style>
  <w:style w:type="character" w:styleId="1010" w:customStyle="1">
    <w:name w:val="font11"/>
    <w:basedOn w:val="889"/>
    <w:link w:val="690"/>
    <w:uiPriority w:val="0"/>
    <w:qFormat/>
    <w:rPr>
      <w:rFonts w:hint="eastAsia" w:ascii="仿宋" w:hAnsi="仿宋" w:eastAsia="仿宋" w:cs="仿宋"/>
      <w:color w:val="000000"/>
      <w:sz w:val="22"/>
      <w:szCs w:val="22"/>
      <w:u w:val="none"/>
    </w:rPr>
  </w:style>
  <w:style w:type="character" w:styleId="1011" w:customStyle="1">
    <w:name w:val="font31"/>
    <w:basedOn w:val="889"/>
    <w:link w:val="690"/>
    <w:uiPriority w:val="0"/>
    <w:qFormat/>
    <w:rPr>
      <w:rFonts w:hint="eastAsia" w:ascii="仿宋" w:hAnsi="仿宋" w:eastAsia="仿宋" w:cs="仿宋"/>
      <w:color w:val="000000"/>
      <w:sz w:val="44"/>
      <w:szCs w:val="44"/>
      <w:u w:val="none"/>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13</cp:revision>
  <dcterms:created xsi:type="dcterms:W3CDTF">2023-03-16T02:13:00Z</dcterms:created>
  <dcterms:modified xsi:type="dcterms:W3CDTF">2026-10-28T08:48:27Z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EBB03F7E80904700B597CC693AB98A0E_13</vt:lpwstr>
  </property>
  <property fmtid="{D5CDD505-2E9C-101B-9397-08002B2CF9AE}" pid="4" name="KSOTemplateDocerSaveRecord">
    <vt:lpwstr>eyJoZGlkIjoiMGMxMjA4NTg1OGUyYzRlYTcxYzMxZTM5YzY1ZDdmZjgiLCJ1c2VySWQiOiIyNTM5NzI5MTQifQ==</vt:lpwstr>
  </property>
</Properties>
</file>