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358958">
      <w:pPr>
        <w:pStyle w:val="208"/>
        <w:widowControl/>
        <w:ind w:firstLine="0"/>
        <w:jc w:val="center"/>
        <w:rPr>
          <w:rFonts w:ascii="宋体" w:hAnsi="宋体" w:eastAsia="宋体" w:cs="宋体"/>
          <w:b/>
          <w:bCs/>
          <w:color w:val="auto"/>
          <w:spacing w:val="34"/>
          <w:sz w:val="72"/>
          <w:szCs w:val="28"/>
          <w:highlight w:val="none"/>
        </w:rPr>
      </w:pPr>
      <w:r>
        <w:rPr>
          <w:rFonts w:hint="eastAsia" w:ascii="宋体" w:hAnsi="宋体" w:eastAsia="宋体" w:cs="宋体"/>
          <w:b/>
          <w:bCs/>
          <w:color w:val="auto"/>
          <w:spacing w:val="34"/>
          <w:sz w:val="72"/>
          <w:szCs w:val="28"/>
          <w:highlight w:val="none"/>
        </w:rPr>
        <w:t>连云港市政府采购</w:t>
      </w:r>
    </w:p>
    <w:p w14:paraId="16E48DB7">
      <w:pPr>
        <w:pStyle w:val="208"/>
        <w:widowControl/>
        <w:ind w:firstLine="0"/>
        <w:jc w:val="center"/>
        <w:rPr>
          <w:rFonts w:ascii="宋体" w:hAnsi="宋体" w:eastAsia="宋体" w:cs="宋体"/>
          <w:b/>
          <w:bCs/>
          <w:color w:val="auto"/>
          <w:spacing w:val="34"/>
          <w:sz w:val="72"/>
          <w:szCs w:val="28"/>
          <w:highlight w:val="none"/>
        </w:rPr>
      </w:pPr>
    </w:p>
    <w:p w14:paraId="77C270F0">
      <w:pPr>
        <w:pStyle w:val="208"/>
        <w:widowControl/>
        <w:ind w:firstLine="0"/>
        <w:jc w:val="center"/>
        <w:rPr>
          <w:rFonts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竞争性磋商文件</w:t>
      </w:r>
      <w:r>
        <w:rPr>
          <w:rFonts w:hint="eastAsia" w:ascii="宋体" w:hAnsi="宋体" w:eastAsia="宋体" w:cs="宋体"/>
          <w:b/>
          <w:bCs/>
          <w:color w:val="auto"/>
          <w:sz w:val="72"/>
          <w:szCs w:val="72"/>
          <w:highlight w:val="none"/>
        </w:rPr>
        <w:br w:type="textWrapping"/>
      </w:r>
    </w:p>
    <w:p w14:paraId="55678458">
      <w:pPr>
        <w:spacing w:line="360" w:lineRule="auto"/>
        <w:rPr>
          <w:rFonts w:hint="eastAsia" w:ascii="宋体" w:hAnsi="宋体" w:eastAsia="宋体" w:cs="宋体"/>
          <w:b/>
          <w:bCs/>
          <w:color w:val="auto"/>
          <w:spacing w:val="16"/>
          <w:sz w:val="32"/>
          <w:szCs w:val="32"/>
          <w:highlight w:val="none"/>
        </w:rPr>
      </w:pPr>
    </w:p>
    <w:p w14:paraId="7232CBE6">
      <w:pPr>
        <w:spacing w:line="360" w:lineRule="auto"/>
        <w:ind w:left="2404" w:leftChars="304" w:hanging="1766" w:hangingChars="500"/>
        <w:rPr>
          <w:rFonts w:hint="eastAsia" w:ascii="宋体" w:hAnsi="宋体" w:eastAsia="宋体" w:cs="宋体"/>
          <w:b/>
          <w:bCs/>
          <w:color w:val="auto"/>
          <w:spacing w:val="16"/>
          <w:sz w:val="32"/>
          <w:szCs w:val="32"/>
          <w:highlight w:val="none"/>
        </w:rPr>
      </w:pPr>
    </w:p>
    <w:p w14:paraId="0BBF06B1">
      <w:pPr>
        <w:spacing w:line="360" w:lineRule="auto"/>
        <w:ind w:left="2268" w:leftChars="912" w:hanging="353" w:hangingChars="100"/>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rPr>
        <w:t>项目名称：</w:t>
      </w:r>
      <w:r>
        <w:rPr>
          <w:rFonts w:hint="eastAsia" w:ascii="宋体" w:hAnsi="宋体" w:eastAsia="宋体" w:cs="宋体"/>
          <w:b/>
          <w:bCs/>
          <w:color w:val="auto"/>
          <w:spacing w:val="16"/>
          <w:sz w:val="32"/>
          <w:szCs w:val="32"/>
          <w:highlight w:val="none"/>
          <w:lang w:eastAsia="zh-CN"/>
        </w:rPr>
        <w:t>锦屏镇岗嘴村标准化厂房项目</w:t>
      </w:r>
    </w:p>
    <w:p w14:paraId="2DC44A54">
      <w:pPr>
        <w:spacing w:line="360" w:lineRule="auto"/>
        <w:ind w:left="2234" w:leftChars="1064" w:firstLine="1413" w:firstLineChars="400"/>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eastAsia="zh-CN"/>
        </w:rPr>
        <w:t>（专门面向中小企业）</w:t>
      </w:r>
    </w:p>
    <w:p w14:paraId="2F029868">
      <w:pPr>
        <w:pStyle w:val="57"/>
        <w:spacing w:line="360" w:lineRule="auto"/>
        <w:rPr>
          <w:rFonts w:ascii="宋体" w:hAnsi="宋体"/>
          <w:color w:val="auto"/>
          <w:highlight w:val="none"/>
        </w:rPr>
      </w:pPr>
    </w:p>
    <w:p w14:paraId="51D34F79">
      <w:pPr>
        <w:spacing w:line="360" w:lineRule="auto"/>
        <w:ind w:firstLine="1766" w:firstLineChars="500"/>
        <w:rPr>
          <w:rFonts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项目编号：</w:t>
      </w:r>
      <w:r>
        <w:rPr>
          <w:rFonts w:hint="eastAsia" w:ascii="宋体" w:hAnsi="宋体" w:eastAsia="宋体" w:cs="宋体"/>
          <w:b/>
          <w:bCs/>
          <w:color w:val="auto"/>
          <w:sz w:val="32"/>
          <w:szCs w:val="20"/>
          <w:highlight w:val="none"/>
          <w:lang w:val="en-US" w:eastAsia="zh-CN" w:bidi="ar-SA"/>
        </w:rPr>
        <w:t xml:space="preserve">JSZC-320706-HRGJ-C2026-0014  </w:t>
      </w:r>
      <w:r>
        <w:rPr>
          <w:rFonts w:hint="eastAsia" w:ascii="宋体" w:hAnsi="宋体" w:eastAsia="宋体" w:cs="宋体"/>
          <w:b/>
          <w:bCs/>
          <w:color w:val="auto"/>
          <w:spacing w:val="16"/>
          <w:sz w:val="32"/>
          <w:szCs w:val="32"/>
          <w:highlight w:val="none"/>
          <w:lang w:val="en-US" w:eastAsia="zh-CN"/>
        </w:rPr>
        <w:t xml:space="preserve">       </w:t>
      </w:r>
      <w:r>
        <w:rPr>
          <w:rFonts w:hint="eastAsia" w:ascii="宋体" w:hAnsi="宋体" w:eastAsia="宋体" w:cs="宋体"/>
          <w:b/>
          <w:bCs/>
          <w:color w:val="auto"/>
          <w:spacing w:val="16"/>
          <w:sz w:val="32"/>
          <w:szCs w:val="32"/>
          <w:highlight w:val="none"/>
        </w:rPr>
        <w:tab/>
      </w:r>
      <w:r>
        <w:rPr>
          <w:rFonts w:hint="eastAsia" w:ascii="宋体" w:hAnsi="宋体" w:eastAsia="宋体" w:cs="宋体"/>
          <w:b/>
          <w:bCs/>
          <w:color w:val="auto"/>
          <w:spacing w:val="16"/>
          <w:sz w:val="32"/>
          <w:szCs w:val="32"/>
          <w:highlight w:val="none"/>
        </w:rPr>
        <w:t xml:space="preserve"> </w:t>
      </w:r>
    </w:p>
    <w:p w14:paraId="12620DE4">
      <w:pPr>
        <w:pStyle w:val="22"/>
        <w:spacing w:line="360" w:lineRule="auto"/>
        <w:rPr>
          <w:rFonts w:hAnsi="宋体" w:eastAsia="宋体" w:cs="宋体"/>
          <w:b/>
          <w:bCs/>
          <w:color w:val="auto"/>
          <w:sz w:val="36"/>
          <w:highlight w:val="none"/>
        </w:rPr>
      </w:pPr>
      <w:r>
        <w:rPr>
          <w:rFonts w:hint="eastAsia" w:hAnsi="宋体" w:eastAsia="宋体" w:cs="宋体"/>
          <w:b/>
          <w:bCs/>
          <w:color w:val="auto"/>
          <w:sz w:val="36"/>
          <w:highlight w:val="none"/>
        </w:rPr>
        <w:t xml:space="preserve">  </w:t>
      </w:r>
    </w:p>
    <w:p w14:paraId="2EFD8E36">
      <w:pPr>
        <w:pStyle w:val="22"/>
        <w:spacing w:line="360" w:lineRule="auto"/>
        <w:rPr>
          <w:rFonts w:hAnsi="宋体" w:eastAsia="宋体" w:cs="宋体"/>
          <w:b/>
          <w:bCs/>
          <w:color w:val="auto"/>
          <w:sz w:val="36"/>
          <w:highlight w:val="none"/>
          <w:u w:val="single"/>
        </w:rPr>
      </w:pPr>
      <w:r>
        <w:rPr>
          <w:color w:val="auto"/>
          <w:highlight w:val="none"/>
        </w:rPr>
        <mc:AlternateContent>
          <mc:Choice Requires="wps">
            <w:drawing>
              <wp:inline distT="0" distB="0" distL="114300" distR="114300">
                <wp:extent cx="6025515" cy="76200"/>
                <wp:effectExtent l="0" t="0" r="13335" b="0"/>
                <wp:docPr id="1" name="任意多边形 1"/>
                <wp:cNvGraphicFramePr/>
                <a:graphic xmlns:a="http://schemas.openxmlformats.org/drawingml/2006/main">
                  <a:graphicData uri="http://schemas.microsoft.com/office/word/2010/wordprocessingShape">
                    <wps:wsp>
                      <wps:cNvSpPr/>
                      <wps:spPr>
                        <a:xfrm flipV="1">
                          <a:off x="0" y="0"/>
                          <a:ext cx="6025515" cy="76200"/>
                        </a:xfrm>
                        <a:custGeom>
                          <a:avLst/>
                          <a:gdLst/>
                          <a:ahLst/>
                          <a:cxnLst/>
                          <a:rect l="0" t="0" r="0" b="0"/>
                          <a:pathLst>
                            <a:path w="9519" h="44">
                              <a:moveTo>
                                <a:pt x="0" y="21"/>
                              </a:moveTo>
                              <a:lnTo>
                                <a:pt x="9518" y="21"/>
                              </a:lnTo>
                            </a:path>
                          </a:pathLst>
                        </a:custGeom>
                        <a:noFill/>
                        <a:ln w="27432" cap="flat" cmpd="sng">
                          <a:solidFill>
                            <a:srgbClr val="000000"/>
                          </a:solidFill>
                          <a:prstDash val="solid"/>
                          <a:bevel/>
                          <a:headEnd type="none" w="med" len="med"/>
                          <a:tailEnd type="none" w="med" len="med"/>
                        </a:ln>
                      </wps:spPr>
                      <wps:bodyPr upright="1"/>
                    </wps:wsp>
                  </a:graphicData>
                </a:graphic>
              </wp:inline>
            </w:drawing>
          </mc:Choice>
          <mc:Fallback>
            <w:pict>
              <v:shape id="_x0000_s1026" o:spid="_x0000_s1026" o:spt="100" style="flip:y;height:6pt;width:474.45pt;" filled="f" stroked="t" coordsize="9519,44" o:gfxdata="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IjEDSAAAABAEAAA8AAAAAAAAAAQAg&#10;AAAAIgAAAGRycy9kb3ducmV2LnhtbFBLAQIUABQAAAAIAIdO4kDrs3glTQIAAMUEAAAOAAAAAAAA&#10;AAEAIAAAACEBAABkcnMvZTJvRG9jLnhtbFBLBQYAAAAABgAGAFkBAADgBQAAAAA=&#10;" path="m0,21l9518,21e">
                <v:fill on="f" focussize="0,0"/>
                <v:stroke weight="2.16pt" color="#000000" joinstyle="bevel"/>
                <v:imagedata o:title=""/>
                <o:lock v:ext="edit" aspectratio="f"/>
                <w10:wrap type="none"/>
                <w10:anchorlock/>
              </v:shape>
            </w:pict>
          </mc:Fallback>
        </mc:AlternateContent>
      </w:r>
    </w:p>
    <w:p w14:paraId="467D4876">
      <w:pPr>
        <w:pStyle w:val="22"/>
        <w:ind w:firstLine="611"/>
        <w:rPr>
          <w:rFonts w:hAnsi="宋体" w:eastAsia="宋体" w:cs="宋体"/>
          <w:b/>
          <w:bCs/>
          <w:color w:val="auto"/>
          <w:sz w:val="32"/>
          <w:highlight w:val="none"/>
        </w:rPr>
      </w:pPr>
    </w:p>
    <w:p w14:paraId="4792744C">
      <w:pPr>
        <w:pStyle w:val="22"/>
        <w:ind w:firstLine="1574" w:firstLineChars="490"/>
        <w:rPr>
          <w:rFonts w:hAnsi="宋体" w:eastAsia="宋体" w:cs="宋体"/>
          <w:b/>
          <w:bCs/>
          <w:color w:val="auto"/>
          <w:sz w:val="32"/>
          <w:highlight w:val="none"/>
        </w:rPr>
      </w:pPr>
      <w:r>
        <w:rPr>
          <w:rFonts w:hint="eastAsia" w:hAnsi="宋体" w:eastAsia="宋体" w:cs="宋体"/>
          <w:b/>
          <w:bCs/>
          <w:color w:val="auto"/>
          <w:sz w:val="32"/>
          <w:highlight w:val="none"/>
        </w:rPr>
        <w:t>采   购   人：连云港市海州区锦屏镇人民政府</w:t>
      </w:r>
    </w:p>
    <w:p w14:paraId="3CEF25B8">
      <w:pPr>
        <w:pStyle w:val="22"/>
        <w:rPr>
          <w:rFonts w:hAnsi="宋体" w:eastAsia="宋体" w:cs="宋体"/>
          <w:b/>
          <w:bCs/>
          <w:color w:val="auto"/>
          <w:sz w:val="32"/>
          <w:highlight w:val="none"/>
        </w:rPr>
      </w:pPr>
    </w:p>
    <w:p w14:paraId="4B780F51">
      <w:pPr>
        <w:pStyle w:val="22"/>
        <w:ind w:firstLine="1574" w:firstLineChars="490"/>
        <w:rPr>
          <w:rFonts w:hAnsi="宋体" w:eastAsia="宋体" w:cs="宋体"/>
          <w:b/>
          <w:bCs/>
          <w:color w:val="auto"/>
          <w:sz w:val="32"/>
          <w:highlight w:val="none"/>
        </w:rPr>
      </w:pPr>
      <w:r>
        <w:rPr>
          <w:rFonts w:hint="eastAsia" w:hAnsi="宋体" w:eastAsia="宋体" w:cs="宋体"/>
          <w:b/>
          <w:bCs/>
          <w:color w:val="auto"/>
          <w:sz w:val="32"/>
          <w:highlight w:val="none"/>
        </w:rPr>
        <w:t>采购代理机构：</w:t>
      </w:r>
      <w:r>
        <w:rPr>
          <w:rFonts w:hint="eastAsia" w:hAnsi="宋体" w:eastAsia="宋体" w:cs="宋体"/>
          <w:b/>
          <w:bCs/>
          <w:color w:val="auto"/>
          <w:sz w:val="32"/>
          <w:szCs w:val="24"/>
          <w:highlight w:val="none"/>
        </w:rPr>
        <w:t>华瑞国际工程咨询集团有限公司</w:t>
      </w:r>
    </w:p>
    <w:p w14:paraId="7124F845">
      <w:pPr>
        <w:outlineLvl w:val="0"/>
        <w:rPr>
          <w:rFonts w:ascii="宋体" w:hAnsi="宋体" w:eastAsia="宋体" w:cs="宋体"/>
          <w:b/>
          <w:bCs/>
          <w:color w:val="auto"/>
          <w:sz w:val="32"/>
          <w:szCs w:val="20"/>
          <w:highlight w:val="none"/>
        </w:rPr>
      </w:pPr>
    </w:p>
    <w:p w14:paraId="4808D90F">
      <w:pPr>
        <w:jc w:val="center"/>
        <w:outlineLvl w:val="0"/>
        <w:rPr>
          <w:rFonts w:ascii="宋体" w:hAnsi="宋体" w:eastAsia="宋体" w:cs="宋体"/>
          <w:b/>
          <w:bCs/>
          <w:color w:val="auto"/>
          <w:sz w:val="32"/>
          <w:szCs w:val="20"/>
          <w:highlight w:val="none"/>
        </w:rPr>
        <w:sectPr>
          <w:footerReference r:id="rId3" w:type="default"/>
          <w:pgSz w:w="11907" w:h="16840"/>
          <w:pgMar w:top="1440" w:right="1080" w:bottom="1440" w:left="1080" w:header="720" w:footer="720" w:gutter="0"/>
          <w:pgNumType w:start="0"/>
          <w:cols w:space="720" w:num="1"/>
          <w:titlePg/>
          <w:docGrid w:linePitch="360" w:charSpace="0"/>
        </w:sectPr>
      </w:pPr>
      <w:r>
        <w:rPr>
          <w:rFonts w:hint="eastAsia" w:ascii="宋体" w:hAnsi="宋体" w:eastAsia="宋体" w:cs="宋体"/>
          <w:b/>
          <w:bCs/>
          <w:color w:val="auto"/>
          <w:sz w:val="32"/>
          <w:szCs w:val="20"/>
          <w:highlight w:val="none"/>
        </w:rPr>
        <w:t xml:space="preserve">二〇二六 年 </w:t>
      </w:r>
      <w:r>
        <w:rPr>
          <w:rFonts w:hint="eastAsia" w:ascii="宋体" w:hAnsi="宋体" w:eastAsia="宋体" w:cs="宋体"/>
          <w:b/>
          <w:bCs/>
          <w:color w:val="auto"/>
          <w:sz w:val="32"/>
          <w:szCs w:val="20"/>
          <w:highlight w:val="none"/>
          <w:lang w:val="en-US" w:eastAsia="zh-CN"/>
        </w:rPr>
        <w:t>十</w:t>
      </w:r>
      <w:r>
        <w:rPr>
          <w:rFonts w:hint="eastAsia" w:ascii="宋体" w:hAnsi="宋体" w:eastAsia="宋体" w:cs="宋体"/>
          <w:b/>
          <w:bCs/>
          <w:color w:val="auto"/>
          <w:sz w:val="32"/>
          <w:szCs w:val="20"/>
          <w:highlight w:val="none"/>
        </w:rPr>
        <w:t xml:space="preserve"> 月</w:t>
      </w:r>
    </w:p>
    <w:p w14:paraId="6BF13A66">
      <w:pPr>
        <w:widowControl/>
        <w:spacing w:line="360" w:lineRule="auto"/>
        <w:jc w:val="center"/>
        <w:rPr>
          <w:rFonts w:ascii="宋体" w:hAnsi="宋体" w:eastAsia="宋体" w:cs="宋体"/>
          <w:color w:val="auto"/>
          <w:sz w:val="48"/>
          <w:szCs w:val="48"/>
          <w:highlight w:val="none"/>
          <w:lang w:bidi="ar"/>
        </w:rPr>
      </w:pPr>
      <w:r>
        <w:rPr>
          <w:rFonts w:hint="eastAsia" w:ascii="宋体" w:hAnsi="宋体" w:eastAsia="宋体" w:cs="宋体"/>
          <w:color w:val="auto"/>
          <w:sz w:val="48"/>
          <w:szCs w:val="48"/>
          <w:highlight w:val="none"/>
          <w:lang w:bidi="ar"/>
        </w:rPr>
        <w:t>目 录</w:t>
      </w:r>
    </w:p>
    <w:p w14:paraId="099EAAE3">
      <w:pPr>
        <w:pStyle w:val="205"/>
        <w:ind w:firstLine="480"/>
        <w:rPr>
          <w:rFonts w:hAnsi="宋体" w:cs="宋体"/>
          <w:color w:val="auto"/>
          <w:highlight w:val="none"/>
        </w:rPr>
      </w:pPr>
    </w:p>
    <w:p w14:paraId="6ECF36AB">
      <w:pPr>
        <w:widowControl/>
        <w:spacing w:line="360" w:lineRule="auto"/>
        <w:jc w:val="left"/>
        <w:rPr>
          <w:rFonts w:ascii="宋体" w:hAnsi="宋体" w:eastAsia="宋体" w:cs="宋体"/>
          <w:color w:val="auto"/>
          <w:sz w:val="24"/>
          <w:highlight w:val="none"/>
          <w:lang w:bidi="ar"/>
        </w:rPr>
      </w:pPr>
    </w:p>
    <w:p w14:paraId="0681FFCF">
      <w:pPr>
        <w:widowControl/>
        <w:spacing w:line="360" w:lineRule="auto"/>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第一章 竞争性磋商采购公告 </w:t>
      </w:r>
    </w:p>
    <w:p w14:paraId="2A4706D7">
      <w:pPr>
        <w:widowControl/>
        <w:spacing w:line="360" w:lineRule="auto"/>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第二章 磋商须知 </w:t>
      </w:r>
    </w:p>
    <w:p w14:paraId="222D95C4">
      <w:pPr>
        <w:widowControl/>
        <w:spacing w:line="360" w:lineRule="auto"/>
        <w:jc w:val="left"/>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第三章 政府采购合同格式 </w:t>
      </w:r>
    </w:p>
    <w:p w14:paraId="1F831A83">
      <w:pPr>
        <w:widowControl/>
        <w:spacing w:line="360" w:lineRule="auto"/>
        <w:jc w:val="left"/>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第四章 项目需求 </w:t>
      </w:r>
    </w:p>
    <w:p w14:paraId="1A1A6B0A">
      <w:pPr>
        <w:widowControl/>
        <w:spacing w:line="360" w:lineRule="auto"/>
        <w:jc w:val="left"/>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第五章 工程量清单（另附）</w:t>
      </w:r>
    </w:p>
    <w:p w14:paraId="0C7971F2">
      <w:pPr>
        <w:widowControl/>
        <w:spacing w:line="360" w:lineRule="auto"/>
        <w:jc w:val="left"/>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第六章 竞争性磋商响应文件</w:t>
      </w:r>
    </w:p>
    <w:p w14:paraId="285DD8E7">
      <w:pPr>
        <w:widowControl/>
        <w:spacing w:line="360" w:lineRule="auto"/>
        <w:jc w:val="left"/>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第七章 评审方法和评审标准 </w:t>
      </w:r>
    </w:p>
    <w:p w14:paraId="552EAE4D">
      <w:pPr>
        <w:widowControl/>
        <w:spacing w:line="360" w:lineRule="auto"/>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w:t>
      </w:r>
    </w:p>
    <w:p w14:paraId="48B3A50D">
      <w:pPr>
        <w:widowControl/>
        <w:spacing w:line="360" w:lineRule="auto"/>
        <w:jc w:val="center"/>
        <w:rPr>
          <w:rFonts w:ascii="宋体" w:hAnsi="宋体" w:eastAsia="宋体" w:cs="宋体"/>
          <w:b/>
          <w:bCs/>
          <w:color w:val="auto"/>
          <w:sz w:val="36"/>
          <w:szCs w:val="36"/>
          <w:highlight w:val="none"/>
          <w:lang w:bidi="ar"/>
        </w:rPr>
      </w:pPr>
    </w:p>
    <w:p w14:paraId="34351FB0">
      <w:pPr>
        <w:pStyle w:val="19"/>
        <w:spacing w:line="360" w:lineRule="auto"/>
        <w:rPr>
          <w:rFonts w:ascii="宋体" w:hAnsi="宋体" w:eastAsia="宋体" w:cs="宋体"/>
          <w:color w:val="auto"/>
          <w:highlight w:val="none"/>
        </w:rPr>
      </w:pPr>
    </w:p>
    <w:p w14:paraId="03DE3F40">
      <w:pPr>
        <w:rPr>
          <w:rFonts w:ascii="宋体" w:hAnsi="宋体" w:eastAsia="宋体" w:cs="宋体"/>
          <w:color w:val="auto"/>
          <w:highlight w:val="none"/>
        </w:rPr>
      </w:pPr>
    </w:p>
    <w:p w14:paraId="0845FB96">
      <w:pPr>
        <w:rPr>
          <w:rFonts w:ascii="宋体" w:hAnsi="宋体" w:eastAsia="宋体" w:cs="宋体"/>
          <w:color w:val="auto"/>
          <w:highlight w:val="none"/>
        </w:rPr>
      </w:pPr>
    </w:p>
    <w:p w14:paraId="3C693DFC">
      <w:pPr>
        <w:rPr>
          <w:rFonts w:ascii="宋体" w:hAnsi="宋体" w:eastAsia="宋体" w:cs="宋体"/>
          <w:color w:val="auto"/>
          <w:highlight w:val="none"/>
        </w:rPr>
      </w:pPr>
    </w:p>
    <w:p w14:paraId="473CAA89">
      <w:pPr>
        <w:rPr>
          <w:rFonts w:ascii="宋体" w:hAnsi="宋体" w:eastAsia="宋体" w:cs="宋体"/>
          <w:color w:val="auto"/>
          <w:highlight w:val="none"/>
        </w:rPr>
      </w:pPr>
    </w:p>
    <w:p w14:paraId="00E029B6">
      <w:pPr>
        <w:rPr>
          <w:rFonts w:ascii="宋体" w:hAnsi="宋体" w:eastAsia="宋体" w:cs="宋体"/>
          <w:color w:val="auto"/>
          <w:highlight w:val="none"/>
        </w:rPr>
      </w:pPr>
    </w:p>
    <w:p w14:paraId="2774AE3B">
      <w:pPr>
        <w:rPr>
          <w:rFonts w:ascii="宋体" w:hAnsi="宋体" w:eastAsia="宋体" w:cs="宋体"/>
          <w:color w:val="auto"/>
          <w:highlight w:val="none"/>
        </w:rPr>
      </w:pPr>
    </w:p>
    <w:p w14:paraId="0BB33782">
      <w:pPr>
        <w:rPr>
          <w:rFonts w:ascii="宋体" w:hAnsi="宋体" w:eastAsia="宋体" w:cs="宋体"/>
          <w:color w:val="auto"/>
          <w:highlight w:val="none"/>
        </w:rPr>
      </w:pPr>
    </w:p>
    <w:p w14:paraId="3F624B48">
      <w:pPr>
        <w:rPr>
          <w:rFonts w:ascii="宋体" w:hAnsi="宋体" w:eastAsia="宋体" w:cs="宋体"/>
          <w:color w:val="auto"/>
          <w:highlight w:val="none"/>
        </w:rPr>
      </w:pPr>
    </w:p>
    <w:p w14:paraId="1552FB4F">
      <w:pPr>
        <w:rPr>
          <w:rFonts w:ascii="宋体" w:hAnsi="宋体" w:eastAsia="宋体" w:cs="宋体"/>
          <w:color w:val="auto"/>
          <w:highlight w:val="none"/>
        </w:rPr>
      </w:pPr>
    </w:p>
    <w:p w14:paraId="0E5D3690">
      <w:pPr>
        <w:rPr>
          <w:rFonts w:ascii="宋体" w:hAnsi="宋体" w:eastAsia="宋体" w:cs="宋体"/>
          <w:color w:val="auto"/>
          <w:highlight w:val="none"/>
        </w:rPr>
      </w:pPr>
    </w:p>
    <w:p w14:paraId="3C289096">
      <w:pPr>
        <w:rPr>
          <w:rFonts w:ascii="宋体" w:hAnsi="宋体" w:eastAsia="宋体" w:cs="宋体"/>
          <w:color w:val="auto"/>
          <w:highlight w:val="none"/>
        </w:rPr>
      </w:pPr>
    </w:p>
    <w:p w14:paraId="1B5C10C6">
      <w:pPr>
        <w:rPr>
          <w:rFonts w:ascii="宋体" w:hAnsi="宋体" w:eastAsia="宋体" w:cs="宋体"/>
          <w:color w:val="auto"/>
          <w:highlight w:val="none"/>
        </w:rPr>
      </w:pPr>
    </w:p>
    <w:p w14:paraId="1137EA5F">
      <w:pPr>
        <w:rPr>
          <w:rFonts w:ascii="宋体" w:hAnsi="宋体" w:eastAsia="宋体" w:cs="宋体"/>
          <w:color w:val="auto"/>
          <w:highlight w:val="none"/>
        </w:rPr>
      </w:pPr>
    </w:p>
    <w:p w14:paraId="70AF2F87">
      <w:pPr>
        <w:rPr>
          <w:rFonts w:ascii="宋体" w:hAnsi="宋体" w:eastAsia="宋体" w:cs="宋体"/>
          <w:color w:val="auto"/>
          <w:highlight w:val="none"/>
        </w:rPr>
      </w:pPr>
    </w:p>
    <w:p w14:paraId="5DDA31CF">
      <w:pPr>
        <w:rPr>
          <w:rFonts w:ascii="宋体" w:hAnsi="宋体" w:eastAsia="宋体" w:cs="宋体"/>
          <w:color w:val="auto"/>
          <w:highlight w:val="none"/>
        </w:rPr>
      </w:pPr>
    </w:p>
    <w:p w14:paraId="1AB9BA28">
      <w:pPr>
        <w:rPr>
          <w:rFonts w:ascii="宋体" w:hAnsi="宋体" w:eastAsia="宋体" w:cs="宋体"/>
          <w:color w:val="auto"/>
          <w:highlight w:val="none"/>
        </w:rPr>
      </w:pPr>
    </w:p>
    <w:p w14:paraId="1123C7EE">
      <w:pPr>
        <w:rPr>
          <w:rFonts w:ascii="宋体" w:hAnsi="宋体" w:eastAsia="宋体" w:cs="宋体"/>
          <w:color w:val="auto"/>
          <w:highlight w:val="none"/>
        </w:rPr>
      </w:pPr>
    </w:p>
    <w:p w14:paraId="309FA4A5">
      <w:pPr>
        <w:rPr>
          <w:rFonts w:ascii="宋体" w:hAnsi="宋体" w:eastAsia="宋体" w:cs="宋体"/>
          <w:color w:val="auto"/>
          <w:highlight w:val="none"/>
        </w:rPr>
      </w:pPr>
    </w:p>
    <w:p w14:paraId="13A85737">
      <w:pPr>
        <w:rPr>
          <w:rFonts w:ascii="宋体" w:hAnsi="宋体" w:eastAsia="宋体" w:cs="宋体"/>
          <w:color w:val="auto"/>
          <w:highlight w:val="none"/>
        </w:rPr>
      </w:pPr>
    </w:p>
    <w:p w14:paraId="1E4B7F0C">
      <w:pPr>
        <w:rPr>
          <w:rFonts w:ascii="宋体" w:hAnsi="宋体" w:eastAsia="宋体" w:cs="宋体"/>
          <w:color w:val="auto"/>
          <w:highlight w:val="none"/>
        </w:rPr>
      </w:pPr>
    </w:p>
    <w:p w14:paraId="246298E2">
      <w:pPr>
        <w:rPr>
          <w:rFonts w:ascii="宋体" w:hAnsi="宋体" w:eastAsia="宋体" w:cs="宋体"/>
          <w:color w:val="auto"/>
          <w:highlight w:val="none"/>
        </w:rPr>
      </w:pPr>
    </w:p>
    <w:p w14:paraId="3E1D38D6">
      <w:pPr>
        <w:rPr>
          <w:rFonts w:ascii="宋体" w:hAnsi="宋体" w:eastAsia="宋体" w:cs="宋体"/>
          <w:color w:val="auto"/>
          <w:highlight w:val="none"/>
        </w:rPr>
      </w:pPr>
    </w:p>
    <w:p w14:paraId="72398638">
      <w:pPr>
        <w:rPr>
          <w:rFonts w:ascii="宋体" w:hAnsi="宋体" w:eastAsia="宋体" w:cs="宋体"/>
          <w:color w:val="auto"/>
          <w:highlight w:val="none"/>
        </w:rPr>
      </w:pPr>
    </w:p>
    <w:p w14:paraId="0D2FAB9F">
      <w:pPr>
        <w:tabs>
          <w:tab w:val="right" w:pos="8788"/>
        </w:tabs>
        <w:jc w:val="left"/>
        <w:rPr>
          <w:rFonts w:ascii="宋体" w:hAnsi="宋体" w:eastAsia="宋体" w:cs="宋体"/>
          <w:color w:val="auto"/>
          <w:highlight w:val="none"/>
        </w:rPr>
        <w:sectPr>
          <w:footerReference r:id="rId4" w:type="default"/>
          <w:pgSz w:w="11907" w:h="16840"/>
          <w:pgMar w:top="1440" w:right="1080" w:bottom="1440" w:left="1080" w:header="851" w:footer="851" w:gutter="0"/>
          <w:cols w:space="720" w:num="1"/>
          <w:docGrid w:linePitch="360" w:charSpace="0"/>
        </w:sectPr>
      </w:pPr>
      <w:r>
        <w:rPr>
          <w:rFonts w:hint="eastAsia" w:ascii="宋体" w:hAnsi="宋体" w:eastAsia="宋体" w:cs="宋体"/>
          <w:color w:val="auto"/>
          <w:highlight w:val="none"/>
        </w:rPr>
        <w:tab/>
      </w:r>
    </w:p>
    <w:p w14:paraId="6938E91E">
      <w:pPr>
        <w:widowControl/>
        <w:spacing w:line="360" w:lineRule="auto"/>
        <w:jc w:val="center"/>
        <w:outlineLvl w:val="0"/>
        <w:rPr>
          <w:rFonts w:ascii="宋体" w:hAnsi="宋体" w:eastAsia="宋体" w:cs="宋体"/>
          <w:color w:val="auto"/>
          <w:highlight w:val="none"/>
        </w:rPr>
      </w:pPr>
      <w:bookmarkStart w:id="0" w:name="OLE_LINK2"/>
      <w:r>
        <w:rPr>
          <w:rFonts w:hint="eastAsia" w:ascii="宋体" w:hAnsi="宋体" w:eastAsia="宋体" w:cs="宋体"/>
          <w:b/>
          <w:bCs/>
          <w:color w:val="auto"/>
          <w:sz w:val="36"/>
          <w:szCs w:val="36"/>
          <w:highlight w:val="none"/>
          <w:lang w:bidi="ar"/>
        </w:rPr>
        <w:t xml:space="preserve">第一章 </w:t>
      </w:r>
      <w:bookmarkStart w:id="1" w:name="OLE_LINK1"/>
      <w:r>
        <w:rPr>
          <w:rFonts w:hint="eastAsia" w:ascii="宋体" w:hAnsi="宋体" w:eastAsia="宋体" w:cs="宋体"/>
          <w:b/>
          <w:bCs/>
          <w:color w:val="auto"/>
          <w:sz w:val="36"/>
          <w:szCs w:val="36"/>
          <w:highlight w:val="none"/>
          <w:lang w:bidi="ar"/>
        </w:rPr>
        <w:t>竞争性磋商采购公告</w:t>
      </w:r>
    </w:p>
    <w:p w14:paraId="6D080CEB">
      <w:pPr>
        <w:widowControl/>
        <w:pBdr>
          <w:top w:val="single" w:color="auto" w:sz="4" w:space="0"/>
          <w:left w:val="single" w:color="auto" w:sz="4" w:space="0"/>
          <w:bottom w:val="single" w:color="auto" w:sz="4" w:space="0"/>
          <w:right w:val="single" w:color="auto" w:sz="4" w:space="0"/>
          <w:between w:val="single" w:color="auto" w:sz="4" w:space="0"/>
        </w:pBd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项目概况：</w:t>
      </w:r>
      <w:r>
        <w:rPr>
          <w:rFonts w:hint="eastAsia" w:ascii="宋体" w:hAnsi="宋体" w:eastAsia="宋体" w:cs="宋体"/>
          <w:color w:val="auto"/>
          <w:sz w:val="24"/>
          <w:highlight w:val="none"/>
          <w:u w:val="single"/>
          <w:lang w:eastAsia="zh-CN" w:bidi="ar"/>
        </w:rPr>
        <w:t>锦屏镇岗嘴村标准化厂房项目（专门面向中小企业）</w:t>
      </w:r>
      <w:r>
        <w:rPr>
          <w:rFonts w:hint="eastAsia" w:ascii="宋体" w:hAnsi="宋体" w:eastAsia="宋体" w:cs="宋体"/>
          <w:color w:val="auto"/>
          <w:sz w:val="24"/>
          <w:highlight w:val="none"/>
          <w:lang w:bidi="ar"/>
        </w:rPr>
        <w:t xml:space="preserve">采购项目的潜在供应商应在 </w:t>
      </w:r>
      <w:r>
        <w:rPr>
          <w:rFonts w:hint="eastAsia" w:ascii="宋体" w:hAnsi="宋体" w:eastAsia="宋体" w:cs="宋体"/>
          <w:b/>
          <w:bCs/>
          <w:color w:val="auto"/>
          <w:sz w:val="24"/>
          <w:highlight w:val="none"/>
          <w:u w:val="single"/>
          <w:lang w:bidi="ar"/>
        </w:rPr>
        <w:t xml:space="preserve">江苏政府采购网“苏采云系统”内 </w:t>
      </w:r>
      <w:r>
        <w:rPr>
          <w:rFonts w:hint="eastAsia" w:ascii="宋体" w:hAnsi="宋体" w:eastAsia="宋体" w:cs="宋体"/>
          <w:color w:val="auto"/>
          <w:sz w:val="24"/>
          <w:highlight w:val="none"/>
          <w:lang w:bidi="ar"/>
        </w:rPr>
        <w:t>获取采购文件，并于</w:t>
      </w:r>
      <w:r>
        <w:rPr>
          <w:rFonts w:hint="eastAsia" w:ascii="宋体" w:hAnsi="宋体" w:eastAsia="宋体" w:cs="宋体"/>
          <w:color w:val="auto"/>
          <w:sz w:val="24"/>
          <w:highlight w:val="none"/>
          <w:u w:val="single"/>
          <w:lang w:bidi="ar"/>
        </w:rPr>
        <w:t>2026年</w:t>
      </w:r>
      <w:r>
        <w:rPr>
          <w:rFonts w:hint="eastAsia" w:ascii="宋体" w:hAnsi="宋体" w:eastAsia="宋体" w:cs="宋体"/>
          <w:color w:val="auto"/>
          <w:sz w:val="24"/>
          <w:highlight w:val="none"/>
          <w:u w:val="single"/>
          <w:lang w:val="en-US" w:eastAsia="zh-CN" w:bidi="ar"/>
        </w:rPr>
        <w:t>10</w:t>
      </w:r>
      <w:r>
        <w:rPr>
          <w:rFonts w:hint="eastAsia" w:ascii="宋体" w:hAnsi="宋体" w:eastAsia="宋体" w:cs="宋体"/>
          <w:color w:val="auto"/>
          <w:sz w:val="24"/>
          <w:highlight w:val="none"/>
          <w:u w:val="single"/>
          <w:lang w:bidi="ar"/>
        </w:rPr>
        <w:t>月</w:t>
      </w:r>
      <w:r>
        <w:rPr>
          <w:rFonts w:hint="eastAsia" w:ascii="宋体" w:hAnsi="宋体" w:eastAsia="宋体" w:cs="宋体"/>
          <w:color w:val="auto"/>
          <w:sz w:val="24"/>
          <w:highlight w:val="none"/>
          <w:u w:val="single"/>
          <w:lang w:val="en-US" w:eastAsia="zh-CN" w:bidi="ar"/>
        </w:rPr>
        <w:t xml:space="preserve"> 19</w:t>
      </w:r>
      <w:r>
        <w:rPr>
          <w:rFonts w:hint="eastAsia" w:ascii="宋体" w:hAnsi="宋体" w:eastAsia="宋体" w:cs="宋体"/>
          <w:color w:val="auto"/>
          <w:sz w:val="24"/>
          <w:highlight w:val="none"/>
          <w:u w:val="single"/>
          <w:lang w:bidi="ar"/>
        </w:rPr>
        <w:t>日09点00分00 秒</w:t>
      </w:r>
      <w:r>
        <w:rPr>
          <w:rFonts w:hint="eastAsia" w:ascii="宋体" w:hAnsi="宋体" w:eastAsia="宋体" w:cs="宋体"/>
          <w:color w:val="auto"/>
          <w:sz w:val="24"/>
          <w:highlight w:val="none"/>
          <w:lang w:bidi="ar"/>
        </w:rPr>
        <w:t xml:space="preserve">（北京时间）前提交响应文件。 </w:t>
      </w:r>
    </w:p>
    <w:p w14:paraId="221E201C">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一、项目基本情况 </w:t>
      </w:r>
    </w:p>
    <w:p w14:paraId="36065DE7">
      <w:pPr>
        <w:spacing w:line="360" w:lineRule="auto"/>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项目名称：</w:t>
      </w:r>
      <w:r>
        <w:rPr>
          <w:rFonts w:hint="eastAsia" w:ascii="宋体" w:hAnsi="宋体" w:eastAsia="宋体" w:cs="宋体"/>
          <w:color w:val="auto"/>
          <w:sz w:val="24"/>
          <w:highlight w:val="none"/>
          <w:lang w:eastAsia="zh-CN" w:bidi="ar"/>
        </w:rPr>
        <w:t>锦屏镇岗嘴村标准化厂房项目（专门面向中小企业）</w:t>
      </w:r>
    </w:p>
    <w:p w14:paraId="6744DF13">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项目编号：JSZC-320706-HRGJ-C2026-0014</w:t>
      </w:r>
    </w:p>
    <w:p w14:paraId="470C2BE4">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采购方式：竞争性磋商 </w:t>
      </w:r>
    </w:p>
    <w:p w14:paraId="78D31590">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预算金额：</w:t>
      </w:r>
      <w:r>
        <w:rPr>
          <w:rFonts w:hint="eastAsia" w:ascii="宋体" w:hAnsi="宋体" w:eastAsia="宋体" w:cs="宋体"/>
          <w:color w:val="auto"/>
          <w:sz w:val="24"/>
          <w:highlight w:val="none"/>
          <w:lang w:val="en-US" w:eastAsia="zh-CN" w:bidi="ar"/>
        </w:rPr>
        <w:t>2255264.28</w:t>
      </w:r>
      <w:r>
        <w:rPr>
          <w:rFonts w:hint="eastAsia" w:ascii="宋体" w:hAnsi="宋体" w:eastAsia="宋体" w:cs="宋体"/>
          <w:color w:val="auto"/>
          <w:sz w:val="24"/>
          <w:highlight w:val="none"/>
          <w:lang w:bidi="ar"/>
        </w:rPr>
        <w:t>元</w:t>
      </w:r>
    </w:p>
    <w:p w14:paraId="3085C27F">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最高投标</w:t>
      </w:r>
      <w:r>
        <w:rPr>
          <w:rFonts w:hint="eastAsia" w:ascii="宋体" w:hAnsi="宋体" w:eastAsia="宋体" w:cs="宋体"/>
          <w:color w:val="auto"/>
          <w:sz w:val="24"/>
          <w:highlight w:val="none"/>
        </w:rPr>
        <w:t>限价</w:t>
      </w: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2255264.28</w:t>
      </w:r>
      <w:r>
        <w:rPr>
          <w:rFonts w:hint="eastAsia" w:ascii="宋体" w:hAnsi="宋体" w:eastAsia="宋体" w:cs="宋体"/>
          <w:color w:val="auto"/>
          <w:sz w:val="24"/>
          <w:highlight w:val="none"/>
          <w:lang w:bidi="ar"/>
        </w:rPr>
        <w:t>元</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rPr>
        <w:t>投标报价超过最高</w:t>
      </w:r>
      <w:r>
        <w:rPr>
          <w:rFonts w:hint="eastAsia" w:ascii="宋体" w:hAnsi="宋体" w:eastAsia="宋体" w:cs="宋体"/>
          <w:color w:val="auto"/>
          <w:sz w:val="24"/>
          <w:highlight w:val="none"/>
          <w:lang w:bidi="ar"/>
        </w:rPr>
        <w:t>投标</w:t>
      </w:r>
      <w:r>
        <w:rPr>
          <w:rFonts w:hint="eastAsia" w:ascii="宋体" w:hAnsi="宋体" w:eastAsia="宋体" w:cs="宋体"/>
          <w:color w:val="auto"/>
          <w:sz w:val="24"/>
          <w:highlight w:val="none"/>
        </w:rPr>
        <w:t>限价的按无效报价处理。</w:t>
      </w:r>
    </w:p>
    <w:p w14:paraId="38420096">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采购需求：</w:t>
      </w:r>
      <w:r>
        <w:rPr>
          <w:rFonts w:hint="eastAsia" w:ascii="宋体" w:hAnsi="宋体" w:eastAsia="宋体" w:cs="宋体"/>
          <w:color w:val="auto"/>
          <w:sz w:val="24"/>
          <w:highlight w:val="none"/>
          <w:lang w:eastAsia="zh-CN" w:bidi="ar"/>
        </w:rPr>
        <w:t>锦屏镇岗嘴村标准化厂房项目，</w:t>
      </w:r>
      <w:r>
        <w:rPr>
          <w:rFonts w:hint="eastAsia" w:ascii="宋体" w:hAnsi="宋体" w:eastAsia="宋体" w:cs="宋体"/>
          <w:color w:val="auto"/>
          <w:sz w:val="24"/>
          <w:highlight w:val="none"/>
          <w:lang w:val="en-US" w:eastAsia="zh-CN" w:bidi="ar"/>
        </w:rPr>
        <w:t>建筑面积1675.04㎡，建设内容为土建、钢结构、给排水、电气工程</w:t>
      </w:r>
      <w:r>
        <w:rPr>
          <w:rFonts w:hint="eastAsia" w:ascii="宋体" w:hAnsi="宋体" w:eastAsia="宋体" w:cs="宋体"/>
          <w:color w:val="auto"/>
          <w:sz w:val="24"/>
          <w:highlight w:val="none"/>
          <w:lang w:bidi="ar"/>
        </w:rPr>
        <w:t>，具体详见</w:t>
      </w:r>
      <w:r>
        <w:rPr>
          <w:rFonts w:hint="eastAsia" w:ascii="宋体" w:hAnsi="宋体" w:eastAsia="宋体" w:cs="宋体"/>
          <w:color w:val="auto"/>
          <w:sz w:val="24"/>
          <w:highlight w:val="none"/>
          <w:lang w:val="en-US" w:eastAsia="zh-CN" w:bidi="ar"/>
        </w:rPr>
        <w:t>图纸及</w:t>
      </w:r>
      <w:r>
        <w:rPr>
          <w:rFonts w:hint="eastAsia" w:ascii="宋体" w:hAnsi="宋体" w:eastAsia="宋体" w:cs="宋体"/>
          <w:color w:val="auto"/>
          <w:sz w:val="24"/>
          <w:highlight w:val="none"/>
          <w:lang w:bidi="ar"/>
        </w:rPr>
        <w:t>工程量清单。</w:t>
      </w:r>
    </w:p>
    <w:p w14:paraId="2A0277D4">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对项目需求部分的询问、质疑请与采购人联系，由采购人负责答复。 </w:t>
      </w:r>
    </w:p>
    <w:p w14:paraId="07423C97">
      <w:pPr>
        <w:spacing w:line="360" w:lineRule="auto"/>
        <w:ind w:firstLine="480"/>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建设地点：连云港市海州区</w:t>
      </w:r>
      <w:r>
        <w:rPr>
          <w:rFonts w:hint="eastAsia" w:ascii="宋体" w:hAnsi="宋体" w:eastAsia="宋体" w:cs="宋体"/>
          <w:color w:val="auto"/>
          <w:sz w:val="24"/>
          <w:highlight w:val="none"/>
          <w:lang w:val="en-US" w:eastAsia="zh-CN" w:bidi="ar"/>
        </w:rPr>
        <w:t>锦屏镇</w:t>
      </w:r>
    </w:p>
    <w:p w14:paraId="3A54C8C6">
      <w:pPr>
        <w:pStyle w:val="205"/>
        <w:ind w:firstLine="480"/>
        <w:rPr>
          <w:rFonts w:hAnsi="宋体" w:cs="宋体"/>
          <w:b/>
          <w:bCs/>
          <w:color w:val="auto"/>
          <w:szCs w:val="24"/>
          <w:highlight w:val="none"/>
        </w:rPr>
      </w:pPr>
      <w:r>
        <w:rPr>
          <w:rFonts w:hint="eastAsia" w:hAnsi="宋体" w:cs="宋体"/>
          <w:color w:val="auto"/>
          <w:szCs w:val="24"/>
          <w:highlight w:val="none"/>
          <w:lang w:bidi="ar"/>
        </w:rPr>
        <w:t>承包方式：包工包料</w:t>
      </w:r>
    </w:p>
    <w:p w14:paraId="4C7833A4">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质量标准：</w:t>
      </w:r>
      <w:r>
        <w:rPr>
          <w:rFonts w:hint="eastAsia" w:ascii="宋体" w:hAnsi="宋体" w:eastAsia="宋体" w:cs="宋体"/>
          <w:color w:val="auto"/>
          <w:sz w:val="24"/>
          <w:highlight w:val="none"/>
        </w:rPr>
        <w:t>执行国家现行验收标准，等级为合格</w:t>
      </w:r>
    </w:p>
    <w:p w14:paraId="3D0F6D5E">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工期要求：</w:t>
      </w:r>
      <w:r>
        <w:rPr>
          <w:rFonts w:hint="eastAsia" w:ascii="宋体" w:hAnsi="宋体" w:eastAsia="宋体" w:cs="宋体"/>
          <w:color w:val="auto"/>
          <w:sz w:val="24"/>
          <w:highlight w:val="none"/>
          <w:lang w:val="en-US" w:eastAsia="zh-CN" w:bidi="ar"/>
        </w:rPr>
        <w:t>60</w:t>
      </w:r>
      <w:r>
        <w:rPr>
          <w:rFonts w:hint="eastAsia" w:ascii="宋体" w:hAnsi="宋体" w:eastAsia="宋体" w:cs="宋体"/>
          <w:color w:val="auto"/>
          <w:sz w:val="24"/>
          <w:highlight w:val="none"/>
          <w:lang w:bidi="ar"/>
        </w:rPr>
        <w:t>日历天，</w:t>
      </w:r>
      <w:r>
        <w:rPr>
          <w:rFonts w:hint="eastAsia" w:ascii="宋体" w:hAnsi="宋体" w:eastAsia="宋体" w:cs="宋体"/>
          <w:color w:val="auto"/>
          <w:sz w:val="24"/>
          <w:highlight w:val="none"/>
        </w:rPr>
        <w:t>具体开工日期以采购人发出的书面通知（开工令）为准，</w:t>
      </w:r>
      <w:r>
        <w:rPr>
          <w:rFonts w:hint="eastAsia" w:ascii="宋体" w:hAnsi="宋体" w:eastAsia="宋体" w:cs="宋体"/>
          <w:color w:val="auto"/>
          <w:sz w:val="24"/>
          <w:highlight w:val="none"/>
          <w:lang w:val="en-US" w:eastAsia="zh-CN" w:bidi="ar"/>
        </w:rPr>
        <w:t>交</w:t>
      </w:r>
      <w:r>
        <w:rPr>
          <w:rFonts w:hint="eastAsia" w:ascii="宋体" w:hAnsi="宋体" w:eastAsia="宋体" w:cs="宋体"/>
          <w:color w:val="auto"/>
          <w:sz w:val="24"/>
          <w:highlight w:val="none"/>
          <w:lang w:bidi="ar"/>
        </w:rPr>
        <w:t>工日期相应顺延。</w:t>
      </w:r>
    </w:p>
    <w:p w14:paraId="56DF17D7">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rPr>
        <w:t>本项目（是/否）接受联合体：</w:t>
      </w:r>
      <w:r>
        <w:rPr>
          <w:rFonts w:hint="eastAsia" w:ascii="宋体" w:hAnsi="宋体" w:eastAsia="宋体" w:cs="宋体"/>
          <w:color w:val="auto"/>
          <w:sz w:val="24"/>
          <w:highlight w:val="none"/>
          <w:lang w:bidi="ar"/>
        </w:rPr>
        <w:t>本项目不接受联合体</w:t>
      </w:r>
      <w:r>
        <w:rPr>
          <w:rFonts w:hint="eastAsia" w:ascii="宋体" w:hAnsi="宋体" w:eastAsia="宋体" w:cs="宋体"/>
          <w:color w:val="auto"/>
          <w:sz w:val="24"/>
          <w:highlight w:val="none"/>
        </w:rPr>
        <w:t>磋商</w:t>
      </w:r>
      <w:r>
        <w:rPr>
          <w:rFonts w:hint="eastAsia" w:ascii="宋体" w:hAnsi="宋体" w:eastAsia="宋体" w:cs="宋体"/>
          <w:color w:val="auto"/>
          <w:sz w:val="24"/>
          <w:highlight w:val="none"/>
          <w:lang w:bidi="ar"/>
        </w:rPr>
        <w:t>。</w:t>
      </w:r>
    </w:p>
    <w:p w14:paraId="126A3A0D">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二、申请人的资格要求 </w:t>
      </w:r>
    </w:p>
    <w:p w14:paraId="41F9BB6E">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1.满足《中华人民共和国政府采购法》第二十二条规定，提供下列材料： </w:t>
      </w:r>
    </w:p>
    <w:p w14:paraId="0AEE6A93">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（1）法人或者其他组织的营业执照等证明文件，自然人的身份证明；</w:t>
      </w:r>
    </w:p>
    <w:p w14:paraId="5841A643">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（2）具有良好的商业信誉和健全的财务会计制度(按连财购【2023】4号文件要求，符合要求的提交《财务状况报告及税收、社会保障资金缴纳情况承诺函》，并上传至电子投标文件中，格式详见采购文件)；</w:t>
      </w:r>
    </w:p>
    <w:p w14:paraId="7487C25F">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（3）依法缴纳税收和社会保障资金的相关证明材料（按连财购【2023】4号文件要求，符合要求的提交《财务状况报告及税收、社会保障资金缴纳情况承诺函》，并上传至电子投标文件中，格式详见采购文件)；</w:t>
      </w:r>
    </w:p>
    <w:p w14:paraId="6710CB69">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（4）具备履行合同所必需的设备和专业技术能力的证明材料；(格式详见采购文件) </w:t>
      </w:r>
    </w:p>
    <w:p w14:paraId="7B32D115">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（5）参加政府采购活动前三年内在经营活动中没有重大违法记录的书面声明；(见格式格式详见采购文件)</w:t>
      </w:r>
    </w:p>
    <w:p w14:paraId="3F031ED0">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（6）本项目</w:t>
      </w:r>
      <w:r>
        <w:rPr>
          <w:rFonts w:hint="eastAsia" w:ascii="宋体" w:hAnsi="宋体" w:eastAsia="宋体" w:cs="宋体"/>
          <w:b/>
          <w:bCs/>
          <w:color w:val="auto"/>
          <w:sz w:val="24"/>
          <w:highlight w:val="none"/>
          <w:lang w:bidi="ar"/>
        </w:rPr>
        <w:t>不接受</w:t>
      </w:r>
      <w:r>
        <w:rPr>
          <w:rFonts w:hint="eastAsia" w:ascii="宋体" w:hAnsi="宋体" w:eastAsia="宋体" w:cs="宋体"/>
          <w:color w:val="auto"/>
          <w:sz w:val="24"/>
          <w:highlight w:val="none"/>
          <w:lang w:bidi="ar"/>
        </w:rPr>
        <w:t>联合体磋商，成交后不得转包或</w:t>
      </w:r>
      <w:r>
        <w:rPr>
          <w:rFonts w:hint="eastAsia" w:ascii="宋体" w:hAnsi="宋体" w:eastAsia="宋体" w:cs="宋体"/>
          <w:color w:val="auto"/>
          <w:sz w:val="24"/>
          <w:highlight w:val="none"/>
          <w:lang w:val="en-US" w:eastAsia="zh-CN" w:bidi="ar"/>
        </w:rPr>
        <w:t>违法</w:t>
      </w:r>
      <w:r>
        <w:rPr>
          <w:rFonts w:hint="eastAsia" w:ascii="宋体" w:hAnsi="宋体" w:eastAsia="宋体" w:cs="宋体"/>
          <w:color w:val="auto"/>
          <w:sz w:val="24"/>
          <w:highlight w:val="none"/>
          <w:lang w:bidi="ar"/>
        </w:rPr>
        <w:t>分包；（格式详见采购文件）</w:t>
      </w:r>
    </w:p>
    <w:p w14:paraId="4D084892">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r>
        <w:rPr>
          <w:rFonts w:hint="eastAsia" w:ascii="宋体" w:hAnsi="宋体" w:eastAsia="宋体" w:cs="宋体"/>
          <w:b/>
          <w:bCs/>
          <w:color w:val="auto"/>
          <w:sz w:val="24"/>
          <w:highlight w:val="none"/>
          <w:lang w:bidi="ar"/>
        </w:rPr>
        <w:t>落实政府采购政策需满足的资格要求</w:t>
      </w:r>
      <w:r>
        <w:rPr>
          <w:rFonts w:hint="eastAsia" w:ascii="宋体" w:hAnsi="宋体" w:eastAsia="宋体" w:cs="宋体"/>
          <w:color w:val="auto"/>
          <w:sz w:val="24"/>
          <w:highlight w:val="none"/>
          <w:lang w:bidi="ar"/>
        </w:rPr>
        <w:t>：执行财政部、工业和信息化部关于印发《政府采购促进中小企业发展管理办法》的通知（财库〔2020〕46号）、苏财购[2022]45号，</w:t>
      </w:r>
      <w:r>
        <w:rPr>
          <w:rFonts w:hint="eastAsia" w:ascii="宋体" w:hAnsi="宋体" w:eastAsia="宋体" w:cs="宋体"/>
          <w:b/>
          <w:bCs/>
          <w:color w:val="auto"/>
          <w:sz w:val="24"/>
          <w:highlight w:val="none"/>
          <w:lang w:bidi="ar"/>
        </w:rPr>
        <w:t>本项目专门面向中小企业采购</w:t>
      </w:r>
      <w:r>
        <w:rPr>
          <w:rFonts w:hint="eastAsia" w:ascii="宋体" w:hAnsi="宋体" w:eastAsia="宋体" w:cs="宋体"/>
          <w:color w:val="auto"/>
          <w:sz w:val="24"/>
          <w:highlight w:val="none"/>
          <w:lang w:bidi="ar"/>
        </w:rPr>
        <w:t>，符合文件要求的供应商应提交《中小企业声明函》，并上传至电子</w:t>
      </w:r>
      <w:r>
        <w:rPr>
          <w:rFonts w:hint="eastAsia" w:ascii="宋体" w:hAnsi="宋体" w:eastAsia="宋体" w:cs="宋体"/>
          <w:color w:val="auto"/>
          <w:sz w:val="24"/>
          <w:highlight w:val="none"/>
          <w:lang w:val="en-US" w:eastAsia="zh-CN" w:bidi="ar"/>
        </w:rPr>
        <w:t>响应</w:t>
      </w:r>
      <w:r>
        <w:rPr>
          <w:rFonts w:hint="eastAsia" w:ascii="宋体" w:hAnsi="宋体" w:eastAsia="宋体" w:cs="宋体"/>
          <w:color w:val="auto"/>
          <w:sz w:val="24"/>
          <w:highlight w:val="none"/>
          <w:lang w:bidi="ar"/>
        </w:rPr>
        <w:t>文件中，详见磋商文件。</w:t>
      </w:r>
    </w:p>
    <w:p w14:paraId="7185CF9A">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w:t>
      </w:r>
      <w:r>
        <w:rPr>
          <w:rFonts w:hint="eastAsia" w:ascii="宋体" w:hAnsi="宋体" w:eastAsia="宋体" w:cs="宋体"/>
          <w:b/>
          <w:bCs/>
          <w:color w:val="auto"/>
          <w:sz w:val="24"/>
          <w:highlight w:val="none"/>
          <w:lang w:bidi="ar"/>
        </w:rPr>
        <w:t>本项目的特定资格要求</w:t>
      </w:r>
      <w:r>
        <w:rPr>
          <w:rFonts w:hint="eastAsia" w:ascii="宋体" w:hAnsi="宋体" w:eastAsia="宋体" w:cs="宋体"/>
          <w:color w:val="auto"/>
          <w:sz w:val="24"/>
          <w:highlight w:val="none"/>
          <w:lang w:bidi="ar"/>
        </w:rPr>
        <w:t>：</w:t>
      </w:r>
    </w:p>
    <w:p w14:paraId="58869D8A">
      <w:pPr>
        <w:spacing w:line="360" w:lineRule="auto"/>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（1）磋商供应商须具备建设行政主管部门核发的</w:t>
      </w:r>
      <w:r>
        <w:rPr>
          <w:rFonts w:hint="eastAsia" w:ascii="宋体" w:hAnsi="宋体" w:eastAsia="宋体" w:cs="宋体"/>
          <w:b/>
          <w:bCs/>
          <w:color w:val="auto"/>
          <w:sz w:val="24"/>
          <w:highlight w:val="none"/>
          <w:lang w:bidi="ar"/>
        </w:rPr>
        <w:t>钢结构工程专业承包二级及以上资质（在有效期内）</w:t>
      </w:r>
      <w:r>
        <w:rPr>
          <w:rFonts w:hint="eastAsia" w:ascii="宋体" w:hAnsi="宋体" w:eastAsia="宋体" w:cs="宋体"/>
          <w:color w:val="auto"/>
          <w:sz w:val="24"/>
          <w:highlight w:val="none"/>
        </w:rPr>
        <w:t>；且具备有效的企业安全生产许可证（在有效期内）、企业基本户开户许可证或者企业基本存款账户信息证明</w:t>
      </w:r>
      <w:r>
        <w:rPr>
          <w:rFonts w:hint="eastAsia" w:ascii="宋体" w:hAnsi="宋体" w:eastAsia="宋体" w:cs="宋体"/>
          <w:color w:val="auto"/>
          <w:sz w:val="24"/>
          <w:highlight w:val="none"/>
          <w:lang w:eastAsia="zh-CN"/>
        </w:rPr>
        <w:t>。</w:t>
      </w:r>
    </w:p>
    <w:p w14:paraId="653DBFE9">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rPr>
        <w:t>磋商供应商</w:t>
      </w:r>
      <w:r>
        <w:rPr>
          <w:rFonts w:hint="eastAsia" w:ascii="宋体" w:hAnsi="宋体" w:eastAsia="宋体" w:cs="宋体"/>
          <w:color w:val="auto"/>
          <w:sz w:val="24"/>
          <w:highlight w:val="none"/>
          <w:lang w:bidi="ar"/>
        </w:rPr>
        <w:t>拟派项目负责人须具备建设行政主管部门颁发的</w:t>
      </w:r>
      <w:r>
        <w:rPr>
          <w:rFonts w:hint="eastAsia" w:ascii="宋体" w:hAnsi="宋体" w:eastAsia="宋体" w:cs="宋体"/>
          <w:b/>
          <w:bCs/>
          <w:color w:val="auto"/>
          <w:sz w:val="24"/>
          <w:highlight w:val="none"/>
          <w:lang w:bidi="ar"/>
        </w:rPr>
        <w:t>建筑工程专业二级以上建造师注册</w:t>
      </w:r>
      <w:r>
        <w:rPr>
          <w:rFonts w:hint="eastAsia" w:ascii="宋体" w:hAnsi="宋体" w:eastAsia="宋体" w:cs="宋体"/>
          <w:b/>
          <w:bCs/>
          <w:color w:val="auto"/>
          <w:sz w:val="24"/>
          <w:highlight w:val="none"/>
          <w:lang w:bidi="ar"/>
        </w:rPr>
        <w:t>证书（在有效期内）</w:t>
      </w:r>
      <w:r>
        <w:rPr>
          <w:rFonts w:hint="eastAsia" w:ascii="宋体" w:hAnsi="宋体" w:eastAsia="宋体" w:cs="宋体"/>
          <w:b/>
          <w:color w:val="auto"/>
          <w:sz w:val="24"/>
          <w:highlight w:val="none"/>
          <w:lang w:bidi="ar"/>
        </w:rPr>
        <w:t>，并具备安全生产考核合格证B类证（在有效期内）</w:t>
      </w:r>
      <w:r>
        <w:rPr>
          <w:rFonts w:hint="eastAsia" w:ascii="宋体" w:hAnsi="宋体" w:eastAsia="宋体" w:cs="宋体"/>
          <w:b/>
          <w:color w:val="auto"/>
          <w:sz w:val="24"/>
          <w:highlight w:val="none"/>
          <w:lang w:bidi="ar"/>
        </w:rPr>
        <w:t>。</w:t>
      </w:r>
    </w:p>
    <w:p w14:paraId="6384A1AA">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rPr>
        <w:t>本项目要求授权委托人必须为项目负责人，不接受项目负责人以外的人员作为委托人参与投标过程中各环节的活动。拟派项目负责人必须为投标单位的员工，提供</w:t>
      </w:r>
      <w:r>
        <w:rPr>
          <w:rFonts w:hint="eastAsia" w:ascii="宋体" w:hAnsi="宋体" w:eastAsia="宋体" w:cs="宋体"/>
          <w:b/>
          <w:bCs/>
          <w:color w:val="auto"/>
          <w:sz w:val="24"/>
          <w:highlight w:val="none"/>
        </w:rPr>
        <w:t>劳动合同和202</w:t>
      </w:r>
      <w:r>
        <w:rPr>
          <w:rFonts w:hint="eastAsia"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rPr>
        <w:t>年</w:t>
      </w: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月至今任意一个月由磋商供应商为其缴纳的社保证明</w:t>
      </w:r>
      <w:r>
        <w:rPr>
          <w:rFonts w:hint="eastAsia" w:ascii="宋体" w:hAnsi="宋体" w:eastAsia="宋体" w:cs="宋体"/>
          <w:color w:val="auto"/>
          <w:sz w:val="24"/>
          <w:highlight w:val="none"/>
        </w:rPr>
        <w:t>（加盖社保中心章或社保中心参保缴费证明电子专用章）；如是退休人员仍在执业有效期内的，应提供相关退休证明及聘用合同。</w:t>
      </w:r>
    </w:p>
    <w:p w14:paraId="1C1B270E">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（4）供应商无不良行为、无借牌挂靠行为、项目负责人无不良行为承诺书，供应商、法定代表人、项目负责人无行贿犯罪记录承诺书。（见供应商承诺书格式）</w:t>
      </w:r>
    </w:p>
    <w:p w14:paraId="0C39F202">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（5）本项目执行江苏省住房和城乡建设厅《关于开展建筑业企业资质动态监管工作的公告》（[2018]第6号）、连建发[2019]182号文，关于企业资质动态核查，由供应商在</w:t>
      </w:r>
      <w:r>
        <w:rPr>
          <w:rFonts w:hint="eastAsia" w:ascii="宋体" w:hAnsi="宋体" w:eastAsia="宋体" w:cs="宋体"/>
          <w:color w:val="auto"/>
          <w:sz w:val="24"/>
          <w:highlight w:val="none"/>
          <w:lang w:val="en-US" w:eastAsia="zh-CN" w:bidi="ar"/>
        </w:rPr>
        <w:t>响应</w:t>
      </w:r>
      <w:r>
        <w:rPr>
          <w:rFonts w:hint="eastAsia" w:ascii="宋体" w:hAnsi="宋体" w:eastAsia="宋体" w:cs="宋体"/>
          <w:color w:val="auto"/>
          <w:sz w:val="24"/>
          <w:highlight w:val="none"/>
          <w:lang w:bidi="ar"/>
        </w:rPr>
        <w:t>文件中作出书面承诺（格式自拟）,若投标有效期内企业资质核查不合格,将主动放弃</w:t>
      </w:r>
      <w:r>
        <w:rPr>
          <w:rFonts w:hint="eastAsia" w:ascii="宋体" w:hAnsi="宋体" w:eastAsia="宋体" w:cs="宋体"/>
          <w:color w:val="auto"/>
          <w:sz w:val="24"/>
          <w:highlight w:val="none"/>
          <w:lang w:val="en-US" w:eastAsia="zh-CN" w:bidi="ar"/>
        </w:rPr>
        <w:t>成交</w:t>
      </w:r>
      <w:r>
        <w:rPr>
          <w:rFonts w:hint="eastAsia" w:ascii="宋体" w:hAnsi="宋体" w:eastAsia="宋体" w:cs="宋体"/>
          <w:color w:val="auto"/>
          <w:sz w:val="24"/>
          <w:highlight w:val="none"/>
          <w:lang w:bidi="ar"/>
        </w:rPr>
        <w:t>资格。</w:t>
      </w:r>
    </w:p>
    <w:p w14:paraId="26B870F1">
      <w:pPr>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（6）</w:t>
      </w:r>
      <w:r>
        <w:rPr>
          <w:rFonts w:hint="eastAsia" w:ascii="宋体" w:hAnsi="宋体" w:eastAsia="宋体" w:cs="宋体"/>
          <w:color w:val="auto"/>
          <w:sz w:val="24"/>
          <w:highlight w:val="none"/>
          <w:lang w:val="en-US" w:eastAsia="zh-CN" w:bidi="ar"/>
        </w:rPr>
        <w:t>响应</w:t>
      </w:r>
      <w:r>
        <w:rPr>
          <w:rFonts w:hint="eastAsia" w:ascii="宋体" w:hAnsi="宋体" w:eastAsia="宋体" w:cs="宋体"/>
          <w:color w:val="auto"/>
          <w:sz w:val="24"/>
          <w:highlight w:val="none"/>
          <w:lang w:bidi="ar"/>
        </w:rPr>
        <w:t>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w:t>
      </w:r>
      <w:r>
        <w:rPr>
          <w:rFonts w:hint="eastAsia" w:ascii="宋体" w:hAnsi="宋体" w:eastAsia="宋体" w:cs="宋体"/>
          <w:color w:val="auto"/>
          <w:sz w:val="24"/>
          <w:highlight w:val="none"/>
          <w:lang w:val="en-US" w:eastAsia="zh-CN" w:bidi="ar"/>
        </w:rPr>
        <w:t>响应</w:t>
      </w:r>
      <w:r>
        <w:rPr>
          <w:rFonts w:hint="eastAsia" w:ascii="宋体" w:hAnsi="宋体" w:eastAsia="宋体" w:cs="宋体"/>
          <w:color w:val="auto"/>
          <w:sz w:val="24"/>
          <w:highlight w:val="none"/>
          <w:lang w:bidi="ar"/>
        </w:rPr>
        <w:t>文件中。评标时以评委现场实时查询为准。</w:t>
      </w:r>
    </w:p>
    <w:p w14:paraId="3244AAB9">
      <w:pPr>
        <w:spacing w:line="360" w:lineRule="auto"/>
        <w:ind w:firstLine="480"/>
        <w:rPr>
          <w:rFonts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4.</w:t>
      </w:r>
      <w:r>
        <w:rPr>
          <w:rFonts w:hint="eastAsia" w:ascii="宋体" w:hAnsi="宋体" w:eastAsia="宋体" w:cs="宋体"/>
          <w:b/>
          <w:bCs/>
          <w:color w:val="auto"/>
          <w:sz w:val="24"/>
          <w:highlight w:val="none"/>
          <w:lang w:bidi="ar"/>
        </w:rPr>
        <w:t>本项目其他要求：</w:t>
      </w:r>
    </w:p>
    <w:p w14:paraId="274743E3">
      <w:pPr>
        <w:spacing w:line="400" w:lineRule="exact"/>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（1）单位负责人为同一人或者存在直接控股、管理关系的不同供应商，不得参加同一合同项下的政府采购活动。</w:t>
      </w:r>
    </w:p>
    <w:p w14:paraId="77ACE670">
      <w:pPr>
        <w:spacing w:line="400" w:lineRule="exact"/>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（2）若供应商的法定代表人参加磋商的，则需提供法定代表人资格证明及本人的身份证；若授权委托代理人参加磋商的，则提供企业法人委托书、授权委托人身份证复印件及被授权人身份证。</w:t>
      </w:r>
    </w:p>
    <w:p w14:paraId="6A437543">
      <w:pPr>
        <w:pStyle w:val="205"/>
        <w:ind w:firstLine="480"/>
        <w:rPr>
          <w:rFonts w:hAnsi="宋体" w:cs="宋体"/>
          <w:color w:val="auto"/>
          <w:szCs w:val="24"/>
          <w:highlight w:val="none"/>
        </w:rPr>
      </w:pPr>
      <w:r>
        <w:rPr>
          <w:rFonts w:hint="eastAsia" w:hAnsi="宋体" w:cs="宋体"/>
          <w:color w:val="auto"/>
          <w:szCs w:val="24"/>
          <w:highlight w:val="none"/>
        </w:rPr>
        <w:t xml:space="preserve"> </w:t>
      </w:r>
      <w:r>
        <w:rPr>
          <w:rFonts w:hint="eastAsia" w:hAnsi="宋体" w:cs="宋体"/>
          <w:b/>
          <w:bCs/>
          <w:color w:val="auto"/>
          <w:szCs w:val="24"/>
          <w:highlight w:val="none"/>
          <w:lang w:bidi="ar"/>
        </w:rPr>
        <w:t xml:space="preserve">三、获取采购文件 </w:t>
      </w:r>
    </w:p>
    <w:p w14:paraId="4B358A9B">
      <w:pPr>
        <w:spacing w:line="360" w:lineRule="auto"/>
        <w:ind w:firstLine="360"/>
        <w:rPr>
          <w:rFonts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1.时间：</w:t>
      </w:r>
      <w:r>
        <w:rPr>
          <w:rFonts w:hint="eastAsia" w:ascii="宋体" w:hAnsi="宋体" w:eastAsia="宋体" w:cs="宋体"/>
          <w:b/>
          <w:bCs/>
          <w:color w:val="auto"/>
          <w:sz w:val="24"/>
          <w:highlight w:val="none"/>
          <w:lang w:bidi="ar"/>
        </w:rPr>
        <w:t>自磋商文件公告发布之日起5个工作日</w:t>
      </w:r>
    </w:p>
    <w:p w14:paraId="50527B15">
      <w:pPr>
        <w:spacing w:line="360" w:lineRule="auto"/>
        <w:ind w:firstLine="36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2.地点：网上注册登记成功后系统内免费下载</w:t>
      </w:r>
    </w:p>
    <w:p w14:paraId="74354A60">
      <w:pPr>
        <w:spacing w:line="360" w:lineRule="auto"/>
        <w:ind w:firstLine="36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3.方式：本项目采用网上注册登记方式。</w:t>
      </w:r>
    </w:p>
    <w:p w14:paraId="16518F97">
      <w:pPr>
        <w:spacing w:line="360" w:lineRule="auto"/>
        <w:ind w:firstLine="36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3.1 潜在供应商访问电子招标响应交易平台的网络地址和方法：</w:t>
      </w:r>
    </w:p>
    <w:p w14:paraId="1EA9F583">
      <w:pPr>
        <w:spacing w:line="360" w:lineRule="auto"/>
        <w:ind w:firstLine="36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87A627D">
      <w:pPr>
        <w:spacing w:line="360" w:lineRule="auto"/>
        <w:ind w:firstLine="36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3.2 潜在供应商访问“苏采云”系统的网络地址和方法：“苏采云”系统的网址：http://jszfcg.jsczt.cn/。</w:t>
      </w:r>
    </w:p>
    <w:p w14:paraId="645480EA">
      <w:pPr>
        <w:spacing w:line="360" w:lineRule="auto"/>
        <w:ind w:firstLine="36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3.3“CA数字证书”的获取：</w:t>
      </w:r>
    </w:p>
    <w:p w14:paraId="1F1C6252">
      <w:pPr>
        <w:spacing w:line="360" w:lineRule="auto"/>
        <w:ind w:firstLine="36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响应供应商需办理“CA 数字证书”，CA办理指南及“苏采云”操作手册可至江苏省政府采购网―办事指南-资料下载中心下载。</w:t>
      </w:r>
    </w:p>
    <w:p w14:paraId="23D4C505">
      <w:pPr>
        <w:spacing w:line="360" w:lineRule="auto"/>
        <w:ind w:firstLine="36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通过苏采云系统首页（http://jszfcg.jscz.gov.cn/）的“苏采云控件驱动下载”，选择“政务CA、方正签章控件驱动安装包及安装说明”下载安装，具体安装方法详见下载文件内的《安装说明》。</w:t>
      </w:r>
    </w:p>
    <w:p w14:paraId="7CB3153D">
      <w:pPr>
        <w:spacing w:line="360" w:lineRule="auto"/>
        <w:ind w:firstLine="36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3.4 采购文件（后缀名为“.kedt”）、供应商操作手册及政府采购客户端工具可通过“苏采云”系统--已报名项目--报名详情页面内相应链接进行下载。</w:t>
      </w:r>
    </w:p>
    <w:p w14:paraId="5884DECE">
      <w:pPr>
        <w:spacing w:line="360" w:lineRule="auto"/>
        <w:ind w:firstLine="36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3.5 采购人或采购代理机构将数据电文形式的采购文件加载至“苏采云”系统，供潜在供应商下载或者查阅。</w:t>
      </w:r>
    </w:p>
    <w:p w14:paraId="2CEF0B6E">
      <w:pPr>
        <w:spacing w:line="360" w:lineRule="auto"/>
        <w:ind w:firstLine="36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3.6 请潜在供应商提前安装相应的控件（详见《江苏省政府采购管理交易系统（苏采云）供应商操作手册》）并使用谷歌浏览器登录“苏采云”系统参与不见面开评标。</w:t>
      </w:r>
    </w:p>
    <w:p w14:paraId="5F00C298">
      <w:pPr>
        <w:spacing w:line="360" w:lineRule="auto"/>
        <w:ind w:firstLine="361"/>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注：如潜在供应商未按上述要求操作，将自行承担所产生的风险。</w:t>
      </w:r>
    </w:p>
    <w:p w14:paraId="5CA49951">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四、响应文件提交 </w:t>
      </w:r>
    </w:p>
    <w:p w14:paraId="4CB53134">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lang w:val="en-US" w:eastAsia="zh-CN" w:bidi="ar"/>
        </w:rPr>
        <w:t>响应</w:t>
      </w:r>
      <w:r>
        <w:rPr>
          <w:rFonts w:hint="eastAsia" w:ascii="宋体" w:hAnsi="宋体" w:eastAsia="宋体" w:cs="宋体"/>
          <w:color w:val="auto"/>
          <w:sz w:val="24"/>
          <w:highlight w:val="none"/>
          <w:lang w:bidi="ar"/>
        </w:rPr>
        <w:t>文件</w:t>
      </w:r>
      <w:r>
        <w:rPr>
          <w:rFonts w:hint="eastAsia" w:ascii="宋体" w:hAnsi="宋体" w:eastAsia="宋体" w:cs="宋体"/>
          <w:color w:val="auto"/>
          <w:sz w:val="24"/>
          <w:highlight w:val="none"/>
          <w:lang w:val="en-US" w:eastAsia="zh-CN" w:bidi="ar"/>
        </w:rPr>
        <w:t>提交</w:t>
      </w:r>
      <w:r>
        <w:rPr>
          <w:rFonts w:hint="eastAsia" w:ascii="宋体" w:hAnsi="宋体" w:eastAsia="宋体" w:cs="宋体"/>
          <w:color w:val="auto"/>
          <w:sz w:val="24"/>
          <w:highlight w:val="none"/>
          <w:lang w:bidi="ar"/>
        </w:rPr>
        <w:t>截止时间：</w:t>
      </w:r>
      <w:r>
        <w:rPr>
          <w:rFonts w:hint="eastAsia" w:ascii="宋体" w:hAnsi="宋体" w:eastAsia="宋体" w:cs="宋体"/>
          <w:b/>
          <w:bCs/>
          <w:color w:val="auto"/>
          <w:sz w:val="24"/>
          <w:highlight w:val="none"/>
          <w:u w:val="single"/>
          <w:lang w:bidi="ar"/>
        </w:rPr>
        <w:t>2026年</w:t>
      </w:r>
      <w:r>
        <w:rPr>
          <w:rFonts w:hint="eastAsia" w:ascii="宋体" w:hAnsi="宋体" w:eastAsia="宋体" w:cs="宋体"/>
          <w:b/>
          <w:bCs/>
          <w:color w:val="auto"/>
          <w:sz w:val="24"/>
          <w:highlight w:val="none"/>
          <w:u w:val="single"/>
          <w:lang w:val="en-US" w:eastAsia="zh-CN" w:bidi="ar"/>
        </w:rPr>
        <w:t>10</w:t>
      </w:r>
      <w:r>
        <w:rPr>
          <w:rFonts w:hint="eastAsia" w:ascii="宋体" w:hAnsi="宋体" w:eastAsia="宋体" w:cs="宋体"/>
          <w:b/>
          <w:bCs/>
          <w:color w:val="auto"/>
          <w:sz w:val="24"/>
          <w:highlight w:val="none"/>
          <w:u w:val="single"/>
          <w:lang w:bidi="ar"/>
        </w:rPr>
        <w:t>月</w:t>
      </w:r>
      <w:r>
        <w:rPr>
          <w:rFonts w:hint="eastAsia" w:ascii="宋体" w:hAnsi="宋体" w:eastAsia="宋体" w:cs="宋体"/>
          <w:b/>
          <w:bCs/>
          <w:color w:val="auto"/>
          <w:sz w:val="24"/>
          <w:highlight w:val="none"/>
          <w:u w:val="single"/>
          <w:lang w:val="en-US" w:eastAsia="zh-CN" w:bidi="ar"/>
        </w:rPr>
        <w:t>19</w:t>
      </w:r>
      <w:r>
        <w:rPr>
          <w:rFonts w:hint="eastAsia" w:ascii="宋体" w:hAnsi="宋体" w:eastAsia="宋体" w:cs="宋体"/>
          <w:b/>
          <w:bCs/>
          <w:color w:val="auto"/>
          <w:sz w:val="24"/>
          <w:highlight w:val="none"/>
          <w:u w:val="single"/>
          <w:lang w:bidi="ar"/>
        </w:rPr>
        <w:t>日09点00分00秒</w:t>
      </w:r>
      <w:r>
        <w:rPr>
          <w:rFonts w:hint="eastAsia" w:ascii="宋体" w:hAnsi="宋体" w:eastAsia="宋体" w:cs="宋体"/>
          <w:color w:val="auto"/>
          <w:sz w:val="24"/>
          <w:highlight w:val="none"/>
          <w:lang w:bidi="ar"/>
        </w:rPr>
        <w:t>（北京时间）。逾时，“苏采云”系统将拒绝接受上传响应文件电子文档。</w:t>
      </w:r>
    </w:p>
    <w:p w14:paraId="01AAE363">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2.地点：“苏采云”系统（</w:t>
      </w:r>
      <w:r>
        <w:rPr>
          <w:rFonts w:hint="eastAsia" w:ascii="宋体" w:hAnsi="宋体" w:eastAsia="宋体" w:cs="宋体"/>
          <w:b/>
          <w:bCs/>
          <w:color w:val="auto"/>
          <w:sz w:val="24"/>
          <w:highlight w:val="none"/>
          <w:lang w:bidi="ar"/>
        </w:rPr>
        <w:t>网址：http://jszfcg.jsczt.cn/</w:t>
      </w:r>
      <w:r>
        <w:rPr>
          <w:rFonts w:hint="eastAsia" w:ascii="宋体" w:hAnsi="宋体" w:eastAsia="宋体" w:cs="宋体"/>
          <w:color w:val="auto"/>
          <w:sz w:val="24"/>
          <w:highlight w:val="none"/>
          <w:lang w:bidi="ar"/>
        </w:rPr>
        <w:t xml:space="preserve">）“开标大厅” </w:t>
      </w:r>
    </w:p>
    <w:p w14:paraId="2CA1B6A0">
      <w:pPr>
        <w:widowControl/>
        <w:spacing w:line="360" w:lineRule="auto"/>
        <w:ind w:firstLine="482"/>
        <w:jc w:val="left"/>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五、开标时间及地点：</w:t>
      </w:r>
    </w:p>
    <w:p w14:paraId="557B823C">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1.开标时间：</w:t>
      </w:r>
      <w:r>
        <w:rPr>
          <w:rFonts w:hint="eastAsia" w:ascii="宋体" w:hAnsi="宋体" w:eastAsia="宋体" w:cs="宋体"/>
          <w:b/>
          <w:bCs/>
          <w:color w:val="auto"/>
          <w:sz w:val="24"/>
          <w:highlight w:val="none"/>
          <w:u w:val="single"/>
          <w:lang w:bidi="ar"/>
        </w:rPr>
        <w:t>2026年</w:t>
      </w:r>
      <w:r>
        <w:rPr>
          <w:rFonts w:hint="eastAsia" w:ascii="宋体" w:hAnsi="宋体" w:eastAsia="宋体" w:cs="宋体"/>
          <w:b/>
          <w:bCs/>
          <w:color w:val="auto"/>
          <w:sz w:val="24"/>
          <w:highlight w:val="none"/>
          <w:u w:val="single"/>
          <w:lang w:val="en-US" w:eastAsia="zh-CN" w:bidi="ar"/>
        </w:rPr>
        <w:t>10</w:t>
      </w:r>
      <w:r>
        <w:rPr>
          <w:rFonts w:hint="eastAsia" w:ascii="宋体" w:hAnsi="宋体" w:eastAsia="宋体" w:cs="宋体"/>
          <w:b/>
          <w:bCs/>
          <w:color w:val="auto"/>
          <w:sz w:val="24"/>
          <w:highlight w:val="none"/>
          <w:u w:val="single"/>
          <w:lang w:bidi="ar"/>
        </w:rPr>
        <w:t>月</w:t>
      </w:r>
      <w:r>
        <w:rPr>
          <w:rFonts w:hint="eastAsia" w:ascii="宋体" w:hAnsi="宋体" w:eastAsia="宋体" w:cs="宋体"/>
          <w:b/>
          <w:bCs/>
          <w:color w:val="auto"/>
          <w:sz w:val="24"/>
          <w:highlight w:val="none"/>
          <w:u w:val="single"/>
          <w:lang w:val="en-US" w:eastAsia="zh-CN" w:bidi="ar"/>
        </w:rPr>
        <w:t xml:space="preserve"> 19 </w:t>
      </w:r>
      <w:r>
        <w:rPr>
          <w:rFonts w:hint="eastAsia" w:ascii="宋体" w:hAnsi="宋体" w:eastAsia="宋体" w:cs="宋体"/>
          <w:b/>
          <w:bCs/>
          <w:color w:val="auto"/>
          <w:sz w:val="24"/>
          <w:highlight w:val="none"/>
          <w:u w:val="single"/>
          <w:lang w:bidi="ar"/>
        </w:rPr>
        <w:t>日09点00分00秒</w:t>
      </w:r>
      <w:r>
        <w:rPr>
          <w:rFonts w:hint="eastAsia" w:ascii="宋体" w:hAnsi="宋体" w:eastAsia="宋体" w:cs="宋体"/>
          <w:color w:val="auto"/>
          <w:sz w:val="24"/>
          <w:highlight w:val="none"/>
          <w:lang w:bidi="ar"/>
        </w:rPr>
        <w:t>（（北京时间）</w:t>
      </w:r>
    </w:p>
    <w:p w14:paraId="003F67CA">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2.地点：“苏采云”系统（</w:t>
      </w:r>
      <w:r>
        <w:rPr>
          <w:rFonts w:hint="eastAsia" w:ascii="宋体" w:hAnsi="宋体" w:eastAsia="宋体" w:cs="宋体"/>
          <w:b/>
          <w:bCs/>
          <w:color w:val="auto"/>
          <w:sz w:val="24"/>
          <w:highlight w:val="none"/>
          <w:lang w:bidi="ar"/>
        </w:rPr>
        <w:t>网址：http://jszfcg.jsczt.cn/</w:t>
      </w:r>
      <w:r>
        <w:rPr>
          <w:rFonts w:hint="eastAsia" w:ascii="宋体" w:hAnsi="宋体" w:eastAsia="宋体" w:cs="宋体"/>
          <w:color w:val="auto"/>
          <w:sz w:val="24"/>
          <w:highlight w:val="none"/>
          <w:lang w:bidi="ar"/>
        </w:rPr>
        <w:t>）“开标大厅”</w:t>
      </w:r>
    </w:p>
    <w:p w14:paraId="4E2BC4D2">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color w:val="auto"/>
          <w:sz w:val="24"/>
          <w:highlight w:val="none"/>
          <w:lang w:bidi="ar"/>
        </w:rPr>
        <w:t>投标供应商解密限定在开标后30分钟之内完成。</w:t>
      </w:r>
      <w:r>
        <w:rPr>
          <w:rFonts w:hint="eastAsia" w:ascii="宋体" w:hAnsi="宋体" w:eastAsia="宋体" w:cs="宋体"/>
          <w:color w:val="auto"/>
          <w:sz w:val="24"/>
          <w:highlight w:val="none"/>
          <w:lang w:bidi="ar"/>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16203E90">
      <w:pPr>
        <w:spacing w:line="360" w:lineRule="auto"/>
        <w:ind w:firstLine="487"/>
        <w:rPr>
          <w:rFonts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p>
    <w:p w14:paraId="18CC691B">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六、公告期限 </w:t>
      </w:r>
    </w:p>
    <w:p w14:paraId="03E392E1">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自本公告发布之日起3个工作日。 </w:t>
      </w:r>
    </w:p>
    <w:p w14:paraId="7678EB28">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七、其他补充事宜 </w:t>
      </w:r>
    </w:p>
    <w:p w14:paraId="4BD0091A">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1.磋商保证金：本项目不收磋商保证金，采购文件中涉及磋商保证金的事项，均按免收磋商保证金执行。</w:t>
      </w:r>
    </w:p>
    <w:p w14:paraId="5B17311E">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2.项目磋商活动模式：不见面远程开标模式，供应商在各自地点通过不见面交易系统参加开标会。</w:t>
      </w:r>
    </w:p>
    <w:p w14:paraId="71B5A40A">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.请各供应商充分考虑项目周期，谨慎参与交易，成交后不得以任何理由放弃成交资格或不按规定履约。</w:t>
      </w:r>
    </w:p>
    <w:p w14:paraId="472250E4">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4</w:t>
      </w:r>
      <w:r>
        <w:rPr>
          <w:rFonts w:hint="eastAsia" w:ascii="宋体" w:hAnsi="宋体" w:eastAsia="宋体" w:cs="宋体"/>
          <w:color w:val="auto"/>
          <w:sz w:val="24"/>
          <w:highlight w:val="none"/>
          <w:lang w:bidi="ar"/>
        </w:rPr>
        <w:t>.本磋商文件中标注★的款项为实质性响应要求和条件，如不满足将按无效响应文件处理。</w:t>
      </w:r>
    </w:p>
    <w:p w14:paraId="08B5C257">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.无论出于何种原因，采购人在采购活动开始前可对采购文件进行修改、补充或变更，其内容作为采购文件的重要组成部分，请各供应商关注</w:t>
      </w:r>
      <w:r>
        <w:rPr>
          <w:rFonts w:hint="eastAsia" w:ascii="宋体" w:hAnsi="宋体" w:eastAsia="宋体" w:cs="宋体"/>
          <w:b/>
          <w:bCs/>
          <w:color w:val="auto"/>
          <w:sz w:val="24"/>
          <w:highlight w:val="none"/>
          <w:lang w:bidi="ar"/>
        </w:rPr>
        <w:t>江苏政府采购网“苏采云系统”</w:t>
      </w:r>
      <w:r>
        <w:rPr>
          <w:rFonts w:hint="eastAsia" w:ascii="宋体" w:hAnsi="宋体" w:eastAsia="宋体" w:cs="宋体"/>
          <w:color w:val="auto"/>
          <w:sz w:val="24"/>
          <w:highlight w:val="none"/>
          <w:lang w:bidi="ar"/>
        </w:rPr>
        <w:t>网站。若因供应商自身原因未及时关注本项目有关修改、补充或变更信息，导致投标文件编制或提交失误，由此造成的一切损失由供应商自行承担。</w:t>
      </w:r>
    </w:p>
    <w:p w14:paraId="62B91B45">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bidi="ar"/>
        </w:rPr>
        <w:t>.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1CC02B03">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八、凡对本次采购提出询问，请按以下方式联系 </w:t>
      </w:r>
    </w:p>
    <w:p w14:paraId="322ADE97">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1.采购人信息</w:t>
      </w:r>
    </w:p>
    <w:p w14:paraId="60BA2F5F">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名称：连云港市海州区锦屏镇人民政府</w:t>
      </w:r>
    </w:p>
    <w:p w14:paraId="2566500F">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地址：江苏省连云港市海州区锦屏镇</w:t>
      </w:r>
    </w:p>
    <w:p w14:paraId="064DF1CA">
      <w:pPr>
        <w:spacing w:line="360" w:lineRule="auto"/>
        <w:ind w:firstLine="484"/>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联 系 人：顾主任</w:t>
      </w:r>
    </w:p>
    <w:p w14:paraId="6680DBEC">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联系方式：18115861179</w:t>
      </w:r>
    </w:p>
    <w:p w14:paraId="6E86E185">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2.采购代理机构信息</w:t>
      </w:r>
    </w:p>
    <w:p w14:paraId="592C797D">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名称：华瑞国际工程咨询集团有限公司</w:t>
      </w:r>
    </w:p>
    <w:p w14:paraId="5D900231">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地址：连云港市海州区海州经济开发区前许路15号（大门东侧办公楼三楼）</w:t>
      </w:r>
    </w:p>
    <w:p w14:paraId="70DEB7B1">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联 系 人：朱</w:t>
      </w:r>
      <w:r>
        <w:rPr>
          <w:rFonts w:hint="eastAsia" w:ascii="宋体" w:hAnsi="宋体" w:eastAsia="宋体" w:cs="宋体"/>
          <w:color w:val="auto"/>
          <w:sz w:val="24"/>
          <w:highlight w:val="none"/>
          <w:lang w:val="en-US" w:eastAsia="zh-CN" w:bidi="ar"/>
        </w:rPr>
        <w:t>国锐</w:t>
      </w:r>
      <w:r>
        <w:rPr>
          <w:rFonts w:hint="eastAsia" w:ascii="宋体" w:hAnsi="宋体" w:eastAsia="宋体" w:cs="宋体"/>
          <w:color w:val="auto"/>
          <w:sz w:val="24"/>
          <w:highlight w:val="none"/>
          <w:lang w:bidi="ar"/>
        </w:rPr>
        <w:t xml:space="preserve">                                     </w:t>
      </w:r>
    </w:p>
    <w:p w14:paraId="6330CF0A">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联系方式：15251212583          </w:t>
      </w:r>
    </w:p>
    <w:p w14:paraId="01727F89">
      <w:pPr>
        <w:widowControl/>
        <w:spacing w:line="360" w:lineRule="auto"/>
        <w:ind w:firstLine="482"/>
        <w:jc w:val="left"/>
        <w:rPr>
          <w:rFonts w:hint="default" w:ascii="宋体" w:hAnsi="宋体" w:eastAsia="宋体" w:cs="宋体"/>
          <w:b w:val="0"/>
          <w:bCs w:val="0"/>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3.项目联系方式</w:t>
      </w:r>
    </w:p>
    <w:p w14:paraId="45870CCB">
      <w:pPr>
        <w:spacing w:line="360" w:lineRule="auto"/>
        <w:ind w:firstLine="484"/>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联 系 人：朱</w:t>
      </w:r>
      <w:r>
        <w:rPr>
          <w:rFonts w:hint="eastAsia" w:ascii="宋体" w:hAnsi="宋体" w:eastAsia="宋体" w:cs="宋体"/>
          <w:color w:val="auto"/>
          <w:sz w:val="24"/>
          <w:highlight w:val="none"/>
          <w:lang w:val="en-US" w:eastAsia="zh-CN" w:bidi="ar"/>
        </w:rPr>
        <w:t>国锐</w:t>
      </w:r>
      <w:r>
        <w:rPr>
          <w:rFonts w:hint="eastAsia" w:ascii="宋体" w:hAnsi="宋体" w:eastAsia="宋体" w:cs="宋体"/>
          <w:color w:val="auto"/>
          <w:sz w:val="24"/>
          <w:highlight w:val="none"/>
          <w:lang w:bidi="ar"/>
        </w:rPr>
        <w:t xml:space="preserve">                                     </w:t>
      </w:r>
    </w:p>
    <w:p w14:paraId="23CB3F33">
      <w:pPr>
        <w:widowControl/>
        <w:spacing w:line="360" w:lineRule="auto"/>
        <w:ind w:firstLine="482"/>
        <w:jc w:val="left"/>
        <w:rPr>
          <w:rFonts w:hint="default" w:ascii="宋体" w:hAnsi="宋体" w:eastAsia="宋体" w:cs="宋体"/>
          <w:b/>
          <w:bCs/>
          <w:color w:val="auto"/>
          <w:sz w:val="24"/>
          <w:highlight w:val="none"/>
          <w:lang w:val="en-US" w:eastAsia="zh-CN" w:bidi="ar"/>
        </w:rPr>
      </w:pPr>
      <w:r>
        <w:rPr>
          <w:rFonts w:hint="eastAsia" w:ascii="宋体" w:hAnsi="宋体" w:eastAsia="宋体" w:cs="宋体"/>
          <w:color w:val="auto"/>
          <w:sz w:val="24"/>
          <w:highlight w:val="none"/>
          <w:lang w:bidi="ar"/>
        </w:rPr>
        <w:t>联系方式：15251212583</w:t>
      </w:r>
    </w:p>
    <w:p w14:paraId="1D8B3D49">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九、电子招投标说明 </w:t>
      </w:r>
    </w:p>
    <w:p w14:paraId="44595BDD">
      <w:pPr>
        <w:widowControl/>
        <w:spacing w:line="360" w:lineRule="auto"/>
        <w:ind w:firstLine="480"/>
        <w:jc w:val="left"/>
        <w:rPr>
          <w:rFonts w:ascii="宋体" w:hAnsi="宋体" w:eastAsia="宋体" w:cs="宋体"/>
          <w:b/>
          <w:bCs/>
          <w:color w:val="auto"/>
          <w:sz w:val="24"/>
          <w:highlight w:val="none"/>
        </w:rPr>
      </w:pPr>
      <w:r>
        <w:rPr>
          <w:rFonts w:hint="eastAsia" w:ascii="宋体" w:hAnsi="宋体" w:eastAsia="宋体" w:cs="宋体"/>
          <w:color w:val="auto"/>
          <w:sz w:val="24"/>
          <w:highlight w:val="none"/>
        </w:rPr>
        <w:t>1.根据省财政厅《关于更换全省政府采购交易系统CA数字证书和电子签章的通知》（苏财购〔2023〕101号），</w:t>
      </w:r>
      <w:r>
        <w:rPr>
          <w:rFonts w:hint="eastAsia" w:ascii="宋体" w:hAnsi="宋体" w:eastAsia="宋体" w:cs="宋体"/>
          <w:b/>
          <w:bCs/>
          <w:color w:val="auto"/>
          <w:sz w:val="24"/>
          <w:highlight w:val="none"/>
        </w:rPr>
        <w:t>“苏采云”政府采购交易系统（以下简称苏采云系统）</w:t>
      </w:r>
      <w:r>
        <w:rPr>
          <w:rFonts w:hint="eastAsia" w:ascii="宋体" w:hAnsi="宋体" w:eastAsia="宋体" w:cs="宋体"/>
          <w:color w:val="auto"/>
          <w:sz w:val="24"/>
          <w:highlight w:val="none"/>
        </w:rPr>
        <w:t>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auto"/>
          <w:sz w:val="24"/>
          <w:highlight w:val="none"/>
        </w:rPr>
        <w:t>http://www.ccgp-jiangsu.gov.cn/jiangsu/zlxz/ee/ee3a4bc5a3454aa2b0d9312230633ce9.html。</w:t>
      </w:r>
    </w:p>
    <w:p w14:paraId="114F9C6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领取CA和办理电子签章，具体联系方式见《苏采云系统供应商操作手册》（以下简称《操作手册》）、进行注册并按《操作手册》要求制作、上传电子投标文件。</w:t>
      </w:r>
    </w:p>
    <w:p w14:paraId="7D8D75F4">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rPr>
        <w:t>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0"/>
      <w:bookmarkEnd w:id="1"/>
    </w:p>
    <w:p w14:paraId="6B49CD16">
      <w:pPr>
        <w:rPr>
          <w:rFonts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r>
    </w:p>
    <w:p w14:paraId="2BDD9300">
      <w:pPr>
        <w:widowControl/>
        <w:spacing w:line="360" w:lineRule="auto"/>
        <w:jc w:val="center"/>
        <w:rPr>
          <w:rFonts w:ascii="宋体" w:hAnsi="宋体" w:eastAsia="宋体" w:cs="宋体"/>
          <w:color w:val="auto"/>
          <w:highlight w:val="none"/>
        </w:rPr>
      </w:pPr>
      <w:r>
        <w:rPr>
          <w:rFonts w:hint="eastAsia" w:ascii="宋体" w:hAnsi="宋体" w:eastAsia="宋体" w:cs="宋体"/>
          <w:b/>
          <w:bCs/>
          <w:color w:val="auto"/>
          <w:sz w:val="36"/>
          <w:szCs w:val="36"/>
          <w:highlight w:val="none"/>
          <w:lang w:bidi="ar"/>
        </w:rPr>
        <w:t>第二章 磋商须知</w:t>
      </w:r>
    </w:p>
    <w:p w14:paraId="5F8F250A">
      <w:pPr>
        <w:widowControl/>
        <w:spacing w:line="360" w:lineRule="auto"/>
        <w:jc w:val="center"/>
        <w:rPr>
          <w:rFonts w:ascii="宋体" w:hAnsi="宋体" w:eastAsia="宋体" w:cs="宋体"/>
          <w:color w:val="auto"/>
          <w:highlight w:val="none"/>
        </w:rPr>
      </w:pPr>
      <w:r>
        <w:rPr>
          <w:rFonts w:hint="eastAsia" w:ascii="宋体" w:hAnsi="宋体" w:eastAsia="宋体" w:cs="宋体"/>
          <w:b/>
          <w:bCs/>
          <w:color w:val="auto"/>
          <w:sz w:val="24"/>
          <w:highlight w:val="none"/>
          <w:lang w:bidi="ar"/>
        </w:rPr>
        <w:t>一、总则</w:t>
      </w:r>
    </w:p>
    <w:p w14:paraId="14530B4D">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1、适用范围 </w:t>
      </w:r>
    </w:p>
    <w:p w14:paraId="28CDCE3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1.1 本竞争性磋商文件(以下简称磋商文件)仅适用此项目。 </w:t>
      </w:r>
    </w:p>
    <w:p w14:paraId="46BBE9AB">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1.2 本项目采购采用电子化方式，采购文件、响应文件、评审和成交结果发布全程电子化。 </w:t>
      </w:r>
    </w:p>
    <w:p w14:paraId="721BBDD4">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2、项目采购方式 </w:t>
      </w:r>
    </w:p>
    <w:p w14:paraId="325E57D0">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本次采购采取</w:t>
      </w:r>
      <w:r>
        <w:rPr>
          <w:rFonts w:hint="eastAsia" w:ascii="宋体" w:hAnsi="宋体" w:eastAsia="宋体" w:cs="宋体"/>
          <w:b/>
          <w:bCs/>
          <w:color w:val="auto"/>
          <w:sz w:val="24"/>
          <w:highlight w:val="none"/>
          <w:lang w:bidi="ar"/>
        </w:rPr>
        <w:t>竞争性磋商</w:t>
      </w:r>
      <w:r>
        <w:rPr>
          <w:rFonts w:hint="eastAsia" w:ascii="宋体" w:hAnsi="宋体" w:eastAsia="宋体" w:cs="宋体"/>
          <w:color w:val="auto"/>
          <w:sz w:val="24"/>
          <w:highlight w:val="none"/>
          <w:lang w:bidi="ar"/>
        </w:rPr>
        <w:t xml:space="preserve">的方式。 </w:t>
      </w:r>
    </w:p>
    <w:p w14:paraId="2109A57A">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3、合格的磋商供应商 </w:t>
      </w:r>
    </w:p>
    <w:p w14:paraId="4CE52CC5">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3.1 满足本磋商文件“竞争性磋商采购公告”中合格磋商供应商资格要求的规定。 </w:t>
      </w:r>
    </w:p>
    <w:p w14:paraId="5C17725B">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3.2 满足本磋商文件实质性要求和条件的规定。 </w:t>
      </w:r>
    </w:p>
    <w:p w14:paraId="30B4A123">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4、参加磋商费用 </w:t>
      </w:r>
    </w:p>
    <w:p w14:paraId="791F6A4D">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4.1 参加磋商供应商应自行承担所有与参加磋商有关的费用。不论最终的成交结果如何，</w:t>
      </w:r>
      <w:r>
        <w:rPr>
          <w:rFonts w:hint="eastAsia" w:ascii="宋体" w:hAnsi="宋体" w:eastAsia="宋体" w:cs="宋体"/>
          <w:color w:val="auto"/>
          <w:sz w:val="24"/>
          <w:highlight w:val="none"/>
        </w:rPr>
        <w:t>代理机构和采购人</w:t>
      </w:r>
      <w:r>
        <w:rPr>
          <w:rFonts w:hint="eastAsia" w:ascii="宋体" w:hAnsi="宋体" w:eastAsia="宋体" w:cs="宋体"/>
          <w:color w:val="auto"/>
          <w:sz w:val="24"/>
          <w:highlight w:val="none"/>
          <w:lang w:bidi="ar"/>
        </w:rPr>
        <w:t xml:space="preserve">在任何情况下均无义务和责任承担这些费用。 </w:t>
      </w:r>
    </w:p>
    <w:p w14:paraId="6458BDF0">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4.2 此次磋商代理机构和采购人不收取磋商文件工本费。</w:t>
      </w:r>
    </w:p>
    <w:p w14:paraId="5A2C3087">
      <w:pPr>
        <w:widowControl/>
        <w:spacing w:line="360" w:lineRule="auto"/>
        <w:ind w:firstLine="482"/>
        <w:jc w:val="left"/>
        <w:rPr>
          <w:rFonts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4.3本工程的采购代理服务费按照《江苏省招标代理服务收费的指导意见》的通知（苏招协【2022】002号文）标准的50%收取，</w:t>
      </w:r>
      <w:r>
        <w:rPr>
          <w:rFonts w:hint="eastAsia" w:ascii="宋体" w:hAnsi="宋体" w:eastAsia="宋体" w:cs="宋体"/>
          <w:color w:val="auto"/>
          <w:sz w:val="24"/>
          <w:highlight w:val="none"/>
          <w:lang w:bidi="ar"/>
        </w:rPr>
        <w:t>以上费用采用差额定率累进法计算。以上费用由</w:t>
      </w:r>
      <w:r>
        <w:rPr>
          <w:rFonts w:hint="eastAsia" w:ascii="宋体" w:hAnsi="宋体" w:eastAsia="宋体" w:cs="宋体"/>
          <w:color w:val="auto"/>
          <w:sz w:val="24"/>
          <w:highlight w:val="none"/>
          <w:lang w:val="en-US" w:eastAsia="zh-CN" w:bidi="ar"/>
        </w:rPr>
        <w:t>采购</w:t>
      </w:r>
      <w:r>
        <w:rPr>
          <w:rFonts w:hint="eastAsia" w:ascii="宋体" w:hAnsi="宋体" w:eastAsia="宋体" w:cs="宋体"/>
          <w:color w:val="auto"/>
          <w:sz w:val="24"/>
          <w:highlight w:val="none"/>
          <w:lang w:bidi="ar"/>
        </w:rPr>
        <w:t>人</w:t>
      </w:r>
      <w:r>
        <w:rPr>
          <w:rFonts w:hint="eastAsia" w:ascii="宋体" w:hAnsi="宋体" w:eastAsia="宋体" w:cs="宋体"/>
          <w:color w:val="auto"/>
          <w:sz w:val="24"/>
          <w:highlight w:val="none"/>
          <w:lang w:val="en-US" w:eastAsia="zh-CN" w:bidi="ar"/>
        </w:rPr>
        <w:t>支付</w:t>
      </w:r>
      <w:r>
        <w:rPr>
          <w:rFonts w:hint="eastAsia" w:ascii="宋体" w:hAnsi="宋体" w:eastAsia="宋体" w:cs="宋体"/>
          <w:color w:val="auto"/>
          <w:sz w:val="24"/>
          <w:highlight w:val="none"/>
          <w:lang w:bidi="ar"/>
        </w:rPr>
        <w:t>。</w:t>
      </w:r>
    </w:p>
    <w:p w14:paraId="4C353A24">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5、磋商文件的约束力 </w:t>
      </w:r>
    </w:p>
    <w:p w14:paraId="762128A1">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供应商一旦获取了本磋商文件并决定参加磋商，即被认为接受了本磋商文件的规定和约束，并且视为已经知道或应当知道自身权益是否受到了损害。 </w:t>
      </w:r>
    </w:p>
    <w:p w14:paraId="49CFDBB1">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6、磋商文件的询问及修改 </w:t>
      </w:r>
    </w:p>
    <w:p w14:paraId="7355A7B1">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p>
    <w:p w14:paraId="0C1BDFDB">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6.2 本代理机构或采购人可以视采购项目的具体情况，组织供应商进行现场考察或召开磋商前答疑会，但不单独或分别组织只有一个供应商参加的现场考察和答疑会。 </w:t>
      </w:r>
    </w:p>
    <w:p w14:paraId="52F6943C">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7、磋商文件的解释 </w:t>
      </w:r>
    </w:p>
    <w:p w14:paraId="39C2B0F4">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7.1 本磋商文件由</w:t>
      </w:r>
      <w:r>
        <w:rPr>
          <w:rFonts w:hint="eastAsia" w:ascii="宋体" w:hAnsi="宋体" w:eastAsia="宋体" w:cs="宋体"/>
          <w:b/>
          <w:bCs/>
          <w:color w:val="auto"/>
          <w:sz w:val="24"/>
          <w:highlight w:val="none"/>
          <w:lang w:bidi="ar"/>
        </w:rPr>
        <w:t>华瑞国际工程咨询集团有限公司</w:t>
      </w:r>
      <w:r>
        <w:rPr>
          <w:rFonts w:hint="eastAsia" w:ascii="宋体" w:hAnsi="宋体" w:eastAsia="宋体" w:cs="宋体"/>
          <w:color w:val="auto"/>
          <w:sz w:val="24"/>
          <w:highlight w:val="none"/>
          <w:lang w:bidi="ar"/>
        </w:rPr>
        <w:t xml:space="preserve">负责解释。 </w:t>
      </w:r>
    </w:p>
    <w:p w14:paraId="2BA707AF">
      <w:pPr>
        <w:widowControl/>
        <w:spacing w:line="360" w:lineRule="auto"/>
        <w:jc w:val="center"/>
        <w:rPr>
          <w:rFonts w:ascii="宋体" w:hAnsi="宋体" w:eastAsia="宋体" w:cs="宋体"/>
          <w:color w:val="auto"/>
          <w:highlight w:val="none"/>
        </w:rPr>
      </w:pPr>
      <w:r>
        <w:rPr>
          <w:rFonts w:hint="eastAsia" w:ascii="宋体" w:hAnsi="宋体" w:eastAsia="宋体" w:cs="宋体"/>
          <w:b/>
          <w:bCs/>
          <w:color w:val="auto"/>
          <w:sz w:val="24"/>
          <w:highlight w:val="none"/>
          <w:lang w:bidi="ar"/>
        </w:rPr>
        <w:t>二、响应文件</w:t>
      </w:r>
    </w:p>
    <w:p w14:paraId="067BB2D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1.磋商文件构成</w:t>
      </w:r>
    </w:p>
    <w:p w14:paraId="2CE50BF4">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1.1 磋商文件由以下部分组成：</w:t>
      </w:r>
    </w:p>
    <w:p w14:paraId="5C4E1323">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（1）竞争性磋商公告</w:t>
      </w:r>
    </w:p>
    <w:p w14:paraId="27948858">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（2）磋商须知</w:t>
      </w:r>
    </w:p>
    <w:p w14:paraId="30F4B2BB">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（3）项目需求（工程量清单）</w:t>
      </w:r>
    </w:p>
    <w:p w14:paraId="3A6C7487">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（4）评审方法和评审标准</w:t>
      </w:r>
    </w:p>
    <w:p w14:paraId="71772B33">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（5）响应文件组成</w:t>
      </w:r>
    </w:p>
    <w:p w14:paraId="1FA0E0D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（6）附件</w:t>
      </w:r>
    </w:p>
    <w:p w14:paraId="17B23A86">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请仔细检查磋商文件是否齐全，如有缺漏请立即与采购人或采购代理机构联系解决。</w:t>
      </w:r>
    </w:p>
    <w:p w14:paraId="6F43F4A1">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4D48333">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2.磋商文件的澄清</w:t>
      </w:r>
    </w:p>
    <w:p w14:paraId="4CDA1807">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6AC07129">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2.2采购人视情况组织答疑会</w:t>
      </w:r>
    </w:p>
    <w:p w14:paraId="57D2ACF0">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3.磋商文件的修改</w:t>
      </w:r>
    </w:p>
    <w:p w14:paraId="1E9C8D5D">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3.1 在响应文件提交截止时间前，采购人或采购代理机构可以对磋商文件进行修改。</w:t>
      </w:r>
    </w:p>
    <w:p w14:paraId="2C169BF1">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3.2 采购人或采购代理机构有权按照法定的要求推迟响应文件提交截止日期和磋商日期。</w:t>
      </w:r>
    </w:p>
    <w:p w14:paraId="6BC19982">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3.3 磋商文件的修改将在</w:t>
      </w:r>
      <w:r>
        <w:rPr>
          <w:rFonts w:hint="eastAsia" w:ascii="宋体" w:hAnsi="宋体" w:eastAsia="宋体" w:cs="宋体"/>
          <w:b/>
          <w:bCs/>
          <w:color w:val="auto"/>
          <w:sz w:val="24"/>
          <w:highlight w:val="none"/>
          <w:lang w:bidi="ar"/>
        </w:rPr>
        <w:t>江苏政府采购网</w:t>
      </w:r>
      <w:r>
        <w:rPr>
          <w:rFonts w:hint="eastAsia" w:ascii="宋体" w:hAnsi="宋体" w:eastAsia="宋体" w:cs="宋体"/>
          <w:color w:val="auto"/>
          <w:sz w:val="24"/>
          <w:highlight w:val="none"/>
          <w:lang w:bidi="ar"/>
        </w:rPr>
        <w:t>公布，补充文件将作为磋商文件的组成部分，并对供应商具有约束力。</w:t>
      </w:r>
    </w:p>
    <w:p w14:paraId="3B8DD2F8">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527B2ACF">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5.供应商对采购人提供的采购文件所做出的推论、解释和结论，采购人概不负责。供应商由于对采购文件的任何推论和误解以及采购人对有关问题的口头解释所造成的后果，均由各潜在供应商自负。</w:t>
      </w:r>
    </w:p>
    <w:p w14:paraId="497A644E">
      <w:pPr>
        <w:widowControl/>
        <w:spacing w:line="360" w:lineRule="auto"/>
        <w:ind w:firstLine="482"/>
        <w:jc w:val="center"/>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三、响应文件的编制</w:t>
      </w:r>
    </w:p>
    <w:p w14:paraId="68B30E0D">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1.响应文件的语言及度量衡单位</w:t>
      </w:r>
    </w:p>
    <w:p w14:paraId="3E33013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1.1</w:t>
      </w:r>
      <w:r>
        <w:rPr>
          <w:rFonts w:hint="eastAsia" w:ascii="宋体" w:hAnsi="宋体" w:eastAsia="宋体" w:cs="宋体"/>
          <w:color w:val="auto"/>
          <w:sz w:val="24"/>
          <w:highlight w:val="none"/>
          <w:lang w:val="en-US" w:eastAsia="zh-CN" w:bidi="ar"/>
        </w:rPr>
        <w:t xml:space="preserve"> </w:t>
      </w:r>
      <w:r>
        <w:rPr>
          <w:rFonts w:hint="eastAsia" w:ascii="宋体" w:hAnsi="宋体" w:eastAsia="宋体" w:cs="宋体"/>
          <w:color w:val="auto"/>
          <w:sz w:val="24"/>
          <w:highlight w:val="none"/>
          <w:lang w:bidi="ar"/>
        </w:rPr>
        <w:t>供应商提交的响应文件以及供应商与采购人或采购代理机构就有关磋商的所有来往通知、函件和文件均应使用简体中文。</w:t>
      </w:r>
    </w:p>
    <w:p w14:paraId="22170CE5">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1.2 除技术性能另有规定外，响应文件所使用的度量衡单位，均须采用国家法定计量单位。</w:t>
      </w:r>
    </w:p>
    <w:p w14:paraId="039215D0">
      <w:pPr>
        <w:widowControl/>
        <w:spacing w:line="360" w:lineRule="auto"/>
        <w:ind w:firstLine="482"/>
        <w:jc w:val="left"/>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2.响应文件构成</w:t>
      </w:r>
    </w:p>
    <w:p w14:paraId="4708C226">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2.1 供应商编写的响应文件应包括</w:t>
      </w:r>
      <w:r>
        <w:rPr>
          <w:rFonts w:hint="eastAsia" w:ascii="宋体" w:hAnsi="宋体" w:eastAsia="宋体" w:cs="宋体"/>
          <w:b/>
          <w:bCs/>
          <w:color w:val="auto"/>
          <w:sz w:val="24"/>
          <w:highlight w:val="none"/>
          <w:lang w:bidi="ar"/>
        </w:rPr>
        <w:t>资格审查证明材料文件、商务技术标文件、价格标文件</w:t>
      </w:r>
      <w:r>
        <w:rPr>
          <w:rFonts w:hint="eastAsia" w:ascii="宋体" w:hAnsi="宋体" w:eastAsia="宋体" w:cs="宋体"/>
          <w:color w:val="auto"/>
          <w:sz w:val="24"/>
          <w:highlight w:val="none"/>
          <w:lang w:bidi="ar"/>
        </w:rPr>
        <w:t>。供应商按“第五部分 响应文件组成”要求编写响应文件。</w:t>
      </w:r>
    </w:p>
    <w:p w14:paraId="773062DE">
      <w:pPr>
        <w:widowControl/>
        <w:spacing w:line="360" w:lineRule="auto"/>
        <w:ind w:firstLine="482"/>
        <w:jc w:val="left"/>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3.磋商响应有效期</w:t>
      </w:r>
    </w:p>
    <w:p w14:paraId="73E923DE">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3.1 磋商响应有效期为采购文件规定的响应文件提交截止时间后</w:t>
      </w:r>
      <w:r>
        <w:rPr>
          <w:rFonts w:hint="eastAsia" w:ascii="宋体" w:hAnsi="宋体" w:eastAsia="宋体" w:cs="宋体"/>
          <w:b/>
          <w:bCs/>
          <w:color w:val="auto"/>
          <w:sz w:val="24"/>
          <w:highlight w:val="none"/>
          <w:lang w:bidi="ar"/>
        </w:rPr>
        <w:t>六十（60）天</w:t>
      </w:r>
      <w:r>
        <w:rPr>
          <w:rFonts w:hint="eastAsia" w:ascii="宋体" w:hAnsi="宋体" w:eastAsia="宋体" w:cs="宋体"/>
          <w:color w:val="auto"/>
          <w:sz w:val="24"/>
          <w:highlight w:val="none"/>
          <w:lang w:bidi="ar"/>
        </w:rPr>
        <w:t>。磋商响应有效期比规定短的将被视为非实质性响应而予以拒绝。</w:t>
      </w:r>
    </w:p>
    <w:p w14:paraId="2F292794">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 磋商响应有效期的延长</w:t>
      </w:r>
    </w:p>
    <w:p w14:paraId="4490C99B">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2861B51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5.电子响应文件其他要求</w:t>
      </w:r>
    </w:p>
    <w:p w14:paraId="1B5AE6CD">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5.1 电子招标投标交易平台（即“苏采云”系统）相关要求是本采购文件的组成部分。</w:t>
      </w:r>
    </w:p>
    <w:p w14:paraId="216F204B">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5.2 供应商应对CA证书妥善保管，如被他人盗用投标，因此带来的结果均由供应商自行承担。</w:t>
      </w:r>
    </w:p>
    <w:p w14:paraId="1D786C9F">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 供应商应当对采购文件提出的实质性要求和条件作出实质性响应，并在电子投标系统逐条应答。</w:t>
      </w:r>
    </w:p>
    <w:p w14:paraId="09891685">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5.4 供应商应对要求提供的资格证明文件（如资质证书、资格证书）、技术资料（如白皮书、彩页、手册、检测报告等）扫描上传至投标系统。</w:t>
      </w:r>
    </w:p>
    <w:p w14:paraId="3C4D21B1">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6. 供应商应当在采购文件要求提交响应文件的截止时间前，将响应文件提交至“苏采云”系统，逾期提交的响应文件，“苏采云”系统将自动拒收。各供应商应在规定时间内凭CA证书进行网上解密。 </w:t>
      </w:r>
    </w:p>
    <w:p w14:paraId="4EE99632">
      <w:pPr>
        <w:widowControl/>
        <w:spacing w:line="360" w:lineRule="auto"/>
        <w:ind w:firstLine="482"/>
        <w:jc w:val="center"/>
        <w:rPr>
          <w:rFonts w:ascii="宋体" w:hAnsi="宋体" w:eastAsia="宋体" w:cs="宋体"/>
          <w:color w:val="auto"/>
          <w:highlight w:val="none"/>
        </w:rPr>
      </w:pPr>
      <w:r>
        <w:rPr>
          <w:rFonts w:hint="eastAsia" w:ascii="宋体" w:hAnsi="宋体" w:eastAsia="宋体" w:cs="宋体"/>
          <w:b/>
          <w:bCs/>
          <w:color w:val="auto"/>
          <w:sz w:val="24"/>
          <w:highlight w:val="none"/>
          <w:lang w:bidi="ar"/>
        </w:rPr>
        <w:t>四、磋商报价</w:t>
      </w:r>
    </w:p>
    <w:p w14:paraId="72237689">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 磋商报价 </w:t>
      </w:r>
    </w:p>
    <w:p w14:paraId="5A4C77D7">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1.1 磋商报价应是磋商文件所确定的采购范围内的全部工作内容的价格体现。其应包括施工设备、劳务、管理、材料、安装、维护、利润、税金及政策性文件规定的各项应有费用等。 </w:t>
      </w:r>
    </w:p>
    <w:p w14:paraId="097EA0E6">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1.2 磋商报价方式：本工程采用下</w:t>
      </w:r>
      <w:r>
        <w:rPr>
          <w:rFonts w:hint="eastAsia" w:ascii="宋体" w:hAnsi="宋体" w:eastAsia="宋体" w:cs="宋体"/>
          <w:bCs/>
          <w:color w:val="auto"/>
          <w:sz w:val="24"/>
          <w:highlight w:val="none"/>
          <w:lang w:bidi="ar"/>
        </w:rPr>
        <w:t>列</w:t>
      </w:r>
      <w:r>
        <w:rPr>
          <w:rFonts w:hint="eastAsia" w:ascii="宋体" w:hAnsi="宋体" w:eastAsia="宋体" w:cs="宋体"/>
          <w:b/>
          <w:color w:val="auto"/>
          <w:sz w:val="24"/>
          <w:highlight w:val="none"/>
          <w:lang w:bidi="ar"/>
        </w:rPr>
        <w:t>第(2)种方式</w:t>
      </w:r>
      <w:r>
        <w:rPr>
          <w:rFonts w:hint="eastAsia" w:ascii="宋体" w:hAnsi="宋体" w:eastAsia="宋体" w:cs="宋体"/>
          <w:color w:val="auto"/>
          <w:sz w:val="24"/>
          <w:highlight w:val="none"/>
          <w:lang w:bidi="ar"/>
        </w:rPr>
        <w:t xml:space="preserve">。 </w:t>
      </w:r>
    </w:p>
    <w:p w14:paraId="27FA9F42">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p>
    <w:p w14:paraId="7C7AB519">
      <w:pPr>
        <w:widowControl/>
        <w:spacing w:line="360" w:lineRule="auto"/>
        <w:ind w:firstLine="482"/>
        <w:jc w:val="left"/>
        <w:rPr>
          <w:rFonts w:ascii="宋体" w:hAnsi="宋体" w:eastAsia="宋体" w:cs="宋体"/>
          <w:color w:val="auto"/>
          <w:sz w:val="24"/>
          <w:highlight w:val="none"/>
          <w:lang w:bidi="ar"/>
        </w:rPr>
      </w:pPr>
      <w:r>
        <w:rPr>
          <w:rFonts w:hint="eastAsia" w:ascii="宋体" w:hAnsi="宋体" w:eastAsia="宋体" w:cs="宋体"/>
          <w:b/>
          <w:color w:val="auto"/>
          <w:sz w:val="24"/>
          <w:highlight w:val="none"/>
          <w:lang w:bidi="ar"/>
        </w:rPr>
        <w:t>（2）固定单价报价：</w:t>
      </w:r>
      <w:r>
        <w:rPr>
          <w:rFonts w:hint="eastAsia" w:ascii="宋体" w:hAnsi="宋体" w:eastAsia="宋体" w:cs="宋体"/>
          <w:color w:val="auto"/>
          <w:sz w:val="24"/>
          <w:highlight w:val="none"/>
          <w:lang w:bidi="ar"/>
        </w:rPr>
        <w:t xml:space="preserve">磋商供应商应充分考虑施工期间各类建材的市场风险和政策性调整确定风险系数计入总报价，今后不作调整。设计变更和采购人要求变动的内容除外。结算方式在合同专用条款中明确。 </w:t>
      </w:r>
    </w:p>
    <w:p w14:paraId="6F06C75B">
      <w:pPr>
        <w:widowControl/>
        <w:spacing w:line="360" w:lineRule="auto"/>
        <w:ind w:firstLine="482"/>
        <w:jc w:val="left"/>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本次采购采用竞争性磋商，因第二轮报价只报总价，结算时，以成交人提交的综合单价同比下浮【下浮率=（1-第二轮报价/第一轮报价）*100% 】。</w:t>
      </w:r>
    </w:p>
    <w:p w14:paraId="67FD250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1.3 磋商报价的计价方法 </w:t>
      </w:r>
    </w:p>
    <w:p w14:paraId="448035D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(1)本工程项目采用</w:t>
      </w:r>
      <w:r>
        <w:rPr>
          <w:rFonts w:hint="eastAsia" w:ascii="宋体" w:hAnsi="宋体" w:eastAsia="宋体" w:cs="宋体"/>
          <w:color w:val="auto"/>
          <w:sz w:val="24"/>
          <w:highlight w:val="none"/>
          <w:u w:val="single"/>
          <w:lang w:bidi="ar"/>
        </w:rPr>
        <w:t xml:space="preserve"> </w:t>
      </w:r>
      <w:r>
        <w:rPr>
          <w:rFonts w:hint="eastAsia" w:ascii="宋体" w:hAnsi="宋体" w:eastAsia="宋体" w:cs="宋体"/>
          <w:b/>
          <w:bCs/>
          <w:color w:val="auto"/>
          <w:sz w:val="24"/>
          <w:highlight w:val="none"/>
          <w:u w:val="single"/>
          <w:lang w:bidi="ar"/>
        </w:rPr>
        <w:t xml:space="preserve">工程量清单 </w:t>
      </w:r>
      <w:r>
        <w:rPr>
          <w:rFonts w:hint="eastAsia" w:ascii="宋体" w:hAnsi="宋体" w:eastAsia="宋体" w:cs="宋体"/>
          <w:color w:val="auto"/>
          <w:sz w:val="24"/>
          <w:highlight w:val="none"/>
          <w:lang w:bidi="ar"/>
        </w:rPr>
        <w:t xml:space="preserve">计价方法。磋商供应商应根据采购人提供的工程量清单计算单价、合价以及各种政策性费用。 </w:t>
      </w:r>
    </w:p>
    <w:p w14:paraId="49F63BB0">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p>
    <w:p w14:paraId="105D5753">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(3)施工用水电差价进报价，采购人不再另行支付。 </w:t>
      </w:r>
    </w:p>
    <w:p w14:paraId="63F79071">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(4)</w:t>
      </w:r>
      <w:r>
        <w:rPr>
          <w:rFonts w:hint="eastAsia" w:ascii="宋体" w:hAnsi="宋体" w:eastAsia="宋体" w:cs="宋体"/>
          <w:bCs/>
          <w:color w:val="auto"/>
          <w:sz w:val="24"/>
          <w:highlight w:val="none"/>
          <w:lang w:bidi="ar"/>
        </w:rPr>
        <w:t>本项目采用营改增后的一般计税方法计算报价</w:t>
      </w:r>
      <w:r>
        <w:rPr>
          <w:rFonts w:hint="eastAsia" w:ascii="宋体" w:hAnsi="宋体" w:eastAsia="宋体" w:cs="宋体"/>
          <w:color w:val="auto"/>
          <w:sz w:val="24"/>
          <w:highlight w:val="none"/>
          <w:lang w:bidi="ar"/>
        </w:rPr>
        <w:t xml:space="preserve">。 </w:t>
      </w:r>
    </w:p>
    <w:p w14:paraId="3D3A2BA7">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1.4 可选用的工程预算、费用定额和政策性文件 </w:t>
      </w:r>
    </w:p>
    <w:p w14:paraId="0FF3E6D2">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(1)《建设工程工程量清单计价标准》GB/T50500-2024；</w:t>
      </w:r>
    </w:p>
    <w:p w14:paraId="7B82C4E1">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)《房屋建筑与装饰工程工程量计算标准》GB/T50854-2024；</w:t>
      </w:r>
    </w:p>
    <w:p w14:paraId="0A3B8C5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 xml:space="preserve">)《江苏省建筑与装饰工程消耗量》（2026年）； </w:t>
      </w:r>
    </w:p>
    <w:p w14:paraId="0CBB4ED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4</w:t>
      </w:r>
      <w:r>
        <w:rPr>
          <w:rFonts w:hint="eastAsia" w:ascii="宋体" w:hAnsi="宋体" w:eastAsia="宋体" w:cs="宋体"/>
          <w:color w:val="auto"/>
          <w:sz w:val="24"/>
          <w:highlight w:val="none"/>
          <w:lang w:bidi="ar"/>
        </w:rPr>
        <w:t>)《江苏省通用安装工程消耗量》（2026）、 《江苏省市政工程消耗量》（2026）、《江苏省古建筑修缮工程消耗量定额》（2025）、 《江苏省建设工程费用组成规则》及《江苏省建设工程费用参考》（2026）；</w:t>
      </w:r>
    </w:p>
    <w:p w14:paraId="51932FF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)江苏省建设工程费用参考；</w:t>
      </w:r>
    </w:p>
    <w:p w14:paraId="0E47F58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bidi="ar"/>
        </w:rPr>
        <w:t xml:space="preserve">)国家及省级、行业建设主管部门颁发的工程计量和计价相关规定，以及根据工程需要补充的工程量计算规则； </w:t>
      </w:r>
    </w:p>
    <w:p w14:paraId="413E9777">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7</w:t>
      </w:r>
      <w:r>
        <w:rPr>
          <w:rFonts w:hint="eastAsia" w:ascii="宋体" w:hAnsi="宋体" w:eastAsia="宋体" w:cs="宋体"/>
          <w:color w:val="auto"/>
          <w:sz w:val="24"/>
          <w:highlight w:val="none"/>
          <w:lang w:bidi="ar"/>
        </w:rPr>
        <w:t>)招标人提供的做法及工程量；</w:t>
      </w:r>
    </w:p>
    <w:p w14:paraId="28655A98">
      <w:pPr>
        <w:widowControl/>
        <w:spacing w:line="360" w:lineRule="auto"/>
        <w:ind w:firstLine="480"/>
        <w:jc w:val="left"/>
        <w:rPr>
          <w:rFonts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8</w:t>
      </w:r>
      <w:r>
        <w:rPr>
          <w:rFonts w:hint="eastAsia" w:ascii="宋体" w:hAnsi="宋体" w:eastAsia="宋体" w:cs="宋体"/>
          <w:color w:val="auto"/>
          <w:sz w:val="24"/>
          <w:highlight w:val="none"/>
          <w:lang w:bidi="ar"/>
        </w:rPr>
        <w:t xml:space="preserve">)相关规范、标准图集和技术资料。  </w:t>
      </w:r>
    </w:p>
    <w:p w14:paraId="407C900A">
      <w:pPr>
        <w:widowControl/>
        <w:spacing w:line="360" w:lineRule="auto"/>
        <w:ind w:firstLine="482"/>
        <w:jc w:val="left"/>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本次采购采用竞争性磋商，因第二轮报价只报总价，结算时，以成交人提交的综合单价同比下浮【下浮率=（1-第二轮报价/第一轮报价）*100% 】。</w:t>
      </w:r>
    </w:p>
    <w:p w14:paraId="32C4D012">
      <w:pPr>
        <w:widowControl/>
        <w:spacing w:line="360" w:lineRule="auto"/>
        <w:ind w:firstLine="482"/>
        <w:jc w:val="left"/>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p>
    <w:p w14:paraId="28DCE63F">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 报价货币 </w:t>
      </w:r>
    </w:p>
    <w:p w14:paraId="5171F187">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2.1 磋商应以人民币报价。 </w:t>
      </w:r>
    </w:p>
    <w:p w14:paraId="7F8D3DA1">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 磋商报价的编制要求。</w:t>
      </w:r>
    </w:p>
    <w:p w14:paraId="308B2244">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3.1 磋商供应商必须按工程量清单,用综合单价法编制磋商预算。工程量清单数量、暂定价、暂估价、独立费不得变更、不得优惠,否则视为重大偏差。 </w:t>
      </w:r>
    </w:p>
    <w:p w14:paraId="7AE2D3CB">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3.2 下列费用为不可竞争费用，不可竞争费用应严格执行有关费用标准，不得降低标准进行磋商，</w:t>
      </w:r>
      <w:r>
        <w:rPr>
          <w:rFonts w:hint="eastAsia" w:ascii="宋体" w:hAnsi="宋体" w:eastAsia="宋体" w:cs="宋体"/>
          <w:bCs/>
          <w:color w:val="auto"/>
          <w:sz w:val="24"/>
          <w:highlight w:val="none"/>
          <w:lang w:bidi="ar"/>
        </w:rPr>
        <w:t>否则作无效响应处理</w:t>
      </w:r>
      <w:r>
        <w:rPr>
          <w:rFonts w:hint="eastAsia" w:ascii="宋体" w:hAnsi="宋体" w:eastAsia="宋体" w:cs="宋体"/>
          <w:color w:val="auto"/>
          <w:sz w:val="24"/>
          <w:highlight w:val="none"/>
          <w:lang w:bidi="ar"/>
        </w:rPr>
        <w:t xml:space="preserve">。 </w:t>
      </w:r>
    </w:p>
    <w:p w14:paraId="5918A169">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(1)</w:t>
      </w:r>
      <w:r>
        <w:rPr>
          <w:rFonts w:hint="eastAsia" w:ascii="宋体" w:hAnsi="宋体" w:eastAsia="宋体" w:cs="宋体"/>
          <w:bCs/>
          <w:color w:val="auto"/>
          <w:sz w:val="24"/>
          <w:highlight w:val="none"/>
          <w:lang w:bidi="ar"/>
        </w:rPr>
        <w:t>规费</w:t>
      </w:r>
      <w:r>
        <w:rPr>
          <w:rFonts w:hint="eastAsia" w:ascii="宋体" w:hAnsi="宋体" w:eastAsia="宋体" w:cs="宋体"/>
          <w:color w:val="auto"/>
          <w:sz w:val="24"/>
          <w:highlight w:val="none"/>
          <w:lang w:bidi="ar"/>
        </w:rPr>
        <w:t xml:space="preserve">：包括环境保护税、社会保障费及住房公积金，应按照有权部门规定计取。 </w:t>
      </w:r>
    </w:p>
    <w:p w14:paraId="51994F2A">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(2)</w:t>
      </w:r>
      <w:r>
        <w:rPr>
          <w:rFonts w:hint="eastAsia" w:ascii="宋体" w:hAnsi="宋体" w:eastAsia="宋体" w:cs="宋体"/>
          <w:bCs/>
          <w:color w:val="auto"/>
          <w:sz w:val="24"/>
          <w:highlight w:val="none"/>
          <w:lang w:bidi="ar"/>
        </w:rPr>
        <w:t>税金</w:t>
      </w:r>
      <w:r>
        <w:rPr>
          <w:rFonts w:hint="eastAsia" w:ascii="宋体" w:hAnsi="宋体" w:eastAsia="宋体" w:cs="宋体"/>
          <w:color w:val="auto"/>
          <w:sz w:val="24"/>
          <w:highlight w:val="none"/>
          <w:lang w:bidi="ar"/>
        </w:rPr>
        <w:t xml:space="preserve">：包括按规定必须计入工程造价的营业税、城市维护建设税和教育费附加，按照不含税工程造价乘以工程所在地的税率计算。 </w:t>
      </w:r>
    </w:p>
    <w:p w14:paraId="74D820A3">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w:t>
      </w:r>
      <w:r>
        <w:rPr>
          <w:rFonts w:hint="eastAsia" w:ascii="宋体" w:hAnsi="宋体" w:eastAsia="宋体" w:cs="宋体"/>
          <w:bCs/>
          <w:color w:val="auto"/>
          <w:sz w:val="24"/>
          <w:highlight w:val="none"/>
          <w:lang w:bidi="ar"/>
        </w:rPr>
        <w:t>安全文明施工费：</w:t>
      </w:r>
      <w:r>
        <w:rPr>
          <w:rFonts w:hint="eastAsia" w:ascii="宋体" w:hAnsi="宋体" w:eastAsia="宋体" w:cs="宋体"/>
          <w:color w:val="auto"/>
          <w:sz w:val="24"/>
          <w:highlight w:val="none"/>
          <w:lang w:bidi="ar"/>
        </w:rPr>
        <w:t xml:space="preserve">包括安全文明施工基本费、省级标化增加费、扬尘费，应按照有权部门规定计取。 </w:t>
      </w:r>
    </w:p>
    <w:p w14:paraId="37244C33">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3.3 本工程由磋商供应商自购的材料 , 磋商供应商须编制自购主要材料一览表 ,</w:t>
      </w:r>
      <w:r>
        <w:rPr>
          <w:rFonts w:hint="eastAsia" w:ascii="宋体" w:hAnsi="宋体" w:eastAsia="宋体" w:cs="宋体"/>
          <w:bCs/>
          <w:color w:val="auto"/>
          <w:sz w:val="24"/>
          <w:highlight w:val="none"/>
          <w:lang w:bidi="ar"/>
        </w:rPr>
        <w:t>注明品牌、规格、型号、产地、数量、单价和合价。</w:t>
      </w:r>
      <w:r>
        <w:rPr>
          <w:rFonts w:hint="eastAsia" w:ascii="宋体" w:hAnsi="宋体" w:eastAsia="宋体" w:cs="宋体"/>
          <w:color w:val="auto"/>
          <w:sz w:val="24"/>
          <w:highlight w:val="none"/>
          <w:lang w:bidi="ar"/>
        </w:rPr>
        <w:t xml:space="preserve">报价中含材料价差 ,结算时不予调整。 </w:t>
      </w:r>
    </w:p>
    <w:p w14:paraId="7B499CA9">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3.4 工程中产生的垃圾均需由成交供应商自行负责清运，费用由成交供应商承担。 </w:t>
      </w:r>
    </w:p>
    <w:p w14:paraId="33BA7BB3">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p>
    <w:p w14:paraId="78AF05AB">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3.6 采购人向磋商供应商提供的有关施工现场的资料和数据是采购人现有的能使磋商供应商利用的资料。采购人对磋商供应商由此做出的推论、理解和结论概不负责。 </w:t>
      </w:r>
    </w:p>
    <w:p w14:paraId="5C2B1063">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3.7 因有工程变更造成的工程量清单增减 , 按业主签证的设计变更通知单和现场 监理签证，竣工结算时进行调整。工程变更调整的原则为：(1) 报价中原有的子项 , 按磋商报价的单价计算；(2) 新增加的近似子项参照相近的子项单价计算 ；(3)无相同或近似的子项，由乙方报价并经监理及业主审核确定。 </w:t>
      </w:r>
    </w:p>
    <w:p w14:paraId="1EF8C09F">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3.8 磋商供应商应当在响应文件中详细、定量地列出优惠让利的理由及所采取的技术措施。</w:t>
      </w:r>
    </w:p>
    <w:p w14:paraId="638BDC23">
      <w:pPr>
        <w:widowControl/>
        <w:spacing w:line="360" w:lineRule="auto"/>
        <w:ind w:firstLine="482"/>
        <w:jc w:val="left"/>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3.9参与第二次报价的供应商未报价，按照无效响应处理。各供应商的第二次报价均不得高于等于第一次报价，如高于等于第一次报价为无效报价，按照无效响应处理。</w:t>
      </w:r>
    </w:p>
    <w:p w14:paraId="6988A247">
      <w:pPr>
        <w:pStyle w:val="57"/>
        <w:rPr>
          <w:rFonts w:ascii="宋体" w:hAnsi="宋体"/>
          <w:color w:val="auto"/>
          <w:highlight w:val="none"/>
        </w:rPr>
      </w:pPr>
    </w:p>
    <w:p w14:paraId="1CD78F4F">
      <w:pPr>
        <w:rPr>
          <w:color w:val="auto"/>
          <w:highlight w:val="none"/>
        </w:rPr>
      </w:pPr>
    </w:p>
    <w:p w14:paraId="18795E82">
      <w:pPr>
        <w:pStyle w:val="205"/>
        <w:numPr>
          <w:ilvl w:val="0"/>
          <w:numId w:val="1"/>
        </w:numPr>
        <w:ind w:firstLine="482"/>
        <w:jc w:val="center"/>
        <w:rPr>
          <w:rFonts w:hAnsi="宋体" w:cs="宋体"/>
          <w:b/>
          <w:bCs/>
          <w:color w:val="auto"/>
          <w:highlight w:val="none"/>
          <w:lang w:bidi="ar"/>
        </w:rPr>
      </w:pPr>
      <w:r>
        <w:rPr>
          <w:rFonts w:hint="eastAsia" w:hAnsi="宋体" w:cs="宋体"/>
          <w:b/>
          <w:bCs/>
          <w:color w:val="auto"/>
          <w:highlight w:val="none"/>
          <w:lang w:bidi="ar"/>
        </w:rPr>
        <w:t>响应文件的提交</w:t>
      </w:r>
    </w:p>
    <w:p w14:paraId="2B42A69B">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1.响应文件的提交</w:t>
      </w:r>
    </w:p>
    <w:p w14:paraId="358009B0">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1.1 线上提交与接收地点：供应商应当通过“苏采云”系统提交数据电文形式的响应文件（即电子投标），“苏采云”系统自动接收。</w:t>
      </w:r>
    </w:p>
    <w:p w14:paraId="36938180">
      <w:pPr>
        <w:widowControl/>
        <w:spacing w:line="360" w:lineRule="auto"/>
        <w:ind w:firstLine="482"/>
        <w:jc w:val="left"/>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p>
    <w:p w14:paraId="0FE03B94">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2.响应文件截止日期</w:t>
      </w:r>
    </w:p>
    <w:p w14:paraId="69DE5100">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2.1 供应商上传电子响应文件的时间不得迟于磋商公告中规定的响应文件提交截止时间。</w:t>
      </w:r>
    </w:p>
    <w:p w14:paraId="4CF562A4">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供应商应充分考虑到网络环境、网络带宽等风险因素，如因供应商自身原因造成的电子响应文件上传不成功由供应商自行承担全部责任。</w:t>
      </w:r>
    </w:p>
    <w:p w14:paraId="2096F14A">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2.2 采购代理机构可以按照规定，通过修改响应文件酌情延长响应文件提交截止日期，在此情况下，供应商的所有权利和义务以及供应商受制的截止日期均应以延长后新的截止日期为准。</w:t>
      </w:r>
    </w:p>
    <w:p w14:paraId="2193CC02">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3.响应文件的密封（加密）要求：</w:t>
      </w:r>
    </w:p>
    <w:p w14:paraId="47F10F5D">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3.1 供应商应当按照采购文件和“苏采云”系统的要求编制并加密响应文件。本项目供应商须通过“苏采云”系统提供的政府采购客户端工具（使用“CA数字证书”）对其数据电文形式的响应文件加密。</w:t>
      </w:r>
    </w:p>
    <w:p w14:paraId="768F1C28">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3.2 供应商须通过“苏采云”系统提供的政府采购客户端工具（使用“CA数字证书”）加盖电子签章。</w:t>
      </w:r>
    </w:p>
    <w:p w14:paraId="1727D3C6">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说明：供应商应在用CA数字证书以及自备的能够登录“苏采云”系统的笔记本电脑，在达到开标时间后，使用CA数字证书解密各自响应文件。</w:t>
      </w:r>
    </w:p>
    <w:p w14:paraId="0A2E0D30">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3.3 供应商未按规定加密的响应文件，“苏采云”系统应当拒收并提示。</w:t>
      </w:r>
    </w:p>
    <w:p w14:paraId="17EB750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4.响应文件的拒收</w:t>
      </w:r>
    </w:p>
    <w:p w14:paraId="79D42F7F">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4.1 采购代理机构拒绝接收在其规定的响应文件提交截止时间后上传的任何响应文件。</w:t>
      </w:r>
    </w:p>
    <w:p w14:paraId="1111F42E">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 响应文件的撤回和修改</w:t>
      </w:r>
    </w:p>
    <w:p w14:paraId="52396253">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5.1 响应文件的撤回</w:t>
      </w:r>
    </w:p>
    <w:p w14:paraId="2FEE3F4E">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5.1.1 电子响应文件的撤回</w:t>
      </w:r>
    </w:p>
    <w:p w14:paraId="35C836B9">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供应商可在响应文件提交截止时间前，撤回其电子响应文件，具体操作方法见</w:t>
      </w:r>
      <w:r>
        <w:rPr>
          <w:rFonts w:hint="eastAsia" w:ascii="宋体" w:hAnsi="宋体" w:eastAsia="宋体" w:cs="宋体"/>
          <w:b/>
          <w:bCs/>
          <w:color w:val="auto"/>
          <w:sz w:val="24"/>
          <w:highlight w:val="none"/>
          <w:lang w:bidi="ar"/>
        </w:rPr>
        <w:t>《江苏省政府采购（供应商）国信CA数字证书及电子签章办理指南》。</w:t>
      </w:r>
    </w:p>
    <w:p w14:paraId="2524C899">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5.1.2 供应商撤回电子响应文件，则认为其不再参与本项目磋商活动。</w:t>
      </w:r>
    </w:p>
    <w:p w14:paraId="0072B346">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5.2 响应文件的修改</w:t>
      </w:r>
    </w:p>
    <w:p w14:paraId="687288DA">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供应商可在响应文件提交截止时间前，对其电子响应文件进行修改。</w:t>
      </w:r>
    </w:p>
    <w:p w14:paraId="367F347F">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5.3 在响应文件提交截止时间之后，供应商不得对其电子响应文件作任何修改。</w:t>
      </w:r>
    </w:p>
    <w:p w14:paraId="7F9FB066">
      <w:pPr>
        <w:widowControl/>
        <w:spacing w:line="360" w:lineRule="auto"/>
        <w:ind w:firstLine="480"/>
        <w:jc w:val="left"/>
        <w:rPr>
          <w:rFonts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5.4 在响应文件截止时间至响应文件中规定的磋商响应有效期满之间的这段时间内，供应商不得撤回其响应文件。</w:t>
      </w:r>
    </w:p>
    <w:p w14:paraId="69C5F613">
      <w:pPr>
        <w:widowControl/>
        <w:spacing w:line="360" w:lineRule="auto"/>
        <w:ind w:firstLine="482"/>
        <w:jc w:val="center"/>
        <w:rPr>
          <w:rFonts w:ascii="宋体" w:hAnsi="宋体" w:eastAsia="宋体" w:cs="宋体"/>
          <w:color w:val="auto"/>
          <w:highlight w:val="none"/>
        </w:rPr>
      </w:pPr>
      <w:r>
        <w:rPr>
          <w:rFonts w:hint="eastAsia" w:ascii="宋体" w:hAnsi="宋体" w:eastAsia="宋体" w:cs="宋体"/>
          <w:b/>
          <w:bCs/>
          <w:color w:val="auto"/>
          <w:sz w:val="24"/>
          <w:highlight w:val="none"/>
          <w:lang w:bidi="ar"/>
        </w:rPr>
        <w:t>六、磋商与评审</w:t>
      </w:r>
    </w:p>
    <w:p w14:paraId="43C68093">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1.磋商仪式</w:t>
      </w:r>
    </w:p>
    <w:p w14:paraId="5C8EBD02">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1.1采购人或采购代理机构将在磋商公告中规定的时间和地点组织磋商开始仪式。</w:t>
      </w:r>
    </w:p>
    <w:p w14:paraId="24FB1EFA">
      <w:pPr>
        <w:widowControl/>
        <w:spacing w:line="360" w:lineRule="auto"/>
        <w:ind w:firstLine="482"/>
        <w:jc w:val="left"/>
        <w:rPr>
          <w:rFonts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4585C7BF">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1.2 磋商活动的文件解密工作由采购代理机构组织。</w:t>
      </w:r>
    </w:p>
    <w:p w14:paraId="7A710EC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资格评审结束后，供应商就所有内容进行最后报价，少报无效。</w:t>
      </w:r>
    </w:p>
    <w:p w14:paraId="43D23232">
      <w:pPr>
        <w:widowControl/>
        <w:spacing w:line="360" w:lineRule="auto"/>
        <w:ind w:firstLine="482"/>
        <w:jc w:val="left"/>
        <w:rPr>
          <w:rFonts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p>
    <w:p w14:paraId="5A2C1C9B">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2.磋商小组</w:t>
      </w:r>
    </w:p>
    <w:p w14:paraId="6638FCB8">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2.1磋商开始仪式结束后，采购人或采购代理机构将立即组织磋商小组进行评审。</w:t>
      </w:r>
    </w:p>
    <w:p w14:paraId="0E02644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62C7B9A8">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66D2F086">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val="en-US" w:eastAsia="zh-CN" w:bidi="ar"/>
        </w:rPr>
        <w:t>4</w:t>
      </w:r>
      <w:r>
        <w:rPr>
          <w:rFonts w:hint="eastAsia" w:ascii="宋体" w:hAnsi="宋体" w:eastAsia="宋体" w:cs="宋体"/>
          <w:color w:val="auto"/>
          <w:sz w:val="24"/>
          <w:highlight w:val="none"/>
          <w:lang w:bidi="ar"/>
        </w:rPr>
        <w:t>磋商小组独立工作，负责评审所有响应文件并确定成交侯选人。</w:t>
      </w:r>
    </w:p>
    <w:p w14:paraId="1508B22B">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 磋商评审过程的保密与公正</w:t>
      </w:r>
    </w:p>
    <w:p w14:paraId="62A5A3F9">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3.1磋商小组、采购人或采购代理机构、相关监督人员等与评审工作有关的人员，对评审情况以及在评审过程中获悉的国家秘密、商业秘密负有保密责任。</w:t>
      </w:r>
    </w:p>
    <w:p w14:paraId="263768BB">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3.2在磋商评审过程中，磋商供应商不得以任何行为影响磋商评审过程，否则其响应文件将被作为无效响应文件。</w:t>
      </w:r>
    </w:p>
    <w:p w14:paraId="5AA51C9B">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182A5E1">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3.4评审开始后，直至向成交供应商授予合同时止，凡是与审查、澄清、评价和比较响应的有关资料以及授标建议等，采购人、磋商小组、采购代理机构均不得向供应商或与评标无关的其他人员透露。</w:t>
      </w:r>
    </w:p>
    <w:p w14:paraId="7AC2809F">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3.5在评审期间，采购人或采购代理机构将设专门人员与供应商联系。</w:t>
      </w:r>
    </w:p>
    <w:p w14:paraId="75AC046A">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3.6采购人或采购代理机构和评审小组不向未成交的供应商解释未成交原因，也不公布评审过程中的相关细节。</w:t>
      </w:r>
    </w:p>
    <w:p w14:paraId="2B259CE2">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4、评审过程的澄清</w:t>
      </w:r>
    </w:p>
    <w:p w14:paraId="64514AB9">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4.1评审期间，为有助于对响应文件的审查、评价和比较，磋商小组有权通过视频会议要求响应人对其响应文件进行澄清，但并非对每个供应商都作澄清要求。</w:t>
      </w:r>
    </w:p>
    <w:p w14:paraId="4A7EFAE4">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4.2接到磋商小组澄清要求的供应商应派人按磋商小组规定的时间内做出澄清，澄清的内容作为响应文件的补充部分，但实质性的内容不得做任何更改。</w:t>
      </w:r>
    </w:p>
    <w:p w14:paraId="105C0AA4">
      <w:pPr>
        <w:pStyle w:val="205"/>
        <w:ind w:firstLine="480"/>
        <w:rPr>
          <w:rFonts w:hAnsi="宋体" w:cs="宋体"/>
          <w:color w:val="auto"/>
          <w:highlight w:val="none"/>
        </w:rPr>
      </w:pPr>
      <w:r>
        <w:rPr>
          <w:rFonts w:hint="eastAsia" w:hAnsi="宋体" w:cs="宋体"/>
          <w:color w:val="auto"/>
          <w:highlight w:val="none"/>
        </w:rPr>
        <w:t>4.3 接到磋商小组澄清要求的供应商如未按规定做出澄清，其风险由供应商自行承担。</w:t>
      </w:r>
    </w:p>
    <w:p w14:paraId="076530FB">
      <w:pPr>
        <w:pStyle w:val="205"/>
        <w:ind w:firstLine="480"/>
        <w:rPr>
          <w:rFonts w:hAnsi="宋体" w:cs="宋体"/>
          <w:color w:val="auto"/>
          <w:highlight w:val="none"/>
        </w:rPr>
      </w:pPr>
      <w:r>
        <w:rPr>
          <w:rFonts w:hint="eastAsia" w:hAnsi="宋体" w:cs="宋体"/>
          <w:color w:val="auto"/>
          <w:highlight w:val="none"/>
        </w:rPr>
        <w:t>5.对响应文件的初审</w:t>
      </w:r>
    </w:p>
    <w:p w14:paraId="585E00A1">
      <w:pPr>
        <w:pStyle w:val="205"/>
        <w:ind w:firstLine="480"/>
        <w:rPr>
          <w:rFonts w:hAnsi="宋体" w:cs="宋体"/>
          <w:color w:val="auto"/>
          <w:highlight w:val="none"/>
        </w:rPr>
      </w:pPr>
      <w:r>
        <w:rPr>
          <w:rFonts w:hint="eastAsia" w:hAnsi="宋体" w:cs="宋体"/>
          <w:color w:val="auto"/>
          <w:highlight w:val="none"/>
        </w:rPr>
        <w:t>5.1响应文件初审分为资格性审查和符合性审查。</w:t>
      </w:r>
    </w:p>
    <w:p w14:paraId="47CFB2CB">
      <w:pPr>
        <w:pStyle w:val="205"/>
        <w:ind w:firstLine="480"/>
        <w:rPr>
          <w:rFonts w:hAnsi="宋体" w:cs="宋体"/>
          <w:color w:val="auto"/>
          <w:highlight w:val="none"/>
        </w:rPr>
      </w:pPr>
      <w:r>
        <w:rPr>
          <w:rFonts w:hint="eastAsia" w:hAnsi="宋体" w:cs="宋体"/>
          <w:color w:val="auto"/>
          <w:highlight w:val="none"/>
        </w:rPr>
        <w:t>5.1.1资格性检查：依据法律法规和磋商文件的规定，由采购人对响应文件中的资格审查证明材料进行审查，资格审查的结论，采购人以书面形式向磋商小组进行反馈。</w:t>
      </w:r>
    </w:p>
    <w:p w14:paraId="52BBF3A7">
      <w:pPr>
        <w:pStyle w:val="205"/>
        <w:ind w:firstLine="480"/>
        <w:rPr>
          <w:rFonts w:hAnsi="宋体" w:cs="宋体"/>
          <w:color w:val="auto"/>
          <w:highlight w:val="none"/>
        </w:rPr>
      </w:pPr>
      <w:r>
        <w:rPr>
          <w:rFonts w:hint="eastAsia" w:hAnsi="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289EA14">
      <w:pPr>
        <w:pStyle w:val="205"/>
        <w:ind w:firstLine="480"/>
        <w:rPr>
          <w:rFonts w:hAnsi="宋体" w:cs="宋体"/>
          <w:color w:val="auto"/>
          <w:highlight w:val="none"/>
        </w:rPr>
      </w:pPr>
      <w:r>
        <w:rPr>
          <w:rFonts w:hint="eastAsia" w:hAnsi="宋体" w:cs="宋体"/>
          <w:color w:val="auto"/>
          <w:highlight w:val="none"/>
        </w:rPr>
        <w:t>5.1.2 符合性审查：依据磋商文件的规定，由磋商小组从响应文件的有效性、完整性和对磋商文件的响应程度进行审查，以确定是否对磋商文件的实质性要求作出响应。</w:t>
      </w:r>
    </w:p>
    <w:p w14:paraId="4D2B1857">
      <w:pPr>
        <w:pStyle w:val="205"/>
        <w:ind w:firstLine="480"/>
        <w:rPr>
          <w:rFonts w:hAnsi="宋体" w:cs="宋体"/>
          <w:color w:val="auto"/>
          <w:highlight w:val="none"/>
        </w:rPr>
      </w:pPr>
      <w:r>
        <w:rPr>
          <w:rFonts w:hint="eastAsia" w:hAnsi="宋体" w:cs="宋体"/>
          <w:color w:val="auto"/>
          <w:highlight w:val="none"/>
        </w:rPr>
        <w:t>5.1.3 未通过资格审查或符合性审查的供应商，采购人或采购代理机构告知未通过资格审查或符合性审查的原因，评审结束后，采购人或采购代理机构将不再告知未通过资格审查或符合性审查的原因。</w:t>
      </w:r>
    </w:p>
    <w:p w14:paraId="5C96A019">
      <w:pPr>
        <w:pStyle w:val="205"/>
        <w:ind w:firstLine="480"/>
        <w:rPr>
          <w:rFonts w:hAnsi="宋体" w:cs="宋体"/>
          <w:color w:val="auto"/>
          <w:highlight w:val="none"/>
        </w:rPr>
      </w:pPr>
      <w:r>
        <w:rPr>
          <w:rFonts w:hint="eastAsia" w:hAnsi="宋体" w:cs="宋体"/>
          <w:color w:val="auto"/>
          <w:highlight w:val="none"/>
        </w:rPr>
        <w:t>5.2 在正式磋商之前，磋商小组将首先审查每份响应文件是否实质性响应了磋商文件的要求。实质性响应的响应文件应该是与磋商文件要求的全部条款、条件和规格相符，没有重大负偏离或保留。</w:t>
      </w:r>
    </w:p>
    <w:p w14:paraId="235E3FFD">
      <w:pPr>
        <w:pStyle w:val="205"/>
        <w:ind w:firstLine="480"/>
        <w:rPr>
          <w:rFonts w:hAnsi="宋体" w:cs="宋体"/>
          <w:color w:val="auto"/>
          <w:highlight w:val="none"/>
        </w:rPr>
      </w:pPr>
      <w:r>
        <w:rPr>
          <w:rFonts w:hint="eastAsia" w:hAnsi="宋体" w:cs="宋体"/>
          <w:color w:val="auto"/>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5DE0F03">
      <w:pPr>
        <w:pStyle w:val="205"/>
        <w:ind w:firstLine="480"/>
        <w:rPr>
          <w:rFonts w:hAnsi="宋体" w:cs="宋体"/>
          <w:color w:val="auto"/>
          <w:highlight w:val="none"/>
        </w:rPr>
      </w:pPr>
      <w:r>
        <w:rPr>
          <w:rFonts w:hint="eastAsia" w:hAnsi="宋体" w:cs="宋体"/>
          <w:color w:val="auto"/>
          <w:highlight w:val="none"/>
        </w:rPr>
        <w:t>5.3 如果响应文件实质上没有响应磋商文件的要求，磋商小组将予以拒绝，供应商不得通过修改或撤销不合要求的偏离或保留而使其响应文件成为实质性响应的文件。</w:t>
      </w:r>
    </w:p>
    <w:p w14:paraId="77BBBF9D">
      <w:pPr>
        <w:pStyle w:val="205"/>
        <w:ind w:firstLine="480"/>
        <w:rPr>
          <w:rFonts w:hAnsi="宋体" w:cs="宋体"/>
          <w:color w:val="auto"/>
          <w:highlight w:val="none"/>
        </w:rPr>
      </w:pPr>
      <w:r>
        <w:rPr>
          <w:rFonts w:hint="eastAsia" w:hAnsi="宋体" w:cs="宋体"/>
          <w:color w:val="auto"/>
          <w:highlight w:val="none"/>
        </w:rPr>
        <w:t>5.4 磋商小组将对确定为实质性响应的文件进行进一步审核，看其是否有计算上或累加上的算术错误，修正错误的原则如下：</w:t>
      </w:r>
    </w:p>
    <w:p w14:paraId="513E01A2">
      <w:pPr>
        <w:pStyle w:val="205"/>
        <w:ind w:firstLine="482"/>
        <w:rPr>
          <w:rFonts w:hAnsi="宋体" w:cs="宋体"/>
          <w:b/>
          <w:bCs/>
          <w:color w:val="auto"/>
          <w:highlight w:val="none"/>
        </w:rPr>
      </w:pPr>
      <w:r>
        <w:rPr>
          <w:rFonts w:hint="eastAsia" w:hAnsi="宋体" w:cs="宋体"/>
          <w:b/>
          <w:bCs/>
          <w:color w:val="auto"/>
          <w:highlight w:val="none"/>
        </w:rPr>
        <w:t>（1）响应文件中报价总表内容与响应文件中相应内容不一致的，以报价总表为准。</w:t>
      </w:r>
    </w:p>
    <w:p w14:paraId="2DA9109A">
      <w:pPr>
        <w:pStyle w:val="205"/>
        <w:ind w:firstLine="482"/>
        <w:rPr>
          <w:rFonts w:hAnsi="宋体" w:cs="宋体"/>
          <w:b/>
          <w:bCs/>
          <w:color w:val="auto"/>
          <w:highlight w:val="none"/>
        </w:rPr>
      </w:pPr>
      <w:r>
        <w:rPr>
          <w:rFonts w:hint="eastAsia" w:hAnsi="宋体" w:cs="宋体"/>
          <w:b/>
          <w:bCs/>
          <w:color w:val="auto"/>
          <w:highlight w:val="none"/>
        </w:rPr>
        <w:t>（2）大写金额和小写金额不一致的，以大写金额为准。</w:t>
      </w:r>
    </w:p>
    <w:p w14:paraId="2EB8E9B5">
      <w:pPr>
        <w:pStyle w:val="205"/>
        <w:ind w:firstLine="482"/>
        <w:rPr>
          <w:rFonts w:hAnsi="宋体" w:cs="宋体"/>
          <w:b/>
          <w:bCs/>
          <w:color w:val="auto"/>
          <w:highlight w:val="none"/>
        </w:rPr>
      </w:pPr>
      <w:r>
        <w:rPr>
          <w:rFonts w:hint="eastAsia" w:hAnsi="宋体" w:cs="宋体"/>
          <w:b/>
          <w:bCs/>
          <w:color w:val="auto"/>
          <w:highlight w:val="none"/>
        </w:rPr>
        <w:t>（3）单价金额小数点或者百分比有明显错位的，以报价总表的总价为准，并修改单价。</w:t>
      </w:r>
    </w:p>
    <w:p w14:paraId="21CA1AE5">
      <w:pPr>
        <w:pStyle w:val="205"/>
        <w:ind w:firstLine="482"/>
        <w:rPr>
          <w:rFonts w:hAnsi="宋体" w:cs="宋体"/>
          <w:color w:val="auto"/>
          <w:highlight w:val="none"/>
        </w:rPr>
      </w:pPr>
      <w:r>
        <w:rPr>
          <w:rFonts w:hint="eastAsia" w:hAnsi="宋体" w:cs="宋体"/>
          <w:b/>
          <w:bCs/>
          <w:color w:val="auto"/>
          <w:highlight w:val="none"/>
        </w:rPr>
        <w:t>（4）总价金额与按单价汇总金额不一致的，以单价金额计算结果为准。</w:t>
      </w:r>
    </w:p>
    <w:p w14:paraId="5E8FE9BF">
      <w:pPr>
        <w:pStyle w:val="205"/>
        <w:ind w:firstLine="480"/>
        <w:rPr>
          <w:rFonts w:hAnsi="宋体" w:cs="宋体"/>
          <w:color w:val="auto"/>
          <w:highlight w:val="none"/>
        </w:rPr>
      </w:pPr>
      <w:r>
        <w:rPr>
          <w:rFonts w:hint="eastAsia" w:hAnsi="宋体" w:cs="宋体"/>
          <w:color w:val="auto"/>
          <w:highlight w:val="none"/>
        </w:rPr>
        <w:t>同时出现两种以上错误的，按照前款规定的顺序修正。</w:t>
      </w:r>
    </w:p>
    <w:p w14:paraId="30C62165">
      <w:pPr>
        <w:pStyle w:val="205"/>
        <w:ind w:firstLine="480"/>
        <w:rPr>
          <w:rFonts w:hAnsi="宋体" w:cs="宋体"/>
          <w:color w:val="auto"/>
          <w:highlight w:val="none"/>
        </w:rPr>
      </w:pPr>
      <w:r>
        <w:rPr>
          <w:rFonts w:hint="eastAsia" w:hAnsi="宋体" w:cs="宋体"/>
          <w:color w:val="auto"/>
          <w:highlight w:val="none"/>
        </w:rPr>
        <w:t>5.5 磋商小组将按上述修正错误的方法调整响应文件中的报价，现场告知供应商，调整后的价格应对供应商具有约束力。如果供应商不接受修正后的价格，则其磋商活动将被拒绝。</w:t>
      </w:r>
    </w:p>
    <w:p w14:paraId="3EBCF16F">
      <w:pPr>
        <w:pStyle w:val="205"/>
        <w:ind w:firstLine="480"/>
        <w:rPr>
          <w:rFonts w:hAnsi="宋体" w:cs="宋体"/>
          <w:color w:val="auto"/>
          <w:highlight w:val="none"/>
        </w:rPr>
      </w:pPr>
      <w:r>
        <w:rPr>
          <w:rFonts w:hint="eastAsia" w:hAnsi="宋体" w:cs="宋体"/>
          <w:color w:val="auto"/>
          <w:highlight w:val="none"/>
        </w:rPr>
        <w:t>5.6 磋商小组将允许修正响应文件中不构成重大偏离的、微小的、非正规的、不一致的或不规则的地方，但这些修改不能影响任何供应商相应的名次排列。</w:t>
      </w:r>
    </w:p>
    <w:p w14:paraId="5FF80976">
      <w:pPr>
        <w:pStyle w:val="205"/>
        <w:ind w:firstLine="480"/>
        <w:rPr>
          <w:rFonts w:hAnsi="宋体" w:cs="宋体"/>
          <w:color w:val="auto"/>
          <w:highlight w:val="none"/>
        </w:rPr>
      </w:pPr>
      <w:r>
        <w:rPr>
          <w:rFonts w:hint="eastAsia" w:hAnsi="宋体" w:cs="宋体"/>
          <w:color w:val="auto"/>
          <w:highlight w:val="none"/>
        </w:rPr>
        <w:t>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696311FD">
      <w:pPr>
        <w:pStyle w:val="205"/>
        <w:ind w:firstLine="480"/>
        <w:rPr>
          <w:rFonts w:hAnsi="宋体" w:cs="宋体"/>
          <w:color w:val="auto"/>
          <w:highlight w:val="none"/>
        </w:rPr>
      </w:pPr>
      <w:r>
        <w:rPr>
          <w:rFonts w:hint="eastAsia" w:hAnsi="宋体" w:cs="宋体"/>
          <w:color w:val="auto"/>
          <w:highlight w:val="none"/>
        </w:rPr>
        <w:t>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35B1D514">
      <w:pPr>
        <w:pStyle w:val="205"/>
        <w:ind w:firstLine="480"/>
        <w:rPr>
          <w:rFonts w:hAnsi="宋体" w:cs="宋体"/>
          <w:color w:val="auto"/>
          <w:highlight w:val="none"/>
        </w:rPr>
      </w:pPr>
      <w:r>
        <w:rPr>
          <w:rFonts w:hint="eastAsia" w:hAnsi="宋体" w:cs="宋体"/>
          <w:color w:val="auto"/>
          <w:highlight w:val="none"/>
        </w:rPr>
        <w:t>5.9 供应商在评审全过程中应保持通讯畅通，并安排专人与采购人或采购代理机构及磋商小组联系。</w:t>
      </w:r>
    </w:p>
    <w:p w14:paraId="36A04F2F">
      <w:pPr>
        <w:pStyle w:val="205"/>
        <w:ind w:firstLine="480"/>
        <w:rPr>
          <w:rFonts w:hAnsi="宋体" w:cs="宋体"/>
          <w:color w:val="auto"/>
          <w:highlight w:val="none"/>
        </w:rPr>
      </w:pPr>
      <w:r>
        <w:rPr>
          <w:rFonts w:hint="eastAsia" w:hAnsi="宋体" w:cs="宋体"/>
          <w:color w:val="auto"/>
          <w:highlight w:val="none"/>
        </w:rPr>
        <w:t>6. 被认定为未实质性响应磋商文件的响应文件的情形。</w:t>
      </w:r>
    </w:p>
    <w:p w14:paraId="380E8FB1">
      <w:pPr>
        <w:pStyle w:val="205"/>
        <w:ind w:firstLine="482"/>
        <w:rPr>
          <w:rFonts w:hAnsi="宋体" w:cs="宋体"/>
          <w:b/>
          <w:bCs/>
          <w:color w:val="auto"/>
          <w:highlight w:val="none"/>
        </w:rPr>
      </w:pPr>
      <w:r>
        <w:rPr>
          <w:rFonts w:hint="eastAsia" w:hAnsi="宋体" w:cs="宋体"/>
          <w:b/>
          <w:bCs/>
          <w:color w:val="auto"/>
          <w:highlight w:val="none"/>
        </w:rPr>
        <w:t>6.1出现下列情形之一的，作无效响应处理。</w:t>
      </w:r>
    </w:p>
    <w:p w14:paraId="428DF83D">
      <w:pPr>
        <w:pStyle w:val="205"/>
        <w:ind w:firstLine="480"/>
        <w:rPr>
          <w:rFonts w:hAnsi="宋体" w:cs="宋体"/>
          <w:color w:val="auto"/>
          <w:highlight w:val="none"/>
        </w:rPr>
      </w:pPr>
      <w:r>
        <w:rPr>
          <w:rFonts w:hint="eastAsia" w:hAnsi="宋体" w:cs="宋体"/>
          <w:color w:val="auto"/>
          <w:highlight w:val="none"/>
        </w:rPr>
        <w:t>6.1.1 同一供应商提交两个（含两个）以上不同的响应报价的。</w:t>
      </w:r>
    </w:p>
    <w:p w14:paraId="586BD917">
      <w:pPr>
        <w:pStyle w:val="205"/>
        <w:ind w:firstLine="480"/>
        <w:rPr>
          <w:rFonts w:hAnsi="宋体" w:cs="宋体"/>
          <w:color w:val="auto"/>
          <w:highlight w:val="none"/>
        </w:rPr>
      </w:pPr>
      <w:r>
        <w:rPr>
          <w:rFonts w:hint="eastAsia" w:hAnsi="宋体" w:cs="宋体"/>
          <w:color w:val="auto"/>
          <w:highlight w:val="none"/>
        </w:rPr>
        <w:t>6.1.2 不具备磋商文件中规定的资格要求的。</w:t>
      </w:r>
    </w:p>
    <w:p w14:paraId="02DF46FA">
      <w:pPr>
        <w:pStyle w:val="205"/>
        <w:ind w:firstLine="480"/>
        <w:rPr>
          <w:rFonts w:hAnsi="宋体" w:cs="宋体"/>
          <w:color w:val="auto"/>
          <w:highlight w:val="none"/>
        </w:rPr>
      </w:pPr>
      <w:r>
        <w:rPr>
          <w:rFonts w:hint="eastAsia" w:hAnsi="宋体" w:cs="宋体"/>
          <w:color w:val="auto"/>
          <w:highlight w:val="none"/>
        </w:rPr>
        <w:t>6.1.3 响应报价超过最高投标限价的。</w:t>
      </w:r>
    </w:p>
    <w:p w14:paraId="279C06C1">
      <w:pPr>
        <w:pStyle w:val="205"/>
        <w:ind w:firstLine="480"/>
        <w:rPr>
          <w:rFonts w:hAnsi="宋体" w:cs="宋体"/>
          <w:color w:val="auto"/>
          <w:highlight w:val="none"/>
        </w:rPr>
      </w:pPr>
      <w:r>
        <w:rPr>
          <w:rFonts w:hint="eastAsia" w:hAnsi="宋体" w:cs="宋体"/>
          <w:color w:val="auto"/>
          <w:highlight w:val="none"/>
        </w:rPr>
        <w:t>6.1.4 未通过符合性检查的。</w:t>
      </w:r>
    </w:p>
    <w:p w14:paraId="3868B089">
      <w:pPr>
        <w:pStyle w:val="205"/>
        <w:ind w:firstLine="480"/>
        <w:rPr>
          <w:rFonts w:hAnsi="宋体" w:cs="宋体"/>
          <w:color w:val="auto"/>
          <w:highlight w:val="none"/>
        </w:rPr>
      </w:pPr>
      <w:r>
        <w:rPr>
          <w:rFonts w:hint="eastAsia" w:hAnsi="宋体" w:cs="宋体"/>
          <w:color w:val="auto"/>
          <w:highlight w:val="none"/>
        </w:rPr>
        <w:t>6.1.5 不符合法律、法规和磋商文件中规定的其他实质性要求的。</w:t>
      </w:r>
    </w:p>
    <w:p w14:paraId="08652C37">
      <w:pPr>
        <w:pStyle w:val="205"/>
        <w:ind w:firstLine="480"/>
        <w:rPr>
          <w:rFonts w:hAnsi="宋体" w:cs="宋体"/>
          <w:color w:val="auto"/>
          <w:highlight w:val="none"/>
        </w:rPr>
      </w:pPr>
      <w:r>
        <w:rPr>
          <w:rFonts w:hint="eastAsia" w:hAnsi="宋体" w:cs="宋体"/>
          <w:color w:val="auto"/>
          <w:highlight w:val="none"/>
        </w:rPr>
        <w:t>6.1.6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165B98C8">
      <w:pPr>
        <w:pStyle w:val="205"/>
        <w:ind w:firstLine="480"/>
        <w:rPr>
          <w:rFonts w:hAnsi="宋体" w:cs="宋体"/>
          <w:color w:val="auto"/>
          <w:highlight w:val="none"/>
        </w:rPr>
      </w:pPr>
      <w:r>
        <w:rPr>
          <w:rFonts w:hint="eastAsia" w:hAnsi="宋体" w:cs="宋体"/>
          <w:color w:val="auto"/>
          <w:highlight w:val="none"/>
        </w:rPr>
        <w:t>6.1.7 响应文件含有采购人不能接受的附加条件的。</w:t>
      </w:r>
    </w:p>
    <w:p w14:paraId="60C8C474">
      <w:pPr>
        <w:pStyle w:val="205"/>
        <w:ind w:firstLine="480"/>
        <w:rPr>
          <w:rFonts w:hAnsi="宋体" w:cs="宋体"/>
          <w:color w:val="auto"/>
          <w:highlight w:val="none"/>
        </w:rPr>
      </w:pPr>
      <w:r>
        <w:rPr>
          <w:rFonts w:hint="eastAsia" w:hAnsi="宋体" w:cs="宋体"/>
          <w:color w:val="auto"/>
          <w:highlight w:val="none"/>
        </w:rPr>
        <w:t>6.1.8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68721247">
      <w:pPr>
        <w:pStyle w:val="205"/>
        <w:ind w:firstLine="480"/>
        <w:rPr>
          <w:rFonts w:hint="eastAsia" w:hAnsi="宋体" w:cs="宋体"/>
          <w:b/>
          <w:bCs/>
          <w:color w:val="auto"/>
          <w:highlight w:val="none"/>
        </w:rPr>
      </w:pPr>
      <w:r>
        <w:rPr>
          <w:rFonts w:hint="eastAsia" w:hAnsi="宋体" w:cs="宋体"/>
          <w:b/>
          <w:bCs/>
          <w:color w:val="auto"/>
          <w:highlight w:val="none"/>
        </w:rPr>
        <w:t>6.1.9异常低价投标审查</w:t>
      </w:r>
    </w:p>
    <w:p w14:paraId="23BAEC8B">
      <w:pPr>
        <w:pStyle w:val="205"/>
        <w:ind w:firstLine="480"/>
        <w:rPr>
          <w:rFonts w:hint="eastAsia" w:hAnsi="宋体" w:cs="宋体"/>
          <w:b/>
          <w:bCs/>
          <w:color w:val="auto"/>
          <w:highlight w:val="none"/>
        </w:rPr>
      </w:pPr>
      <w:r>
        <w:rPr>
          <w:rFonts w:hint="eastAsia" w:hAnsi="宋体" w:cs="宋体"/>
          <w:b/>
          <w:bCs/>
          <w:color w:val="auto"/>
          <w:highlight w:val="none"/>
        </w:rPr>
        <w:t>（一）政府采购评审中出现下列情形之一的，评审委员会应当启动异常低价投标审查程序：</w:t>
      </w:r>
    </w:p>
    <w:p w14:paraId="2E58FB06">
      <w:pPr>
        <w:pStyle w:val="205"/>
        <w:ind w:firstLine="480"/>
        <w:rPr>
          <w:rFonts w:hint="eastAsia" w:hAnsi="宋体" w:cs="宋体"/>
          <w:b/>
          <w:bCs/>
          <w:color w:val="auto"/>
          <w:highlight w:val="none"/>
        </w:rPr>
      </w:pPr>
      <w:r>
        <w:rPr>
          <w:rFonts w:hint="eastAsia" w:hAnsi="宋体" w:cs="宋体"/>
          <w:b/>
          <w:bCs/>
          <w:color w:val="auto"/>
          <w:highlight w:val="none"/>
        </w:rPr>
        <w:t>1.投标报价低于全部通过符合性审查供应商投标报价平均值</w:t>
      </w:r>
      <w:r>
        <w:rPr>
          <w:rFonts w:hint="eastAsia" w:hAnsi="宋体" w:cs="宋体"/>
          <w:b/>
          <w:bCs/>
          <w:color w:val="auto"/>
          <w:highlight w:val="none"/>
          <w:lang w:val="en-US" w:eastAsia="zh-CN"/>
        </w:rPr>
        <w:t>65</w:t>
      </w:r>
      <w:r>
        <w:rPr>
          <w:rFonts w:hint="eastAsia" w:hAnsi="宋体" w:cs="宋体"/>
          <w:b/>
          <w:bCs/>
          <w:color w:val="auto"/>
          <w:highlight w:val="none"/>
        </w:rPr>
        <w:t>%的，即投标报价&lt;全部通过符合性审查供应商投标报价平均值×</w:t>
      </w:r>
      <w:r>
        <w:rPr>
          <w:rFonts w:hint="eastAsia" w:hAnsi="宋体" w:cs="宋体"/>
          <w:b/>
          <w:bCs/>
          <w:color w:val="auto"/>
          <w:highlight w:val="none"/>
          <w:lang w:val="en-US" w:eastAsia="zh-CN"/>
        </w:rPr>
        <w:t>65</w:t>
      </w:r>
      <w:r>
        <w:rPr>
          <w:rFonts w:hint="eastAsia" w:hAnsi="宋体" w:cs="宋体"/>
          <w:b/>
          <w:bCs/>
          <w:color w:val="auto"/>
          <w:highlight w:val="none"/>
        </w:rPr>
        <w:t>%；</w:t>
      </w:r>
    </w:p>
    <w:p w14:paraId="327647D4">
      <w:pPr>
        <w:pStyle w:val="205"/>
        <w:ind w:firstLine="480"/>
        <w:rPr>
          <w:rFonts w:hint="eastAsia" w:hAnsi="宋体" w:cs="宋体"/>
          <w:b/>
          <w:bCs/>
          <w:color w:val="auto"/>
          <w:highlight w:val="none"/>
        </w:rPr>
      </w:pPr>
      <w:r>
        <w:rPr>
          <w:rFonts w:hint="eastAsia" w:hAnsi="宋体" w:cs="宋体"/>
          <w:b/>
          <w:bCs/>
          <w:color w:val="auto"/>
          <w:highlight w:val="none"/>
        </w:rPr>
        <w:t>2.投标报价低于通过符合性审查的次低报价供应商投标报价</w:t>
      </w:r>
      <w:r>
        <w:rPr>
          <w:rFonts w:hint="eastAsia" w:hAnsi="宋体" w:cs="宋体"/>
          <w:b/>
          <w:bCs/>
          <w:color w:val="auto"/>
          <w:highlight w:val="none"/>
          <w:lang w:val="en-US" w:eastAsia="zh-CN"/>
        </w:rPr>
        <w:t>65</w:t>
      </w:r>
      <w:r>
        <w:rPr>
          <w:rFonts w:hint="eastAsia" w:hAnsi="宋体" w:cs="宋体"/>
          <w:b/>
          <w:bCs/>
          <w:color w:val="auto"/>
          <w:highlight w:val="none"/>
        </w:rPr>
        <w:t>%的，即投标报价&lt;通过符合性审查的次低报价供应商投标报价×</w:t>
      </w:r>
      <w:r>
        <w:rPr>
          <w:rFonts w:hint="eastAsia" w:hAnsi="宋体" w:cs="宋体"/>
          <w:b/>
          <w:bCs/>
          <w:color w:val="auto"/>
          <w:highlight w:val="none"/>
          <w:lang w:val="en-US" w:eastAsia="zh-CN"/>
        </w:rPr>
        <w:t>65</w:t>
      </w:r>
      <w:r>
        <w:rPr>
          <w:rFonts w:hint="eastAsia" w:hAnsi="宋体" w:cs="宋体"/>
          <w:b/>
          <w:bCs/>
          <w:color w:val="auto"/>
          <w:highlight w:val="none"/>
        </w:rPr>
        <w:t>%；</w:t>
      </w:r>
    </w:p>
    <w:p w14:paraId="4A96C10A">
      <w:pPr>
        <w:pStyle w:val="205"/>
        <w:ind w:firstLine="480"/>
        <w:rPr>
          <w:rFonts w:hint="eastAsia" w:hAnsi="宋体" w:cs="宋体"/>
          <w:b/>
          <w:bCs/>
          <w:color w:val="auto"/>
          <w:highlight w:val="none"/>
        </w:rPr>
      </w:pPr>
      <w:r>
        <w:rPr>
          <w:rFonts w:hint="eastAsia" w:hAnsi="宋体" w:cs="宋体"/>
          <w:b/>
          <w:bCs/>
          <w:color w:val="auto"/>
          <w:highlight w:val="none"/>
        </w:rPr>
        <w:t>3.投标报价低于采购项目最高限价</w:t>
      </w:r>
      <w:r>
        <w:rPr>
          <w:rFonts w:hint="eastAsia" w:hAnsi="宋体" w:cs="宋体"/>
          <w:b/>
          <w:bCs/>
          <w:color w:val="auto"/>
          <w:highlight w:val="none"/>
          <w:lang w:val="en-US" w:eastAsia="zh-CN"/>
        </w:rPr>
        <w:t>65</w:t>
      </w:r>
      <w:r>
        <w:rPr>
          <w:rFonts w:hint="eastAsia" w:hAnsi="宋体" w:cs="宋体"/>
          <w:b/>
          <w:bCs/>
          <w:color w:val="auto"/>
          <w:highlight w:val="none"/>
        </w:rPr>
        <w:t>%的，即投标报价&lt;采购项目最高限价×</w:t>
      </w:r>
      <w:r>
        <w:rPr>
          <w:rFonts w:hint="eastAsia" w:hAnsi="宋体" w:cs="宋体"/>
          <w:b/>
          <w:bCs/>
          <w:color w:val="auto"/>
          <w:highlight w:val="none"/>
          <w:lang w:val="en-US" w:eastAsia="zh-CN"/>
        </w:rPr>
        <w:t>65</w:t>
      </w:r>
      <w:r>
        <w:rPr>
          <w:rFonts w:hint="eastAsia" w:hAnsi="宋体" w:cs="宋体"/>
          <w:b/>
          <w:bCs/>
          <w:color w:val="auto"/>
          <w:highlight w:val="none"/>
        </w:rPr>
        <w:t>%；</w:t>
      </w:r>
    </w:p>
    <w:p w14:paraId="091F4E38">
      <w:pPr>
        <w:pStyle w:val="205"/>
        <w:ind w:firstLine="480"/>
        <w:rPr>
          <w:rFonts w:hint="eastAsia" w:hAnsi="宋体" w:cs="宋体"/>
          <w:b/>
          <w:bCs/>
          <w:color w:val="auto"/>
          <w:highlight w:val="none"/>
        </w:rPr>
      </w:pPr>
      <w:r>
        <w:rPr>
          <w:rFonts w:hint="eastAsia" w:hAnsi="宋体" w:cs="宋体"/>
          <w:b/>
          <w:bCs/>
          <w:color w:val="auto"/>
          <w:highlight w:val="none"/>
        </w:rPr>
        <w:t>4.评审委员会基于专业判断，认为供应商报价过低，有可能影响产品质量或者不能诚信履约的其他情形。</w:t>
      </w:r>
    </w:p>
    <w:p w14:paraId="3603639B">
      <w:pPr>
        <w:pStyle w:val="205"/>
        <w:ind w:firstLine="480"/>
        <w:rPr>
          <w:rFonts w:hint="eastAsia" w:hAnsi="宋体" w:cs="宋体"/>
          <w:b/>
          <w:bCs/>
          <w:color w:val="auto"/>
          <w:highlight w:val="none"/>
        </w:rPr>
      </w:pPr>
      <w:r>
        <w:rPr>
          <w:rFonts w:hint="eastAsia" w:hAnsi="宋体" w:cs="宋体"/>
          <w:b/>
          <w:bCs/>
          <w:color w:val="auto"/>
          <w:highlight w:val="none"/>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743B2450">
      <w:pPr>
        <w:pStyle w:val="205"/>
        <w:ind w:firstLine="480"/>
        <w:rPr>
          <w:rFonts w:hint="eastAsia" w:hAnsi="宋体" w:cs="宋体"/>
          <w:b/>
          <w:bCs/>
          <w:color w:val="auto"/>
          <w:highlight w:val="none"/>
        </w:rPr>
      </w:pPr>
      <w:r>
        <w:rPr>
          <w:rFonts w:hint="eastAsia" w:hAnsi="宋体" w:cs="宋体"/>
          <w:b/>
          <w:bCs/>
          <w:color w:val="auto"/>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22CA633F">
      <w:pPr>
        <w:pStyle w:val="205"/>
        <w:ind w:firstLine="480"/>
        <w:rPr>
          <w:rFonts w:hint="eastAsia" w:hAnsi="宋体" w:cs="宋体"/>
          <w:b/>
          <w:bCs/>
          <w:color w:val="auto"/>
          <w:highlight w:val="none"/>
        </w:rPr>
      </w:pPr>
      <w:r>
        <w:rPr>
          <w:rFonts w:hint="eastAsia" w:hAnsi="宋体" w:cs="宋体"/>
          <w:b/>
          <w:bCs/>
          <w:color w:val="auto"/>
          <w:highlight w:val="none"/>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DF8FB8E">
      <w:pPr>
        <w:pStyle w:val="205"/>
        <w:ind w:firstLine="480"/>
        <w:rPr>
          <w:rFonts w:hAnsi="宋体" w:cs="宋体"/>
          <w:color w:val="auto"/>
          <w:highlight w:val="none"/>
        </w:rPr>
      </w:pPr>
      <w:r>
        <w:rPr>
          <w:rFonts w:hint="eastAsia" w:hAnsi="宋体" w:cs="宋体"/>
          <w:b/>
          <w:bCs/>
          <w:color w:val="auto"/>
          <w:highlight w:val="none"/>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72A413B5">
      <w:pPr>
        <w:pStyle w:val="205"/>
        <w:ind w:firstLine="480"/>
        <w:rPr>
          <w:rFonts w:hAnsi="宋体" w:cs="宋体"/>
          <w:color w:val="auto"/>
          <w:highlight w:val="none"/>
        </w:rPr>
      </w:pPr>
      <w:r>
        <w:rPr>
          <w:rFonts w:hint="eastAsia" w:hAnsi="宋体" w:cs="宋体"/>
          <w:color w:val="auto"/>
          <w:highlight w:val="none"/>
        </w:rPr>
        <w:t>6.1.10 响应文件未按照磋商文件要求加盖电子签章。</w:t>
      </w:r>
    </w:p>
    <w:p w14:paraId="6B287738">
      <w:pPr>
        <w:pStyle w:val="205"/>
        <w:ind w:firstLine="480"/>
        <w:rPr>
          <w:rFonts w:hAnsi="宋体" w:cs="宋体"/>
          <w:color w:val="auto"/>
          <w:highlight w:val="none"/>
        </w:rPr>
      </w:pPr>
      <w:r>
        <w:rPr>
          <w:rFonts w:hint="eastAsia" w:hAnsi="宋体" w:cs="宋体"/>
          <w:color w:val="auto"/>
          <w:highlight w:val="none"/>
        </w:rPr>
        <w:t>6.1.11 投标人的商务技术部分得分相差悬殊，评标委员会认为得分畸低者没有实质性响应的。</w:t>
      </w:r>
    </w:p>
    <w:p w14:paraId="53EB5FBE">
      <w:pPr>
        <w:pStyle w:val="205"/>
        <w:ind w:firstLine="480"/>
        <w:rPr>
          <w:rFonts w:hAnsi="宋体" w:cs="宋体"/>
          <w:color w:val="auto"/>
          <w:highlight w:val="none"/>
        </w:rPr>
      </w:pPr>
      <w:r>
        <w:rPr>
          <w:rFonts w:hint="eastAsia" w:hAnsi="宋体" w:cs="宋体"/>
          <w:color w:val="auto"/>
          <w:highlight w:val="none"/>
        </w:rPr>
        <w:t>6.1.12 供应商在系统规定的时间内未成功解密电子响应文件的。</w:t>
      </w:r>
    </w:p>
    <w:p w14:paraId="4370D53B">
      <w:pPr>
        <w:pStyle w:val="205"/>
        <w:ind w:firstLine="480"/>
        <w:rPr>
          <w:rFonts w:hAnsi="宋体" w:cs="宋体"/>
          <w:color w:val="auto"/>
          <w:highlight w:val="none"/>
        </w:rPr>
      </w:pPr>
      <w:r>
        <w:rPr>
          <w:rFonts w:hint="eastAsia" w:hAnsi="宋体" w:cs="宋体"/>
          <w:color w:val="auto"/>
          <w:highlight w:val="none"/>
        </w:rPr>
        <w:t>6.1.13 未完整上传响应文件电子文档的,或上传的文件打不开的。</w:t>
      </w:r>
    </w:p>
    <w:p w14:paraId="3E0B05B6">
      <w:pPr>
        <w:pStyle w:val="205"/>
        <w:ind w:firstLine="480"/>
        <w:rPr>
          <w:rFonts w:hAnsi="宋体" w:cs="宋体"/>
          <w:color w:val="auto"/>
          <w:highlight w:val="none"/>
        </w:rPr>
      </w:pPr>
      <w:r>
        <w:rPr>
          <w:rFonts w:hint="eastAsia" w:hAnsi="宋体" w:cs="宋体"/>
          <w:color w:val="auto"/>
          <w:highlight w:val="none"/>
        </w:rPr>
        <w:t>6.1.14 不同的供应商响应文件制作机器码、文件创建标识码一致的。</w:t>
      </w:r>
    </w:p>
    <w:p w14:paraId="665D005B">
      <w:pPr>
        <w:pStyle w:val="205"/>
        <w:ind w:firstLine="480"/>
        <w:rPr>
          <w:rFonts w:hAnsi="宋体" w:cs="宋体"/>
          <w:color w:val="auto"/>
          <w:highlight w:val="none"/>
        </w:rPr>
      </w:pPr>
      <w:r>
        <w:rPr>
          <w:rFonts w:hint="eastAsia" w:hAnsi="宋体" w:cs="宋体"/>
          <w:color w:val="auto"/>
          <w:highlight w:val="none"/>
        </w:rPr>
        <w:t>6.1.15 其他法律、法规及本磋商文件规定的属无效响应的情形。</w:t>
      </w:r>
    </w:p>
    <w:p w14:paraId="42AD5459">
      <w:pPr>
        <w:pStyle w:val="205"/>
        <w:ind w:firstLine="480"/>
        <w:rPr>
          <w:rFonts w:hint="eastAsia" w:hAnsi="宋体" w:cs="宋体"/>
          <w:color w:val="auto"/>
          <w:highlight w:val="none"/>
        </w:rPr>
      </w:pPr>
      <w:r>
        <w:rPr>
          <w:rFonts w:hint="eastAsia" w:hAnsi="宋体" w:cs="宋体"/>
          <w:color w:val="auto"/>
          <w:highlight w:val="none"/>
        </w:rPr>
        <w:t>6.2 出现下列情形之一的，本次竞争性磋商采购活动将被终止：</w:t>
      </w:r>
    </w:p>
    <w:p w14:paraId="33947A9E">
      <w:pPr>
        <w:pStyle w:val="205"/>
        <w:ind w:firstLine="480"/>
        <w:rPr>
          <w:rFonts w:hAnsi="宋体" w:cs="宋体"/>
          <w:color w:val="auto"/>
          <w:highlight w:val="none"/>
        </w:rPr>
      </w:pPr>
      <w:r>
        <w:rPr>
          <w:rFonts w:hint="eastAsia" w:hAnsi="宋体" w:cs="宋体"/>
          <w:color w:val="auto"/>
          <w:highlight w:val="none"/>
        </w:rPr>
        <w:t>6.2.1 响应文件提交截止时间结束后参加磋商的供应商</w:t>
      </w:r>
      <w:r>
        <w:rPr>
          <w:rFonts w:hint="eastAsia" w:hAnsi="宋体" w:cs="宋体"/>
          <w:color w:val="auto"/>
          <w:highlight w:val="none"/>
          <w:lang w:val="en-US" w:eastAsia="zh-CN"/>
        </w:rPr>
        <w:t>或</w:t>
      </w:r>
      <w:r>
        <w:rPr>
          <w:rFonts w:hint="eastAsia" w:hAnsi="宋体" w:cs="宋体"/>
          <w:color w:val="auto"/>
          <w:highlight w:val="none"/>
        </w:rPr>
        <w:t>磋商文件规定的截止时间成功解密电子响应文件的供应商不足三家的。</w:t>
      </w:r>
    </w:p>
    <w:p w14:paraId="7E22DA76">
      <w:pPr>
        <w:pStyle w:val="205"/>
        <w:ind w:firstLine="480"/>
        <w:rPr>
          <w:rFonts w:hint="eastAsia" w:hAnsi="宋体" w:eastAsia="宋体" w:cs="宋体"/>
          <w:color w:val="auto"/>
          <w:highlight w:val="none"/>
          <w:lang w:eastAsia="zh-CN"/>
        </w:rPr>
      </w:pPr>
      <w:r>
        <w:rPr>
          <w:rFonts w:hint="eastAsia" w:hAnsi="宋体" w:cs="宋体"/>
          <w:color w:val="auto"/>
          <w:highlight w:val="none"/>
        </w:rPr>
        <w:t>6.2.2 出现影响采购公正的违法违规行为的</w:t>
      </w:r>
      <w:r>
        <w:rPr>
          <w:rFonts w:hint="eastAsia" w:hAnsi="宋体" w:cs="宋体"/>
          <w:color w:val="auto"/>
          <w:highlight w:val="none"/>
          <w:lang w:eastAsia="zh-CN"/>
        </w:rPr>
        <w:t>。</w:t>
      </w:r>
    </w:p>
    <w:p w14:paraId="37BA71A2">
      <w:pPr>
        <w:pStyle w:val="205"/>
        <w:ind w:firstLine="480"/>
        <w:rPr>
          <w:rFonts w:hAnsi="宋体" w:cs="宋体"/>
          <w:color w:val="auto"/>
          <w:highlight w:val="none"/>
        </w:rPr>
      </w:pPr>
      <w:r>
        <w:rPr>
          <w:rFonts w:hint="eastAsia" w:hAnsi="宋体" w:cs="宋体"/>
          <w:color w:val="auto"/>
          <w:highlight w:val="none"/>
        </w:rPr>
        <w:t>6.2.3 因重大变故，采购任务取消的。</w:t>
      </w:r>
    </w:p>
    <w:p w14:paraId="3DEDDD66">
      <w:pPr>
        <w:pStyle w:val="205"/>
        <w:ind w:firstLine="480"/>
        <w:rPr>
          <w:rFonts w:hAnsi="宋体" w:cs="宋体"/>
          <w:color w:val="auto"/>
          <w:highlight w:val="none"/>
        </w:rPr>
      </w:pPr>
      <w:r>
        <w:rPr>
          <w:rFonts w:hint="eastAsia" w:hAnsi="宋体" w:cs="宋体"/>
          <w:color w:val="auto"/>
          <w:highlight w:val="none"/>
        </w:rPr>
        <w:t>6.2.4 磋商小组认定磋商文件存在歧义、重大缺陷导致评审工作无法进行。</w:t>
      </w:r>
    </w:p>
    <w:p w14:paraId="4E54CA61">
      <w:pPr>
        <w:pStyle w:val="205"/>
        <w:ind w:firstLine="480"/>
        <w:rPr>
          <w:rFonts w:hAnsi="宋体" w:cs="宋体"/>
          <w:color w:val="auto"/>
          <w:highlight w:val="none"/>
        </w:rPr>
      </w:pPr>
      <w:r>
        <w:rPr>
          <w:rFonts w:hint="eastAsia" w:hAnsi="宋体" w:cs="宋体"/>
          <w:color w:val="auto"/>
          <w:highlight w:val="none"/>
        </w:rPr>
        <w:t>6.2.5 因系统故障原因造成磋商不成功的。</w:t>
      </w:r>
    </w:p>
    <w:p w14:paraId="0581F9BB">
      <w:pPr>
        <w:pStyle w:val="205"/>
        <w:ind w:firstLine="480"/>
        <w:rPr>
          <w:rFonts w:hAnsi="宋体" w:cs="宋体"/>
          <w:color w:val="auto"/>
          <w:highlight w:val="none"/>
        </w:rPr>
      </w:pPr>
      <w:r>
        <w:rPr>
          <w:rFonts w:hint="eastAsia" w:hAnsi="宋体" w:cs="宋体"/>
          <w:color w:val="auto"/>
          <w:highlight w:val="none"/>
        </w:rPr>
        <w:t>6.</w:t>
      </w:r>
      <w:r>
        <w:rPr>
          <w:rFonts w:hint="eastAsia" w:hAnsi="宋体" w:cs="宋体"/>
          <w:color w:val="auto"/>
          <w:highlight w:val="none"/>
          <w:lang w:val="en-US" w:eastAsia="zh-CN"/>
        </w:rPr>
        <w:t>2</w:t>
      </w:r>
      <w:r>
        <w:rPr>
          <w:rFonts w:hint="eastAsia" w:hAnsi="宋体" w:cs="宋体"/>
          <w:color w:val="auto"/>
          <w:highlight w:val="none"/>
        </w:rPr>
        <w:t>.</w:t>
      </w:r>
      <w:r>
        <w:rPr>
          <w:rFonts w:hint="eastAsia" w:hAnsi="宋体" w:cs="宋体"/>
          <w:color w:val="auto"/>
          <w:highlight w:val="none"/>
          <w:lang w:val="en-US" w:eastAsia="zh-CN"/>
        </w:rPr>
        <w:t>6</w:t>
      </w:r>
      <w:r>
        <w:rPr>
          <w:rFonts w:hint="eastAsia" w:hAnsi="宋体" w:cs="宋体"/>
          <w:color w:val="auto"/>
          <w:highlight w:val="none"/>
        </w:rPr>
        <w:t>符合专业条件的供应商或者对磋商文件作实质响应的供应商不足三家的。</w:t>
      </w:r>
    </w:p>
    <w:p w14:paraId="63B992B3">
      <w:pPr>
        <w:pStyle w:val="205"/>
        <w:ind w:firstLine="482"/>
        <w:rPr>
          <w:rFonts w:hAnsi="宋体" w:cs="宋体"/>
          <w:b/>
          <w:bCs/>
          <w:color w:val="auto"/>
          <w:highlight w:val="none"/>
        </w:rPr>
      </w:pPr>
      <w:r>
        <w:rPr>
          <w:rFonts w:hint="eastAsia" w:hAnsi="宋体" w:cs="宋体"/>
          <w:b/>
          <w:bCs/>
          <w:color w:val="auto"/>
          <w:highlight w:val="none"/>
        </w:rPr>
        <w:t>7. 响应文件线上格式要求</w:t>
      </w:r>
    </w:p>
    <w:p w14:paraId="703984FB">
      <w:pPr>
        <w:pStyle w:val="205"/>
        <w:ind w:firstLine="482"/>
        <w:rPr>
          <w:rFonts w:hAnsi="宋体" w:cs="宋体"/>
          <w:color w:val="auto"/>
          <w:highlight w:val="none"/>
        </w:rPr>
      </w:pPr>
      <w:r>
        <w:rPr>
          <w:rFonts w:hint="eastAsia" w:hAnsi="宋体" w:cs="宋体"/>
          <w:color w:val="auto"/>
          <w:highlight w:val="none"/>
        </w:rPr>
        <w:t>7.1 供应商应当通过“苏采云”系统提交数据电文形式的响应文件（即电子投标）。</w:t>
      </w:r>
    </w:p>
    <w:p w14:paraId="32D6EE68">
      <w:pPr>
        <w:pStyle w:val="205"/>
        <w:ind w:firstLine="482"/>
        <w:rPr>
          <w:rFonts w:hAnsi="宋体" w:cs="宋体"/>
          <w:color w:val="auto"/>
          <w:highlight w:val="none"/>
        </w:rPr>
      </w:pPr>
      <w:r>
        <w:rPr>
          <w:rFonts w:hint="eastAsia" w:hAnsi="宋体" w:cs="宋体"/>
          <w:color w:val="auto"/>
          <w:highlight w:val="none"/>
        </w:rPr>
        <w:t>7.2 通过“苏采云”系统提交政府采购客户端工具导出加密的响应文件（后缀名为zip）。响应文件不得超过150M！</w:t>
      </w:r>
    </w:p>
    <w:p w14:paraId="43A31776">
      <w:pPr>
        <w:pStyle w:val="205"/>
        <w:ind w:firstLine="482"/>
        <w:rPr>
          <w:rFonts w:hAnsi="宋体" w:cs="宋体"/>
          <w:color w:val="auto"/>
          <w:highlight w:val="none"/>
        </w:rPr>
      </w:pPr>
      <w:r>
        <w:rPr>
          <w:rFonts w:hint="eastAsia" w:hAnsi="宋体" w:cs="宋体"/>
          <w:color w:val="auto"/>
          <w:highlight w:val="none"/>
        </w:rPr>
        <w:t>7.3 本项目采用线上投标，即供应商响应文件从政府采购客户端工具制作通过“苏采云”系统提交，未提供线上响应文件的，投标无效。</w:t>
      </w:r>
    </w:p>
    <w:p w14:paraId="58D408F9">
      <w:pPr>
        <w:widowControl/>
        <w:spacing w:line="360" w:lineRule="auto"/>
        <w:ind w:firstLine="482"/>
        <w:jc w:val="center"/>
        <w:rPr>
          <w:rFonts w:ascii="宋体" w:hAnsi="宋体" w:eastAsia="宋体" w:cs="宋体"/>
          <w:color w:val="auto"/>
          <w:highlight w:val="none"/>
        </w:rPr>
      </w:pPr>
      <w:r>
        <w:rPr>
          <w:rFonts w:hint="eastAsia" w:ascii="宋体" w:hAnsi="宋体" w:eastAsia="宋体" w:cs="宋体"/>
          <w:b/>
          <w:bCs/>
          <w:color w:val="auto"/>
          <w:sz w:val="24"/>
          <w:highlight w:val="none"/>
          <w:lang w:bidi="ar"/>
        </w:rPr>
        <w:t>七、成交</w:t>
      </w:r>
    </w:p>
    <w:p w14:paraId="413DDEAB">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1、确定成交单位</w:t>
      </w:r>
    </w:p>
    <w:p w14:paraId="0A62A9C7">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0738F505">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1.2 根据采购人的授权，磋商小组直接确定排名第一的成交候选供应商为成交供应商，采购代理机构将在</w:t>
      </w:r>
      <w:r>
        <w:rPr>
          <w:rFonts w:hint="eastAsia" w:ascii="宋体" w:hAnsi="宋体" w:eastAsia="宋体" w:cs="宋体"/>
          <w:b/>
          <w:bCs/>
          <w:color w:val="auto"/>
          <w:sz w:val="24"/>
          <w:highlight w:val="none"/>
          <w:lang w:bidi="ar"/>
        </w:rPr>
        <w:t>江苏政府采购网公告成交结果</w:t>
      </w:r>
      <w:r>
        <w:rPr>
          <w:rFonts w:hint="eastAsia" w:ascii="宋体" w:hAnsi="宋体" w:eastAsia="宋体" w:cs="宋体"/>
          <w:color w:val="auto"/>
          <w:sz w:val="24"/>
          <w:highlight w:val="none"/>
          <w:lang w:bidi="ar"/>
        </w:rPr>
        <w:t>，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04EC5C38">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成交供应商在领取成交通知书时，需提供肆份与电子响应文件一致的纸质打印文件。</w:t>
      </w:r>
    </w:p>
    <w:p w14:paraId="0ACF10D4">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1.3、成交供应商有下列情形之一的，将取消其成交资格：</w:t>
      </w:r>
    </w:p>
    <w:p w14:paraId="22D8034E">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（1）提供虚假材料谋取成交的；</w:t>
      </w:r>
    </w:p>
    <w:p w14:paraId="61567A38">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（2）与评审专家、采购人、其他供应商或者采购代理机构工作人员恶意串通的；</w:t>
      </w:r>
    </w:p>
    <w:p w14:paraId="1F99AE15">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（3）向评审专家、采购人或采购代理机构工作人员行贿或者提供其他不正当利益的；</w:t>
      </w:r>
    </w:p>
    <w:p w14:paraId="6C9353FE">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（4）恶意竞争，最终总报价明显低于其自身合理成本且又无法提供证明的；</w:t>
      </w:r>
    </w:p>
    <w:p w14:paraId="7615D552">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（5）属于本文件规定的无效条件，但在评审过程中又未被磋商小组发现的；</w:t>
      </w:r>
    </w:p>
    <w:p w14:paraId="7D80E36D">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（6）采取不正当手段诋毁、排挤其他供应商的；</w:t>
      </w:r>
    </w:p>
    <w:p w14:paraId="731CD9E5">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（7）成交后无正当理由拒不与采购人签订政府采购合同或者未按照磋商文件确定的事项签订政府采购合同的；</w:t>
      </w:r>
    </w:p>
    <w:p w14:paraId="481A2225">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（8）将政府采购合同转包的；</w:t>
      </w:r>
    </w:p>
    <w:p w14:paraId="28D5400B">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（9）法律、法规、规章规定的属于成交无效的其他情形。</w:t>
      </w:r>
    </w:p>
    <w:p w14:paraId="1EC90F06">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4A51889D">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556DD151">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1.6政府采购合同履行中，采购人需追加与合同标的相同的服务的，在不改变合同其他条款的前提下，可以与供应商协商签订补充合同，但所有补充合同的采购金额不得超过原合同采购金额的百分之十。</w:t>
      </w:r>
    </w:p>
    <w:p w14:paraId="12F4BB94">
      <w:pPr>
        <w:widowControl/>
        <w:spacing w:line="360" w:lineRule="auto"/>
        <w:ind w:firstLine="482"/>
        <w:jc w:val="center"/>
        <w:rPr>
          <w:rFonts w:ascii="宋体" w:hAnsi="宋体" w:eastAsia="宋体" w:cs="宋体"/>
          <w:color w:val="auto"/>
          <w:highlight w:val="none"/>
        </w:rPr>
      </w:pPr>
      <w:r>
        <w:rPr>
          <w:rFonts w:hint="eastAsia" w:ascii="宋体" w:hAnsi="宋体" w:eastAsia="宋体" w:cs="宋体"/>
          <w:b/>
          <w:bCs/>
          <w:color w:val="auto"/>
          <w:sz w:val="24"/>
          <w:highlight w:val="none"/>
          <w:lang w:bidi="ar"/>
        </w:rPr>
        <w:t>八、合同签订相关事项</w:t>
      </w:r>
    </w:p>
    <w:p w14:paraId="4CCF641B">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1、签订合同 </w:t>
      </w:r>
    </w:p>
    <w:p w14:paraId="5EA1192A">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1.l 采购人与成交供应商应当在成交通知书发出之日起 30 日内，按照磋商文件确定的合同文本以及采购标的、规格型号、采购金额、采购数量、技术和服务要求等事项签订政府采购合同。 </w:t>
      </w:r>
    </w:p>
    <w:p w14:paraId="3580B9D8">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1.2自政府采购合同签订之日起2个工作日内，将政府采购合同在指定的媒体上公告。</w:t>
      </w:r>
    </w:p>
    <w:p w14:paraId="2FF35AEB">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1.3 磋商文件、成交供应商的响应文件及磋商采购过程中有关澄清、承诺文件均作为合同附件。 </w:t>
      </w:r>
    </w:p>
    <w:p w14:paraId="58A34AE4">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1.4 签订合同后，成交供应商不得将成交产品或服务进行转包。未经采购人同意，成交供应商也不得采用分包的形式履行合同，否则采购人有权终止合同，成交供应商的履约保证金将不予退还。转包或</w:t>
      </w:r>
      <w:r>
        <w:rPr>
          <w:rFonts w:hint="eastAsia" w:ascii="宋体" w:hAnsi="宋体" w:eastAsia="宋体" w:cs="宋体"/>
          <w:color w:val="auto"/>
          <w:sz w:val="24"/>
          <w:highlight w:val="none"/>
          <w:lang w:val="en-US" w:eastAsia="zh-CN" w:bidi="ar"/>
        </w:rPr>
        <w:t>违法</w:t>
      </w:r>
      <w:r>
        <w:rPr>
          <w:rFonts w:hint="eastAsia" w:ascii="宋体" w:hAnsi="宋体" w:eastAsia="宋体" w:cs="宋体"/>
          <w:color w:val="auto"/>
          <w:sz w:val="24"/>
          <w:highlight w:val="none"/>
          <w:lang w:bidi="ar"/>
        </w:rPr>
        <w:t xml:space="preserve">分包造成采购人损失的，成交供应商应承担相应赔偿责任。 </w:t>
      </w:r>
    </w:p>
    <w:p w14:paraId="082D95B9">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2、履约保证金 </w:t>
      </w:r>
    </w:p>
    <w:p w14:paraId="58EBFCCA">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2.1 履约保证金缴纳：</w:t>
      </w:r>
      <w:r>
        <w:rPr>
          <w:rFonts w:hint="eastAsia" w:ascii="宋体" w:hAnsi="宋体" w:eastAsia="宋体" w:cs="宋体"/>
          <w:color w:val="auto"/>
          <w:sz w:val="24"/>
          <w:highlight w:val="none"/>
          <w:lang w:val="en-US" w:eastAsia="zh-CN" w:bidi="ar"/>
        </w:rPr>
        <w:t>中标供应商须向采购人交纳履约保证金，履约保证金必须在签订合同的同时以支票、汇票、本票、保函等非现金形式提交至采购单位。</w:t>
      </w:r>
    </w:p>
    <w:p w14:paraId="18A3A1EA">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2.2 履约保证金的金额：</w:t>
      </w:r>
      <w:r>
        <w:rPr>
          <w:rFonts w:hint="eastAsia" w:ascii="宋体" w:hAnsi="宋体" w:eastAsia="宋体" w:cs="宋体"/>
          <w:b/>
          <w:bCs/>
          <w:color w:val="auto"/>
          <w:sz w:val="24"/>
          <w:highlight w:val="none"/>
          <w:lang w:val="en-US" w:eastAsia="zh-CN" w:bidi="ar"/>
        </w:rPr>
        <w:t>在成交通知书发出10个工作日内签订合同前</w:t>
      </w:r>
      <w:r>
        <w:rPr>
          <w:rFonts w:hint="eastAsia" w:ascii="宋体" w:hAnsi="宋体" w:eastAsia="宋体" w:cs="宋体"/>
          <w:b/>
          <w:bCs/>
          <w:color w:val="auto"/>
          <w:sz w:val="24"/>
          <w:highlight w:val="none"/>
          <w:lang w:bidi="ar"/>
        </w:rPr>
        <w:t>向</w:t>
      </w:r>
      <w:r>
        <w:rPr>
          <w:rFonts w:hint="eastAsia" w:ascii="宋体" w:hAnsi="宋体" w:eastAsia="宋体" w:cs="宋体"/>
          <w:b/>
          <w:bCs/>
          <w:color w:val="auto"/>
          <w:sz w:val="24"/>
          <w:highlight w:val="none"/>
          <w:lang w:val="en-US" w:eastAsia="zh-CN" w:bidi="ar"/>
        </w:rPr>
        <w:t>采购</w:t>
      </w:r>
      <w:r>
        <w:rPr>
          <w:rFonts w:hint="eastAsia" w:ascii="宋体" w:hAnsi="宋体" w:eastAsia="宋体" w:cs="宋体"/>
          <w:b/>
          <w:bCs/>
          <w:color w:val="auto"/>
          <w:sz w:val="24"/>
          <w:highlight w:val="none"/>
          <w:lang w:bidi="ar"/>
        </w:rPr>
        <w:t>人提交</w:t>
      </w:r>
      <w:r>
        <w:rPr>
          <w:rFonts w:hint="eastAsia" w:ascii="宋体" w:hAnsi="宋体" w:eastAsia="宋体" w:cs="宋体"/>
          <w:b/>
          <w:bCs/>
          <w:color w:val="auto"/>
          <w:sz w:val="24"/>
          <w:highlight w:val="none"/>
          <w:lang w:val="en-US" w:eastAsia="zh-CN" w:bidi="ar"/>
        </w:rPr>
        <w:t>签约合同价</w:t>
      </w:r>
      <w:r>
        <w:rPr>
          <w:rFonts w:hint="eastAsia" w:ascii="宋体" w:hAnsi="宋体" w:eastAsia="宋体" w:cs="宋体"/>
          <w:b/>
          <w:bCs/>
          <w:color w:val="auto"/>
          <w:sz w:val="24"/>
          <w:highlight w:val="none"/>
          <w:lang w:bidi="ar"/>
        </w:rPr>
        <w:t>的10%的履约保证金</w:t>
      </w:r>
      <w:r>
        <w:rPr>
          <w:rFonts w:hint="eastAsia" w:ascii="宋体" w:hAnsi="宋体" w:eastAsia="宋体" w:cs="宋体"/>
          <w:b/>
          <w:bCs/>
          <w:color w:val="auto"/>
          <w:sz w:val="24"/>
          <w:highlight w:val="none"/>
          <w:lang w:val="en-US" w:eastAsia="zh-CN" w:bidi="ar"/>
        </w:rPr>
        <w:t>，否则将视为承包人主动放弃该项目</w:t>
      </w:r>
      <w:r>
        <w:rPr>
          <w:rFonts w:hint="eastAsia" w:ascii="宋体" w:hAnsi="宋体" w:eastAsia="宋体" w:cs="宋体"/>
          <w:b/>
          <w:bCs/>
          <w:color w:val="auto"/>
          <w:sz w:val="24"/>
          <w:highlight w:val="none"/>
          <w:lang w:bidi="ar"/>
        </w:rPr>
        <w:t>，</w:t>
      </w:r>
    </w:p>
    <w:p w14:paraId="7CAD0D77">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2.3 履约保证金退还方式、退还时间、退还条件：除按本合同专用条款约定从履约保证金中扣除的相应费用（罚款）外，剩余履约保证金于工程交工验收合格后28日内退还。采用履约担保（银行保函）形式的，承包人按合同专用条款约定缴纳相应费用（罚款）后28日内履行保函退还手续。</w:t>
      </w:r>
    </w:p>
    <w:p w14:paraId="538EDE2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p>
    <w:p w14:paraId="442943CD">
      <w:pPr>
        <w:widowControl/>
        <w:spacing w:line="360" w:lineRule="auto"/>
        <w:ind w:firstLine="480"/>
        <w:jc w:val="left"/>
        <w:rPr>
          <w:rFonts w:ascii="宋体" w:hAnsi="宋体" w:eastAsia="宋体" w:cs="宋体"/>
          <w:b/>
          <w:bCs/>
          <w:color w:val="auto"/>
          <w:highlight w:val="none"/>
        </w:rPr>
      </w:pPr>
      <w:r>
        <w:rPr>
          <w:rFonts w:hint="eastAsia" w:ascii="宋体" w:hAnsi="宋体" w:eastAsia="宋体" w:cs="宋体"/>
          <w:color w:val="auto"/>
          <w:sz w:val="24"/>
          <w:highlight w:val="none"/>
          <w:lang w:bidi="ar"/>
        </w:rPr>
        <w:t>2.5 逾期退还履约保证金的违约责任：除不可抗力外，采购人逾期退还履约保证金的，除应当退还履约保证金本金外，还应按商业银行同期贷款利率上浮 10%后的利率支付资金占用费。</w:t>
      </w:r>
      <w:r>
        <w:rPr>
          <w:rFonts w:hint="eastAsia" w:ascii="宋体" w:hAnsi="宋体" w:eastAsia="宋体" w:cs="宋体"/>
          <w:b/>
          <w:bCs/>
          <w:color w:val="auto"/>
          <w:sz w:val="24"/>
          <w:highlight w:val="none"/>
          <w:lang w:bidi="ar"/>
        </w:rPr>
        <w:t xml:space="preserve"> </w:t>
      </w:r>
    </w:p>
    <w:p w14:paraId="3466E3E9">
      <w:pPr>
        <w:widowControl/>
        <w:spacing w:line="360" w:lineRule="auto"/>
        <w:ind w:firstLine="482"/>
        <w:jc w:val="center"/>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九、政策功能</w:t>
      </w:r>
    </w:p>
    <w:p w14:paraId="3B2BBB98">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1、本项目</w:t>
      </w:r>
      <w:r>
        <w:rPr>
          <w:rFonts w:hint="eastAsia" w:ascii="宋体" w:hAnsi="宋体" w:eastAsia="宋体" w:cs="宋体"/>
          <w:color w:val="auto"/>
          <w:sz w:val="24"/>
          <w:highlight w:val="none"/>
          <w:lang w:val="en-US" w:eastAsia="zh-CN" w:bidi="ar"/>
        </w:rPr>
        <w:t>专门</w:t>
      </w:r>
      <w:r>
        <w:rPr>
          <w:rFonts w:hint="eastAsia" w:ascii="宋体" w:hAnsi="宋体" w:eastAsia="宋体" w:cs="宋体"/>
          <w:color w:val="auto"/>
          <w:sz w:val="24"/>
          <w:highlight w:val="none"/>
          <w:lang w:bidi="ar"/>
        </w:rPr>
        <w:t>面向中小企业采购：</w:t>
      </w:r>
    </w:p>
    <w:p w14:paraId="663F36BD">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p>
    <w:p w14:paraId="7809E2F3">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EDACD93">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中小企业参加政府采购活动，应当出具本办法规定的《中小企业声明函》，否则不得享受相关中小企业扶持政策。</w:t>
      </w:r>
    </w:p>
    <w:p w14:paraId="7334874A">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3.供应商为残疾人福利性单位且提供的货物全部由残疾人福利性单位制造的，符合财 库〔2017〕141 号文件规定条件的残疾人福利性单位视同小型、微型企业，提供《残疾人福利性单位声明函》。</w:t>
      </w:r>
    </w:p>
    <w:p w14:paraId="012215BF">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207F1434">
      <w:pPr>
        <w:pStyle w:val="205"/>
        <w:ind w:firstLine="480"/>
        <w:rPr>
          <w:rFonts w:hAnsi="宋体" w:cs="宋体"/>
          <w:color w:val="auto"/>
          <w:highlight w:val="none"/>
        </w:rPr>
      </w:pPr>
      <w:r>
        <w:rPr>
          <w:rFonts w:hint="eastAsia" w:hAnsi="宋体" w:cs="宋体"/>
          <w:color w:val="auto"/>
          <w:highlight w:val="none"/>
        </w:rPr>
        <w:t>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p>
    <w:p w14:paraId="573C9204">
      <w:pPr>
        <w:pStyle w:val="205"/>
        <w:ind w:firstLine="480"/>
        <w:rPr>
          <w:rFonts w:hAnsi="宋体" w:cs="宋体"/>
          <w:color w:val="auto"/>
          <w:highlight w:val="none"/>
        </w:rPr>
      </w:pPr>
      <w:r>
        <w:rPr>
          <w:rFonts w:hint="eastAsia" w:hAnsi="宋体" w:cs="宋体"/>
          <w:color w:val="auto"/>
          <w:highlight w:val="none"/>
        </w:rPr>
        <w:t>5.在政府采购活动中，供应商提供的货物、工程或者服务符合下列情形的，享受本办法规定的中小企业扶持政策：</w:t>
      </w:r>
    </w:p>
    <w:p w14:paraId="31A550B0">
      <w:pPr>
        <w:pStyle w:val="205"/>
        <w:ind w:firstLine="480"/>
        <w:rPr>
          <w:rFonts w:hAnsi="宋体" w:cs="宋体"/>
          <w:color w:val="auto"/>
          <w:highlight w:val="none"/>
        </w:rPr>
      </w:pPr>
      <w:r>
        <w:rPr>
          <w:rFonts w:hint="eastAsia" w:hAnsi="宋体" w:cs="宋体"/>
          <w:color w:val="auto"/>
          <w:highlight w:val="none"/>
        </w:rPr>
        <w:t>（一）在货物采购项目中，货物由中小企业制造，即货物由中小企业生产且使用该中小企业商号或者注册商标；</w:t>
      </w:r>
    </w:p>
    <w:p w14:paraId="67907730">
      <w:pPr>
        <w:pStyle w:val="205"/>
        <w:ind w:firstLine="480"/>
        <w:rPr>
          <w:rFonts w:hAnsi="宋体" w:cs="宋体"/>
          <w:color w:val="auto"/>
          <w:highlight w:val="none"/>
        </w:rPr>
      </w:pPr>
      <w:r>
        <w:rPr>
          <w:rFonts w:hint="eastAsia" w:hAnsi="宋体" w:cs="宋体"/>
          <w:color w:val="auto"/>
          <w:highlight w:val="none"/>
        </w:rPr>
        <w:t>（二）在工程采购项目中，工程由中小企业承建，即工程施工单位为中小企业；</w:t>
      </w:r>
    </w:p>
    <w:p w14:paraId="61F3B630">
      <w:pPr>
        <w:pStyle w:val="205"/>
        <w:ind w:firstLine="480"/>
        <w:rPr>
          <w:rFonts w:hAnsi="宋体" w:cs="宋体"/>
          <w:color w:val="auto"/>
          <w:highlight w:val="none"/>
        </w:rPr>
      </w:pPr>
      <w:r>
        <w:rPr>
          <w:rFonts w:hint="eastAsia" w:hAnsi="宋体" w:cs="宋体"/>
          <w:color w:val="auto"/>
          <w:highlight w:val="none"/>
        </w:rPr>
        <w:t>（三）在服务采购项目中，服务由中小企业承接，即提供服务的人员为中小企业依照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393AB678">
      <w:pPr>
        <w:pStyle w:val="205"/>
        <w:ind w:firstLine="480"/>
        <w:rPr>
          <w:rFonts w:hAnsi="宋体" w:cs="宋体"/>
          <w:color w:val="auto"/>
          <w:highlight w:val="none"/>
        </w:rPr>
      </w:pPr>
      <w:r>
        <w:rPr>
          <w:rFonts w:hint="eastAsia" w:hAnsi="宋体" w:cs="宋体"/>
          <w:color w:val="auto"/>
          <w:highlight w:val="none"/>
        </w:rPr>
        <w:t>以上规定未尽事项，按《政府采购促进中小企业发展管理办法》等有关制度规定执行。</w:t>
      </w:r>
    </w:p>
    <w:p w14:paraId="65F180AA">
      <w:pPr>
        <w:pStyle w:val="205"/>
        <w:ind w:firstLine="480"/>
        <w:rPr>
          <w:rFonts w:hAnsi="宋体" w:cs="宋体"/>
          <w:color w:val="auto"/>
          <w:highlight w:val="none"/>
        </w:rPr>
      </w:pPr>
      <w:r>
        <w:rPr>
          <w:rFonts w:hint="eastAsia" w:hAnsi="宋体" w:cs="宋体"/>
          <w:color w:val="auto"/>
          <w:highlight w:val="none"/>
        </w:rPr>
        <w:t>6.《中小企业声明函》等相关资料应上传至电子投标文件中，否则不予认可。</w:t>
      </w:r>
    </w:p>
    <w:p w14:paraId="0FE8B78A">
      <w:pPr>
        <w:pStyle w:val="205"/>
        <w:ind w:firstLine="480"/>
        <w:rPr>
          <w:rFonts w:hAnsi="宋体" w:cs="宋体"/>
          <w:color w:val="auto"/>
          <w:highlight w:val="none"/>
        </w:rPr>
      </w:pPr>
      <w:r>
        <w:rPr>
          <w:rFonts w:hint="eastAsia" w:hAnsi="宋体" w:cs="宋体"/>
          <w:color w:val="auto"/>
          <w:highlight w:val="none"/>
        </w:rPr>
        <w:t>7.本项目属性为工程类，采购标的对应的中小企业划分标准所属行业为建筑业。</w:t>
      </w:r>
    </w:p>
    <w:p w14:paraId="699800A1">
      <w:pPr>
        <w:pStyle w:val="205"/>
        <w:ind w:firstLine="480"/>
        <w:rPr>
          <w:rFonts w:hAnsi="宋体" w:cs="宋体"/>
          <w:color w:val="auto"/>
          <w:highlight w:val="none"/>
        </w:rPr>
      </w:pPr>
      <w:r>
        <w:rPr>
          <w:rFonts w:hint="eastAsia" w:hAnsi="宋体" w:cs="宋体"/>
          <w:b/>
          <w:bCs/>
          <w:color w:val="auto"/>
          <w:highlight w:val="none"/>
        </w:rPr>
        <w:t>2、支持绿色发展</w:t>
      </w:r>
    </w:p>
    <w:p w14:paraId="2C777B82">
      <w:pPr>
        <w:pStyle w:val="205"/>
        <w:ind w:firstLine="480"/>
        <w:rPr>
          <w:rFonts w:hAnsi="宋体" w:cs="宋体"/>
          <w:color w:val="auto"/>
          <w:highlight w:val="none"/>
        </w:rPr>
      </w:pPr>
      <w:r>
        <w:rPr>
          <w:rFonts w:hint="eastAsia" w:hAnsi="宋体" w:cs="宋体"/>
          <w:color w:val="auto"/>
          <w:highlight w:val="none"/>
        </w:rPr>
        <w:t>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21F0394E">
      <w:pPr>
        <w:pStyle w:val="205"/>
        <w:ind w:firstLine="480"/>
        <w:rPr>
          <w:rFonts w:hAnsi="宋体" w:cs="宋体"/>
          <w:color w:val="auto"/>
          <w:highlight w:val="none"/>
        </w:rPr>
      </w:pPr>
      <w:r>
        <w:rPr>
          <w:rFonts w:hint="eastAsia" w:hAnsi="宋体" w:cs="宋体"/>
          <w:color w:val="auto"/>
          <w:highlight w:val="none"/>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0C635A56">
      <w:pPr>
        <w:pStyle w:val="205"/>
        <w:ind w:firstLine="480"/>
        <w:rPr>
          <w:rFonts w:hAnsi="宋体" w:cs="宋体"/>
          <w:color w:val="auto"/>
          <w:highlight w:val="none"/>
        </w:rPr>
      </w:pPr>
      <w:r>
        <w:rPr>
          <w:rFonts w:hint="eastAsia" w:hAnsi="宋体" w:cs="宋体"/>
          <w:color w:val="auto"/>
          <w:highlight w:val="none"/>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04339F98">
      <w:pPr>
        <w:widowControl/>
        <w:spacing w:line="360" w:lineRule="auto"/>
        <w:ind w:firstLine="482"/>
        <w:jc w:val="center"/>
        <w:rPr>
          <w:rFonts w:hint="eastAsia" w:ascii="宋体" w:hAnsi="宋体" w:eastAsia="宋体" w:cs="宋体"/>
          <w:b/>
          <w:bCs/>
          <w:color w:val="auto"/>
          <w:sz w:val="24"/>
          <w:highlight w:val="none"/>
          <w:lang w:val="en-US" w:eastAsia="zh-CN" w:bidi="ar"/>
        </w:rPr>
      </w:pPr>
      <w:r>
        <w:rPr>
          <w:rFonts w:hint="eastAsia" w:ascii="宋体" w:hAnsi="宋体" w:eastAsia="宋体" w:cs="宋体"/>
          <w:b/>
          <w:bCs/>
          <w:color w:val="auto"/>
          <w:sz w:val="24"/>
          <w:highlight w:val="none"/>
          <w:lang w:val="en-US" w:eastAsia="zh-CN" w:bidi="ar"/>
        </w:rPr>
        <w:t>十、采购本国产品的支持政策</w:t>
      </w:r>
    </w:p>
    <w:p w14:paraId="6E5FE97B">
      <w:pPr>
        <w:pageBreakBefore w:val="0"/>
        <w:widowControl w:val="0"/>
        <w:kinsoku/>
        <w:wordWrap/>
        <w:overflowPunct/>
        <w:topLinePunct w:val="0"/>
        <w:autoSpaceDE/>
        <w:autoSpaceDN/>
        <w:bidi w:val="0"/>
        <w:adjustRightInd/>
        <w:snapToGrid/>
        <w:spacing w:line="480" w:lineRule="exact"/>
        <w:ind w:left="0" w:right="0" w:firstLine="48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w:t>
      </w:r>
      <w:r>
        <w:rPr>
          <w:rFonts w:hint="eastAsia" w:ascii="宋体" w:hAnsi="宋体" w:eastAsia="宋体" w:cs="宋体"/>
          <w:b/>
          <w:bCs/>
          <w:color w:val="auto"/>
          <w:kern w:val="2"/>
          <w:sz w:val="24"/>
          <w:szCs w:val="24"/>
          <w:highlight w:val="none"/>
          <w:lang w:val="en-US" w:eastAsia="zh-CN" w:bidi="ar-SA"/>
        </w:rPr>
        <w:t xml:space="preserve"> </w:t>
      </w:r>
    </w:p>
    <w:p w14:paraId="594BFD54">
      <w:pPr>
        <w:pageBreakBefore w:val="0"/>
        <w:widowControl w:val="0"/>
        <w:kinsoku/>
        <w:wordWrap/>
        <w:overflowPunct/>
        <w:topLinePunct w:val="0"/>
        <w:autoSpaceDE/>
        <w:autoSpaceDN/>
        <w:bidi w:val="0"/>
        <w:adjustRightInd/>
        <w:snapToGrid/>
        <w:spacing w:line="480" w:lineRule="exact"/>
        <w:ind w:left="0" w:right="0" w:firstLine="48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2AD5BB8">
      <w:pPr>
        <w:pageBreakBefore w:val="0"/>
        <w:widowControl w:val="0"/>
        <w:kinsoku/>
        <w:wordWrap/>
        <w:overflowPunct/>
        <w:topLinePunct w:val="0"/>
        <w:autoSpaceDE/>
        <w:autoSpaceDN/>
        <w:bidi w:val="0"/>
        <w:adjustRightInd/>
        <w:snapToGrid/>
        <w:spacing w:line="480" w:lineRule="exact"/>
        <w:ind w:left="0" w:right="0" w:firstLine="48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3、投标人需按照招标文件的要求提供《关于符合本国产品标准的声明函》（以下简称《声明函》），如不提供将不享受本国产品价格评审优惠。</w:t>
      </w:r>
    </w:p>
    <w:p w14:paraId="0A9839E1">
      <w:pPr>
        <w:pageBreakBefore w:val="0"/>
        <w:widowControl w:val="0"/>
        <w:kinsoku/>
        <w:wordWrap/>
        <w:overflowPunct/>
        <w:topLinePunct w:val="0"/>
        <w:autoSpaceDE/>
        <w:autoSpaceDN/>
        <w:bidi w:val="0"/>
        <w:adjustRightInd/>
        <w:snapToGrid/>
        <w:spacing w:line="480" w:lineRule="exact"/>
        <w:ind w:left="0" w:right="0" w:firstLine="48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投标人需在《声明函》中逐一、准确填写产品名称、厂名、生产厂址三项信息（《声明函》中用斜线划除的地方无需填写），三项信息中任意一项未填写的视为该项产品不符合本国产品标准，不享受本国产品价格评审优惠。</w:t>
      </w:r>
    </w:p>
    <w:p w14:paraId="29FC0908">
      <w:pPr>
        <w:pageBreakBefore w:val="0"/>
        <w:widowControl w:val="0"/>
        <w:kinsoku/>
        <w:wordWrap/>
        <w:overflowPunct/>
        <w:topLinePunct w:val="0"/>
        <w:autoSpaceDE/>
        <w:autoSpaceDN/>
        <w:bidi w:val="0"/>
        <w:adjustRightInd/>
        <w:snapToGrid/>
        <w:spacing w:line="480" w:lineRule="exact"/>
        <w:ind w:left="0" w:right="0" w:firstLine="48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7ED80F2E">
      <w:pPr>
        <w:widowControl/>
        <w:spacing w:line="360" w:lineRule="auto"/>
        <w:ind w:firstLine="482"/>
        <w:jc w:val="both"/>
        <w:rPr>
          <w:rFonts w:hint="eastAsia" w:ascii="宋体" w:hAnsi="宋体" w:eastAsia="宋体" w:cs="宋体"/>
          <w:b/>
          <w:bCs/>
          <w:color w:val="auto"/>
          <w:sz w:val="24"/>
          <w:highlight w:val="none"/>
          <w:lang w:bidi="ar"/>
        </w:rPr>
      </w:pPr>
      <w:r>
        <w:rPr>
          <w:rFonts w:hint="eastAsia" w:ascii="宋体" w:hAnsi="宋体" w:eastAsia="宋体" w:cs="宋体"/>
          <w:color w:val="auto"/>
          <w:kern w:val="2"/>
          <w:sz w:val="24"/>
          <w:szCs w:val="24"/>
          <w:highlight w:val="none"/>
          <w:lang w:val="en-US" w:eastAsia="zh-CN" w:bidi="ar-SA"/>
        </w:rPr>
        <w:t>6、政府采购中的本国产品标准及其他未尽事宜详见《国务院办公厅关于在政府采购中实施本国产品标准及相关政策的通知》（国办发〔2025〕34号）</w:t>
      </w:r>
    </w:p>
    <w:p w14:paraId="609C015C">
      <w:pPr>
        <w:widowControl/>
        <w:spacing w:line="360" w:lineRule="auto"/>
        <w:ind w:firstLine="482"/>
        <w:jc w:val="center"/>
        <w:rPr>
          <w:rFonts w:ascii="宋体" w:hAnsi="宋体" w:eastAsia="宋体" w:cs="宋体"/>
          <w:color w:val="auto"/>
          <w:highlight w:val="none"/>
        </w:rPr>
      </w:pPr>
      <w:r>
        <w:rPr>
          <w:rFonts w:hint="eastAsia" w:ascii="宋体" w:hAnsi="宋体" w:eastAsia="宋体" w:cs="宋体"/>
          <w:b/>
          <w:bCs/>
          <w:color w:val="auto"/>
          <w:sz w:val="24"/>
          <w:highlight w:val="none"/>
          <w:lang w:bidi="ar"/>
        </w:rPr>
        <w:t>十</w:t>
      </w:r>
      <w:r>
        <w:rPr>
          <w:rFonts w:hint="eastAsia" w:ascii="宋体" w:hAnsi="宋体" w:eastAsia="宋体" w:cs="宋体"/>
          <w:b/>
          <w:bCs/>
          <w:color w:val="auto"/>
          <w:sz w:val="24"/>
          <w:highlight w:val="none"/>
          <w:lang w:val="en-US" w:eastAsia="zh-CN" w:bidi="ar"/>
        </w:rPr>
        <w:t>一</w:t>
      </w:r>
      <w:r>
        <w:rPr>
          <w:rFonts w:hint="eastAsia" w:ascii="宋体" w:hAnsi="宋体" w:eastAsia="宋体" w:cs="宋体"/>
          <w:b/>
          <w:bCs/>
          <w:color w:val="auto"/>
          <w:sz w:val="24"/>
          <w:highlight w:val="none"/>
          <w:lang w:bidi="ar"/>
        </w:rPr>
        <w:t>、质疑和投诉</w:t>
      </w:r>
    </w:p>
    <w:p w14:paraId="190E1392">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1、质疑的提出 </w:t>
      </w:r>
    </w:p>
    <w:p w14:paraId="6BF6C491">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1.1 提出质疑的供应商应当是参与所质疑项目采购活动的供应商。 </w:t>
      </w:r>
    </w:p>
    <w:p w14:paraId="1112C45D">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color w:val="auto"/>
          <w:sz w:val="24"/>
          <w:highlight w:val="none"/>
          <w:lang w:bidi="ar"/>
        </w:rPr>
        <w:t xml:space="preserve">未依照采购公告要求获取采购文件的供应商，视为未参与该项目的采购活动，不具备对该采购文件提出质疑的法定权利。 </w:t>
      </w:r>
    </w:p>
    <w:p w14:paraId="6C688A4E">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1.3 提出质疑时，必须坚持“谁主张，谁举证”“实事求是”的原则，不能臆测。 </w:t>
      </w:r>
    </w:p>
    <w:p w14:paraId="165C188D">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135B67A4">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1.4 </w:t>
      </w:r>
      <w:r>
        <w:rPr>
          <w:rFonts w:hint="eastAsia" w:ascii="宋体" w:hAnsi="宋体" w:eastAsia="宋体" w:cs="宋体"/>
          <w:b/>
          <w:bCs/>
          <w:color w:val="auto"/>
          <w:sz w:val="24"/>
          <w:highlight w:val="none"/>
          <w:lang w:bidi="ar"/>
        </w:rPr>
        <w:t>质疑函的接收方式为供应商书面原件提交。</w:t>
      </w:r>
      <w:r>
        <w:rPr>
          <w:rFonts w:hint="eastAsia" w:ascii="宋体" w:hAnsi="宋体" w:eastAsia="宋体" w:cs="宋体"/>
          <w:color w:val="auto"/>
          <w:sz w:val="24"/>
          <w:highlight w:val="none"/>
          <w:lang w:bidi="ar"/>
        </w:rPr>
        <w:t xml:space="preserve">联系部门、联系电话和通讯地址详见本磋商文件“竞争性磋商采购公告”质疑实行实名制，不得进行虚假、恶意质疑。 </w:t>
      </w:r>
    </w:p>
    <w:p w14:paraId="712E227B">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供应商提出质疑应当</w:t>
      </w:r>
      <w:r>
        <w:rPr>
          <w:rFonts w:hint="eastAsia" w:ascii="宋体" w:hAnsi="宋体" w:eastAsia="宋体" w:cs="宋体"/>
          <w:b/>
          <w:bCs/>
          <w:color w:val="auto"/>
          <w:sz w:val="24"/>
          <w:highlight w:val="none"/>
          <w:lang w:bidi="ar"/>
        </w:rPr>
        <w:t>提交质疑函和必要的证明材料</w:t>
      </w:r>
      <w:r>
        <w:rPr>
          <w:rFonts w:hint="eastAsia" w:ascii="宋体" w:hAnsi="宋体" w:eastAsia="宋体" w:cs="宋体"/>
          <w:color w:val="auto"/>
          <w:sz w:val="24"/>
          <w:highlight w:val="none"/>
          <w:lang w:bidi="ar"/>
        </w:rPr>
        <w:t xml:space="preserve">。应当包括下列内容： </w:t>
      </w:r>
    </w:p>
    <w:p w14:paraId="35C95717">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（1）供应商的姓名或者名称、地址、邮编、联系人及联系电话； </w:t>
      </w:r>
    </w:p>
    <w:p w14:paraId="26EE9BC7">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（2）质疑项目的名称、编号； </w:t>
      </w:r>
    </w:p>
    <w:p w14:paraId="2E651CBB">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（3）具体、明确的质疑事项和与质疑事项相关的请求； </w:t>
      </w:r>
    </w:p>
    <w:p w14:paraId="42DE1EE9">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（4）事实依据； </w:t>
      </w:r>
    </w:p>
    <w:p w14:paraId="6C8E630C">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（5）必要的法律依据； </w:t>
      </w:r>
    </w:p>
    <w:p w14:paraId="78EE1241">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（6）提出质疑的日期； </w:t>
      </w:r>
    </w:p>
    <w:p w14:paraId="0867919D">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（7）</w:t>
      </w:r>
      <w:r>
        <w:rPr>
          <w:rFonts w:hint="eastAsia" w:ascii="宋体" w:hAnsi="宋体" w:eastAsia="宋体" w:cs="宋体"/>
          <w:b/>
          <w:bCs/>
          <w:color w:val="auto"/>
          <w:sz w:val="24"/>
          <w:highlight w:val="none"/>
          <w:lang w:bidi="ar"/>
        </w:rPr>
        <w:t xml:space="preserve">必要的证明材料； </w:t>
      </w:r>
    </w:p>
    <w:p w14:paraId="13B836E6">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（8）采购文件(交易文件)下载回执函； </w:t>
      </w:r>
    </w:p>
    <w:p w14:paraId="1444AC3C">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（9）营业执照复印件及法定代表人授权委托书、法定代表人身份证复印件、委托代理人身份证复印件。 </w:t>
      </w:r>
    </w:p>
    <w:p w14:paraId="0426217E">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供应商为自然人的，应当由本人签字；供应商为法人或者其他组织的，应当由法定代表人、主要负责人，或者其委托代理人签字或者盖章，并加盖单位公章。 </w:t>
      </w:r>
    </w:p>
    <w:p w14:paraId="2E30F09C">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2、质疑函的受理和答复 </w:t>
      </w:r>
    </w:p>
    <w:p w14:paraId="4CC44DEE">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2.1 质疑供应商应当保证其提出的质疑事项及必要的证明材料的真实性及来源的合法性，并承担相应的法律责任。</w:t>
      </w:r>
      <w:r>
        <w:rPr>
          <w:rFonts w:hint="eastAsia" w:ascii="宋体" w:hAnsi="宋体" w:eastAsia="宋体" w:cs="宋体"/>
          <w:b/>
          <w:bCs/>
          <w:color w:val="auto"/>
          <w:sz w:val="24"/>
          <w:highlight w:val="none"/>
          <w:lang w:bidi="ar"/>
        </w:rPr>
        <w:t>对不能提供必要的证明材料的、涉及商业秘密的、非书面原件形式的、匿名的质疑函将不予受理</w:t>
      </w:r>
      <w:r>
        <w:rPr>
          <w:rFonts w:hint="eastAsia" w:ascii="宋体" w:hAnsi="宋体" w:eastAsia="宋体" w:cs="宋体"/>
          <w:color w:val="auto"/>
          <w:sz w:val="24"/>
          <w:highlight w:val="none"/>
          <w:lang w:bidi="ar"/>
        </w:rPr>
        <w:t xml:space="preserve">。必要的证明材料要具备客观性、关联性、合法性，无法查实的（如宣传册、媒体报道、猜测、推理等）不能作为证明材料。采购人、代理机构不负责搜集必要的证明材料等工作。 </w:t>
      </w:r>
    </w:p>
    <w:p w14:paraId="6D050C4D">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3201007B">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2.3 对不符合质疑要求的采购人、代理机构有权要求其补充必要的证明材料，质疑供应商未在法定的时间内提供补充必要的证明材料的，视同放弃质疑。 </w:t>
      </w:r>
    </w:p>
    <w:p w14:paraId="771A4C0B">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056D827F">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3、以下情形的质疑依法不予受理：</w:t>
      </w:r>
    </w:p>
    <w:p w14:paraId="106D663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（1）内容不符合《政府采购质疑和投诉办法》第十二条规定的质疑。</w:t>
      </w:r>
    </w:p>
    <w:p w14:paraId="3EC92AAA">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（2）超出政府采购法定期限的质疑。</w:t>
      </w:r>
    </w:p>
    <w:p w14:paraId="118DF70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（3）以传真、电子邮件等方式递交的非原件形式的质疑。</w:t>
      </w:r>
    </w:p>
    <w:p w14:paraId="233EC5EE">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（4）未参与采购活动或在采购活动中自身权益未受到损害的供应商提出的质疑。</w:t>
      </w:r>
    </w:p>
    <w:p w14:paraId="6BF99DA8">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（5）供应商组成联合体，联合体中任何一方或多方未按要求签字（盖章）、加盖公章的质疑。</w:t>
      </w:r>
    </w:p>
    <w:p w14:paraId="74EBAA57">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4、采购人、采购中心依法受理的质疑，将按照政府采购有关规定，在法定期限内作出答复。</w:t>
      </w:r>
    </w:p>
    <w:p w14:paraId="2006F3C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 因质疑供应商所留联系方式无效，或者无故不接收，导致质疑答复结果无法送达的，视为质疑供应商主动放弃知晓质疑答复结果的权利。</w:t>
      </w:r>
    </w:p>
    <w:p w14:paraId="43797022">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 、未尽事宜，依照有关法律、法规执行。 </w:t>
      </w:r>
    </w:p>
    <w:p w14:paraId="15D476D6">
      <w:pPr>
        <w:spacing w:line="360" w:lineRule="auto"/>
        <w:rPr>
          <w:rFonts w:ascii="宋体" w:hAnsi="宋体" w:eastAsia="宋体" w:cs="宋体"/>
          <w:b/>
          <w:bCs/>
          <w:color w:val="auto"/>
          <w:sz w:val="36"/>
          <w:szCs w:val="36"/>
          <w:highlight w:val="none"/>
          <w:lang w:bidi="ar"/>
        </w:rPr>
      </w:pPr>
    </w:p>
    <w:p w14:paraId="2A6E27DA">
      <w:pPr>
        <w:widowControl/>
        <w:spacing w:line="360" w:lineRule="auto"/>
        <w:jc w:val="center"/>
        <w:rPr>
          <w:rFonts w:ascii="宋体" w:hAnsi="宋体" w:eastAsia="宋体" w:cs="宋体"/>
          <w:b/>
          <w:bCs/>
          <w:color w:val="auto"/>
          <w:sz w:val="36"/>
          <w:szCs w:val="36"/>
          <w:highlight w:val="none"/>
          <w:lang w:bidi="ar"/>
        </w:rPr>
      </w:pPr>
    </w:p>
    <w:p w14:paraId="3562CA1E">
      <w:pPr>
        <w:widowControl/>
        <w:spacing w:line="360" w:lineRule="auto"/>
        <w:jc w:val="center"/>
        <w:rPr>
          <w:rFonts w:ascii="宋体" w:hAnsi="宋体" w:eastAsia="宋体" w:cs="宋体"/>
          <w:color w:val="auto"/>
          <w:highlight w:val="none"/>
        </w:rPr>
      </w:pPr>
      <w:r>
        <w:rPr>
          <w:rFonts w:hint="eastAsia" w:ascii="宋体" w:hAnsi="宋体" w:eastAsia="宋体" w:cs="宋体"/>
          <w:b/>
          <w:bCs/>
          <w:color w:val="auto"/>
          <w:sz w:val="36"/>
          <w:szCs w:val="36"/>
          <w:highlight w:val="none"/>
          <w:lang w:bidi="ar"/>
        </w:rPr>
        <w:t>第三章 政府采购合同格式</w:t>
      </w:r>
    </w:p>
    <w:p w14:paraId="2405D070">
      <w:pPr>
        <w:widowControl/>
        <w:spacing w:line="360" w:lineRule="auto"/>
        <w:jc w:val="center"/>
        <w:rPr>
          <w:rFonts w:ascii="宋体" w:hAnsi="宋体" w:eastAsia="宋体" w:cs="宋体"/>
          <w:b/>
          <w:bCs/>
          <w:color w:val="auto"/>
          <w:sz w:val="56"/>
          <w:szCs w:val="56"/>
          <w:highlight w:val="none"/>
          <w:lang w:bidi="ar"/>
        </w:rPr>
      </w:pPr>
    </w:p>
    <w:p w14:paraId="28355659">
      <w:pPr>
        <w:widowControl/>
        <w:spacing w:line="360" w:lineRule="auto"/>
        <w:jc w:val="center"/>
        <w:rPr>
          <w:rFonts w:ascii="宋体" w:hAnsi="宋体" w:eastAsia="宋体" w:cs="宋体"/>
          <w:b/>
          <w:bCs/>
          <w:color w:val="auto"/>
          <w:sz w:val="52"/>
          <w:szCs w:val="52"/>
          <w:highlight w:val="none"/>
          <w:lang w:bidi="ar"/>
        </w:rPr>
      </w:pPr>
      <w:r>
        <w:rPr>
          <w:rFonts w:hint="eastAsia" w:ascii="宋体" w:hAnsi="宋体" w:eastAsia="宋体" w:cs="宋体"/>
          <w:b/>
          <w:bCs/>
          <w:color w:val="auto"/>
          <w:sz w:val="56"/>
          <w:szCs w:val="56"/>
          <w:highlight w:val="none"/>
          <w:lang w:bidi="ar"/>
        </w:rPr>
        <w:t>连 云 港 市 政 府 采 购</w:t>
      </w:r>
    </w:p>
    <w:p w14:paraId="47B3719D">
      <w:pPr>
        <w:widowControl/>
        <w:spacing w:line="360" w:lineRule="auto"/>
        <w:ind w:firstLine="1044"/>
        <w:jc w:val="left"/>
        <w:rPr>
          <w:rFonts w:ascii="宋体" w:hAnsi="宋体" w:eastAsia="宋体" w:cs="宋体"/>
          <w:b/>
          <w:bCs/>
          <w:color w:val="auto"/>
          <w:sz w:val="52"/>
          <w:szCs w:val="52"/>
          <w:highlight w:val="none"/>
          <w:lang w:bidi="ar"/>
        </w:rPr>
      </w:pPr>
    </w:p>
    <w:p w14:paraId="475C7640">
      <w:pPr>
        <w:ind w:firstLine="883"/>
        <w:jc w:val="center"/>
        <w:rPr>
          <w:rFonts w:hint="eastAsia" w:ascii="宋体" w:hAnsi="宋体" w:cs="宋体"/>
          <w:b/>
          <w:bCs/>
          <w:sz w:val="44"/>
          <w:highlight w:val="none"/>
        </w:rPr>
      </w:pPr>
      <w:r>
        <w:rPr>
          <w:rFonts w:hint="eastAsia" w:ascii="宋体" w:hAnsi="宋体" w:cs="宋体"/>
          <w:b/>
          <w:bCs/>
          <w:sz w:val="44"/>
          <w:highlight w:val="none"/>
          <w:u w:val="single"/>
        </w:rPr>
        <w:t xml:space="preserve">                    </w:t>
      </w:r>
      <w:r>
        <w:rPr>
          <w:rFonts w:hint="eastAsia" w:ascii="宋体" w:hAnsi="宋体" w:cs="宋体"/>
          <w:b/>
          <w:bCs/>
          <w:sz w:val="44"/>
          <w:highlight w:val="none"/>
        </w:rPr>
        <w:t>合同</w:t>
      </w:r>
    </w:p>
    <w:p w14:paraId="4EF9659E">
      <w:pPr>
        <w:ind w:firstLine="480"/>
        <w:rPr>
          <w:rFonts w:hint="eastAsia" w:ascii="宋体" w:hAnsi="宋体" w:cs="宋体"/>
          <w:highlight w:val="none"/>
        </w:rPr>
      </w:pPr>
    </w:p>
    <w:p w14:paraId="135E2A97">
      <w:pPr>
        <w:ind w:firstLine="3070" w:firstLineChars="695"/>
        <w:rPr>
          <w:rFonts w:hint="eastAsia" w:ascii="宋体" w:hAnsi="宋体" w:cs="宋体"/>
          <w:b/>
          <w:bCs/>
          <w:sz w:val="44"/>
          <w:szCs w:val="44"/>
          <w:highlight w:val="none"/>
        </w:rPr>
      </w:pPr>
    </w:p>
    <w:p w14:paraId="07416BF3">
      <w:pPr>
        <w:ind w:firstLine="880"/>
        <w:rPr>
          <w:rFonts w:hint="eastAsia" w:ascii="宋体" w:hAnsi="宋体" w:cs="宋体"/>
          <w:sz w:val="44"/>
          <w:szCs w:val="44"/>
          <w:highlight w:val="none"/>
        </w:rPr>
      </w:pPr>
    </w:p>
    <w:p w14:paraId="4A194AB3">
      <w:pPr>
        <w:ind w:firstLine="1966" w:firstLineChars="445"/>
        <w:rPr>
          <w:rFonts w:hint="eastAsia" w:ascii="宋体" w:hAnsi="宋体" w:cs="宋体"/>
          <w:b/>
          <w:bCs/>
          <w:sz w:val="44"/>
          <w:szCs w:val="44"/>
          <w:highlight w:val="none"/>
        </w:rPr>
      </w:pPr>
      <w:r>
        <w:rPr>
          <w:rFonts w:hint="eastAsia" w:ascii="宋体" w:hAnsi="宋体" w:cs="宋体"/>
          <w:b/>
          <w:bCs/>
          <w:sz w:val="44"/>
          <w:szCs w:val="44"/>
          <w:highlight w:val="none"/>
        </w:rPr>
        <w:t>合同编号：</w:t>
      </w:r>
    </w:p>
    <w:p w14:paraId="055ABFFF">
      <w:pPr>
        <w:ind w:firstLine="880"/>
        <w:rPr>
          <w:rFonts w:hint="eastAsia" w:ascii="宋体" w:hAnsi="宋体" w:cs="宋体"/>
          <w:sz w:val="44"/>
          <w:highlight w:val="none"/>
        </w:rPr>
      </w:pPr>
    </w:p>
    <w:p w14:paraId="60233290">
      <w:pPr>
        <w:ind w:firstLine="880"/>
        <w:rPr>
          <w:rFonts w:hint="eastAsia" w:ascii="宋体" w:hAnsi="宋体" w:cs="宋体"/>
          <w:sz w:val="44"/>
          <w:highlight w:val="none"/>
        </w:rPr>
      </w:pPr>
    </w:p>
    <w:p w14:paraId="6B4F5108">
      <w:pPr>
        <w:ind w:firstLine="880"/>
        <w:rPr>
          <w:rFonts w:hint="eastAsia" w:ascii="宋体" w:hAnsi="宋体" w:cs="宋体"/>
          <w:sz w:val="44"/>
          <w:highlight w:val="none"/>
        </w:rPr>
      </w:pPr>
    </w:p>
    <w:p w14:paraId="615D93BF">
      <w:pPr>
        <w:ind w:firstLine="1758" w:firstLineChars="398"/>
        <w:rPr>
          <w:rFonts w:hint="eastAsia" w:ascii="宋体" w:hAnsi="宋体" w:cs="宋体"/>
          <w:b/>
          <w:bCs/>
          <w:sz w:val="44"/>
          <w:highlight w:val="none"/>
        </w:rPr>
      </w:pPr>
      <w:r>
        <w:rPr>
          <w:rFonts w:hint="eastAsia" w:ascii="宋体" w:hAnsi="宋体" w:cs="宋体"/>
          <w:b/>
          <w:bCs/>
          <w:sz w:val="44"/>
          <w:highlight w:val="none"/>
        </w:rPr>
        <w:t>发包人：</w:t>
      </w:r>
    </w:p>
    <w:p w14:paraId="047B7212">
      <w:pPr>
        <w:ind w:firstLine="1758" w:firstLineChars="398"/>
        <w:rPr>
          <w:rFonts w:hint="eastAsia" w:ascii="宋体" w:hAnsi="宋体" w:cs="宋体"/>
          <w:b/>
          <w:bCs/>
          <w:sz w:val="44"/>
          <w:highlight w:val="none"/>
        </w:rPr>
      </w:pPr>
      <w:r>
        <w:rPr>
          <w:rFonts w:hint="eastAsia" w:ascii="宋体" w:hAnsi="宋体" w:cs="宋体"/>
          <w:b/>
          <w:bCs/>
          <w:sz w:val="44"/>
          <w:highlight w:val="none"/>
        </w:rPr>
        <w:t>承包人：</w:t>
      </w:r>
    </w:p>
    <w:p w14:paraId="07428730">
      <w:pPr>
        <w:ind w:firstLine="480"/>
        <w:rPr>
          <w:rFonts w:hint="eastAsia" w:ascii="宋体" w:hAnsi="宋体" w:cs="宋体"/>
          <w:highlight w:val="none"/>
        </w:rPr>
      </w:pPr>
    </w:p>
    <w:p w14:paraId="0B922F22">
      <w:pPr>
        <w:keepNext/>
        <w:keepLines/>
        <w:widowControl w:val="0"/>
        <w:numPr>
          <w:ilvl w:val="2"/>
          <w:numId w:val="2"/>
        </w:numPr>
        <w:tabs>
          <w:tab w:val="center" w:pos="4393"/>
          <w:tab w:val="left" w:pos="6774"/>
        </w:tabs>
        <w:spacing w:line="360" w:lineRule="auto"/>
        <w:ind w:left="0" w:firstLine="0" w:firstLineChars="0"/>
        <w:jc w:val="center"/>
        <w:outlineLvl w:val="2"/>
        <w:rPr>
          <w:rFonts w:hint="eastAsia" w:ascii="宋体" w:hAnsi="宋体" w:eastAsia="宋体" w:cs="宋体"/>
          <w:b w:val="0"/>
          <w:bCs/>
          <w:color w:val="auto"/>
          <w:spacing w:val="2"/>
          <w:kern w:val="2"/>
          <w:sz w:val="32"/>
          <w:szCs w:val="44"/>
          <w:highlight w:val="none"/>
          <w:lang w:val="en-US" w:eastAsia="zh-CN" w:bidi="ar-SA"/>
        </w:rPr>
      </w:pPr>
      <w:r>
        <w:rPr>
          <w:rFonts w:hint="eastAsia" w:hAnsi="宋体" w:cs="宋体"/>
          <w:highlight w:val="none"/>
        </w:rPr>
        <w:br w:type="page"/>
      </w:r>
      <w:r>
        <w:rPr>
          <w:rFonts w:hint="eastAsia" w:ascii="宋体" w:hAnsi="宋体" w:eastAsia="宋体" w:cs="宋体"/>
          <w:b/>
          <w:bCs/>
          <w:color w:val="auto"/>
          <w:spacing w:val="2"/>
          <w:kern w:val="2"/>
          <w:sz w:val="32"/>
          <w:szCs w:val="44"/>
          <w:highlight w:val="none"/>
          <w:lang w:val="en-US" w:eastAsia="zh-CN" w:bidi="ar-SA"/>
        </w:rPr>
        <w:t>第一部分 合同协议书</w:t>
      </w:r>
    </w:p>
    <w:p w14:paraId="199F3C33">
      <w:pPr>
        <w:tabs>
          <w:tab w:val="center" w:pos="4393"/>
          <w:tab w:val="left" w:pos="6774"/>
        </w:tabs>
        <w:spacing w:line="360" w:lineRule="auto"/>
        <w:ind w:firstLine="0" w:firstLineChars="0"/>
        <w:jc w:val="both"/>
        <w:rPr>
          <w:rFonts w:hint="eastAsia" w:ascii="宋体" w:hAnsi="宋体" w:eastAsia="宋体" w:cs="宋体"/>
          <w:b/>
          <w:bCs w:val="0"/>
          <w:color w:val="auto"/>
          <w:spacing w:val="0"/>
          <w:kern w:val="2"/>
          <w:sz w:val="21"/>
          <w:szCs w:val="21"/>
          <w:highlight w:val="none"/>
        </w:rPr>
      </w:pPr>
      <w:r>
        <w:rPr>
          <w:rFonts w:hint="eastAsia" w:ascii="宋体" w:hAnsi="宋体" w:eastAsia="宋体" w:cs="宋体"/>
          <w:b/>
          <w:bCs w:val="0"/>
          <w:color w:val="auto"/>
          <w:spacing w:val="0"/>
          <w:kern w:val="2"/>
          <w:sz w:val="21"/>
          <w:szCs w:val="21"/>
          <w:highlight w:val="none"/>
        </w:rPr>
        <w:t>发包人（全称）：</w:t>
      </w:r>
    </w:p>
    <w:p w14:paraId="3E993060">
      <w:pPr>
        <w:tabs>
          <w:tab w:val="center" w:pos="4393"/>
          <w:tab w:val="left" w:pos="6774"/>
        </w:tabs>
        <w:spacing w:line="360" w:lineRule="auto"/>
        <w:ind w:firstLine="0" w:firstLineChars="0"/>
        <w:jc w:val="both"/>
        <w:rPr>
          <w:rFonts w:hint="eastAsia" w:ascii="宋体" w:hAnsi="宋体" w:eastAsia="宋体" w:cs="宋体"/>
          <w:b/>
          <w:bCs w:val="0"/>
          <w:color w:val="auto"/>
          <w:spacing w:val="0"/>
          <w:kern w:val="2"/>
          <w:sz w:val="21"/>
          <w:szCs w:val="21"/>
          <w:highlight w:val="none"/>
          <w:u w:val="single"/>
        </w:rPr>
      </w:pPr>
      <w:r>
        <w:rPr>
          <w:rFonts w:hint="eastAsia" w:ascii="宋体" w:hAnsi="宋体" w:eastAsia="宋体" w:cs="宋体"/>
          <w:b/>
          <w:bCs w:val="0"/>
          <w:color w:val="auto"/>
          <w:spacing w:val="0"/>
          <w:kern w:val="2"/>
          <w:sz w:val="21"/>
          <w:szCs w:val="21"/>
          <w:highlight w:val="none"/>
        </w:rPr>
        <w:t>承包人（全称）：</w:t>
      </w:r>
      <w:r>
        <w:rPr>
          <w:rFonts w:hint="eastAsia" w:ascii="宋体" w:hAnsi="宋体" w:eastAsia="宋体" w:cs="宋体"/>
          <w:b/>
          <w:bCs w:val="0"/>
          <w:color w:val="auto"/>
          <w:spacing w:val="0"/>
          <w:kern w:val="2"/>
          <w:sz w:val="21"/>
          <w:szCs w:val="21"/>
          <w:highlight w:val="none"/>
          <w:u w:val="single"/>
        </w:rPr>
        <w:t xml:space="preserve">                        </w:t>
      </w:r>
    </w:p>
    <w:p w14:paraId="59A27460">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根据《中华人民共和国</w:t>
      </w:r>
      <w:r>
        <w:rPr>
          <w:rFonts w:hint="eastAsia" w:ascii="宋体" w:hAnsi="宋体" w:eastAsia="宋体" w:cs="宋体"/>
          <w:bCs w:val="0"/>
          <w:color w:val="auto"/>
          <w:spacing w:val="0"/>
          <w:kern w:val="2"/>
          <w:sz w:val="21"/>
          <w:szCs w:val="21"/>
          <w:highlight w:val="none"/>
          <w:lang w:eastAsia="zh-CN"/>
        </w:rPr>
        <w:t>民法典</w:t>
      </w:r>
      <w:r>
        <w:rPr>
          <w:rFonts w:hint="eastAsia" w:ascii="宋体" w:hAnsi="宋体" w:eastAsia="宋体" w:cs="宋体"/>
          <w:bCs w:val="0"/>
          <w:color w:val="auto"/>
          <w:spacing w:val="0"/>
          <w:kern w:val="2"/>
          <w:sz w:val="21"/>
          <w:szCs w:val="21"/>
          <w:highlight w:val="none"/>
        </w:rPr>
        <w:t>》、《中华人民共和国建筑法》及有关法律规定，遵循平等、自愿、公平和诚实信用的原则，双方就</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及有关事项协商一致，共同达成如下协议：</w:t>
      </w:r>
    </w:p>
    <w:p w14:paraId="3AF6BFE6">
      <w:pPr>
        <w:keepNext/>
        <w:keepLines/>
        <w:widowControl w:val="0"/>
        <w:numPr>
          <w:ilvl w:val="3"/>
          <w:numId w:val="2"/>
        </w:numPr>
        <w:spacing w:line="360" w:lineRule="auto"/>
        <w:ind w:left="0" w:firstLine="0" w:firstLineChars="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2" w:name="_Toc351203481"/>
      <w:r>
        <w:rPr>
          <w:rFonts w:hint="eastAsia" w:ascii="宋体" w:hAnsi="宋体" w:eastAsia="宋体" w:cs="宋体"/>
          <w:b w:val="0"/>
          <w:bCs/>
          <w:color w:val="auto"/>
          <w:spacing w:val="0"/>
          <w:kern w:val="2"/>
          <w:sz w:val="21"/>
          <w:szCs w:val="21"/>
          <w:highlight w:val="none"/>
          <w:lang w:val="en-US" w:eastAsia="zh-CN" w:bidi="ar-SA"/>
        </w:rPr>
        <w:t>一、工程概况</w:t>
      </w:r>
      <w:bookmarkEnd w:id="2"/>
    </w:p>
    <w:p w14:paraId="2D57917A">
      <w:pPr>
        <w:tabs>
          <w:tab w:val="center" w:pos="4393"/>
          <w:tab w:val="left" w:pos="6774"/>
        </w:tabs>
        <w:spacing w:line="360" w:lineRule="auto"/>
        <w:ind w:firstLine="411" w:firstLineChars="196"/>
        <w:jc w:val="both"/>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color w:val="auto"/>
          <w:spacing w:val="0"/>
          <w:kern w:val="2"/>
          <w:sz w:val="21"/>
          <w:szCs w:val="21"/>
          <w:highlight w:val="none"/>
        </w:rPr>
        <w:t>1.工程名称</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color w:val="auto"/>
          <w:spacing w:val="0"/>
          <w:kern w:val="2"/>
          <w:sz w:val="21"/>
          <w:szCs w:val="24"/>
          <w:highlight w:val="none"/>
        </w:rPr>
        <w:t>。</w:t>
      </w:r>
    </w:p>
    <w:p w14:paraId="43454990">
      <w:pPr>
        <w:tabs>
          <w:tab w:val="center" w:pos="4393"/>
          <w:tab w:val="left" w:pos="6774"/>
        </w:tabs>
        <w:spacing w:line="360" w:lineRule="auto"/>
        <w:ind w:firstLine="411" w:firstLineChars="196"/>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2.工程地点：</w:t>
      </w:r>
      <w:r>
        <w:rPr>
          <w:rFonts w:hint="eastAsia" w:ascii="宋体" w:hAnsi="宋体" w:eastAsia="宋体" w:cs="宋体"/>
          <w:bCs/>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w:t>
      </w:r>
    </w:p>
    <w:p w14:paraId="34783593">
      <w:pPr>
        <w:tabs>
          <w:tab w:val="center" w:pos="4393"/>
          <w:tab w:val="left" w:pos="6774"/>
        </w:tabs>
        <w:spacing w:line="360" w:lineRule="auto"/>
        <w:ind w:firstLine="411" w:firstLineChars="196"/>
        <w:jc w:val="both"/>
        <w:rPr>
          <w:rFonts w:hint="eastAsia" w:ascii="宋体" w:hAnsi="宋体" w:eastAsia="宋体" w:cs="宋体"/>
          <w:bCs/>
          <w:color w:val="auto"/>
          <w:spacing w:val="0"/>
          <w:kern w:val="2"/>
          <w:sz w:val="21"/>
          <w:szCs w:val="21"/>
          <w:highlight w:val="none"/>
          <w:u w:val="single"/>
        </w:rPr>
      </w:pPr>
      <w:r>
        <w:rPr>
          <w:rFonts w:hint="eastAsia" w:ascii="宋体" w:hAnsi="宋体" w:eastAsia="宋体" w:cs="宋体"/>
          <w:bCs/>
          <w:color w:val="auto"/>
          <w:spacing w:val="0"/>
          <w:kern w:val="2"/>
          <w:sz w:val="21"/>
          <w:szCs w:val="21"/>
          <w:highlight w:val="none"/>
        </w:rPr>
        <w:t>3.工程立项批准文号：</w:t>
      </w:r>
      <w:r>
        <w:rPr>
          <w:rFonts w:hint="eastAsia" w:ascii="宋体" w:hAnsi="宋体" w:eastAsia="宋体" w:cs="宋体"/>
          <w:bCs/>
          <w:color w:val="auto"/>
          <w:spacing w:val="0"/>
          <w:kern w:val="2"/>
          <w:sz w:val="21"/>
          <w:szCs w:val="21"/>
          <w:highlight w:val="none"/>
          <w:u w:val="single"/>
          <w:lang w:val="en-US" w:eastAsia="zh-CN"/>
        </w:rPr>
        <w:t xml:space="preserve">                 </w:t>
      </w:r>
      <w:r>
        <w:rPr>
          <w:rFonts w:hint="eastAsia" w:ascii="宋体" w:hAnsi="宋体" w:eastAsia="宋体" w:cs="宋体"/>
          <w:bCs/>
          <w:color w:val="auto"/>
          <w:spacing w:val="0"/>
          <w:kern w:val="2"/>
          <w:sz w:val="21"/>
          <w:szCs w:val="21"/>
          <w:highlight w:val="none"/>
          <w:u w:val="none"/>
          <w:lang w:val="en-US" w:eastAsia="zh-CN"/>
        </w:rPr>
        <w:t>。</w:t>
      </w:r>
    </w:p>
    <w:p w14:paraId="1D73A708">
      <w:pPr>
        <w:tabs>
          <w:tab w:val="center" w:pos="4393"/>
          <w:tab w:val="left" w:pos="6774"/>
        </w:tabs>
        <w:spacing w:line="360" w:lineRule="auto"/>
        <w:ind w:firstLine="411" w:firstLineChars="196"/>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4.资金来源：</w:t>
      </w:r>
      <w:r>
        <w:rPr>
          <w:rFonts w:hint="eastAsia" w:ascii="宋体" w:hAnsi="宋体" w:eastAsia="宋体" w:cs="宋体"/>
          <w:bCs/>
          <w:color w:val="auto"/>
          <w:spacing w:val="0"/>
          <w:kern w:val="2"/>
          <w:sz w:val="21"/>
          <w:szCs w:val="21"/>
          <w:highlight w:val="none"/>
          <w:u w:val="single"/>
          <w:lang w:val="en-US" w:eastAsia="zh-CN"/>
        </w:rPr>
        <w:t xml:space="preserve"> </w:t>
      </w:r>
      <w:r>
        <w:rPr>
          <w:rFonts w:hint="eastAsia" w:ascii="宋体" w:hAnsi="宋体" w:eastAsia="宋体" w:cs="宋体"/>
          <w:b w:val="0"/>
          <w:bCs/>
          <w:color w:val="auto"/>
          <w:spacing w:val="0"/>
          <w:kern w:val="2"/>
          <w:sz w:val="21"/>
          <w:szCs w:val="24"/>
          <w:highlight w:val="none"/>
          <w:u w:val="single"/>
          <w:lang w:val="en-US" w:eastAsia="zh-CN"/>
        </w:rPr>
        <w:t xml:space="preserve">                  </w:t>
      </w:r>
      <w:r>
        <w:rPr>
          <w:rFonts w:hint="eastAsia" w:ascii="宋体" w:hAnsi="宋体" w:eastAsia="宋体" w:cs="宋体"/>
          <w:bCs/>
          <w:color w:val="auto"/>
          <w:spacing w:val="0"/>
          <w:kern w:val="2"/>
          <w:sz w:val="21"/>
          <w:szCs w:val="21"/>
          <w:highlight w:val="none"/>
        </w:rPr>
        <w:t>。</w:t>
      </w:r>
    </w:p>
    <w:p w14:paraId="5D6E66A6">
      <w:pPr>
        <w:tabs>
          <w:tab w:val="center" w:pos="4393"/>
          <w:tab w:val="left" w:pos="6774"/>
        </w:tabs>
        <w:spacing w:line="360" w:lineRule="auto"/>
        <w:ind w:firstLine="411" w:firstLineChars="196"/>
        <w:jc w:val="both"/>
        <w:rPr>
          <w:rFonts w:hint="eastAsia" w:ascii="宋体" w:hAnsi="宋体" w:eastAsia="宋体" w:cs="宋体"/>
          <w:bCs/>
          <w:color w:val="auto"/>
          <w:spacing w:val="0"/>
          <w:kern w:val="2"/>
          <w:sz w:val="21"/>
          <w:szCs w:val="21"/>
          <w:highlight w:val="none"/>
          <w:u w:val="single"/>
          <w:lang w:val="en-US" w:eastAsia="zh-CN"/>
        </w:rPr>
      </w:pPr>
      <w:r>
        <w:rPr>
          <w:rFonts w:hint="eastAsia" w:ascii="宋体" w:hAnsi="宋体" w:eastAsia="宋体" w:cs="宋体"/>
          <w:bCs/>
          <w:color w:val="auto"/>
          <w:spacing w:val="0"/>
          <w:kern w:val="2"/>
          <w:sz w:val="21"/>
          <w:szCs w:val="21"/>
          <w:highlight w:val="none"/>
        </w:rPr>
        <w:t>5.工程内容：</w:t>
      </w:r>
      <w:r>
        <w:rPr>
          <w:rFonts w:hint="eastAsia" w:ascii="宋体" w:hAnsi="宋体" w:eastAsia="宋体" w:cs="宋体"/>
          <w:bCs/>
          <w:color w:val="auto"/>
          <w:spacing w:val="0"/>
          <w:kern w:val="2"/>
          <w:sz w:val="21"/>
          <w:szCs w:val="21"/>
          <w:highlight w:val="none"/>
          <w:u w:val="single"/>
          <w:lang w:val="en-US" w:eastAsia="zh-CN"/>
        </w:rPr>
        <w:t xml:space="preserve">                  </w:t>
      </w:r>
      <w:r>
        <w:rPr>
          <w:rFonts w:hint="eastAsia" w:ascii="宋体" w:hAnsi="宋体" w:eastAsia="宋体" w:cs="宋体"/>
          <w:bCs/>
          <w:color w:val="auto"/>
          <w:spacing w:val="0"/>
          <w:kern w:val="2"/>
          <w:sz w:val="21"/>
          <w:szCs w:val="21"/>
          <w:highlight w:val="none"/>
          <w:u w:val="none"/>
          <w:lang w:val="en-US" w:eastAsia="zh-CN"/>
        </w:rPr>
        <w:t>。</w:t>
      </w:r>
    </w:p>
    <w:p w14:paraId="286066D1">
      <w:pPr>
        <w:tabs>
          <w:tab w:val="center" w:pos="4393"/>
          <w:tab w:val="left" w:pos="6774"/>
        </w:tabs>
        <w:spacing w:line="360" w:lineRule="auto"/>
        <w:ind w:firstLine="411" w:firstLineChars="196"/>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群体工程应附《承包人承揽工程项目一览表》（附件1）。</w:t>
      </w:r>
    </w:p>
    <w:p w14:paraId="24185164">
      <w:pPr>
        <w:tabs>
          <w:tab w:val="center" w:pos="4393"/>
          <w:tab w:val="left" w:pos="6774"/>
        </w:tabs>
        <w:spacing w:line="360" w:lineRule="auto"/>
        <w:ind w:firstLine="411" w:firstLineChars="196"/>
        <w:jc w:val="both"/>
        <w:rPr>
          <w:rFonts w:hint="eastAsia" w:ascii="宋体" w:hAnsi="宋体" w:eastAsia="宋体" w:cs="宋体"/>
          <w:bCs/>
          <w:color w:val="auto"/>
          <w:spacing w:val="0"/>
          <w:kern w:val="2"/>
          <w:sz w:val="21"/>
          <w:szCs w:val="21"/>
          <w:highlight w:val="none"/>
          <w:u w:val="single"/>
          <w:lang w:val="en-US" w:eastAsia="zh-CN"/>
        </w:rPr>
      </w:pPr>
      <w:r>
        <w:rPr>
          <w:rFonts w:hint="eastAsia" w:ascii="宋体" w:hAnsi="宋体" w:eastAsia="宋体" w:cs="宋体"/>
          <w:bCs w:val="0"/>
          <w:color w:val="auto"/>
          <w:spacing w:val="0"/>
          <w:kern w:val="2"/>
          <w:sz w:val="21"/>
          <w:szCs w:val="21"/>
          <w:highlight w:val="none"/>
          <w:lang w:val="en-US" w:eastAsia="zh-CN"/>
        </w:rPr>
        <w:t>6.</w:t>
      </w:r>
      <w:r>
        <w:rPr>
          <w:rFonts w:hint="eastAsia" w:ascii="宋体" w:hAnsi="宋体" w:eastAsia="宋体" w:cs="宋体"/>
          <w:bCs w:val="0"/>
          <w:color w:val="auto"/>
          <w:spacing w:val="0"/>
          <w:kern w:val="2"/>
          <w:sz w:val="21"/>
          <w:szCs w:val="21"/>
          <w:highlight w:val="none"/>
          <w:lang w:bidi="ar"/>
        </w:rPr>
        <w:t>工程承包范围：</w:t>
      </w:r>
      <w:r>
        <w:rPr>
          <w:rFonts w:hint="eastAsia" w:ascii="宋体" w:hAnsi="宋体" w:eastAsia="宋体" w:cs="宋体"/>
          <w:bCs w:val="0"/>
          <w:color w:val="auto"/>
          <w:spacing w:val="0"/>
          <w:kern w:val="2"/>
          <w:sz w:val="21"/>
          <w:szCs w:val="21"/>
          <w:highlight w:val="none"/>
          <w:u w:val="single"/>
          <w:lang w:val="en-US" w:eastAsia="zh-CN" w:bidi="ar"/>
        </w:rPr>
        <w:t xml:space="preserve">                  </w:t>
      </w:r>
      <w:r>
        <w:rPr>
          <w:rFonts w:hint="eastAsia" w:ascii="宋体" w:hAnsi="宋体" w:eastAsia="宋体" w:cs="宋体"/>
          <w:b w:val="0"/>
          <w:bCs w:val="0"/>
          <w:color w:val="auto"/>
          <w:spacing w:val="0"/>
          <w:kern w:val="2"/>
          <w:sz w:val="21"/>
          <w:szCs w:val="21"/>
          <w:highlight w:val="none"/>
          <w:u w:val="single"/>
          <w:lang w:val="en-US" w:eastAsia="zh-CN"/>
        </w:rPr>
        <w:t>。</w:t>
      </w:r>
      <w:bookmarkStart w:id="3" w:name="_Toc351203482"/>
    </w:p>
    <w:p w14:paraId="25FC8EBF">
      <w:pPr>
        <w:tabs>
          <w:tab w:val="center" w:pos="4393"/>
          <w:tab w:val="left" w:pos="6774"/>
        </w:tabs>
        <w:spacing w:line="360" w:lineRule="auto"/>
        <w:ind w:firstLine="0" w:firstLineChars="0"/>
        <w:jc w:val="both"/>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二、合同工期</w:t>
      </w:r>
      <w:bookmarkEnd w:id="3"/>
    </w:p>
    <w:p w14:paraId="1F53294A">
      <w:pPr>
        <w:tabs>
          <w:tab w:val="center" w:pos="4393"/>
          <w:tab w:val="left" w:pos="6774"/>
        </w:tabs>
        <w:spacing w:line="360" w:lineRule="auto"/>
        <w:ind w:firstLine="459"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计划开工日期：</w:t>
      </w:r>
      <w:r>
        <w:rPr>
          <w:rFonts w:hint="eastAsia" w:ascii="宋体" w:hAnsi="宋体" w:eastAsia="宋体" w:cs="宋体"/>
          <w:b/>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年</w:t>
      </w:r>
      <w:r>
        <w:rPr>
          <w:rFonts w:hint="eastAsia" w:ascii="宋体" w:hAnsi="宋体" w:eastAsia="宋体" w:cs="宋体"/>
          <w:b/>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月</w:t>
      </w:r>
      <w:r>
        <w:rPr>
          <w:rFonts w:hint="eastAsia" w:ascii="宋体" w:hAnsi="宋体" w:eastAsia="宋体" w:cs="宋体"/>
          <w:b/>
          <w:bCs/>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日</w:t>
      </w:r>
      <w:r>
        <w:rPr>
          <w:rFonts w:hint="eastAsia" w:ascii="宋体" w:hAnsi="宋体" w:eastAsia="宋体" w:cs="宋体"/>
          <w:b w:val="0"/>
          <w:bCs w:val="0"/>
          <w:color w:val="auto"/>
          <w:spacing w:val="0"/>
          <w:kern w:val="2"/>
          <w:sz w:val="21"/>
          <w:szCs w:val="21"/>
          <w:highlight w:val="none"/>
          <w:lang w:eastAsia="zh-CN"/>
        </w:rPr>
        <w:t>，</w:t>
      </w:r>
      <w:r>
        <w:rPr>
          <w:rFonts w:hint="eastAsia" w:ascii="宋体" w:hAnsi="宋体" w:eastAsia="宋体" w:cs="宋体"/>
          <w:b w:val="0"/>
          <w:bCs w:val="0"/>
          <w:color w:val="auto"/>
          <w:spacing w:val="0"/>
          <w:kern w:val="2"/>
          <w:sz w:val="21"/>
          <w:szCs w:val="21"/>
          <w:highlight w:val="none"/>
          <w:u w:val="none"/>
        </w:rPr>
        <w:t>具体开工时间以</w:t>
      </w:r>
      <w:r>
        <w:rPr>
          <w:rFonts w:hint="eastAsia" w:ascii="宋体" w:hAnsi="宋体" w:eastAsia="宋体" w:cs="宋体"/>
          <w:b w:val="0"/>
          <w:bCs w:val="0"/>
          <w:color w:val="auto"/>
          <w:spacing w:val="0"/>
          <w:kern w:val="2"/>
          <w:sz w:val="21"/>
          <w:szCs w:val="21"/>
          <w:highlight w:val="none"/>
          <w:u w:val="none"/>
          <w:lang w:val="en-US" w:eastAsia="zh-CN"/>
        </w:rPr>
        <w:t>发包人书面通知</w:t>
      </w:r>
      <w:r>
        <w:rPr>
          <w:rFonts w:hint="eastAsia" w:ascii="宋体" w:hAnsi="宋体" w:eastAsia="宋体" w:cs="宋体"/>
          <w:b w:val="0"/>
          <w:bCs w:val="0"/>
          <w:color w:val="auto"/>
          <w:spacing w:val="0"/>
          <w:kern w:val="2"/>
          <w:sz w:val="21"/>
          <w:szCs w:val="21"/>
          <w:highlight w:val="none"/>
          <w:u w:val="none"/>
        </w:rPr>
        <w:t>为准</w:t>
      </w:r>
      <w:r>
        <w:rPr>
          <w:rFonts w:hint="eastAsia" w:ascii="宋体" w:hAnsi="宋体" w:eastAsia="宋体" w:cs="宋体"/>
          <w:b w:val="0"/>
          <w:bCs w:val="0"/>
          <w:color w:val="auto"/>
          <w:spacing w:val="0"/>
          <w:kern w:val="2"/>
          <w:sz w:val="21"/>
          <w:szCs w:val="21"/>
          <w:highlight w:val="none"/>
        </w:rPr>
        <w:t>。</w:t>
      </w:r>
    </w:p>
    <w:p w14:paraId="2CE7C71A">
      <w:pPr>
        <w:tabs>
          <w:tab w:val="center" w:pos="4393"/>
          <w:tab w:val="left" w:pos="6774"/>
        </w:tabs>
        <w:spacing w:line="360" w:lineRule="auto"/>
        <w:ind w:firstLine="459"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计划竣工日期：</w:t>
      </w:r>
      <w:r>
        <w:rPr>
          <w:rFonts w:hint="eastAsia" w:ascii="宋体" w:hAnsi="宋体" w:eastAsia="宋体" w:cs="宋体"/>
          <w:b/>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年</w:t>
      </w:r>
      <w:r>
        <w:rPr>
          <w:rFonts w:hint="eastAsia" w:ascii="宋体" w:hAnsi="宋体" w:eastAsia="宋体" w:cs="宋体"/>
          <w:b/>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月</w:t>
      </w:r>
      <w:r>
        <w:rPr>
          <w:rFonts w:hint="eastAsia" w:ascii="宋体" w:hAnsi="宋体" w:eastAsia="宋体" w:cs="宋体"/>
          <w:b/>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日。</w:t>
      </w:r>
    </w:p>
    <w:p w14:paraId="08F8351A">
      <w:pPr>
        <w:tabs>
          <w:tab w:val="center" w:pos="4393"/>
          <w:tab w:val="left" w:pos="6774"/>
        </w:tabs>
        <w:spacing w:line="360" w:lineRule="auto"/>
        <w:ind w:firstLine="459" w:firstLineChars="0"/>
        <w:jc w:val="both"/>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rPr>
        <w:t>工期总日历天数：</w:t>
      </w:r>
      <w:r>
        <w:rPr>
          <w:rFonts w:hint="eastAsia" w:ascii="宋体" w:hAnsi="宋体" w:eastAsia="宋体" w:cs="宋体"/>
          <w:b/>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lang w:val="en-US" w:eastAsia="zh-CN"/>
        </w:rPr>
        <w:t>日历天</w:t>
      </w:r>
      <w:r>
        <w:rPr>
          <w:rFonts w:hint="eastAsia" w:ascii="宋体" w:hAnsi="宋体" w:eastAsia="宋体" w:cs="宋体"/>
          <w:b/>
          <w:bCs/>
          <w:color w:val="auto"/>
          <w:spacing w:val="0"/>
          <w:kern w:val="2"/>
          <w:sz w:val="21"/>
          <w:szCs w:val="21"/>
          <w:highlight w:val="none"/>
          <w:u w:val="none"/>
          <w:lang w:val="en-US" w:eastAsia="zh-CN"/>
        </w:rPr>
        <w:t>。</w:t>
      </w:r>
    </w:p>
    <w:p w14:paraId="539574AF">
      <w:pPr>
        <w:tabs>
          <w:tab w:val="center" w:pos="4393"/>
          <w:tab w:val="left" w:pos="6774"/>
        </w:tabs>
        <w:spacing w:line="360" w:lineRule="auto"/>
        <w:ind w:firstLine="459"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工期总日历天数与根据前述计划开竣工日期计算的工期天数不一致的，以工期总日历天数为准。</w:t>
      </w:r>
    </w:p>
    <w:p w14:paraId="7269E9EB">
      <w:pPr>
        <w:keepNext/>
        <w:keepLines/>
        <w:widowControl w:val="0"/>
        <w:numPr>
          <w:ilvl w:val="3"/>
          <w:numId w:val="2"/>
        </w:numPr>
        <w:spacing w:line="360" w:lineRule="auto"/>
        <w:ind w:left="0" w:firstLine="0" w:firstLineChars="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4" w:name="_Toc351203483"/>
      <w:r>
        <w:rPr>
          <w:rFonts w:hint="eastAsia" w:ascii="宋体" w:hAnsi="宋体" w:eastAsia="宋体" w:cs="宋体"/>
          <w:b w:val="0"/>
          <w:bCs/>
          <w:color w:val="auto"/>
          <w:spacing w:val="0"/>
          <w:kern w:val="2"/>
          <w:sz w:val="21"/>
          <w:szCs w:val="21"/>
          <w:highlight w:val="none"/>
          <w:lang w:val="en-US" w:eastAsia="zh-CN" w:bidi="ar-SA"/>
        </w:rPr>
        <w:t>三、质量标准</w:t>
      </w:r>
      <w:bookmarkEnd w:id="4"/>
    </w:p>
    <w:p w14:paraId="2F9244CF">
      <w:pPr>
        <w:tabs>
          <w:tab w:val="center" w:pos="4393"/>
          <w:tab w:val="left" w:pos="6774"/>
        </w:tabs>
        <w:spacing w:line="360" w:lineRule="auto"/>
        <w:ind w:firstLine="459"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工程质量符合</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
          <w:bCs w:val="0"/>
          <w:color w:val="auto"/>
          <w:spacing w:val="0"/>
          <w:kern w:val="2"/>
          <w:sz w:val="21"/>
          <w:szCs w:val="21"/>
          <w:highlight w:val="none"/>
          <w:u w:val="single"/>
        </w:rPr>
        <w:t>合格</w:t>
      </w:r>
      <w:r>
        <w:rPr>
          <w:rFonts w:hint="eastAsia" w:ascii="宋体" w:hAnsi="宋体" w:eastAsia="宋体" w:cs="宋体"/>
          <w:b/>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标准。</w:t>
      </w:r>
    </w:p>
    <w:p w14:paraId="7506CDFB">
      <w:pPr>
        <w:keepNext/>
        <w:keepLines/>
        <w:widowControl w:val="0"/>
        <w:numPr>
          <w:ilvl w:val="3"/>
          <w:numId w:val="2"/>
        </w:numPr>
        <w:spacing w:line="360" w:lineRule="auto"/>
        <w:ind w:left="0" w:firstLine="0" w:firstLineChars="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5" w:name="_Toc351203484"/>
      <w:r>
        <w:rPr>
          <w:rFonts w:hint="eastAsia" w:ascii="宋体" w:hAnsi="宋体" w:eastAsia="宋体" w:cs="宋体"/>
          <w:b w:val="0"/>
          <w:bCs/>
          <w:color w:val="auto"/>
          <w:spacing w:val="0"/>
          <w:kern w:val="2"/>
          <w:sz w:val="21"/>
          <w:szCs w:val="21"/>
          <w:highlight w:val="none"/>
          <w:lang w:val="en-US" w:eastAsia="zh-CN" w:bidi="ar-SA"/>
        </w:rPr>
        <w:t>四、签约合同价与合同价格形式</w:t>
      </w:r>
      <w:bookmarkEnd w:id="5"/>
    </w:p>
    <w:p w14:paraId="54E7E796">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1.签约合同价为：</w:t>
      </w:r>
    </w:p>
    <w:p w14:paraId="06443D80">
      <w:pPr>
        <w:tabs>
          <w:tab w:val="center" w:pos="4393"/>
          <w:tab w:val="left" w:pos="6774"/>
        </w:tabs>
        <w:spacing w:line="360" w:lineRule="auto"/>
        <w:ind w:firstLine="525" w:firstLineChars="25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人民币（大写）</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元</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p>
    <w:p w14:paraId="0F5FE1C7">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其中：</w:t>
      </w:r>
    </w:p>
    <w:p w14:paraId="42FB1DCC">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（1）安全</w:t>
      </w:r>
      <w:r>
        <w:rPr>
          <w:rFonts w:hint="eastAsia" w:ascii="宋体" w:hAnsi="宋体" w:eastAsia="宋体" w:cs="宋体"/>
          <w:bCs w:val="0"/>
          <w:color w:val="auto"/>
          <w:spacing w:val="0"/>
          <w:kern w:val="2"/>
          <w:sz w:val="21"/>
          <w:szCs w:val="21"/>
          <w:highlight w:val="none"/>
          <w:lang w:val="en-US" w:eastAsia="zh-CN"/>
        </w:rPr>
        <w:t>生产措施费</w:t>
      </w:r>
      <w:r>
        <w:rPr>
          <w:rFonts w:hint="eastAsia" w:ascii="宋体" w:hAnsi="宋体" w:eastAsia="宋体" w:cs="宋体"/>
          <w:bCs w:val="0"/>
          <w:color w:val="auto"/>
          <w:spacing w:val="0"/>
          <w:kern w:val="2"/>
          <w:sz w:val="21"/>
          <w:szCs w:val="21"/>
          <w:highlight w:val="none"/>
        </w:rPr>
        <w:t>：</w:t>
      </w:r>
    </w:p>
    <w:p w14:paraId="05A8DF21">
      <w:pPr>
        <w:tabs>
          <w:tab w:val="center" w:pos="4393"/>
          <w:tab w:val="left" w:pos="6774"/>
        </w:tabs>
        <w:spacing w:line="360" w:lineRule="auto"/>
        <w:ind w:firstLine="945" w:firstLineChars="45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人民币（大写）</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 xml:space="preserve"> </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元</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p>
    <w:p w14:paraId="333FE92C">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（2）材料和工程设备暂估价金额：</w:t>
      </w:r>
    </w:p>
    <w:p w14:paraId="571EA78F">
      <w:pPr>
        <w:tabs>
          <w:tab w:val="center" w:pos="4393"/>
          <w:tab w:val="left" w:pos="6774"/>
        </w:tabs>
        <w:spacing w:line="360" w:lineRule="auto"/>
        <w:ind w:firstLine="945" w:firstLineChars="45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人民币（大写）</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 xml:space="preserve"> </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元</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p>
    <w:p w14:paraId="1247ABB9">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（3）专业工程暂估价金额：</w:t>
      </w:r>
    </w:p>
    <w:p w14:paraId="2B65BF50">
      <w:pPr>
        <w:tabs>
          <w:tab w:val="center" w:pos="4393"/>
          <w:tab w:val="left" w:pos="6774"/>
        </w:tabs>
        <w:spacing w:line="360" w:lineRule="auto"/>
        <w:ind w:firstLine="945" w:firstLineChars="45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人民币（大写）</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 xml:space="preserve"> </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元</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p>
    <w:p w14:paraId="7B8FDFBA">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（4）暂列金额：</w:t>
      </w:r>
    </w:p>
    <w:p w14:paraId="64392E0F">
      <w:pPr>
        <w:tabs>
          <w:tab w:val="center" w:pos="4393"/>
          <w:tab w:val="left" w:pos="6774"/>
        </w:tabs>
        <w:spacing w:line="360" w:lineRule="auto"/>
        <w:ind w:firstLine="945" w:firstLineChars="45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人民币（大写）</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 xml:space="preserve"> </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元</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p>
    <w:p w14:paraId="2C4AE0ED">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lang w:val="en-US" w:eastAsia="zh-CN"/>
        </w:rPr>
        <w:t>2.</w:t>
      </w:r>
      <w:r>
        <w:rPr>
          <w:rFonts w:hint="eastAsia" w:ascii="宋体" w:hAnsi="宋体" w:eastAsia="宋体" w:cs="宋体"/>
          <w:bCs w:val="0"/>
          <w:color w:val="auto"/>
          <w:spacing w:val="0"/>
          <w:kern w:val="2"/>
          <w:sz w:val="21"/>
          <w:szCs w:val="21"/>
          <w:highlight w:val="none"/>
        </w:rPr>
        <w:t>合同价格形式：</w:t>
      </w:r>
      <w:r>
        <w:rPr>
          <w:rFonts w:hint="eastAsia" w:ascii="宋体" w:hAnsi="宋体" w:eastAsia="宋体" w:cs="宋体"/>
          <w:b/>
          <w:bCs/>
          <w:color w:val="auto"/>
          <w:spacing w:val="0"/>
          <w:kern w:val="2"/>
          <w:sz w:val="21"/>
          <w:szCs w:val="21"/>
          <w:highlight w:val="none"/>
          <w:u w:val="single"/>
          <w:lang w:val="en-US" w:eastAsia="zh-CN"/>
        </w:rPr>
        <w:t xml:space="preserve"> </w:t>
      </w:r>
      <w:r>
        <w:rPr>
          <w:rFonts w:hint="eastAsia" w:ascii="宋体" w:hAnsi="宋体" w:eastAsia="宋体" w:cs="宋体"/>
          <w:b/>
          <w:bCs/>
          <w:color w:val="auto"/>
          <w:spacing w:val="0"/>
          <w:kern w:val="2"/>
          <w:sz w:val="21"/>
          <w:szCs w:val="21"/>
          <w:highlight w:val="none"/>
          <w:u w:val="single"/>
        </w:rPr>
        <w:t>固定单价合同</w:t>
      </w:r>
      <w:r>
        <w:rPr>
          <w:rFonts w:hint="eastAsia" w:ascii="宋体" w:hAnsi="宋体" w:eastAsia="宋体" w:cs="宋体"/>
          <w:b/>
          <w:bCs/>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w:t>
      </w:r>
    </w:p>
    <w:p w14:paraId="0BA98ACE">
      <w:pPr>
        <w:keepNext/>
        <w:keepLines/>
        <w:widowControl w:val="0"/>
        <w:numPr>
          <w:ilvl w:val="3"/>
          <w:numId w:val="2"/>
        </w:numPr>
        <w:spacing w:line="360" w:lineRule="auto"/>
        <w:ind w:left="0" w:firstLine="0" w:firstLineChars="0"/>
        <w:jc w:val="both"/>
        <w:outlineLvl w:val="3"/>
        <w:rPr>
          <w:rFonts w:hint="eastAsia" w:ascii="宋体" w:hAnsi="宋体" w:eastAsia="宋体" w:cs="宋体"/>
          <w:b w:val="0"/>
          <w:bCs/>
          <w:color w:val="auto"/>
          <w:spacing w:val="0"/>
          <w:kern w:val="2"/>
          <w:sz w:val="21"/>
          <w:szCs w:val="21"/>
          <w:highlight w:val="none"/>
          <w:lang w:val="en-US" w:eastAsia="zh-CN" w:bidi="ar-SA"/>
        </w:rPr>
      </w:pPr>
      <w:bookmarkStart w:id="6" w:name="_Toc351203485"/>
      <w:r>
        <w:rPr>
          <w:rFonts w:hint="eastAsia" w:ascii="宋体" w:hAnsi="宋体" w:eastAsia="宋体" w:cs="宋体"/>
          <w:b w:val="0"/>
          <w:bCs/>
          <w:color w:val="auto"/>
          <w:spacing w:val="0"/>
          <w:kern w:val="2"/>
          <w:sz w:val="21"/>
          <w:szCs w:val="21"/>
          <w:highlight w:val="none"/>
          <w:lang w:val="en-US" w:eastAsia="zh-CN" w:bidi="ar-SA"/>
        </w:rPr>
        <w:t>五、</w:t>
      </w:r>
      <w:bookmarkEnd w:id="6"/>
      <w:r>
        <w:rPr>
          <w:rFonts w:hint="eastAsia" w:ascii="宋体" w:hAnsi="宋体" w:eastAsia="宋体" w:cs="宋体"/>
          <w:b w:val="0"/>
          <w:bCs/>
          <w:color w:val="auto"/>
          <w:spacing w:val="0"/>
          <w:kern w:val="2"/>
          <w:sz w:val="21"/>
          <w:szCs w:val="21"/>
          <w:highlight w:val="none"/>
          <w:lang w:val="en-US" w:eastAsia="zh-CN" w:bidi="ar-SA"/>
        </w:rPr>
        <w:t>项目经理</w:t>
      </w:r>
    </w:p>
    <w:p w14:paraId="53CC1297">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承包人项目经理：</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067638D0">
      <w:pPr>
        <w:keepNext/>
        <w:keepLines/>
        <w:widowControl w:val="0"/>
        <w:numPr>
          <w:ilvl w:val="3"/>
          <w:numId w:val="2"/>
        </w:numPr>
        <w:spacing w:line="360" w:lineRule="auto"/>
        <w:ind w:left="0" w:firstLine="0" w:firstLineChars="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7" w:name="_Toc351203486"/>
      <w:r>
        <w:rPr>
          <w:rFonts w:hint="eastAsia" w:ascii="宋体" w:hAnsi="宋体" w:eastAsia="宋体" w:cs="宋体"/>
          <w:b w:val="0"/>
          <w:bCs/>
          <w:color w:val="auto"/>
          <w:spacing w:val="0"/>
          <w:kern w:val="2"/>
          <w:sz w:val="21"/>
          <w:szCs w:val="21"/>
          <w:highlight w:val="none"/>
          <w:lang w:val="en-US" w:eastAsia="zh-CN" w:bidi="ar-SA"/>
        </w:rPr>
        <w:t>六、合同文件构成</w:t>
      </w:r>
      <w:bookmarkEnd w:id="7"/>
    </w:p>
    <w:p w14:paraId="32BF253A">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本协议书与下列文件一起构成合同文件：</w:t>
      </w:r>
    </w:p>
    <w:p w14:paraId="3EB68FD7">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（1）中标通知书（如果有）；</w:t>
      </w:r>
    </w:p>
    <w:p w14:paraId="62AA57E4">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（2）投标函及其附录（如果有）； </w:t>
      </w:r>
    </w:p>
    <w:p w14:paraId="725CB148">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（3）专用合同条款及其附件；</w:t>
      </w:r>
    </w:p>
    <w:p w14:paraId="35E1D491">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（4）通用合同条款；</w:t>
      </w:r>
    </w:p>
    <w:p w14:paraId="04626596">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（5）技术标准和要求；</w:t>
      </w:r>
    </w:p>
    <w:p w14:paraId="396E6708">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（6）图纸；</w:t>
      </w:r>
    </w:p>
    <w:p w14:paraId="655C7E8C">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（7）已标价工程量清单或预算书；</w:t>
      </w:r>
    </w:p>
    <w:p w14:paraId="7C75FE69">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（8）其他合同文件。</w:t>
      </w:r>
    </w:p>
    <w:p w14:paraId="0B7F5139">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在合同订立及履行过程中形成的与合同有关的文件均构成合同文件组成部分。</w:t>
      </w:r>
    </w:p>
    <w:p w14:paraId="3FEA49E5">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61893029">
      <w:pPr>
        <w:keepNext/>
        <w:keepLines/>
        <w:widowControl w:val="0"/>
        <w:numPr>
          <w:ilvl w:val="3"/>
          <w:numId w:val="2"/>
        </w:numPr>
        <w:spacing w:line="360" w:lineRule="auto"/>
        <w:ind w:left="0" w:firstLine="0" w:firstLineChars="0"/>
        <w:jc w:val="both"/>
        <w:outlineLvl w:val="3"/>
        <w:rPr>
          <w:rFonts w:hint="eastAsia" w:ascii="宋体" w:hAnsi="宋体" w:eastAsia="宋体" w:cs="宋体"/>
          <w:b w:val="0"/>
          <w:bCs w:val="0"/>
          <w:color w:val="auto"/>
          <w:spacing w:val="0"/>
          <w:kern w:val="2"/>
          <w:sz w:val="21"/>
          <w:szCs w:val="21"/>
          <w:highlight w:val="none"/>
          <w:lang w:val="en-US" w:eastAsia="zh-CN" w:bidi="ar-SA"/>
        </w:rPr>
      </w:pPr>
      <w:bookmarkStart w:id="8" w:name="_Toc351203487"/>
      <w:r>
        <w:rPr>
          <w:rFonts w:hint="eastAsia" w:ascii="宋体" w:hAnsi="宋体" w:eastAsia="宋体" w:cs="宋体"/>
          <w:b w:val="0"/>
          <w:bCs/>
          <w:color w:val="auto"/>
          <w:spacing w:val="0"/>
          <w:kern w:val="2"/>
          <w:sz w:val="21"/>
          <w:szCs w:val="21"/>
          <w:highlight w:val="none"/>
          <w:lang w:val="en-US" w:eastAsia="zh-CN" w:bidi="ar-SA"/>
        </w:rPr>
        <w:t>七、承诺</w:t>
      </w:r>
      <w:bookmarkEnd w:id="8"/>
    </w:p>
    <w:p w14:paraId="61B4388F">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1.发包人承诺按照法律规定履行项目审批手续、筹集工程建设资金并按照合同约定的期限和方式支付合同价款。</w:t>
      </w:r>
    </w:p>
    <w:p w14:paraId="3EFE82F2">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2.承包人承诺按照法律规定及合同约定组织完成工程施工，确保工程质量和安全，不进行转包及违法分包，并在缺陷责任期及保修期内承担相应的工程维修责任。</w:t>
      </w:r>
    </w:p>
    <w:p w14:paraId="01E77581">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3.发包人和承包人通过招投标形式签订合同的，双方理解并承诺不再就同一工程另行签订与合同实质性内容相背离的协议。</w:t>
      </w:r>
    </w:p>
    <w:p w14:paraId="5DF76D28">
      <w:pPr>
        <w:keepNext/>
        <w:keepLines/>
        <w:widowControl w:val="0"/>
        <w:numPr>
          <w:ilvl w:val="3"/>
          <w:numId w:val="2"/>
        </w:numPr>
        <w:spacing w:line="360" w:lineRule="auto"/>
        <w:ind w:left="0" w:firstLine="0" w:firstLineChars="0"/>
        <w:jc w:val="both"/>
        <w:outlineLvl w:val="3"/>
        <w:rPr>
          <w:rFonts w:hint="eastAsia" w:ascii="宋体" w:hAnsi="宋体" w:eastAsia="宋体" w:cs="宋体"/>
          <w:b w:val="0"/>
          <w:bCs/>
          <w:color w:val="auto"/>
          <w:spacing w:val="0"/>
          <w:kern w:val="2"/>
          <w:sz w:val="21"/>
          <w:szCs w:val="21"/>
          <w:highlight w:val="none"/>
          <w:lang w:val="en-US" w:eastAsia="zh-CN" w:bidi="ar-SA"/>
        </w:rPr>
      </w:pPr>
      <w:bookmarkStart w:id="9" w:name="_Toc351203488"/>
      <w:r>
        <w:rPr>
          <w:rFonts w:hint="eastAsia" w:ascii="宋体" w:hAnsi="宋体" w:eastAsia="宋体" w:cs="宋体"/>
          <w:b w:val="0"/>
          <w:bCs/>
          <w:color w:val="auto"/>
          <w:spacing w:val="0"/>
          <w:kern w:val="2"/>
          <w:sz w:val="21"/>
          <w:szCs w:val="21"/>
          <w:highlight w:val="none"/>
          <w:lang w:val="en-US" w:eastAsia="zh-CN" w:bidi="ar-SA"/>
        </w:rPr>
        <w:t>八、词语含义</w:t>
      </w:r>
      <w:bookmarkEnd w:id="9"/>
    </w:p>
    <w:p w14:paraId="04519CDE">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本协议书中词语含义与第二部分通用合同条款中赋予的含义相同。</w:t>
      </w:r>
    </w:p>
    <w:p w14:paraId="4E25B43B">
      <w:pPr>
        <w:keepNext/>
        <w:keepLines/>
        <w:widowControl w:val="0"/>
        <w:numPr>
          <w:ilvl w:val="3"/>
          <w:numId w:val="2"/>
        </w:numPr>
        <w:spacing w:line="360" w:lineRule="auto"/>
        <w:ind w:left="0" w:firstLine="0" w:firstLineChars="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10" w:name="_Toc351203489"/>
      <w:r>
        <w:rPr>
          <w:rFonts w:hint="eastAsia" w:ascii="宋体" w:hAnsi="宋体" w:eastAsia="宋体" w:cs="宋体"/>
          <w:b w:val="0"/>
          <w:bCs/>
          <w:color w:val="auto"/>
          <w:spacing w:val="0"/>
          <w:kern w:val="2"/>
          <w:sz w:val="21"/>
          <w:szCs w:val="21"/>
          <w:highlight w:val="none"/>
          <w:lang w:val="en-US" w:eastAsia="zh-CN" w:bidi="ar-SA"/>
        </w:rPr>
        <w:t>九、签订时间</w:t>
      </w:r>
      <w:bookmarkEnd w:id="10"/>
    </w:p>
    <w:p w14:paraId="76383236">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本合同于</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rPr>
        <w:t>年</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u w:val="single"/>
          <w:lang w:val="en-US" w:eastAsia="zh-CN"/>
        </w:rPr>
        <w:t xml:space="preserve"> </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rPr>
        <w:t>月</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u w:val="single"/>
          <w:lang w:val="en-US" w:eastAsia="zh-CN"/>
        </w:rPr>
        <w:t xml:space="preserve"> </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rPr>
        <w:t>日签订。</w:t>
      </w:r>
    </w:p>
    <w:p w14:paraId="7C1493A8">
      <w:pPr>
        <w:keepNext/>
        <w:keepLines/>
        <w:widowControl w:val="0"/>
        <w:numPr>
          <w:ilvl w:val="3"/>
          <w:numId w:val="2"/>
        </w:numPr>
        <w:spacing w:line="360" w:lineRule="auto"/>
        <w:ind w:left="0" w:firstLine="0" w:firstLineChars="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11" w:name="_Toc351203490"/>
      <w:r>
        <w:rPr>
          <w:rFonts w:hint="eastAsia" w:ascii="宋体" w:hAnsi="宋体" w:eastAsia="宋体" w:cs="宋体"/>
          <w:b w:val="0"/>
          <w:bCs/>
          <w:color w:val="auto"/>
          <w:spacing w:val="0"/>
          <w:kern w:val="2"/>
          <w:sz w:val="21"/>
          <w:szCs w:val="21"/>
          <w:highlight w:val="none"/>
          <w:lang w:val="en-US" w:eastAsia="zh-CN" w:bidi="ar-SA"/>
        </w:rPr>
        <w:t>十、签订地点</w:t>
      </w:r>
      <w:bookmarkEnd w:id="11"/>
    </w:p>
    <w:p w14:paraId="6894B6B2">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本合同在</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
          <w:bCs/>
          <w:color w:val="auto"/>
          <w:spacing w:val="0"/>
          <w:kern w:val="2"/>
          <w:sz w:val="21"/>
          <w:szCs w:val="21"/>
          <w:highlight w:val="none"/>
          <w:u w:val="single"/>
          <w:lang w:val="en-US" w:eastAsia="zh-CN"/>
        </w:rPr>
        <w:t xml:space="preserve">                      </w:t>
      </w:r>
      <w:r>
        <w:rPr>
          <w:rFonts w:hint="eastAsia" w:ascii="宋体" w:hAnsi="宋体" w:eastAsia="宋体" w:cs="宋体"/>
          <w:bCs/>
          <w:color w:val="auto"/>
          <w:spacing w:val="0"/>
          <w:kern w:val="2"/>
          <w:sz w:val="21"/>
          <w:szCs w:val="21"/>
          <w:highlight w:val="none"/>
        </w:rPr>
        <w:t>签订。</w:t>
      </w:r>
    </w:p>
    <w:p w14:paraId="4D21CE51">
      <w:pPr>
        <w:keepNext/>
        <w:keepLines/>
        <w:widowControl w:val="0"/>
        <w:numPr>
          <w:ilvl w:val="3"/>
          <w:numId w:val="2"/>
        </w:numPr>
        <w:spacing w:line="360" w:lineRule="auto"/>
        <w:ind w:left="0" w:firstLine="0" w:firstLineChars="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12" w:name="_Toc351203491"/>
      <w:r>
        <w:rPr>
          <w:rFonts w:hint="eastAsia" w:ascii="宋体" w:hAnsi="宋体" w:eastAsia="宋体" w:cs="宋体"/>
          <w:b w:val="0"/>
          <w:bCs/>
          <w:color w:val="auto"/>
          <w:spacing w:val="0"/>
          <w:kern w:val="2"/>
          <w:sz w:val="21"/>
          <w:szCs w:val="21"/>
          <w:highlight w:val="none"/>
          <w:lang w:val="en-US" w:eastAsia="zh-CN" w:bidi="ar-SA"/>
        </w:rPr>
        <w:t>十一、补充协议</w:t>
      </w:r>
      <w:bookmarkEnd w:id="12"/>
    </w:p>
    <w:p w14:paraId="26F6CD97">
      <w:pPr>
        <w:tabs>
          <w:tab w:val="center" w:pos="4393"/>
          <w:tab w:val="left" w:pos="6774"/>
        </w:tabs>
        <w:spacing w:line="360" w:lineRule="auto"/>
        <w:ind w:firstLine="420" w:firstLineChars="200"/>
        <w:jc w:val="both"/>
        <w:rPr>
          <w:rFonts w:hint="eastAsia" w:ascii="宋体" w:hAnsi="宋体" w:eastAsia="宋体" w:cs="宋体"/>
          <w:b/>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合同未尽事宜，合同当事人另行签订补充协议，补充协议是合同的组成部分。</w:t>
      </w:r>
    </w:p>
    <w:p w14:paraId="7F0C7DD9">
      <w:pPr>
        <w:keepNext/>
        <w:keepLines/>
        <w:widowControl w:val="0"/>
        <w:numPr>
          <w:ilvl w:val="3"/>
          <w:numId w:val="2"/>
        </w:numPr>
        <w:spacing w:line="360" w:lineRule="auto"/>
        <w:ind w:left="0" w:firstLine="0" w:firstLineChars="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13" w:name="_Toc351203492"/>
      <w:r>
        <w:rPr>
          <w:rFonts w:hint="eastAsia" w:ascii="宋体" w:hAnsi="宋体" w:eastAsia="宋体" w:cs="宋体"/>
          <w:b w:val="0"/>
          <w:bCs/>
          <w:color w:val="auto"/>
          <w:spacing w:val="0"/>
          <w:kern w:val="2"/>
          <w:sz w:val="21"/>
          <w:szCs w:val="21"/>
          <w:highlight w:val="none"/>
          <w:lang w:val="en-US" w:eastAsia="zh-CN" w:bidi="ar-SA"/>
        </w:rPr>
        <w:t>十二、合同生效</w:t>
      </w:r>
      <w:bookmarkEnd w:id="13"/>
    </w:p>
    <w:p w14:paraId="55B43D83">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本合同自</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
          <w:bCs/>
          <w:color w:val="auto"/>
          <w:spacing w:val="0"/>
          <w:kern w:val="2"/>
          <w:sz w:val="21"/>
          <w:szCs w:val="21"/>
          <w:highlight w:val="none"/>
          <w:u w:val="single"/>
        </w:rPr>
        <w:t>双方签字盖章后</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rPr>
        <w:t>生效。</w:t>
      </w:r>
    </w:p>
    <w:p w14:paraId="58B93E77">
      <w:pPr>
        <w:keepNext/>
        <w:keepLines/>
        <w:widowControl w:val="0"/>
        <w:numPr>
          <w:ilvl w:val="3"/>
          <w:numId w:val="2"/>
        </w:numPr>
        <w:spacing w:line="360" w:lineRule="auto"/>
        <w:ind w:left="0" w:firstLine="0" w:firstLineChars="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14" w:name="_Toc351203493"/>
      <w:r>
        <w:rPr>
          <w:rFonts w:hint="eastAsia" w:ascii="宋体" w:hAnsi="宋体" w:eastAsia="宋体" w:cs="宋体"/>
          <w:b w:val="0"/>
          <w:bCs/>
          <w:color w:val="auto"/>
          <w:spacing w:val="0"/>
          <w:kern w:val="2"/>
          <w:sz w:val="21"/>
          <w:szCs w:val="21"/>
          <w:highlight w:val="none"/>
          <w:lang w:val="en-US" w:eastAsia="zh-CN" w:bidi="ar-SA"/>
        </w:rPr>
        <w:t>十三、合同份数</w:t>
      </w:r>
      <w:bookmarkEnd w:id="14"/>
    </w:p>
    <w:p w14:paraId="4495E7B2">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本合同一式</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
          <w:bCs/>
          <w:color w:val="auto"/>
          <w:spacing w:val="0"/>
          <w:kern w:val="2"/>
          <w:sz w:val="21"/>
          <w:szCs w:val="21"/>
          <w:highlight w:val="none"/>
          <w:u w:val="single"/>
          <w:lang w:val="en-US" w:eastAsia="zh-CN"/>
        </w:rPr>
        <w:t>陆</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rPr>
        <w:t>份，均具有同等法律效力，发包人执</w:t>
      </w:r>
      <w:r>
        <w:rPr>
          <w:rFonts w:hint="eastAsia" w:ascii="宋体" w:hAnsi="宋体" w:eastAsia="宋体" w:cs="宋体"/>
          <w:b/>
          <w:bCs/>
          <w:color w:val="auto"/>
          <w:spacing w:val="0"/>
          <w:kern w:val="2"/>
          <w:sz w:val="21"/>
          <w:szCs w:val="21"/>
          <w:highlight w:val="none"/>
          <w:u w:val="single"/>
        </w:rPr>
        <w:t xml:space="preserve"> </w:t>
      </w:r>
      <w:r>
        <w:rPr>
          <w:rFonts w:hint="eastAsia" w:ascii="宋体" w:hAnsi="宋体" w:eastAsia="宋体" w:cs="宋体"/>
          <w:b/>
          <w:bCs/>
          <w:color w:val="auto"/>
          <w:spacing w:val="0"/>
          <w:kern w:val="2"/>
          <w:sz w:val="21"/>
          <w:szCs w:val="21"/>
          <w:highlight w:val="none"/>
          <w:u w:val="single"/>
          <w:lang w:val="en-US" w:eastAsia="zh-CN"/>
        </w:rPr>
        <w:t>叁</w:t>
      </w:r>
      <w:r>
        <w:rPr>
          <w:rFonts w:hint="eastAsia" w:ascii="宋体" w:hAnsi="宋体" w:eastAsia="宋体" w:cs="宋体"/>
          <w:bCs/>
          <w:color w:val="auto"/>
          <w:spacing w:val="0"/>
          <w:kern w:val="2"/>
          <w:sz w:val="21"/>
          <w:szCs w:val="21"/>
          <w:highlight w:val="none"/>
        </w:rPr>
        <w:t>份，承包人执</w:t>
      </w:r>
      <w:r>
        <w:rPr>
          <w:rFonts w:hint="eastAsia" w:ascii="宋体" w:hAnsi="宋体" w:eastAsia="宋体" w:cs="宋体"/>
          <w:b/>
          <w:bCs/>
          <w:color w:val="auto"/>
          <w:spacing w:val="0"/>
          <w:kern w:val="2"/>
          <w:sz w:val="21"/>
          <w:szCs w:val="21"/>
          <w:highlight w:val="none"/>
          <w:u w:val="single"/>
        </w:rPr>
        <w:t xml:space="preserve"> </w:t>
      </w:r>
      <w:r>
        <w:rPr>
          <w:rFonts w:hint="eastAsia" w:ascii="宋体" w:hAnsi="宋体" w:eastAsia="宋体" w:cs="宋体"/>
          <w:b/>
          <w:bCs/>
          <w:color w:val="auto"/>
          <w:spacing w:val="0"/>
          <w:kern w:val="2"/>
          <w:sz w:val="21"/>
          <w:szCs w:val="21"/>
          <w:highlight w:val="none"/>
          <w:u w:val="single"/>
          <w:lang w:val="en-US" w:eastAsia="zh-CN"/>
        </w:rPr>
        <w:t>叁</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rPr>
        <w:t>份。</w:t>
      </w:r>
    </w:p>
    <w:p w14:paraId="2A5FB8F4">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ind w:firstLine="0" w:firstLineChars="0"/>
        <w:jc w:val="both"/>
        <w:textAlignment w:val="auto"/>
        <w:rPr>
          <w:rFonts w:hint="eastAsia" w:ascii="宋体" w:hAnsi="宋体" w:eastAsia="宋体" w:cs="宋体"/>
          <w:bCs w:val="0"/>
          <w:color w:val="auto"/>
          <w:spacing w:val="0"/>
          <w:kern w:val="2"/>
          <w:sz w:val="21"/>
          <w:szCs w:val="21"/>
          <w:highlight w:val="none"/>
        </w:rPr>
      </w:pPr>
    </w:p>
    <w:p w14:paraId="5ACE68B8">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ind w:firstLine="0" w:firstLineChars="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发包人：  </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公章</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 xml:space="preserve">                         承包人：  </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公章</w:t>
      </w:r>
      <w:r>
        <w:rPr>
          <w:rFonts w:hint="eastAsia" w:ascii="宋体" w:hAnsi="宋体" w:eastAsia="宋体" w:cs="宋体"/>
          <w:bCs w:val="0"/>
          <w:color w:val="auto"/>
          <w:spacing w:val="0"/>
          <w:kern w:val="2"/>
          <w:sz w:val="21"/>
          <w:szCs w:val="21"/>
          <w:highlight w:val="none"/>
          <w:lang w:eastAsia="zh-CN"/>
        </w:rPr>
        <w:t>）</w:t>
      </w:r>
    </w:p>
    <w:p w14:paraId="2F781170">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ind w:firstLine="0" w:firstLineChars="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法定代表人或其委托代理人：                 法定代表人或其委托代理人：</w:t>
      </w:r>
    </w:p>
    <w:p w14:paraId="21F44517">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ind w:firstLine="0" w:firstLineChars="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（签字）                                  （签字）</w:t>
      </w:r>
    </w:p>
    <w:p w14:paraId="46142707">
      <w:pPr>
        <w:keepNext w:val="0"/>
        <w:keepLines w:val="0"/>
        <w:pageBreakBefore w:val="0"/>
        <w:widowControl w:val="0"/>
        <w:tabs>
          <w:tab w:val="left" w:pos="4410"/>
        </w:tabs>
        <w:kinsoku/>
        <w:wordWrap/>
        <w:overflowPunct/>
        <w:topLinePunct w:val="0"/>
        <w:autoSpaceDE/>
        <w:autoSpaceDN/>
        <w:bidi w:val="0"/>
        <w:adjustRightInd/>
        <w:snapToGrid/>
        <w:spacing w:line="420" w:lineRule="exact"/>
        <w:ind w:firstLine="0" w:firstLineChars="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组织机构代码：                             组织机构代码：           </w:t>
      </w:r>
    </w:p>
    <w:p w14:paraId="63CD7D6B">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ind w:firstLine="0" w:firstLineChars="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地  址：                                   地  址：        </w:t>
      </w:r>
    </w:p>
    <w:p w14:paraId="4FD5A903">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ind w:firstLine="0" w:firstLineChars="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邮政编码：                                 邮政编码：   </w:t>
      </w:r>
    </w:p>
    <w:p w14:paraId="47DAF615">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ind w:firstLine="0" w:firstLineChars="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法定代表人：                               法定代表人：             </w:t>
      </w:r>
    </w:p>
    <w:p w14:paraId="11D442EE">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ind w:firstLine="0" w:firstLineChars="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委托代理人：                               委托代理人：             </w:t>
      </w:r>
    </w:p>
    <w:p w14:paraId="3F99DAF7">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ind w:firstLine="0" w:firstLineChars="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电  话：                                   电  话：       </w:t>
      </w:r>
    </w:p>
    <w:p w14:paraId="49713BC0">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ind w:firstLine="0" w:firstLineChars="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电子信箱：                                 电子信箱：   </w:t>
      </w:r>
    </w:p>
    <w:p w14:paraId="33E3DA05">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ind w:firstLine="0" w:firstLineChars="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开户银行：                                 开户银行：   </w:t>
      </w:r>
    </w:p>
    <w:p w14:paraId="0B4916B9">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ind w:firstLine="0" w:firstLineChars="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账  号：                                   账  号：     </w:t>
      </w:r>
    </w:p>
    <w:p w14:paraId="744ADAFC">
      <w:pPr>
        <w:keepNext/>
        <w:keepLines/>
        <w:widowControl w:val="0"/>
        <w:numPr>
          <w:ilvl w:val="2"/>
          <w:numId w:val="2"/>
        </w:numPr>
        <w:tabs>
          <w:tab w:val="center" w:pos="4393"/>
          <w:tab w:val="left" w:pos="6774"/>
        </w:tabs>
        <w:spacing w:line="360" w:lineRule="auto"/>
        <w:ind w:left="0" w:firstLine="0" w:firstLineChars="0"/>
        <w:jc w:val="center"/>
        <w:outlineLvl w:val="2"/>
        <w:rPr>
          <w:rFonts w:hint="eastAsia" w:ascii="宋体" w:hAnsi="宋体" w:eastAsia="宋体" w:cs="宋体"/>
          <w:b/>
          <w:bCs/>
          <w:color w:val="auto"/>
          <w:spacing w:val="2"/>
          <w:kern w:val="2"/>
          <w:sz w:val="32"/>
          <w:szCs w:val="44"/>
          <w:highlight w:val="none"/>
          <w:lang w:val="en-US" w:eastAsia="zh-CN" w:bidi="ar-SA"/>
        </w:rPr>
      </w:pPr>
      <w:bookmarkStart w:id="15" w:name="_Toc6194"/>
      <w:r>
        <w:rPr>
          <w:rFonts w:hint="eastAsia" w:ascii="宋体" w:hAnsi="宋体" w:eastAsia="宋体" w:cs="宋体"/>
          <w:b/>
          <w:bCs/>
          <w:color w:val="auto"/>
          <w:spacing w:val="2"/>
          <w:kern w:val="2"/>
          <w:sz w:val="32"/>
          <w:szCs w:val="44"/>
          <w:highlight w:val="none"/>
          <w:lang w:val="en-US" w:eastAsia="zh-CN" w:bidi="ar-SA"/>
        </w:rPr>
        <w:br w:type="page"/>
      </w:r>
      <w:r>
        <w:rPr>
          <w:rFonts w:hint="eastAsia" w:ascii="宋体" w:hAnsi="宋体" w:eastAsia="宋体" w:cs="宋体"/>
          <w:b/>
          <w:bCs/>
          <w:color w:val="auto"/>
          <w:spacing w:val="2"/>
          <w:kern w:val="2"/>
          <w:sz w:val="32"/>
          <w:szCs w:val="44"/>
          <w:highlight w:val="none"/>
          <w:lang w:val="en-US" w:eastAsia="zh-CN" w:bidi="ar-SA"/>
        </w:rPr>
        <w:t>第二部分 通用合同条款</w:t>
      </w:r>
      <w:bookmarkEnd w:id="15"/>
    </w:p>
    <w:p w14:paraId="55D4E70B">
      <w:pPr>
        <w:tabs>
          <w:tab w:val="center" w:pos="4393"/>
          <w:tab w:val="left" w:pos="6774"/>
        </w:tabs>
        <w:spacing w:line="360" w:lineRule="auto"/>
        <w:ind w:firstLine="0" w:firstLineChars="0"/>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
          <w:bCs w:val="0"/>
          <w:color w:val="auto"/>
          <w:spacing w:val="0"/>
          <w:kern w:val="0"/>
          <w:sz w:val="21"/>
          <w:szCs w:val="21"/>
          <w:highlight w:val="none"/>
        </w:rPr>
        <w:t>采用《建设工程施工合同（示范文本）》（GF—2017—0201）</w:t>
      </w:r>
      <w:r>
        <w:rPr>
          <w:rFonts w:hint="eastAsia" w:ascii="宋体" w:hAnsi="宋体" w:eastAsia="宋体" w:cs="宋体"/>
          <w:bCs w:val="0"/>
          <w:color w:val="auto"/>
          <w:spacing w:val="0"/>
          <w:kern w:val="2"/>
          <w:sz w:val="21"/>
          <w:szCs w:val="24"/>
          <w:highlight w:val="none"/>
        </w:rPr>
        <w:br w:type="page"/>
      </w:r>
      <w:r>
        <w:rPr>
          <w:rFonts w:hint="eastAsia" w:ascii="宋体" w:hAnsi="宋体" w:eastAsia="宋体" w:cs="宋体"/>
          <w:b/>
          <w:bCs w:val="0"/>
          <w:color w:val="auto"/>
          <w:spacing w:val="0"/>
          <w:kern w:val="2"/>
          <w:sz w:val="24"/>
          <w:szCs w:val="24"/>
          <w:highlight w:val="none"/>
        </w:rPr>
        <w:t xml:space="preserve">  </w:t>
      </w:r>
      <w:r>
        <w:rPr>
          <w:rFonts w:hint="eastAsia" w:ascii="宋体" w:hAnsi="宋体" w:eastAsia="宋体" w:cs="宋体"/>
          <w:b/>
          <w:bCs w:val="0"/>
          <w:color w:val="auto"/>
          <w:spacing w:val="0"/>
          <w:kern w:val="2"/>
          <w:sz w:val="36"/>
          <w:szCs w:val="36"/>
          <w:highlight w:val="none"/>
        </w:rPr>
        <w:t>第三部分 专用合同条款</w:t>
      </w:r>
    </w:p>
    <w:p w14:paraId="32C667FE">
      <w:pPr>
        <w:tabs>
          <w:tab w:val="center" w:pos="4393"/>
          <w:tab w:val="left" w:pos="6774"/>
        </w:tabs>
        <w:spacing w:line="360" w:lineRule="auto"/>
        <w:ind w:firstLine="120" w:firstLineChars="0"/>
        <w:jc w:val="both"/>
        <w:rPr>
          <w:rFonts w:hint="eastAsia" w:ascii="宋体" w:hAnsi="宋体" w:eastAsia="宋体" w:cs="宋体"/>
          <w:b/>
          <w:bCs w:val="0"/>
          <w:color w:val="auto"/>
          <w:spacing w:val="0"/>
          <w:kern w:val="2"/>
          <w:sz w:val="24"/>
          <w:szCs w:val="36"/>
          <w:highlight w:val="none"/>
        </w:rPr>
      </w:pPr>
    </w:p>
    <w:p w14:paraId="4BD9D07B">
      <w:pPr>
        <w:keepNext/>
        <w:keepLines/>
        <w:pageBreakBefore w:val="0"/>
        <w:widowControl w:val="0"/>
        <w:numPr>
          <w:ilvl w:val="3"/>
          <w:numId w:val="2"/>
        </w:numPr>
        <w:kinsoku/>
        <w:wordWrap/>
        <w:overflowPunct/>
        <w:topLinePunct w:val="0"/>
        <w:bidi w:val="0"/>
        <w:spacing w:line="360" w:lineRule="auto"/>
        <w:ind w:left="0" w:right="0" w:firstLine="0" w:firstLineChars="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 一般约定</w:t>
      </w:r>
    </w:p>
    <w:p w14:paraId="20AF468F">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 词语定义</w:t>
      </w:r>
    </w:p>
    <w:p w14:paraId="43BCE330">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1.1.1合同</w:t>
      </w:r>
    </w:p>
    <w:p w14:paraId="29B44E29">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0"/>
          <w:sz w:val="21"/>
          <w:szCs w:val="21"/>
          <w:highlight w:val="none"/>
        </w:rPr>
        <w:t>1.1.1.10</w:t>
      </w:r>
      <w:r>
        <w:rPr>
          <w:rFonts w:hint="eastAsia" w:ascii="宋体" w:hAnsi="宋体" w:eastAsia="宋体" w:cs="宋体"/>
          <w:bCs w:val="0"/>
          <w:color w:val="auto"/>
          <w:spacing w:val="0"/>
          <w:kern w:val="2"/>
          <w:sz w:val="21"/>
          <w:szCs w:val="21"/>
          <w:highlight w:val="none"/>
        </w:rPr>
        <w:t>其他合同文件包</w:t>
      </w:r>
      <w:r>
        <w:rPr>
          <w:rFonts w:hint="eastAsia" w:ascii="宋体" w:hAnsi="宋体" w:eastAsia="宋体" w:cs="宋体"/>
          <w:bCs w:val="0"/>
          <w:color w:val="auto"/>
          <w:spacing w:val="0"/>
          <w:kern w:val="0"/>
          <w:sz w:val="21"/>
          <w:szCs w:val="21"/>
          <w:highlight w:val="none"/>
        </w:rPr>
        <w:t>括：</w:t>
      </w:r>
      <w:r>
        <w:rPr>
          <w:rFonts w:hint="eastAsia" w:ascii="宋体" w:hAnsi="宋体" w:eastAsia="宋体" w:cs="宋体"/>
          <w:bCs w:val="0"/>
          <w:color w:val="auto"/>
          <w:spacing w:val="0"/>
          <w:kern w:val="0"/>
          <w:sz w:val="21"/>
          <w:szCs w:val="21"/>
          <w:highlight w:val="none"/>
          <w:u w:val="single"/>
        </w:rPr>
        <w:t>（1）招标文件（含澄清、答疑等补充文件）；（2）标准、规范及有关技术资料；（3）发包人、承包人有关工程的洽商、变更等书面协议或文件视为本合同的组成部分。</w:t>
      </w:r>
    </w:p>
    <w:p w14:paraId="16144043">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1.1.2 合同当事人及其他相关方</w:t>
      </w:r>
    </w:p>
    <w:p w14:paraId="3027DE93">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1.1.2.4监理人：</w:t>
      </w:r>
    </w:p>
    <w:p w14:paraId="7027B99B">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名    称：</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w:t>
      </w:r>
    </w:p>
    <w:p w14:paraId="537BACB1">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资质类别和等级：</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p>
    <w:p w14:paraId="2C66130F">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1.1.2.5 设计人：</w:t>
      </w:r>
    </w:p>
    <w:p w14:paraId="3FE7F13D">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名    称：</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4"/>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p>
    <w:p w14:paraId="700F7BD2">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资质类别和等级：</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p>
    <w:p w14:paraId="14B682CC">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1.1.3 工程和设备</w:t>
      </w:r>
    </w:p>
    <w:p w14:paraId="7FC9C1C5">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1.1.3.7 作为施工现场组成部分的其他场所包括：</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3EB7C4BB">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1.1.3.9 永久占地包括：</w:t>
      </w:r>
      <w:r>
        <w:rPr>
          <w:rFonts w:hint="eastAsia" w:ascii="宋体" w:hAnsi="宋体" w:eastAsia="宋体" w:cs="宋体"/>
          <w:bCs w:val="0"/>
          <w:color w:val="auto"/>
          <w:spacing w:val="0"/>
          <w:kern w:val="2"/>
          <w:sz w:val="21"/>
          <w:szCs w:val="21"/>
          <w:highlight w:val="none"/>
          <w:u w:val="single"/>
        </w:rPr>
        <w:t xml:space="preserve"> 本项目建设土地出让合同约定范围的土地 </w:t>
      </w:r>
      <w:r>
        <w:rPr>
          <w:rFonts w:hint="eastAsia" w:ascii="宋体" w:hAnsi="宋体" w:eastAsia="宋体" w:cs="宋体"/>
          <w:bCs w:val="0"/>
          <w:color w:val="auto"/>
          <w:spacing w:val="0"/>
          <w:kern w:val="0"/>
          <w:sz w:val="21"/>
          <w:szCs w:val="21"/>
          <w:highlight w:val="none"/>
        </w:rPr>
        <w:t>。</w:t>
      </w:r>
    </w:p>
    <w:p w14:paraId="4964B7FF">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1.1.3.10 临时占地包括：</w:t>
      </w:r>
      <w:r>
        <w:rPr>
          <w:rFonts w:hint="eastAsia" w:ascii="宋体" w:hAnsi="宋体" w:eastAsia="宋体" w:cs="宋体"/>
          <w:bCs w:val="0"/>
          <w:color w:val="auto"/>
          <w:spacing w:val="0"/>
          <w:kern w:val="2"/>
          <w:sz w:val="21"/>
          <w:szCs w:val="21"/>
          <w:highlight w:val="none"/>
          <w:u w:val="single"/>
        </w:rPr>
        <w:t xml:space="preserve"> 双方在合同履行过程中确定 </w:t>
      </w:r>
      <w:r>
        <w:rPr>
          <w:rFonts w:hint="eastAsia" w:ascii="宋体" w:hAnsi="宋体" w:eastAsia="宋体" w:cs="宋体"/>
          <w:bCs w:val="0"/>
          <w:color w:val="auto"/>
          <w:spacing w:val="0"/>
          <w:kern w:val="0"/>
          <w:sz w:val="21"/>
          <w:szCs w:val="21"/>
          <w:highlight w:val="none"/>
        </w:rPr>
        <w:t>。</w:t>
      </w:r>
    </w:p>
    <w:p w14:paraId="68FD8D68">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1.3法律 </w:t>
      </w:r>
    </w:p>
    <w:p w14:paraId="699C8117">
      <w:pPr>
        <w:pageBreakBefore w:val="0"/>
        <w:widowControl w:val="0"/>
        <w:tabs>
          <w:tab w:val="center" w:pos="4393"/>
          <w:tab w:val="left" w:pos="6774"/>
        </w:tabs>
        <w:kinsoku/>
        <w:wordWrap/>
        <w:overflowPunct/>
        <w:topLinePunct w:val="0"/>
        <w:autoSpaceDE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适用于合同的</w:t>
      </w:r>
      <w:r>
        <w:rPr>
          <w:rFonts w:hint="eastAsia" w:ascii="宋体" w:hAnsi="宋体" w:eastAsia="宋体" w:cs="宋体"/>
          <w:bCs w:val="0"/>
          <w:color w:val="auto"/>
          <w:spacing w:val="0"/>
          <w:kern w:val="0"/>
          <w:sz w:val="21"/>
          <w:szCs w:val="21"/>
          <w:highlight w:val="none"/>
        </w:rPr>
        <w:t>其他规范性文件</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《中华人民共和国民法典》、《中华人民共和国建筑法》、《中华人民共和国招标投标法》、《江苏省工程建设管理条例》以及国家和地方现行的法律法规的规定</w:t>
      </w:r>
      <w:r>
        <w:rPr>
          <w:rFonts w:hint="eastAsia" w:ascii="宋体" w:hAnsi="宋体" w:eastAsia="宋体" w:cs="宋体"/>
          <w:bCs w:val="0"/>
          <w:color w:val="auto"/>
          <w:spacing w:val="0"/>
          <w:kern w:val="2"/>
          <w:sz w:val="21"/>
          <w:szCs w:val="21"/>
          <w:highlight w:val="none"/>
        </w:rPr>
        <w:t>。</w:t>
      </w:r>
    </w:p>
    <w:p w14:paraId="09D89C32">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1.4 标准和规范</w:t>
      </w:r>
    </w:p>
    <w:p w14:paraId="51D36DFF">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1.4.1适用于工程的标准规范包括：</w:t>
      </w:r>
      <w:r>
        <w:rPr>
          <w:rFonts w:hint="eastAsia" w:ascii="宋体" w:hAnsi="宋体" w:eastAsia="宋体" w:cs="宋体"/>
          <w:bCs w:val="0"/>
          <w:color w:val="auto"/>
          <w:spacing w:val="0"/>
          <w:kern w:val="2"/>
          <w:sz w:val="21"/>
          <w:szCs w:val="21"/>
          <w:highlight w:val="none"/>
          <w:u w:val="single"/>
        </w:rPr>
        <w:t>国家、地方相关的现行标准、规范</w:t>
      </w:r>
      <w:r>
        <w:rPr>
          <w:rFonts w:hint="eastAsia" w:ascii="宋体" w:hAnsi="宋体" w:eastAsia="宋体" w:cs="宋体"/>
          <w:bCs w:val="0"/>
          <w:color w:val="auto"/>
          <w:spacing w:val="0"/>
          <w:kern w:val="2"/>
          <w:sz w:val="21"/>
          <w:szCs w:val="21"/>
          <w:highlight w:val="none"/>
        </w:rPr>
        <w:t>。</w:t>
      </w:r>
    </w:p>
    <w:p w14:paraId="1A0FCEBE">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1.4.2 发包人提供国外标准、规范的名称：</w:t>
      </w:r>
      <w:r>
        <w:rPr>
          <w:rFonts w:hint="eastAsia" w:ascii="宋体" w:hAnsi="宋体" w:eastAsia="宋体" w:cs="宋体"/>
          <w:bCs w:val="0"/>
          <w:color w:val="auto"/>
          <w:spacing w:val="0"/>
          <w:kern w:val="0"/>
          <w:sz w:val="21"/>
          <w:szCs w:val="21"/>
          <w:highlight w:val="none"/>
          <w:u w:val="single"/>
        </w:rPr>
        <w:t xml:space="preserve">       </w:t>
      </w:r>
    </w:p>
    <w:p w14:paraId="66AA14D6">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发包人提供国外标准、规范的份数：</w:t>
      </w:r>
      <w:r>
        <w:rPr>
          <w:rFonts w:hint="eastAsia" w:ascii="宋体" w:hAnsi="宋体" w:eastAsia="宋体" w:cs="宋体"/>
          <w:bCs w:val="0"/>
          <w:color w:val="auto"/>
          <w:spacing w:val="0"/>
          <w:kern w:val="0"/>
          <w:sz w:val="21"/>
          <w:szCs w:val="21"/>
          <w:highlight w:val="none"/>
          <w:u w:val="single"/>
        </w:rPr>
        <w:t xml:space="preserve">          /     </w:t>
      </w:r>
      <w:r>
        <w:rPr>
          <w:rFonts w:hint="eastAsia" w:ascii="宋体" w:hAnsi="宋体" w:eastAsia="宋体" w:cs="宋体"/>
          <w:bCs w:val="0"/>
          <w:color w:val="auto"/>
          <w:spacing w:val="0"/>
          <w:kern w:val="0"/>
          <w:sz w:val="21"/>
          <w:szCs w:val="21"/>
          <w:highlight w:val="none"/>
          <w:u w:val="single"/>
          <w:lang w:eastAsia="zh-CN"/>
        </w:rPr>
        <w:t>；</w:t>
      </w:r>
      <w:r>
        <w:rPr>
          <w:rFonts w:hint="eastAsia" w:ascii="宋体" w:hAnsi="宋体" w:eastAsia="宋体" w:cs="宋体"/>
          <w:bCs w:val="0"/>
          <w:color w:val="auto"/>
          <w:spacing w:val="0"/>
          <w:kern w:val="0"/>
          <w:sz w:val="21"/>
          <w:szCs w:val="21"/>
          <w:highlight w:val="none"/>
          <w:u w:val="single"/>
        </w:rPr>
        <w:t xml:space="preserve">     </w:t>
      </w:r>
    </w:p>
    <w:p w14:paraId="2A917306">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发包人提供国外标准、规范的名称：</w:t>
      </w:r>
      <w:r>
        <w:rPr>
          <w:rFonts w:hint="eastAsia" w:ascii="宋体" w:hAnsi="宋体" w:eastAsia="宋体" w:cs="宋体"/>
          <w:bCs w:val="0"/>
          <w:color w:val="auto"/>
          <w:spacing w:val="0"/>
          <w:kern w:val="0"/>
          <w:sz w:val="21"/>
          <w:szCs w:val="21"/>
          <w:highlight w:val="none"/>
          <w:u w:val="single"/>
        </w:rPr>
        <w:t xml:space="preserve">          /     </w:t>
      </w:r>
      <w:r>
        <w:rPr>
          <w:rFonts w:hint="eastAsia" w:ascii="宋体" w:hAnsi="宋体" w:eastAsia="宋体" w:cs="宋体"/>
          <w:bCs w:val="0"/>
          <w:color w:val="auto"/>
          <w:spacing w:val="0"/>
          <w:kern w:val="0"/>
          <w:sz w:val="21"/>
          <w:szCs w:val="21"/>
          <w:highlight w:val="none"/>
          <w:u w:val="single"/>
          <w:lang w:eastAsia="zh-CN"/>
        </w:rPr>
        <w:t>；</w:t>
      </w:r>
      <w:r>
        <w:rPr>
          <w:rFonts w:hint="eastAsia" w:ascii="宋体" w:hAnsi="宋体" w:eastAsia="宋体" w:cs="宋体"/>
          <w:bCs w:val="0"/>
          <w:color w:val="auto"/>
          <w:spacing w:val="0"/>
          <w:kern w:val="0"/>
          <w:sz w:val="21"/>
          <w:szCs w:val="21"/>
          <w:highlight w:val="none"/>
          <w:u w:val="single"/>
        </w:rPr>
        <w:t xml:space="preserve">  </w:t>
      </w:r>
    </w:p>
    <w:p w14:paraId="6314F2DB">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1.4.3发包人对工程的技术标准和功能要求的特殊要求：</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 xml:space="preserve">    </w:t>
      </w:r>
    </w:p>
    <w:p w14:paraId="17254BF8">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1.5 合同文件的优先顺序</w:t>
      </w:r>
    </w:p>
    <w:p w14:paraId="00DE3A95">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合同文件组成及优先顺序为：</w:t>
      </w:r>
      <w:r>
        <w:rPr>
          <w:rFonts w:hint="eastAsia" w:ascii="宋体" w:hAnsi="宋体" w:eastAsia="宋体" w:cs="宋体"/>
          <w:b w:val="0"/>
          <w:bCs w:val="0"/>
          <w:color w:val="auto"/>
          <w:spacing w:val="0"/>
          <w:kern w:val="2"/>
          <w:sz w:val="21"/>
          <w:szCs w:val="21"/>
          <w:highlight w:val="none"/>
          <w:u w:val="single"/>
        </w:rPr>
        <w:t>1、合同协议书</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rPr>
        <w:t>2、中标通知书</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rPr>
        <w:t>3、投标函及其附录</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rPr>
        <w:t>4、专用合同条款及附件</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rPr>
        <w:t>5、通用合同条款</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rPr>
        <w:t>6、技术标准和要求</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rPr>
        <w:t>7、图纸</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rPr>
        <w:t>8、已标价的工程量清单或预算书</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lang w:val="en-US" w:eastAsia="zh-CN"/>
        </w:rPr>
        <w:t>9、招标文件；10</w:t>
      </w:r>
      <w:r>
        <w:rPr>
          <w:rFonts w:hint="eastAsia" w:ascii="宋体" w:hAnsi="宋体" w:eastAsia="宋体" w:cs="宋体"/>
          <w:b w:val="0"/>
          <w:bCs w:val="0"/>
          <w:color w:val="auto"/>
          <w:spacing w:val="0"/>
          <w:kern w:val="2"/>
          <w:sz w:val="21"/>
          <w:szCs w:val="21"/>
          <w:highlight w:val="none"/>
          <w:u w:val="single"/>
        </w:rPr>
        <w:t>、其他合同文件。</w:t>
      </w:r>
    </w:p>
    <w:p w14:paraId="31D99062">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 图纸和承包人文件</w:t>
      </w:r>
      <w:r>
        <w:rPr>
          <w:rFonts w:hint="eastAsia" w:ascii="宋体" w:hAnsi="宋体" w:eastAsia="宋体" w:cs="宋体"/>
          <w:bCs w:val="0"/>
          <w:color w:val="auto"/>
          <w:spacing w:val="0"/>
          <w:kern w:val="2"/>
          <w:sz w:val="21"/>
          <w:szCs w:val="21"/>
          <w:highlight w:val="none"/>
        </w:rPr>
        <w:tab/>
      </w:r>
    </w:p>
    <w:p w14:paraId="63B4843F">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1.6.1 图纸的提供</w:t>
      </w:r>
    </w:p>
    <w:p w14:paraId="35122BD8">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发包人向承包人提供图纸的期限：</w:t>
      </w:r>
      <w:r>
        <w:rPr>
          <w:rFonts w:hint="eastAsia" w:ascii="宋体" w:hAnsi="宋体" w:eastAsia="宋体" w:cs="宋体"/>
          <w:bCs w:val="0"/>
          <w:color w:val="auto"/>
          <w:spacing w:val="0"/>
          <w:kern w:val="2"/>
          <w:sz w:val="21"/>
          <w:szCs w:val="21"/>
          <w:highlight w:val="none"/>
          <w:u w:val="single"/>
        </w:rPr>
        <w:t>本合同签订后7天内或开工日期前14天内</w:t>
      </w:r>
      <w:r>
        <w:rPr>
          <w:rFonts w:hint="eastAsia" w:ascii="宋体" w:hAnsi="宋体" w:eastAsia="宋体" w:cs="宋体"/>
          <w:bCs w:val="0"/>
          <w:color w:val="auto"/>
          <w:spacing w:val="0"/>
          <w:kern w:val="2"/>
          <w:sz w:val="21"/>
          <w:szCs w:val="21"/>
          <w:highlight w:val="none"/>
        </w:rPr>
        <w:t>；</w:t>
      </w:r>
    </w:p>
    <w:p w14:paraId="27BD4275">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发包人向承包人提供图纸的数量：</w:t>
      </w:r>
      <w:r>
        <w:rPr>
          <w:rFonts w:hint="eastAsia" w:ascii="宋体" w:hAnsi="宋体" w:eastAsia="宋体" w:cs="宋体"/>
          <w:bCs w:val="0"/>
          <w:color w:val="auto"/>
          <w:spacing w:val="0"/>
          <w:kern w:val="2"/>
          <w:sz w:val="21"/>
          <w:szCs w:val="21"/>
          <w:highlight w:val="none"/>
          <w:u w:val="single"/>
          <w:lang w:bidi="ar"/>
        </w:rPr>
        <w:t>开工前提供全套施工图纸</w:t>
      </w:r>
      <w:r>
        <w:rPr>
          <w:rFonts w:hint="eastAsia" w:ascii="宋体" w:hAnsi="宋体" w:eastAsia="宋体" w:cs="宋体"/>
          <w:bCs/>
          <w:color w:val="auto"/>
          <w:spacing w:val="0"/>
          <w:kern w:val="2"/>
          <w:sz w:val="21"/>
          <w:szCs w:val="21"/>
          <w:highlight w:val="none"/>
          <w:u w:val="single"/>
          <w:lang w:bidi="ar"/>
        </w:rPr>
        <w:t>贰套</w:t>
      </w:r>
      <w:r>
        <w:rPr>
          <w:rFonts w:hint="eastAsia" w:ascii="宋体" w:hAnsi="宋体" w:eastAsia="宋体" w:cs="宋体"/>
          <w:bCs w:val="0"/>
          <w:color w:val="auto"/>
          <w:spacing w:val="0"/>
          <w:kern w:val="2"/>
          <w:sz w:val="21"/>
          <w:szCs w:val="21"/>
          <w:highlight w:val="none"/>
          <w:u w:val="single"/>
          <w:lang w:bidi="ar"/>
        </w:rPr>
        <w:t>；若承包人需增加图纸份数，经发包人同意后由承包人复制，费用由承包人承担。另提供该工程全套施工图纸电子版文件</w:t>
      </w:r>
      <w:r>
        <w:rPr>
          <w:rFonts w:hint="eastAsia" w:ascii="宋体" w:hAnsi="宋体" w:eastAsia="宋体" w:cs="宋体"/>
          <w:bCs w:val="0"/>
          <w:color w:val="auto"/>
          <w:spacing w:val="0"/>
          <w:kern w:val="2"/>
          <w:sz w:val="21"/>
          <w:szCs w:val="21"/>
          <w:highlight w:val="none"/>
        </w:rPr>
        <w:t>；</w:t>
      </w:r>
    </w:p>
    <w:p w14:paraId="4BF70E67">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发包人向承包人提供图纸的内容：</w:t>
      </w:r>
      <w:r>
        <w:rPr>
          <w:rFonts w:hint="eastAsia" w:ascii="宋体" w:hAnsi="宋体" w:eastAsia="宋体" w:cs="宋体"/>
          <w:bCs w:val="0"/>
          <w:color w:val="auto"/>
          <w:spacing w:val="0"/>
          <w:kern w:val="2"/>
          <w:sz w:val="21"/>
          <w:szCs w:val="21"/>
          <w:highlight w:val="none"/>
          <w:u w:val="single"/>
          <w:lang w:bidi="ar"/>
        </w:rPr>
        <w:t>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eastAsia="宋体" w:cs="宋体"/>
          <w:bCs w:val="0"/>
          <w:color w:val="auto"/>
          <w:spacing w:val="0"/>
          <w:kern w:val="2"/>
          <w:sz w:val="21"/>
          <w:szCs w:val="21"/>
          <w:highlight w:val="none"/>
        </w:rPr>
        <w:t>。</w:t>
      </w:r>
    </w:p>
    <w:p w14:paraId="085A4522">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1.6.4 承包人文件</w:t>
      </w:r>
    </w:p>
    <w:p w14:paraId="1417DAB5">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    需要由承包人提供的文件，包括：</w:t>
      </w:r>
      <w:r>
        <w:rPr>
          <w:rFonts w:hint="eastAsia" w:ascii="宋体" w:hAnsi="宋体" w:eastAsia="宋体" w:cs="宋体"/>
          <w:bCs w:val="0"/>
          <w:color w:val="auto"/>
          <w:spacing w:val="0"/>
          <w:kern w:val="2"/>
          <w:sz w:val="21"/>
          <w:szCs w:val="21"/>
          <w:highlight w:val="none"/>
          <w:u w:val="single"/>
        </w:rPr>
        <w:t>承包人在开工前5天内，向监理工程师提交8份其格式和内容符合监理工程师规定的施工组织设计；对于关键部位和环节工程，施工前至少5天</w:t>
      </w:r>
      <w:r>
        <w:rPr>
          <w:rFonts w:hint="eastAsia" w:ascii="宋体" w:hAnsi="宋体" w:eastAsia="宋体" w:cs="宋体"/>
          <w:bCs w:val="0"/>
          <w:color w:val="auto"/>
          <w:spacing w:val="0"/>
          <w:kern w:val="2"/>
          <w:sz w:val="21"/>
          <w:szCs w:val="21"/>
          <w:highlight w:val="none"/>
          <w:u w:val="single"/>
          <w:lang w:eastAsia="zh-CN"/>
        </w:rPr>
        <w:t>内应</w:t>
      </w:r>
      <w:r>
        <w:rPr>
          <w:rFonts w:hint="eastAsia" w:ascii="宋体" w:hAnsi="宋体" w:eastAsia="宋体" w:cs="宋体"/>
          <w:bCs w:val="0"/>
          <w:color w:val="auto"/>
          <w:spacing w:val="0"/>
          <w:kern w:val="2"/>
          <w:sz w:val="21"/>
          <w:szCs w:val="21"/>
          <w:highlight w:val="none"/>
          <w:u w:val="single"/>
        </w:rPr>
        <w:t>按监理工程师要求提交专项施工方案，以备审查批准；每月25日前应按监理工程师要求提供本月周报及下月计划各8份；每周例会前一天应按监理工程师要求提供本周周报及下周计划各8份；必要时应提供日报和日计划各8份。以上资料由监理人报送发包人2份</w:t>
      </w:r>
      <w:r>
        <w:rPr>
          <w:rFonts w:hint="eastAsia" w:ascii="宋体" w:hAnsi="宋体" w:eastAsia="宋体" w:cs="宋体"/>
          <w:bCs w:val="0"/>
          <w:color w:val="auto"/>
          <w:spacing w:val="0"/>
          <w:kern w:val="2"/>
          <w:sz w:val="21"/>
          <w:szCs w:val="21"/>
          <w:highlight w:val="none"/>
        </w:rPr>
        <w:t>；</w:t>
      </w:r>
    </w:p>
    <w:p w14:paraId="6C9855C2">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承包人提供的文件的期限为：</w:t>
      </w:r>
      <w:r>
        <w:rPr>
          <w:rFonts w:hint="eastAsia" w:ascii="宋体" w:hAnsi="宋体" w:eastAsia="宋体" w:cs="宋体"/>
          <w:bCs w:val="0"/>
          <w:color w:val="auto"/>
          <w:spacing w:val="0"/>
          <w:kern w:val="2"/>
          <w:sz w:val="21"/>
          <w:szCs w:val="21"/>
          <w:highlight w:val="none"/>
          <w:u w:val="single"/>
        </w:rPr>
        <w:t>其他文件双方另行确定</w:t>
      </w:r>
      <w:r>
        <w:rPr>
          <w:rFonts w:hint="eastAsia" w:ascii="宋体" w:hAnsi="宋体" w:eastAsia="宋体" w:cs="宋体"/>
          <w:bCs w:val="0"/>
          <w:color w:val="auto"/>
          <w:spacing w:val="0"/>
          <w:kern w:val="2"/>
          <w:sz w:val="21"/>
          <w:szCs w:val="21"/>
          <w:highlight w:val="none"/>
        </w:rPr>
        <w:t>；</w:t>
      </w:r>
    </w:p>
    <w:p w14:paraId="02BD7C80">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承包人提供的文件的数量为：</w:t>
      </w:r>
      <w:r>
        <w:rPr>
          <w:rFonts w:hint="eastAsia" w:ascii="宋体" w:hAnsi="宋体" w:eastAsia="宋体" w:cs="宋体"/>
          <w:bCs w:val="0"/>
          <w:color w:val="auto"/>
          <w:spacing w:val="0"/>
          <w:kern w:val="2"/>
          <w:sz w:val="21"/>
          <w:szCs w:val="21"/>
          <w:highlight w:val="none"/>
          <w:u w:val="single"/>
        </w:rPr>
        <w:t>其他文件双方另行确定</w:t>
      </w:r>
      <w:r>
        <w:rPr>
          <w:rFonts w:hint="eastAsia" w:ascii="宋体" w:hAnsi="宋体" w:eastAsia="宋体" w:cs="宋体"/>
          <w:bCs w:val="0"/>
          <w:color w:val="auto"/>
          <w:spacing w:val="0"/>
          <w:kern w:val="2"/>
          <w:sz w:val="21"/>
          <w:szCs w:val="21"/>
          <w:highlight w:val="none"/>
        </w:rPr>
        <w:t>；</w:t>
      </w:r>
    </w:p>
    <w:p w14:paraId="4AE24253">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承包人提供的文件的形式为：</w:t>
      </w:r>
      <w:r>
        <w:rPr>
          <w:rFonts w:hint="eastAsia" w:ascii="宋体" w:hAnsi="宋体" w:eastAsia="宋体" w:cs="宋体"/>
          <w:bCs w:val="0"/>
          <w:color w:val="auto"/>
          <w:spacing w:val="0"/>
          <w:kern w:val="2"/>
          <w:sz w:val="21"/>
          <w:szCs w:val="21"/>
          <w:highlight w:val="none"/>
          <w:u w:val="single"/>
        </w:rPr>
        <w:t>监理公司要求和通知为准</w:t>
      </w:r>
      <w:r>
        <w:rPr>
          <w:rFonts w:hint="eastAsia" w:ascii="宋体" w:hAnsi="宋体" w:eastAsia="宋体" w:cs="宋体"/>
          <w:bCs w:val="0"/>
          <w:color w:val="auto"/>
          <w:spacing w:val="0"/>
          <w:kern w:val="2"/>
          <w:sz w:val="21"/>
          <w:szCs w:val="21"/>
          <w:highlight w:val="none"/>
        </w:rPr>
        <w:t>；</w:t>
      </w:r>
    </w:p>
    <w:p w14:paraId="67BD6992">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发包人审批承包人文件的期限：</w:t>
      </w:r>
      <w:r>
        <w:rPr>
          <w:rFonts w:hint="eastAsia" w:ascii="宋体" w:hAnsi="宋体" w:eastAsia="宋体" w:cs="宋体"/>
          <w:bCs w:val="0"/>
          <w:color w:val="auto"/>
          <w:spacing w:val="0"/>
          <w:kern w:val="2"/>
          <w:sz w:val="21"/>
          <w:szCs w:val="21"/>
          <w:highlight w:val="none"/>
          <w:u w:val="single"/>
        </w:rPr>
        <w:t>收到书面文件14日内。</w:t>
      </w:r>
    </w:p>
    <w:p w14:paraId="7E126157">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rPr>
        <w:t>监理人审批承包人文件的期限</w:t>
      </w:r>
      <w:r>
        <w:rPr>
          <w:rFonts w:hint="eastAsia" w:ascii="宋体" w:hAnsi="宋体" w:eastAsia="宋体" w:cs="宋体"/>
          <w:bCs w:val="0"/>
          <w:color w:val="auto"/>
          <w:spacing w:val="0"/>
          <w:kern w:val="2"/>
          <w:sz w:val="21"/>
          <w:szCs w:val="21"/>
          <w:highlight w:val="none"/>
          <w:u w:val="single"/>
        </w:rPr>
        <w:t>：收到承包人文件后7天内，</w:t>
      </w:r>
      <w:r>
        <w:rPr>
          <w:rFonts w:hint="eastAsia" w:ascii="宋体" w:hAnsi="宋体" w:eastAsia="宋体" w:cs="宋体"/>
          <w:bCs w:val="0"/>
          <w:color w:val="auto"/>
          <w:spacing w:val="0"/>
          <w:kern w:val="2"/>
          <w:sz w:val="21"/>
          <w:szCs w:val="21"/>
          <w:highlight w:val="none"/>
          <w:u w:val="single"/>
          <w:lang w:val="en-US" w:eastAsia="zh-CN"/>
        </w:rPr>
        <w:t>监理人</w:t>
      </w:r>
      <w:r>
        <w:rPr>
          <w:rFonts w:hint="eastAsia" w:ascii="宋体" w:hAnsi="宋体" w:eastAsia="宋体" w:cs="宋体"/>
          <w:bCs w:val="0"/>
          <w:color w:val="auto"/>
          <w:spacing w:val="0"/>
          <w:kern w:val="2"/>
          <w:sz w:val="21"/>
          <w:szCs w:val="21"/>
          <w:highlight w:val="none"/>
          <w:u w:val="single"/>
        </w:rPr>
        <w:t>对承包人文件有异议的，承包人应予以修改，并重新报送监理人。监理人的审查并不减轻或免除承包人根据合同约定应当承担的责任。</w:t>
      </w:r>
    </w:p>
    <w:p w14:paraId="58FD1F7A">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1.6.5 现场图纸准备</w:t>
      </w:r>
    </w:p>
    <w:p w14:paraId="1F34FA9B">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关于现场图纸准备的约定：</w:t>
      </w:r>
      <w:r>
        <w:rPr>
          <w:rFonts w:hint="eastAsia" w:ascii="宋体" w:hAnsi="宋体" w:eastAsia="宋体" w:cs="宋体"/>
          <w:b/>
          <w:bCs/>
          <w:color w:val="auto"/>
          <w:spacing w:val="0"/>
          <w:kern w:val="2"/>
          <w:sz w:val="21"/>
          <w:szCs w:val="21"/>
          <w:highlight w:val="none"/>
          <w:u w:val="single"/>
        </w:rPr>
        <w:t>承包人应在施工现场保留一套完整图纸，供监理工程师及有关人员进行工程检查时使用。承包人对原设计的修改必须得到发包人、原设计单位和监理工程师的同意，如擅自修改，须承担违约责任并对后果负责</w:t>
      </w:r>
      <w:r>
        <w:rPr>
          <w:rFonts w:hint="eastAsia" w:ascii="宋体" w:hAnsi="宋体" w:eastAsia="宋体" w:cs="宋体"/>
          <w:b/>
          <w:bCs/>
          <w:color w:val="auto"/>
          <w:spacing w:val="0"/>
          <w:kern w:val="2"/>
          <w:sz w:val="21"/>
          <w:szCs w:val="21"/>
          <w:highlight w:val="none"/>
        </w:rPr>
        <w:t>。</w:t>
      </w:r>
    </w:p>
    <w:p w14:paraId="4F102936">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1.7 联络</w:t>
      </w:r>
    </w:p>
    <w:p w14:paraId="3F1CD1CD">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1.7.1发包人和承包人应当在</w:t>
      </w:r>
      <w:r>
        <w:rPr>
          <w:rFonts w:hint="eastAsia" w:ascii="宋体" w:hAnsi="宋体" w:eastAsia="宋体" w:cs="宋体"/>
          <w:bCs w:val="0"/>
          <w:color w:val="auto"/>
          <w:spacing w:val="0"/>
          <w:kern w:val="2"/>
          <w:sz w:val="21"/>
          <w:szCs w:val="21"/>
          <w:highlight w:val="none"/>
          <w:u w:val="single"/>
        </w:rPr>
        <w:t xml:space="preserve"> 3 </w:t>
      </w:r>
      <w:r>
        <w:rPr>
          <w:rFonts w:hint="eastAsia" w:ascii="宋体" w:hAnsi="宋体" w:eastAsia="宋体" w:cs="宋体"/>
          <w:bCs w:val="0"/>
          <w:color w:val="auto"/>
          <w:spacing w:val="0"/>
          <w:kern w:val="0"/>
          <w:sz w:val="21"/>
          <w:szCs w:val="21"/>
          <w:highlight w:val="none"/>
        </w:rPr>
        <w:t>天内将与合同有关的通知、批准、证明、证书、指示、指令、要求、请求、同意、意见、确定和决定等书面函件送达对方当事人。</w:t>
      </w:r>
    </w:p>
    <w:p w14:paraId="799B5162">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1.7.2 发包人接收文件的地点：</w:t>
      </w:r>
      <w:r>
        <w:rPr>
          <w:rFonts w:hint="eastAsia" w:ascii="宋体" w:hAnsi="宋体" w:eastAsia="宋体" w:cs="宋体"/>
          <w:bCs w:val="0"/>
          <w:color w:val="auto"/>
          <w:spacing w:val="0"/>
          <w:kern w:val="2"/>
          <w:sz w:val="21"/>
          <w:szCs w:val="21"/>
          <w:highlight w:val="none"/>
          <w:u w:val="single"/>
        </w:rPr>
        <w:t>项目所在地发包人项目部</w:t>
      </w:r>
      <w:r>
        <w:rPr>
          <w:rFonts w:hint="eastAsia" w:ascii="宋体" w:hAnsi="宋体" w:eastAsia="宋体" w:cs="宋体"/>
          <w:bCs w:val="0"/>
          <w:color w:val="auto"/>
          <w:spacing w:val="0"/>
          <w:kern w:val="2"/>
          <w:sz w:val="21"/>
          <w:szCs w:val="21"/>
          <w:highlight w:val="none"/>
        </w:rPr>
        <w:t>；</w:t>
      </w:r>
    </w:p>
    <w:p w14:paraId="7246B005">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发包人指定的接收人为：</w:t>
      </w:r>
      <w:r>
        <w:rPr>
          <w:rFonts w:hint="eastAsia" w:ascii="宋体" w:hAnsi="宋体" w:eastAsia="宋体" w:cs="宋体"/>
          <w:bCs w:val="0"/>
          <w:color w:val="auto"/>
          <w:spacing w:val="0"/>
          <w:kern w:val="2"/>
          <w:sz w:val="21"/>
          <w:szCs w:val="21"/>
          <w:highlight w:val="none"/>
          <w:u w:val="single"/>
        </w:rPr>
        <w:t xml:space="preserve"> 发包人代表</w:t>
      </w:r>
      <w:r>
        <w:rPr>
          <w:rFonts w:hint="eastAsia" w:ascii="宋体" w:hAnsi="宋体" w:eastAsia="宋体" w:cs="宋体"/>
          <w:bCs w:val="0"/>
          <w:color w:val="auto"/>
          <w:spacing w:val="0"/>
          <w:kern w:val="0"/>
          <w:sz w:val="21"/>
          <w:szCs w:val="21"/>
          <w:highlight w:val="none"/>
        </w:rPr>
        <w:t>。</w:t>
      </w:r>
    </w:p>
    <w:p w14:paraId="0C812E62">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承包人接收文件的地点：</w:t>
      </w:r>
      <w:r>
        <w:rPr>
          <w:rFonts w:hint="eastAsia" w:ascii="宋体" w:hAnsi="宋体" w:eastAsia="宋体" w:cs="宋体"/>
          <w:bCs w:val="0"/>
          <w:color w:val="auto"/>
          <w:spacing w:val="0"/>
          <w:kern w:val="2"/>
          <w:sz w:val="21"/>
          <w:szCs w:val="21"/>
          <w:highlight w:val="none"/>
          <w:u w:val="single"/>
        </w:rPr>
        <w:t>项目所在地承包人项目部</w:t>
      </w:r>
      <w:r>
        <w:rPr>
          <w:rFonts w:hint="eastAsia" w:ascii="宋体" w:hAnsi="宋体" w:eastAsia="宋体" w:cs="宋体"/>
          <w:bCs w:val="0"/>
          <w:color w:val="auto"/>
          <w:spacing w:val="0"/>
          <w:kern w:val="2"/>
          <w:sz w:val="21"/>
          <w:szCs w:val="21"/>
          <w:highlight w:val="none"/>
        </w:rPr>
        <w:t>；</w:t>
      </w:r>
    </w:p>
    <w:p w14:paraId="5E9768EC">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承包人指定的接收人为：</w:t>
      </w:r>
      <w:r>
        <w:rPr>
          <w:rFonts w:hint="eastAsia" w:ascii="宋体" w:hAnsi="宋体" w:eastAsia="宋体" w:cs="宋体"/>
          <w:bCs w:val="0"/>
          <w:color w:val="auto"/>
          <w:spacing w:val="0"/>
          <w:kern w:val="2"/>
          <w:sz w:val="21"/>
          <w:szCs w:val="21"/>
          <w:highlight w:val="none"/>
          <w:u w:val="single"/>
        </w:rPr>
        <w:t>项目部项目经理</w:t>
      </w:r>
      <w:r>
        <w:rPr>
          <w:rFonts w:hint="eastAsia" w:ascii="宋体" w:hAnsi="宋体" w:eastAsia="宋体" w:cs="宋体"/>
          <w:bCs w:val="0"/>
          <w:color w:val="auto"/>
          <w:spacing w:val="0"/>
          <w:kern w:val="0"/>
          <w:sz w:val="21"/>
          <w:szCs w:val="21"/>
          <w:highlight w:val="none"/>
        </w:rPr>
        <w:t>。</w:t>
      </w:r>
    </w:p>
    <w:p w14:paraId="017DB8CF">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监理人接收文件的地点：</w:t>
      </w:r>
      <w:r>
        <w:rPr>
          <w:rFonts w:hint="eastAsia" w:ascii="宋体" w:hAnsi="宋体" w:eastAsia="宋体" w:cs="宋体"/>
          <w:bCs w:val="0"/>
          <w:color w:val="auto"/>
          <w:spacing w:val="0"/>
          <w:kern w:val="2"/>
          <w:sz w:val="21"/>
          <w:szCs w:val="21"/>
          <w:highlight w:val="none"/>
          <w:u w:val="single"/>
        </w:rPr>
        <w:t>项目所在地监理人办公室；</w:t>
      </w:r>
    </w:p>
    <w:p w14:paraId="0DEDFACD">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监理人指定的接收人为：</w:t>
      </w:r>
      <w:r>
        <w:rPr>
          <w:rFonts w:hint="eastAsia" w:ascii="宋体" w:hAnsi="宋体" w:eastAsia="宋体" w:cs="宋体"/>
          <w:bCs w:val="0"/>
          <w:color w:val="auto"/>
          <w:spacing w:val="0"/>
          <w:kern w:val="2"/>
          <w:sz w:val="21"/>
          <w:szCs w:val="21"/>
          <w:highlight w:val="none"/>
          <w:u w:val="single"/>
        </w:rPr>
        <w:t>监理工程师</w:t>
      </w:r>
      <w:r>
        <w:rPr>
          <w:rFonts w:hint="eastAsia" w:ascii="宋体" w:hAnsi="宋体" w:eastAsia="宋体" w:cs="宋体"/>
          <w:bCs w:val="0"/>
          <w:color w:val="auto"/>
          <w:spacing w:val="0"/>
          <w:kern w:val="0"/>
          <w:sz w:val="21"/>
          <w:szCs w:val="21"/>
          <w:highlight w:val="none"/>
        </w:rPr>
        <w:t>。</w:t>
      </w:r>
    </w:p>
    <w:p w14:paraId="5B1D4514">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1.10 交通运输</w:t>
      </w:r>
    </w:p>
    <w:p w14:paraId="7B7D74B3">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1.10.1 出入现场的权利</w:t>
      </w:r>
    </w:p>
    <w:p w14:paraId="6F611E8D">
      <w:pPr>
        <w:pageBreakBefore w:val="0"/>
        <w:widowControl w:val="0"/>
        <w:tabs>
          <w:tab w:val="center" w:pos="4393"/>
          <w:tab w:val="left" w:pos="6774"/>
        </w:tabs>
        <w:kinsoku/>
        <w:wordWrap/>
        <w:overflowPunct/>
        <w:topLinePunct w:val="0"/>
        <w:bidi w:val="0"/>
        <w:spacing w:line="360" w:lineRule="auto"/>
        <w:ind w:left="0" w:right="0" w:firstLine="315"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关于出入现场的权利的约定：</w:t>
      </w:r>
      <w:r>
        <w:rPr>
          <w:rFonts w:hint="eastAsia" w:ascii="宋体" w:hAnsi="宋体" w:eastAsia="宋体" w:cs="宋体"/>
          <w:bCs w:val="0"/>
          <w:color w:val="auto"/>
          <w:spacing w:val="0"/>
          <w:kern w:val="2"/>
          <w:sz w:val="21"/>
          <w:szCs w:val="21"/>
          <w:highlight w:val="none"/>
          <w:u w:val="single"/>
        </w:rPr>
        <w:t>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bCs w:val="0"/>
          <w:color w:val="auto"/>
          <w:spacing w:val="0"/>
          <w:kern w:val="2"/>
          <w:sz w:val="21"/>
          <w:szCs w:val="21"/>
          <w:highlight w:val="none"/>
        </w:rPr>
        <w:t>。</w:t>
      </w:r>
    </w:p>
    <w:p w14:paraId="1089D726">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1.10.3 场内交通</w:t>
      </w:r>
    </w:p>
    <w:p w14:paraId="6FEBCE97">
      <w:pPr>
        <w:pageBreakBefore w:val="0"/>
        <w:widowControl w:val="0"/>
        <w:tabs>
          <w:tab w:val="center" w:pos="4393"/>
          <w:tab w:val="left" w:pos="6774"/>
        </w:tabs>
        <w:kinsoku/>
        <w:wordWrap/>
        <w:overflowPunct/>
        <w:topLinePunct w:val="0"/>
        <w:bidi w:val="0"/>
        <w:spacing w:line="360" w:lineRule="auto"/>
        <w:ind w:left="0" w:right="0" w:firstLine="315"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关于场外交通和场内交通的边界的约定：</w:t>
      </w:r>
      <w:r>
        <w:rPr>
          <w:rFonts w:hint="eastAsia" w:ascii="宋体" w:hAnsi="宋体" w:eastAsia="宋体" w:cs="宋体"/>
          <w:bCs w:val="0"/>
          <w:color w:val="auto"/>
          <w:spacing w:val="0"/>
          <w:kern w:val="2"/>
          <w:sz w:val="21"/>
          <w:szCs w:val="21"/>
          <w:highlight w:val="none"/>
          <w:u w:val="single"/>
        </w:rPr>
        <w:t xml:space="preserve"> 根据现场实际情况而定</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w:t>
      </w:r>
    </w:p>
    <w:p w14:paraId="38AD6859">
      <w:pPr>
        <w:pageBreakBefore w:val="0"/>
        <w:widowControl w:val="0"/>
        <w:tabs>
          <w:tab w:val="center" w:pos="4393"/>
          <w:tab w:val="left" w:pos="6774"/>
        </w:tabs>
        <w:kinsoku/>
        <w:wordWrap/>
        <w:overflowPunct/>
        <w:topLinePunct w:val="0"/>
        <w:bidi w:val="0"/>
        <w:spacing w:line="360" w:lineRule="auto"/>
        <w:ind w:left="0" w:right="0" w:firstLine="315"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关于发包人向承包人免费提供满足工程施工需要的场内道路和交通设施的约定</w:t>
      </w:r>
      <w:r>
        <w:rPr>
          <w:rFonts w:hint="eastAsia" w:ascii="宋体" w:hAnsi="宋体" w:eastAsia="宋体" w:cs="宋体"/>
          <w:bCs w:val="0"/>
          <w:color w:val="auto"/>
          <w:spacing w:val="0"/>
          <w:kern w:val="0"/>
          <w:sz w:val="21"/>
          <w:szCs w:val="21"/>
          <w:highlight w:val="none"/>
        </w:rPr>
        <w:t>：</w:t>
      </w:r>
      <w:r>
        <w:rPr>
          <w:rFonts w:hint="eastAsia" w:ascii="宋体" w:hAnsi="宋体" w:eastAsia="宋体" w:cs="宋体"/>
          <w:bCs w:val="0"/>
          <w:color w:val="auto"/>
          <w:spacing w:val="0"/>
          <w:kern w:val="0"/>
          <w:sz w:val="21"/>
          <w:szCs w:val="21"/>
          <w:highlight w:val="none"/>
          <w:u w:val="single"/>
        </w:rPr>
        <w:t>发包人提供施工现场现有状况供承包人使用，如不满足施工场内运输的需要，由承包人自行解决，费用由承包人负担</w:t>
      </w:r>
      <w:r>
        <w:rPr>
          <w:rFonts w:hint="eastAsia" w:ascii="宋体" w:hAnsi="宋体" w:eastAsia="宋体" w:cs="宋体"/>
          <w:bCs w:val="0"/>
          <w:color w:val="auto"/>
          <w:spacing w:val="0"/>
          <w:kern w:val="0"/>
          <w:sz w:val="21"/>
          <w:szCs w:val="21"/>
          <w:highlight w:val="none"/>
          <w:u w:val="single"/>
          <w:lang w:eastAsia="zh-CN"/>
        </w:rPr>
        <w:t>。</w:t>
      </w:r>
    </w:p>
    <w:p w14:paraId="29CEEA86">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1.10.4超大件和超重件的运输</w:t>
      </w:r>
    </w:p>
    <w:p w14:paraId="4AE14E9E">
      <w:pPr>
        <w:pageBreakBefore w:val="0"/>
        <w:widowControl w:val="0"/>
        <w:tabs>
          <w:tab w:val="center" w:pos="4393"/>
          <w:tab w:val="left" w:pos="6774"/>
        </w:tabs>
        <w:kinsoku/>
        <w:wordWrap/>
        <w:overflowPunct/>
        <w:topLinePunct w:val="0"/>
        <w:bidi w:val="0"/>
        <w:spacing w:line="360" w:lineRule="auto"/>
        <w:ind w:left="0" w:right="0" w:firstLine="315"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运输超大件或超重件所需的道路和桥梁临时加固改造费用和其他有关费用由</w:t>
      </w:r>
      <w:r>
        <w:rPr>
          <w:rFonts w:hint="eastAsia" w:ascii="宋体" w:hAnsi="宋体" w:eastAsia="宋体" w:cs="宋体"/>
          <w:bCs w:val="0"/>
          <w:color w:val="auto"/>
          <w:spacing w:val="0"/>
          <w:kern w:val="2"/>
          <w:sz w:val="21"/>
          <w:szCs w:val="21"/>
          <w:highlight w:val="none"/>
          <w:u w:val="single"/>
        </w:rPr>
        <w:t xml:space="preserve"> 承包人 </w:t>
      </w:r>
      <w:r>
        <w:rPr>
          <w:rFonts w:hint="eastAsia" w:ascii="宋体" w:hAnsi="宋体" w:eastAsia="宋体" w:cs="宋体"/>
          <w:bCs w:val="0"/>
          <w:color w:val="auto"/>
          <w:spacing w:val="0"/>
          <w:kern w:val="2"/>
          <w:sz w:val="21"/>
          <w:szCs w:val="21"/>
          <w:highlight w:val="none"/>
        </w:rPr>
        <w:t>承担。</w:t>
      </w:r>
    </w:p>
    <w:p w14:paraId="4EF4557A">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1.11 知识产权</w:t>
      </w:r>
    </w:p>
    <w:p w14:paraId="325AEE8F">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val="0"/>
          <w:color w:val="auto"/>
          <w:spacing w:val="0"/>
          <w:kern w:val="2"/>
          <w:sz w:val="21"/>
          <w:szCs w:val="21"/>
          <w:highlight w:val="none"/>
          <w:u w:val="single"/>
        </w:rPr>
        <w:t>按通用条款执行</w:t>
      </w:r>
      <w:r>
        <w:rPr>
          <w:rFonts w:hint="eastAsia" w:ascii="宋体" w:hAnsi="宋体" w:eastAsia="宋体" w:cs="宋体"/>
          <w:bCs w:val="0"/>
          <w:color w:val="auto"/>
          <w:spacing w:val="0"/>
          <w:kern w:val="2"/>
          <w:sz w:val="21"/>
          <w:szCs w:val="21"/>
          <w:highlight w:val="none"/>
        </w:rPr>
        <w:t>。</w:t>
      </w:r>
    </w:p>
    <w:p w14:paraId="389FB7CB">
      <w:pPr>
        <w:pageBreakBefore w:val="0"/>
        <w:widowControl w:val="0"/>
        <w:tabs>
          <w:tab w:val="center" w:pos="4393"/>
          <w:tab w:val="left" w:pos="6774"/>
        </w:tabs>
        <w:kinsoku/>
        <w:wordWrap/>
        <w:overflowPunct/>
        <w:topLinePunct w:val="0"/>
        <w:bidi w:val="0"/>
        <w:spacing w:line="360" w:lineRule="auto"/>
        <w:ind w:left="0" w:right="0" w:firstLine="315"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关于发包人提供的上述文件的使用限制的要求：</w:t>
      </w:r>
      <w:r>
        <w:rPr>
          <w:rFonts w:hint="eastAsia" w:ascii="宋体" w:hAnsi="宋体" w:eastAsia="宋体" w:cs="宋体"/>
          <w:b w:val="0"/>
          <w:bCs w:val="0"/>
          <w:color w:val="auto"/>
          <w:spacing w:val="0"/>
          <w:kern w:val="2"/>
          <w:sz w:val="21"/>
          <w:szCs w:val="21"/>
          <w:highlight w:val="none"/>
          <w:u w:val="single"/>
        </w:rPr>
        <w:t>现场施工图纸，未经发包人同意，承包人不得自行复制或向任何第三方泄露、转借、转让，施工完成，如数交回。</w:t>
      </w:r>
    </w:p>
    <w:p w14:paraId="6617125B">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1.11.2 关于承包人为实施工程所编制文件的著作权的归属：</w:t>
      </w:r>
      <w:r>
        <w:rPr>
          <w:rFonts w:hint="eastAsia" w:ascii="宋体" w:hAnsi="宋体" w:eastAsia="宋体" w:cs="宋体"/>
          <w:bCs w:val="0"/>
          <w:color w:val="auto"/>
          <w:spacing w:val="0"/>
          <w:kern w:val="2"/>
          <w:sz w:val="21"/>
          <w:szCs w:val="21"/>
          <w:highlight w:val="none"/>
          <w:u w:val="single"/>
        </w:rPr>
        <w:t>按通用条款执行。</w:t>
      </w:r>
    </w:p>
    <w:p w14:paraId="682D0A05">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关于承包人提供的上述文件的使用限制的要求：</w:t>
      </w:r>
      <w:r>
        <w:rPr>
          <w:rFonts w:hint="eastAsia" w:ascii="宋体" w:hAnsi="宋体" w:eastAsia="宋体" w:cs="宋体"/>
          <w:bCs w:val="0"/>
          <w:color w:val="auto"/>
          <w:spacing w:val="0"/>
          <w:kern w:val="2"/>
          <w:sz w:val="21"/>
          <w:szCs w:val="21"/>
          <w:highlight w:val="none"/>
          <w:u w:val="single"/>
          <w:lang w:bidi="ar"/>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如有发现直接扣除合同总价款的5%</w:t>
      </w:r>
      <w:r>
        <w:rPr>
          <w:rFonts w:hint="eastAsia" w:ascii="宋体" w:hAnsi="宋体" w:eastAsia="宋体" w:cs="宋体"/>
          <w:bCs w:val="0"/>
          <w:color w:val="auto"/>
          <w:spacing w:val="0"/>
          <w:kern w:val="2"/>
          <w:sz w:val="21"/>
          <w:szCs w:val="21"/>
          <w:highlight w:val="none"/>
          <w:u w:val="single"/>
          <w:lang w:eastAsia="zh-CN"/>
        </w:rPr>
        <w:t>作为</w:t>
      </w:r>
      <w:r>
        <w:rPr>
          <w:rFonts w:hint="eastAsia" w:ascii="宋体" w:hAnsi="宋体" w:eastAsia="宋体" w:cs="宋体"/>
          <w:bCs w:val="0"/>
          <w:color w:val="auto"/>
          <w:spacing w:val="0"/>
          <w:kern w:val="2"/>
          <w:sz w:val="21"/>
          <w:szCs w:val="21"/>
          <w:highlight w:val="none"/>
          <w:u w:val="single"/>
        </w:rPr>
        <w:t>违约金。</w:t>
      </w:r>
    </w:p>
    <w:p w14:paraId="2FDF9F2C">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1.11.4 承包人在施工过程中所采用的专利、专有技术、技术秘密的使用费的承担方式：</w:t>
      </w:r>
      <w:r>
        <w:rPr>
          <w:rFonts w:hint="eastAsia" w:ascii="宋体" w:hAnsi="宋体" w:eastAsia="宋体" w:cs="宋体"/>
          <w:bCs w:val="0"/>
          <w:color w:val="auto"/>
          <w:spacing w:val="0"/>
          <w:kern w:val="2"/>
          <w:sz w:val="21"/>
          <w:szCs w:val="21"/>
          <w:highlight w:val="none"/>
          <w:u w:val="single"/>
        </w:rPr>
        <w:t>已含在合同价中，结算时不予调整。</w:t>
      </w:r>
    </w:p>
    <w:p w14:paraId="098E2890">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1.13工程量清单缺陷的修正</w:t>
      </w:r>
    </w:p>
    <w:p w14:paraId="647C5D6D">
      <w:pPr>
        <w:pageBreakBefore w:val="0"/>
        <w:widowControl w:val="0"/>
        <w:tabs>
          <w:tab w:val="center" w:pos="4393"/>
          <w:tab w:val="left" w:pos="6774"/>
        </w:tabs>
        <w:kinsoku/>
        <w:wordWrap/>
        <w:overflowPunct/>
        <w:topLinePunct w:val="0"/>
        <w:bidi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u w:val="single"/>
          <w:lang w:eastAsia="zh-CN"/>
        </w:rPr>
      </w:pPr>
      <w:r>
        <w:rPr>
          <w:rFonts w:hint="eastAsia" w:ascii="宋体" w:hAnsi="宋体" w:eastAsia="宋体" w:cs="宋体"/>
          <w:bCs w:val="0"/>
          <w:color w:val="auto"/>
          <w:spacing w:val="0"/>
          <w:kern w:val="2"/>
          <w:sz w:val="21"/>
          <w:szCs w:val="21"/>
          <w:highlight w:val="none"/>
          <w:u w:val="none"/>
        </w:rPr>
        <w:t>出现工程量清单缺陷时调整合同价格的方式：</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重新计量合同图纸的分部分项工程项目清单的所有清单项及工程量，调整其与已标价工程量清单存在差异的工程量清单缺陷引起的合同价格；</w:t>
      </w:r>
    </w:p>
    <w:p w14:paraId="4CA6D166">
      <w:pPr>
        <w:pageBreakBefore w:val="0"/>
        <w:widowControl w:val="0"/>
        <w:tabs>
          <w:tab w:val="center" w:pos="4393"/>
          <w:tab w:val="left" w:pos="6774"/>
        </w:tabs>
        <w:kinsoku/>
        <w:wordWrap/>
        <w:overflowPunct/>
        <w:topLinePunct w:val="0"/>
        <w:bidi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u w:val="single"/>
          <w:lang w:val="en-US" w:eastAsia="zh-CN"/>
        </w:rPr>
      </w:pPr>
      <w:r>
        <w:rPr>
          <w:rFonts w:hint="eastAsia" w:ascii="宋体" w:hAnsi="宋体" w:eastAsia="宋体" w:cs="宋体"/>
          <w:bCs w:val="0"/>
          <w:color w:val="auto"/>
          <w:spacing w:val="0"/>
          <w:kern w:val="2"/>
          <w:sz w:val="21"/>
          <w:szCs w:val="21"/>
          <w:highlight w:val="none"/>
          <w:u w:val="single"/>
          <w:lang w:val="en-US" w:eastAsia="zh-CN"/>
        </w:rPr>
        <w:t>1、规定属于分部分项工程项目清单的措施项目，以及发包人提供图纸并要求承包人按图施工且列入分部分项清单的措施项目，按照分部分项原则处理；</w:t>
      </w:r>
    </w:p>
    <w:p w14:paraId="0C1524B1">
      <w:pPr>
        <w:pageBreakBefore w:val="0"/>
        <w:widowControl w:val="0"/>
        <w:tabs>
          <w:tab w:val="center" w:pos="4393"/>
          <w:tab w:val="left" w:pos="6774"/>
        </w:tabs>
        <w:kinsoku/>
        <w:wordWrap/>
        <w:overflowPunct/>
        <w:topLinePunct w:val="0"/>
        <w:bidi w:val="0"/>
        <w:spacing w:line="360" w:lineRule="auto"/>
        <w:ind w:left="0" w:right="0" w:firstLine="420" w:firstLineChars="200"/>
        <w:jc w:val="left"/>
        <w:rPr>
          <w:rFonts w:hint="default" w:ascii="宋体" w:hAnsi="宋体" w:eastAsia="宋体" w:cs="宋体"/>
          <w:bCs w:val="0"/>
          <w:color w:val="auto"/>
          <w:spacing w:val="0"/>
          <w:kern w:val="2"/>
          <w:sz w:val="21"/>
          <w:szCs w:val="21"/>
          <w:highlight w:val="none"/>
          <w:u w:val="single"/>
          <w:lang w:val="en-US" w:eastAsia="zh-CN"/>
        </w:rPr>
      </w:pPr>
      <w:r>
        <w:rPr>
          <w:rFonts w:hint="eastAsia" w:ascii="宋体" w:hAnsi="宋体" w:eastAsia="宋体" w:cs="宋体"/>
          <w:bCs w:val="0"/>
          <w:color w:val="auto"/>
          <w:spacing w:val="0"/>
          <w:kern w:val="2"/>
          <w:sz w:val="21"/>
          <w:szCs w:val="21"/>
          <w:highlight w:val="none"/>
          <w:u w:val="single"/>
          <w:lang w:val="en-US" w:eastAsia="zh-CN"/>
        </w:rPr>
        <w:t>2、安全生产措施费用按国家及省级、行业主管部门的相关规定计算；</w:t>
      </w:r>
    </w:p>
    <w:p w14:paraId="305C1AE0">
      <w:pPr>
        <w:pageBreakBefore w:val="0"/>
        <w:widowControl w:val="0"/>
        <w:tabs>
          <w:tab w:val="center" w:pos="4393"/>
          <w:tab w:val="left" w:pos="6774"/>
        </w:tabs>
        <w:kinsoku/>
        <w:wordWrap/>
        <w:overflowPunct/>
        <w:topLinePunct w:val="0"/>
        <w:bidi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u w:val="single"/>
          <w:lang w:val="en-US" w:eastAsia="zh-CN"/>
        </w:rPr>
      </w:pPr>
      <w:r>
        <w:rPr>
          <w:rFonts w:hint="eastAsia" w:ascii="宋体" w:hAnsi="宋体" w:eastAsia="宋体" w:cs="宋体"/>
          <w:bCs w:val="0"/>
          <w:color w:val="auto"/>
          <w:spacing w:val="0"/>
          <w:kern w:val="2"/>
          <w:sz w:val="21"/>
          <w:szCs w:val="21"/>
          <w:highlight w:val="none"/>
          <w:u w:val="single"/>
          <w:lang w:val="en-US" w:eastAsia="zh-CN"/>
        </w:rPr>
        <w:t>3、工程量清单缺陷引起的措施项目变化，合同清单的措施项目及合同工期均不予调整。</w:t>
      </w:r>
    </w:p>
    <w:p w14:paraId="59EDB18A">
      <w:pPr>
        <w:widowControl w:val="0"/>
        <w:adjustRightInd w:val="0"/>
        <w:spacing w:after="60" w:line="360" w:lineRule="atLeast"/>
        <w:ind w:left="63" w:leftChars="30" w:right="63" w:rightChars="30" w:firstLine="0" w:firstLineChars="0"/>
        <w:jc w:val="both"/>
        <w:textAlignment w:val="baseline"/>
        <w:rPr>
          <w:rFonts w:hint="default" w:ascii="Times New Roman" w:hAnsi="Times New Roman" w:eastAsia="宋体" w:cs="Times New Roman"/>
          <w:bCs w:val="0"/>
          <w:spacing w:val="0"/>
          <w:kern w:val="2"/>
          <w:sz w:val="21"/>
          <w:szCs w:val="22"/>
          <w:highlight w:val="none"/>
          <w:u w:val="single"/>
          <w:lang w:val="en-US" w:eastAsia="zh-CN" w:bidi="ar-SA"/>
        </w:rPr>
      </w:pPr>
      <w:r>
        <w:rPr>
          <w:rFonts w:hint="eastAsia" w:ascii="Times New Roman" w:hAnsi="Times New Roman" w:eastAsia="宋体" w:cs="Times New Roman"/>
          <w:bCs w:val="0"/>
          <w:spacing w:val="0"/>
          <w:kern w:val="2"/>
          <w:sz w:val="21"/>
          <w:szCs w:val="22"/>
          <w:highlight w:val="none"/>
          <w:lang w:val="en-US" w:eastAsia="zh-CN" w:bidi="ar-SA"/>
        </w:rPr>
        <w:t xml:space="preserve">  </w:t>
      </w:r>
      <w:r>
        <w:rPr>
          <w:rFonts w:hint="eastAsia" w:ascii="Times New Roman" w:hAnsi="Times New Roman" w:eastAsia="宋体" w:cs="Times New Roman"/>
          <w:bCs w:val="0"/>
          <w:spacing w:val="0"/>
          <w:kern w:val="2"/>
          <w:sz w:val="21"/>
          <w:szCs w:val="22"/>
          <w:highlight w:val="none"/>
          <w:u w:val="single"/>
          <w:lang w:val="en-US" w:eastAsia="zh-CN" w:bidi="ar-SA"/>
        </w:rPr>
        <w:t>4、以项计价的分部分项工程量清单项目不调整</w:t>
      </w:r>
    </w:p>
    <w:p w14:paraId="04B80228">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u w:val="single"/>
          <w:lang w:val="en-US" w:eastAsia="zh-CN"/>
        </w:rPr>
      </w:pPr>
      <w:r>
        <w:rPr>
          <w:rFonts w:hint="eastAsia" w:ascii="宋体" w:hAnsi="宋体" w:eastAsia="宋体" w:cs="宋体"/>
          <w:bCs w:val="0"/>
          <w:color w:val="auto"/>
          <w:spacing w:val="0"/>
          <w:kern w:val="2"/>
          <w:sz w:val="21"/>
          <w:szCs w:val="21"/>
          <w:highlight w:val="none"/>
          <w:u w:val="none"/>
        </w:rPr>
        <w:t xml:space="preserve"> </w:t>
      </w:r>
      <w:r>
        <w:rPr>
          <w:rFonts w:hint="eastAsia" w:ascii="宋体" w:hAnsi="宋体" w:eastAsia="宋体" w:cs="宋体"/>
          <w:bCs w:val="0"/>
          <w:color w:val="auto"/>
          <w:spacing w:val="0"/>
          <w:kern w:val="2"/>
          <w:sz w:val="21"/>
          <w:szCs w:val="21"/>
          <w:highlight w:val="none"/>
          <w:u w:val="none"/>
          <w:lang w:val="en-US" w:eastAsia="zh-CN"/>
        </w:rPr>
        <w:t xml:space="preserve">   </w:t>
      </w:r>
      <w:r>
        <w:rPr>
          <w:rFonts w:hint="eastAsia" w:ascii="宋体" w:hAnsi="宋体" w:eastAsia="宋体" w:cs="宋体"/>
          <w:bCs w:val="0"/>
          <w:color w:val="auto"/>
          <w:spacing w:val="0"/>
          <w:kern w:val="2"/>
          <w:sz w:val="21"/>
          <w:szCs w:val="21"/>
          <w:highlight w:val="none"/>
          <w:u w:val="none"/>
        </w:rPr>
        <w:t>允许调整合同价格的工程量偏差范围</w:t>
      </w:r>
      <w:r>
        <w:rPr>
          <w:rFonts w:hint="eastAsia" w:ascii="宋体" w:hAnsi="宋体" w:eastAsia="宋体" w:cs="宋体"/>
          <w:bCs w:val="0"/>
          <w:color w:val="auto"/>
          <w:spacing w:val="0"/>
          <w:kern w:val="2"/>
          <w:sz w:val="21"/>
          <w:szCs w:val="21"/>
          <w:highlight w:val="none"/>
          <w:u w:val="single"/>
        </w:rPr>
        <w:t>：</w:t>
      </w:r>
      <w:r>
        <w:rPr>
          <w:rFonts w:hint="eastAsia" w:ascii="宋体" w:hAnsi="宋体" w:eastAsia="宋体" w:cs="宋体"/>
          <w:bCs w:val="0"/>
          <w:color w:val="auto"/>
          <w:spacing w:val="0"/>
          <w:kern w:val="2"/>
          <w:sz w:val="21"/>
          <w:szCs w:val="21"/>
          <w:highlight w:val="none"/>
          <w:u w:val="single"/>
          <w:lang w:val="en-US" w:eastAsia="zh-CN"/>
        </w:rPr>
        <w:t>根据发包人提供的工程实际施工图纸按照合同约定的国家及行业工程量计算标准及补充的工程量计算规则重新计量分部分项工程项目清单的工程量。</w:t>
      </w:r>
    </w:p>
    <w:p w14:paraId="50DD1CB2">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color w:val="auto"/>
          <w:spacing w:val="0"/>
          <w:kern w:val="2"/>
          <w:sz w:val="21"/>
          <w:szCs w:val="21"/>
          <w:highlight w:val="none"/>
        </w:rPr>
        <w:t>2. 发包人</w:t>
      </w:r>
    </w:p>
    <w:p w14:paraId="2AA241A5">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2.2 发包人代表</w:t>
      </w:r>
    </w:p>
    <w:p w14:paraId="4F8DFF64">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发包人代表：</w:t>
      </w:r>
    </w:p>
    <w:p w14:paraId="386B8710">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姓    名：</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1F83AC0E">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职    务：</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06B24464">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联系电话：</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DF3E15A">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发包人对发包人代表的授权范围如下：</w:t>
      </w:r>
      <w:r>
        <w:rPr>
          <w:rFonts w:hint="eastAsia" w:ascii="宋体" w:hAnsi="宋体" w:eastAsia="宋体" w:cs="宋体"/>
          <w:bCs w:val="0"/>
          <w:color w:val="auto"/>
          <w:spacing w:val="0"/>
          <w:kern w:val="2"/>
          <w:sz w:val="21"/>
          <w:szCs w:val="21"/>
          <w:highlight w:val="none"/>
          <w:u w:val="single"/>
        </w:rPr>
        <w:t>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bCs w:val="0"/>
          <w:color w:val="auto"/>
          <w:spacing w:val="0"/>
          <w:kern w:val="2"/>
          <w:sz w:val="21"/>
          <w:szCs w:val="21"/>
          <w:highlight w:val="none"/>
        </w:rPr>
        <w:t>。</w:t>
      </w:r>
    </w:p>
    <w:p w14:paraId="361FE76F">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2.4 施工现场、施工条件和基础资料的提供</w:t>
      </w:r>
    </w:p>
    <w:p w14:paraId="249454C2">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2.4.1 提供施工现场</w:t>
      </w:r>
    </w:p>
    <w:p w14:paraId="41AD5DD2">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关于发包人移交施工现场的期限要求：</w:t>
      </w:r>
      <w:r>
        <w:rPr>
          <w:rFonts w:hint="eastAsia" w:ascii="宋体" w:hAnsi="宋体" w:eastAsia="宋体" w:cs="宋体"/>
          <w:bCs w:val="0"/>
          <w:color w:val="auto"/>
          <w:spacing w:val="0"/>
          <w:kern w:val="2"/>
          <w:sz w:val="21"/>
          <w:szCs w:val="21"/>
          <w:highlight w:val="none"/>
          <w:u w:val="single"/>
        </w:rPr>
        <w:t xml:space="preserve"> 施工场地满足开工条件。</w:t>
      </w:r>
    </w:p>
    <w:p w14:paraId="24DE709C">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2.4.2 提供施工条件</w:t>
      </w:r>
    </w:p>
    <w:p w14:paraId="49D527CA">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bCs w:val="0"/>
          <w:color w:val="auto"/>
          <w:spacing w:val="0"/>
          <w:kern w:val="2"/>
          <w:sz w:val="21"/>
          <w:szCs w:val="21"/>
          <w:highlight w:val="none"/>
          <w:u w:val="single"/>
          <w:lang w:val="en-US" w:eastAsia="zh-CN"/>
        </w:rPr>
      </w:pPr>
      <w:r>
        <w:rPr>
          <w:rFonts w:hint="eastAsia" w:ascii="宋体" w:hAnsi="宋体" w:eastAsia="宋体" w:cs="宋体"/>
          <w:bCs w:val="0"/>
          <w:color w:val="auto"/>
          <w:spacing w:val="0"/>
          <w:kern w:val="2"/>
          <w:sz w:val="21"/>
          <w:szCs w:val="21"/>
          <w:highlight w:val="none"/>
          <w:lang w:val="en-US" w:eastAsia="zh-CN"/>
        </w:rPr>
        <w:t>（1）</w:t>
      </w:r>
      <w:r>
        <w:rPr>
          <w:rFonts w:hint="eastAsia" w:ascii="宋体" w:hAnsi="宋体" w:eastAsia="宋体" w:cs="宋体"/>
          <w:bCs w:val="0"/>
          <w:color w:val="auto"/>
          <w:spacing w:val="0"/>
          <w:kern w:val="2"/>
          <w:sz w:val="21"/>
          <w:szCs w:val="21"/>
          <w:highlight w:val="none"/>
          <w:u w:val="single"/>
          <w:lang w:val="en-US" w:eastAsia="zh-CN"/>
        </w:rPr>
        <w:t>发包人不提供水源、电源到施工现场，由承包人自行考虑接入点并提供材料、设备接水、接电，并自备合格计量表计量，供水、供电费用（含接水、接电费用）由承包人支付，通讯工具自备。</w:t>
      </w:r>
    </w:p>
    <w:p w14:paraId="74AFAA9E">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bCs w:val="0"/>
          <w:color w:val="auto"/>
          <w:spacing w:val="0"/>
          <w:kern w:val="2"/>
          <w:sz w:val="21"/>
          <w:szCs w:val="21"/>
          <w:highlight w:val="none"/>
          <w:u w:val="single"/>
          <w:lang w:val="en-US" w:eastAsia="zh-CN"/>
        </w:rPr>
      </w:pPr>
      <w:r>
        <w:rPr>
          <w:rFonts w:hint="eastAsia" w:ascii="宋体" w:hAnsi="宋体" w:eastAsia="宋体" w:cs="宋体"/>
          <w:bCs w:val="0"/>
          <w:color w:val="auto"/>
          <w:spacing w:val="0"/>
          <w:kern w:val="2"/>
          <w:sz w:val="21"/>
          <w:szCs w:val="21"/>
          <w:highlight w:val="none"/>
          <w:lang w:val="en-US" w:eastAsia="zh-CN"/>
        </w:rPr>
        <w:t>（2）施工场地与公共道路的通道开通时间和要求</w:t>
      </w:r>
      <w:r>
        <w:rPr>
          <w:rFonts w:hint="eastAsia" w:ascii="宋体" w:hAnsi="宋体" w:eastAsia="宋体" w:cs="宋体"/>
          <w:bCs w:val="0"/>
          <w:color w:val="auto"/>
          <w:spacing w:val="0"/>
          <w:kern w:val="2"/>
          <w:sz w:val="21"/>
          <w:szCs w:val="21"/>
          <w:highlight w:val="none"/>
          <w:u w:val="single"/>
          <w:lang w:val="en-US" w:eastAsia="zh-CN"/>
        </w:rPr>
        <w:t>：见现场实际条件，包含在合同价中。</w:t>
      </w:r>
    </w:p>
    <w:p w14:paraId="42FE2572">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（3）协调处理施工场地周围地下管线和邻近建筑物、构筑物（含文物保护建筑）、古树名木的保护工作：</w:t>
      </w:r>
      <w:r>
        <w:rPr>
          <w:rFonts w:hint="eastAsia" w:ascii="宋体" w:hAnsi="宋体" w:eastAsia="宋体" w:cs="宋体"/>
          <w:bCs w:val="0"/>
          <w:color w:val="auto"/>
          <w:spacing w:val="0"/>
          <w:kern w:val="2"/>
          <w:sz w:val="21"/>
          <w:szCs w:val="21"/>
          <w:highlight w:val="none"/>
          <w:u w:val="single"/>
          <w:lang w:val="en-US" w:eastAsia="zh-CN"/>
        </w:rPr>
        <w:t>由发包人会同承包人负责做好保护工作，承包人如在施工中发现问题应及时报告发包人、设计院及监理，由发包人会同有关部门出具解决方案。费用均由承包人承担</w:t>
      </w:r>
      <w:r>
        <w:rPr>
          <w:rFonts w:hint="eastAsia" w:ascii="宋体" w:hAnsi="宋体" w:eastAsia="宋体" w:cs="宋体"/>
          <w:bCs w:val="0"/>
          <w:color w:val="auto"/>
          <w:spacing w:val="0"/>
          <w:kern w:val="2"/>
          <w:sz w:val="21"/>
          <w:szCs w:val="21"/>
          <w:highlight w:val="none"/>
          <w:lang w:val="en-US" w:eastAsia="zh-CN"/>
        </w:rPr>
        <w:t>。</w:t>
      </w:r>
    </w:p>
    <w:p w14:paraId="6DE78A52">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2.5 资金来源证明及支付担保</w:t>
      </w:r>
    </w:p>
    <w:p w14:paraId="24004A58">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发包人提供资金来源证明的期限要求：</w:t>
      </w:r>
      <w:r>
        <w:rPr>
          <w:rFonts w:hint="eastAsia" w:ascii="宋体" w:hAnsi="宋体" w:eastAsia="宋体" w:cs="宋体"/>
          <w:bCs w:val="0"/>
          <w:color w:val="auto"/>
          <w:spacing w:val="0"/>
          <w:kern w:val="2"/>
          <w:sz w:val="21"/>
          <w:szCs w:val="21"/>
          <w:highlight w:val="none"/>
          <w:u w:val="single"/>
        </w:rPr>
        <w:t>按通用条款执行</w:t>
      </w:r>
      <w:r>
        <w:rPr>
          <w:rFonts w:hint="eastAsia" w:ascii="宋体" w:hAnsi="宋体" w:eastAsia="宋体" w:cs="宋体"/>
          <w:bCs w:val="0"/>
          <w:color w:val="auto"/>
          <w:spacing w:val="0"/>
          <w:kern w:val="2"/>
          <w:sz w:val="21"/>
          <w:szCs w:val="21"/>
          <w:highlight w:val="none"/>
        </w:rPr>
        <w:t>。</w:t>
      </w:r>
    </w:p>
    <w:p w14:paraId="64787D47">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发包人是否提供支付担保：</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p>
    <w:p w14:paraId="49258B88">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rPr>
        <w:t>发包人提供支付担保的形式：</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 </w:t>
      </w:r>
      <w:r>
        <w:rPr>
          <w:rFonts w:hint="eastAsia" w:ascii="宋体" w:hAnsi="宋体" w:eastAsia="宋体" w:cs="宋体"/>
          <w:bCs w:val="0"/>
          <w:color w:val="auto"/>
          <w:spacing w:val="0"/>
          <w:kern w:val="2"/>
          <w:sz w:val="21"/>
          <w:szCs w:val="21"/>
          <w:highlight w:val="none"/>
          <w:u w:val="single"/>
        </w:rPr>
        <w:t xml:space="preserve">。           </w:t>
      </w:r>
    </w:p>
    <w:p w14:paraId="1C97064D">
      <w:pPr>
        <w:keepNext/>
        <w:keepLines/>
        <w:pageBreakBefore w:val="0"/>
        <w:widowControl w:val="0"/>
        <w:numPr>
          <w:ilvl w:val="3"/>
          <w:numId w:val="2"/>
        </w:numPr>
        <w:kinsoku/>
        <w:wordWrap/>
        <w:overflowPunct/>
        <w:topLinePunct w:val="0"/>
        <w:bidi w:val="0"/>
        <w:spacing w:line="360" w:lineRule="auto"/>
        <w:ind w:left="0" w:right="0" w:firstLine="0" w:firstLineChars="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3. 承包人</w:t>
      </w:r>
    </w:p>
    <w:p w14:paraId="0A476944">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3.1 承包人的一般义务</w:t>
      </w:r>
    </w:p>
    <w:p w14:paraId="7AFB0FEB">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（1）办理法律规定应由承包人办理的许可和批准，并将办理结果书面报送发包人留存；</w:t>
      </w:r>
    </w:p>
    <w:p w14:paraId="208DBAF6">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（2）按法律规定和合同约定完成工程，并在保修期内承担保修义务；</w:t>
      </w:r>
    </w:p>
    <w:p w14:paraId="25731749">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（3）按法律规定和合同约定采取施工安全和环境保护措施，办理工伤保险，确保工程及人员、材料、设备和设施的安全；</w:t>
      </w:r>
    </w:p>
    <w:p w14:paraId="2778467D">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（4）按合同约定的工作内容和施工进度要求，编制施工组织设计和施工措施计划，并对所有施工作业和施工方法的完备性和安全可靠性负责；</w:t>
      </w:r>
    </w:p>
    <w:p w14:paraId="5EFE97D6">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DA77242">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（6）施工场地清洁符合环境卫生管理的相关规定，交工前应将一切建筑垃圾、施工废弃物清理干净，运至发包人或政府有关部门指定地点并</w:t>
      </w:r>
      <w:r>
        <w:rPr>
          <w:rFonts w:hint="eastAsia" w:ascii="宋体" w:hAnsi="宋体" w:eastAsia="宋体" w:cs="宋体"/>
          <w:bCs w:val="0"/>
          <w:color w:val="auto"/>
          <w:spacing w:val="0"/>
          <w:kern w:val="2"/>
          <w:sz w:val="21"/>
          <w:szCs w:val="21"/>
          <w:highlight w:val="none"/>
          <w:lang w:val="en-US" w:eastAsia="zh-CN"/>
        </w:rPr>
        <w:t>承担相应费用</w:t>
      </w:r>
      <w:r>
        <w:rPr>
          <w:rFonts w:hint="eastAsia" w:ascii="宋体" w:hAnsi="宋体" w:eastAsia="宋体" w:cs="宋体"/>
          <w:bCs w:val="0"/>
          <w:color w:val="auto"/>
          <w:spacing w:val="0"/>
          <w:kern w:val="2"/>
          <w:sz w:val="21"/>
          <w:szCs w:val="21"/>
          <w:highlight w:val="none"/>
        </w:rPr>
        <w:t>，使完工工程交付发包人后达到正常环境卫生的要求；同时承担因自身原因违反有关规定造成的损失和违约金。</w:t>
      </w:r>
    </w:p>
    <w:p w14:paraId="268389F6">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按照通用条款第6.3款〔环境保护〕约定负责施工场地及其周边环境与生态的保护工作；</w:t>
      </w:r>
    </w:p>
    <w:p w14:paraId="64A2151C">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（7）按通用条款第6.1款〔安全文明施工〕约定采取施工安全措施，确保工程及其人员、材料、设备和设施的安全，防止因工程施工造成的人身伤害和财产损失；</w:t>
      </w:r>
    </w:p>
    <w:p w14:paraId="693BCB01">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（8）将发包人按合同约定支付的各项价款专用于合同工程，且应及时支付其雇用人员工资，并及时向分包人支付合同价款；</w:t>
      </w:r>
    </w:p>
    <w:p w14:paraId="60A5356A">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（9）承包人提交的竣工资料的内容：</w:t>
      </w:r>
    </w:p>
    <w:p w14:paraId="2AC8AD34">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承包人应在工程具备竣工验收条件后40天内按国家工程竣工验收标准，向发包人提供完整竣工资料</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含竣工图</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 xml:space="preserve">及竣工验收报告 </w:t>
      </w:r>
      <w:r>
        <w:rPr>
          <w:rFonts w:hint="eastAsia" w:ascii="宋体" w:hAnsi="宋体" w:eastAsia="宋体" w:cs="宋体"/>
          <w:bCs w:val="0"/>
          <w:color w:val="auto"/>
          <w:spacing w:val="0"/>
          <w:kern w:val="2"/>
          <w:sz w:val="21"/>
          <w:szCs w:val="21"/>
          <w:highlight w:val="none"/>
          <w:lang w:val="en-US" w:eastAsia="zh-CN"/>
        </w:rPr>
        <w:t>[</w:t>
      </w:r>
      <w:r>
        <w:rPr>
          <w:rFonts w:hint="eastAsia" w:ascii="宋体" w:hAnsi="宋体" w:eastAsia="宋体" w:cs="宋体"/>
          <w:bCs w:val="0"/>
          <w:color w:val="auto"/>
          <w:spacing w:val="0"/>
          <w:kern w:val="2"/>
          <w:sz w:val="21"/>
          <w:szCs w:val="21"/>
          <w:highlight w:val="none"/>
        </w:rPr>
        <w:t>不少于两套竣工资料原件，四套复印件及电子文档二套</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含竣工图八套</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lang w:val="en-US" w:eastAsia="zh-CN"/>
        </w:rPr>
        <w:t>]</w:t>
      </w:r>
      <w:r>
        <w:rPr>
          <w:rFonts w:hint="eastAsia" w:ascii="宋体" w:hAnsi="宋体" w:eastAsia="宋体" w:cs="宋体"/>
          <w:bCs w:val="0"/>
          <w:color w:val="auto"/>
          <w:spacing w:val="0"/>
          <w:kern w:val="2"/>
          <w:sz w:val="21"/>
          <w:szCs w:val="21"/>
          <w:highlight w:val="none"/>
        </w:rPr>
        <w:t>，且符合工程所在地质安站、城建档案馆等相关部门要求，并自行承担相关费用。</w:t>
      </w:r>
    </w:p>
    <w:p w14:paraId="14F05A93">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承包人提交的竣工资料的套数：</w:t>
      </w:r>
      <w:r>
        <w:rPr>
          <w:rFonts w:hint="eastAsia" w:ascii="宋体" w:hAnsi="宋体" w:eastAsia="宋体" w:cs="宋体"/>
          <w:bCs w:val="0"/>
          <w:color w:val="auto"/>
          <w:spacing w:val="0"/>
          <w:kern w:val="2"/>
          <w:sz w:val="21"/>
          <w:szCs w:val="21"/>
          <w:highlight w:val="none"/>
          <w:u w:val="single"/>
        </w:rPr>
        <w:t xml:space="preserve"> 不少于两套竣工资料原件，四套复印件及电子文档二套</w:t>
      </w:r>
      <w:r>
        <w:rPr>
          <w:rFonts w:hint="eastAsia" w:ascii="宋体" w:hAnsi="宋体" w:eastAsia="宋体" w:cs="宋体"/>
          <w:bCs w:val="0"/>
          <w:color w:val="auto"/>
          <w:spacing w:val="0"/>
          <w:kern w:val="2"/>
          <w:sz w:val="21"/>
          <w:szCs w:val="21"/>
          <w:highlight w:val="none"/>
        </w:rPr>
        <w:t>。</w:t>
      </w:r>
    </w:p>
    <w:p w14:paraId="1F31C458">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承包人提交的竣工资料的费用承担：</w:t>
      </w:r>
      <w:r>
        <w:rPr>
          <w:rFonts w:hint="eastAsia" w:ascii="宋体" w:hAnsi="宋体" w:eastAsia="宋体" w:cs="宋体"/>
          <w:bCs w:val="0"/>
          <w:color w:val="auto"/>
          <w:spacing w:val="0"/>
          <w:kern w:val="2"/>
          <w:sz w:val="21"/>
          <w:szCs w:val="21"/>
          <w:highlight w:val="none"/>
          <w:u w:val="single"/>
        </w:rPr>
        <w:t xml:space="preserve"> 承包人自行承担 </w:t>
      </w:r>
      <w:r>
        <w:rPr>
          <w:rFonts w:hint="eastAsia" w:ascii="宋体" w:hAnsi="宋体" w:eastAsia="宋体" w:cs="宋体"/>
          <w:bCs w:val="0"/>
          <w:color w:val="auto"/>
          <w:spacing w:val="0"/>
          <w:kern w:val="2"/>
          <w:sz w:val="21"/>
          <w:szCs w:val="21"/>
          <w:highlight w:val="none"/>
        </w:rPr>
        <w:t>。</w:t>
      </w:r>
    </w:p>
    <w:p w14:paraId="03270185">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承包人提交的竣工资料移交时间：</w:t>
      </w:r>
      <w:r>
        <w:rPr>
          <w:rFonts w:hint="eastAsia" w:ascii="宋体" w:hAnsi="宋体" w:eastAsia="宋体" w:cs="宋体"/>
          <w:bCs w:val="0"/>
          <w:color w:val="auto"/>
          <w:spacing w:val="0"/>
          <w:kern w:val="2"/>
          <w:sz w:val="21"/>
          <w:szCs w:val="21"/>
          <w:highlight w:val="none"/>
          <w:u w:val="single"/>
        </w:rPr>
        <w:t xml:space="preserve">  工程具备竣工验收条件后40天内</w:t>
      </w:r>
      <w:r>
        <w:rPr>
          <w:rFonts w:hint="eastAsia" w:ascii="宋体" w:hAnsi="宋体" w:eastAsia="宋体" w:cs="宋体"/>
          <w:bCs w:val="0"/>
          <w:color w:val="auto"/>
          <w:spacing w:val="0"/>
          <w:kern w:val="2"/>
          <w:sz w:val="21"/>
          <w:szCs w:val="21"/>
          <w:highlight w:val="none"/>
        </w:rPr>
        <w:t>。</w:t>
      </w:r>
    </w:p>
    <w:p w14:paraId="3AF68EDC">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    承包人提交的竣工资料形式要求：</w:t>
      </w:r>
      <w:r>
        <w:rPr>
          <w:rFonts w:hint="eastAsia" w:ascii="宋体" w:hAnsi="宋体" w:eastAsia="宋体" w:cs="宋体"/>
          <w:bCs w:val="0"/>
          <w:color w:val="auto"/>
          <w:spacing w:val="0"/>
          <w:kern w:val="2"/>
          <w:sz w:val="21"/>
          <w:szCs w:val="21"/>
          <w:highlight w:val="none"/>
          <w:u w:val="single"/>
        </w:rPr>
        <w:t xml:space="preserve">  书面文件和电子文件 </w:t>
      </w:r>
      <w:r>
        <w:rPr>
          <w:rFonts w:hint="eastAsia" w:ascii="宋体" w:hAnsi="宋体" w:eastAsia="宋体" w:cs="宋体"/>
          <w:bCs w:val="0"/>
          <w:color w:val="auto"/>
          <w:spacing w:val="0"/>
          <w:kern w:val="2"/>
          <w:sz w:val="21"/>
          <w:szCs w:val="21"/>
          <w:highlight w:val="none"/>
        </w:rPr>
        <w:t>。</w:t>
      </w:r>
    </w:p>
    <w:p w14:paraId="7B9CAC99">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（10）承包人应履行的其他义务：</w:t>
      </w:r>
    </w:p>
    <w:p w14:paraId="2B9BECEF">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1）需由设计资质等级和业务范围允许的承包人完成的设计文件提交时间：</w:t>
      </w:r>
      <w:r>
        <w:rPr>
          <w:rFonts w:hint="eastAsia" w:ascii="宋体" w:hAnsi="宋体" w:eastAsia="宋体" w:cs="宋体"/>
          <w:bCs/>
          <w:color w:val="auto"/>
          <w:spacing w:val="2"/>
          <w:kern w:val="2"/>
          <w:sz w:val="21"/>
          <w:szCs w:val="21"/>
          <w:highlight w:val="none"/>
          <w:u w:val="single"/>
          <w:lang w:val="en-US" w:eastAsia="zh-CN" w:bidi="ar-SA"/>
        </w:rPr>
        <w:t xml:space="preserve"> / ；</w:t>
      </w:r>
    </w:p>
    <w:p w14:paraId="2C7C0A26">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2）应提供计划、报表的名称及完成时间：</w:t>
      </w:r>
    </w:p>
    <w:p w14:paraId="7782973A">
      <w:pPr>
        <w:pageBreakBefore w:val="0"/>
        <w:widowControl w:val="0"/>
        <w:tabs>
          <w:tab w:val="left" w:pos="6521"/>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A</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进场后一周内提供材料计划，每月25日前分别向发包人及监理工程师提供详细的施工进度计划、每月28日前分别向发包人及监理工程师提供到当月25日的已完工程量报表（含工程变更）、乙购材料清单、材料进场计划、劳动力及用款计划等资料（总进度计划要以横道图和网络图两种形式提供）</w:t>
      </w:r>
      <w:r>
        <w:rPr>
          <w:rFonts w:hint="eastAsia" w:ascii="宋体" w:hAnsi="宋体" w:eastAsia="宋体" w:cs="宋体"/>
          <w:bCs w:val="0"/>
          <w:color w:val="auto"/>
          <w:spacing w:val="0"/>
          <w:kern w:val="2"/>
          <w:sz w:val="21"/>
          <w:szCs w:val="21"/>
          <w:highlight w:val="none"/>
        </w:rPr>
        <w:t>。</w:t>
      </w:r>
    </w:p>
    <w:p w14:paraId="5812E5B5">
      <w:pPr>
        <w:pageBreakBefore w:val="0"/>
        <w:widowControl w:val="0"/>
        <w:tabs>
          <w:tab w:val="left" w:pos="6521"/>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B、承包人负责施工场地周围地下管线和邻近建筑物、构筑物（含文物保护建筑）、古树名木的保护。负责工地现场临时设施、道路、管线的施工和保养，采取措施避免工程施工对红线周围地下管线、</w:t>
      </w:r>
      <w:r>
        <w:rPr>
          <w:rFonts w:hint="eastAsia" w:ascii="宋体" w:hAnsi="宋体" w:eastAsia="宋体" w:cs="宋体"/>
          <w:bCs w:val="0"/>
          <w:color w:val="auto"/>
          <w:spacing w:val="0"/>
          <w:kern w:val="2"/>
          <w:sz w:val="21"/>
          <w:szCs w:val="21"/>
          <w:highlight w:val="none"/>
          <w:u w:val="single"/>
          <w:lang w:eastAsia="zh-CN" w:bidi="ar"/>
        </w:rPr>
        <w:t>邻近建筑物</w:t>
      </w:r>
      <w:r>
        <w:rPr>
          <w:rFonts w:hint="eastAsia" w:ascii="宋体" w:hAnsi="宋体" w:eastAsia="宋体" w:cs="宋体"/>
          <w:bCs w:val="0"/>
          <w:color w:val="auto"/>
          <w:spacing w:val="0"/>
          <w:kern w:val="2"/>
          <w:sz w:val="21"/>
          <w:szCs w:val="21"/>
          <w:highlight w:val="none"/>
          <w:u w:val="single"/>
          <w:lang w:bidi="ar"/>
        </w:rPr>
        <w:t>及市政设施造成破坏，如造成破坏，恢复原状，费用均由承包人负责。采取措施保护</w:t>
      </w:r>
      <w:r>
        <w:rPr>
          <w:rFonts w:hint="eastAsia" w:ascii="宋体" w:hAnsi="宋体" w:eastAsia="宋体" w:cs="宋体"/>
          <w:bCs w:val="0"/>
          <w:color w:val="auto"/>
          <w:spacing w:val="0"/>
          <w:kern w:val="2"/>
          <w:sz w:val="21"/>
          <w:szCs w:val="21"/>
          <w:highlight w:val="none"/>
          <w:u w:val="single"/>
          <w:lang w:eastAsia="zh-CN" w:bidi="ar"/>
        </w:rPr>
        <w:t>邻近</w:t>
      </w:r>
      <w:r>
        <w:rPr>
          <w:rFonts w:hint="eastAsia" w:ascii="宋体" w:hAnsi="宋体" w:eastAsia="宋体" w:cs="宋体"/>
          <w:bCs w:val="0"/>
          <w:color w:val="auto"/>
          <w:spacing w:val="0"/>
          <w:kern w:val="2"/>
          <w:sz w:val="21"/>
          <w:szCs w:val="21"/>
          <w:highlight w:val="none"/>
          <w:u w:val="single"/>
          <w:lang w:bidi="ar"/>
        </w:rPr>
        <w:t>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素，如台风、连续降雨达到市气象局认定的500mm以上的、名木古树、地下文物等），承包人已根据自身的施工技术能力并考虑其施工风险，将此费用考虑在投标报价中，此项费用在施工中不予调整，承包人有责任采取保护措施，否则承担造成的一切责任及相应费用。</w:t>
      </w:r>
    </w:p>
    <w:p w14:paraId="018800C3">
      <w:pPr>
        <w:pageBreakBefore w:val="0"/>
        <w:widowControl w:val="0"/>
        <w:tabs>
          <w:tab w:val="left" w:pos="6521"/>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C、承包人在施工中的问题应以书面形式为准，而且必须提前三天发文给发包人，口头汇报不作依据。承包人发文应有标准固定格式，规范的文件编号，由项目负责人签署</w:t>
      </w:r>
      <w:r>
        <w:rPr>
          <w:rFonts w:hint="eastAsia" w:ascii="宋体" w:hAnsi="宋体" w:eastAsia="宋体" w:cs="宋体"/>
          <w:bCs w:val="0"/>
          <w:color w:val="auto"/>
          <w:spacing w:val="0"/>
          <w:kern w:val="2"/>
          <w:sz w:val="21"/>
          <w:szCs w:val="21"/>
          <w:highlight w:val="none"/>
          <w:u w:val="single"/>
          <w:lang w:val="en-US" w:eastAsia="zh-CN" w:bidi="ar"/>
        </w:rPr>
        <w:t>发文</w:t>
      </w:r>
      <w:r>
        <w:rPr>
          <w:rFonts w:hint="eastAsia" w:ascii="宋体" w:hAnsi="宋体" w:eastAsia="宋体" w:cs="宋体"/>
          <w:bCs w:val="0"/>
          <w:color w:val="auto"/>
          <w:spacing w:val="0"/>
          <w:kern w:val="2"/>
          <w:sz w:val="21"/>
          <w:szCs w:val="21"/>
          <w:highlight w:val="none"/>
          <w:u w:val="single"/>
          <w:lang w:bidi="ar"/>
        </w:rPr>
        <w:t>，发包人工程师签署后生效。</w:t>
      </w:r>
    </w:p>
    <w:p w14:paraId="6442B86B">
      <w:pPr>
        <w:pageBreakBefore w:val="0"/>
        <w:widowControl w:val="0"/>
        <w:tabs>
          <w:tab w:val="left" w:pos="6521"/>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化均不予调整，任何因忽视或误解工程现场而导致的索赔或工期延长申请将不被批准。承包人应将本工程建筑垃圾清运出场，其外运堆放场地及运距由承包人事先已综合考虑在投标报价中，以后不作调整。</w:t>
      </w:r>
    </w:p>
    <w:p w14:paraId="064E1699">
      <w:pPr>
        <w:pageBreakBefore w:val="0"/>
        <w:widowControl w:val="0"/>
        <w:tabs>
          <w:tab w:val="left" w:pos="6521"/>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否则，每项逾期一天，承包人应向发包人支付人民币</w:t>
      </w:r>
      <w:r>
        <w:rPr>
          <w:rFonts w:hint="eastAsia" w:ascii="宋体" w:hAnsi="宋体" w:eastAsia="宋体" w:cs="宋体"/>
          <w:bCs w:val="0"/>
          <w:color w:val="auto"/>
          <w:spacing w:val="0"/>
          <w:kern w:val="2"/>
          <w:sz w:val="21"/>
          <w:szCs w:val="21"/>
          <w:highlight w:val="none"/>
          <w:u w:val="single"/>
          <w:lang w:val="en-US" w:eastAsia="zh-CN" w:bidi="ar"/>
        </w:rPr>
        <w:t>1万</w:t>
      </w:r>
      <w:r>
        <w:rPr>
          <w:rFonts w:hint="eastAsia" w:ascii="宋体" w:hAnsi="宋体" w:eastAsia="宋体" w:cs="宋体"/>
          <w:bCs w:val="0"/>
          <w:color w:val="auto"/>
          <w:spacing w:val="0"/>
          <w:kern w:val="2"/>
          <w:sz w:val="21"/>
          <w:szCs w:val="21"/>
          <w:highlight w:val="none"/>
          <w:u w:val="single"/>
          <w:lang w:bidi="ar"/>
        </w:rPr>
        <w:t>元违约金，并限时完成指令。未经发包人同意，承包人不得以任何名义作任何关于该项目的宣传报道，无论该报道是</w:t>
      </w:r>
      <w:r>
        <w:rPr>
          <w:rFonts w:hint="eastAsia" w:ascii="宋体" w:hAnsi="宋体" w:eastAsia="宋体" w:cs="宋体"/>
          <w:bCs w:val="0"/>
          <w:color w:val="auto"/>
          <w:spacing w:val="0"/>
          <w:kern w:val="2"/>
          <w:sz w:val="21"/>
          <w:szCs w:val="21"/>
          <w:highlight w:val="none"/>
          <w:u w:val="single"/>
          <w:lang w:val="en-US" w:eastAsia="zh-CN" w:bidi="ar"/>
        </w:rPr>
        <w:t>否</w:t>
      </w:r>
      <w:r>
        <w:rPr>
          <w:rFonts w:hint="eastAsia" w:ascii="宋体" w:hAnsi="宋体" w:eastAsia="宋体" w:cs="宋体"/>
          <w:bCs w:val="0"/>
          <w:color w:val="auto"/>
          <w:spacing w:val="0"/>
          <w:kern w:val="2"/>
          <w:sz w:val="21"/>
          <w:szCs w:val="21"/>
          <w:highlight w:val="none"/>
          <w:u w:val="single"/>
          <w:lang w:bidi="ar"/>
        </w:rPr>
        <w:t>发布于施工现场或社会宣传媒体。但承包人必须积极配合发包人的相关宣传报道、形象展示行为</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由此产生的费用包含在措施费中。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p>
    <w:p w14:paraId="10E0B6E2">
      <w:pPr>
        <w:pageBreakBefore w:val="0"/>
        <w:widowControl w:val="0"/>
        <w:tabs>
          <w:tab w:val="left" w:pos="6521"/>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F、承包人内部的劳资双方纠纷致使施工人员到发包人办公、生产场所聚众闹事、静坐等</w:t>
      </w:r>
      <w:r>
        <w:rPr>
          <w:rFonts w:hint="eastAsia" w:ascii="宋体" w:hAnsi="宋体" w:eastAsia="宋体" w:cs="宋体"/>
          <w:bCs w:val="0"/>
          <w:color w:val="auto"/>
          <w:spacing w:val="0"/>
          <w:kern w:val="2"/>
          <w:sz w:val="21"/>
          <w:szCs w:val="21"/>
          <w:highlight w:val="none"/>
          <w:u w:val="single"/>
          <w:lang w:val="en-US" w:eastAsia="zh-CN" w:bidi="ar"/>
        </w:rPr>
        <w:t>的</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每次给予1</w:t>
      </w:r>
      <w:r>
        <w:rPr>
          <w:rFonts w:hint="eastAsia" w:ascii="宋体" w:hAnsi="宋体" w:eastAsia="宋体" w:cs="宋体"/>
          <w:bCs w:val="0"/>
          <w:color w:val="auto"/>
          <w:spacing w:val="0"/>
          <w:kern w:val="2"/>
          <w:sz w:val="21"/>
          <w:szCs w:val="21"/>
          <w:highlight w:val="none"/>
          <w:u w:val="single"/>
          <w:lang w:val="en-US" w:eastAsia="zh-CN" w:bidi="ar"/>
        </w:rPr>
        <w:t>万</w:t>
      </w:r>
      <w:r>
        <w:rPr>
          <w:rFonts w:hint="eastAsia" w:ascii="宋体" w:hAnsi="宋体" w:eastAsia="宋体" w:cs="宋体"/>
          <w:bCs w:val="0"/>
          <w:color w:val="auto"/>
          <w:spacing w:val="0"/>
          <w:kern w:val="2"/>
          <w:sz w:val="21"/>
          <w:szCs w:val="21"/>
          <w:highlight w:val="none"/>
          <w:u w:val="single"/>
          <w:lang w:bidi="ar"/>
        </w:rPr>
        <w:t>元罚款。</w:t>
      </w:r>
      <w:r>
        <w:rPr>
          <w:rFonts w:hint="eastAsia" w:ascii="宋体" w:hAnsi="宋体" w:eastAsia="宋体" w:cs="宋体"/>
          <w:bCs w:val="0"/>
          <w:color w:val="auto"/>
          <w:spacing w:val="0"/>
          <w:kern w:val="2"/>
          <w:sz w:val="21"/>
          <w:szCs w:val="21"/>
          <w:highlight w:val="none"/>
          <w:u w:val="single"/>
          <w:lang w:val="en-US" w:eastAsia="zh-CN" w:bidi="ar"/>
        </w:rPr>
        <w:t>该行为</w:t>
      </w:r>
      <w:r>
        <w:rPr>
          <w:rFonts w:hint="eastAsia" w:ascii="宋体" w:hAnsi="宋体" w:eastAsia="宋体" w:cs="宋体"/>
          <w:bCs w:val="0"/>
          <w:color w:val="auto"/>
          <w:spacing w:val="0"/>
          <w:kern w:val="2"/>
          <w:sz w:val="21"/>
          <w:szCs w:val="21"/>
          <w:highlight w:val="none"/>
          <w:u w:val="single"/>
          <w:lang w:bidi="ar"/>
        </w:rPr>
        <w:t>影响到发包人利益并造成损失或遭新闻媒体曝光</w:t>
      </w:r>
      <w:r>
        <w:rPr>
          <w:rFonts w:hint="eastAsia" w:ascii="宋体" w:hAnsi="宋体" w:eastAsia="宋体" w:cs="宋体"/>
          <w:bCs w:val="0"/>
          <w:color w:val="auto"/>
          <w:spacing w:val="0"/>
          <w:kern w:val="2"/>
          <w:sz w:val="21"/>
          <w:szCs w:val="21"/>
          <w:highlight w:val="none"/>
          <w:u w:val="single"/>
          <w:lang w:val="en-US" w:eastAsia="zh-CN" w:bidi="ar"/>
        </w:rPr>
        <w:t>的</w:t>
      </w:r>
      <w:r>
        <w:rPr>
          <w:rFonts w:hint="eastAsia" w:ascii="宋体" w:hAnsi="宋体" w:eastAsia="宋体" w:cs="宋体"/>
          <w:bCs w:val="0"/>
          <w:color w:val="auto"/>
          <w:spacing w:val="0"/>
          <w:kern w:val="2"/>
          <w:sz w:val="21"/>
          <w:szCs w:val="21"/>
          <w:highlight w:val="none"/>
          <w:u w:val="single"/>
          <w:lang w:bidi="ar"/>
        </w:rPr>
        <w:t>，承包人承担由此产生的一切后果和费用。</w:t>
      </w:r>
    </w:p>
    <w:p w14:paraId="7DE40F6B">
      <w:pPr>
        <w:pageBreakBefore w:val="0"/>
        <w:widowControl w:val="0"/>
        <w:tabs>
          <w:tab w:val="left" w:pos="6521"/>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G、承包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p>
    <w:p w14:paraId="265B8BFD">
      <w:pPr>
        <w:pageBreakBefore w:val="0"/>
        <w:widowControl w:val="0"/>
        <w:tabs>
          <w:tab w:val="left" w:pos="6521"/>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H、承包人已自行考虑施工组织设计中材料和构件的二次搬运、非甲方所为</w:t>
      </w:r>
      <w:r>
        <w:rPr>
          <w:rFonts w:hint="eastAsia" w:ascii="宋体" w:hAnsi="宋体" w:eastAsia="宋体" w:cs="宋体"/>
          <w:bCs w:val="0"/>
          <w:color w:val="auto"/>
          <w:spacing w:val="0"/>
          <w:kern w:val="2"/>
          <w:sz w:val="21"/>
          <w:szCs w:val="21"/>
          <w:highlight w:val="none"/>
          <w:u w:val="single"/>
          <w:lang w:eastAsia="zh-CN" w:bidi="ar"/>
        </w:rPr>
        <w:t>八</w:t>
      </w:r>
      <w:r>
        <w:rPr>
          <w:rFonts w:hint="eastAsia" w:ascii="宋体" w:hAnsi="宋体" w:eastAsia="宋体" w:cs="宋体"/>
          <w:bCs w:val="0"/>
          <w:color w:val="auto"/>
          <w:spacing w:val="0"/>
          <w:kern w:val="2"/>
          <w:sz w:val="21"/>
          <w:szCs w:val="21"/>
          <w:highlight w:val="none"/>
          <w:u w:val="single"/>
          <w:lang w:bidi="ar"/>
        </w:rPr>
        <w:t>小时内的临时停水停电、环保噪音扰民、连续降雨、严重冰冻、高</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中</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考、农忙、节假日、市内重大活动期间以及业主需要的时间段内可能对施工作出某些限制和配合要求等引起的功效降低、民抚费用及措施费用。</w:t>
      </w:r>
    </w:p>
    <w:p w14:paraId="3D57CB23">
      <w:pPr>
        <w:pageBreakBefore w:val="0"/>
        <w:widowControl w:val="0"/>
        <w:tabs>
          <w:tab w:val="left" w:pos="6521"/>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I、双方约定承包人应做的其他工作：①开工前水、电接入点由承包人自行接入；②承包人有义务对本工程图纸详细审阅，并提出合理化建议，确保施工期间尽量少发生拆除变更等浪费现象。③施工过程中与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a、竣工资料符合连云港市城建档案馆关于档案资料的要求，有配合发包人做好资料归档、结算审计、结算备案的义务，及时处理好现场事务；b、准时参加监理组织的每周工程例会和专题会议；c、竣工验收15日内及时将临时设施、建筑垃圾拆除并撤出现场；d、必须严格执行连云港市的施工场地管理规定以及发包人的场地管理要求；e、严格执行发包人施工中变更的规定。⑦承包人在开工前应向监理单位提供有关人员上岗证、有关设备合格证年审证等证件。⑧承包人必须按本施工合同进行组织施工，接受发包人指令。承包人项目部以下管理人员在所辖工程或分项工程施工期间（包括准备和收尾阶段），均须专职在岗，不得兼任其他项目任何职务；发包人确认无法胜任工作者，包括：</w:t>
      </w:r>
      <w:r>
        <w:rPr>
          <w:rFonts w:hint="eastAsia" w:ascii="宋体" w:hAnsi="宋体" w:eastAsia="宋体" w:cs="宋体"/>
          <w:bCs w:val="0"/>
          <w:color w:val="auto"/>
          <w:spacing w:val="0"/>
          <w:kern w:val="2"/>
          <w:sz w:val="21"/>
          <w:szCs w:val="21"/>
          <w:highlight w:val="none"/>
          <w:u w:val="single"/>
          <w:lang w:val="en-US" w:eastAsia="zh-CN" w:bidi="ar"/>
        </w:rPr>
        <w:t>a.</w:t>
      </w:r>
      <w:r>
        <w:rPr>
          <w:rFonts w:hint="eastAsia" w:ascii="宋体" w:hAnsi="宋体" w:eastAsia="宋体" w:cs="宋体"/>
          <w:bCs w:val="0"/>
          <w:color w:val="auto"/>
          <w:spacing w:val="0"/>
          <w:kern w:val="2"/>
          <w:sz w:val="21"/>
          <w:szCs w:val="21"/>
          <w:highlight w:val="none"/>
          <w:u w:val="single"/>
          <w:lang w:bidi="ar"/>
        </w:rPr>
        <w:t>对分部分项工程施工进度及施工质量达不到合同要求负有责任的施工人员、不熟悉本专业工作的施工人员、工作责任心不强的施工人员、不积极配合发包人工作、不积极执行发包人指令者；b.不能积极配合监理单位及发包人正常工作者；c.违反发包人或承包人工地现场管理规定者；d.无证上岗者（适用于按规定必须有上岗证的岗位）；e.与本合同规定名册不符者；f.与本工程施工无</w:t>
      </w:r>
      <w:r>
        <w:rPr>
          <w:rFonts w:hint="eastAsia" w:ascii="宋体" w:hAnsi="宋体" w:eastAsia="宋体" w:cs="宋体"/>
          <w:bCs w:val="0"/>
          <w:color w:val="auto"/>
          <w:spacing w:val="0"/>
          <w:kern w:val="2"/>
          <w:sz w:val="21"/>
          <w:szCs w:val="21"/>
          <w:highlight w:val="none"/>
          <w:u w:val="single"/>
          <w:lang w:val="en-US" w:eastAsia="zh-CN" w:bidi="ar"/>
        </w:rPr>
        <w:t>关</w:t>
      </w:r>
      <w:r>
        <w:rPr>
          <w:rFonts w:hint="eastAsia" w:ascii="宋体" w:hAnsi="宋体" w:eastAsia="宋体" w:cs="宋体"/>
          <w:bCs w:val="0"/>
          <w:color w:val="auto"/>
          <w:spacing w:val="0"/>
          <w:kern w:val="2"/>
          <w:sz w:val="21"/>
          <w:szCs w:val="21"/>
          <w:highlight w:val="none"/>
          <w:u w:val="single"/>
          <w:lang w:bidi="ar"/>
        </w:rPr>
        <w:t>的人员；g.高空抛倒建筑垃圾者；h.围攻殴打发包人或监理单位工作人员； I.有偷盗行为及损害发包人财产的人员；j.扰乱发包人正常工作秩序的人员；k.其他发包人认为需要离开现场的人员。</w:t>
      </w:r>
    </w:p>
    <w:p w14:paraId="5339BE94">
      <w:pPr>
        <w:pageBreakBefore w:val="0"/>
        <w:widowControl w:val="0"/>
        <w:tabs>
          <w:tab w:val="left" w:pos="6521"/>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lang w:val="en-US" w:eastAsia="zh-CN" w:bidi="ar"/>
        </w:rPr>
        <w:t>J</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w:t>
      </w:r>
    </w:p>
    <w:p w14:paraId="32FBD12A">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3）承担施工安全保卫工作及非夜间施工照明的责任和要求：</w:t>
      </w:r>
    </w:p>
    <w:p w14:paraId="425AE171">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u w:val="single"/>
          <w:lang w:val="en-US" w:eastAsia="zh-CN" w:bidi="ar-SA"/>
        </w:rPr>
        <w:t>按照国家、江苏省及连云港市有关规定及施工现场实际情况由承包人负责施工现场的施工安全保卫工作及非夜间照明，费用由承包人自理。</w:t>
      </w:r>
    </w:p>
    <w:p w14:paraId="5B29E0DE">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4）向发包人提供的办公和生活房屋及设施的要求：</w:t>
      </w:r>
      <w:r>
        <w:rPr>
          <w:rFonts w:hint="eastAsia" w:ascii="宋体" w:hAnsi="宋体" w:eastAsia="宋体" w:cs="宋体"/>
          <w:bCs/>
          <w:color w:val="auto"/>
          <w:spacing w:val="2"/>
          <w:kern w:val="2"/>
          <w:sz w:val="21"/>
          <w:szCs w:val="21"/>
          <w:highlight w:val="none"/>
          <w:u w:val="single"/>
          <w:lang w:val="en-US" w:eastAsia="zh-CN" w:bidi="ar-SA"/>
        </w:rPr>
        <w:t xml:space="preserve"> 具体根据现场情况按发包人要求执行，费用包含在投标报价中。</w:t>
      </w:r>
    </w:p>
    <w:p w14:paraId="59C7B0C9">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u w:val="single"/>
          <w:lang w:val="en-US" w:eastAsia="zh-CN" w:bidi="ar-SA"/>
        </w:rPr>
      </w:pPr>
      <w:r>
        <w:rPr>
          <w:rFonts w:hint="eastAsia" w:ascii="宋体" w:hAnsi="宋体" w:eastAsia="宋体" w:cs="宋体"/>
          <w:bCs/>
          <w:color w:val="auto"/>
          <w:spacing w:val="2"/>
          <w:kern w:val="2"/>
          <w:sz w:val="21"/>
          <w:szCs w:val="21"/>
          <w:highlight w:val="none"/>
          <w:lang w:val="en-US" w:eastAsia="zh-CN" w:bidi="ar-SA"/>
        </w:rPr>
        <w:t>5）需承包人办理的有关施工场地交通、环卫环保和施工噪音管理等手续：</w:t>
      </w:r>
      <w:r>
        <w:rPr>
          <w:rFonts w:hint="eastAsia" w:ascii="宋体" w:hAnsi="宋体" w:eastAsia="宋体" w:cs="宋体"/>
          <w:bCs/>
          <w:color w:val="auto"/>
          <w:spacing w:val="2"/>
          <w:kern w:val="2"/>
          <w:sz w:val="21"/>
          <w:szCs w:val="21"/>
          <w:highlight w:val="none"/>
          <w:u w:val="single"/>
          <w:lang w:val="en-US" w:eastAsia="zh-CN" w:bidi="ar-SA"/>
        </w:rPr>
        <w:t>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p>
    <w:p w14:paraId="056CF570">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6）已完工程成品保护的特殊要求及费用承担：</w:t>
      </w:r>
      <w:r>
        <w:rPr>
          <w:rFonts w:hint="eastAsia" w:ascii="宋体" w:hAnsi="宋体" w:eastAsia="宋体" w:cs="宋体"/>
          <w:bCs/>
          <w:color w:val="auto"/>
          <w:spacing w:val="2"/>
          <w:kern w:val="2"/>
          <w:sz w:val="21"/>
          <w:szCs w:val="21"/>
          <w:highlight w:val="none"/>
          <w:u w:val="single"/>
          <w:lang w:val="en-US" w:eastAsia="zh-CN" w:bidi="ar-SA"/>
        </w:rPr>
        <w:t xml:space="preserve"> 由承包人负责已完成成品保护并承担费用 </w:t>
      </w:r>
      <w:r>
        <w:rPr>
          <w:rFonts w:hint="eastAsia" w:ascii="宋体" w:hAnsi="宋体" w:eastAsia="宋体" w:cs="宋体"/>
          <w:bCs/>
          <w:color w:val="auto"/>
          <w:spacing w:val="2"/>
          <w:kern w:val="2"/>
          <w:sz w:val="21"/>
          <w:szCs w:val="21"/>
          <w:highlight w:val="none"/>
          <w:lang w:val="en-US" w:eastAsia="zh-CN" w:bidi="ar-SA"/>
        </w:rPr>
        <w:t>。</w:t>
      </w:r>
    </w:p>
    <w:p w14:paraId="0BC801C6">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7）施工场地周围地下管线和邻近建筑物、构筑物（含文物保护建筑）、古树名木的保护要求及费用承担：</w:t>
      </w:r>
      <w:r>
        <w:rPr>
          <w:rFonts w:hint="eastAsia" w:ascii="宋体" w:hAnsi="宋体" w:eastAsia="宋体" w:cs="宋体"/>
          <w:bCs/>
          <w:color w:val="auto"/>
          <w:spacing w:val="2"/>
          <w:kern w:val="2"/>
          <w:sz w:val="21"/>
          <w:szCs w:val="21"/>
          <w:highlight w:val="none"/>
          <w:u w:val="single"/>
          <w:lang w:val="en-US" w:eastAsia="zh-CN" w:bidi="ar-SA"/>
        </w:rPr>
        <w:t>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要做好管线保护工作，具体要求：1、有审批手续；2、有施工方案；3、有标志标识；4、有管线资料和现场交底；5、有探挖工序；6、有应急预案（包含联络方式）。因承包人原因造成破坏的，承包人必须无条件及时修复，并承担由此发生的全部费用和责任。</w:t>
      </w:r>
    </w:p>
    <w:p w14:paraId="4FFC3183">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8）施工场地清洁卫生的要求：</w:t>
      </w:r>
      <w:r>
        <w:rPr>
          <w:rFonts w:hint="eastAsia" w:ascii="宋体" w:hAnsi="宋体" w:eastAsia="宋体" w:cs="宋体"/>
          <w:bCs/>
          <w:color w:val="auto"/>
          <w:spacing w:val="2"/>
          <w:kern w:val="2"/>
          <w:sz w:val="21"/>
          <w:szCs w:val="21"/>
          <w:highlight w:val="none"/>
          <w:u w:val="single"/>
          <w:lang w:val="en-US" w:eastAsia="zh-CN" w:bidi="ar-SA"/>
        </w:rPr>
        <w:t>按标准化施工现场管理，保持现场清洁，符合环境要求；交工前清理现场，因施工产生的垃圾外运，费用由承包人自理。</w:t>
      </w:r>
    </w:p>
    <w:p w14:paraId="3C4EF3CB">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9）双方约定承包人应做的其它工作（包括但不限于）：</w:t>
      </w:r>
    </w:p>
    <w:p w14:paraId="02D5D062">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a.承包人应负责修建进入施工现场的临时道路，确保施工设备、车辆顺利进出施工现场，如因路况不好，导致运输车辆不能到达指定地点发生二次转运或延误工期等情况，承包人承担相应责任及费用。</w:t>
      </w:r>
    </w:p>
    <w:p w14:paraId="1C17E9D5">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639F67BF">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c.严格按施工图纸、国家现行的施工及技术验收规范进行施工，做好自检工作，并按规定程序进行检测和报验，确保工程质量和工期。</w:t>
      </w:r>
    </w:p>
    <w:p w14:paraId="46A8AABF">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d.严格按施工安全规范要求采取预防事故的措施，确保施工安全和第三者安全。</w:t>
      </w:r>
    </w:p>
    <w:p w14:paraId="3698D7A6">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p>
    <w:p w14:paraId="175D8EE5">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f.施工中承包人应做好施工原始记录，隐蔽工程记录，按照国家验收规范的要求，整理、检查、编制工程验收竣工资料。并在竣工时按规定移交发包人。</w:t>
      </w:r>
    </w:p>
    <w:p w14:paraId="40F4BFC9">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g.在施工中，由承包人自身原因造成的停工、返工、材料、物件的倒运、机械二次进场等损失，均由承包人承担。</w:t>
      </w:r>
    </w:p>
    <w:p w14:paraId="3616087E">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h.承包人采购设备、材料前须得到发包人和监理工程师的认可。材料的规格、技术指标、质量等级详见施工图， 同时应满足相关技术规范要求。</w:t>
      </w:r>
    </w:p>
    <w:p w14:paraId="369E9AA7">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i.其他1、竣工资料应符合发包人及城建档案馆等相关部门关于档案资料的要求；2、准时参加监理组织的每周工程例会和专题会议；3、应接受发包人的现场协调管理；4、其它事宜由双方协商另定。</w:t>
      </w:r>
    </w:p>
    <w:p w14:paraId="52F65954">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承包人未能按要求履行以上各项义务，造成发包人损失的，承包人应赔偿发包人有关损失。</w:t>
      </w:r>
    </w:p>
    <w:p w14:paraId="5303E088">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3.2 项目经理</w:t>
      </w:r>
    </w:p>
    <w:p w14:paraId="2377B1D1">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 xml:space="preserve">3.2.1 </w:t>
      </w:r>
      <w:r>
        <w:rPr>
          <w:rFonts w:hint="eastAsia" w:ascii="宋体" w:hAnsi="宋体" w:eastAsia="宋体" w:cs="宋体"/>
          <w:bCs w:val="0"/>
          <w:color w:val="auto"/>
          <w:spacing w:val="0"/>
          <w:kern w:val="2"/>
          <w:sz w:val="21"/>
          <w:szCs w:val="21"/>
          <w:highlight w:val="none"/>
        </w:rPr>
        <w:t>项目经理：</w:t>
      </w:r>
    </w:p>
    <w:p w14:paraId="461D33D4">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姓    名：</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02CECB10">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身份证号：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371AE83">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建造师执业资格等级：</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9E20D09">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建造师注册证书号：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04DF885E">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安全生产考核合格证书号：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78522A6A">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承包人对项目经理的授权范围如下：</w:t>
      </w:r>
      <w:r>
        <w:rPr>
          <w:rFonts w:hint="eastAsia" w:ascii="宋体" w:hAnsi="宋体" w:eastAsia="宋体" w:cs="宋体"/>
          <w:bCs w:val="0"/>
          <w:color w:val="auto"/>
          <w:spacing w:val="0"/>
          <w:kern w:val="2"/>
          <w:sz w:val="21"/>
          <w:szCs w:val="21"/>
          <w:highlight w:val="none"/>
          <w:u w:val="single"/>
        </w:rPr>
        <w:t xml:space="preserve">项目经理负责本项目施工期间的进度、质量、安全文明施工等全部的施工任务，施工期间与发包人签署的变更、补充协议等 </w:t>
      </w:r>
      <w:r>
        <w:rPr>
          <w:rFonts w:hint="eastAsia" w:ascii="宋体" w:hAnsi="宋体" w:eastAsia="宋体" w:cs="宋体"/>
          <w:bCs w:val="0"/>
          <w:color w:val="auto"/>
          <w:spacing w:val="0"/>
          <w:kern w:val="2"/>
          <w:sz w:val="21"/>
          <w:szCs w:val="21"/>
          <w:highlight w:val="none"/>
        </w:rPr>
        <w:t>。</w:t>
      </w:r>
    </w:p>
    <w:p w14:paraId="2196BB88">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0"/>
          <w:sz w:val="21"/>
          <w:szCs w:val="21"/>
          <w:highlight w:val="none"/>
          <w:u w:val="single"/>
          <w:lang w:eastAsia="zh-CN"/>
        </w:rPr>
      </w:pPr>
      <w:r>
        <w:rPr>
          <w:rFonts w:hint="eastAsia" w:ascii="宋体" w:hAnsi="宋体" w:eastAsia="宋体" w:cs="宋体"/>
          <w:bCs w:val="0"/>
          <w:color w:val="auto"/>
          <w:spacing w:val="0"/>
          <w:kern w:val="0"/>
          <w:sz w:val="21"/>
          <w:szCs w:val="21"/>
          <w:highlight w:val="none"/>
        </w:rPr>
        <w:t>关于项目经理每月在施工现场的时间要求：</w:t>
      </w:r>
      <w:r>
        <w:rPr>
          <w:rFonts w:hint="eastAsia" w:ascii="宋体" w:hAnsi="宋体" w:eastAsia="宋体" w:cs="宋体"/>
          <w:bCs w:val="0"/>
          <w:color w:val="auto"/>
          <w:spacing w:val="0"/>
          <w:kern w:val="0"/>
          <w:sz w:val="21"/>
          <w:szCs w:val="21"/>
          <w:highlight w:val="none"/>
          <w:u w:val="single"/>
        </w:rPr>
        <w:t>本工程要求项目经理在发包人签发开工令后进驻施工现场，并要求其本人每月不少于25天，每天不少于8小时在本工程现场工作，且必须按时参加工程例会（有事须以书面形式向发包人请假并经批准）</w:t>
      </w:r>
      <w:r>
        <w:rPr>
          <w:rFonts w:hint="eastAsia" w:ascii="宋体" w:hAnsi="宋体" w:eastAsia="宋体" w:cs="宋体"/>
          <w:bCs w:val="0"/>
          <w:color w:val="auto"/>
          <w:spacing w:val="0"/>
          <w:kern w:val="0"/>
          <w:sz w:val="21"/>
          <w:szCs w:val="21"/>
          <w:highlight w:val="none"/>
          <w:u w:val="single"/>
          <w:lang w:eastAsia="zh-CN"/>
        </w:rPr>
        <w:t>。</w:t>
      </w:r>
    </w:p>
    <w:p w14:paraId="0FAB3327">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u w:val="single"/>
        </w:rPr>
        <w:t>项目经理必须采取有效措施保证在整个施工期间，施工现场均有足够的劳动力、材料设备以保证工程顺利实施。不得因节假日、农忙影响工程施工进度</w:t>
      </w:r>
      <w:r>
        <w:rPr>
          <w:rFonts w:hint="eastAsia" w:ascii="宋体" w:hAnsi="宋体" w:eastAsia="宋体" w:cs="宋体"/>
          <w:bCs w:val="0"/>
          <w:color w:val="auto"/>
          <w:spacing w:val="0"/>
          <w:kern w:val="0"/>
          <w:sz w:val="21"/>
          <w:szCs w:val="21"/>
          <w:highlight w:val="none"/>
        </w:rPr>
        <w:t>。</w:t>
      </w:r>
    </w:p>
    <w:p w14:paraId="10C24787">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承包人未提交劳动合同，以及没有为项目经理缴纳社会保险证明的违约责任：</w:t>
      </w:r>
      <w:r>
        <w:rPr>
          <w:rFonts w:hint="eastAsia" w:ascii="宋体" w:hAnsi="宋体" w:eastAsia="宋体" w:cs="宋体"/>
          <w:bCs w:val="0"/>
          <w:color w:val="auto"/>
          <w:spacing w:val="0"/>
          <w:kern w:val="2"/>
          <w:sz w:val="21"/>
          <w:szCs w:val="21"/>
          <w:highlight w:val="none"/>
          <w:u w:val="single"/>
        </w:rPr>
        <w:t>发包人按</w:t>
      </w:r>
      <w:r>
        <w:rPr>
          <w:rFonts w:hint="eastAsia" w:ascii="宋体" w:hAnsi="宋体" w:eastAsia="宋体" w:cs="宋体"/>
          <w:bCs w:val="0"/>
          <w:color w:val="auto"/>
          <w:spacing w:val="0"/>
          <w:kern w:val="2"/>
          <w:sz w:val="21"/>
          <w:szCs w:val="21"/>
          <w:highlight w:val="none"/>
          <w:u w:val="single"/>
          <w:lang w:val="en-US" w:eastAsia="zh-CN"/>
        </w:rPr>
        <w:t>5</w:t>
      </w:r>
      <w:r>
        <w:rPr>
          <w:rFonts w:hint="eastAsia" w:ascii="宋体" w:hAnsi="宋体" w:eastAsia="宋体" w:cs="宋体"/>
          <w:bCs w:val="0"/>
          <w:color w:val="auto"/>
          <w:spacing w:val="0"/>
          <w:kern w:val="2"/>
          <w:sz w:val="21"/>
          <w:szCs w:val="21"/>
          <w:highlight w:val="none"/>
          <w:u w:val="single"/>
        </w:rPr>
        <w:t>万/次进行处罚，同时发包人有权要求更换项目经理，由此增加的费用和（或</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延迟的工期由承包人承担</w:t>
      </w:r>
      <w:r>
        <w:rPr>
          <w:rFonts w:hint="eastAsia" w:ascii="宋体" w:hAnsi="宋体" w:eastAsia="宋体" w:cs="宋体"/>
          <w:bCs w:val="0"/>
          <w:color w:val="auto"/>
          <w:spacing w:val="0"/>
          <w:kern w:val="2"/>
          <w:sz w:val="21"/>
          <w:szCs w:val="21"/>
          <w:highlight w:val="none"/>
        </w:rPr>
        <w:t>。</w:t>
      </w:r>
    </w:p>
    <w:p w14:paraId="315BFF22">
      <w:pPr>
        <w:pageBreakBefore w:val="0"/>
        <w:widowControl w:val="0"/>
        <w:tabs>
          <w:tab w:val="center" w:pos="4393"/>
          <w:tab w:val="left" w:pos="6774"/>
        </w:tabs>
        <w:kinsoku/>
        <w:wordWrap/>
        <w:overflowPunct/>
        <w:topLinePunct w:val="0"/>
        <w:bidi w:val="0"/>
        <w:snapToGrid w:val="0"/>
        <w:spacing w:line="360" w:lineRule="auto"/>
        <w:ind w:left="0" w:right="0" w:firstLine="315"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项目经理未经批准，擅自离开施工现场的违约责任：</w:t>
      </w:r>
      <w:r>
        <w:rPr>
          <w:rFonts w:hint="eastAsia" w:ascii="宋体" w:hAnsi="宋体" w:eastAsia="宋体" w:cs="宋体"/>
          <w:bCs w:val="0"/>
          <w:color w:val="auto"/>
          <w:spacing w:val="0"/>
          <w:kern w:val="2"/>
          <w:sz w:val="21"/>
          <w:szCs w:val="21"/>
          <w:highlight w:val="none"/>
          <w:u w:val="single"/>
          <w:lang w:bidi="ar"/>
        </w:rPr>
        <w:t>发包人每发现一次项目经理擅自离开施工现场的，承包人向发包人支付违约金</w:t>
      </w:r>
      <w:r>
        <w:rPr>
          <w:rFonts w:hint="eastAsia" w:ascii="宋体" w:hAnsi="宋体" w:eastAsia="宋体" w:cs="宋体"/>
          <w:bCs w:val="0"/>
          <w:color w:val="auto"/>
          <w:spacing w:val="0"/>
          <w:kern w:val="2"/>
          <w:sz w:val="21"/>
          <w:szCs w:val="21"/>
          <w:highlight w:val="none"/>
          <w:u w:val="single"/>
          <w:lang w:val="en-US" w:eastAsia="zh-CN" w:bidi="ar"/>
        </w:rPr>
        <w:t>2万</w:t>
      </w:r>
      <w:r>
        <w:rPr>
          <w:rFonts w:hint="eastAsia" w:ascii="宋体" w:hAnsi="宋体" w:eastAsia="宋体" w:cs="宋体"/>
          <w:bCs w:val="0"/>
          <w:color w:val="auto"/>
          <w:spacing w:val="0"/>
          <w:kern w:val="2"/>
          <w:sz w:val="21"/>
          <w:szCs w:val="21"/>
          <w:highlight w:val="none"/>
          <w:u w:val="single"/>
          <w:lang w:bidi="ar"/>
        </w:rPr>
        <w:t>元/</w:t>
      </w:r>
      <w:r>
        <w:rPr>
          <w:rFonts w:hint="eastAsia" w:ascii="宋体" w:hAnsi="宋体" w:eastAsia="宋体" w:cs="宋体"/>
          <w:bCs w:val="0"/>
          <w:color w:val="auto"/>
          <w:spacing w:val="0"/>
          <w:kern w:val="2"/>
          <w:sz w:val="21"/>
          <w:szCs w:val="21"/>
          <w:highlight w:val="none"/>
          <w:u w:val="single"/>
          <w:lang w:val="en-US" w:eastAsia="zh-CN" w:bidi="ar"/>
        </w:rPr>
        <w:t>次</w:t>
      </w:r>
      <w:r>
        <w:rPr>
          <w:rFonts w:hint="eastAsia" w:ascii="宋体" w:hAnsi="宋体" w:eastAsia="宋体" w:cs="宋体"/>
          <w:bCs w:val="0"/>
          <w:color w:val="auto"/>
          <w:spacing w:val="0"/>
          <w:kern w:val="2"/>
          <w:sz w:val="21"/>
          <w:szCs w:val="21"/>
          <w:highlight w:val="none"/>
          <w:u w:val="single"/>
          <w:lang w:bidi="ar"/>
        </w:rPr>
        <w:t>，累计发现五次项目经理擅自离开施工现场，视为承包人擅自更换项目经理</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发包人有权解除合同</w:t>
      </w:r>
      <w:r>
        <w:rPr>
          <w:rFonts w:hint="eastAsia" w:ascii="宋体" w:hAnsi="宋体" w:eastAsia="宋体" w:cs="宋体"/>
          <w:bCs w:val="0"/>
          <w:color w:val="auto"/>
          <w:spacing w:val="0"/>
          <w:kern w:val="0"/>
          <w:sz w:val="21"/>
          <w:szCs w:val="21"/>
          <w:highlight w:val="none"/>
          <w:u w:val="single"/>
        </w:rPr>
        <w:t>。</w:t>
      </w:r>
    </w:p>
    <w:p w14:paraId="71B0AB32">
      <w:pPr>
        <w:pageBreakBefore w:val="0"/>
        <w:widowControl w:val="0"/>
        <w:tabs>
          <w:tab w:val="center" w:pos="4393"/>
          <w:tab w:val="left" w:pos="6774"/>
        </w:tabs>
        <w:kinsoku/>
        <w:wordWrap/>
        <w:overflowPunct/>
        <w:topLinePunct w:val="0"/>
        <w:bidi w:val="0"/>
        <w:snapToGrid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3.2.3 承包人擅自更换项目经理的违约责任：</w:t>
      </w:r>
      <w:r>
        <w:rPr>
          <w:rFonts w:hint="eastAsia" w:ascii="宋体" w:hAnsi="宋体" w:eastAsia="宋体" w:cs="宋体"/>
          <w:bCs w:val="0"/>
          <w:color w:val="auto"/>
          <w:spacing w:val="0"/>
          <w:kern w:val="2"/>
          <w:sz w:val="21"/>
          <w:szCs w:val="21"/>
          <w:highlight w:val="none"/>
          <w:u w:val="single"/>
          <w:lang w:bidi="ar"/>
        </w:rPr>
        <w:t>若承包人擅自更换项目经理，发包人扣除承包人的全部履约保证金，同时要求承包人更换后的项目经理资质等级、业绩不低于原项目经理</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发包人有权解除合同</w:t>
      </w:r>
      <w:r>
        <w:rPr>
          <w:rFonts w:hint="eastAsia" w:ascii="宋体" w:hAnsi="宋体" w:eastAsia="宋体" w:cs="宋体"/>
          <w:bCs w:val="0"/>
          <w:color w:val="auto"/>
          <w:spacing w:val="0"/>
          <w:kern w:val="0"/>
          <w:sz w:val="21"/>
          <w:szCs w:val="21"/>
          <w:highlight w:val="none"/>
          <w:u w:val="single"/>
        </w:rPr>
        <w:t>。</w:t>
      </w:r>
    </w:p>
    <w:p w14:paraId="4A3A898D">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0"/>
          <w:sz w:val="21"/>
          <w:szCs w:val="21"/>
          <w:highlight w:val="none"/>
          <w:u w:val="single"/>
        </w:rPr>
      </w:pPr>
      <w:r>
        <w:rPr>
          <w:rFonts w:hint="eastAsia" w:ascii="宋体" w:hAnsi="宋体" w:eastAsia="宋体" w:cs="宋体"/>
          <w:bCs w:val="0"/>
          <w:color w:val="auto"/>
          <w:spacing w:val="0"/>
          <w:kern w:val="2"/>
          <w:sz w:val="21"/>
          <w:szCs w:val="21"/>
          <w:highlight w:val="none"/>
        </w:rPr>
        <w:t xml:space="preserve"> 3.2.4 承包人无正当理由拒绝更换项目经理的违约责任</w:t>
      </w:r>
      <w:r>
        <w:rPr>
          <w:rFonts w:hint="eastAsia" w:ascii="宋体" w:hAnsi="宋体" w:eastAsia="宋体" w:cs="宋体"/>
          <w:bCs w:val="0"/>
          <w:color w:val="auto"/>
          <w:spacing w:val="0"/>
          <w:kern w:val="0"/>
          <w:sz w:val="21"/>
          <w:szCs w:val="21"/>
          <w:highlight w:val="none"/>
        </w:rPr>
        <w:t>：</w:t>
      </w:r>
      <w:r>
        <w:rPr>
          <w:rFonts w:hint="eastAsia" w:ascii="宋体" w:hAnsi="宋体" w:eastAsia="宋体" w:cs="宋体"/>
          <w:bCs w:val="0"/>
          <w:color w:val="auto"/>
          <w:spacing w:val="0"/>
          <w:kern w:val="0"/>
          <w:sz w:val="21"/>
          <w:szCs w:val="21"/>
          <w:highlight w:val="none"/>
          <w:u w:val="single"/>
        </w:rPr>
        <w:t>除应改正外，还应向发包人支付违约金3万元，并承担因此给发包人造成的一切损失。</w:t>
      </w:r>
    </w:p>
    <w:p w14:paraId="0FB1B90D">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0" w:firstLineChars="0"/>
        <w:jc w:val="both"/>
        <w:textAlignment w:val="auto"/>
        <w:rPr>
          <w:rFonts w:hint="eastAsia" w:ascii="宋体" w:hAnsi="宋体" w:eastAsia="宋体" w:cs="宋体"/>
          <w:bCs w:val="0"/>
          <w:color w:val="auto"/>
          <w:spacing w:val="0"/>
          <w:kern w:val="2"/>
          <w:sz w:val="21"/>
          <w:szCs w:val="21"/>
          <w:highlight w:val="none"/>
          <w:u w:val="single"/>
          <w:lang w:val="en-US" w:eastAsia="zh-CN" w:bidi="ar"/>
        </w:rPr>
      </w:pPr>
      <w:r>
        <w:rPr>
          <w:rFonts w:hint="eastAsia" w:ascii="宋体" w:hAnsi="宋体" w:eastAsia="宋体" w:cs="宋体"/>
          <w:bCs w:val="0"/>
          <w:color w:val="auto"/>
          <w:spacing w:val="0"/>
          <w:kern w:val="2"/>
          <w:sz w:val="21"/>
          <w:szCs w:val="21"/>
          <w:highlight w:val="none"/>
          <w:lang w:val="en-US" w:eastAsia="zh-CN" w:bidi="ar"/>
        </w:rPr>
        <w:t>3.2.5 发包人认为项目经理不能胜任本项目工作要求的，要求承包人更换项目经理的：</w:t>
      </w:r>
      <w:r>
        <w:rPr>
          <w:rFonts w:hint="eastAsia" w:ascii="宋体" w:hAnsi="宋体" w:eastAsia="宋体" w:cs="宋体"/>
          <w:bCs w:val="0"/>
          <w:color w:val="auto"/>
          <w:spacing w:val="0"/>
          <w:kern w:val="2"/>
          <w:sz w:val="21"/>
          <w:szCs w:val="21"/>
          <w:highlight w:val="none"/>
          <w:u w:val="single"/>
          <w:lang w:val="en-US" w:eastAsia="zh-CN" w:bidi="ar"/>
        </w:rPr>
        <w:t>承包人应当按要求更换（</w:t>
      </w:r>
      <w:r>
        <w:rPr>
          <w:rFonts w:hint="eastAsia" w:ascii="宋体" w:hAnsi="宋体" w:eastAsia="宋体" w:cs="宋体"/>
          <w:bCs w:val="0"/>
          <w:color w:val="auto"/>
          <w:spacing w:val="0"/>
          <w:kern w:val="2"/>
          <w:sz w:val="21"/>
          <w:szCs w:val="21"/>
          <w:highlight w:val="none"/>
          <w:u w:val="single"/>
          <w:lang w:bidi="ar"/>
        </w:rPr>
        <w:t>更换后的项目经理资质等级、业绩不低于原项目经理</w:t>
      </w:r>
      <w:r>
        <w:rPr>
          <w:rFonts w:hint="eastAsia" w:ascii="宋体" w:hAnsi="宋体" w:eastAsia="宋体" w:cs="宋体"/>
          <w:bCs w:val="0"/>
          <w:color w:val="auto"/>
          <w:spacing w:val="0"/>
          <w:kern w:val="2"/>
          <w:sz w:val="21"/>
          <w:szCs w:val="21"/>
          <w:highlight w:val="none"/>
          <w:u w:val="single"/>
          <w:lang w:val="en-US" w:eastAsia="zh-CN" w:bidi="ar"/>
        </w:rPr>
        <w:t>），并</w:t>
      </w:r>
      <w:r>
        <w:rPr>
          <w:rFonts w:hint="eastAsia" w:ascii="宋体" w:hAnsi="宋体" w:eastAsia="宋体" w:cs="宋体"/>
          <w:bCs w:val="0"/>
          <w:color w:val="auto"/>
          <w:spacing w:val="0"/>
          <w:kern w:val="2"/>
          <w:sz w:val="21"/>
          <w:szCs w:val="21"/>
          <w:highlight w:val="none"/>
          <w:u w:val="single"/>
          <w:lang w:bidi="ar"/>
        </w:rPr>
        <w:t>向发包人支付违约金</w:t>
      </w:r>
      <w:r>
        <w:rPr>
          <w:rFonts w:hint="eastAsia" w:ascii="宋体" w:hAnsi="宋体" w:eastAsia="宋体" w:cs="宋体"/>
          <w:bCs w:val="0"/>
          <w:color w:val="auto"/>
          <w:spacing w:val="0"/>
          <w:kern w:val="2"/>
          <w:sz w:val="21"/>
          <w:szCs w:val="21"/>
          <w:highlight w:val="none"/>
          <w:u w:val="single"/>
          <w:lang w:val="en-US" w:eastAsia="zh-CN" w:bidi="ar"/>
        </w:rPr>
        <w:t>3万</w:t>
      </w:r>
      <w:r>
        <w:rPr>
          <w:rFonts w:hint="eastAsia" w:ascii="宋体" w:hAnsi="宋体" w:eastAsia="宋体" w:cs="宋体"/>
          <w:bCs w:val="0"/>
          <w:color w:val="auto"/>
          <w:spacing w:val="0"/>
          <w:kern w:val="2"/>
          <w:sz w:val="21"/>
          <w:szCs w:val="21"/>
          <w:highlight w:val="none"/>
          <w:u w:val="single"/>
          <w:lang w:bidi="ar"/>
        </w:rPr>
        <w:t>元</w:t>
      </w:r>
      <w:r>
        <w:rPr>
          <w:rFonts w:hint="eastAsia" w:ascii="宋体" w:hAnsi="宋体" w:eastAsia="宋体" w:cs="宋体"/>
          <w:bCs w:val="0"/>
          <w:color w:val="auto"/>
          <w:spacing w:val="0"/>
          <w:kern w:val="2"/>
          <w:sz w:val="21"/>
          <w:szCs w:val="21"/>
          <w:highlight w:val="none"/>
          <w:u w:val="single"/>
          <w:lang w:val="en-US" w:eastAsia="zh-CN" w:bidi="ar"/>
        </w:rPr>
        <w:t>/次。</w:t>
      </w:r>
    </w:p>
    <w:p w14:paraId="11FB1CE0">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3.3</w:t>
      </w:r>
      <w:r>
        <w:rPr>
          <w:rFonts w:hint="eastAsia" w:ascii="宋体" w:hAnsi="宋体" w:eastAsia="宋体" w:cs="宋体"/>
          <w:b/>
          <w:bCs w:val="0"/>
          <w:color w:val="auto"/>
          <w:spacing w:val="0"/>
          <w:kern w:val="2"/>
          <w:sz w:val="21"/>
          <w:szCs w:val="21"/>
          <w:highlight w:val="none"/>
        </w:rPr>
        <w:t>项目管理团队</w:t>
      </w:r>
    </w:p>
    <w:p w14:paraId="335B3B53">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技术负责人：</w:t>
      </w:r>
    </w:p>
    <w:p w14:paraId="21157920">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姓    名：</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022E6D72">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身份证号：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3F9C1503">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注册（执业）证书名称及号码：</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46140EE9">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联系电话：</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74B52927">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施工员：</w:t>
      </w:r>
    </w:p>
    <w:p w14:paraId="32A6E59B">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姓    名：</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1864B804">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身份证号：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2845B83A">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施工员证书号：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21258FEA">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联系电话：</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4C7DAEB9">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质监员：</w:t>
      </w:r>
    </w:p>
    <w:p w14:paraId="2D4E2C7B">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姓    名：</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300E1956">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身份证号：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10430CFE">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质监员证书号：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5B487B8">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联系电话：</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1E95795D">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安全员：</w:t>
      </w:r>
    </w:p>
    <w:p w14:paraId="0CC406DF">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姓    名：</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56808312">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身份证号：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04A53347">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安全员证书号：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46EA243C">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联系电话：</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0DA9707F">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其它</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396C546C">
      <w:pPr>
        <w:pageBreakBefore w:val="0"/>
        <w:widowControl w:val="0"/>
        <w:tabs>
          <w:tab w:val="center" w:pos="4393"/>
          <w:tab w:val="left" w:pos="6774"/>
        </w:tabs>
        <w:kinsoku/>
        <w:wordWrap/>
        <w:overflowPunct/>
        <w:topLinePunct w:val="0"/>
        <w:bidi w:val="0"/>
        <w:spacing w:line="360" w:lineRule="auto"/>
        <w:ind w:left="0" w:right="0" w:firstLine="422" w:firstLineChars="200"/>
        <w:jc w:val="both"/>
        <w:rPr>
          <w:rFonts w:hint="eastAsia" w:ascii="宋体" w:hAnsi="宋体" w:eastAsia="宋体" w:cs="宋体"/>
          <w:b/>
          <w:bCs w:val="0"/>
          <w:color w:val="auto"/>
          <w:spacing w:val="0"/>
          <w:kern w:val="2"/>
          <w:sz w:val="21"/>
          <w:szCs w:val="21"/>
          <w:highlight w:val="none"/>
          <w:lang w:bidi="ar"/>
        </w:rPr>
      </w:pPr>
      <w:r>
        <w:rPr>
          <w:rFonts w:hint="eastAsia" w:ascii="宋体" w:hAnsi="宋体" w:eastAsia="宋体" w:cs="宋体"/>
          <w:b/>
          <w:bCs w:val="0"/>
          <w:color w:val="auto"/>
          <w:spacing w:val="0"/>
          <w:kern w:val="2"/>
          <w:sz w:val="21"/>
          <w:szCs w:val="21"/>
          <w:highlight w:val="none"/>
          <w:lang w:bidi="ar"/>
        </w:rPr>
        <w:t>开工前承包人应在施工现场安装生物识别网络管理系统，发包人依据合同约定条款对项目负责人等项目组成员加强履约管理。</w:t>
      </w:r>
    </w:p>
    <w:p w14:paraId="60F55E4A">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3.3.1 承包人提交项目管理机构及施工现场管理人员安排报告的期限：</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bidi="ar"/>
        </w:rPr>
        <w:t>接到开工令3天内</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326FCF2">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3.3.3 承包人无正当理由拒绝撤换主要施工管理人员的违约责任：</w:t>
      </w:r>
      <w:r>
        <w:rPr>
          <w:rFonts w:hint="eastAsia" w:ascii="宋体" w:hAnsi="宋体" w:eastAsia="宋体" w:cs="宋体"/>
          <w:bCs w:val="0"/>
          <w:color w:val="auto"/>
          <w:spacing w:val="0"/>
          <w:kern w:val="2"/>
          <w:sz w:val="21"/>
          <w:szCs w:val="21"/>
          <w:highlight w:val="none"/>
          <w:u w:val="single"/>
          <w:lang w:bidi="ar"/>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eastAsia="宋体" w:cs="宋体"/>
          <w:bCs w:val="0"/>
          <w:color w:val="auto"/>
          <w:spacing w:val="0"/>
          <w:kern w:val="2"/>
          <w:sz w:val="21"/>
          <w:szCs w:val="21"/>
          <w:highlight w:val="none"/>
          <w:u w:val="single"/>
          <w:lang w:val="en-US" w:eastAsia="zh-CN" w:bidi="ar"/>
        </w:rPr>
        <w:t>2万</w:t>
      </w:r>
      <w:r>
        <w:rPr>
          <w:rFonts w:hint="eastAsia" w:ascii="宋体" w:hAnsi="宋体" w:eastAsia="宋体" w:cs="宋体"/>
          <w:bCs w:val="0"/>
          <w:color w:val="auto"/>
          <w:spacing w:val="0"/>
          <w:kern w:val="2"/>
          <w:sz w:val="21"/>
          <w:szCs w:val="21"/>
          <w:highlight w:val="none"/>
          <w:u w:val="single"/>
          <w:lang w:bidi="ar"/>
        </w:rPr>
        <w:t>元/人</w:t>
      </w:r>
      <w:r>
        <w:rPr>
          <w:rFonts w:hint="eastAsia" w:ascii="宋体" w:hAnsi="宋体" w:eastAsia="宋体" w:cs="宋体"/>
          <w:bCs w:val="0"/>
          <w:color w:val="auto"/>
          <w:spacing w:val="0"/>
          <w:kern w:val="2"/>
          <w:sz w:val="21"/>
          <w:szCs w:val="21"/>
          <w:highlight w:val="none"/>
          <w:lang w:bidi="ar"/>
        </w:rPr>
        <w:t>。</w:t>
      </w:r>
    </w:p>
    <w:p w14:paraId="048E8C02">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3.3.4 承包人主要施工管理人员离开施工现场的批准要求：</w:t>
      </w:r>
      <w:r>
        <w:rPr>
          <w:rFonts w:hint="eastAsia" w:ascii="宋体" w:hAnsi="宋体" w:eastAsia="宋体" w:cs="宋体"/>
          <w:bCs w:val="0"/>
          <w:color w:val="auto"/>
          <w:spacing w:val="0"/>
          <w:kern w:val="2"/>
          <w:sz w:val="21"/>
          <w:szCs w:val="21"/>
          <w:highlight w:val="none"/>
          <w:u w:val="single"/>
          <w:lang w:bidi="ar"/>
        </w:rPr>
        <w:t>应提前1天书面通知监理人，并征得发包人书面同意</w:t>
      </w:r>
      <w:r>
        <w:rPr>
          <w:rFonts w:hint="eastAsia" w:ascii="宋体" w:hAnsi="宋体" w:eastAsia="宋体" w:cs="宋体"/>
          <w:bCs w:val="0"/>
          <w:color w:val="auto"/>
          <w:spacing w:val="0"/>
          <w:kern w:val="2"/>
          <w:sz w:val="21"/>
          <w:szCs w:val="21"/>
          <w:highlight w:val="none"/>
          <w:u w:val="single"/>
        </w:rPr>
        <w:t>。</w:t>
      </w:r>
    </w:p>
    <w:p w14:paraId="042E2D55">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3.3.5承包人擅自更换主要施工管理人员的违约责任：</w:t>
      </w:r>
      <w:r>
        <w:rPr>
          <w:rFonts w:hint="eastAsia" w:ascii="宋体" w:hAnsi="宋体" w:eastAsia="宋体" w:cs="宋体"/>
          <w:bCs w:val="0"/>
          <w:color w:val="auto"/>
          <w:spacing w:val="0"/>
          <w:kern w:val="2"/>
          <w:sz w:val="21"/>
          <w:szCs w:val="21"/>
          <w:highlight w:val="none"/>
          <w:u w:val="single"/>
          <w:lang w:bidi="ar"/>
        </w:rPr>
        <w:t>若承包人擅自更换主要施工管理人员，发包人</w:t>
      </w:r>
      <w:r>
        <w:rPr>
          <w:rFonts w:hint="eastAsia" w:ascii="宋体" w:hAnsi="宋体" w:eastAsia="宋体" w:cs="宋体"/>
          <w:bCs w:val="0"/>
          <w:color w:val="auto"/>
          <w:spacing w:val="0"/>
          <w:kern w:val="2"/>
          <w:sz w:val="21"/>
          <w:szCs w:val="21"/>
          <w:highlight w:val="none"/>
          <w:u w:val="single"/>
          <w:lang w:eastAsia="zh-CN" w:bidi="ar"/>
        </w:rPr>
        <w:t>有权从进度款中</w:t>
      </w:r>
      <w:r>
        <w:rPr>
          <w:rFonts w:hint="eastAsia" w:ascii="宋体" w:hAnsi="宋体" w:eastAsia="宋体" w:cs="宋体"/>
          <w:bCs w:val="0"/>
          <w:color w:val="auto"/>
          <w:spacing w:val="0"/>
          <w:kern w:val="2"/>
          <w:sz w:val="21"/>
          <w:szCs w:val="21"/>
          <w:highlight w:val="none"/>
          <w:u w:val="single"/>
          <w:lang w:bidi="ar"/>
        </w:rPr>
        <w:t>扣除承包人的20%履约保证金</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同时要求承包人更换后的主要施工管理人员资质等级、业绩不低于原主要施工管理人员，否则扣除承包人的全部履约保证金</w:t>
      </w:r>
      <w:r>
        <w:rPr>
          <w:rFonts w:hint="eastAsia" w:ascii="宋体" w:hAnsi="宋体" w:eastAsia="宋体" w:cs="宋体"/>
          <w:bCs w:val="0"/>
          <w:color w:val="auto"/>
          <w:spacing w:val="0"/>
          <w:kern w:val="2"/>
          <w:sz w:val="21"/>
          <w:szCs w:val="21"/>
          <w:highlight w:val="none"/>
          <w:u w:val="single"/>
        </w:rPr>
        <w:t>。</w:t>
      </w:r>
    </w:p>
    <w:p w14:paraId="6F3E3615">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rPr>
        <w:t>承包人主要施工管理人员擅自离开施工现场的违约责任：</w:t>
      </w:r>
      <w:r>
        <w:rPr>
          <w:rFonts w:hint="eastAsia" w:ascii="宋体" w:hAnsi="宋体" w:eastAsia="宋体" w:cs="宋体"/>
          <w:bCs w:val="0"/>
          <w:color w:val="auto"/>
          <w:spacing w:val="0"/>
          <w:kern w:val="2"/>
          <w:sz w:val="21"/>
          <w:szCs w:val="21"/>
          <w:highlight w:val="none"/>
          <w:u w:val="single"/>
          <w:lang w:bidi="ar"/>
        </w:rPr>
        <w:t>发包人每发现一次主要施工管理人员擅自离开施工现场的，承包人向发包人支付违约金</w:t>
      </w:r>
      <w:r>
        <w:rPr>
          <w:rFonts w:hint="eastAsia" w:ascii="宋体" w:hAnsi="宋体" w:eastAsia="宋体" w:cs="宋体"/>
          <w:bCs w:val="0"/>
          <w:color w:val="auto"/>
          <w:spacing w:val="0"/>
          <w:kern w:val="2"/>
          <w:sz w:val="21"/>
          <w:szCs w:val="21"/>
          <w:highlight w:val="none"/>
          <w:u w:val="single"/>
          <w:lang w:val="en-US" w:eastAsia="zh-CN" w:bidi="ar"/>
        </w:rPr>
        <w:t>1万</w:t>
      </w:r>
      <w:r>
        <w:rPr>
          <w:rFonts w:hint="eastAsia" w:ascii="宋体" w:hAnsi="宋体" w:eastAsia="宋体" w:cs="宋体"/>
          <w:bCs w:val="0"/>
          <w:color w:val="auto"/>
          <w:spacing w:val="0"/>
          <w:kern w:val="2"/>
          <w:sz w:val="21"/>
          <w:szCs w:val="21"/>
          <w:highlight w:val="none"/>
          <w:u w:val="single"/>
          <w:lang w:bidi="ar"/>
        </w:rPr>
        <w:t>元，累计发现</w:t>
      </w:r>
      <w:r>
        <w:rPr>
          <w:rFonts w:hint="eastAsia" w:ascii="宋体" w:hAnsi="宋体" w:eastAsia="宋体" w:cs="宋体"/>
          <w:bCs w:val="0"/>
          <w:color w:val="auto"/>
          <w:spacing w:val="0"/>
          <w:kern w:val="2"/>
          <w:sz w:val="21"/>
          <w:szCs w:val="21"/>
          <w:highlight w:val="none"/>
          <w:u w:val="single"/>
          <w:lang w:val="en-US" w:eastAsia="zh-CN" w:bidi="ar"/>
        </w:rPr>
        <w:t>5</w:t>
      </w:r>
      <w:r>
        <w:rPr>
          <w:rFonts w:hint="eastAsia" w:ascii="宋体" w:hAnsi="宋体" w:eastAsia="宋体" w:cs="宋体"/>
          <w:bCs w:val="0"/>
          <w:color w:val="auto"/>
          <w:spacing w:val="0"/>
          <w:kern w:val="2"/>
          <w:sz w:val="21"/>
          <w:szCs w:val="21"/>
          <w:highlight w:val="none"/>
          <w:u w:val="single"/>
          <w:lang w:bidi="ar"/>
        </w:rPr>
        <w:t>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承包人向发包人支付违约金</w:t>
      </w:r>
      <w:r>
        <w:rPr>
          <w:rFonts w:hint="eastAsia" w:ascii="宋体" w:hAnsi="宋体" w:eastAsia="宋体" w:cs="宋体"/>
          <w:bCs w:val="0"/>
          <w:color w:val="auto"/>
          <w:spacing w:val="0"/>
          <w:kern w:val="2"/>
          <w:sz w:val="21"/>
          <w:szCs w:val="21"/>
          <w:highlight w:val="none"/>
          <w:u w:val="single"/>
          <w:lang w:val="en-US" w:eastAsia="zh-CN" w:bidi="ar"/>
        </w:rPr>
        <w:t>1万</w:t>
      </w:r>
      <w:r>
        <w:rPr>
          <w:rFonts w:hint="eastAsia" w:ascii="宋体" w:hAnsi="宋体" w:eastAsia="宋体" w:cs="宋体"/>
          <w:bCs w:val="0"/>
          <w:color w:val="auto"/>
          <w:spacing w:val="0"/>
          <w:kern w:val="2"/>
          <w:sz w:val="21"/>
          <w:szCs w:val="21"/>
          <w:highlight w:val="none"/>
          <w:u w:val="single"/>
          <w:lang w:bidi="ar"/>
        </w:rPr>
        <w:t>元/人·次）</w:t>
      </w:r>
      <w:r>
        <w:rPr>
          <w:rFonts w:hint="eastAsia" w:ascii="宋体" w:hAnsi="宋体" w:eastAsia="宋体" w:cs="宋体"/>
          <w:bCs w:val="0"/>
          <w:color w:val="auto"/>
          <w:spacing w:val="0"/>
          <w:kern w:val="2"/>
          <w:sz w:val="21"/>
          <w:szCs w:val="21"/>
          <w:highlight w:val="none"/>
          <w:u w:val="single"/>
        </w:rPr>
        <w:t>。</w:t>
      </w:r>
    </w:p>
    <w:p w14:paraId="306FDE88">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3.5 分包</w:t>
      </w:r>
    </w:p>
    <w:p w14:paraId="1388CB45">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3.5.1 分包的一般约定</w:t>
      </w:r>
    </w:p>
    <w:p w14:paraId="524A1AE4">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    禁止分包的工程包括：</w:t>
      </w:r>
      <w:r>
        <w:rPr>
          <w:rFonts w:hint="eastAsia" w:ascii="宋体" w:hAnsi="宋体" w:eastAsia="宋体" w:cs="宋体"/>
          <w:bCs w:val="0"/>
          <w:color w:val="auto"/>
          <w:spacing w:val="0"/>
          <w:kern w:val="2"/>
          <w:sz w:val="21"/>
          <w:szCs w:val="21"/>
          <w:highlight w:val="none"/>
          <w:u w:val="single"/>
        </w:rPr>
        <w:t>未经发包人同意，本工程不允许分包</w:t>
      </w:r>
      <w:r>
        <w:rPr>
          <w:rFonts w:hint="eastAsia" w:ascii="宋体" w:hAnsi="宋体" w:eastAsia="宋体" w:cs="宋体"/>
          <w:bCs w:val="0"/>
          <w:color w:val="auto"/>
          <w:spacing w:val="0"/>
          <w:kern w:val="2"/>
          <w:sz w:val="21"/>
          <w:szCs w:val="21"/>
          <w:highlight w:val="none"/>
        </w:rPr>
        <w:t>。</w:t>
      </w:r>
    </w:p>
    <w:p w14:paraId="62CF55E4">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主体结构、关键性工作的范围：</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48C3E501">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 3.5.2分包的确定</w:t>
      </w:r>
    </w:p>
    <w:p w14:paraId="78E88BB1">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允许分包的专业工程包括：</w:t>
      </w:r>
      <w:r>
        <w:rPr>
          <w:rFonts w:hint="eastAsia" w:ascii="宋体" w:hAnsi="宋体" w:eastAsia="宋体" w:cs="宋体"/>
          <w:bCs w:val="0"/>
          <w:color w:val="auto"/>
          <w:spacing w:val="0"/>
          <w:kern w:val="2"/>
          <w:sz w:val="21"/>
          <w:szCs w:val="21"/>
          <w:highlight w:val="none"/>
          <w:u w:val="single"/>
        </w:rPr>
        <w:t>发包人有权决定分包内容</w:t>
      </w:r>
      <w:r>
        <w:rPr>
          <w:rFonts w:hint="eastAsia" w:ascii="宋体" w:hAnsi="宋体" w:eastAsia="宋体" w:cs="宋体"/>
          <w:bCs w:val="0"/>
          <w:color w:val="auto"/>
          <w:spacing w:val="0"/>
          <w:kern w:val="2"/>
          <w:sz w:val="21"/>
          <w:szCs w:val="21"/>
          <w:highlight w:val="none"/>
        </w:rPr>
        <w:t>。</w:t>
      </w:r>
    </w:p>
    <w:p w14:paraId="0A183246">
      <w:pPr>
        <w:widowControl w:val="0"/>
        <w:spacing w:line="360" w:lineRule="auto"/>
        <w:jc w:val="left"/>
        <w:rPr>
          <w:rFonts w:hint="eastAsia" w:ascii="宋体" w:hAnsi="宋体" w:eastAsia="宋体" w:cs="宋体"/>
          <w:bCs w:val="0"/>
          <w:color w:val="auto"/>
          <w:spacing w:val="0"/>
          <w:kern w:val="2"/>
          <w:sz w:val="21"/>
          <w:szCs w:val="21"/>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其他关于分包的约定：</w:t>
      </w:r>
      <w:r>
        <w:rPr>
          <w:rFonts w:hint="eastAsia" w:ascii="宋体" w:hAnsi="宋体" w:eastAsia="宋体" w:cs="宋体"/>
          <w:bCs w:val="0"/>
          <w:color w:val="auto"/>
          <w:spacing w:val="0"/>
          <w:kern w:val="2"/>
          <w:sz w:val="21"/>
          <w:szCs w:val="21"/>
          <w:highlight w:val="none"/>
          <w:u w:val="single"/>
          <w:lang w:val="en-US" w:eastAsia="zh-CN" w:bidi="ar"/>
        </w:rPr>
        <w:t>主体结构、关键性工作不得分包，其他工程如需分包，需在投标文件中说明，在工程实施过程中必须经发包人同意后才能实施，承包方对分包承担连带责任</w:t>
      </w:r>
      <w:r>
        <w:rPr>
          <w:rFonts w:hint="eastAsia" w:ascii="宋体" w:hAnsi="宋体" w:eastAsia="宋体" w:cs="宋体"/>
          <w:bCs w:val="0"/>
          <w:color w:val="auto"/>
          <w:spacing w:val="0"/>
          <w:kern w:val="2"/>
          <w:sz w:val="21"/>
          <w:szCs w:val="21"/>
          <w:highlight w:val="none"/>
          <w:lang w:val="en-US" w:eastAsia="zh-CN" w:bidi="ar-SA"/>
        </w:rPr>
        <w:t>。</w:t>
      </w:r>
    </w:p>
    <w:p w14:paraId="455D909B">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3.5.4 分包合同价款</w:t>
      </w:r>
    </w:p>
    <w:p w14:paraId="223CBC72">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关于分包合同价款支付的约定：</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按发包人要求执行</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39F814A3">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3.6 工程照管与成品、半成品保护</w:t>
      </w:r>
    </w:p>
    <w:p w14:paraId="7898EA67">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承包人负责照管工程及工程相关的材料、工程设备的起始时间：</w:t>
      </w:r>
      <w:r>
        <w:rPr>
          <w:rFonts w:hint="eastAsia" w:ascii="宋体" w:hAnsi="宋体" w:eastAsia="宋体" w:cs="宋体"/>
          <w:bCs w:val="0"/>
          <w:color w:val="auto"/>
          <w:spacing w:val="0"/>
          <w:kern w:val="0"/>
          <w:sz w:val="21"/>
          <w:szCs w:val="21"/>
          <w:highlight w:val="none"/>
          <w:u w:val="single"/>
        </w:rPr>
        <w:t>设备、人员进场至工程竣工验收交付使用前由承包人负责保管和维修，无其它特殊要求的，费用由承包人承担</w:t>
      </w:r>
      <w:r>
        <w:rPr>
          <w:rFonts w:hint="eastAsia" w:ascii="宋体" w:hAnsi="宋体" w:eastAsia="宋体" w:cs="宋体"/>
          <w:bCs w:val="0"/>
          <w:color w:val="auto"/>
          <w:spacing w:val="0"/>
          <w:kern w:val="0"/>
          <w:sz w:val="21"/>
          <w:szCs w:val="21"/>
          <w:highlight w:val="none"/>
        </w:rPr>
        <w:t>。</w:t>
      </w:r>
    </w:p>
    <w:p w14:paraId="45931E1F">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3.7 履约担保</w:t>
      </w:r>
    </w:p>
    <w:p w14:paraId="51A3FC2C">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lang w:eastAsia="zh-CN"/>
        </w:rPr>
      </w:pPr>
      <w:r>
        <w:rPr>
          <w:rFonts w:hint="eastAsia" w:ascii="宋体" w:hAnsi="宋体" w:eastAsia="宋体" w:cs="宋体"/>
          <w:bCs w:val="0"/>
          <w:color w:val="auto"/>
          <w:spacing w:val="0"/>
          <w:kern w:val="2"/>
          <w:sz w:val="21"/>
          <w:szCs w:val="21"/>
          <w:highlight w:val="none"/>
        </w:rPr>
        <w:t>承包人是否提供履约担保：</w:t>
      </w:r>
      <w:r>
        <w:rPr>
          <w:rFonts w:hint="eastAsia" w:ascii="宋体" w:hAnsi="宋体" w:eastAsia="宋体" w:cs="宋体"/>
          <w:bCs w:val="0"/>
          <w:color w:val="auto"/>
          <w:spacing w:val="0"/>
          <w:kern w:val="2"/>
          <w:sz w:val="21"/>
          <w:szCs w:val="21"/>
          <w:highlight w:val="none"/>
          <w:u w:val="single"/>
        </w:rPr>
        <w:t xml:space="preserve">  是  </w:t>
      </w:r>
      <w:r>
        <w:rPr>
          <w:rFonts w:hint="eastAsia" w:ascii="宋体" w:hAnsi="宋体" w:eastAsia="宋体" w:cs="宋体"/>
          <w:bCs w:val="0"/>
          <w:color w:val="auto"/>
          <w:spacing w:val="0"/>
          <w:kern w:val="2"/>
          <w:sz w:val="21"/>
          <w:szCs w:val="21"/>
          <w:highlight w:val="none"/>
          <w:u w:val="none"/>
          <w:lang w:eastAsia="zh-CN"/>
        </w:rPr>
        <w:t>；</w:t>
      </w:r>
    </w:p>
    <w:p w14:paraId="2D7DA71F">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u w:val="single"/>
          <w:lang w:eastAsia="zh-CN"/>
        </w:rPr>
      </w:pPr>
      <w:r>
        <w:rPr>
          <w:rFonts w:hint="eastAsia" w:ascii="宋体" w:hAnsi="宋体" w:eastAsia="宋体" w:cs="宋体"/>
          <w:bCs w:val="0"/>
          <w:color w:val="auto"/>
          <w:spacing w:val="0"/>
          <w:kern w:val="2"/>
          <w:sz w:val="21"/>
          <w:szCs w:val="21"/>
          <w:highlight w:val="none"/>
          <w:u w:val="none"/>
        </w:rPr>
        <w:t>履约保证金的形式：</w:t>
      </w:r>
      <w:r>
        <w:rPr>
          <w:rFonts w:hint="eastAsia" w:ascii="宋体" w:hAnsi="宋体" w:eastAsia="宋体" w:cs="宋体"/>
          <w:bCs w:val="0"/>
          <w:color w:val="auto"/>
          <w:spacing w:val="0"/>
          <w:kern w:val="2"/>
          <w:sz w:val="21"/>
          <w:szCs w:val="21"/>
          <w:highlight w:val="none"/>
          <w:u w:val="single"/>
        </w:rPr>
        <w:t>履约保证金可采用现金、转账或者银行履约保函</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必须为企业基本户开户银行出具</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的形式</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lang w:eastAsia="zh-CN"/>
        </w:rPr>
        <w:t>；</w:t>
      </w:r>
    </w:p>
    <w:p w14:paraId="1CF3D60D">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u w:val="single"/>
          <w:lang w:eastAsia="zh-CN"/>
        </w:rPr>
      </w:pPr>
      <w:r>
        <w:rPr>
          <w:rFonts w:hint="eastAsia" w:ascii="宋体" w:hAnsi="宋体" w:eastAsia="宋体" w:cs="宋体"/>
          <w:bCs w:val="0"/>
          <w:color w:val="auto"/>
          <w:spacing w:val="0"/>
          <w:kern w:val="2"/>
          <w:sz w:val="21"/>
          <w:szCs w:val="21"/>
          <w:highlight w:val="none"/>
          <w:u w:val="none"/>
        </w:rPr>
        <w:t>金额及期限：</w:t>
      </w:r>
      <w:r>
        <w:rPr>
          <w:rFonts w:hint="eastAsia" w:ascii="宋体" w:hAnsi="宋体" w:eastAsia="宋体" w:cs="宋体"/>
          <w:bCs w:val="0"/>
          <w:color w:val="auto"/>
          <w:spacing w:val="0"/>
          <w:kern w:val="2"/>
          <w:sz w:val="21"/>
          <w:szCs w:val="21"/>
          <w:highlight w:val="none"/>
          <w:u w:val="single"/>
          <w:lang w:val="en-US" w:eastAsia="zh-CN"/>
        </w:rPr>
        <w:t>承包人</w:t>
      </w:r>
      <w:r>
        <w:rPr>
          <w:rFonts w:hint="eastAsia" w:ascii="宋体" w:hAnsi="宋体" w:eastAsia="宋体" w:cs="宋体"/>
          <w:bCs w:val="0"/>
          <w:color w:val="auto"/>
          <w:spacing w:val="0"/>
          <w:kern w:val="2"/>
          <w:sz w:val="21"/>
          <w:szCs w:val="21"/>
          <w:highlight w:val="none"/>
          <w:u w:val="single"/>
        </w:rPr>
        <w:t>应在中标公告发布后次日</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以首个工作日开始计算</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起</w:t>
      </w:r>
      <w:r>
        <w:rPr>
          <w:rFonts w:hint="eastAsia" w:ascii="宋体" w:hAnsi="宋体" w:eastAsia="宋体" w:cs="宋体"/>
          <w:bCs w:val="0"/>
          <w:color w:val="auto"/>
          <w:spacing w:val="0"/>
          <w:kern w:val="2"/>
          <w:sz w:val="21"/>
          <w:szCs w:val="21"/>
          <w:highlight w:val="none"/>
          <w:u w:val="single"/>
          <w:lang w:val="en-US" w:eastAsia="zh-CN"/>
        </w:rPr>
        <w:t>15个工作日</w:t>
      </w:r>
      <w:r>
        <w:rPr>
          <w:rFonts w:hint="eastAsia" w:ascii="宋体" w:hAnsi="宋体" w:eastAsia="宋体" w:cs="宋体"/>
          <w:bCs w:val="0"/>
          <w:color w:val="auto"/>
          <w:spacing w:val="0"/>
          <w:kern w:val="2"/>
          <w:sz w:val="21"/>
          <w:szCs w:val="21"/>
          <w:highlight w:val="none"/>
          <w:u w:val="single"/>
        </w:rPr>
        <w:t>内</w:t>
      </w:r>
      <w:r>
        <w:rPr>
          <w:rFonts w:hint="eastAsia" w:ascii="宋体" w:hAnsi="宋体" w:eastAsia="宋体" w:cs="宋体"/>
          <w:bCs w:val="0"/>
          <w:color w:val="auto"/>
          <w:spacing w:val="0"/>
          <w:kern w:val="2"/>
          <w:sz w:val="21"/>
          <w:szCs w:val="21"/>
          <w:highlight w:val="none"/>
          <w:u w:val="single"/>
          <w:lang w:val="en-US" w:eastAsia="zh-CN"/>
        </w:rPr>
        <w:t>且</w:t>
      </w:r>
      <w:r>
        <w:rPr>
          <w:rFonts w:hint="eastAsia" w:ascii="宋体" w:hAnsi="宋体" w:eastAsia="宋体" w:cs="宋体"/>
          <w:bCs w:val="0"/>
          <w:color w:val="auto"/>
          <w:spacing w:val="0"/>
          <w:kern w:val="2"/>
          <w:sz w:val="21"/>
          <w:szCs w:val="21"/>
          <w:highlight w:val="none"/>
          <w:u w:val="single"/>
        </w:rPr>
        <w:t>合同签订前向</w:t>
      </w:r>
      <w:r>
        <w:rPr>
          <w:rFonts w:hint="eastAsia" w:ascii="宋体" w:hAnsi="宋体" w:eastAsia="宋体" w:cs="宋体"/>
          <w:bCs w:val="0"/>
          <w:color w:val="auto"/>
          <w:spacing w:val="0"/>
          <w:kern w:val="2"/>
          <w:sz w:val="21"/>
          <w:szCs w:val="21"/>
          <w:highlight w:val="none"/>
          <w:u w:val="single"/>
          <w:lang w:val="en-US" w:eastAsia="zh-CN"/>
        </w:rPr>
        <w:t>发包人</w:t>
      </w:r>
      <w:r>
        <w:rPr>
          <w:rFonts w:hint="eastAsia" w:ascii="宋体" w:hAnsi="宋体" w:eastAsia="宋体" w:cs="宋体"/>
          <w:bCs w:val="0"/>
          <w:color w:val="auto"/>
          <w:spacing w:val="0"/>
          <w:kern w:val="2"/>
          <w:sz w:val="21"/>
          <w:szCs w:val="21"/>
          <w:highlight w:val="none"/>
          <w:u w:val="single"/>
        </w:rPr>
        <w:t>提交中标价的10%的履约保证金</w:t>
      </w:r>
      <w:r>
        <w:rPr>
          <w:rFonts w:hint="eastAsia" w:ascii="宋体" w:hAnsi="宋体" w:eastAsia="宋体" w:cs="宋体"/>
          <w:bCs w:val="0"/>
          <w:color w:val="auto"/>
          <w:spacing w:val="0"/>
          <w:kern w:val="2"/>
          <w:sz w:val="21"/>
          <w:szCs w:val="21"/>
          <w:highlight w:val="none"/>
          <w:u w:val="single"/>
          <w:lang w:eastAsia="zh-CN"/>
        </w:rPr>
        <w:t>；</w:t>
      </w:r>
    </w:p>
    <w:p w14:paraId="704E5D51">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lang w:val="en-US" w:eastAsia="zh-CN"/>
        </w:rPr>
        <w:t>履约保证金的退还：</w:t>
      </w:r>
      <w:r>
        <w:rPr>
          <w:rFonts w:hint="eastAsia" w:ascii="宋体" w:hAnsi="宋体" w:eastAsia="宋体" w:cs="宋体"/>
          <w:bCs w:val="0"/>
          <w:color w:val="auto"/>
          <w:spacing w:val="0"/>
          <w:kern w:val="2"/>
          <w:sz w:val="21"/>
          <w:szCs w:val="21"/>
          <w:highlight w:val="none"/>
          <w:u w:val="single"/>
        </w:rPr>
        <w:t>工程</w:t>
      </w:r>
      <w:r>
        <w:rPr>
          <w:rFonts w:hint="eastAsia" w:ascii="宋体" w:hAnsi="宋体" w:eastAsia="宋体" w:cs="宋体"/>
          <w:bCs w:val="0"/>
          <w:color w:val="auto"/>
          <w:spacing w:val="0"/>
          <w:kern w:val="2"/>
          <w:sz w:val="21"/>
          <w:szCs w:val="21"/>
          <w:highlight w:val="none"/>
          <w:u w:val="single"/>
          <w:lang w:val="en-US" w:eastAsia="zh-CN"/>
        </w:rPr>
        <w:t>竣工</w:t>
      </w:r>
      <w:r>
        <w:rPr>
          <w:rFonts w:hint="eastAsia" w:ascii="宋体" w:hAnsi="宋体" w:eastAsia="宋体" w:cs="宋体"/>
          <w:bCs w:val="0"/>
          <w:color w:val="auto"/>
          <w:spacing w:val="0"/>
          <w:kern w:val="2"/>
          <w:sz w:val="21"/>
          <w:szCs w:val="21"/>
          <w:highlight w:val="none"/>
          <w:u w:val="single"/>
        </w:rPr>
        <w:t>验收合格后</w:t>
      </w:r>
      <w:r>
        <w:rPr>
          <w:rFonts w:hint="eastAsia" w:ascii="宋体" w:hAnsi="宋体" w:eastAsia="宋体" w:cs="宋体"/>
          <w:bCs w:val="0"/>
          <w:color w:val="auto"/>
          <w:spacing w:val="0"/>
          <w:kern w:val="2"/>
          <w:sz w:val="21"/>
          <w:szCs w:val="21"/>
          <w:highlight w:val="none"/>
          <w:u w:val="single"/>
          <w:lang w:val="en-US" w:eastAsia="zh-CN"/>
        </w:rPr>
        <w:t>28日内</w:t>
      </w:r>
      <w:r>
        <w:rPr>
          <w:rFonts w:hint="eastAsia" w:ascii="宋体" w:hAnsi="宋体" w:eastAsia="宋体" w:cs="宋体"/>
          <w:bCs w:val="0"/>
          <w:color w:val="auto"/>
          <w:spacing w:val="0"/>
          <w:kern w:val="2"/>
          <w:sz w:val="21"/>
          <w:szCs w:val="21"/>
          <w:highlight w:val="none"/>
          <w:u w:val="single"/>
        </w:rPr>
        <w:t>退还</w:t>
      </w:r>
      <w:r>
        <w:rPr>
          <w:rFonts w:hint="eastAsia" w:ascii="宋体" w:hAnsi="宋体" w:eastAsia="宋体" w:cs="宋体"/>
          <w:bCs w:val="0"/>
          <w:color w:val="auto"/>
          <w:spacing w:val="0"/>
          <w:kern w:val="2"/>
          <w:sz w:val="21"/>
          <w:szCs w:val="21"/>
          <w:highlight w:val="none"/>
          <w:u w:val="single"/>
          <w:lang w:eastAsia="zh-CN"/>
        </w:rPr>
        <w:t>。</w:t>
      </w:r>
    </w:p>
    <w:p w14:paraId="2E82C197">
      <w:pPr>
        <w:keepNext/>
        <w:keepLines/>
        <w:pageBreakBefore w:val="0"/>
        <w:widowControl w:val="0"/>
        <w:numPr>
          <w:ilvl w:val="3"/>
          <w:numId w:val="2"/>
        </w:numPr>
        <w:kinsoku/>
        <w:wordWrap/>
        <w:overflowPunct/>
        <w:topLinePunct w:val="0"/>
        <w:bidi w:val="0"/>
        <w:spacing w:line="360" w:lineRule="auto"/>
        <w:ind w:left="0" w:right="0" w:firstLine="0" w:firstLineChars="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4. 监理</w:t>
      </w:r>
    </w:p>
    <w:p w14:paraId="109CDAA5">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4.1监理人的一般规定</w:t>
      </w:r>
    </w:p>
    <w:p w14:paraId="3EF273D9">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关于监理人的监理内容：</w:t>
      </w:r>
      <w:r>
        <w:rPr>
          <w:rFonts w:hint="eastAsia" w:ascii="宋体" w:hAnsi="宋体" w:eastAsia="宋体" w:cs="宋体"/>
          <w:bCs w:val="0"/>
          <w:color w:val="auto"/>
          <w:spacing w:val="0"/>
          <w:kern w:val="2"/>
          <w:sz w:val="21"/>
          <w:szCs w:val="21"/>
          <w:highlight w:val="none"/>
          <w:u w:val="single"/>
        </w:rPr>
        <w:t>见监理合同。</w:t>
      </w:r>
      <w:r>
        <w:rPr>
          <w:rFonts w:hint="eastAsia" w:ascii="宋体" w:hAnsi="宋体" w:eastAsia="宋体" w:cs="宋体"/>
          <w:bCs w:val="0"/>
          <w:color w:val="auto"/>
          <w:spacing w:val="0"/>
          <w:kern w:val="2"/>
          <w:sz w:val="21"/>
          <w:szCs w:val="21"/>
          <w:highlight w:val="none"/>
        </w:rPr>
        <w:t xml:space="preserve">            </w:t>
      </w:r>
    </w:p>
    <w:p w14:paraId="393C6662">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关于监理人的监理权限：</w:t>
      </w:r>
      <w:r>
        <w:rPr>
          <w:rFonts w:hint="eastAsia" w:ascii="宋体" w:hAnsi="宋体" w:eastAsia="宋体" w:cs="宋体"/>
          <w:bCs w:val="0"/>
          <w:color w:val="auto"/>
          <w:spacing w:val="0"/>
          <w:kern w:val="2"/>
          <w:sz w:val="21"/>
          <w:szCs w:val="21"/>
          <w:highlight w:val="none"/>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w:t>
      </w:r>
      <w:r>
        <w:rPr>
          <w:rFonts w:hint="eastAsia" w:ascii="宋体" w:hAnsi="宋体" w:eastAsia="宋体" w:cs="宋体"/>
          <w:bCs w:val="0"/>
          <w:color w:val="auto"/>
          <w:spacing w:val="0"/>
          <w:kern w:val="2"/>
          <w:sz w:val="21"/>
          <w:szCs w:val="21"/>
          <w:highlight w:val="none"/>
          <w:u w:val="single"/>
          <w:lang w:val="en-US" w:eastAsia="zh-CN"/>
        </w:rPr>
        <w:t>资料</w:t>
      </w:r>
      <w:r>
        <w:rPr>
          <w:rFonts w:hint="eastAsia" w:ascii="宋体" w:hAnsi="宋体" w:eastAsia="宋体" w:cs="宋体"/>
          <w:bCs w:val="0"/>
          <w:color w:val="auto"/>
          <w:spacing w:val="0"/>
          <w:kern w:val="2"/>
          <w:sz w:val="21"/>
          <w:szCs w:val="21"/>
          <w:highlight w:val="none"/>
          <w:u w:val="single"/>
        </w:rPr>
        <w:t>；以及在工程施工合同约定的工程造价范围内，工程款支付的审核、</w:t>
      </w:r>
      <w:r>
        <w:rPr>
          <w:rFonts w:hint="eastAsia" w:ascii="宋体" w:hAnsi="宋体" w:eastAsia="宋体" w:cs="宋体"/>
          <w:bCs w:val="0"/>
          <w:color w:val="auto"/>
          <w:spacing w:val="0"/>
          <w:kern w:val="2"/>
          <w:sz w:val="21"/>
          <w:szCs w:val="21"/>
          <w:highlight w:val="none"/>
          <w:u w:val="single"/>
          <w:lang w:val="en-US" w:eastAsia="zh-CN"/>
        </w:rPr>
        <w:t>变更</w:t>
      </w:r>
      <w:r>
        <w:rPr>
          <w:rFonts w:hint="eastAsia" w:ascii="宋体" w:hAnsi="宋体" w:eastAsia="宋体" w:cs="宋体"/>
          <w:bCs w:val="0"/>
          <w:color w:val="auto"/>
          <w:spacing w:val="0"/>
          <w:kern w:val="2"/>
          <w:sz w:val="21"/>
          <w:szCs w:val="21"/>
          <w:highlight w:val="none"/>
          <w:u w:val="single"/>
        </w:rPr>
        <w:t>和工程合同、资料的管理</w:t>
      </w:r>
      <w:r>
        <w:rPr>
          <w:rFonts w:hint="eastAsia" w:ascii="宋体" w:hAnsi="宋体" w:eastAsia="宋体" w:cs="宋体"/>
          <w:bCs w:val="0"/>
          <w:color w:val="auto"/>
          <w:spacing w:val="0"/>
          <w:kern w:val="2"/>
          <w:sz w:val="21"/>
          <w:szCs w:val="21"/>
          <w:highlight w:val="none"/>
        </w:rPr>
        <w:t>。</w:t>
      </w:r>
    </w:p>
    <w:p w14:paraId="625F9C84">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需要取得发包人批准才能行使的职权</w:t>
      </w:r>
      <w:r>
        <w:rPr>
          <w:rFonts w:hint="eastAsia" w:ascii="宋体" w:hAnsi="宋体" w:eastAsia="宋体" w:cs="宋体"/>
          <w:bCs w:val="0"/>
          <w:color w:val="auto"/>
          <w:spacing w:val="0"/>
          <w:kern w:val="2"/>
          <w:sz w:val="21"/>
          <w:szCs w:val="21"/>
          <w:highlight w:val="none"/>
          <w:u w:val="none"/>
        </w:rPr>
        <w:t>：</w:t>
      </w:r>
      <w:r>
        <w:rPr>
          <w:rFonts w:hint="eastAsia" w:ascii="宋体" w:hAnsi="宋体" w:eastAsia="宋体" w:cs="宋体"/>
          <w:bCs w:val="0"/>
          <w:color w:val="auto"/>
          <w:spacing w:val="0"/>
          <w:kern w:val="2"/>
          <w:sz w:val="21"/>
          <w:szCs w:val="21"/>
          <w:highlight w:val="none"/>
          <w:u w:val="single"/>
        </w:rPr>
        <w:t>（1）批准工程任何部分的发包合同；（2）费用的增加；（3）工程的延期；（4）发布变更指令；（5）批准设计变更；（6）发布工程开工令、停工令和复工令，以及单项工程超出三天以上的暂停施工或复工；（7）索赔的支付；</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8</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工程款支付。</w:t>
      </w:r>
    </w:p>
    <w:p w14:paraId="17331C4C">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关于监理人在施工现场的办公场所、生活场所的提供和费用承担的约定：</w:t>
      </w:r>
      <w:r>
        <w:rPr>
          <w:rFonts w:hint="eastAsia" w:ascii="宋体" w:hAnsi="宋体" w:eastAsia="宋体" w:cs="宋体"/>
          <w:bCs w:val="0"/>
          <w:color w:val="auto"/>
          <w:spacing w:val="0"/>
          <w:kern w:val="2"/>
          <w:sz w:val="21"/>
          <w:szCs w:val="21"/>
          <w:highlight w:val="none"/>
          <w:u w:val="single"/>
        </w:rPr>
        <w:t>提供2间办公室，办公设备由各相关单位自备。</w:t>
      </w:r>
    </w:p>
    <w:p w14:paraId="30DBA541">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4.2 监理人员</w:t>
      </w:r>
    </w:p>
    <w:p w14:paraId="603936F0">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总监理工程师：</w:t>
      </w:r>
    </w:p>
    <w:p w14:paraId="7EEC8972">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姓    名：</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7765188F">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职    务：</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2BD6CBAB">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监理工程师执业资格证书号：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1AD22705">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联系电话：</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197BD32">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电子信箱：</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400781BF">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通信地址：</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1A470F9">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关于监理人的其他约定：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6D09DBBE">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4.3 商定或确定</w:t>
      </w:r>
    </w:p>
    <w:p w14:paraId="0F21CE8D">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在发包人和承包人不能通过协商达成一致意见时，发包人授权监理人对以下事项进行确定：</w:t>
      </w:r>
      <w:r>
        <w:rPr>
          <w:rFonts w:hint="eastAsia" w:ascii="宋体" w:hAnsi="宋体" w:eastAsia="宋体" w:cs="宋体"/>
          <w:bCs w:val="0"/>
          <w:color w:val="auto"/>
          <w:spacing w:val="0"/>
          <w:kern w:val="2"/>
          <w:sz w:val="21"/>
          <w:szCs w:val="21"/>
          <w:highlight w:val="none"/>
          <w:u w:val="single"/>
        </w:rPr>
        <w:t>/</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7986FD04">
      <w:pPr>
        <w:pageBreakBefore w:val="0"/>
        <w:widowControl w:val="0"/>
        <w:tabs>
          <w:tab w:val="center" w:pos="4393"/>
          <w:tab w:val="left" w:pos="6774"/>
        </w:tabs>
        <w:kinsoku/>
        <w:wordWrap/>
        <w:overflowPunct/>
        <w:topLinePunct w:val="0"/>
        <w:autoSpaceDE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color w:val="auto"/>
          <w:spacing w:val="0"/>
          <w:kern w:val="2"/>
          <w:sz w:val="21"/>
          <w:szCs w:val="21"/>
          <w:highlight w:val="none"/>
        </w:rPr>
        <w:t>5. 工程质量</w:t>
      </w:r>
    </w:p>
    <w:p w14:paraId="292F4231">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5.1 质量要求</w:t>
      </w:r>
    </w:p>
    <w:p w14:paraId="257C2F55">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5.1.1 特殊质量标准和要求：</w:t>
      </w:r>
    </w:p>
    <w:p w14:paraId="3F2F24B5">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1、本工程必须根据国家有关施工规范、设计图纸及说明、图纸会审纪要和变更设计联系单组织施工和验收，工程质量达到合格标准</w:t>
      </w:r>
      <w:r>
        <w:rPr>
          <w:rFonts w:hint="eastAsia" w:ascii="宋体" w:hAnsi="宋体" w:eastAsia="宋体" w:cs="宋体"/>
          <w:bCs w:val="0"/>
          <w:color w:val="auto"/>
          <w:spacing w:val="0"/>
          <w:kern w:val="2"/>
          <w:sz w:val="21"/>
          <w:szCs w:val="21"/>
          <w:highlight w:val="none"/>
        </w:rPr>
        <w:t>。</w:t>
      </w:r>
    </w:p>
    <w:p w14:paraId="02CC28F3">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2、由于承包人原因发生工程质量问题，由此所造成的所有经济损失和一切责任均由承包人承担</w:t>
      </w:r>
      <w:r>
        <w:rPr>
          <w:rFonts w:hint="eastAsia" w:ascii="宋体" w:hAnsi="宋体" w:eastAsia="宋体" w:cs="宋体"/>
          <w:bCs w:val="0"/>
          <w:color w:val="auto"/>
          <w:spacing w:val="0"/>
          <w:kern w:val="2"/>
          <w:sz w:val="21"/>
          <w:szCs w:val="21"/>
          <w:highlight w:val="none"/>
        </w:rPr>
        <w:t>。</w:t>
      </w:r>
    </w:p>
    <w:p w14:paraId="5CF6FD5B">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3、承包人必须精心组织施工，在施工过程中，如承包人未按设计要求和规范进行施工而造成返工重做的，承包人无条件整改至合格为止</w:t>
      </w:r>
      <w:r>
        <w:rPr>
          <w:rFonts w:hint="eastAsia" w:ascii="宋体" w:hAnsi="宋体" w:eastAsia="宋体" w:cs="宋体"/>
          <w:bCs w:val="0"/>
          <w:color w:val="auto"/>
          <w:spacing w:val="0"/>
          <w:kern w:val="2"/>
          <w:sz w:val="21"/>
          <w:szCs w:val="21"/>
          <w:highlight w:val="none"/>
        </w:rPr>
        <w:t>。</w:t>
      </w:r>
    </w:p>
    <w:p w14:paraId="41650C58">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4、本工程的所有隐蔽工程必须经发包人和监理公司人员验收合格签字认可方可隐蔽</w:t>
      </w:r>
      <w:r>
        <w:rPr>
          <w:rFonts w:hint="eastAsia" w:ascii="宋体" w:hAnsi="宋体" w:eastAsia="宋体" w:cs="宋体"/>
          <w:bCs w:val="0"/>
          <w:color w:val="auto"/>
          <w:spacing w:val="0"/>
          <w:kern w:val="2"/>
          <w:sz w:val="21"/>
          <w:szCs w:val="21"/>
          <w:highlight w:val="none"/>
        </w:rPr>
        <w:t>。</w:t>
      </w:r>
    </w:p>
    <w:p w14:paraId="255CDCCC">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5、承包人承包范围内的土方回填必须确保回填土质量，如今后发生因回填土质量不符合要求而产生的费用由承包人自负</w:t>
      </w:r>
      <w:r>
        <w:rPr>
          <w:rFonts w:hint="eastAsia" w:ascii="宋体" w:hAnsi="宋体" w:eastAsia="宋体" w:cs="宋体"/>
          <w:bCs w:val="0"/>
          <w:color w:val="auto"/>
          <w:spacing w:val="0"/>
          <w:kern w:val="2"/>
          <w:sz w:val="21"/>
          <w:szCs w:val="21"/>
          <w:highlight w:val="none"/>
        </w:rPr>
        <w:t>。</w:t>
      </w:r>
    </w:p>
    <w:p w14:paraId="5C40F7D3">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关于工程奖项的约定：</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    </w:t>
      </w:r>
      <w:r>
        <w:rPr>
          <w:rFonts w:hint="eastAsia" w:ascii="宋体" w:hAnsi="宋体" w:eastAsia="宋体" w:cs="宋体"/>
          <w:bCs w:val="0"/>
          <w:color w:val="auto"/>
          <w:spacing w:val="0"/>
          <w:kern w:val="2"/>
          <w:sz w:val="21"/>
          <w:szCs w:val="21"/>
          <w:highlight w:val="none"/>
        </w:rPr>
        <w:t>。</w:t>
      </w:r>
    </w:p>
    <w:p w14:paraId="4B1DCB31">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5.3 隐蔽工程检查</w:t>
      </w:r>
    </w:p>
    <w:p w14:paraId="2ABFBDED">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5.3.2承包人提前通知监理人隐蔽工程检查的期限的约定：</w:t>
      </w:r>
      <w:r>
        <w:rPr>
          <w:rFonts w:hint="eastAsia" w:ascii="宋体" w:hAnsi="宋体" w:eastAsia="宋体" w:cs="宋体"/>
          <w:bCs w:val="0"/>
          <w:color w:val="auto"/>
          <w:spacing w:val="0"/>
          <w:kern w:val="2"/>
          <w:sz w:val="21"/>
          <w:szCs w:val="21"/>
          <w:highlight w:val="none"/>
          <w:u w:val="single"/>
          <w:lang w:bidi="ar"/>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Fonts w:hint="eastAsia" w:ascii="宋体" w:hAnsi="宋体" w:eastAsia="宋体" w:cs="宋体"/>
          <w:bCs w:val="0"/>
          <w:color w:val="auto"/>
          <w:spacing w:val="0"/>
          <w:kern w:val="2"/>
          <w:sz w:val="21"/>
          <w:szCs w:val="21"/>
          <w:highlight w:val="none"/>
        </w:rPr>
        <w:t>。</w:t>
      </w:r>
    </w:p>
    <w:p w14:paraId="5417A0E6">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监理人不能按时进行检查时，应提前 </w:t>
      </w:r>
      <w:r>
        <w:rPr>
          <w:rFonts w:hint="eastAsia" w:ascii="宋体" w:hAnsi="宋体" w:eastAsia="宋体" w:cs="宋体"/>
          <w:bCs w:val="0"/>
          <w:color w:val="auto"/>
          <w:spacing w:val="0"/>
          <w:kern w:val="2"/>
          <w:sz w:val="21"/>
          <w:szCs w:val="21"/>
          <w:highlight w:val="none"/>
          <w:u w:val="single"/>
        </w:rPr>
        <w:t>24</w:t>
      </w:r>
      <w:r>
        <w:rPr>
          <w:rFonts w:hint="eastAsia" w:ascii="宋体" w:hAnsi="宋体" w:eastAsia="宋体" w:cs="宋体"/>
          <w:bCs w:val="0"/>
          <w:color w:val="auto"/>
          <w:spacing w:val="0"/>
          <w:kern w:val="2"/>
          <w:sz w:val="21"/>
          <w:szCs w:val="21"/>
          <w:highlight w:val="none"/>
        </w:rPr>
        <w:t>小时提交书面延期要求。</w:t>
      </w:r>
    </w:p>
    <w:p w14:paraId="71CBBEEB">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关于延期最长不得超过：</w:t>
      </w:r>
      <w:r>
        <w:rPr>
          <w:rFonts w:hint="eastAsia" w:ascii="宋体" w:hAnsi="宋体" w:eastAsia="宋体" w:cs="宋体"/>
          <w:bCs w:val="0"/>
          <w:color w:val="auto"/>
          <w:spacing w:val="0"/>
          <w:kern w:val="2"/>
          <w:sz w:val="21"/>
          <w:szCs w:val="21"/>
          <w:highlight w:val="none"/>
          <w:u w:val="single"/>
        </w:rPr>
        <w:t xml:space="preserve"> 48 </w:t>
      </w:r>
      <w:r>
        <w:rPr>
          <w:rFonts w:hint="eastAsia" w:ascii="宋体" w:hAnsi="宋体" w:eastAsia="宋体" w:cs="宋体"/>
          <w:bCs w:val="0"/>
          <w:color w:val="auto"/>
          <w:spacing w:val="0"/>
          <w:kern w:val="2"/>
          <w:sz w:val="21"/>
          <w:szCs w:val="21"/>
          <w:highlight w:val="none"/>
        </w:rPr>
        <w:t>小时。</w:t>
      </w:r>
    </w:p>
    <w:p w14:paraId="1609F240">
      <w:pPr>
        <w:keepNext/>
        <w:keepLines/>
        <w:pageBreakBefore w:val="0"/>
        <w:widowControl w:val="0"/>
        <w:numPr>
          <w:ilvl w:val="3"/>
          <w:numId w:val="2"/>
        </w:numPr>
        <w:kinsoku/>
        <w:wordWrap/>
        <w:overflowPunct/>
        <w:topLinePunct w:val="0"/>
        <w:bidi w:val="0"/>
        <w:spacing w:line="360" w:lineRule="auto"/>
        <w:ind w:left="0" w:right="0" w:firstLine="0" w:firstLineChars="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6. 安全文明施工与环境保护</w:t>
      </w:r>
    </w:p>
    <w:p w14:paraId="1EA4D5CF">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6.1安全文明施工</w:t>
      </w:r>
    </w:p>
    <w:p w14:paraId="17AB9EEC">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6.1.1 项目安全生产的达标目标及相应事项的约定：</w:t>
      </w:r>
    </w:p>
    <w:p w14:paraId="652EF660">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u w:val="single"/>
        </w:rPr>
        <w:t>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p>
    <w:p w14:paraId="27C0DF77">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发包人及建设主管单位将对施工现场进行周期性检查，该检查应不影响正常施工，承包人应予以配合。</w:t>
      </w:r>
    </w:p>
    <w:p w14:paraId="42157132">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6.1.4 关于治安保卫的特别约定：</w:t>
      </w:r>
      <w:r>
        <w:rPr>
          <w:rFonts w:hint="eastAsia" w:ascii="宋体" w:hAnsi="宋体" w:eastAsia="宋体" w:cs="宋体"/>
          <w:bCs w:val="0"/>
          <w:color w:val="auto"/>
          <w:spacing w:val="0"/>
          <w:kern w:val="2"/>
          <w:sz w:val="21"/>
          <w:szCs w:val="21"/>
          <w:highlight w:val="none"/>
          <w:u w:val="single"/>
        </w:rPr>
        <w:t xml:space="preserve"> 承包人自行组织 </w:t>
      </w:r>
      <w:r>
        <w:rPr>
          <w:rFonts w:hint="eastAsia" w:ascii="宋体" w:hAnsi="宋体" w:eastAsia="宋体" w:cs="宋体"/>
          <w:bCs w:val="0"/>
          <w:color w:val="auto"/>
          <w:spacing w:val="0"/>
          <w:kern w:val="2"/>
          <w:sz w:val="21"/>
          <w:szCs w:val="21"/>
          <w:highlight w:val="none"/>
        </w:rPr>
        <w:t>。</w:t>
      </w:r>
    </w:p>
    <w:p w14:paraId="45965942">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关于编制施工场地治安管理计划的约定：</w:t>
      </w:r>
      <w:r>
        <w:rPr>
          <w:rFonts w:hint="eastAsia" w:ascii="宋体" w:hAnsi="宋体" w:eastAsia="宋体" w:cs="宋体"/>
          <w:bCs w:val="0"/>
          <w:color w:val="auto"/>
          <w:spacing w:val="0"/>
          <w:kern w:val="2"/>
          <w:sz w:val="21"/>
          <w:szCs w:val="21"/>
          <w:highlight w:val="none"/>
          <w:u w:val="single"/>
        </w:rPr>
        <w:t xml:space="preserve"> 承包人在开工前提供施工场地治安管理计划 </w:t>
      </w:r>
      <w:r>
        <w:rPr>
          <w:rFonts w:hint="eastAsia" w:ascii="宋体" w:hAnsi="宋体" w:eastAsia="宋体" w:cs="宋体"/>
          <w:bCs w:val="0"/>
          <w:color w:val="auto"/>
          <w:spacing w:val="0"/>
          <w:kern w:val="2"/>
          <w:sz w:val="21"/>
          <w:szCs w:val="21"/>
          <w:highlight w:val="none"/>
        </w:rPr>
        <w:t xml:space="preserve">。 </w:t>
      </w:r>
    </w:p>
    <w:p w14:paraId="46C91725">
      <w:pPr>
        <w:pageBreakBefore w:val="0"/>
        <w:widowControl w:val="0"/>
        <w:tabs>
          <w:tab w:val="center" w:pos="4393"/>
          <w:tab w:val="left" w:pos="6774"/>
        </w:tabs>
        <w:kinsoku/>
        <w:wordWrap/>
        <w:overflowPunct/>
        <w:topLinePunct w:val="0"/>
        <w:bidi w:val="0"/>
        <w:spacing w:line="360" w:lineRule="auto"/>
        <w:ind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6.1.5 文明施工</w:t>
      </w:r>
    </w:p>
    <w:p w14:paraId="70ECDA48">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合同当事人对文明施工的要求：</w:t>
      </w:r>
      <w:r>
        <w:rPr>
          <w:rFonts w:hint="eastAsia" w:ascii="宋体" w:hAnsi="宋体" w:eastAsia="宋体" w:cs="宋体"/>
          <w:bCs w:val="0"/>
          <w:color w:val="auto"/>
          <w:spacing w:val="0"/>
          <w:kern w:val="2"/>
          <w:sz w:val="21"/>
          <w:szCs w:val="21"/>
          <w:highlight w:val="none"/>
          <w:u w:val="single"/>
        </w:rPr>
        <w:t xml:space="preserve"> 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bCs w:val="0"/>
          <w:color w:val="auto"/>
          <w:spacing w:val="0"/>
          <w:kern w:val="2"/>
          <w:sz w:val="21"/>
          <w:szCs w:val="21"/>
          <w:highlight w:val="none"/>
        </w:rPr>
        <w:t>。</w:t>
      </w:r>
    </w:p>
    <w:p w14:paraId="36A0A585">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6.1.6 关于安全生产措施</w:t>
      </w:r>
      <w:r>
        <w:rPr>
          <w:rFonts w:hint="eastAsia" w:ascii="宋体" w:hAnsi="宋体" w:eastAsia="宋体" w:cs="宋体"/>
          <w:bCs w:val="0"/>
          <w:color w:val="auto"/>
          <w:spacing w:val="0"/>
          <w:kern w:val="2"/>
          <w:sz w:val="21"/>
          <w:szCs w:val="21"/>
          <w:highlight w:val="none"/>
          <w:lang w:val="en-US" w:eastAsia="zh-CN"/>
        </w:rPr>
        <w:t>费</w:t>
      </w:r>
      <w:r>
        <w:rPr>
          <w:rFonts w:hint="eastAsia" w:ascii="宋体" w:hAnsi="宋体" w:eastAsia="宋体" w:cs="宋体"/>
          <w:bCs w:val="0"/>
          <w:color w:val="auto"/>
          <w:spacing w:val="0"/>
          <w:kern w:val="2"/>
          <w:sz w:val="21"/>
          <w:szCs w:val="21"/>
          <w:highlight w:val="none"/>
        </w:rPr>
        <w:t>支付比例和支付期限的约定：</w:t>
      </w:r>
      <w:r>
        <w:rPr>
          <w:rFonts w:hint="eastAsia" w:ascii="宋体" w:hAnsi="宋体" w:eastAsia="宋体" w:cs="宋体"/>
          <w:bCs w:val="0"/>
          <w:color w:val="auto"/>
          <w:spacing w:val="0"/>
          <w:kern w:val="2"/>
          <w:sz w:val="21"/>
          <w:szCs w:val="21"/>
          <w:highlight w:val="none"/>
          <w:u w:val="single"/>
        </w:rPr>
        <w:t>发包人应在工程开工后28天内预付不低于安全生产措施费总额的50%给承包人，其余部分应按照提前安排的原则进行分解，并与工程进度款同期支付。</w:t>
      </w:r>
    </w:p>
    <w:p w14:paraId="2DCAC255">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 工期和进度</w:t>
      </w:r>
    </w:p>
    <w:p w14:paraId="1FEC0135">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7.1 施工组织设计</w:t>
      </w:r>
    </w:p>
    <w:p w14:paraId="30D5B1D7">
      <w:pPr>
        <w:pageBreakBefore w:val="0"/>
        <w:widowControl w:val="0"/>
        <w:tabs>
          <w:tab w:val="center" w:pos="4393"/>
          <w:tab w:val="left" w:pos="6774"/>
        </w:tabs>
        <w:kinsoku/>
        <w:wordWrap/>
        <w:overflowPunct/>
        <w:topLinePunct w:val="0"/>
        <w:autoSpaceDE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7.1.1 合</w:t>
      </w:r>
      <w:r>
        <w:rPr>
          <w:rFonts w:hint="eastAsia" w:ascii="宋体" w:hAnsi="宋体" w:eastAsia="宋体" w:cs="宋体"/>
          <w:bCs w:val="0"/>
          <w:color w:val="auto"/>
          <w:spacing w:val="0"/>
          <w:kern w:val="0"/>
          <w:sz w:val="21"/>
          <w:szCs w:val="21"/>
          <w:highlight w:val="none"/>
        </w:rPr>
        <w:t>同当事人约定的施工组织设计应包括的其他内容：</w:t>
      </w:r>
      <w:r>
        <w:rPr>
          <w:rFonts w:hint="eastAsia" w:ascii="宋体" w:hAnsi="宋体" w:eastAsia="宋体" w:cs="宋体"/>
          <w:bCs w:val="0"/>
          <w:color w:val="auto"/>
          <w:spacing w:val="0"/>
          <w:kern w:val="2"/>
          <w:sz w:val="21"/>
          <w:szCs w:val="21"/>
          <w:highlight w:val="none"/>
          <w:u w:val="single"/>
        </w:rPr>
        <w:t xml:space="preserve">  按通用条款执行。</w:t>
      </w:r>
    </w:p>
    <w:p w14:paraId="5A0783E3">
      <w:pPr>
        <w:pageBreakBefore w:val="0"/>
        <w:widowControl w:val="0"/>
        <w:tabs>
          <w:tab w:val="center" w:pos="4393"/>
          <w:tab w:val="left" w:pos="6774"/>
        </w:tabs>
        <w:kinsoku/>
        <w:wordWrap/>
        <w:overflowPunct/>
        <w:topLinePunct w:val="0"/>
        <w:autoSpaceDE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7.1.2 </w:t>
      </w:r>
      <w:r>
        <w:rPr>
          <w:rFonts w:hint="eastAsia" w:ascii="宋体" w:hAnsi="宋体" w:eastAsia="宋体" w:cs="宋体"/>
          <w:bCs w:val="0"/>
          <w:color w:val="auto"/>
          <w:spacing w:val="0"/>
          <w:kern w:val="0"/>
          <w:sz w:val="21"/>
          <w:szCs w:val="21"/>
          <w:highlight w:val="none"/>
        </w:rPr>
        <w:t>施工组织设计的提交和修改</w:t>
      </w:r>
    </w:p>
    <w:p w14:paraId="1EA6692F">
      <w:pPr>
        <w:pageBreakBefore w:val="0"/>
        <w:widowControl w:val="0"/>
        <w:tabs>
          <w:tab w:val="center" w:pos="4393"/>
          <w:tab w:val="left" w:pos="6774"/>
        </w:tabs>
        <w:kinsoku/>
        <w:wordWrap/>
        <w:overflowPunct/>
        <w:topLinePunct w:val="0"/>
        <w:autoSpaceDE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承包人提交详细施工组织设计的期限的约定：</w:t>
      </w:r>
      <w:r>
        <w:rPr>
          <w:rFonts w:hint="eastAsia" w:ascii="宋体" w:hAnsi="宋体" w:eastAsia="宋体" w:cs="宋体"/>
          <w:bCs w:val="0"/>
          <w:color w:val="auto"/>
          <w:spacing w:val="0"/>
          <w:kern w:val="2"/>
          <w:sz w:val="21"/>
          <w:szCs w:val="21"/>
          <w:highlight w:val="none"/>
          <w:u w:val="single"/>
        </w:rPr>
        <w:t xml:space="preserve"> 合同签订后14日内且不得迟于开工前7天。</w:t>
      </w:r>
      <w:r>
        <w:rPr>
          <w:rFonts w:hint="eastAsia" w:ascii="宋体" w:hAnsi="宋体" w:eastAsia="宋体" w:cs="宋体"/>
          <w:bCs w:val="0"/>
          <w:color w:val="auto"/>
          <w:spacing w:val="0"/>
          <w:kern w:val="2"/>
          <w:sz w:val="21"/>
          <w:szCs w:val="21"/>
          <w:highlight w:val="none"/>
        </w:rPr>
        <w:t xml:space="preserve">   </w:t>
      </w:r>
    </w:p>
    <w:p w14:paraId="3655D836">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发包人和监理人在收到详细的施工组织设计后确认或提出修改意见的期限：</w:t>
      </w:r>
      <w:r>
        <w:rPr>
          <w:rFonts w:hint="eastAsia" w:ascii="宋体" w:hAnsi="宋体" w:eastAsia="宋体" w:cs="宋体"/>
          <w:bCs w:val="0"/>
          <w:color w:val="auto"/>
          <w:spacing w:val="0"/>
          <w:kern w:val="2"/>
          <w:sz w:val="21"/>
          <w:szCs w:val="21"/>
          <w:highlight w:val="none"/>
          <w:u w:val="single"/>
          <w:lang w:bidi="ar"/>
        </w:rPr>
        <w:t>收到施工组织设计7天内</w:t>
      </w:r>
      <w:r>
        <w:rPr>
          <w:rFonts w:hint="eastAsia" w:ascii="宋体" w:hAnsi="宋体" w:eastAsia="宋体" w:cs="宋体"/>
          <w:bCs w:val="0"/>
          <w:color w:val="auto"/>
          <w:spacing w:val="0"/>
          <w:kern w:val="2"/>
          <w:sz w:val="21"/>
          <w:szCs w:val="21"/>
          <w:highlight w:val="none"/>
          <w:u w:val="single"/>
        </w:rPr>
        <w:t>。</w:t>
      </w:r>
    </w:p>
    <w:p w14:paraId="246958CF">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7.2 施工进度计划</w:t>
      </w:r>
    </w:p>
    <w:p w14:paraId="26B4E3CA">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7.2.1</w:t>
      </w:r>
      <w:r>
        <w:rPr>
          <w:rFonts w:hint="eastAsia" w:ascii="宋体" w:hAnsi="宋体" w:eastAsia="宋体" w:cs="宋体"/>
          <w:bCs w:val="0"/>
          <w:color w:val="auto"/>
          <w:spacing w:val="0"/>
          <w:kern w:val="2"/>
          <w:sz w:val="21"/>
          <w:szCs w:val="21"/>
          <w:highlight w:val="none"/>
          <w:u w:val="single"/>
        </w:rPr>
        <w:t>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w:t>
      </w:r>
      <w:r>
        <w:rPr>
          <w:rFonts w:hint="eastAsia" w:ascii="宋体" w:hAnsi="宋体" w:eastAsia="宋体" w:cs="宋体"/>
          <w:bCs w:val="0"/>
          <w:color w:val="auto"/>
          <w:spacing w:val="0"/>
          <w:kern w:val="2"/>
          <w:sz w:val="21"/>
          <w:szCs w:val="21"/>
          <w:highlight w:val="none"/>
          <w:u w:val="single"/>
          <w:lang w:eastAsia="zh-CN"/>
        </w:rPr>
        <w:t>。</w:t>
      </w:r>
    </w:p>
    <w:p w14:paraId="241F7EF6">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7.2.2 施工进度计划的修订</w:t>
      </w:r>
    </w:p>
    <w:p w14:paraId="4068F5E3">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发包人和监理人在收到修订的施工进度计划后确认或提出修改意见的期限：</w:t>
      </w:r>
      <w:r>
        <w:rPr>
          <w:rFonts w:hint="eastAsia" w:ascii="宋体" w:hAnsi="宋体" w:eastAsia="宋体" w:cs="宋体"/>
          <w:bCs w:val="0"/>
          <w:color w:val="auto"/>
          <w:spacing w:val="0"/>
          <w:kern w:val="2"/>
          <w:sz w:val="21"/>
          <w:szCs w:val="21"/>
          <w:highlight w:val="none"/>
          <w:u w:val="single"/>
          <w:lang w:bidi="ar"/>
        </w:rPr>
        <w:t>收到修订的施工进度计划后5天内</w:t>
      </w:r>
      <w:r>
        <w:rPr>
          <w:rFonts w:hint="eastAsia" w:ascii="宋体" w:hAnsi="宋体" w:eastAsia="宋体" w:cs="宋体"/>
          <w:bCs w:val="0"/>
          <w:color w:val="auto"/>
          <w:spacing w:val="0"/>
          <w:kern w:val="2"/>
          <w:sz w:val="21"/>
          <w:szCs w:val="21"/>
          <w:highlight w:val="none"/>
        </w:rPr>
        <w:t>。</w:t>
      </w:r>
    </w:p>
    <w:p w14:paraId="63169C2B">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7.3 开工</w:t>
      </w:r>
    </w:p>
    <w:p w14:paraId="541CDB13">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7.3.1 开工准备</w:t>
      </w:r>
    </w:p>
    <w:p w14:paraId="064E4348">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关于承包人提交</w:t>
      </w:r>
      <w:r>
        <w:rPr>
          <w:rFonts w:hint="eastAsia" w:ascii="宋体" w:hAnsi="宋体" w:eastAsia="宋体" w:cs="宋体"/>
          <w:bCs w:val="0"/>
          <w:color w:val="auto"/>
          <w:spacing w:val="0"/>
          <w:kern w:val="0"/>
          <w:sz w:val="21"/>
          <w:szCs w:val="21"/>
          <w:highlight w:val="none"/>
        </w:rPr>
        <w:t>工程开工报审表的期限：</w:t>
      </w:r>
      <w:r>
        <w:rPr>
          <w:rFonts w:hint="eastAsia" w:ascii="宋体" w:hAnsi="宋体" w:eastAsia="宋体" w:cs="宋体"/>
          <w:bCs w:val="0"/>
          <w:color w:val="auto"/>
          <w:spacing w:val="0"/>
          <w:kern w:val="2"/>
          <w:sz w:val="21"/>
          <w:szCs w:val="21"/>
          <w:highlight w:val="none"/>
          <w:u w:val="single"/>
          <w:shd w:val="clear" w:color="auto" w:fill="FFFFFF"/>
        </w:rPr>
        <w:t>开工前3天内</w:t>
      </w:r>
      <w:r>
        <w:rPr>
          <w:rFonts w:hint="eastAsia" w:ascii="宋体" w:hAnsi="宋体" w:eastAsia="宋体" w:cs="宋体"/>
          <w:bCs w:val="0"/>
          <w:color w:val="auto"/>
          <w:spacing w:val="0"/>
          <w:kern w:val="2"/>
          <w:sz w:val="21"/>
          <w:szCs w:val="21"/>
          <w:highlight w:val="none"/>
        </w:rPr>
        <w:t>。</w:t>
      </w:r>
    </w:p>
    <w:p w14:paraId="0347FD65">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关于发包人应完成的其他开工准备工作及期限：</w:t>
      </w:r>
      <w:r>
        <w:rPr>
          <w:rFonts w:hint="eastAsia" w:ascii="宋体" w:hAnsi="宋体" w:eastAsia="宋体" w:cs="宋体"/>
          <w:bCs w:val="0"/>
          <w:color w:val="auto"/>
          <w:spacing w:val="0"/>
          <w:kern w:val="2"/>
          <w:sz w:val="21"/>
          <w:szCs w:val="21"/>
          <w:highlight w:val="none"/>
          <w:u w:val="single"/>
        </w:rPr>
        <w:t>开工前3天内</w:t>
      </w:r>
      <w:r>
        <w:rPr>
          <w:rFonts w:hint="eastAsia" w:ascii="宋体" w:hAnsi="宋体" w:eastAsia="宋体" w:cs="宋体"/>
          <w:bCs w:val="0"/>
          <w:color w:val="auto"/>
          <w:spacing w:val="0"/>
          <w:kern w:val="2"/>
          <w:sz w:val="21"/>
          <w:szCs w:val="21"/>
          <w:highlight w:val="none"/>
        </w:rPr>
        <w:t>。</w:t>
      </w:r>
    </w:p>
    <w:p w14:paraId="36072A74">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关于承包人应完成的其他开工准备工作及期限：</w:t>
      </w:r>
      <w:r>
        <w:rPr>
          <w:rFonts w:hint="eastAsia" w:ascii="宋体" w:hAnsi="宋体" w:eastAsia="宋体" w:cs="宋体"/>
          <w:bCs w:val="0"/>
          <w:color w:val="auto"/>
          <w:spacing w:val="0"/>
          <w:kern w:val="2"/>
          <w:sz w:val="21"/>
          <w:szCs w:val="21"/>
          <w:highlight w:val="none"/>
          <w:u w:val="single"/>
        </w:rPr>
        <w:t>开工前7天内</w:t>
      </w:r>
      <w:r>
        <w:rPr>
          <w:rFonts w:hint="eastAsia" w:ascii="宋体" w:hAnsi="宋体" w:eastAsia="宋体" w:cs="宋体"/>
          <w:bCs w:val="0"/>
          <w:color w:val="auto"/>
          <w:spacing w:val="0"/>
          <w:kern w:val="2"/>
          <w:sz w:val="21"/>
          <w:szCs w:val="21"/>
          <w:highlight w:val="none"/>
        </w:rPr>
        <w:t>。</w:t>
      </w:r>
    </w:p>
    <w:p w14:paraId="020D7D82">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7.3.2开工通知</w:t>
      </w:r>
    </w:p>
    <w:p w14:paraId="359BB820">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因发包人原因造成监理人未能在计划开工日期之日起</w:t>
      </w:r>
      <w:r>
        <w:rPr>
          <w:rFonts w:hint="eastAsia" w:ascii="宋体" w:hAnsi="宋体" w:eastAsia="宋体" w:cs="宋体"/>
          <w:bCs w:val="0"/>
          <w:color w:val="auto"/>
          <w:spacing w:val="0"/>
          <w:kern w:val="2"/>
          <w:sz w:val="21"/>
          <w:szCs w:val="21"/>
          <w:highlight w:val="none"/>
          <w:u w:val="single"/>
        </w:rPr>
        <w:t xml:space="preserve"> 90 </w:t>
      </w:r>
      <w:r>
        <w:rPr>
          <w:rFonts w:hint="eastAsia" w:ascii="宋体" w:hAnsi="宋体" w:eastAsia="宋体" w:cs="宋体"/>
          <w:bCs w:val="0"/>
          <w:color w:val="auto"/>
          <w:spacing w:val="0"/>
          <w:kern w:val="2"/>
          <w:sz w:val="21"/>
          <w:szCs w:val="21"/>
          <w:highlight w:val="none"/>
        </w:rPr>
        <w:t>天内发出开工通知的，承包人有权提出价格调整要求，或者解除合同。</w:t>
      </w:r>
    </w:p>
    <w:p w14:paraId="22E7E455">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
          <w:bCs/>
          <w:color w:val="auto"/>
          <w:spacing w:val="0"/>
          <w:kern w:val="2"/>
          <w:sz w:val="21"/>
          <w:szCs w:val="21"/>
          <w:highlight w:val="none"/>
          <w:lang w:val="en-US" w:eastAsia="zh-CN"/>
        </w:rPr>
        <w:t>开工通知发出后，因承包人原因未按合同约定做好开工准备的，或者未按开工通知约定及时进场的，视同承包人违约，发包人有权扣除承包人的全部履约保证金，并终止合同。</w:t>
      </w:r>
    </w:p>
    <w:p w14:paraId="6497A0E6">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7.4 测量放线</w:t>
      </w:r>
    </w:p>
    <w:p w14:paraId="2C6BE519">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7.4.1发包人通过监理人向承包人提供测量基准点、基准线和水准点及其书面资料的期限：</w:t>
      </w:r>
      <w:r>
        <w:rPr>
          <w:rFonts w:hint="eastAsia" w:ascii="宋体" w:hAnsi="宋体" w:eastAsia="宋体" w:cs="宋体"/>
          <w:bCs w:val="0"/>
          <w:color w:val="auto"/>
          <w:spacing w:val="0"/>
          <w:kern w:val="2"/>
          <w:sz w:val="21"/>
          <w:szCs w:val="21"/>
          <w:highlight w:val="none"/>
          <w:u w:val="single"/>
          <w:lang w:bidi="ar"/>
        </w:rPr>
        <w:t>监理人应及时报告发包人，并会同发包人和承包人予以核实。承包人负责做好保护工作并对其工作失误而造成的事故负赔偿责任</w:t>
      </w:r>
      <w:r>
        <w:rPr>
          <w:rFonts w:hint="eastAsia" w:ascii="宋体" w:hAnsi="宋体" w:eastAsia="宋体" w:cs="宋体"/>
          <w:bCs w:val="0"/>
          <w:color w:val="auto"/>
          <w:spacing w:val="0"/>
          <w:kern w:val="2"/>
          <w:sz w:val="21"/>
          <w:szCs w:val="21"/>
          <w:highlight w:val="none"/>
          <w:u w:val="single"/>
        </w:rPr>
        <w:t>。</w:t>
      </w:r>
    </w:p>
    <w:p w14:paraId="388131BE">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7.5 工期延误</w:t>
      </w:r>
    </w:p>
    <w:p w14:paraId="2E4C3017">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7.5.1 因发包人原因导致工期延误</w:t>
      </w:r>
    </w:p>
    <w:p w14:paraId="738D6625">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合同工期内如果发生不可抗拒的自然灾害，或因甲方的原因而造成工期滞后的，发包人应书面通知承包人，承包人应积极配合发包人做好施工计划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p>
    <w:p w14:paraId="3943971F">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u w:val="single"/>
          <w:lang w:val="en-US" w:eastAsia="zh-CN" w:bidi="ar-SA"/>
        </w:rPr>
        <w:t>在施工期间，承包人将做好应急发电设备及临时停水的准备工作，因政府政策性避峰、临时停电、停水原因而造成的相应损失，发包人均不予补偿。</w:t>
      </w:r>
    </w:p>
    <w:p w14:paraId="4D5A0D56">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7.5.2 因承包人原因导致工期延误</w:t>
      </w:r>
    </w:p>
    <w:p w14:paraId="7D23BC62">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
          <w:bCs/>
          <w:color w:val="auto"/>
          <w:spacing w:val="2"/>
          <w:kern w:val="2"/>
          <w:sz w:val="21"/>
          <w:szCs w:val="21"/>
          <w:highlight w:val="none"/>
          <w:u w:val="single"/>
          <w:lang w:val="en-US" w:eastAsia="zh-CN" w:bidi="ar-SA"/>
        </w:rPr>
      </w:pPr>
      <w:r>
        <w:rPr>
          <w:rFonts w:hint="eastAsia" w:ascii="宋体" w:hAnsi="宋体" w:eastAsia="宋体" w:cs="宋体"/>
          <w:b/>
          <w:bCs/>
          <w:color w:val="auto"/>
          <w:spacing w:val="2"/>
          <w:kern w:val="2"/>
          <w:sz w:val="21"/>
          <w:szCs w:val="21"/>
          <w:highlight w:val="none"/>
          <w:u w:val="none"/>
          <w:lang w:val="en-US" w:eastAsia="zh-CN" w:bidi="ar-SA"/>
        </w:rPr>
        <w:t>因</w:t>
      </w:r>
      <w:bookmarkStart w:id="16" w:name="_Toc318581170"/>
      <w:bookmarkStart w:id="17" w:name="_Toc312677487"/>
      <w:bookmarkStart w:id="18" w:name="_Toc312678013"/>
      <w:r>
        <w:rPr>
          <w:rFonts w:hint="eastAsia" w:ascii="宋体" w:hAnsi="宋体" w:eastAsia="宋体" w:cs="宋体"/>
          <w:b/>
          <w:bCs/>
          <w:color w:val="auto"/>
          <w:spacing w:val="2"/>
          <w:kern w:val="2"/>
          <w:sz w:val="21"/>
          <w:szCs w:val="21"/>
          <w:highlight w:val="none"/>
          <w:u w:val="none"/>
          <w:lang w:val="en-US" w:eastAsia="zh-CN" w:bidi="ar-SA"/>
        </w:rPr>
        <w:t>承包人原因造成工期延误，逾期竣工违约金的计算方法为：</w:t>
      </w:r>
      <w:r>
        <w:rPr>
          <w:rFonts w:hint="eastAsia" w:ascii="宋体" w:hAnsi="宋体" w:eastAsia="宋体" w:cs="宋体"/>
          <w:b/>
          <w:bCs/>
          <w:color w:val="auto"/>
          <w:spacing w:val="2"/>
          <w:kern w:val="2"/>
          <w:sz w:val="21"/>
          <w:szCs w:val="21"/>
          <w:highlight w:val="none"/>
          <w:u w:val="single"/>
          <w:lang w:val="en-US" w:eastAsia="zh-CN" w:bidi="ar-SA"/>
        </w:rPr>
        <w:t>因承包人原因不能按照协议书约定的竣工日期或工程师同意顺延的工期竣工的，承包人承担违约责任。</w:t>
      </w:r>
    </w:p>
    <w:bookmarkEnd w:id="16"/>
    <w:bookmarkEnd w:id="17"/>
    <w:bookmarkEnd w:id="18"/>
    <w:p w14:paraId="06157F2F">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
          <w:bCs/>
          <w:color w:val="auto"/>
          <w:spacing w:val="0"/>
          <w:kern w:val="2"/>
          <w:sz w:val="21"/>
          <w:szCs w:val="21"/>
          <w:highlight w:val="none"/>
        </w:rPr>
      </w:pPr>
      <w:r>
        <w:rPr>
          <w:rFonts w:hint="eastAsia" w:ascii="宋体" w:hAnsi="宋体" w:eastAsia="宋体" w:cs="宋体"/>
          <w:b/>
          <w:bCs/>
          <w:color w:val="auto"/>
          <w:spacing w:val="0"/>
          <w:kern w:val="2"/>
          <w:sz w:val="21"/>
          <w:szCs w:val="21"/>
          <w:highlight w:val="none"/>
          <w:u w:val="single"/>
        </w:rPr>
        <w:t>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p>
    <w:p w14:paraId="60BB823D">
      <w:pPr>
        <w:pageBreakBefore w:val="0"/>
        <w:widowControl w:val="0"/>
        <w:tabs>
          <w:tab w:val="center" w:pos="4393"/>
          <w:tab w:val="left" w:pos="6774"/>
        </w:tabs>
        <w:kinsoku/>
        <w:wordWrap/>
        <w:overflowPunct/>
        <w:topLinePunct w:val="0"/>
        <w:bidi w:val="0"/>
        <w:spacing w:line="360" w:lineRule="auto"/>
        <w:ind w:right="0" w:firstLine="422" w:firstLineChars="200"/>
        <w:jc w:val="left"/>
        <w:rPr>
          <w:rFonts w:hint="eastAsia" w:ascii="宋体" w:hAnsi="宋体" w:eastAsia="宋体" w:cs="宋体"/>
          <w:b/>
          <w:bCs/>
          <w:color w:val="auto"/>
          <w:spacing w:val="0"/>
          <w:kern w:val="2"/>
          <w:sz w:val="21"/>
          <w:szCs w:val="21"/>
          <w:highlight w:val="none"/>
          <w:u w:val="single"/>
        </w:rPr>
      </w:pPr>
      <w:r>
        <w:rPr>
          <w:rFonts w:hint="eastAsia" w:ascii="宋体" w:hAnsi="宋体" w:eastAsia="宋体" w:cs="宋体"/>
          <w:b/>
          <w:bCs/>
          <w:strike w:val="0"/>
          <w:dstrike w:val="0"/>
          <w:color w:val="auto"/>
          <w:spacing w:val="0"/>
          <w:kern w:val="2"/>
          <w:sz w:val="21"/>
          <w:szCs w:val="21"/>
          <w:highlight w:val="none"/>
          <w:u w:val="single"/>
        </w:rPr>
        <w:t>不能按期完工，视为承包人违约，承包人须按</w:t>
      </w:r>
      <w:r>
        <w:rPr>
          <w:rFonts w:hint="eastAsia" w:ascii="宋体" w:hAnsi="宋体" w:eastAsia="宋体" w:cs="宋体"/>
          <w:b/>
          <w:bCs/>
          <w:strike w:val="0"/>
          <w:dstrike w:val="0"/>
          <w:color w:val="auto"/>
          <w:spacing w:val="0"/>
          <w:kern w:val="2"/>
          <w:sz w:val="21"/>
          <w:szCs w:val="21"/>
          <w:highlight w:val="none"/>
          <w:u w:val="single"/>
          <w:lang w:val="en-US" w:eastAsia="zh-CN"/>
        </w:rPr>
        <w:t>2</w:t>
      </w:r>
      <w:r>
        <w:rPr>
          <w:rFonts w:hint="eastAsia" w:ascii="宋体" w:hAnsi="宋体" w:eastAsia="宋体" w:cs="宋体"/>
          <w:b/>
          <w:bCs/>
          <w:strike w:val="0"/>
          <w:dstrike w:val="0"/>
          <w:color w:val="auto"/>
          <w:spacing w:val="0"/>
          <w:kern w:val="2"/>
          <w:sz w:val="21"/>
          <w:szCs w:val="21"/>
          <w:highlight w:val="none"/>
          <w:u w:val="single"/>
        </w:rPr>
        <w:t>万元/天向发包人支付违约金；对承包人不能按期完工的，且拖延工期达到30天的，除支付约定违约金外，发包人有权解除合同，承包人应按发包人要求退场，并承担发包人的实际损失</w:t>
      </w:r>
      <w:r>
        <w:rPr>
          <w:rFonts w:hint="eastAsia" w:ascii="宋体" w:hAnsi="宋体" w:eastAsia="宋体" w:cs="宋体"/>
          <w:b/>
          <w:bCs/>
          <w:color w:val="auto"/>
          <w:spacing w:val="0"/>
          <w:kern w:val="2"/>
          <w:sz w:val="21"/>
          <w:szCs w:val="21"/>
          <w:highlight w:val="none"/>
          <w:u w:val="single"/>
        </w:rPr>
        <w:t>。</w:t>
      </w:r>
    </w:p>
    <w:p w14:paraId="3DBD9497">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firstLineChars="0"/>
        <w:jc w:val="left"/>
        <w:textAlignment w:val="baseline"/>
        <w:rPr>
          <w:rFonts w:hint="eastAsia" w:ascii="宋体" w:hAnsi="宋体" w:eastAsia="宋体" w:cs="宋体"/>
          <w:bCs/>
          <w:color w:val="auto"/>
          <w:spacing w:val="2"/>
          <w:kern w:val="2"/>
          <w:sz w:val="21"/>
          <w:szCs w:val="21"/>
          <w:highlight w:val="none"/>
          <w:u w:val="none"/>
          <w:lang w:val="en-US" w:eastAsia="zh-CN" w:bidi="ar-SA"/>
        </w:rPr>
      </w:pPr>
      <w:r>
        <w:rPr>
          <w:rFonts w:hint="eastAsia" w:ascii="宋体" w:hAnsi="宋体" w:eastAsia="宋体" w:cs="宋体"/>
          <w:bCs/>
          <w:color w:val="auto"/>
          <w:spacing w:val="2"/>
          <w:kern w:val="2"/>
          <w:sz w:val="21"/>
          <w:szCs w:val="21"/>
          <w:highlight w:val="none"/>
          <w:u w:val="none"/>
          <w:lang w:val="en-US" w:eastAsia="zh-CN" w:bidi="ar-SA"/>
        </w:rPr>
        <w:t>因承包人原因造成工期延误，逾</w:t>
      </w:r>
      <w:bookmarkStart w:id="19" w:name="_Toc312678014"/>
      <w:bookmarkStart w:id="20" w:name="_Toc318581171"/>
      <w:r>
        <w:rPr>
          <w:rFonts w:hint="eastAsia" w:ascii="宋体" w:hAnsi="宋体" w:eastAsia="宋体" w:cs="宋体"/>
          <w:bCs/>
          <w:color w:val="auto"/>
          <w:spacing w:val="2"/>
          <w:kern w:val="2"/>
          <w:sz w:val="21"/>
          <w:szCs w:val="21"/>
          <w:highlight w:val="none"/>
          <w:u w:val="none"/>
          <w:lang w:val="en-US" w:eastAsia="zh-CN" w:bidi="ar-SA"/>
        </w:rPr>
        <w:t>期竣工违约金的上限：</w:t>
      </w:r>
      <w:r>
        <w:rPr>
          <w:rFonts w:hint="eastAsia" w:ascii="宋体" w:hAnsi="宋体" w:eastAsia="宋体" w:cs="宋体"/>
          <w:bCs/>
          <w:color w:val="auto"/>
          <w:spacing w:val="2"/>
          <w:kern w:val="2"/>
          <w:sz w:val="21"/>
          <w:szCs w:val="21"/>
          <w:highlight w:val="none"/>
          <w:u w:val="single"/>
          <w:lang w:val="en-US" w:eastAsia="zh-CN" w:bidi="ar-SA"/>
        </w:rPr>
        <w:t>无上限。</w:t>
      </w:r>
    </w:p>
    <w:bookmarkEnd w:id="19"/>
    <w:bookmarkEnd w:id="20"/>
    <w:p w14:paraId="2F408EB0">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7.6 不利物质条件</w:t>
      </w:r>
    </w:p>
    <w:p w14:paraId="606189BC">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不利物质条件的其他情形和有关约定：</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已</w:t>
      </w:r>
      <w:r>
        <w:rPr>
          <w:rFonts w:hint="eastAsia" w:ascii="宋体" w:hAnsi="宋体" w:eastAsia="宋体" w:cs="宋体"/>
          <w:bCs w:val="0"/>
          <w:color w:val="auto"/>
          <w:spacing w:val="0"/>
          <w:kern w:val="2"/>
          <w:sz w:val="21"/>
          <w:szCs w:val="21"/>
          <w:highlight w:val="none"/>
          <w:u w:val="single"/>
        </w:rPr>
        <w:t>综合考虑在</w:t>
      </w:r>
      <w:r>
        <w:rPr>
          <w:rFonts w:hint="eastAsia" w:ascii="宋体" w:hAnsi="宋体" w:eastAsia="宋体" w:cs="宋体"/>
          <w:bCs w:val="0"/>
          <w:color w:val="auto"/>
          <w:spacing w:val="0"/>
          <w:kern w:val="2"/>
          <w:sz w:val="21"/>
          <w:szCs w:val="21"/>
          <w:highlight w:val="none"/>
          <w:u w:val="single"/>
          <w:lang w:val="en-US" w:eastAsia="zh-CN"/>
        </w:rPr>
        <w:t>合同价款</w:t>
      </w:r>
      <w:r>
        <w:rPr>
          <w:rFonts w:hint="eastAsia" w:ascii="宋体" w:hAnsi="宋体" w:eastAsia="宋体" w:cs="宋体"/>
          <w:bCs w:val="0"/>
          <w:color w:val="auto"/>
          <w:spacing w:val="0"/>
          <w:kern w:val="2"/>
          <w:sz w:val="21"/>
          <w:szCs w:val="21"/>
          <w:highlight w:val="none"/>
          <w:u w:val="single"/>
        </w:rPr>
        <w:t xml:space="preserve">中 </w:t>
      </w:r>
      <w:r>
        <w:rPr>
          <w:rFonts w:hint="eastAsia" w:ascii="宋体" w:hAnsi="宋体" w:eastAsia="宋体" w:cs="宋体"/>
          <w:bCs w:val="0"/>
          <w:color w:val="auto"/>
          <w:spacing w:val="0"/>
          <w:kern w:val="2"/>
          <w:sz w:val="21"/>
          <w:szCs w:val="21"/>
          <w:highlight w:val="none"/>
        </w:rPr>
        <w:t>。</w:t>
      </w:r>
    </w:p>
    <w:p w14:paraId="3893C878">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7.7异常恶劣的气候条件</w:t>
      </w:r>
    </w:p>
    <w:p w14:paraId="386B30D5">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发包人和承包人同意以下情形视为异常恶劣的气候条件：</w:t>
      </w:r>
    </w:p>
    <w:p w14:paraId="7476B600">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u w:val="single"/>
        </w:rPr>
        <w:t>（1）日降雨量大于 50mm 的雨日超过 1 天；</w:t>
      </w:r>
    </w:p>
    <w:p w14:paraId="0EE5597E">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u w:val="single"/>
        </w:rPr>
        <w:t>（2）6 级以上台风灾害；</w:t>
      </w:r>
    </w:p>
    <w:p w14:paraId="65394F30">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3）日气温超过 38℃的高温大于 3 天；</w:t>
      </w:r>
    </w:p>
    <w:p w14:paraId="0FB64B5A">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4）日气温低于-20℃的严寒大于 3 天；</w:t>
      </w:r>
    </w:p>
    <w:p w14:paraId="66A271F7">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5）造成工程损坏的冰雹和大雪灾害：日降雪量 10mm 及以上。</w:t>
      </w:r>
    </w:p>
    <w:p w14:paraId="41AD14CF">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7.9 提前竣工的奖励</w:t>
      </w:r>
    </w:p>
    <w:p w14:paraId="2B4622C5">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7.9.2提前竣工的奖励：</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59D1B882">
      <w:pPr>
        <w:keepNext/>
        <w:keepLines/>
        <w:pageBreakBefore w:val="0"/>
        <w:widowControl w:val="0"/>
        <w:numPr>
          <w:ilvl w:val="3"/>
          <w:numId w:val="2"/>
        </w:numPr>
        <w:kinsoku/>
        <w:wordWrap/>
        <w:overflowPunct/>
        <w:topLinePunct w:val="0"/>
        <w:bidi w:val="0"/>
        <w:spacing w:line="360" w:lineRule="auto"/>
        <w:ind w:left="0" w:right="0" w:firstLine="0" w:firstLineChars="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8. 材料与设备</w:t>
      </w:r>
    </w:p>
    <w:p w14:paraId="54748D1B">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8.4材料与工程设备的保管与使用</w:t>
      </w:r>
    </w:p>
    <w:p w14:paraId="52E3C388">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8.4.1发包人供应的材料设备的保管费用的承担：</w:t>
      </w:r>
      <w:r>
        <w:rPr>
          <w:rFonts w:hint="eastAsia" w:ascii="宋体" w:hAnsi="宋体" w:eastAsia="宋体" w:cs="宋体"/>
          <w:bCs w:val="0"/>
          <w:color w:val="auto"/>
          <w:spacing w:val="0"/>
          <w:kern w:val="2"/>
          <w:sz w:val="21"/>
          <w:szCs w:val="21"/>
          <w:highlight w:val="none"/>
          <w:u w:val="single"/>
        </w:rPr>
        <w:t xml:space="preserve"> 由承包人承担 </w:t>
      </w:r>
      <w:r>
        <w:rPr>
          <w:rFonts w:hint="eastAsia" w:ascii="宋体" w:hAnsi="宋体" w:eastAsia="宋体" w:cs="宋体"/>
          <w:bCs w:val="0"/>
          <w:color w:val="auto"/>
          <w:spacing w:val="0"/>
          <w:kern w:val="2"/>
          <w:sz w:val="21"/>
          <w:szCs w:val="21"/>
          <w:highlight w:val="none"/>
        </w:rPr>
        <w:t>。</w:t>
      </w:r>
    </w:p>
    <w:p w14:paraId="5154ABC0">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8.6 样品</w:t>
      </w:r>
    </w:p>
    <w:p w14:paraId="123340DA">
      <w:pPr>
        <w:pageBreakBefore w:val="0"/>
        <w:widowControl w:val="0"/>
        <w:tabs>
          <w:tab w:val="center" w:pos="4393"/>
          <w:tab w:val="left" w:pos="6774"/>
        </w:tabs>
        <w:kinsoku/>
        <w:wordWrap/>
        <w:overflowPunct/>
        <w:topLinePunct w:val="0"/>
        <w:autoSpaceDE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8.6.1 样品的报送与封存</w:t>
      </w:r>
    </w:p>
    <w:p w14:paraId="29F9501A">
      <w:pPr>
        <w:pageBreakBefore w:val="0"/>
        <w:widowControl w:val="0"/>
        <w:tabs>
          <w:tab w:val="center" w:pos="4393"/>
          <w:tab w:val="left" w:pos="6774"/>
        </w:tabs>
        <w:kinsoku/>
        <w:wordWrap/>
        <w:overflowPunct/>
        <w:topLinePunct w:val="0"/>
        <w:autoSpaceDE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需要承包人报送样品的材料或工程设备，样品的种类、名称、规格、数量要求：</w:t>
      </w:r>
      <w:r>
        <w:rPr>
          <w:rFonts w:hint="eastAsia" w:ascii="宋体" w:hAnsi="宋体" w:eastAsia="宋体" w:cs="宋体"/>
          <w:bCs w:val="0"/>
          <w:color w:val="auto"/>
          <w:spacing w:val="0"/>
          <w:kern w:val="2"/>
          <w:sz w:val="21"/>
          <w:szCs w:val="21"/>
          <w:highlight w:val="none"/>
          <w:u w:val="single"/>
        </w:rPr>
        <w:t>承包人负责采购材料、工程设备的，应按照设计和有关标准要求采购，并提供产品合格证明、质检报告及出厂证明，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p>
    <w:p w14:paraId="518C1576">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8.8 施工设备和临时设施</w:t>
      </w:r>
    </w:p>
    <w:p w14:paraId="734EAE82">
      <w:pPr>
        <w:pageBreakBefore w:val="0"/>
        <w:widowControl w:val="0"/>
        <w:tabs>
          <w:tab w:val="center" w:pos="4393"/>
          <w:tab w:val="left" w:pos="6774"/>
        </w:tabs>
        <w:kinsoku/>
        <w:wordWrap/>
        <w:overflowPunct/>
        <w:topLinePunct w:val="0"/>
        <w:autoSpaceDE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8.8.1 承包人提供的施工设备和临时设施</w:t>
      </w:r>
    </w:p>
    <w:p w14:paraId="7C463321">
      <w:pPr>
        <w:pageBreakBefore w:val="0"/>
        <w:widowControl w:val="0"/>
        <w:tabs>
          <w:tab w:val="center" w:pos="4393"/>
          <w:tab w:val="left" w:pos="6774"/>
        </w:tabs>
        <w:kinsoku/>
        <w:wordWrap/>
        <w:overflowPunct/>
        <w:topLinePunct w:val="0"/>
        <w:autoSpaceDE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关于修建临时设施费用承担的约定：</w:t>
      </w:r>
      <w:r>
        <w:rPr>
          <w:rFonts w:hint="eastAsia" w:ascii="宋体" w:hAnsi="宋体" w:eastAsia="宋体" w:cs="宋体"/>
          <w:bCs w:val="0"/>
          <w:color w:val="auto"/>
          <w:spacing w:val="0"/>
          <w:kern w:val="2"/>
          <w:sz w:val="21"/>
          <w:szCs w:val="21"/>
          <w:highlight w:val="none"/>
          <w:u w:val="single"/>
        </w:rPr>
        <w:t xml:space="preserve"> 由承包人承担 </w:t>
      </w:r>
      <w:r>
        <w:rPr>
          <w:rFonts w:hint="eastAsia" w:ascii="宋体" w:hAnsi="宋体" w:eastAsia="宋体" w:cs="宋体"/>
          <w:bCs w:val="0"/>
          <w:color w:val="auto"/>
          <w:spacing w:val="0"/>
          <w:kern w:val="2"/>
          <w:sz w:val="21"/>
          <w:szCs w:val="21"/>
          <w:highlight w:val="none"/>
        </w:rPr>
        <w:t>。</w:t>
      </w:r>
    </w:p>
    <w:p w14:paraId="117ADA05">
      <w:pPr>
        <w:keepNext/>
        <w:keepLines/>
        <w:pageBreakBefore w:val="0"/>
        <w:widowControl w:val="0"/>
        <w:numPr>
          <w:ilvl w:val="3"/>
          <w:numId w:val="2"/>
        </w:numPr>
        <w:kinsoku/>
        <w:wordWrap/>
        <w:overflowPunct/>
        <w:topLinePunct w:val="0"/>
        <w:bidi w:val="0"/>
        <w:spacing w:line="360" w:lineRule="auto"/>
        <w:ind w:left="0" w:right="0" w:firstLine="0" w:firstLineChars="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9. 试验与检验</w:t>
      </w:r>
    </w:p>
    <w:p w14:paraId="31E2EB9B">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9.1试验设备与试验人员</w:t>
      </w:r>
    </w:p>
    <w:p w14:paraId="3B8B27D7">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9.1.2 试验设备</w:t>
      </w:r>
    </w:p>
    <w:p w14:paraId="3FD4511F">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施工现场需要配置的试验场所：</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bidi="ar"/>
        </w:rPr>
        <w:t>由承包人提供</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69C4C65">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施工现场需要配备的试验设备：</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bidi="ar"/>
        </w:rPr>
        <w:t>由承包人提供</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3404C8F3">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施工现场需要具备的其他试验条件：</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bidi="ar"/>
        </w:rPr>
        <w:t>由承包人提供</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2C30D41">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9.4 现场工艺试验 </w:t>
      </w:r>
    </w:p>
    <w:p w14:paraId="41001EE2">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现场工艺试验的有关约定：</w:t>
      </w:r>
      <w:r>
        <w:rPr>
          <w:rFonts w:hint="eastAsia" w:ascii="宋体" w:hAnsi="宋体" w:eastAsia="宋体" w:cs="宋体"/>
          <w:bCs w:val="0"/>
          <w:color w:val="auto"/>
          <w:spacing w:val="0"/>
          <w:kern w:val="2"/>
          <w:sz w:val="21"/>
          <w:szCs w:val="21"/>
          <w:highlight w:val="none"/>
          <w:u w:val="single"/>
        </w:rPr>
        <w:t xml:space="preserve"> 根据现场实际施工需求  </w:t>
      </w:r>
      <w:r>
        <w:rPr>
          <w:rFonts w:hint="eastAsia" w:ascii="宋体" w:hAnsi="宋体" w:eastAsia="宋体" w:cs="宋体"/>
          <w:bCs w:val="0"/>
          <w:color w:val="auto"/>
          <w:spacing w:val="0"/>
          <w:kern w:val="2"/>
          <w:sz w:val="21"/>
          <w:szCs w:val="21"/>
          <w:highlight w:val="none"/>
        </w:rPr>
        <w:t>。</w:t>
      </w:r>
    </w:p>
    <w:p w14:paraId="7B61E96A">
      <w:pPr>
        <w:keepNext/>
        <w:keepLines/>
        <w:pageBreakBefore w:val="0"/>
        <w:widowControl w:val="0"/>
        <w:numPr>
          <w:ilvl w:val="3"/>
          <w:numId w:val="2"/>
        </w:numPr>
        <w:kinsoku/>
        <w:wordWrap/>
        <w:overflowPunct/>
        <w:topLinePunct w:val="0"/>
        <w:bidi w:val="0"/>
        <w:spacing w:line="360" w:lineRule="auto"/>
        <w:ind w:left="0" w:right="0" w:firstLine="0" w:firstLineChars="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10. 变更</w:t>
      </w:r>
    </w:p>
    <w:p w14:paraId="0EBDB808">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w:t>
      </w:r>
      <w:bookmarkStart w:id="21" w:name="_Toc292559399"/>
      <w:bookmarkStart w:id="22" w:name="_Toc296891022"/>
      <w:bookmarkStart w:id="23" w:name="_Toc296347193"/>
      <w:bookmarkStart w:id="24" w:name="_Toc296503194"/>
      <w:bookmarkStart w:id="25" w:name="_Toc297048380"/>
      <w:bookmarkStart w:id="26" w:name="_Toc304295567"/>
      <w:bookmarkStart w:id="27" w:name="_Toc297216200"/>
      <w:bookmarkStart w:id="28" w:name="_Toc312678026"/>
      <w:bookmarkStart w:id="29" w:name="_Toc312677500"/>
      <w:bookmarkStart w:id="30" w:name="_Toc300934990"/>
      <w:bookmarkStart w:id="31" w:name="_Toc296944533"/>
      <w:bookmarkStart w:id="32" w:name="_Toc292559904"/>
      <w:bookmarkStart w:id="33" w:name="_Toc297123541"/>
      <w:bookmarkStart w:id="34" w:name="_Toc296891234"/>
      <w:bookmarkStart w:id="35" w:name="_Toc297120494"/>
      <w:bookmarkStart w:id="36" w:name="_Toc303539147"/>
      <w:bookmarkStart w:id="37" w:name="_Toc296346695"/>
      <w:r>
        <w:rPr>
          <w:rFonts w:hint="eastAsia" w:ascii="宋体" w:hAnsi="宋体" w:eastAsia="宋体" w:cs="宋体"/>
          <w:bCs w:val="0"/>
          <w:color w:val="auto"/>
          <w:spacing w:val="0"/>
          <w:kern w:val="2"/>
          <w:sz w:val="21"/>
          <w:szCs w:val="21"/>
          <w:highlight w:val="none"/>
        </w:rPr>
        <w:t>0.1变更的范围</w:t>
      </w:r>
    </w:p>
    <w:p w14:paraId="26C46482">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关于变更的范围的约定： </w:t>
      </w:r>
      <w:r>
        <w:rPr>
          <w:rFonts w:hint="eastAsia" w:ascii="宋体" w:hAnsi="宋体" w:eastAsia="宋体" w:cs="宋体"/>
          <w:bCs w:val="0"/>
          <w:color w:val="auto"/>
          <w:spacing w:val="0"/>
          <w:kern w:val="2"/>
          <w:sz w:val="21"/>
          <w:szCs w:val="21"/>
          <w:highlight w:val="none"/>
          <w:lang w:val="en-US" w:eastAsia="zh-CN"/>
        </w:rPr>
        <w:t>工程变更是经发包人批准的对合同工程工作内容、合同图纸、合同规范、位置与尺寸、施工顺序与时间、施工条件或其他特征及合同条款等的改变；工程变更应按发包人颁发或确认的变更指令及实际施工图纸重新计算分部分项工程清单项目及工程量，并与已纠正工程量清单缺陷的工程量清单项目及其工程量进行比较，确定增减变更项目及其工程量</w:t>
      </w:r>
      <w:r>
        <w:rPr>
          <w:rFonts w:hint="eastAsia" w:ascii="宋体" w:hAnsi="宋体" w:eastAsia="宋体" w:cs="宋体"/>
          <w:bCs w:val="0"/>
          <w:color w:val="auto"/>
          <w:spacing w:val="0"/>
          <w:kern w:val="2"/>
          <w:sz w:val="21"/>
          <w:szCs w:val="21"/>
          <w:highlight w:val="none"/>
          <w:lang w:eastAsia="zh-CN"/>
        </w:rPr>
        <w:t>。</w:t>
      </w:r>
    </w:p>
    <w:p w14:paraId="280A5951">
      <w:pPr>
        <w:pageBreakBefore w:val="0"/>
        <w:widowControl w:val="0"/>
        <w:tabs>
          <w:tab w:val="center" w:pos="4393"/>
          <w:tab w:val="left" w:pos="6774"/>
        </w:tabs>
        <w:kinsoku/>
        <w:wordWrap/>
        <w:overflowPunct/>
        <w:topLinePunct w:val="0"/>
        <w:autoSpaceDE w:val="0"/>
        <w:autoSpaceDN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10.</w:t>
      </w:r>
      <w:r>
        <w:rPr>
          <w:rFonts w:hint="eastAsia" w:ascii="宋体" w:hAnsi="宋体" w:eastAsia="宋体" w:cs="宋体"/>
          <w:bCs w:val="0"/>
          <w:color w:val="auto"/>
          <w:spacing w:val="0"/>
          <w:kern w:val="2"/>
          <w:sz w:val="21"/>
          <w:szCs w:val="21"/>
          <w:highlight w:val="none"/>
          <w:lang w:val="en-US" w:eastAsia="zh-CN"/>
        </w:rPr>
        <w:t>4</w:t>
      </w:r>
      <w:r>
        <w:rPr>
          <w:rFonts w:hint="eastAsia" w:ascii="宋体" w:hAnsi="宋体" w:eastAsia="宋体" w:cs="宋体"/>
          <w:bCs w:val="0"/>
          <w:color w:val="auto"/>
          <w:spacing w:val="0"/>
          <w:kern w:val="2"/>
          <w:sz w:val="21"/>
          <w:szCs w:val="21"/>
          <w:highlight w:val="none"/>
        </w:rPr>
        <w:t>变更估价</w:t>
      </w:r>
    </w:p>
    <w:p w14:paraId="65396932">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10.</w:t>
      </w:r>
      <w:r>
        <w:rPr>
          <w:rFonts w:hint="eastAsia" w:ascii="宋体" w:hAnsi="宋体" w:eastAsia="宋体" w:cs="宋体"/>
          <w:bCs w:val="0"/>
          <w:color w:val="auto"/>
          <w:spacing w:val="0"/>
          <w:kern w:val="2"/>
          <w:sz w:val="21"/>
          <w:szCs w:val="21"/>
          <w:highlight w:val="none"/>
          <w:lang w:val="en-US" w:eastAsia="zh-CN"/>
        </w:rPr>
        <w:t>4</w:t>
      </w:r>
      <w:r>
        <w:rPr>
          <w:rFonts w:hint="eastAsia" w:ascii="宋体" w:hAnsi="宋体" w:eastAsia="宋体" w:cs="宋体"/>
          <w:bCs w:val="0"/>
          <w:color w:val="auto"/>
          <w:spacing w:val="0"/>
          <w:kern w:val="2"/>
          <w:sz w:val="21"/>
          <w:szCs w:val="21"/>
          <w:highlight w:val="none"/>
        </w:rPr>
        <w:t>.1 变更估价原则</w:t>
      </w:r>
    </w:p>
    <w:p w14:paraId="521D2023">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lang w:eastAsia="zh-CN"/>
        </w:rPr>
      </w:pPr>
      <w:r>
        <w:rPr>
          <w:rFonts w:hint="eastAsia" w:ascii="宋体" w:hAnsi="宋体" w:eastAsia="宋体" w:cs="宋体"/>
          <w:bCs w:val="0"/>
          <w:color w:val="auto"/>
          <w:spacing w:val="0"/>
          <w:kern w:val="2"/>
          <w:sz w:val="21"/>
          <w:szCs w:val="21"/>
          <w:highlight w:val="none"/>
        </w:rPr>
        <w:t>关于变更估价的约定</w:t>
      </w:r>
      <w:r>
        <w:rPr>
          <w:rFonts w:hint="eastAsia" w:ascii="宋体" w:hAnsi="宋体" w:eastAsia="宋体" w:cs="宋体"/>
          <w:bCs w:val="0"/>
          <w:color w:val="auto"/>
          <w:spacing w:val="0"/>
          <w:kern w:val="2"/>
          <w:sz w:val="21"/>
          <w:szCs w:val="21"/>
          <w:highlight w:val="none"/>
          <w:lang w:eastAsia="zh-CN"/>
        </w:rPr>
        <w:t>：</w:t>
      </w:r>
    </w:p>
    <w:p w14:paraId="79EA4787">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1、 因工程变更或工程量缺陷引起分部分项工程的清单项目变化（项目增减），或清单工程量发生变化且工程量变化不超出15%（含15%）时 ，发承包双方应依据2024计价标准规定确认的工程变更或工程量清单缺陷引起变化的工程量按下列规定确定综合单价并计价，调整合同价格：</w:t>
      </w:r>
    </w:p>
    <w:p w14:paraId="4FC453A8">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（1）相同施工条件下实施相同项目特征的清单项目，应采用相应的合同单价；</w:t>
      </w:r>
    </w:p>
    <w:p w14:paraId="217EBE59">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（2）相同施工条件下实施类似项目特征的清单项目或类似施工条件下实施相同项目特征的清单项目，应采用类似清单项目的合同单价换算调整后的综合单价；</w:t>
      </w:r>
    </w:p>
    <w:p w14:paraId="5515F2F7">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（3）相同施工条件下实施不同项目特征的清单项目或不同施工条件下实施相同项目特征的清单项</w:t>
      </w:r>
      <w:r>
        <w:rPr>
          <w:rFonts w:hint="default" w:ascii="宋体" w:hAnsi="宋体" w:eastAsia="宋体" w:cs="宋体"/>
          <w:bCs w:val="0"/>
          <w:color w:val="auto"/>
          <w:spacing w:val="0"/>
          <w:kern w:val="2"/>
          <w:sz w:val="21"/>
          <w:szCs w:val="21"/>
          <w:highlight w:val="none"/>
          <w:lang w:val="en-US" w:eastAsia="zh-CN"/>
        </w:rPr>
        <w:t>目，可依据工程实施情况，结合类似项目的合同单价计价规则及报价水平，协商确定市场合理的综合单价；</w:t>
      </w:r>
    </w:p>
    <w:p w14:paraId="34306C08">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（4）</w:t>
      </w:r>
      <w:r>
        <w:rPr>
          <w:rFonts w:hint="default" w:ascii="宋体" w:hAnsi="宋体" w:eastAsia="宋体" w:cs="宋体"/>
          <w:bCs w:val="0"/>
          <w:color w:val="auto"/>
          <w:spacing w:val="0"/>
          <w:kern w:val="2"/>
          <w:sz w:val="21"/>
          <w:szCs w:val="21"/>
          <w:highlight w:val="none"/>
          <w:lang w:val="en-US" w:eastAsia="zh-CN"/>
        </w:rPr>
        <w:t>不同施工条件下实施不同项目特征的清单项目，可依据工程实施情况，结合同类工程类似清单项目的综合单价，协商确定市场合理的综合单价</w:t>
      </w:r>
    </w:p>
    <w:p w14:paraId="0D5B9575">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（5）</w:t>
      </w:r>
      <w:r>
        <w:rPr>
          <w:rFonts w:hint="default" w:ascii="宋体" w:hAnsi="宋体" w:eastAsia="宋体" w:cs="宋体"/>
          <w:bCs w:val="0"/>
          <w:color w:val="auto"/>
          <w:spacing w:val="0"/>
          <w:kern w:val="2"/>
          <w:sz w:val="21"/>
          <w:szCs w:val="21"/>
          <w:highlight w:val="none"/>
          <w:lang w:val="en-US" w:eastAsia="zh-CN"/>
        </w:rPr>
        <w:t>因减少或取消清单项目的工程变更显著改变了实施中的工程施工条件，可根据实施工程的具体情况、市场价格、合同单价计价规则及报价水平协商确定工程变更的综合单价。</w:t>
      </w:r>
    </w:p>
    <w:p w14:paraId="4CEEFEF4">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2、因工程变更或工程量清单缺陷引起分部分项工程的清单工程量发生变</w:t>
      </w:r>
      <w:r>
        <w:rPr>
          <w:rFonts w:hint="default" w:ascii="宋体" w:hAnsi="宋体" w:eastAsia="宋体" w:cs="宋体"/>
          <w:bCs w:val="0"/>
          <w:color w:val="auto"/>
          <w:spacing w:val="0"/>
          <w:kern w:val="2"/>
          <w:sz w:val="21"/>
          <w:szCs w:val="21"/>
          <w:highlight w:val="none"/>
          <w:lang w:val="en-US" w:eastAsia="zh-CN"/>
        </w:rPr>
        <w:t>化，且工程量变化超出15%(不含15%)时，发承包双方</w:t>
      </w:r>
      <w:r>
        <w:rPr>
          <w:rFonts w:hint="eastAsia" w:ascii="宋体" w:hAnsi="宋体" w:eastAsia="宋体" w:cs="宋体"/>
          <w:bCs w:val="0"/>
          <w:color w:val="auto"/>
          <w:spacing w:val="0"/>
          <w:kern w:val="2"/>
          <w:sz w:val="21"/>
          <w:szCs w:val="21"/>
          <w:highlight w:val="none"/>
          <w:lang w:val="en-US" w:eastAsia="zh-CN"/>
        </w:rPr>
        <w:t>应依据2024计价标准规定</w:t>
      </w:r>
      <w:r>
        <w:rPr>
          <w:rFonts w:hint="default" w:ascii="宋体" w:hAnsi="宋体" w:eastAsia="宋体" w:cs="宋体"/>
          <w:bCs w:val="0"/>
          <w:color w:val="auto"/>
          <w:spacing w:val="0"/>
          <w:kern w:val="2"/>
          <w:sz w:val="21"/>
          <w:szCs w:val="21"/>
          <w:highlight w:val="none"/>
          <w:lang w:val="en-US" w:eastAsia="zh-CN"/>
        </w:rPr>
        <w:t>确认的工程变更或工程量清单缺陷引起变化的工程量，按下列规定调整合同价格：</w:t>
      </w:r>
    </w:p>
    <w:p w14:paraId="4B02DF3F">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（1）如工程变更或工程量清单缺陷引起增加清单项目及相应清单项目工程量的，可依据上述不超15%的调整合同价格的约</w:t>
      </w:r>
      <w:r>
        <w:rPr>
          <w:rFonts w:hint="default" w:ascii="宋体" w:hAnsi="宋体" w:eastAsia="宋体" w:cs="宋体"/>
          <w:bCs w:val="0"/>
          <w:color w:val="auto"/>
          <w:spacing w:val="0"/>
          <w:kern w:val="2"/>
          <w:sz w:val="21"/>
          <w:szCs w:val="21"/>
          <w:highlight w:val="none"/>
          <w:lang w:val="en-US" w:eastAsia="zh-CN"/>
        </w:rPr>
        <w:t>定，并结合因增加工程数量引起的人工及材料采购价格优惠的影响，在合理下调其合同单价及新增综合单价后，计算相应清单项目价格，调整合同价格</w:t>
      </w:r>
    </w:p>
    <w:p w14:paraId="0042BAAF">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（2）</w:t>
      </w:r>
      <w:r>
        <w:rPr>
          <w:rFonts w:hint="default" w:ascii="宋体" w:hAnsi="宋体" w:eastAsia="宋体" w:cs="宋体"/>
          <w:bCs w:val="0"/>
          <w:color w:val="auto"/>
          <w:spacing w:val="0"/>
          <w:kern w:val="2"/>
          <w:sz w:val="21"/>
          <w:szCs w:val="21"/>
          <w:highlight w:val="none"/>
          <w:lang w:val="en-US" w:eastAsia="zh-CN"/>
        </w:rPr>
        <w:t>如工程变更或工程量清单缺陷引起减少清单项目及相应清单项目工程量的，可依据</w:t>
      </w:r>
      <w:r>
        <w:rPr>
          <w:rFonts w:hint="eastAsia" w:ascii="宋体" w:hAnsi="宋体" w:eastAsia="宋体" w:cs="宋体"/>
          <w:bCs w:val="0"/>
          <w:color w:val="auto"/>
          <w:spacing w:val="0"/>
          <w:kern w:val="2"/>
          <w:sz w:val="21"/>
          <w:szCs w:val="21"/>
          <w:highlight w:val="none"/>
          <w:lang w:val="en-US" w:eastAsia="zh-CN"/>
        </w:rPr>
        <w:t>上述不超15%的调整合同价格的约</w:t>
      </w:r>
      <w:r>
        <w:rPr>
          <w:rFonts w:hint="default" w:ascii="宋体" w:hAnsi="宋体" w:eastAsia="宋体" w:cs="宋体"/>
          <w:bCs w:val="0"/>
          <w:color w:val="auto"/>
          <w:spacing w:val="0"/>
          <w:kern w:val="2"/>
          <w:sz w:val="21"/>
          <w:szCs w:val="21"/>
          <w:highlight w:val="none"/>
          <w:lang w:val="en-US" w:eastAsia="zh-CN"/>
        </w:rPr>
        <w:t>定，并结合因减少工程数量引起的人工及材料采购价格失去优惠的影响，在合理上调其合同单价及新增综合单价后，计算相应清单项目价格，调整合同价格</w:t>
      </w:r>
    </w:p>
    <w:p w14:paraId="66E76DAE">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3、</w:t>
      </w:r>
      <w:r>
        <w:rPr>
          <w:rFonts w:hint="default" w:ascii="宋体" w:hAnsi="宋体" w:eastAsia="宋体" w:cs="宋体"/>
          <w:bCs w:val="0"/>
          <w:color w:val="auto"/>
          <w:spacing w:val="0"/>
          <w:kern w:val="2"/>
          <w:sz w:val="21"/>
          <w:szCs w:val="21"/>
          <w:highlight w:val="none"/>
          <w:lang w:val="en-US" w:eastAsia="zh-CN"/>
        </w:rPr>
        <w:t>由于工程变更引起的措施项目变化，应按发包人批准的承包人专为工程变更拟定的实施方案或实际发生内容，计算其因工程变更而需要增加投入的施工管理人员、增加搭设的临时设施及其他增加的施工措施工程(工作)量</w:t>
      </w:r>
      <w:r>
        <w:rPr>
          <w:rFonts w:hint="eastAsia" w:ascii="宋体" w:hAnsi="宋体" w:eastAsia="宋体" w:cs="宋体"/>
          <w:bCs w:val="0"/>
          <w:color w:val="auto"/>
          <w:spacing w:val="0"/>
          <w:kern w:val="2"/>
          <w:sz w:val="21"/>
          <w:szCs w:val="21"/>
          <w:highlight w:val="none"/>
          <w:lang w:val="en-US" w:eastAsia="zh-CN"/>
        </w:rPr>
        <w:t>，</w:t>
      </w:r>
      <w:r>
        <w:rPr>
          <w:rFonts w:hint="default" w:ascii="宋体" w:hAnsi="宋体" w:eastAsia="宋体" w:cs="宋体"/>
          <w:bCs w:val="0"/>
          <w:color w:val="auto"/>
          <w:spacing w:val="0"/>
          <w:kern w:val="2"/>
          <w:sz w:val="21"/>
          <w:szCs w:val="21"/>
          <w:highlight w:val="none"/>
          <w:lang w:val="en-US" w:eastAsia="zh-CN"/>
        </w:rPr>
        <w:t>增加的措施项目费用应按下列规定计算</w:t>
      </w:r>
      <w:r>
        <w:rPr>
          <w:rFonts w:hint="eastAsia" w:ascii="宋体" w:hAnsi="宋体" w:eastAsia="宋体" w:cs="宋体"/>
          <w:bCs w:val="0"/>
          <w:color w:val="auto"/>
          <w:spacing w:val="0"/>
          <w:kern w:val="2"/>
          <w:sz w:val="21"/>
          <w:szCs w:val="21"/>
          <w:highlight w:val="none"/>
          <w:lang w:val="en-US" w:eastAsia="zh-CN"/>
        </w:rPr>
        <w:t>：</w:t>
      </w:r>
    </w:p>
    <w:p w14:paraId="4D248C46">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（1）完成工程变更所需增加的(现场没有的)施工机具，应按实际发生施工机具的型号、台数及其耗</w:t>
      </w:r>
      <w:r>
        <w:rPr>
          <w:rFonts w:hint="default" w:ascii="宋体" w:hAnsi="宋体" w:eastAsia="宋体" w:cs="宋体"/>
          <w:bCs w:val="0"/>
          <w:color w:val="auto"/>
          <w:spacing w:val="0"/>
          <w:kern w:val="2"/>
          <w:sz w:val="21"/>
          <w:szCs w:val="21"/>
          <w:highlight w:val="none"/>
          <w:lang w:val="en-US" w:eastAsia="zh-CN"/>
        </w:rPr>
        <w:t>用台班计量，</w:t>
      </w:r>
      <w:r>
        <w:rPr>
          <w:rFonts w:hint="eastAsia" w:ascii="宋体" w:hAnsi="宋体" w:eastAsia="宋体" w:cs="宋体"/>
          <w:bCs w:val="0"/>
          <w:color w:val="auto"/>
          <w:spacing w:val="0"/>
          <w:kern w:val="2"/>
          <w:sz w:val="21"/>
          <w:szCs w:val="21"/>
          <w:highlight w:val="none"/>
          <w:lang w:val="en-US" w:eastAsia="zh-CN"/>
        </w:rPr>
        <w:t>可依据工程所在地工程造价管理部门或行业发布的工程价格信息中的不含</w:t>
      </w:r>
      <w:r>
        <w:rPr>
          <w:rFonts w:hint="default" w:ascii="宋体" w:hAnsi="宋体" w:eastAsia="宋体" w:cs="宋体"/>
          <w:bCs w:val="0"/>
          <w:color w:val="auto"/>
          <w:spacing w:val="0"/>
          <w:kern w:val="2"/>
          <w:sz w:val="21"/>
          <w:szCs w:val="21"/>
          <w:highlight w:val="none"/>
          <w:lang w:val="en-US" w:eastAsia="zh-CN"/>
        </w:rPr>
        <w:t>税人工、材料、施工机具租赁市场价格信息，以及合同清单中类似清单项目综合单价分析表中的明细价格组成等确定。</w:t>
      </w:r>
      <w:r>
        <w:rPr>
          <w:rFonts w:hint="eastAsia" w:ascii="宋体" w:hAnsi="宋体" w:eastAsia="宋体" w:cs="宋体"/>
          <w:bCs w:val="0"/>
          <w:color w:val="auto"/>
          <w:spacing w:val="0"/>
          <w:kern w:val="2"/>
          <w:sz w:val="21"/>
          <w:szCs w:val="21"/>
          <w:highlight w:val="none"/>
          <w:lang w:val="en-US" w:eastAsia="zh-CN"/>
        </w:rPr>
        <w:t>工</w:t>
      </w:r>
      <w:r>
        <w:rPr>
          <w:rFonts w:hint="default" w:ascii="宋体" w:hAnsi="宋体" w:eastAsia="宋体" w:cs="宋体"/>
          <w:bCs w:val="0"/>
          <w:color w:val="auto"/>
          <w:spacing w:val="0"/>
          <w:kern w:val="2"/>
          <w:sz w:val="21"/>
          <w:szCs w:val="21"/>
          <w:highlight w:val="none"/>
          <w:lang w:val="en-US" w:eastAsia="zh-CN"/>
        </w:rPr>
        <w:t>程所在地工程造价管理部门及行业发布的工程价格信息中没有相关市场价格信息的，可依据经发承包双方确认的承包人采购单价，以及合同清单中类似清单项目综合单价分析表中的明细价格组成等确定</w:t>
      </w:r>
      <w:r>
        <w:rPr>
          <w:rFonts w:hint="eastAsia" w:ascii="宋体" w:hAnsi="宋体" w:eastAsia="宋体" w:cs="宋体"/>
          <w:bCs w:val="0"/>
          <w:color w:val="auto"/>
          <w:spacing w:val="0"/>
          <w:kern w:val="2"/>
          <w:sz w:val="21"/>
          <w:szCs w:val="21"/>
          <w:highlight w:val="none"/>
          <w:lang w:val="en-US" w:eastAsia="zh-CN"/>
        </w:rPr>
        <w:t>。</w:t>
      </w:r>
    </w:p>
    <w:p w14:paraId="4B574E5D">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(2)</w:t>
      </w:r>
      <w:r>
        <w:rPr>
          <w:rFonts w:hint="default" w:ascii="宋体" w:hAnsi="宋体" w:eastAsia="宋体" w:cs="宋体"/>
          <w:bCs w:val="0"/>
          <w:color w:val="auto"/>
          <w:spacing w:val="0"/>
          <w:kern w:val="2"/>
          <w:sz w:val="21"/>
          <w:szCs w:val="21"/>
          <w:highlight w:val="none"/>
          <w:lang w:val="en-US" w:eastAsia="zh-CN"/>
        </w:rPr>
        <w:t>完成工程变更所需增加设置的(现场没有的)临时设施，应按实际发生临时设施的类型、数量及用时间进行计量，按发承包双方协商确定的合理市场价格进行计价</w:t>
      </w:r>
    </w:p>
    <w:p w14:paraId="52CE44E4">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(3)</w:t>
      </w:r>
      <w:r>
        <w:rPr>
          <w:rFonts w:hint="default" w:ascii="宋体" w:hAnsi="宋体" w:eastAsia="宋体" w:cs="宋体"/>
          <w:bCs w:val="0"/>
          <w:color w:val="auto"/>
          <w:spacing w:val="0"/>
          <w:kern w:val="2"/>
          <w:sz w:val="21"/>
          <w:szCs w:val="21"/>
          <w:highlight w:val="none"/>
          <w:lang w:val="en-US" w:eastAsia="zh-CN"/>
        </w:rPr>
        <w:t>工程变更引起合同工期变化的，应依据发包人批准的工期延长或缩短的时间按规定计算调整措施项目调增(减)价格</w:t>
      </w:r>
      <w:r>
        <w:rPr>
          <w:rFonts w:hint="eastAsia" w:ascii="宋体" w:hAnsi="宋体" w:eastAsia="宋体" w:cs="宋体"/>
          <w:bCs w:val="0"/>
          <w:color w:val="auto"/>
          <w:spacing w:val="0"/>
          <w:kern w:val="2"/>
          <w:sz w:val="21"/>
          <w:szCs w:val="21"/>
          <w:highlight w:val="none"/>
          <w:lang w:val="en-US" w:eastAsia="zh-CN"/>
        </w:rPr>
        <w:t>：</w:t>
      </w:r>
      <w:r>
        <w:rPr>
          <w:rFonts w:hint="default" w:ascii="宋体" w:hAnsi="宋体" w:eastAsia="宋体" w:cs="宋体"/>
          <w:bCs w:val="0"/>
          <w:color w:val="auto"/>
          <w:spacing w:val="0"/>
          <w:kern w:val="2"/>
          <w:sz w:val="21"/>
          <w:szCs w:val="21"/>
          <w:highlight w:val="none"/>
          <w:lang w:val="en-US" w:eastAsia="zh-CN"/>
        </w:rPr>
        <w:t>措施项目调增(减)价格=延长(缩短)工期×措施项目中期运行费用/合同工期</w:t>
      </w:r>
    </w:p>
    <w:p w14:paraId="2BB31A94">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(4)</w:t>
      </w:r>
      <w:r>
        <w:rPr>
          <w:rFonts w:hint="default" w:ascii="宋体" w:hAnsi="宋体" w:eastAsia="宋体" w:cs="宋体"/>
          <w:bCs w:val="0"/>
          <w:color w:val="auto"/>
          <w:spacing w:val="0"/>
          <w:kern w:val="2"/>
          <w:sz w:val="21"/>
          <w:szCs w:val="21"/>
          <w:highlight w:val="none"/>
          <w:lang w:val="en-US" w:eastAsia="zh-CN"/>
        </w:rPr>
        <w:t>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w:t>
      </w:r>
      <w:r>
        <w:rPr>
          <w:rFonts w:hint="eastAsia" w:ascii="宋体" w:hAnsi="宋体" w:eastAsia="宋体" w:cs="宋体"/>
          <w:bCs w:val="0"/>
          <w:color w:val="auto"/>
          <w:spacing w:val="0"/>
          <w:kern w:val="2"/>
          <w:sz w:val="21"/>
          <w:szCs w:val="21"/>
          <w:highlight w:val="none"/>
          <w:lang w:val="en-US" w:eastAsia="zh-CN"/>
        </w:rPr>
        <w:t>上述</w:t>
      </w:r>
      <w:r>
        <w:rPr>
          <w:rFonts w:hint="default" w:ascii="宋体" w:hAnsi="宋体" w:eastAsia="宋体" w:cs="宋体"/>
          <w:bCs w:val="0"/>
          <w:color w:val="auto"/>
          <w:spacing w:val="0"/>
          <w:kern w:val="2"/>
          <w:sz w:val="21"/>
          <w:szCs w:val="21"/>
          <w:highlight w:val="none"/>
          <w:lang w:val="en-US" w:eastAsia="zh-CN"/>
        </w:rPr>
        <w:t>规定调整措施项目费</w:t>
      </w:r>
    </w:p>
    <w:p w14:paraId="18E78D1C">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(5)</w:t>
      </w:r>
      <w:r>
        <w:rPr>
          <w:rFonts w:hint="default" w:ascii="宋体" w:hAnsi="宋体" w:eastAsia="宋体" w:cs="宋体"/>
          <w:bCs w:val="0"/>
          <w:color w:val="auto"/>
          <w:spacing w:val="0"/>
          <w:kern w:val="2"/>
          <w:sz w:val="21"/>
          <w:szCs w:val="21"/>
          <w:highlight w:val="none"/>
          <w:lang w:val="en-US" w:eastAsia="zh-CN"/>
        </w:rPr>
        <w:t>如果发承包双方的不利一方在约定时间内未提出调整措施项目费用的，应视为工程变更不引起措施项目费用的变化或不利一方放弃调整措施项目费用的权利。如果另一方未在约定时间内对不利一方提出的调整措施项目费用进行确认或提出审核意见的，应视为认可不利一方提出的调整措施项目费用。</w:t>
      </w:r>
    </w:p>
    <w:p w14:paraId="7A69EE94">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Start w:id="38" w:name="_Toc297048383"/>
      <w:bookmarkStart w:id="39" w:name="_Toc303539150"/>
      <w:bookmarkStart w:id="40" w:name="_Toc297216203"/>
      <w:bookmarkStart w:id="41" w:name="_Toc300934993"/>
      <w:bookmarkStart w:id="42" w:name="_Toc296891025"/>
      <w:bookmarkStart w:id="43" w:name="_Toc296503197"/>
      <w:bookmarkStart w:id="44" w:name="_Toc292559907"/>
      <w:bookmarkStart w:id="45" w:name="_Toc296346698"/>
      <w:bookmarkStart w:id="46" w:name="_Toc296944536"/>
      <w:bookmarkStart w:id="47" w:name="_Toc292559402"/>
      <w:bookmarkStart w:id="48" w:name="_Toc296891237"/>
      <w:bookmarkStart w:id="49" w:name="_Toc297120497"/>
      <w:bookmarkStart w:id="50" w:name="_Toc296347196"/>
      <w:bookmarkStart w:id="51" w:name="_Toc297123544"/>
      <w:bookmarkStart w:id="52" w:name="_Toc312678029"/>
      <w:bookmarkStart w:id="53" w:name="_Toc312677503"/>
      <w:bookmarkStart w:id="54" w:name="_Toc304295570"/>
      <w:r>
        <w:rPr>
          <w:rFonts w:hint="eastAsia" w:ascii="宋体" w:hAnsi="宋体" w:eastAsia="宋体" w:cs="宋体"/>
          <w:bCs w:val="0"/>
          <w:color w:val="auto"/>
          <w:spacing w:val="0"/>
          <w:kern w:val="2"/>
          <w:sz w:val="21"/>
          <w:szCs w:val="21"/>
          <w:highlight w:val="none"/>
        </w:rPr>
        <w:t>0.</w:t>
      </w:r>
      <w:r>
        <w:rPr>
          <w:rFonts w:hint="eastAsia" w:ascii="宋体" w:hAnsi="宋体" w:eastAsia="宋体" w:cs="宋体"/>
          <w:bCs w:val="0"/>
          <w:color w:val="auto"/>
          <w:spacing w:val="0"/>
          <w:kern w:val="2"/>
          <w:sz w:val="21"/>
          <w:szCs w:val="21"/>
          <w:highlight w:val="none"/>
          <w:lang w:val="en-US" w:eastAsia="zh-CN"/>
        </w:rPr>
        <w:t>5</w:t>
      </w:r>
      <w:r>
        <w:rPr>
          <w:rFonts w:hint="eastAsia" w:ascii="宋体" w:hAnsi="宋体" w:eastAsia="宋体" w:cs="宋体"/>
          <w:bCs w:val="0"/>
          <w:color w:val="auto"/>
          <w:spacing w:val="0"/>
          <w:kern w:val="2"/>
          <w:sz w:val="21"/>
          <w:szCs w:val="21"/>
          <w:highlight w:val="none"/>
        </w:rPr>
        <w:t>承</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Start w:id="55" w:name="_Toc297120503"/>
      <w:bookmarkStart w:id="56" w:name="_Toc297123545"/>
      <w:bookmarkStart w:id="57" w:name="_Toc292559408"/>
      <w:bookmarkStart w:id="58" w:name="_Toc296347202"/>
      <w:bookmarkStart w:id="59" w:name="_Toc296891243"/>
      <w:bookmarkStart w:id="60" w:name="_Toc303539151"/>
      <w:bookmarkStart w:id="61" w:name="_Toc296944542"/>
      <w:bookmarkStart w:id="62" w:name="_Toc297216204"/>
      <w:bookmarkStart w:id="63" w:name="_Toc296503203"/>
      <w:bookmarkStart w:id="64" w:name="_Toc296891031"/>
      <w:bookmarkStart w:id="65" w:name="_Toc300934994"/>
      <w:bookmarkStart w:id="66" w:name="_Toc292559913"/>
      <w:bookmarkStart w:id="67" w:name="_Toc297048389"/>
      <w:bookmarkStart w:id="68" w:name="_Toc296346704"/>
      <w:r>
        <w:rPr>
          <w:rFonts w:hint="eastAsia" w:ascii="宋体" w:hAnsi="宋体" w:eastAsia="宋体" w:cs="宋体"/>
          <w:bCs w:val="0"/>
          <w:color w:val="auto"/>
          <w:spacing w:val="0"/>
          <w:kern w:val="2"/>
          <w:sz w:val="21"/>
          <w:szCs w:val="21"/>
          <w:highlight w:val="none"/>
        </w:rPr>
        <w:t>包人的合理化建议</w:t>
      </w:r>
    </w:p>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14:paraId="72B13998">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监理人审查承包人合理化建议的期限：</w:t>
      </w:r>
      <w:r>
        <w:rPr>
          <w:rFonts w:hint="eastAsia" w:ascii="宋体" w:hAnsi="宋体" w:eastAsia="宋体" w:cs="宋体"/>
          <w:bCs w:val="0"/>
          <w:color w:val="auto"/>
          <w:spacing w:val="0"/>
          <w:kern w:val="2"/>
          <w:sz w:val="21"/>
          <w:szCs w:val="21"/>
          <w:highlight w:val="none"/>
          <w:u w:val="single"/>
        </w:rPr>
        <w:t>收到承包人书面合理化建议后7天内</w:t>
      </w:r>
      <w:r>
        <w:rPr>
          <w:rFonts w:hint="eastAsia" w:ascii="宋体" w:hAnsi="宋体" w:eastAsia="宋体" w:cs="宋体"/>
          <w:bCs w:val="0"/>
          <w:color w:val="auto"/>
          <w:spacing w:val="0"/>
          <w:kern w:val="2"/>
          <w:sz w:val="21"/>
          <w:szCs w:val="21"/>
          <w:highlight w:val="none"/>
        </w:rPr>
        <w:t>。</w:t>
      </w:r>
    </w:p>
    <w:p w14:paraId="771469A6">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发包人审批承包人合理化建议的期限：</w:t>
      </w:r>
      <w:r>
        <w:rPr>
          <w:rFonts w:hint="eastAsia" w:ascii="宋体" w:hAnsi="宋体" w:eastAsia="宋体" w:cs="宋体"/>
          <w:bCs w:val="0"/>
          <w:color w:val="auto"/>
          <w:spacing w:val="0"/>
          <w:kern w:val="2"/>
          <w:sz w:val="21"/>
          <w:szCs w:val="21"/>
          <w:highlight w:val="none"/>
          <w:u w:val="single"/>
        </w:rPr>
        <w:t>收到承包人书面合理化建议后7天内</w:t>
      </w:r>
      <w:r>
        <w:rPr>
          <w:rFonts w:hint="eastAsia" w:ascii="宋体" w:hAnsi="宋体" w:eastAsia="宋体" w:cs="宋体"/>
          <w:bCs w:val="0"/>
          <w:color w:val="auto"/>
          <w:spacing w:val="0"/>
          <w:kern w:val="2"/>
          <w:sz w:val="21"/>
          <w:szCs w:val="21"/>
          <w:highlight w:val="none"/>
        </w:rPr>
        <w:t>。</w:t>
      </w:r>
    </w:p>
    <w:p w14:paraId="565168AB">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rPr>
        <w:t>承</w:t>
      </w:r>
      <w:bookmarkStart w:id="69" w:name="_Toc296503204"/>
      <w:bookmarkStart w:id="70" w:name="_Toc300934995"/>
      <w:bookmarkStart w:id="71" w:name="_Toc296944543"/>
      <w:bookmarkStart w:id="72" w:name="_Toc292559914"/>
      <w:bookmarkStart w:id="73" w:name="_Toc312677504"/>
      <w:bookmarkStart w:id="74" w:name="_Toc297120504"/>
      <w:bookmarkStart w:id="75" w:name="_Toc296347203"/>
      <w:bookmarkStart w:id="76" w:name="_Toc312678030"/>
      <w:bookmarkStart w:id="77" w:name="_Toc318581175"/>
      <w:bookmarkStart w:id="78" w:name="_Toc292559409"/>
      <w:bookmarkStart w:id="79" w:name="_Toc303539152"/>
      <w:bookmarkStart w:id="80" w:name="_Toc296891244"/>
      <w:bookmarkStart w:id="81" w:name="_Toc297216205"/>
      <w:bookmarkStart w:id="82" w:name="_Toc296346705"/>
      <w:bookmarkStart w:id="83" w:name="_Toc296891032"/>
      <w:bookmarkStart w:id="84" w:name="_Toc297123546"/>
      <w:bookmarkStart w:id="85" w:name="_Toc304295571"/>
      <w:bookmarkStart w:id="86" w:name="_Toc297048390"/>
      <w:r>
        <w:rPr>
          <w:rFonts w:hint="eastAsia" w:ascii="宋体" w:hAnsi="宋体" w:eastAsia="宋体" w:cs="宋体"/>
          <w:bCs w:val="0"/>
          <w:color w:val="auto"/>
          <w:spacing w:val="0"/>
          <w:kern w:val="2"/>
          <w:sz w:val="21"/>
          <w:szCs w:val="21"/>
          <w:highlight w:val="none"/>
        </w:rPr>
        <w:t>包人提出的合理化建议降低了合同价格或者提高了工程经济效益的奖励的方法和金额为：</w:t>
      </w:r>
      <w:r>
        <w:rPr>
          <w:rFonts w:hint="eastAsia" w:ascii="宋体" w:hAnsi="宋体" w:eastAsia="宋体" w:cs="宋体"/>
          <w:bCs w:val="0"/>
          <w:color w:val="auto"/>
          <w:spacing w:val="0"/>
          <w:kern w:val="2"/>
          <w:sz w:val="21"/>
          <w:szCs w:val="21"/>
          <w:highlight w:val="none"/>
          <w:u w:val="single"/>
        </w:rPr>
        <w:t>无</w:t>
      </w:r>
      <w:r>
        <w:rPr>
          <w:rFonts w:hint="eastAsia" w:ascii="宋体" w:hAnsi="宋体" w:eastAsia="宋体" w:cs="宋体"/>
          <w:bCs w:val="0"/>
          <w:color w:val="auto"/>
          <w:spacing w:val="0"/>
          <w:kern w:val="2"/>
          <w:sz w:val="21"/>
          <w:szCs w:val="21"/>
          <w:highlight w:val="none"/>
        </w:rPr>
        <w:t>。</w:t>
      </w:r>
    </w:p>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14:paraId="02DF4DF0">
      <w:pPr>
        <w:pageBreakBefore w:val="0"/>
        <w:widowControl w:val="0"/>
        <w:tabs>
          <w:tab w:val="center" w:pos="4393"/>
          <w:tab w:val="left" w:pos="6774"/>
        </w:tabs>
        <w:kinsoku/>
        <w:wordWrap/>
        <w:overflowPunct/>
        <w:topLinePunct w:val="0"/>
        <w:autoSpaceDE w:val="0"/>
        <w:autoSpaceDN w:val="0"/>
        <w:bidi w:val="0"/>
        <w:adjustRightInd w:val="0"/>
        <w:snapToGrid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w:t>
      </w:r>
      <w:bookmarkStart w:id="87" w:name="_Toc312677507"/>
      <w:bookmarkStart w:id="88" w:name="_Toc296347198"/>
      <w:bookmarkStart w:id="89" w:name="_Toc303539154"/>
      <w:bookmarkStart w:id="90" w:name="_Toc296891027"/>
      <w:bookmarkStart w:id="91" w:name="_Toc296503199"/>
      <w:bookmarkStart w:id="92" w:name="_Toc292559909"/>
      <w:bookmarkStart w:id="93" w:name="_Toc297216207"/>
      <w:bookmarkStart w:id="94" w:name="_Toc300934997"/>
      <w:bookmarkStart w:id="95" w:name="_Toc297123548"/>
      <w:bookmarkStart w:id="96" w:name="_Toc296346700"/>
      <w:bookmarkStart w:id="97" w:name="_Toc297120499"/>
      <w:bookmarkStart w:id="98" w:name="_Toc304295574"/>
      <w:bookmarkStart w:id="99" w:name="_Toc297048385"/>
      <w:bookmarkStart w:id="100" w:name="_Toc296944538"/>
      <w:bookmarkStart w:id="101" w:name="_Toc312678033"/>
      <w:bookmarkStart w:id="102" w:name="_Toc292559404"/>
      <w:bookmarkStart w:id="103" w:name="_Toc296891239"/>
      <w:r>
        <w:rPr>
          <w:rFonts w:hint="eastAsia" w:ascii="宋体" w:hAnsi="宋体" w:eastAsia="宋体" w:cs="宋体"/>
          <w:bCs w:val="0"/>
          <w:color w:val="auto"/>
          <w:spacing w:val="0"/>
          <w:kern w:val="2"/>
          <w:sz w:val="21"/>
          <w:szCs w:val="21"/>
          <w:highlight w:val="none"/>
        </w:rPr>
        <w:t>0.</w:t>
      </w:r>
      <w:r>
        <w:rPr>
          <w:rFonts w:hint="eastAsia" w:ascii="宋体" w:hAnsi="宋体" w:eastAsia="宋体" w:cs="宋体"/>
          <w:bCs w:val="0"/>
          <w:color w:val="auto"/>
          <w:spacing w:val="0"/>
          <w:kern w:val="2"/>
          <w:sz w:val="21"/>
          <w:szCs w:val="21"/>
          <w:highlight w:val="none"/>
          <w:lang w:val="en-US" w:eastAsia="zh-CN"/>
        </w:rPr>
        <w:t>7</w:t>
      </w:r>
      <w:r>
        <w:rPr>
          <w:rFonts w:hint="eastAsia" w:ascii="宋体" w:hAnsi="宋体" w:eastAsia="宋体" w:cs="宋体"/>
          <w:bCs w:val="0"/>
          <w:color w:val="auto"/>
          <w:spacing w:val="0"/>
          <w:kern w:val="2"/>
          <w:sz w:val="21"/>
          <w:szCs w:val="21"/>
          <w:highlight w:val="none"/>
        </w:rPr>
        <w:t>暂估价</w:t>
      </w:r>
    </w:p>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14:paraId="3D2147C3">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暂估价材料和工程设备的详见附件11：《</w:t>
      </w:r>
      <w:r>
        <w:rPr>
          <w:rFonts w:hint="eastAsia" w:ascii="宋体" w:hAnsi="宋体" w:eastAsia="宋体" w:cs="宋体"/>
          <w:bCs w:val="0"/>
          <w:color w:val="auto"/>
          <w:spacing w:val="0"/>
          <w:kern w:val="2"/>
          <w:sz w:val="21"/>
          <w:szCs w:val="21"/>
          <w:highlight w:val="none"/>
        </w:rPr>
        <w:t>暂估价一览表》</w:t>
      </w:r>
      <w:r>
        <w:rPr>
          <w:rFonts w:hint="eastAsia" w:ascii="宋体" w:hAnsi="宋体" w:eastAsia="宋体" w:cs="宋体"/>
          <w:bCs w:val="0"/>
          <w:color w:val="auto"/>
          <w:spacing w:val="0"/>
          <w:kern w:val="0"/>
          <w:sz w:val="21"/>
          <w:szCs w:val="21"/>
          <w:highlight w:val="none"/>
        </w:rPr>
        <w:t>。</w:t>
      </w:r>
    </w:p>
    <w:p w14:paraId="70C04E46">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10.7.1 依法必须招标的暂估价项目</w:t>
      </w:r>
    </w:p>
    <w:p w14:paraId="34A5A97C">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对于依法必须招标的暂估价项目的确认和批准采取第</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2</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种方式确定。</w:t>
      </w:r>
    </w:p>
    <w:p w14:paraId="080363C9">
      <w:pPr>
        <w:pageBreakBefore w:val="0"/>
        <w:widowControl w:val="0"/>
        <w:tabs>
          <w:tab w:val="center" w:pos="4393"/>
          <w:tab w:val="left" w:pos="6774"/>
        </w:tabs>
        <w:kinsoku/>
        <w:wordWrap/>
        <w:overflowPunct/>
        <w:topLinePunct w:val="0"/>
        <w:bidi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第1种方式：对于依法必须招标的暂估价项目，由承包人招标，对该暂估价项目的确认和批准按照以下约定执行：</w:t>
      </w:r>
    </w:p>
    <w:p w14:paraId="2C239949">
      <w:pPr>
        <w:pageBreakBefore w:val="0"/>
        <w:widowControl w:val="0"/>
        <w:tabs>
          <w:tab w:val="center" w:pos="4393"/>
          <w:tab w:val="left" w:pos="6774"/>
        </w:tabs>
        <w:kinsoku/>
        <w:wordWrap/>
        <w:overflowPunct/>
        <w:topLinePunct w:val="0"/>
        <w:bidi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7BF8A68F">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7552110F">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3E132A16">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3EB7DDB9">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lang w:val="en-US" w:eastAsia="zh-CN"/>
        </w:rPr>
        <w:t>10.7.1.1</w:t>
      </w:r>
      <w:r>
        <w:rPr>
          <w:rFonts w:hint="eastAsia" w:ascii="宋体" w:hAnsi="宋体" w:eastAsia="宋体" w:cs="宋体"/>
          <w:bCs w:val="0"/>
          <w:color w:val="auto"/>
          <w:spacing w:val="0"/>
          <w:kern w:val="2"/>
          <w:sz w:val="21"/>
          <w:szCs w:val="21"/>
          <w:highlight w:val="none"/>
        </w:rPr>
        <w:t>不属于依法必须招标的暂估价项目</w:t>
      </w:r>
    </w:p>
    <w:p w14:paraId="20155127">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对于</w:t>
      </w:r>
      <w:r>
        <w:rPr>
          <w:rFonts w:hint="eastAsia" w:ascii="宋体" w:hAnsi="宋体" w:eastAsia="宋体" w:cs="宋体"/>
          <w:bCs w:val="0"/>
          <w:color w:val="auto"/>
          <w:spacing w:val="0"/>
          <w:kern w:val="2"/>
          <w:sz w:val="21"/>
          <w:szCs w:val="21"/>
          <w:highlight w:val="none"/>
          <w:lang w:eastAsia="zh-CN"/>
        </w:rPr>
        <w:t>不属于</w:t>
      </w:r>
      <w:r>
        <w:rPr>
          <w:rFonts w:hint="eastAsia" w:ascii="宋体" w:hAnsi="宋体" w:eastAsia="宋体" w:cs="宋体"/>
          <w:bCs w:val="0"/>
          <w:color w:val="auto"/>
          <w:spacing w:val="0"/>
          <w:kern w:val="2"/>
          <w:sz w:val="21"/>
          <w:szCs w:val="21"/>
          <w:highlight w:val="none"/>
        </w:rPr>
        <w:t>依法必须招标的暂估价项目的确认和批准采取第</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2</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种方式确定。</w:t>
      </w:r>
    </w:p>
    <w:p w14:paraId="1670BB95">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第1种方式：对于不属于依法必须招标的暂估价项目，按本项约定确认和批准：</w:t>
      </w:r>
    </w:p>
    <w:p w14:paraId="5169B1EF">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6A268D8C">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bCs/>
          <w:color w:val="auto"/>
          <w:spacing w:val="0"/>
          <w:kern w:val="2"/>
          <w:sz w:val="21"/>
          <w:szCs w:val="21"/>
          <w:highlight w:val="none"/>
          <w:lang w:eastAsia="zh-CN"/>
        </w:rPr>
      </w:pPr>
      <w:r>
        <w:rPr>
          <w:rFonts w:hint="eastAsia" w:ascii="宋体" w:hAnsi="宋体" w:eastAsia="宋体" w:cs="宋体"/>
          <w:bCs/>
          <w:color w:val="auto"/>
          <w:spacing w:val="0"/>
          <w:kern w:val="2"/>
          <w:sz w:val="21"/>
          <w:szCs w:val="21"/>
          <w:highlight w:val="none"/>
        </w:rPr>
        <w:t>（2）发包人认为承包人确定的供应商、分包人无法满足工程质量或合同要求的，发包人可以要求承包人重新确定暂估价项目的供应商、分包人</w:t>
      </w:r>
      <w:r>
        <w:rPr>
          <w:rFonts w:hint="eastAsia" w:ascii="宋体" w:hAnsi="宋体" w:eastAsia="宋体" w:cs="宋体"/>
          <w:bCs/>
          <w:color w:val="auto"/>
          <w:spacing w:val="0"/>
          <w:kern w:val="2"/>
          <w:sz w:val="21"/>
          <w:szCs w:val="21"/>
          <w:highlight w:val="none"/>
          <w:lang w:eastAsia="zh-CN"/>
        </w:rPr>
        <w:t>；</w:t>
      </w:r>
    </w:p>
    <w:p w14:paraId="79971987">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（3）承包人应当在签订暂估价合同后7天内，将暂估价合同副本报送发包人留存。</w:t>
      </w:r>
    </w:p>
    <w:p w14:paraId="427B7AF5">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第2种方式：承包人按照第10.7.1项〔依法必须招标的暂估价项目〕约定的第</w:t>
      </w:r>
      <w:r>
        <w:rPr>
          <w:rFonts w:hint="eastAsia" w:ascii="宋体" w:hAnsi="宋体" w:eastAsia="宋体" w:cs="宋体"/>
          <w:bCs/>
          <w:color w:val="auto"/>
          <w:spacing w:val="0"/>
          <w:kern w:val="2"/>
          <w:sz w:val="21"/>
          <w:szCs w:val="21"/>
          <w:highlight w:val="none"/>
          <w:lang w:val="en-US" w:eastAsia="zh-CN"/>
        </w:rPr>
        <w:t>2</w:t>
      </w:r>
      <w:r>
        <w:rPr>
          <w:rFonts w:hint="eastAsia" w:ascii="宋体" w:hAnsi="宋体" w:eastAsia="宋体" w:cs="宋体"/>
          <w:bCs/>
          <w:color w:val="auto"/>
          <w:spacing w:val="0"/>
          <w:kern w:val="2"/>
          <w:sz w:val="21"/>
          <w:szCs w:val="21"/>
          <w:highlight w:val="none"/>
        </w:rPr>
        <w:t>种方式确定暂估价项目。</w:t>
      </w:r>
    </w:p>
    <w:p w14:paraId="30063D98">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第3种方式：承包人直接实施的暂估价项目</w:t>
      </w:r>
    </w:p>
    <w:p w14:paraId="386529AF">
      <w:pPr>
        <w:keepNext w:val="0"/>
        <w:keepLines w:val="0"/>
        <w:pageBreakBefore w:val="0"/>
        <w:widowControl w:val="0"/>
        <w:tabs>
          <w:tab w:val="center" w:pos="4393"/>
          <w:tab w:val="left" w:pos="6774"/>
        </w:tabs>
        <w:kinsoku/>
        <w:wordWrap/>
        <w:overflowPunct/>
        <w:topLinePunct w:val="0"/>
        <w:bidi w:val="0"/>
        <w:adjustRightInd w:val="0"/>
        <w:snapToGrid w:val="0"/>
        <w:spacing w:line="360" w:lineRule="auto"/>
        <w:ind w:left="0" w:right="0" w:firstLine="0" w:firstLineChars="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10.</w:t>
      </w:r>
      <w:r>
        <w:rPr>
          <w:rFonts w:hint="eastAsia" w:ascii="宋体" w:hAnsi="宋体" w:eastAsia="宋体" w:cs="宋体"/>
          <w:bCs w:val="0"/>
          <w:color w:val="auto"/>
          <w:spacing w:val="0"/>
          <w:kern w:val="2"/>
          <w:sz w:val="21"/>
          <w:szCs w:val="21"/>
          <w:highlight w:val="none"/>
          <w:lang w:val="en-US" w:eastAsia="zh-CN"/>
        </w:rPr>
        <w:t>8</w:t>
      </w:r>
      <w:r>
        <w:rPr>
          <w:rFonts w:hint="eastAsia" w:ascii="宋体" w:hAnsi="宋体" w:eastAsia="宋体" w:cs="宋体"/>
          <w:bCs w:val="0"/>
          <w:color w:val="auto"/>
          <w:spacing w:val="0"/>
          <w:kern w:val="2"/>
          <w:sz w:val="21"/>
          <w:szCs w:val="21"/>
          <w:highlight w:val="none"/>
        </w:rPr>
        <w:t xml:space="preserve"> 暂列金额</w:t>
      </w:r>
    </w:p>
    <w:p w14:paraId="5CE7E30F">
      <w:pPr>
        <w:keepNext w:val="0"/>
        <w:keepLines w:val="0"/>
        <w:pageBreakBefore w:val="0"/>
        <w:widowControl w:val="0"/>
        <w:tabs>
          <w:tab w:val="center" w:pos="4393"/>
          <w:tab w:val="left" w:pos="6774"/>
        </w:tabs>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bCs w:val="0"/>
          <w:color w:val="auto"/>
          <w:spacing w:val="0"/>
          <w:kern w:val="0"/>
          <w:sz w:val="21"/>
          <w:szCs w:val="21"/>
          <w:highlight w:val="none"/>
        </w:rPr>
      </w:pPr>
      <w:r>
        <w:rPr>
          <w:rFonts w:hint="eastAsia" w:ascii="宋体" w:hAnsi="宋体" w:eastAsia="宋体" w:cs="宋体"/>
          <w:bCs w:val="0"/>
          <w:color w:val="auto"/>
          <w:spacing w:val="0"/>
          <w:kern w:val="0"/>
          <w:sz w:val="21"/>
          <w:szCs w:val="21"/>
          <w:highlight w:val="none"/>
        </w:rPr>
        <w:t>合同当事人关于暂列金额使用的约定：</w:t>
      </w:r>
      <w:r>
        <w:rPr>
          <w:rFonts w:hint="eastAsia" w:ascii="宋体" w:hAnsi="宋体" w:eastAsia="宋体" w:cs="宋体"/>
          <w:bCs w:val="0"/>
          <w:color w:val="auto"/>
          <w:spacing w:val="0"/>
          <w:kern w:val="2"/>
          <w:sz w:val="21"/>
          <w:szCs w:val="21"/>
          <w:highlight w:val="none"/>
          <w:u w:val="single"/>
        </w:rPr>
        <w:t>暂列金额应按照发包人的要求使用</w:t>
      </w:r>
      <w:r>
        <w:rPr>
          <w:rFonts w:hint="eastAsia" w:ascii="宋体" w:hAnsi="宋体" w:eastAsia="宋体" w:cs="宋体"/>
          <w:bCs w:val="0"/>
          <w:color w:val="auto"/>
          <w:spacing w:val="0"/>
          <w:kern w:val="0"/>
          <w:sz w:val="21"/>
          <w:szCs w:val="21"/>
          <w:highlight w:val="none"/>
        </w:rPr>
        <w:t>。</w:t>
      </w:r>
    </w:p>
    <w:p w14:paraId="7B141D7E">
      <w:pPr>
        <w:keepNext w:val="0"/>
        <w:keepLines w:val="0"/>
        <w:pageBreakBefore w:val="0"/>
        <w:widowControl w:val="0"/>
        <w:tabs>
          <w:tab w:val="center" w:pos="4393"/>
          <w:tab w:val="left" w:pos="6774"/>
        </w:tabs>
        <w:kinsoku/>
        <w:wordWrap/>
        <w:overflowPunct/>
        <w:topLinePunct w:val="0"/>
        <w:bidi w:val="0"/>
        <w:adjustRightInd w:val="0"/>
        <w:snapToGrid w:val="0"/>
        <w:spacing w:line="360" w:lineRule="auto"/>
        <w:ind w:left="0" w:right="0" w:firstLine="0" w:firstLineChars="0"/>
        <w:jc w:val="both"/>
        <w:textAlignment w:val="auto"/>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10.10 新增工程</w:t>
      </w:r>
    </w:p>
    <w:p w14:paraId="0547C54F">
      <w:pPr>
        <w:keepNext w:val="0"/>
        <w:keepLines w:val="0"/>
        <w:pageBreakBefore w:val="0"/>
        <w:widowControl w:val="0"/>
        <w:tabs>
          <w:tab w:val="center" w:pos="4393"/>
          <w:tab w:val="left" w:pos="6774"/>
        </w:tabs>
        <w:kinsoku/>
        <w:wordWrap/>
        <w:overflowPunct/>
        <w:topLinePunct w:val="0"/>
        <w:bidi w:val="0"/>
        <w:adjustRightInd w:val="0"/>
        <w:snapToGrid w:val="0"/>
        <w:spacing w:line="360" w:lineRule="auto"/>
        <w:ind w:left="0" w:right="0" w:firstLine="0" w:firstLineChars="0"/>
        <w:jc w:val="both"/>
        <w:textAlignment w:val="auto"/>
        <w:rPr>
          <w:rFonts w:hint="default" w:ascii="宋体" w:hAnsi="宋体" w:eastAsia="宋体" w:cs="Times New Roman"/>
          <w:bCs/>
          <w:spacing w:val="2"/>
          <w:kern w:val="2"/>
          <w:sz w:val="44"/>
          <w:szCs w:val="44"/>
          <w:highlight w:val="none"/>
          <w:lang w:val="en-US" w:eastAsia="zh-CN"/>
        </w:rPr>
      </w:pPr>
      <w:r>
        <w:rPr>
          <w:rFonts w:hint="eastAsia" w:ascii="宋体" w:hAnsi="宋体" w:eastAsia="宋体" w:cs="宋体"/>
          <w:bCs w:val="0"/>
          <w:color w:val="auto"/>
          <w:spacing w:val="0"/>
          <w:kern w:val="2"/>
          <w:sz w:val="21"/>
          <w:szCs w:val="21"/>
          <w:highlight w:val="none"/>
          <w:lang w:val="en-US" w:eastAsia="zh-CN"/>
        </w:rPr>
        <w:t>合同当事人关于新增工程的约定： 承包人按发包人要求完成合同约定工程范围外的新增工程，发承包双方按10.4变更估价确定价格</w:t>
      </w:r>
    </w:p>
    <w:p w14:paraId="3CFEF516">
      <w:pPr>
        <w:keepNext w:val="0"/>
        <w:keepLines w:val="0"/>
        <w:pageBreakBefore w:val="0"/>
        <w:widowControl w:val="0"/>
        <w:tabs>
          <w:tab w:val="center" w:pos="4393"/>
          <w:tab w:val="left" w:pos="6774"/>
        </w:tabs>
        <w:kinsoku/>
        <w:wordWrap/>
        <w:overflowPunct/>
        <w:topLinePunct w:val="0"/>
        <w:bidi w:val="0"/>
        <w:spacing w:line="360" w:lineRule="auto"/>
        <w:ind w:left="0" w:right="0" w:firstLine="0" w:firstLineChars="0"/>
        <w:jc w:val="left"/>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color w:val="auto"/>
          <w:spacing w:val="0"/>
          <w:kern w:val="2"/>
          <w:sz w:val="21"/>
          <w:szCs w:val="21"/>
          <w:highlight w:val="none"/>
        </w:rPr>
        <w:t>11. 价格调整：</w:t>
      </w:r>
    </w:p>
    <w:p w14:paraId="445820FC">
      <w:pPr>
        <w:keepNext w:val="0"/>
        <w:keepLines w:val="0"/>
        <w:pageBreakBefore w:val="0"/>
        <w:widowControl w:val="0"/>
        <w:tabs>
          <w:tab w:val="center" w:pos="4393"/>
          <w:tab w:val="left" w:pos="6774"/>
        </w:tabs>
        <w:kinsoku/>
        <w:wordWrap/>
        <w:overflowPunct/>
        <w:topLinePunct w:val="0"/>
        <w:bidi w:val="0"/>
        <w:spacing w:line="360" w:lineRule="auto"/>
        <w:ind w:left="0" w:right="0" w:firstLine="0" w:firstLineChars="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11.1 市场价格波动引起的调整</w:t>
      </w:r>
    </w:p>
    <w:p w14:paraId="7759B2F0">
      <w:pPr>
        <w:keepNext w:val="0"/>
        <w:keepLines w:val="0"/>
        <w:pageBreakBefore w:val="0"/>
        <w:widowControl w:val="0"/>
        <w:tabs>
          <w:tab w:val="center" w:pos="4393"/>
          <w:tab w:val="left" w:pos="6774"/>
        </w:tabs>
        <w:kinsoku/>
        <w:wordWrap/>
        <w:overflowPunct/>
        <w:topLinePunct w:val="0"/>
        <w:bidi w:val="0"/>
        <w:spacing w:line="360" w:lineRule="auto"/>
        <w:ind w:left="0" w:right="0" w:firstLine="420" w:firstLineChars="0"/>
        <w:jc w:val="left"/>
        <w:textAlignment w:val="auto"/>
        <w:rPr>
          <w:rFonts w:hint="eastAsia" w:ascii="宋体" w:hAnsi="宋体" w:eastAsia="宋体" w:cs="宋体"/>
          <w:bCs w:val="0"/>
          <w:color w:val="auto"/>
          <w:spacing w:val="0"/>
          <w:kern w:val="2"/>
          <w:sz w:val="21"/>
          <w:szCs w:val="21"/>
          <w:highlight w:val="none"/>
          <w:u w:val="single"/>
          <w:lang w:eastAsia="zh-CN"/>
        </w:rPr>
      </w:pPr>
      <w:r>
        <w:rPr>
          <w:rFonts w:hint="eastAsia" w:ascii="宋体" w:hAnsi="宋体" w:eastAsia="宋体" w:cs="宋体"/>
          <w:bCs w:val="0"/>
          <w:color w:val="auto"/>
          <w:spacing w:val="0"/>
          <w:kern w:val="0"/>
          <w:sz w:val="21"/>
          <w:szCs w:val="21"/>
          <w:highlight w:val="none"/>
        </w:rPr>
        <w:t>市场价格波动是否调整合同价格的约定：</w:t>
      </w:r>
      <w:r>
        <w:rPr>
          <w:rFonts w:hint="eastAsia" w:ascii="宋体" w:hAnsi="宋体" w:eastAsia="宋体" w:cs="宋体"/>
          <w:b/>
          <w:bCs/>
          <w:color w:val="auto"/>
          <w:spacing w:val="0"/>
          <w:kern w:val="2"/>
          <w:sz w:val="21"/>
          <w:szCs w:val="21"/>
          <w:highlight w:val="none"/>
          <w:u w:val="single"/>
        </w:rPr>
        <w:t xml:space="preserve"> </w:t>
      </w:r>
      <w:r>
        <w:rPr>
          <w:rFonts w:hint="eastAsia" w:ascii="宋体" w:hAnsi="宋体" w:eastAsia="宋体" w:cs="宋体"/>
          <w:b/>
          <w:bCs/>
          <w:color w:val="auto"/>
          <w:spacing w:val="0"/>
          <w:kern w:val="2"/>
          <w:sz w:val="21"/>
          <w:szCs w:val="21"/>
          <w:highlight w:val="none"/>
          <w:u w:val="single"/>
          <w:lang w:val="en-US" w:eastAsia="zh-CN"/>
        </w:rPr>
        <w:t>不</w:t>
      </w:r>
      <w:r>
        <w:rPr>
          <w:rFonts w:hint="eastAsia" w:ascii="宋体" w:hAnsi="宋体" w:eastAsia="宋体" w:cs="宋体"/>
          <w:b/>
          <w:bCs/>
          <w:color w:val="auto"/>
          <w:spacing w:val="0"/>
          <w:kern w:val="2"/>
          <w:sz w:val="21"/>
          <w:szCs w:val="21"/>
          <w:highlight w:val="none"/>
          <w:u w:val="single"/>
        </w:rPr>
        <w:t>调整</w:t>
      </w:r>
      <w:r>
        <w:rPr>
          <w:rFonts w:hint="eastAsia" w:ascii="宋体" w:hAnsi="宋体" w:eastAsia="宋体" w:cs="宋体"/>
          <w:bCs w:val="0"/>
          <w:color w:val="auto"/>
          <w:spacing w:val="0"/>
          <w:kern w:val="2"/>
          <w:sz w:val="21"/>
          <w:szCs w:val="21"/>
          <w:highlight w:val="none"/>
          <w:u w:val="single"/>
        </w:rPr>
        <w:t>。</w:t>
      </w:r>
    </w:p>
    <w:p w14:paraId="2F141F4B">
      <w:pPr>
        <w:keepNext w:val="0"/>
        <w:keepLines w:val="0"/>
        <w:pageBreakBefore w:val="0"/>
        <w:widowControl w:val="0"/>
        <w:tabs>
          <w:tab w:val="center" w:pos="4393"/>
          <w:tab w:val="left" w:pos="6774"/>
        </w:tabs>
        <w:kinsoku/>
        <w:wordWrap/>
        <w:overflowPunct/>
        <w:topLinePunct w:val="0"/>
        <w:bidi w:val="0"/>
        <w:spacing w:line="360" w:lineRule="auto"/>
        <w:ind w:left="0" w:right="0" w:firstLine="0" w:firstLineChars="0"/>
        <w:jc w:val="left"/>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 合同价格、计量与支付</w:t>
      </w:r>
    </w:p>
    <w:p w14:paraId="4A5F10DE">
      <w:pPr>
        <w:keepNext w:val="0"/>
        <w:keepLines w:val="0"/>
        <w:pageBreakBefore w:val="0"/>
        <w:widowControl w:val="0"/>
        <w:tabs>
          <w:tab w:val="center" w:pos="4393"/>
          <w:tab w:val="left" w:pos="6774"/>
        </w:tabs>
        <w:kinsoku/>
        <w:wordWrap/>
        <w:overflowPunct/>
        <w:topLinePunct w:val="0"/>
        <w:bidi w:val="0"/>
        <w:spacing w:line="360" w:lineRule="auto"/>
        <w:ind w:left="0" w:right="0" w:firstLine="0" w:firstLineChars="0"/>
        <w:jc w:val="left"/>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12.1 合同价格形式</w:t>
      </w:r>
    </w:p>
    <w:p w14:paraId="31A69F51">
      <w:pPr>
        <w:keepNext w:val="0"/>
        <w:keepLines w:val="0"/>
        <w:pageBreakBefore w:val="0"/>
        <w:widowControl w:val="0"/>
        <w:tabs>
          <w:tab w:val="center" w:pos="4393"/>
          <w:tab w:val="left" w:pos="6774"/>
        </w:tabs>
        <w:kinsoku/>
        <w:wordWrap/>
        <w:overflowPunct/>
        <w:topLinePunct w:val="0"/>
        <w:bidi w:val="0"/>
        <w:spacing w:line="360" w:lineRule="auto"/>
        <w:ind w:left="0" w:right="0" w:firstLine="420" w:firstLineChars="200"/>
        <w:jc w:val="left"/>
        <w:textAlignment w:val="auto"/>
        <w:rPr>
          <w:rFonts w:hint="eastAsia" w:ascii="宋体" w:hAnsi="宋体" w:eastAsia="宋体" w:cs="宋体"/>
          <w:bCs w:val="0"/>
          <w:color w:val="auto"/>
          <w:spacing w:val="0"/>
          <w:kern w:val="2"/>
          <w:sz w:val="21"/>
          <w:szCs w:val="21"/>
          <w:highlight w:val="none"/>
          <w:lang w:eastAsia="zh-CN" w:bidi="ar"/>
        </w:rPr>
      </w:pPr>
      <w:r>
        <w:rPr>
          <w:rFonts w:hint="eastAsia" w:ascii="宋体" w:hAnsi="宋体" w:eastAsia="宋体" w:cs="宋体"/>
          <w:bCs w:val="0"/>
          <w:color w:val="auto"/>
          <w:spacing w:val="0"/>
          <w:kern w:val="2"/>
          <w:sz w:val="21"/>
          <w:szCs w:val="21"/>
          <w:highlight w:val="none"/>
        </w:rPr>
        <w:t>采用</w:t>
      </w:r>
      <w:r>
        <w:rPr>
          <w:rFonts w:hint="eastAsia" w:ascii="宋体" w:hAnsi="宋体" w:eastAsia="宋体" w:cs="宋体"/>
          <w:b/>
          <w:bCs/>
          <w:color w:val="auto"/>
          <w:spacing w:val="0"/>
          <w:kern w:val="2"/>
          <w:sz w:val="21"/>
          <w:szCs w:val="21"/>
          <w:highlight w:val="none"/>
          <w:u w:val="single"/>
        </w:rPr>
        <w:t>固定单价</w:t>
      </w:r>
      <w:r>
        <w:rPr>
          <w:rFonts w:hint="eastAsia" w:ascii="宋体" w:hAnsi="宋体" w:eastAsia="宋体" w:cs="宋体"/>
          <w:bCs w:val="0"/>
          <w:color w:val="auto"/>
          <w:spacing w:val="0"/>
          <w:kern w:val="2"/>
          <w:sz w:val="21"/>
          <w:szCs w:val="21"/>
          <w:highlight w:val="none"/>
        </w:rPr>
        <w:t>合同，量的风险由发包人承担，价的风险在下述约定范围内由承包人承担。固定单价为综合单价（综合单价包括人工费、材料费、机械费、管理费、利润、约定范围</w:t>
      </w:r>
      <w:r>
        <w:rPr>
          <w:rFonts w:hint="eastAsia" w:ascii="宋体" w:hAnsi="宋体" w:eastAsia="宋体" w:cs="宋体"/>
          <w:bCs w:val="0"/>
          <w:color w:val="auto"/>
          <w:spacing w:val="0"/>
          <w:kern w:val="2"/>
          <w:sz w:val="21"/>
          <w:szCs w:val="21"/>
          <w:highlight w:val="none"/>
          <w:lang w:eastAsia="zh-CN"/>
        </w:rPr>
        <w:t>内</w:t>
      </w:r>
      <w:r>
        <w:rPr>
          <w:rFonts w:hint="eastAsia" w:ascii="宋体" w:hAnsi="宋体" w:eastAsia="宋体" w:cs="宋体"/>
          <w:bCs w:val="0"/>
          <w:color w:val="auto"/>
          <w:spacing w:val="0"/>
          <w:kern w:val="2"/>
          <w:sz w:val="21"/>
          <w:szCs w:val="21"/>
          <w:highlight w:val="none"/>
        </w:rPr>
        <w:t>的风险费用），</w:t>
      </w:r>
      <w:r>
        <w:rPr>
          <w:rFonts w:hint="eastAsia" w:ascii="宋体" w:hAnsi="宋体" w:eastAsia="宋体" w:cs="宋体"/>
          <w:bCs w:val="0"/>
          <w:color w:val="auto"/>
          <w:spacing w:val="0"/>
          <w:kern w:val="2"/>
          <w:sz w:val="21"/>
          <w:szCs w:val="21"/>
          <w:highlight w:val="none"/>
          <w:lang w:val="en-US" w:eastAsia="zh-CN"/>
        </w:rPr>
        <w:t>承包人</w:t>
      </w:r>
      <w:r>
        <w:rPr>
          <w:rFonts w:hint="eastAsia" w:ascii="宋体" w:hAnsi="宋体" w:eastAsia="宋体" w:cs="宋体"/>
          <w:bCs w:val="0"/>
          <w:color w:val="auto"/>
          <w:spacing w:val="0"/>
          <w:kern w:val="2"/>
          <w:sz w:val="21"/>
          <w:szCs w:val="21"/>
          <w:highlight w:val="none"/>
        </w:rPr>
        <w:t>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bCs w:val="0"/>
          <w:color w:val="auto"/>
          <w:spacing w:val="0"/>
          <w:kern w:val="2"/>
          <w:sz w:val="21"/>
          <w:szCs w:val="21"/>
          <w:highlight w:val="none"/>
          <w:lang w:eastAsia="zh-CN"/>
        </w:rPr>
        <w:t>。</w:t>
      </w:r>
    </w:p>
    <w:p w14:paraId="1014EC69">
      <w:pPr>
        <w:keepNext w:val="0"/>
        <w:keepLines w:val="0"/>
        <w:pageBreakBefore w:val="0"/>
        <w:widowControl w:val="0"/>
        <w:tabs>
          <w:tab w:val="center" w:pos="4393"/>
          <w:tab w:val="left" w:pos="6774"/>
        </w:tabs>
        <w:kinsoku/>
        <w:wordWrap/>
        <w:overflowPunct/>
        <w:topLinePunct w:val="0"/>
        <w:bidi w:val="0"/>
        <w:spacing w:line="360" w:lineRule="auto"/>
        <w:ind w:left="0" w:right="0" w:firstLine="420" w:firstLineChars="200"/>
        <w:jc w:val="left"/>
        <w:textAlignment w:val="auto"/>
        <w:rPr>
          <w:rFonts w:hint="eastAsia" w:ascii="宋体" w:hAnsi="宋体" w:eastAsia="宋体" w:cs="宋体"/>
          <w:bCs w:val="0"/>
          <w:color w:val="auto"/>
          <w:spacing w:val="0"/>
          <w:kern w:val="2"/>
          <w:sz w:val="21"/>
          <w:szCs w:val="21"/>
          <w:highlight w:val="none"/>
          <w:lang w:bidi="ar"/>
        </w:rPr>
      </w:pPr>
      <w:r>
        <w:rPr>
          <w:rFonts w:hint="eastAsia" w:ascii="宋体" w:hAnsi="宋体" w:eastAsia="宋体" w:cs="宋体"/>
          <w:bCs w:val="0"/>
          <w:color w:val="auto"/>
          <w:spacing w:val="0"/>
          <w:kern w:val="2"/>
          <w:sz w:val="21"/>
          <w:szCs w:val="21"/>
          <w:highlight w:val="none"/>
          <w:lang w:bidi="ar"/>
        </w:rPr>
        <w:t>综合单价包含的风险范围：</w:t>
      </w:r>
    </w:p>
    <w:p w14:paraId="0F7F9950">
      <w:pPr>
        <w:keepNext w:val="0"/>
        <w:keepLines w:val="0"/>
        <w:widowControl/>
        <w:suppressLineNumbers w:val="0"/>
        <w:tabs>
          <w:tab w:val="center" w:pos="4393"/>
          <w:tab w:val="left" w:pos="6774"/>
        </w:tabs>
        <w:spacing w:line="360" w:lineRule="auto"/>
        <w:ind w:firstLine="420" w:firstLineChars="20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lang w:bidi="ar"/>
        </w:rPr>
        <w:t>承包人风险：</w:t>
      </w:r>
      <w:r>
        <w:rPr>
          <w:rFonts w:hint="eastAsia" w:ascii="宋体" w:hAnsi="宋体" w:eastAsia="宋体" w:cs="宋体"/>
          <w:bCs w:val="0"/>
          <w:color w:val="auto"/>
          <w:spacing w:val="0"/>
          <w:kern w:val="2"/>
          <w:sz w:val="21"/>
          <w:szCs w:val="21"/>
          <w:highlight w:val="none"/>
          <w:u w:val="single"/>
        </w:rPr>
        <w:t>1</w:t>
      </w:r>
      <w:r>
        <w:rPr>
          <w:rFonts w:hint="eastAsia" w:ascii="宋体" w:hAnsi="宋体" w:eastAsia="宋体" w:cs="宋体"/>
          <w:bCs w:val="0"/>
          <w:color w:val="auto"/>
          <w:spacing w:val="0"/>
          <w:kern w:val="2"/>
          <w:sz w:val="21"/>
          <w:szCs w:val="21"/>
          <w:highlight w:val="none"/>
          <w:u w:val="single"/>
          <w:lang w:val="en-US" w:eastAsia="zh-CN"/>
        </w:rPr>
        <w:t>.</w:t>
      </w:r>
      <w:r>
        <w:rPr>
          <w:rFonts w:hint="eastAsia" w:ascii="宋体" w:hAnsi="宋体" w:eastAsia="宋体" w:cs="宋体"/>
          <w:bCs w:val="0"/>
          <w:color w:val="auto"/>
          <w:spacing w:val="0"/>
          <w:kern w:val="2"/>
          <w:sz w:val="21"/>
          <w:szCs w:val="21"/>
          <w:highlight w:val="none"/>
          <w:u w:val="single"/>
        </w:rPr>
        <w:t>各类人工、材料、机械的市场风险；</w:t>
      </w:r>
      <w:r>
        <w:rPr>
          <w:rFonts w:hint="eastAsia" w:ascii="宋体" w:hAnsi="宋体" w:eastAsia="宋体" w:cs="宋体"/>
          <w:bCs w:val="0"/>
          <w:color w:val="auto"/>
          <w:spacing w:val="0"/>
          <w:kern w:val="2"/>
          <w:sz w:val="21"/>
          <w:szCs w:val="21"/>
          <w:highlight w:val="none"/>
          <w:u w:val="single"/>
          <w:lang w:val="en-US" w:eastAsia="zh-CN"/>
        </w:rPr>
        <w:t>2.</w:t>
      </w:r>
      <w:r>
        <w:rPr>
          <w:rFonts w:hint="default" w:ascii="*KSGSNHCAQV0_19_0" w:hAnsi="*KSGSNHCAQV0_19_0" w:eastAsia="*KSGSNHCAQV0_19_0" w:cs="*KSGSNHCAQV0_19_0"/>
          <w:bCs/>
          <w:snapToGrid w:val="0"/>
          <w:color w:val="000000"/>
          <w:spacing w:val="2"/>
          <w:kern w:val="0"/>
          <w:sz w:val="21"/>
          <w:szCs w:val="21"/>
          <w:highlight w:val="none"/>
          <w:u w:val="single"/>
          <w:lang w:val="en-US" w:eastAsia="zh-CN" w:bidi="ar"/>
        </w:rPr>
        <w:t xml:space="preserve">满足国家及行业有关技术标准规范等要求所需的费用； </w:t>
      </w:r>
      <w:r>
        <w:rPr>
          <w:rFonts w:hint="eastAsia" w:ascii="宋体" w:hAnsi="宋体" w:eastAsia="宋体" w:cs="宋体"/>
          <w:bCs w:val="0"/>
          <w:color w:val="auto"/>
          <w:spacing w:val="0"/>
          <w:kern w:val="2"/>
          <w:sz w:val="21"/>
          <w:szCs w:val="21"/>
          <w:highlight w:val="none"/>
          <w:u w:val="single"/>
          <w:lang w:val="en-US" w:eastAsia="zh-CN"/>
        </w:rPr>
        <w:t>3.</w:t>
      </w:r>
      <w:r>
        <w:rPr>
          <w:rFonts w:hint="default" w:ascii="宋体" w:hAnsi="宋体" w:eastAsia="宋体" w:cs="宋体"/>
          <w:bCs w:val="0"/>
          <w:color w:val="auto"/>
          <w:spacing w:val="0"/>
          <w:kern w:val="2"/>
          <w:sz w:val="21"/>
          <w:szCs w:val="21"/>
          <w:highlight w:val="none"/>
          <w:u w:val="single"/>
          <w:lang w:val="en-US" w:eastAsia="zh-CN"/>
        </w:rPr>
        <w:t xml:space="preserve">完成符合完工交付要求的相应清单项目必要的施工任务及其不可或缺的辅助工作所需的费用； </w:t>
      </w:r>
      <w:r>
        <w:rPr>
          <w:rFonts w:hint="eastAsia" w:ascii="宋体" w:hAnsi="宋体" w:eastAsia="宋体" w:cs="宋体"/>
          <w:bCs w:val="0"/>
          <w:color w:val="auto"/>
          <w:spacing w:val="0"/>
          <w:kern w:val="2"/>
          <w:sz w:val="21"/>
          <w:szCs w:val="21"/>
          <w:highlight w:val="none"/>
          <w:u w:val="single"/>
          <w:lang w:val="en-US" w:eastAsia="zh-CN"/>
        </w:rPr>
        <w:t>4、</w:t>
      </w:r>
      <w:r>
        <w:rPr>
          <w:rFonts w:hint="default" w:ascii="宋体" w:hAnsi="宋体" w:eastAsia="宋体" w:cs="宋体"/>
          <w:bCs w:val="0"/>
          <w:color w:val="auto"/>
          <w:spacing w:val="0"/>
          <w:kern w:val="2"/>
          <w:sz w:val="21"/>
          <w:szCs w:val="21"/>
          <w:highlight w:val="none"/>
          <w:u w:val="single"/>
          <w:lang w:val="en-US" w:eastAsia="zh-CN"/>
        </w:rPr>
        <w:t>因施工程序、施工条件、环境气候等因素影响所引起的费用；</w:t>
      </w:r>
      <w:r>
        <w:rPr>
          <w:rFonts w:hint="eastAsia" w:ascii="宋体" w:hAnsi="宋体" w:eastAsia="宋体" w:cs="宋体"/>
          <w:bCs w:val="0"/>
          <w:color w:val="auto"/>
          <w:spacing w:val="0"/>
          <w:kern w:val="2"/>
          <w:sz w:val="21"/>
          <w:szCs w:val="21"/>
          <w:highlight w:val="none"/>
          <w:u w:val="single"/>
          <w:lang w:val="en-US" w:eastAsia="zh-CN"/>
        </w:rPr>
        <w:t>5.承包人因自身原因引起实施方案变化引起的费用调整； 6.</w:t>
      </w:r>
      <w:r>
        <w:rPr>
          <w:rFonts w:hint="default" w:ascii="宋体" w:hAnsi="宋体" w:eastAsia="宋体" w:cs="宋体"/>
          <w:bCs w:val="0"/>
          <w:color w:val="auto"/>
          <w:spacing w:val="0"/>
          <w:kern w:val="2"/>
          <w:sz w:val="21"/>
          <w:szCs w:val="21"/>
          <w:highlight w:val="none"/>
          <w:u w:val="single"/>
          <w:lang w:val="en-US" w:eastAsia="zh-CN"/>
        </w:rPr>
        <w:t>承包人因施工机具使用、施工技术应用以及组织管理水平等自身原因造成的施工费用增加</w:t>
      </w:r>
      <w:r>
        <w:rPr>
          <w:rFonts w:hint="eastAsia" w:ascii="宋体" w:hAnsi="宋体" w:eastAsia="宋体" w:cs="宋体"/>
          <w:bCs w:val="0"/>
          <w:color w:val="auto"/>
          <w:spacing w:val="0"/>
          <w:kern w:val="2"/>
          <w:sz w:val="21"/>
          <w:szCs w:val="21"/>
          <w:highlight w:val="none"/>
          <w:u w:val="single"/>
          <w:lang w:val="en-US" w:eastAsia="zh-CN"/>
        </w:rPr>
        <w:t>；7.措施项目清单的准确性及完整性</w:t>
      </w:r>
    </w:p>
    <w:p w14:paraId="758F7547">
      <w:pPr>
        <w:keepNext w:val="0"/>
        <w:keepLines w:val="0"/>
        <w:widowControl/>
        <w:suppressLineNumbers w:val="0"/>
        <w:tabs>
          <w:tab w:val="center" w:pos="4393"/>
          <w:tab w:val="left" w:pos="6774"/>
        </w:tabs>
        <w:spacing w:line="360" w:lineRule="auto"/>
        <w:ind w:firstLine="420" w:firstLineChars="200"/>
        <w:jc w:val="left"/>
        <w:rPr>
          <w:rFonts w:hint="eastAsia" w:ascii="宋体" w:hAnsi="宋体" w:eastAsia="宋体" w:cs="宋体"/>
          <w:bCs w:val="0"/>
          <w:color w:val="auto"/>
          <w:spacing w:val="0"/>
          <w:kern w:val="2"/>
          <w:sz w:val="21"/>
          <w:szCs w:val="21"/>
          <w:highlight w:val="none"/>
          <w:lang w:bidi="ar"/>
        </w:rPr>
      </w:pPr>
      <w:r>
        <w:rPr>
          <w:rFonts w:hint="eastAsia" w:ascii="宋体" w:hAnsi="宋体" w:eastAsia="宋体" w:cs="宋体"/>
          <w:bCs w:val="0"/>
          <w:color w:val="auto"/>
          <w:spacing w:val="0"/>
          <w:kern w:val="2"/>
          <w:sz w:val="21"/>
          <w:szCs w:val="21"/>
          <w:highlight w:val="none"/>
          <w:lang w:bidi="ar"/>
        </w:rPr>
        <w:t>发包人风险：</w:t>
      </w:r>
      <w:r>
        <w:rPr>
          <w:rFonts w:hint="eastAsia" w:ascii="宋体" w:hAnsi="宋体" w:eastAsia="宋体" w:cs="宋体"/>
          <w:bCs w:val="0"/>
          <w:color w:val="auto"/>
          <w:spacing w:val="0"/>
          <w:kern w:val="2"/>
          <w:sz w:val="21"/>
          <w:szCs w:val="21"/>
          <w:highlight w:val="none"/>
          <w:u w:val="single"/>
        </w:rPr>
        <w:t>除承包人风险外的国家法律、法规、规章发生变化</w:t>
      </w:r>
      <w:r>
        <w:rPr>
          <w:rFonts w:hint="eastAsia" w:ascii="宋体" w:hAnsi="宋体" w:eastAsia="宋体" w:cs="宋体"/>
          <w:bCs w:val="0"/>
          <w:color w:val="auto"/>
          <w:spacing w:val="0"/>
          <w:kern w:val="2"/>
          <w:sz w:val="21"/>
          <w:szCs w:val="21"/>
          <w:highlight w:val="none"/>
          <w:u w:val="single"/>
          <w:lang w:bidi="ar"/>
        </w:rPr>
        <w:t>；</w:t>
      </w:r>
      <w:r>
        <w:rPr>
          <w:rFonts w:hint="default" w:ascii="*KSODKQMFWQ0_19_0" w:hAnsi="*KSODKQMFWQ0_19_0" w:eastAsia="*KSODKQMFWQ0_19_0" w:cs="*KSODKQMFWQ0_19_0"/>
          <w:bCs/>
          <w:snapToGrid w:val="0"/>
          <w:color w:val="000000"/>
          <w:spacing w:val="2"/>
          <w:kern w:val="0"/>
          <w:sz w:val="21"/>
          <w:szCs w:val="21"/>
          <w:highlight w:val="none"/>
          <w:u w:val="single"/>
          <w:lang w:val="en-US" w:eastAsia="zh-CN" w:bidi="ar"/>
        </w:rPr>
        <w:t>发包人提供的除措施项目清单外的项目清单存在工程量清单缺陷</w:t>
      </w:r>
      <w:r>
        <w:rPr>
          <w:rFonts w:hint="eastAsia" w:ascii="*KSODKQMFWQ0_19_0" w:hAnsi="*KSODKQMFWQ0_19_0" w:eastAsia="*KSODKQMFWQ0_19_0" w:cs="*KSODKQMFWQ0_19_0"/>
          <w:bCs/>
          <w:snapToGrid w:val="0"/>
          <w:color w:val="000000"/>
          <w:spacing w:val="2"/>
          <w:kern w:val="0"/>
          <w:sz w:val="21"/>
          <w:szCs w:val="21"/>
          <w:highlight w:val="none"/>
          <w:u w:val="single"/>
          <w:lang w:val="en-US" w:eastAsia="zh-CN" w:bidi="ar"/>
        </w:rPr>
        <w:t>；</w:t>
      </w:r>
      <w:r>
        <w:rPr>
          <w:rFonts w:hint="default" w:ascii="*KSODKQMFWQ0_19_0" w:hAnsi="*KSODKQMFWQ0_19_0" w:eastAsia="*KSODKQMFWQ0_19_0" w:cs="*KSODKQMFWQ0_19_0"/>
          <w:bCs/>
          <w:snapToGrid w:val="0"/>
          <w:color w:val="000000"/>
          <w:spacing w:val="2"/>
          <w:kern w:val="0"/>
          <w:sz w:val="21"/>
          <w:szCs w:val="21"/>
          <w:highlight w:val="none"/>
          <w:u w:val="single"/>
          <w:lang w:val="en-US" w:eastAsia="zh-CN" w:bidi="ar"/>
        </w:rPr>
        <w:t>发包人提供的工程项目原始数据和基准资料错误</w:t>
      </w:r>
    </w:p>
    <w:p w14:paraId="4314C33E">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lang w:bidi="ar"/>
        </w:rPr>
        <w:t>风险费用的计算方法：</w:t>
      </w:r>
      <w:r>
        <w:rPr>
          <w:rFonts w:hint="eastAsia" w:ascii="宋体" w:hAnsi="宋体" w:eastAsia="宋体" w:cs="宋体"/>
          <w:bCs w:val="0"/>
          <w:color w:val="auto"/>
          <w:spacing w:val="0"/>
          <w:kern w:val="2"/>
          <w:sz w:val="21"/>
          <w:szCs w:val="21"/>
          <w:highlight w:val="none"/>
          <w:u w:val="single"/>
        </w:rPr>
        <w:t>承包人投标时应自行充分考虑风险，除不可抗力及发包人风险外，今后不做调整。本工程主要材料风险（本合同第11.1条约定范围）计算方法执行专用条款相关规定。</w:t>
      </w:r>
    </w:p>
    <w:p w14:paraId="49D00E41">
      <w:pPr>
        <w:keepNext w:val="0"/>
        <w:keepLines w:val="0"/>
        <w:pageBreakBefore w:val="0"/>
        <w:widowControl w:val="0"/>
        <w:tabs>
          <w:tab w:val="center" w:pos="4393"/>
          <w:tab w:val="left" w:pos="6774"/>
        </w:tabs>
        <w:kinsoku/>
        <w:wordWrap/>
        <w:overflowPunct/>
        <w:topLinePunct w:val="0"/>
        <w:bidi w:val="0"/>
        <w:spacing w:line="360" w:lineRule="auto"/>
        <w:ind w:left="0" w:right="0" w:firstLine="420" w:firstLineChars="200"/>
        <w:jc w:val="left"/>
        <w:textAlignment w:val="auto"/>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lang w:bidi="ar"/>
        </w:rPr>
        <w:t>风险范围以外合同价格的调整方法：</w:t>
      </w:r>
      <w:r>
        <w:rPr>
          <w:rFonts w:hint="eastAsia" w:ascii="宋体" w:hAnsi="宋体" w:eastAsia="宋体" w:cs="宋体"/>
          <w:b/>
          <w:bCs w:val="0"/>
          <w:color w:val="auto"/>
          <w:spacing w:val="0"/>
          <w:kern w:val="2"/>
          <w:sz w:val="21"/>
          <w:szCs w:val="21"/>
          <w:highlight w:val="none"/>
          <w:u w:val="single"/>
          <w:lang w:bidi="ar"/>
        </w:rPr>
        <w:t>参见本合同第</w:t>
      </w:r>
      <w:r>
        <w:rPr>
          <w:rFonts w:hint="eastAsia" w:ascii="宋体" w:hAnsi="宋体" w:eastAsia="宋体" w:cs="宋体"/>
          <w:b/>
          <w:bCs w:val="0"/>
          <w:color w:val="auto"/>
          <w:spacing w:val="0"/>
          <w:kern w:val="2"/>
          <w:sz w:val="21"/>
          <w:szCs w:val="21"/>
          <w:highlight w:val="none"/>
          <w:u w:val="single"/>
          <w:lang w:val="en-US" w:eastAsia="zh-CN" w:bidi="ar"/>
        </w:rPr>
        <w:t>10.4</w:t>
      </w:r>
      <w:r>
        <w:rPr>
          <w:rFonts w:hint="eastAsia" w:ascii="宋体" w:hAnsi="宋体" w:eastAsia="宋体" w:cs="宋体"/>
          <w:b/>
          <w:bCs w:val="0"/>
          <w:color w:val="auto"/>
          <w:spacing w:val="0"/>
          <w:kern w:val="2"/>
          <w:sz w:val="21"/>
          <w:szCs w:val="21"/>
          <w:highlight w:val="none"/>
          <w:u w:val="single"/>
          <w:lang w:bidi="ar"/>
        </w:rPr>
        <w:t>条的相关约定</w:t>
      </w:r>
      <w:r>
        <w:rPr>
          <w:rFonts w:hint="eastAsia" w:ascii="宋体" w:hAnsi="宋体" w:eastAsia="宋体" w:cs="宋体"/>
          <w:bCs w:val="0"/>
          <w:color w:val="auto"/>
          <w:spacing w:val="0"/>
          <w:kern w:val="2"/>
          <w:sz w:val="21"/>
          <w:szCs w:val="21"/>
          <w:highlight w:val="none"/>
          <w:lang w:bidi="ar"/>
        </w:rPr>
        <w:t>。</w:t>
      </w:r>
    </w:p>
    <w:p w14:paraId="30295063">
      <w:pPr>
        <w:keepNext w:val="0"/>
        <w:keepLines w:val="0"/>
        <w:pageBreakBefore w:val="0"/>
        <w:widowControl w:val="0"/>
        <w:tabs>
          <w:tab w:val="center" w:pos="4393"/>
          <w:tab w:val="left" w:pos="6774"/>
        </w:tabs>
        <w:kinsoku/>
        <w:wordWrap/>
        <w:overflowPunct/>
        <w:topLinePunct w:val="0"/>
        <w:bidi w:val="0"/>
        <w:spacing w:line="360" w:lineRule="auto"/>
        <w:ind w:left="0" w:right="0" w:firstLine="0" w:firstLineChars="0"/>
        <w:jc w:val="left"/>
        <w:textAlignment w:val="auto"/>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1</w:t>
      </w:r>
      <w:r>
        <w:rPr>
          <w:rFonts w:hint="eastAsia" w:ascii="宋体" w:hAnsi="宋体" w:eastAsia="宋体" w:cs="宋体"/>
          <w:bCs w:val="0"/>
          <w:color w:val="auto"/>
          <w:spacing w:val="0"/>
          <w:kern w:val="2"/>
          <w:sz w:val="21"/>
          <w:szCs w:val="21"/>
          <w:highlight w:val="none"/>
        </w:rPr>
        <w:t>2.2 预付款</w:t>
      </w:r>
      <w:r>
        <w:rPr>
          <w:rFonts w:hint="eastAsia" w:ascii="宋体" w:hAnsi="宋体" w:eastAsia="宋体" w:cs="宋体"/>
          <w:bCs w:val="0"/>
          <w:color w:val="auto"/>
          <w:spacing w:val="0"/>
          <w:kern w:val="2"/>
          <w:sz w:val="21"/>
          <w:szCs w:val="21"/>
          <w:highlight w:val="none"/>
          <w:lang w:val="en-US" w:eastAsia="zh-CN"/>
        </w:rPr>
        <w:t>:</w:t>
      </w:r>
    </w:p>
    <w:p w14:paraId="3DA63688">
      <w:pPr>
        <w:keepNext w:val="0"/>
        <w:keepLines w:val="0"/>
        <w:pageBreakBefore w:val="0"/>
        <w:widowControl w:val="0"/>
        <w:tabs>
          <w:tab w:val="center" w:pos="4393"/>
          <w:tab w:val="left" w:pos="6774"/>
        </w:tabs>
        <w:kinsoku/>
        <w:wordWrap/>
        <w:overflowPunct/>
        <w:topLinePunct w:val="0"/>
        <w:bidi w:val="0"/>
        <w:spacing w:line="360" w:lineRule="auto"/>
        <w:ind w:left="0" w:right="0" w:firstLine="0" w:firstLineChars="0"/>
        <w:jc w:val="left"/>
        <w:textAlignment w:val="auto"/>
        <w:rPr>
          <w:rFonts w:hint="default" w:ascii="宋体" w:hAnsi="宋体" w:eastAsia="宋体" w:cs="宋体"/>
          <w:bCs w:val="0"/>
          <w:color w:val="auto"/>
          <w:spacing w:val="0"/>
          <w:kern w:val="2"/>
          <w:sz w:val="21"/>
          <w:szCs w:val="21"/>
          <w:highlight w:val="none"/>
          <w:lang w:val="en-US" w:eastAsia="zh-CN"/>
        </w:rPr>
      </w:pPr>
      <w:r>
        <w:rPr>
          <w:rFonts w:hint="default" w:ascii="宋体" w:hAnsi="宋体" w:eastAsia="宋体" w:cs="宋体"/>
          <w:bCs w:val="0"/>
          <w:color w:val="auto"/>
          <w:spacing w:val="0"/>
          <w:kern w:val="2"/>
          <w:sz w:val="21"/>
          <w:szCs w:val="21"/>
          <w:highlight w:val="none"/>
          <w:lang w:val="en-US" w:eastAsia="zh-CN"/>
        </w:rPr>
        <w:t>预付款支付比例或金额：</w:t>
      </w:r>
      <w:r>
        <w:rPr>
          <w:rFonts w:hint="default" w:ascii="宋体" w:hAnsi="宋体" w:eastAsia="宋体" w:cs="宋体"/>
          <w:bCs w:val="0"/>
          <w:color w:val="auto"/>
          <w:spacing w:val="0"/>
          <w:kern w:val="2"/>
          <w:sz w:val="21"/>
          <w:szCs w:val="21"/>
          <w:highlight w:val="none"/>
          <w:u w:val="single"/>
          <w:lang w:val="en-US" w:eastAsia="zh-CN"/>
        </w:rPr>
        <w:t xml:space="preserve"> 预付款为工程价款（合同价扣除暂列金额、暂估价）的10% 。</w:t>
      </w:r>
    </w:p>
    <w:p w14:paraId="283FB60A">
      <w:pPr>
        <w:keepNext w:val="0"/>
        <w:keepLines w:val="0"/>
        <w:pageBreakBefore w:val="0"/>
        <w:widowControl w:val="0"/>
        <w:tabs>
          <w:tab w:val="center" w:pos="4393"/>
          <w:tab w:val="left" w:pos="6774"/>
        </w:tabs>
        <w:kinsoku/>
        <w:wordWrap/>
        <w:overflowPunct/>
        <w:topLinePunct w:val="0"/>
        <w:bidi w:val="0"/>
        <w:spacing w:line="360" w:lineRule="auto"/>
        <w:ind w:left="0" w:right="0" w:firstLine="0" w:firstLineChars="0"/>
        <w:jc w:val="left"/>
        <w:textAlignment w:val="auto"/>
        <w:rPr>
          <w:rFonts w:hint="default" w:ascii="宋体" w:hAnsi="宋体" w:eastAsia="宋体" w:cs="宋体"/>
          <w:bCs w:val="0"/>
          <w:color w:val="auto"/>
          <w:spacing w:val="0"/>
          <w:kern w:val="2"/>
          <w:sz w:val="21"/>
          <w:szCs w:val="21"/>
          <w:highlight w:val="none"/>
          <w:lang w:val="en-US" w:eastAsia="zh-CN"/>
        </w:rPr>
      </w:pPr>
      <w:r>
        <w:rPr>
          <w:rFonts w:hint="default" w:ascii="宋体" w:hAnsi="宋体" w:eastAsia="宋体" w:cs="宋体"/>
          <w:bCs w:val="0"/>
          <w:color w:val="auto"/>
          <w:spacing w:val="0"/>
          <w:kern w:val="2"/>
          <w:sz w:val="21"/>
          <w:szCs w:val="21"/>
          <w:highlight w:val="none"/>
          <w:lang w:val="en-US" w:eastAsia="zh-CN"/>
        </w:rPr>
        <w:t>预付款支付期限：</w:t>
      </w:r>
      <w:r>
        <w:rPr>
          <w:rFonts w:hint="default" w:ascii="宋体" w:hAnsi="宋体" w:eastAsia="宋体" w:cs="宋体"/>
          <w:bCs w:val="0"/>
          <w:color w:val="auto"/>
          <w:spacing w:val="0"/>
          <w:kern w:val="2"/>
          <w:sz w:val="21"/>
          <w:szCs w:val="21"/>
          <w:highlight w:val="none"/>
          <w:u w:val="single"/>
          <w:lang w:val="en-US" w:eastAsia="zh-CN"/>
        </w:rPr>
        <w:t>签订合同进场施工后15 日内 。</w:t>
      </w:r>
    </w:p>
    <w:p w14:paraId="28F4E511">
      <w:pPr>
        <w:keepNext w:val="0"/>
        <w:keepLines w:val="0"/>
        <w:pageBreakBefore w:val="0"/>
        <w:widowControl w:val="0"/>
        <w:tabs>
          <w:tab w:val="center" w:pos="4393"/>
          <w:tab w:val="left" w:pos="6774"/>
        </w:tabs>
        <w:kinsoku/>
        <w:wordWrap/>
        <w:overflowPunct/>
        <w:topLinePunct w:val="0"/>
        <w:bidi w:val="0"/>
        <w:spacing w:line="360" w:lineRule="auto"/>
        <w:ind w:left="0" w:right="0" w:firstLine="0" w:firstLineChars="0"/>
        <w:jc w:val="left"/>
        <w:textAlignment w:val="auto"/>
        <w:rPr>
          <w:rFonts w:hint="default" w:ascii="宋体" w:hAnsi="宋体" w:eastAsia="宋体" w:cs="宋体"/>
          <w:bCs w:val="0"/>
          <w:color w:val="auto"/>
          <w:spacing w:val="0"/>
          <w:kern w:val="2"/>
          <w:sz w:val="21"/>
          <w:szCs w:val="21"/>
          <w:highlight w:val="none"/>
          <w:lang w:val="en-US" w:eastAsia="zh-CN"/>
        </w:rPr>
      </w:pPr>
      <w:r>
        <w:rPr>
          <w:rFonts w:hint="default" w:ascii="宋体" w:hAnsi="宋体" w:eastAsia="宋体" w:cs="宋体"/>
          <w:bCs w:val="0"/>
          <w:color w:val="auto"/>
          <w:spacing w:val="0"/>
          <w:kern w:val="2"/>
          <w:sz w:val="21"/>
          <w:szCs w:val="21"/>
          <w:highlight w:val="none"/>
          <w:lang w:val="en-US" w:eastAsia="zh-CN"/>
        </w:rPr>
        <w:t>预付款扣回的方式：</w:t>
      </w:r>
      <w:r>
        <w:rPr>
          <w:rFonts w:hint="default" w:ascii="宋体" w:hAnsi="宋体" w:eastAsia="宋体" w:cs="宋体"/>
          <w:bCs w:val="0"/>
          <w:color w:val="auto"/>
          <w:spacing w:val="0"/>
          <w:kern w:val="2"/>
          <w:sz w:val="21"/>
          <w:szCs w:val="21"/>
          <w:highlight w:val="none"/>
          <w:u w:val="single"/>
          <w:lang w:val="en-US" w:eastAsia="zh-CN"/>
        </w:rPr>
        <w:t xml:space="preserve"> 预付款在</w:t>
      </w:r>
      <w:r>
        <w:rPr>
          <w:rFonts w:hint="eastAsia" w:ascii="宋体" w:hAnsi="宋体" w:eastAsia="宋体" w:cs="宋体"/>
          <w:bCs w:val="0"/>
          <w:color w:val="auto"/>
          <w:spacing w:val="0"/>
          <w:kern w:val="2"/>
          <w:sz w:val="21"/>
          <w:szCs w:val="21"/>
          <w:highlight w:val="none"/>
          <w:u w:val="single"/>
          <w:lang w:val="en-US" w:eastAsia="zh-CN"/>
        </w:rPr>
        <w:t>第一</w:t>
      </w:r>
      <w:r>
        <w:rPr>
          <w:rFonts w:hint="default" w:ascii="宋体" w:hAnsi="宋体" w:eastAsia="宋体" w:cs="宋体"/>
          <w:bCs w:val="0"/>
          <w:color w:val="auto"/>
          <w:spacing w:val="0"/>
          <w:kern w:val="2"/>
          <w:sz w:val="21"/>
          <w:szCs w:val="21"/>
          <w:highlight w:val="none"/>
          <w:u w:val="single"/>
          <w:lang w:val="en-US" w:eastAsia="zh-CN"/>
        </w:rPr>
        <w:t>次进度款支付</w:t>
      </w:r>
      <w:r>
        <w:rPr>
          <w:rFonts w:hint="eastAsia" w:ascii="宋体" w:hAnsi="宋体" w:eastAsia="宋体" w:cs="宋体"/>
          <w:bCs w:val="0"/>
          <w:color w:val="auto"/>
          <w:spacing w:val="0"/>
          <w:kern w:val="2"/>
          <w:sz w:val="21"/>
          <w:szCs w:val="21"/>
          <w:highlight w:val="none"/>
          <w:u w:val="single"/>
          <w:lang w:val="en-US" w:eastAsia="zh-CN"/>
        </w:rPr>
        <w:t>时一次性</w:t>
      </w:r>
      <w:r>
        <w:rPr>
          <w:rFonts w:hint="default" w:ascii="宋体" w:hAnsi="宋体" w:eastAsia="宋体" w:cs="宋体"/>
          <w:bCs w:val="0"/>
          <w:color w:val="auto"/>
          <w:spacing w:val="0"/>
          <w:kern w:val="2"/>
          <w:sz w:val="21"/>
          <w:szCs w:val="21"/>
          <w:highlight w:val="none"/>
          <w:u w:val="single"/>
          <w:lang w:val="en-US" w:eastAsia="zh-CN"/>
        </w:rPr>
        <w:t xml:space="preserve">扣回 </w:t>
      </w:r>
      <w:r>
        <w:rPr>
          <w:rFonts w:hint="default" w:ascii="宋体" w:hAnsi="宋体" w:eastAsia="宋体" w:cs="宋体"/>
          <w:bCs w:val="0"/>
          <w:color w:val="auto"/>
          <w:spacing w:val="0"/>
          <w:kern w:val="2"/>
          <w:sz w:val="21"/>
          <w:szCs w:val="21"/>
          <w:highlight w:val="none"/>
          <w:lang w:val="en-US" w:eastAsia="zh-CN"/>
        </w:rPr>
        <w:t>。</w:t>
      </w:r>
    </w:p>
    <w:p w14:paraId="3F909E0E">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12.3 计量</w:t>
      </w:r>
    </w:p>
    <w:p w14:paraId="22B584DD">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12.3.1 计量原则</w:t>
      </w:r>
    </w:p>
    <w:p w14:paraId="541DE93A">
      <w:pPr>
        <w:keepNext w:val="0"/>
        <w:keepLines w:val="0"/>
        <w:widowControl/>
        <w:suppressLineNumbers w:val="0"/>
        <w:spacing w:before="0" w:beforeAutospacing="0" w:after="0" w:afterAutospacing="0" w:line="360" w:lineRule="auto"/>
        <w:ind w:left="0" w:right="0" w:firstLine="0" w:firstLineChars="0"/>
        <w:rPr>
          <w:rFonts w:hint="default" w:ascii="宋体" w:hAnsi="宋体" w:eastAsia="宋体" w:cs="宋体"/>
          <w:bCs/>
          <w:spacing w:val="2"/>
          <w:kern w:val="0"/>
          <w:sz w:val="24"/>
          <w:szCs w:val="44"/>
          <w:highlight w:val="none"/>
          <w:u w:val="single"/>
          <w:lang w:val="en-US" w:eastAsia="zh-CN" w:bidi="ar-SA"/>
        </w:rPr>
      </w:pPr>
      <w:r>
        <w:rPr>
          <w:rFonts w:hint="eastAsia" w:ascii="宋体" w:hAnsi="宋体" w:eastAsia="宋体" w:cs="宋体"/>
          <w:bCs w:val="0"/>
          <w:color w:val="auto"/>
          <w:spacing w:val="0"/>
          <w:kern w:val="0"/>
          <w:sz w:val="21"/>
          <w:szCs w:val="21"/>
          <w:highlight w:val="none"/>
          <w:u w:val="single"/>
          <w:lang w:val="en-US" w:eastAsia="zh-CN" w:bidi="ar-SA"/>
        </w:rPr>
        <w:t>工程量计算规则：</w:t>
      </w:r>
      <w:r>
        <w:rPr>
          <w:rFonts w:hint="eastAsia" w:ascii="宋体" w:hAnsi="宋体" w:eastAsia="宋体" w:cs="宋体"/>
          <w:bCs w:val="0"/>
          <w:color w:val="auto"/>
          <w:spacing w:val="0"/>
          <w:kern w:val="0"/>
          <w:sz w:val="21"/>
          <w:szCs w:val="21"/>
          <w:highlight w:val="none"/>
          <w:u w:val="single"/>
          <w:lang w:val="en-US" w:eastAsia="zh-CN" w:bidi="ar"/>
        </w:rPr>
        <w:t>工程量计算规则执行《房屋建筑与装饰工程工程量计算标准》GB/T50854-2024</w:t>
      </w:r>
    </w:p>
    <w:p w14:paraId="4C4B03C1">
      <w:pPr>
        <w:keepNext w:val="0"/>
        <w:keepLines w:val="0"/>
        <w:widowControl/>
        <w:suppressLineNumbers w:val="0"/>
        <w:spacing w:before="0" w:beforeAutospacing="0" w:after="0" w:afterAutospacing="0" w:line="360" w:lineRule="auto"/>
        <w:ind w:left="0" w:right="0" w:firstLine="0" w:firstLineChars="0"/>
        <w:rPr>
          <w:rFonts w:hint="eastAsia" w:ascii="宋体" w:hAnsi="宋体" w:eastAsia="宋体" w:cs="宋体"/>
          <w:bCs w:val="0"/>
          <w:color w:val="auto"/>
          <w:spacing w:val="0"/>
          <w:kern w:val="0"/>
          <w:sz w:val="21"/>
          <w:szCs w:val="21"/>
          <w:highlight w:val="none"/>
          <w:lang w:val="en-US" w:eastAsia="zh-CN" w:bidi="ar-SA"/>
        </w:rPr>
      </w:pPr>
      <w:r>
        <w:rPr>
          <w:rFonts w:hint="eastAsia" w:ascii="宋体" w:hAnsi="宋体" w:eastAsia="宋体" w:cs="宋体"/>
          <w:bCs w:val="0"/>
          <w:color w:val="auto"/>
          <w:spacing w:val="0"/>
          <w:kern w:val="0"/>
          <w:sz w:val="21"/>
          <w:szCs w:val="21"/>
          <w:highlight w:val="none"/>
          <w:u w:val="single"/>
          <w:lang w:val="en-US" w:eastAsia="zh-CN" w:bidi="ar-SA"/>
        </w:rPr>
        <w:t>《通用安装工程工程量计算标准》GB/T50856-2024、建设工程工程量清单计价标准（GBT50500-2024）、《市政工程工程量计算标准》（GBT50857-2024）、工程量清单计算规则补充说明</w:t>
      </w:r>
      <w:r>
        <w:rPr>
          <w:rFonts w:hint="eastAsia" w:ascii="宋体" w:hAnsi="宋体" w:eastAsia="宋体" w:cs="宋体"/>
          <w:bCs w:val="0"/>
          <w:color w:val="auto"/>
          <w:spacing w:val="0"/>
          <w:kern w:val="0"/>
          <w:sz w:val="21"/>
          <w:szCs w:val="21"/>
          <w:highlight w:val="none"/>
          <w:u w:val="single"/>
          <w:lang w:val="en-US" w:eastAsia="zh-CN" w:bidi="ar"/>
        </w:rPr>
        <w:t>及相关图集；承包人实际完成的工程量按约定的工程量计算规则和有合同约束力的图纸进行计量</w:t>
      </w:r>
      <w:r>
        <w:rPr>
          <w:rFonts w:hint="eastAsia" w:ascii="宋体" w:hAnsi="宋体" w:eastAsia="宋体" w:cs="宋体"/>
          <w:bCs w:val="0"/>
          <w:color w:val="auto"/>
          <w:spacing w:val="0"/>
          <w:kern w:val="0"/>
          <w:sz w:val="21"/>
          <w:szCs w:val="21"/>
          <w:highlight w:val="none"/>
          <w:lang w:val="en-US" w:eastAsia="zh-CN" w:bidi="ar-SA"/>
        </w:rPr>
        <w:t>。</w:t>
      </w:r>
    </w:p>
    <w:p w14:paraId="184A52B0">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12.3.2 计量周期</w:t>
      </w:r>
    </w:p>
    <w:p w14:paraId="79FC1222">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rPr>
        <w:t>关于计量周期的约定：</w:t>
      </w:r>
      <w:r>
        <w:rPr>
          <w:rFonts w:hint="eastAsia" w:ascii="宋体" w:hAnsi="宋体" w:eastAsia="宋体" w:cs="宋体"/>
          <w:bCs w:val="0"/>
          <w:color w:val="auto"/>
          <w:spacing w:val="0"/>
          <w:kern w:val="2"/>
          <w:sz w:val="21"/>
          <w:szCs w:val="21"/>
          <w:highlight w:val="none"/>
          <w:u w:val="single"/>
          <w:lang w:val="en-US" w:eastAsia="zh-CN"/>
        </w:rPr>
        <w:t>按付款</w:t>
      </w:r>
      <w:r>
        <w:rPr>
          <w:rFonts w:hint="eastAsia" w:ascii="宋体" w:hAnsi="宋体" w:eastAsia="宋体" w:cs="宋体"/>
          <w:bCs w:val="0"/>
          <w:color w:val="auto"/>
          <w:spacing w:val="0"/>
          <w:kern w:val="2"/>
          <w:sz w:val="21"/>
          <w:szCs w:val="21"/>
          <w:highlight w:val="none"/>
          <w:u w:val="single"/>
        </w:rPr>
        <w:t>节点计量。</w:t>
      </w:r>
    </w:p>
    <w:p w14:paraId="6DC4C0AF">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12.3.3 单价合同的计量</w:t>
      </w:r>
    </w:p>
    <w:p w14:paraId="03016A80">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关于单价合同计量的约定：</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bidi="ar"/>
        </w:rPr>
        <w:t>工程量按实计量</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40BB7F7F">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12.3.4 总价合同的计量</w:t>
      </w:r>
    </w:p>
    <w:p w14:paraId="391DBE61">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关于总价合同计量的约定：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78966B9C">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12.3.5总价合同采用支付分解表计量支付的，是否适用第</w:t>
      </w:r>
      <w:r>
        <w:rPr>
          <w:rFonts w:hint="eastAsia" w:ascii="宋体" w:hAnsi="宋体" w:eastAsia="宋体" w:cs="宋体"/>
          <w:bCs w:val="0"/>
          <w:color w:val="auto"/>
          <w:spacing w:val="0"/>
          <w:kern w:val="0"/>
          <w:sz w:val="21"/>
          <w:szCs w:val="21"/>
          <w:highlight w:val="none"/>
        </w:rPr>
        <w:t xml:space="preserve">12.3.4 </w:t>
      </w:r>
      <w:r>
        <w:rPr>
          <w:rFonts w:hint="eastAsia" w:ascii="宋体" w:hAnsi="宋体" w:eastAsia="宋体" w:cs="宋体"/>
          <w:bCs w:val="0"/>
          <w:color w:val="auto"/>
          <w:spacing w:val="0"/>
          <w:kern w:val="2"/>
          <w:sz w:val="21"/>
          <w:szCs w:val="21"/>
          <w:highlight w:val="none"/>
        </w:rPr>
        <w:t>项</w:t>
      </w:r>
      <w:r>
        <w:rPr>
          <w:rFonts w:hint="eastAsia" w:ascii="宋体" w:hAnsi="宋体" w:eastAsia="宋体" w:cs="宋体"/>
          <w:bCs w:val="0"/>
          <w:color w:val="auto"/>
          <w:spacing w:val="0"/>
          <w:kern w:val="0"/>
          <w:sz w:val="21"/>
          <w:szCs w:val="21"/>
          <w:highlight w:val="none"/>
        </w:rPr>
        <w:t>〔总价合同的计量〕</w:t>
      </w:r>
      <w:r>
        <w:rPr>
          <w:rFonts w:hint="eastAsia" w:ascii="宋体" w:hAnsi="宋体" w:eastAsia="宋体" w:cs="宋体"/>
          <w:bCs w:val="0"/>
          <w:color w:val="auto"/>
          <w:spacing w:val="0"/>
          <w:kern w:val="2"/>
          <w:sz w:val="21"/>
          <w:szCs w:val="21"/>
          <w:highlight w:val="none"/>
        </w:rPr>
        <w:t>约定进行计量：</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0D8F60BE">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12.3.6 其他价格形式合同的计量</w:t>
      </w:r>
    </w:p>
    <w:p w14:paraId="05034302">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其他价格形式的计量方式和程序：</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23F8AD10">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12.4 工程进度款支付</w:t>
      </w:r>
    </w:p>
    <w:p w14:paraId="60A7E699">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12.4.1 付款周期 </w:t>
      </w:r>
    </w:p>
    <w:p w14:paraId="045645FD">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lang w:bidi="ar"/>
        </w:rPr>
      </w:pPr>
      <w:r>
        <w:rPr>
          <w:rFonts w:hint="eastAsia" w:ascii="宋体" w:hAnsi="宋体" w:eastAsia="宋体" w:cs="宋体"/>
          <w:bCs w:val="0"/>
          <w:color w:val="auto"/>
          <w:spacing w:val="0"/>
          <w:kern w:val="2"/>
          <w:sz w:val="21"/>
          <w:szCs w:val="21"/>
          <w:highlight w:val="none"/>
          <w:lang w:bidi="ar"/>
        </w:rPr>
        <w:t>关于付款周期的约定：</w:t>
      </w:r>
    </w:p>
    <w:p w14:paraId="7687F753">
      <w:pPr>
        <w:keepNext w:val="0"/>
        <w:keepLines w:val="0"/>
        <w:pageBreakBefore w:val="0"/>
        <w:widowControl w:val="0"/>
        <w:tabs>
          <w:tab w:val="center" w:pos="4393"/>
          <w:tab w:val="left" w:pos="6774"/>
        </w:tabs>
        <w:kinsoku/>
        <w:wordWrap/>
        <w:overflowPunct/>
        <w:topLinePunct w:val="0"/>
        <w:bidi w:val="0"/>
        <w:spacing w:line="360" w:lineRule="auto"/>
        <w:ind w:left="0" w:leftChars="0" w:right="0" w:firstLine="422" w:firstLineChars="200"/>
        <w:jc w:val="left"/>
        <w:textAlignment w:val="auto"/>
        <w:rPr>
          <w:rFonts w:hint="eastAsia" w:ascii="宋体" w:hAnsi="宋体" w:eastAsia="宋体" w:cs="宋体"/>
          <w:b/>
          <w:bCs w:val="0"/>
          <w:color w:val="auto"/>
          <w:spacing w:val="0"/>
          <w:kern w:val="0"/>
          <w:sz w:val="21"/>
          <w:szCs w:val="21"/>
          <w:highlight w:val="none"/>
          <w:lang w:val="en-US" w:eastAsia="zh-CN" w:bidi="ar"/>
        </w:rPr>
      </w:pPr>
      <w:r>
        <w:rPr>
          <w:rFonts w:hint="eastAsia" w:ascii="宋体" w:hAnsi="宋体" w:eastAsia="宋体" w:cs="宋体"/>
          <w:b/>
          <w:bCs w:val="0"/>
          <w:color w:val="auto"/>
          <w:spacing w:val="0"/>
          <w:kern w:val="0"/>
          <w:sz w:val="21"/>
          <w:szCs w:val="21"/>
          <w:highlight w:val="none"/>
          <w:lang w:val="en-US" w:eastAsia="zh-CN" w:bidi="ar"/>
        </w:rPr>
        <w:t>签订合同进场施工后付至合同价的10%作为预付款，全部工程竣工验收合格后一年内付至合同金额的80%，审计结束后一年内付至审计价款的97%，剩余3%质保期结束后付清。</w:t>
      </w:r>
    </w:p>
    <w:p w14:paraId="2D57FB8F">
      <w:pPr>
        <w:keepNext w:val="0"/>
        <w:keepLines w:val="0"/>
        <w:pageBreakBefore w:val="0"/>
        <w:widowControl w:val="0"/>
        <w:tabs>
          <w:tab w:val="center" w:pos="4393"/>
          <w:tab w:val="left" w:pos="6774"/>
        </w:tabs>
        <w:kinsoku/>
        <w:wordWrap/>
        <w:overflowPunct/>
        <w:topLinePunct w:val="0"/>
        <w:bidi w:val="0"/>
        <w:spacing w:line="360" w:lineRule="auto"/>
        <w:ind w:left="0" w:leftChars="0" w:right="0" w:firstLine="422" w:firstLineChars="200"/>
        <w:jc w:val="left"/>
        <w:textAlignment w:val="auto"/>
        <w:rPr>
          <w:rFonts w:hint="eastAsia" w:ascii="宋体" w:hAnsi="宋体" w:eastAsia="宋体" w:cs="宋体"/>
          <w:b/>
          <w:bCs w:val="0"/>
          <w:color w:val="auto"/>
          <w:spacing w:val="0"/>
          <w:kern w:val="0"/>
          <w:sz w:val="21"/>
          <w:szCs w:val="21"/>
          <w:highlight w:val="none"/>
          <w:lang w:val="en-US" w:eastAsia="zh-CN" w:bidi="ar"/>
        </w:rPr>
      </w:pPr>
      <w:r>
        <w:rPr>
          <w:rFonts w:hint="eastAsia" w:ascii="宋体" w:hAnsi="宋体" w:eastAsia="宋体" w:cs="宋体"/>
          <w:b/>
          <w:bCs w:val="0"/>
          <w:color w:val="auto"/>
          <w:spacing w:val="0"/>
          <w:kern w:val="0"/>
          <w:sz w:val="21"/>
          <w:szCs w:val="21"/>
          <w:highlight w:val="none"/>
          <w:lang w:val="en-US" w:eastAsia="zh-CN" w:bidi="ar"/>
        </w:rPr>
        <w:t>注：每次支付工程款时，承包人必须提供符合税法的增值税专用发票，否则延时付款的责任由承包人自行承担。</w:t>
      </w:r>
    </w:p>
    <w:p w14:paraId="511797C7">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12.4.2 进度付款申请单的编制</w:t>
      </w:r>
    </w:p>
    <w:p w14:paraId="24DDA340">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关于进度付款申请单编制的约定：</w:t>
      </w:r>
      <w:r>
        <w:rPr>
          <w:rFonts w:hint="eastAsia" w:ascii="宋体" w:hAnsi="宋体" w:eastAsia="宋体" w:cs="宋体"/>
          <w:bCs w:val="0"/>
          <w:color w:val="auto"/>
          <w:spacing w:val="0"/>
          <w:kern w:val="2"/>
          <w:sz w:val="21"/>
          <w:szCs w:val="21"/>
          <w:highlight w:val="none"/>
          <w:u w:val="single"/>
        </w:rPr>
        <w:t xml:space="preserve">不包括变更、索赔等部分 </w:t>
      </w:r>
    </w:p>
    <w:p w14:paraId="7734B052">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12.4.3 进度付款申请单的提交</w:t>
      </w:r>
    </w:p>
    <w:p w14:paraId="60F547E1">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（1）单价合同进度付款申请单提交的约定：</w:t>
      </w:r>
      <w:r>
        <w:rPr>
          <w:rFonts w:hint="eastAsia" w:ascii="宋体" w:hAnsi="宋体" w:eastAsia="宋体" w:cs="宋体"/>
          <w:bCs w:val="0"/>
          <w:color w:val="auto"/>
          <w:spacing w:val="0"/>
          <w:kern w:val="2"/>
          <w:sz w:val="21"/>
          <w:szCs w:val="21"/>
          <w:highlight w:val="none"/>
          <w:u w:val="single"/>
        </w:rPr>
        <w:t xml:space="preserve"> 承包人应于每月25日向监理人报送上月20日至当月19日已完成的合格工程量，并附进度付款申请单、已完工程量报表和相关资料</w:t>
      </w:r>
      <w:r>
        <w:rPr>
          <w:rFonts w:hint="eastAsia" w:ascii="宋体" w:hAnsi="宋体" w:eastAsia="宋体" w:cs="宋体"/>
          <w:bCs w:val="0"/>
          <w:color w:val="auto"/>
          <w:spacing w:val="0"/>
          <w:kern w:val="2"/>
          <w:sz w:val="21"/>
          <w:szCs w:val="21"/>
          <w:highlight w:val="none"/>
        </w:rPr>
        <w:t>。</w:t>
      </w:r>
    </w:p>
    <w:p w14:paraId="4CE4BEB2">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（2）总价合同进度付款申请单提交的约定：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4A0EF4EC">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（3）其他价格形式合同进度付款申请单提交的约定：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5BAA46B6">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12.4.4 进度款审核和支付</w:t>
      </w:r>
    </w:p>
    <w:p w14:paraId="39E432FE">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（1）监理人审查并报送发包人的期限：</w:t>
      </w:r>
      <w:r>
        <w:rPr>
          <w:rFonts w:hint="eastAsia" w:ascii="宋体" w:hAnsi="宋体" w:eastAsia="宋体" w:cs="宋体"/>
          <w:bCs w:val="0"/>
          <w:color w:val="auto"/>
          <w:spacing w:val="0"/>
          <w:kern w:val="2"/>
          <w:sz w:val="21"/>
          <w:szCs w:val="21"/>
          <w:highlight w:val="none"/>
          <w:u w:val="single"/>
          <w:lang w:bidi="ar"/>
        </w:rPr>
        <w:t>在收到承包人进度付款申请单以及相关资料</w:t>
      </w:r>
      <w:r>
        <w:rPr>
          <w:rFonts w:hint="eastAsia" w:ascii="宋体" w:hAnsi="宋体" w:eastAsia="宋体" w:cs="宋体"/>
          <w:bCs w:val="0"/>
          <w:color w:val="auto"/>
          <w:spacing w:val="0"/>
          <w:kern w:val="2"/>
          <w:sz w:val="21"/>
          <w:szCs w:val="21"/>
          <w:highlight w:val="none"/>
          <w:u w:val="single"/>
          <w:lang w:val="en-US" w:eastAsia="zh-CN" w:bidi="ar"/>
        </w:rPr>
        <w:t>后</w:t>
      </w:r>
      <w:r>
        <w:rPr>
          <w:rFonts w:hint="eastAsia" w:ascii="宋体" w:hAnsi="宋体" w:eastAsia="宋体" w:cs="宋体"/>
          <w:bCs w:val="0"/>
          <w:color w:val="auto"/>
          <w:spacing w:val="0"/>
          <w:kern w:val="2"/>
          <w:sz w:val="21"/>
          <w:szCs w:val="21"/>
          <w:highlight w:val="none"/>
          <w:u w:val="single"/>
          <w:lang w:bidi="ar"/>
        </w:rPr>
        <w:t>共14天出具进度款支付证书，</w:t>
      </w:r>
      <w:r>
        <w:rPr>
          <w:rFonts w:hint="eastAsia" w:ascii="宋体" w:hAnsi="宋体" w:eastAsia="宋体" w:cs="宋体"/>
          <w:bCs w:val="0"/>
          <w:color w:val="auto"/>
          <w:spacing w:val="0"/>
          <w:kern w:val="2"/>
          <w:sz w:val="21"/>
          <w:szCs w:val="21"/>
          <w:highlight w:val="none"/>
          <w:u w:val="single"/>
          <w:lang w:val="en-US" w:eastAsia="zh-CN" w:bidi="ar"/>
        </w:rPr>
        <w:t>其中</w:t>
      </w:r>
      <w:r>
        <w:rPr>
          <w:rFonts w:hint="eastAsia" w:ascii="宋体" w:hAnsi="宋体" w:eastAsia="宋体" w:cs="宋体"/>
          <w:bCs w:val="0"/>
          <w:color w:val="auto"/>
          <w:spacing w:val="0"/>
          <w:kern w:val="2"/>
          <w:sz w:val="21"/>
          <w:szCs w:val="21"/>
          <w:highlight w:val="none"/>
          <w:u w:val="single"/>
          <w:lang w:bidi="ar"/>
        </w:rPr>
        <w:t>监理工程师应在收到承包人进度付款申请单以及相关资料后</w:t>
      </w:r>
      <w:r>
        <w:rPr>
          <w:rFonts w:hint="eastAsia" w:ascii="宋体" w:hAnsi="宋体" w:eastAsia="宋体" w:cs="宋体"/>
          <w:bCs w:val="0"/>
          <w:color w:val="auto"/>
          <w:spacing w:val="0"/>
          <w:kern w:val="2"/>
          <w:sz w:val="21"/>
          <w:szCs w:val="21"/>
          <w:highlight w:val="none"/>
          <w:u w:val="single"/>
          <w:lang w:val="en-US" w:eastAsia="zh-CN" w:bidi="ar"/>
        </w:rPr>
        <w:t>7</w:t>
      </w:r>
      <w:r>
        <w:rPr>
          <w:rFonts w:hint="eastAsia" w:ascii="宋体" w:hAnsi="宋体" w:eastAsia="宋体" w:cs="宋体"/>
          <w:bCs w:val="0"/>
          <w:color w:val="auto"/>
          <w:spacing w:val="0"/>
          <w:kern w:val="2"/>
          <w:sz w:val="21"/>
          <w:szCs w:val="21"/>
          <w:highlight w:val="none"/>
          <w:u w:val="single"/>
          <w:lang w:bidi="ar"/>
        </w:rPr>
        <w:t>天内审查完成，并报跟踪审计单位审核，跟审单位应在收到后7天内完成审核并报发包人批准</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115A7A3D">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发包人完成审批并签发进度款支付证书的期限：</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5F74A37F">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（2）发包人支付进度款的期限：</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43589294">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发包人逾期支付进度款的违约金的计算方式：</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789C4BBC">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12.4.6 支付分解表的编制</w:t>
      </w:r>
    </w:p>
    <w:p w14:paraId="2A7A2D5F">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1、总价合同支付分解表的编制与审批：</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284CA1FE">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2、单价合同的总价项目支付分解表的编制与审批：</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012F1693">
      <w:pPr>
        <w:keepNext/>
        <w:keepLines/>
        <w:pageBreakBefore w:val="0"/>
        <w:widowControl w:val="0"/>
        <w:numPr>
          <w:ilvl w:val="3"/>
          <w:numId w:val="2"/>
        </w:numPr>
        <w:kinsoku/>
        <w:wordWrap/>
        <w:overflowPunct/>
        <w:topLinePunct w:val="0"/>
        <w:bidi w:val="0"/>
        <w:spacing w:line="360" w:lineRule="auto"/>
        <w:ind w:left="0" w:right="0" w:firstLine="0" w:firstLineChars="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13. 验收和工程试车</w:t>
      </w:r>
    </w:p>
    <w:p w14:paraId="0ED708A0">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13.1 分部分项工程验收</w:t>
      </w:r>
    </w:p>
    <w:p w14:paraId="69F51903">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13.1.2监理人不能按时进行验收时，应提前</w:t>
      </w:r>
      <w:r>
        <w:rPr>
          <w:rFonts w:hint="eastAsia" w:ascii="宋体" w:hAnsi="宋体" w:eastAsia="宋体" w:cs="宋体"/>
          <w:bCs w:val="0"/>
          <w:color w:val="auto"/>
          <w:spacing w:val="0"/>
          <w:kern w:val="2"/>
          <w:sz w:val="21"/>
          <w:szCs w:val="21"/>
          <w:highlight w:val="none"/>
          <w:u w:val="single"/>
        </w:rPr>
        <w:t xml:space="preserve"> 24 </w:t>
      </w:r>
      <w:r>
        <w:rPr>
          <w:rFonts w:hint="eastAsia" w:ascii="宋体" w:hAnsi="宋体" w:eastAsia="宋体" w:cs="宋体"/>
          <w:bCs w:val="0"/>
          <w:color w:val="auto"/>
          <w:spacing w:val="0"/>
          <w:kern w:val="2"/>
          <w:sz w:val="21"/>
          <w:szCs w:val="21"/>
          <w:highlight w:val="none"/>
        </w:rPr>
        <w:t>小时提交书面延期要求。关于延期最长不得超过：</w:t>
      </w:r>
      <w:r>
        <w:rPr>
          <w:rFonts w:hint="eastAsia" w:ascii="宋体" w:hAnsi="宋体" w:eastAsia="宋体" w:cs="宋体"/>
          <w:bCs w:val="0"/>
          <w:color w:val="auto"/>
          <w:spacing w:val="0"/>
          <w:kern w:val="2"/>
          <w:sz w:val="21"/>
          <w:szCs w:val="21"/>
          <w:highlight w:val="none"/>
          <w:u w:val="single"/>
        </w:rPr>
        <w:t xml:space="preserve"> 48 </w:t>
      </w:r>
      <w:r>
        <w:rPr>
          <w:rFonts w:hint="eastAsia" w:ascii="宋体" w:hAnsi="宋体" w:eastAsia="宋体" w:cs="宋体"/>
          <w:bCs w:val="0"/>
          <w:color w:val="auto"/>
          <w:spacing w:val="0"/>
          <w:kern w:val="2"/>
          <w:sz w:val="21"/>
          <w:szCs w:val="21"/>
          <w:highlight w:val="none"/>
        </w:rPr>
        <w:t>小时。</w:t>
      </w:r>
    </w:p>
    <w:p w14:paraId="102E8E13">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13.2 竣工验收</w:t>
      </w:r>
    </w:p>
    <w:p w14:paraId="2138FE3B">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13.2.2竣工验收程序</w:t>
      </w:r>
    </w:p>
    <w:p w14:paraId="07F3F5F0">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关于竣工验收程序的约定：</w:t>
      </w:r>
    </w:p>
    <w:p w14:paraId="2A4DBF33">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24AA20A4">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54B8CD3E">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（3）竣工验收合格的，发包人应在验收合格后28天内向承包人签发工程接收证书。发包人无正当理由逾期不颁发工程接收证书的，自验收合格后第29天起视为已颁发工程接收证书。</w:t>
      </w:r>
    </w:p>
    <w:p w14:paraId="716EBDF8">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C145857">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（5）工程未经验收或验收不合格，发包人擅自使用的，应在转移占有工程后28天内向承包人颁发工程接收证书；发包人无正当理由逾期不颁发工程接收证书的，自转移占有后第29天起视为已颁发工程接收证书。</w:t>
      </w:r>
    </w:p>
    <w:p w14:paraId="15AB8DA2">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发包人未按照本项约定组织竣工验收、颁发工程接收证书的违约金的计算方法：</w:t>
      </w:r>
      <w:r>
        <w:rPr>
          <w:rFonts w:hint="eastAsia" w:ascii="宋体" w:hAnsi="宋体" w:eastAsia="宋体" w:cs="宋体"/>
          <w:bCs w:val="0"/>
          <w:color w:val="auto"/>
          <w:spacing w:val="0"/>
          <w:kern w:val="2"/>
          <w:sz w:val="21"/>
          <w:szCs w:val="21"/>
          <w:highlight w:val="none"/>
          <w:u w:val="single"/>
        </w:rPr>
        <w:t xml:space="preserve"> 双方协商延期支付时间，不计取违约金 </w:t>
      </w:r>
      <w:r>
        <w:rPr>
          <w:rFonts w:hint="eastAsia" w:ascii="宋体" w:hAnsi="宋体" w:eastAsia="宋体" w:cs="宋体"/>
          <w:bCs w:val="0"/>
          <w:color w:val="auto"/>
          <w:spacing w:val="0"/>
          <w:kern w:val="2"/>
          <w:sz w:val="21"/>
          <w:szCs w:val="21"/>
          <w:highlight w:val="none"/>
        </w:rPr>
        <w:t>。</w:t>
      </w:r>
    </w:p>
    <w:p w14:paraId="6C9C25FE">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13.2.5移交、接收全部与部分工程</w:t>
      </w:r>
    </w:p>
    <w:p w14:paraId="64D4B590">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承包人向发包人移交工程的期限：</w:t>
      </w:r>
      <w:r>
        <w:rPr>
          <w:rFonts w:hint="eastAsia" w:ascii="宋体" w:hAnsi="宋体" w:eastAsia="宋体" w:cs="宋体"/>
          <w:bCs w:val="0"/>
          <w:color w:val="auto"/>
          <w:spacing w:val="0"/>
          <w:kern w:val="2"/>
          <w:sz w:val="21"/>
          <w:szCs w:val="21"/>
          <w:highlight w:val="none"/>
          <w:u w:val="single"/>
        </w:rPr>
        <w:t xml:space="preserve"> 执行通用条款  </w:t>
      </w:r>
      <w:r>
        <w:rPr>
          <w:rFonts w:hint="eastAsia" w:ascii="宋体" w:hAnsi="宋体" w:eastAsia="宋体" w:cs="宋体"/>
          <w:bCs w:val="0"/>
          <w:color w:val="auto"/>
          <w:spacing w:val="0"/>
          <w:kern w:val="2"/>
          <w:sz w:val="21"/>
          <w:szCs w:val="21"/>
          <w:highlight w:val="none"/>
        </w:rPr>
        <w:t xml:space="preserve">。 </w:t>
      </w:r>
    </w:p>
    <w:p w14:paraId="6070E349">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发包人未按本合同约定接收全部或部分工程的，违约金的计算方法为：</w:t>
      </w:r>
      <w:r>
        <w:rPr>
          <w:rFonts w:hint="eastAsia" w:ascii="宋体" w:hAnsi="宋体" w:eastAsia="宋体" w:cs="宋体"/>
          <w:bCs w:val="0"/>
          <w:color w:val="auto"/>
          <w:spacing w:val="0"/>
          <w:kern w:val="2"/>
          <w:sz w:val="21"/>
          <w:szCs w:val="21"/>
          <w:highlight w:val="none"/>
          <w:u w:val="single"/>
        </w:rPr>
        <w:t xml:space="preserve"> 双方协商延期支付时间，不计取违约金 </w:t>
      </w:r>
      <w:r>
        <w:rPr>
          <w:rFonts w:hint="eastAsia" w:ascii="宋体" w:hAnsi="宋体" w:eastAsia="宋体" w:cs="宋体"/>
          <w:bCs w:val="0"/>
          <w:color w:val="auto"/>
          <w:spacing w:val="0"/>
          <w:kern w:val="2"/>
          <w:sz w:val="21"/>
          <w:szCs w:val="21"/>
          <w:highlight w:val="none"/>
        </w:rPr>
        <w:t>。</w:t>
      </w:r>
    </w:p>
    <w:p w14:paraId="6349C51C">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承包人未按时移交工程的，违约金的计算方法为：</w:t>
      </w:r>
      <w:r>
        <w:rPr>
          <w:rFonts w:hint="eastAsia" w:ascii="宋体" w:hAnsi="宋体" w:eastAsia="宋体" w:cs="宋体"/>
          <w:bCs w:val="0"/>
          <w:color w:val="auto"/>
          <w:spacing w:val="0"/>
          <w:kern w:val="2"/>
          <w:sz w:val="21"/>
          <w:szCs w:val="21"/>
          <w:highlight w:val="none"/>
          <w:u w:val="single"/>
        </w:rPr>
        <w:t xml:space="preserve"> 如承包人未按时移交工程的，承包人需向发包人支付1万/天的违约金。本违约金无上限。违约金从工程竣工结算款中扣除</w:t>
      </w:r>
      <w:r>
        <w:rPr>
          <w:rFonts w:hint="eastAsia" w:ascii="宋体" w:hAnsi="宋体" w:eastAsia="宋体" w:cs="宋体"/>
          <w:bCs w:val="0"/>
          <w:color w:val="auto"/>
          <w:spacing w:val="0"/>
          <w:kern w:val="2"/>
          <w:sz w:val="21"/>
          <w:szCs w:val="21"/>
          <w:highlight w:val="none"/>
        </w:rPr>
        <w:t>。</w:t>
      </w:r>
    </w:p>
    <w:p w14:paraId="42D74AE3">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13.3 工程试车</w:t>
      </w:r>
    </w:p>
    <w:p w14:paraId="69E250DC">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13.3.1 试车程序</w:t>
      </w:r>
    </w:p>
    <w:p w14:paraId="1F9DF0EA">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（1）单机无负荷试车费用由</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0"/>
          <w:sz w:val="21"/>
          <w:szCs w:val="21"/>
          <w:highlight w:val="none"/>
        </w:rPr>
        <w:t>承担；</w:t>
      </w:r>
    </w:p>
    <w:p w14:paraId="00079BEA">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（2）无负荷联动试车费用由</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0"/>
          <w:sz w:val="21"/>
          <w:szCs w:val="21"/>
          <w:highlight w:val="none"/>
        </w:rPr>
        <w:t>承担。</w:t>
      </w:r>
    </w:p>
    <w:p w14:paraId="601D9BA3">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13.3.3 投料试车</w:t>
      </w:r>
    </w:p>
    <w:p w14:paraId="73B60C0E">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关于投料试车相关事项的约定：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1C683B17">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13.6 竣工退场</w:t>
      </w:r>
    </w:p>
    <w:p w14:paraId="4EA59351">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13.6.1 竣工退场</w:t>
      </w:r>
    </w:p>
    <w:p w14:paraId="2BA27A55">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承包人完成竣工退场的期限：</w:t>
      </w:r>
      <w:r>
        <w:rPr>
          <w:rFonts w:hint="eastAsia" w:ascii="宋体" w:hAnsi="宋体" w:eastAsia="宋体" w:cs="宋体"/>
          <w:bCs w:val="0"/>
          <w:color w:val="auto"/>
          <w:spacing w:val="0"/>
          <w:kern w:val="0"/>
          <w:sz w:val="21"/>
          <w:szCs w:val="21"/>
          <w:highlight w:val="none"/>
          <w:u w:val="single"/>
        </w:rPr>
        <w:t xml:space="preserve"> 工程竣工验收合格后，施工单位的施工人员、材料、设备必须在 7 天内全部退出现场 </w:t>
      </w:r>
      <w:r>
        <w:rPr>
          <w:rFonts w:hint="eastAsia" w:ascii="宋体" w:hAnsi="宋体" w:eastAsia="宋体" w:cs="宋体"/>
          <w:bCs w:val="0"/>
          <w:color w:val="auto"/>
          <w:spacing w:val="0"/>
          <w:kern w:val="0"/>
          <w:sz w:val="21"/>
          <w:szCs w:val="21"/>
          <w:highlight w:val="none"/>
        </w:rPr>
        <w:t>。</w:t>
      </w:r>
    </w:p>
    <w:p w14:paraId="1072085D">
      <w:pPr>
        <w:keepNext/>
        <w:keepLines/>
        <w:pageBreakBefore w:val="0"/>
        <w:widowControl w:val="0"/>
        <w:numPr>
          <w:ilvl w:val="3"/>
          <w:numId w:val="2"/>
        </w:numPr>
        <w:kinsoku/>
        <w:wordWrap/>
        <w:overflowPunct/>
        <w:topLinePunct w:val="0"/>
        <w:bidi w:val="0"/>
        <w:spacing w:line="360" w:lineRule="auto"/>
        <w:ind w:left="0" w:right="0" w:firstLine="0" w:firstLineChars="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14. 竣工结算</w:t>
      </w:r>
    </w:p>
    <w:p w14:paraId="2F94B92E">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14.1 竣工结算申请</w:t>
      </w:r>
    </w:p>
    <w:p w14:paraId="567EE8FB">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承包人提交竣工结算申请单的期限：</w:t>
      </w:r>
      <w:r>
        <w:rPr>
          <w:rFonts w:hint="eastAsia" w:ascii="宋体" w:hAnsi="宋体" w:eastAsia="宋体" w:cs="宋体"/>
          <w:bCs w:val="0"/>
          <w:color w:val="auto"/>
          <w:spacing w:val="0"/>
          <w:kern w:val="2"/>
          <w:sz w:val="21"/>
          <w:szCs w:val="21"/>
          <w:highlight w:val="none"/>
          <w:u w:val="single"/>
        </w:rPr>
        <w:t xml:space="preserve">  执行通用条款   </w:t>
      </w:r>
      <w:r>
        <w:rPr>
          <w:rFonts w:hint="eastAsia" w:ascii="宋体" w:hAnsi="宋体" w:eastAsia="宋体" w:cs="宋体"/>
          <w:bCs w:val="0"/>
          <w:color w:val="auto"/>
          <w:spacing w:val="0"/>
          <w:kern w:val="2"/>
          <w:sz w:val="21"/>
          <w:szCs w:val="21"/>
          <w:highlight w:val="none"/>
        </w:rPr>
        <w:t>。</w:t>
      </w:r>
    </w:p>
    <w:p w14:paraId="0F71C87B">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竣工结算申请单应包括的内容：</w:t>
      </w:r>
      <w:r>
        <w:rPr>
          <w:rFonts w:hint="eastAsia" w:ascii="宋体" w:hAnsi="宋体" w:eastAsia="宋体" w:cs="宋体"/>
          <w:bCs w:val="0"/>
          <w:color w:val="auto"/>
          <w:spacing w:val="0"/>
          <w:kern w:val="2"/>
          <w:sz w:val="21"/>
          <w:szCs w:val="21"/>
          <w:highlight w:val="none"/>
          <w:u w:val="single"/>
        </w:rPr>
        <w:t xml:space="preserve">按发包人要求执行 </w:t>
      </w:r>
      <w:r>
        <w:rPr>
          <w:rFonts w:hint="eastAsia" w:ascii="宋体" w:hAnsi="宋体" w:eastAsia="宋体" w:cs="宋体"/>
          <w:bCs w:val="0"/>
          <w:color w:val="auto"/>
          <w:spacing w:val="0"/>
          <w:kern w:val="2"/>
          <w:sz w:val="21"/>
          <w:szCs w:val="21"/>
          <w:highlight w:val="none"/>
        </w:rPr>
        <w:t>。</w:t>
      </w:r>
    </w:p>
    <w:p w14:paraId="09BE21D3">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14.2 竣工结算审核</w:t>
      </w:r>
    </w:p>
    <w:p w14:paraId="3C9E6CB5">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发包人审批竣工付款申请单的期限：</w:t>
      </w:r>
      <w:r>
        <w:rPr>
          <w:rFonts w:hint="eastAsia" w:ascii="宋体" w:hAnsi="宋体" w:eastAsia="宋体" w:cs="宋体"/>
          <w:bCs w:val="0"/>
          <w:color w:val="auto"/>
          <w:spacing w:val="0"/>
          <w:kern w:val="2"/>
          <w:sz w:val="21"/>
          <w:szCs w:val="21"/>
          <w:highlight w:val="none"/>
          <w:u w:val="single"/>
        </w:rPr>
        <w:t xml:space="preserve"> 具体实施按照发包人规定的工作流程及要求执行</w:t>
      </w:r>
      <w:r>
        <w:rPr>
          <w:rFonts w:hint="eastAsia" w:ascii="宋体" w:hAnsi="宋体" w:eastAsia="宋体" w:cs="宋体"/>
          <w:bCs w:val="0"/>
          <w:color w:val="auto"/>
          <w:spacing w:val="0"/>
          <w:kern w:val="2"/>
          <w:sz w:val="21"/>
          <w:szCs w:val="21"/>
          <w:highlight w:val="none"/>
        </w:rPr>
        <w:t>。</w:t>
      </w:r>
    </w:p>
    <w:p w14:paraId="2E910127">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发包人完成竣工付款的期限：</w:t>
      </w:r>
      <w:r>
        <w:rPr>
          <w:rFonts w:hint="eastAsia" w:ascii="宋体" w:hAnsi="宋体" w:eastAsia="宋体" w:cs="宋体"/>
          <w:bCs w:val="0"/>
          <w:color w:val="auto"/>
          <w:spacing w:val="0"/>
          <w:kern w:val="2"/>
          <w:sz w:val="21"/>
          <w:szCs w:val="21"/>
          <w:highlight w:val="none"/>
          <w:u w:val="single"/>
        </w:rPr>
        <w:t>具体实施按照发包人规定的工作流程及要求执行</w:t>
      </w:r>
      <w:r>
        <w:rPr>
          <w:rFonts w:hint="eastAsia" w:ascii="宋体" w:hAnsi="宋体" w:eastAsia="宋体" w:cs="宋体"/>
          <w:bCs w:val="0"/>
          <w:color w:val="auto"/>
          <w:spacing w:val="0"/>
          <w:kern w:val="2"/>
          <w:sz w:val="21"/>
          <w:szCs w:val="21"/>
          <w:highlight w:val="none"/>
        </w:rPr>
        <w:t>。</w:t>
      </w:r>
    </w:p>
    <w:p w14:paraId="126AB829">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关于竣工付款证书异议部分复核的方式和程序：</w:t>
      </w:r>
      <w:r>
        <w:rPr>
          <w:rFonts w:hint="eastAsia" w:ascii="宋体" w:hAnsi="宋体" w:eastAsia="宋体" w:cs="宋体"/>
          <w:b/>
          <w:bCs/>
          <w:color w:val="auto"/>
          <w:spacing w:val="0"/>
          <w:kern w:val="2"/>
          <w:sz w:val="21"/>
          <w:szCs w:val="21"/>
          <w:highlight w:val="none"/>
          <w:u w:val="single"/>
        </w:rPr>
        <w:t>按通用条款第20条“争议解决”的约定办理</w:t>
      </w:r>
      <w:r>
        <w:rPr>
          <w:rFonts w:hint="eastAsia" w:ascii="宋体" w:hAnsi="宋体" w:eastAsia="宋体" w:cs="宋体"/>
          <w:bCs w:val="0"/>
          <w:color w:val="auto"/>
          <w:spacing w:val="0"/>
          <w:kern w:val="2"/>
          <w:sz w:val="21"/>
          <w:szCs w:val="21"/>
          <w:highlight w:val="none"/>
        </w:rPr>
        <w:t>。</w:t>
      </w:r>
    </w:p>
    <w:p w14:paraId="3A5FBA4F">
      <w:pPr>
        <w:pageBreakBefore w:val="0"/>
        <w:widowControl w:val="0"/>
        <w:tabs>
          <w:tab w:val="center" w:pos="4393"/>
          <w:tab w:val="left" w:pos="6774"/>
        </w:tabs>
        <w:kinsoku/>
        <w:wordWrap/>
        <w:overflowPunct/>
        <w:topLinePunct w:val="0"/>
        <w:bidi w:val="0"/>
        <w:adjustRightInd w:val="0"/>
        <w:snapToGrid w:val="0"/>
        <w:spacing w:line="360" w:lineRule="auto"/>
        <w:ind w:left="0" w:right="0" w:firstLine="422" w:firstLineChars="200"/>
        <w:jc w:val="left"/>
        <w:rPr>
          <w:rFonts w:hint="eastAsia" w:ascii="宋体" w:hAnsi="宋体" w:eastAsia="宋体" w:cs="宋体"/>
          <w:b/>
          <w:bCs w:val="0"/>
          <w:color w:val="auto"/>
          <w:spacing w:val="0"/>
          <w:kern w:val="2"/>
          <w:sz w:val="21"/>
          <w:szCs w:val="21"/>
          <w:highlight w:val="none"/>
        </w:rPr>
      </w:pPr>
      <w:r>
        <w:rPr>
          <w:rFonts w:hint="eastAsia" w:ascii="宋体" w:hAnsi="宋体" w:eastAsia="宋体" w:cs="宋体"/>
          <w:b/>
          <w:bCs w:val="0"/>
          <w:color w:val="auto"/>
          <w:spacing w:val="0"/>
          <w:kern w:val="2"/>
          <w:sz w:val="21"/>
          <w:szCs w:val="21"/>
          <w:highlight w:val="none"/>
        </w:rPr>
        <w:t>其他有关说明：</w:t>
      </w:r>
    </w:p>
    <w:p w14:paraId="1AFFADC6">
      <w:pPr>
        <w:pageBreakBefore w:val="0"/>
        <w:widowControl w:val="0"/>
        <w:tabs>
          <w:tab w:val="center" w:pos="4393"/>
          <w:tab w:val="left" w:pos="6774"/>
        </w:tabs>
        <w:kinsoku/>
        <w:wordWrap/>
        <w:overflowPunct/>
        <w:topLinePunct w:val="0"/>
        <w:bidi w:val="0"/>
        <w:snapToGrid w:val="0"/>
        <w:spacing w:line="360" w:lineRule="auto"/>
        <w:ind w:left="0" w:right="0" w:firstLine="422" w:firstLineChars="200"/>
        <w:jc w:val="left"/>
        <w:rPr>
          <w:rFonts w:hint="eastAsia" w:ascii="宋体" w:hAnsi="宋体" w:eastAsia="宋体" w:cs="宋体"/>
          <w:b/>
          <w:bCs w:val="0"/>
          <w:color w:val="auto"/>
          <w:spacing w:val="0"/>
          <w:kern w:val="2"/>
          <w:sz w:val="21"/>
          <w:szCs w:val="21"/>
          <w:highlight w:val="none"/>
          <w:lang w:val="en-US" w:eastAsia="zh-CN" w:bidi="ar-SA"/>
        </w:rPr>
      </w:pPr>
      <w:r>
        <w:rPr>
          <w:rFonts w:hint="eastAsia" w:ascii="宋体" w:hAnsi="宋体" w:eastAsia="宋体" w:cs="宋体"/>
          <w:b/>
          <w:bCs w:val="0"/>
          <w:color w:val="auto"/>
          <w:spacing w:val="0"/>
          <w:kern w:val="2"/>
          <w:sz w:val="21"/>
          <w:szCs w:val="21"/>
          <w:highlight w:val="none"/>
          <w:lang w:val="en-US" w:eastAsia="zh-CN" w:bidi="ar-SA"/>
        </w:rPr>
        <w:t>（1）发包人在收到结算文件后10 个工作日内提交建设单位或者建设单位委托的第三方造价咨询单位进行审核，在资料完整的情况下在规定时间内出具工程造价审核结果。在此期间， 发包人因结算中的任何事项可向承包人质询、 查证。 承包人在收到发包人明确的书面质询、查证后的七个工作日之内应提供相应的有效资料，若承包人在七个工作日之内不能提供的质询、查证资料，则视为承包人自动放弃该项计价的经济利益。</w:t>
      </w:r>
    </w:p>
    <w:p w14:paraId="41B9ED4D">
      <w:pPr>
        <w:pageBreakBefore w:val="0"/>
        <w:widowControl w:val="0"/>
        <w:tabs>
          <w:tab w:val="center" w:pos="4393"/>
          <w:tab w:val="left" w:pos="6774"/>
        </w:tabs>
        <w:kinsoku/>
        <w:wordWrap/>
        <w:overflowPunct/>
        <w:topLinePunct w:val="0"/>
        <w:bidi w:val="0"/>
        <w:snapToGrid w:val="0"/>
        <w:spacing w:line="360" w:lineRule="auto"/>
        <w:ind w:left="0" w:right="0" w:firstLine="422" w:firstLineChars="200"/>
        <w:jc w:val="left"/>
        <w:rPr>
          <w:rFonts w:hint="eastAsia" w:ascii="宋体" w:hAnsi="宋体" w:eastAsia="宋体" w:cs="宋体"/>
          <w:b/>
          <w:bCs w:val="0"/>
          <w:color w:val="auto"/>
          <w:spacing w:val="0"/>
          <w:kern w:val="2"/>
          <w:sz w:val="21"/>
          <w:szCs w:val="21"/>
          <w:highlight w:val="none"/>
          <w:lang w:val="en-US" w:eastAsia="zh-CN" w:bidi="ar-SA"/>
        </w:rPr>
      </w:pPr>
      <w:r>
        <w:rPr>
          <w:rFonts w:hint="eastAsia" w:ascii="宋体" w:hAnsi="宋体" w:eastAsia="宋体" w:cs="宋体"/>
          <w:b/>
          <w:bCs w:val="0"/>
          <w:color w:val="auto"/>
          <w:spacing w:val="0"/>
          <w:kern w:val="2"/>
          <w:sz w:val="21"/>
          <w:szCs w:val="21"/>
          <w:highlight w:val="none"/>
          <w:lang w:val="en-US" w:eastAsia="zh-CN" w:bidi="ar-SA"/>
        </w:rPr>
        <w:t>（2）承包人提交的工程结算上报值经最终审计后，核减率≤ 5%，造价审核费由发包人承担；若核减率＞5%，则超过5%部分的追加咨询费由承包人承担（费用计取标准按超过5%部分的核减额的6%计算）。</w:t>
      </w:r>
    </w:p>
    <w:p w14:paraId="21084287">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14.4 最终结清</w:t>
      </w:r>
    </w:p>
    <w:p w14:paraId="53886A27">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rPr>
      </w:pPr>
      <w:r>
        <w:rPr>
          <w:rFonts w:hint="eastAsia" w:ascii="宋体" w:hAnsi="宋体" w:eastAsia="宋体" w:cs="宋体"/>
          <w:bCs w:val="0"/>
          <w:color w:val="auto"/>
          <w:spacing w:val="0"/>
          <w:kern w:val="0"/>
          <w:sz w:val="21"/>
          <w:szCs w:val="21"/>
          <w:highlight w:val="none"/>
        </w:rPr>
        <w:t>14.4.1 最终结清申请单</w:t>
      </w:r>
    </w:p>
    <w:p w14:paraId="4F7CBC32">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rPr>
      </w:pPr>
      <w:r>
        <w:rPr>
          <w:rFonts w:hint="eastAsia" w:ascii="宋体" w:hAnsi="宋体" w:eastAsia="宋体" w:cs="宋体"/>
          <w:bCs w:val="0"/>
          <w:color w:val="auto"/>
          <w:spacing w:val="0"/>
          <w:kern w:val="0"/>
          <w:sz w:val="21"/>
          <w:szCs w:val="21"/>
          <w:highlight w:val="none"/>
        </w:rPr>
        <w:t>承包人提交最终结清申请单的份数：</w:t>
      </w:r>
      <w:r>
        <w:rPr>
          <w:rFonts w:hint="eastAsia" w:ascii="宋体" w:hAnsi="宋体" w:eastAsia="宋体" w:cs="宋体"/>
          <w:bCs w:val="0"/>
          <w:color w:val="auto"/>
          <w:spacing w:val="0"/>
          <w:kern w:val="2"/>
          <w:sz w:val="21"/>
          <w:szCs w:val="21"/>
          <w:highlight w:val="none"/>
          <w:u w:val="single"/>
        </w:rPr>
        <w:t xml:space="preserve">  按发包人要求执行  </w:t>
      </w:r>
      <w:r>
        <w:rPr>
          <w:rFonts w:hint="eastAsia" w:ascii="宋体" w:hAnsi="宋体" w:eastAsia="宋体" w:cs="宋体"/>
          <w:bCs w:val="0"/>
          <w:color w:val="auto"/>
          <w:spacing w:val="0"/>
          <w:kern w:val="2"/>
          <w:sz w:val="21"/>
          <w:szCs w:val="21"/>
          <w:highlight w:val="none"/>
        </w:rPr>
        <w:t>。</w:t>
      </w:r>
    </w:p>
    <w:p w14:paraId="0917CD55">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承包人提交最终结算申请单的期限：</w:t>
      </w:r>
      <w:r>
        <w:rPr>
          <w:rFonts w:hint="eastAsia" w:ascii="宋体" w:hAnsi="宋体" w:eastAsia="宋体" w:cs="宋体"/>
          <w:bCs w:val="0"/>
          <w:color w:val="auto"/>
          <w:spacing w:val="0"/>
          <w:kern w:val="2"/>
          <w:sz w:val="21"/>
          <w:szCs w:val="21"/>
          <w:highlight w:val="none"/>
          <w:u w:val="single"/>
        </w:rPr>
        <w:t xml:space="preserve">  缺陷责任期满后7天内  </w:t>
      </w:r>
      <w:r>
        <w:rPr>
          <w:rFonts w:hint="eastAsia" w:ascii="宋体" w:hAnsi="宋体" w:eastAsia="宋体" w:cs="宋体"/>
          <w:bCs w:val="0"/>
          <w:color w:val="auto"/>
          <w:spacing w:val="0"/>
          <w:kern w:val="2"/>
          <w:sz w:val="21"/>
          <w:szCs w:val="21"/>
          <w:highlight w:val="none"/>
        </w:rPr>
        <w:t xml:space="preserve">。 </w:t>
      </w:r>
    </w:p>
    <w:p w14:paraId="6B28DA99">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14.4.2 最终结清证书和支付</w:t>
      </w:r>
    </w:p>
    <w:p w14:paraId="55D438EE">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（1）发包人完成最终结清申请单的审批并颁发最终结清证书的期限：</w:t>
      </w:r>
      <w:r>
        <w:rPr>
          <w:rFonts w:hint="eastAsia" w:ascii="宋体" w:hAnsi="宋体" w:eastAsia="宋体" w:cs="宋体"/>
          <w:bCs w:val="0"/>
          <w:color w:val="auto"/>
          <w:spacing w:val="0"/>
          <w:kern w:val="2"/>
          <w:sz w:val="21"/>
          <w:szCs w:val="21"/>
          <w:highlight w:val="none"/>
          <w:u w:val="single"/>
        </w:rPr>
        <w:t>按发包人工作流程</w:t>
      </w:r>
      <w:r>
        <w:rPr>
          <w:rFonts w:hint="eastAsia" w:ascii="宋体" w:hAnsi="宋体" w:eastAsia="宋体" w:cs="宋体"/>
          <w:bCs w:val="0"/>
          <w:color w:val="auto"/>
          <w:spacing w:val="0"/>
          <w:kern w:val="2"/>
          <w:sz w:val="21"/>
          <w:szCs w:val="21"/>
          <w:highlight w:val="none"/>
        </w:rPr>
        <w:t>。</w:t>
      </w:r>
    </w:p>
    <w:p w14:paraId="00CD7CBC">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（2）发包人完成支付的期限：</w:t>
      </w:r>
      <w:r>
        <w:rPr>
          <w:rFonts w:hint="eastAsia" w:ascii="宋体" w:hAnsi="宋体" w:eastAsia="宋体" w:cs="宋体"/>
          <w:bCs w:val="0"/>
          <w:color w:val="auto"/>
          <w:spacing w:val="0"/>
          <w:kern w:val="2"/>
          <w:sz w:val="21"/>
          <w:szCs w:val="21"/>
          <w:highlight w:val="none"/>
          <w:u w:val="single"/>
        </w:rPr>
        <w:t>颁发最终结清证书后28天内完成，双方协商延期支付时间，不计取违约金</w:t>
      </w:r>
      <w:r>
        <w:rPr>
          <w:rFonts w:hint="eastAsia" w:ascii="宋体" w:hAnsi="宋体" w:eastAsia="宋体" w:cs="宋体"/>
          <w:bCs w:val="0"/>
          <w:color w:val="auto"/>
          <w:spacing w:val="0"/>
          <w:kern w:val="2"/>
          <w:sz w:val="21"/>
          <w:szCs w:val="21"/>
          <w:highlight w:val="none"/>
        </w:rPr>
        <w:t>。</w:t>
      </w:r>
    </w:p>
    <w:p w14:paraId="201E353E">
      <w:pPr>
        <w:keepNext/>
        <w:keepLines/>
        <w:pageBreakBefore w:val="0"/>
        <w:widowControl w:val="0"/>
        <w:numPr>
          <w:ilvl w:val="3"/>
          <w:numId w:val="2"/>
        </w:numPr>
        <w:kinsoku/>
        <w:wordWrap/>
        <w:overflowPunct/>
        <w:topLinePunct w:val="0"/>
        <w:bidi w:val="0"/>
        <w:spacing w:line="360" w:lineRule="auto"/>
        <w:ind w:left="0" w:right="0" w:firstLine="0" w:firstLineChars="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15. 缺陷责任期与保修</w:t>
      </w:r>
    </w:p>
    <w:p w14:paraId="1DFBA0B1">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15.2缺陷责任期</w:t>
      </w:r>
    </w:p>
    <w:p w14:paraId="37B0C45F">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缺陷责任期的具体期限：</w:t>
      </w:r>
      <w:r>
        <w:rPr>
          <w:rFonts w:hint="eastAsia" w:ascii="宋体" w:hAnsi="宋体" w:eastAsia="宋体" w:cs="宋体"/>
          <w:bCs w:val="0"/>
          <w:color w:val="auto"/>
          <w:spacing w:val="0"/>
          <w:kern w:val="2"/>
          <w:sz w:val="21"/>
          <w:szCs w:val="21"/>
          <w:highlight w:val="none"/>
          <w:u w:val="single"/>
        </w:rPr>
        <w:t xml:space="preserve">自实际竣工并验收合格日期起24个月 </w:t>
      </w:r>
      <w:r>
        <w:rPr>
          <w:rFonts w:hint="eastAsia" w:ascii="宋体" w:hAnsi="宋体" w:eastAsia="宋体" w:cs="宋体"/>
          <w:bCs w:val="0"/>
          <w:color w:val="auto"/>
          <w:spacing w:val="0"/>
          <w:kern w:val="2"/>
          <w:sz w:val="21"/>
          <w:szCs w:val="21"/>
          <w:highlight w:val="none"/>
        </w:rPr>
        <w:t>。</w:t>
      </w:r>
    </w:p>
    <w:p w14:paraId="785DD698">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15.3 质量保证金</w:t>
      </w:r>
    </w:p>
    <w:p w14:paraId="1DA7A059">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关于是否扣留质量保证金的约定：</w:t>
      </w:r>
      <w:r>
        <w:rPr>
          <w:rFonts w:hint="eastAsia" w:ascii="宋体" w:hAnsi="宋体" w:eastAsia="宋体" w:cs="宋体"/>
          <w:bCs w:val="0"/>
          <w:color w:val="auto"/>
          <w:spacing w:val="0"/>
          <w:kern w:val="2"/>
          <w:sz w:val="21"/>
          <w:szCs w:val="21"/>
          <w:highlight w:val="none"/>
          <w:u w:val="single"/>
        </w:rPr>
        <w:t xml:space="preserve"> 扣留 </w:t>
      </w:r>
      <w:r>
        <w:rPr>
          <w:rFonts w:hint="eastAsia" w:ascii="宋体" w:hAnsi="宋体" w:eastAsia="宋体" w:cs="宋体"/>
          <w:bCs w:val="0"/>
          <w:color w:val="auto"/>
          <w:spacing w:val="0"/>
          <w:kern w:val="2"/>
          <w:sz w:val="21"/>
          <w:szCs w:val="21"/>
          <w:highlight w:val="none"/>
        </w:rPr>
        <w:t>。</w:t>
      </w:r>
    </w:p>
    <w:p w14:paraId="218F8E7E">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15.3.1 承包人提供质量保证金的方式</w:t>
      </w:r>
    </w:p>
    <w:p w14:paraId="2C5D3436">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质量保证金采用以下第</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3</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种方式：</w:t>
      </w:r>
    </w:p>
    <w:p w14:paraId="1EFD9624">
      <w:pPr>
        <w:pageBreakBefore w:val="0"/>
        <w:widowControl w:val="0"/>
        <w:tabs>
          <w:tab w:val="center" w:pos="4393"/>
          <w:tab w:val="left" w:pos="6774"/>
        </w:tabs>
        <w:kinsoku/>
        <w:wordWrap/>
        <w:overflowPunct/>
        <w:topLinePunct w:val="0"/>
        <w:autoSpaceDE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（1）质量保证金保函，保证金额为：</w:t>
      </w:r>
      <w:r>
        <w:rPr>
          <w:rFonts w:hint="eastAsia" w:ascii="宋体" w:hAnsi="宋体" w:eastAsia="宋体" w:cs="宋体"/>
          <w:bCs w:val="0"/>
          <w:color w:val="auto"/>
          <w:spacing w:val="0"/>
          <w:kern w:val="0"/>
          <w:sz w:val="21"/>
          <w:szCs w:val="21"/>
          <w:highlight w:val="none"/>
          <w:u w:val="single"/>
        </w:rPr>
        <w:t xml:space="preserve">    /    </w:t>
      </w:r>
      <w:r>
        <w:rPr>
          <w:rFonts w:hint="eastAsia" w:ascii="宋体" w:hAnsi="宋体" w:eastAsia="宋体" w:cs="宋体"/>
          <w:bCs w:val="0"/>
          <w:color w:val="auto"/>
          <w:spacing w:val="0"/>
          <w:kern w:val="0"/>
          <w:sz w:val="21"/>
          <w:szCs w:val="21"/>
          <w:highlight w:val="none"/>
        </w:rPr>
        <w:t xml:space="preserve">； </w:t>
      </w:r>
    </w:p>
    <w:p w14:paraId="0B0F1C45">
      <w:pPr>
        <w:pageBreakBefore w:val="0"/>
        <w:widowControl w:val="0"/>
        <w:tabs>
          <w:tab w:val="center" w:pos="4393"/>
          <w:tab w:val="left" w:pos="6774"/>
        </w:tabs>
        <w:kinsoku/>
        <w:wordWrap/>
        <w:overflowPunct/>
        <w:topLinePunct w:val="0"/>
        <w:autoSpaceDE w:val="0"/>
        <w:bidi w:val="0"/>
        <w:spacing w:line="360" w:lineRule="auto"/>
        <w:ind w:left="0" w:right="0" w:firstLine="420" w:firstLineChars="0"/>
        <w:jc w:val="left"/>
        <w:rPr>
          <w:rFonts w:hint="eastAsia" w:ascii="宋体" w:hAnsi="宋体" w:eastAsia="宋体" w:cs="宋体"/>
          <w:bCs w:val="0"/>
          <w:color w:val="auto"/>
          <w:spacing w:val="0"/>
          <w:kern w:val="0"/>
          <w:sz w:val="21"/>
          <w:szCs w:val="21"/>
          <w:highlight w:val="none"/>
          <w:lang w:eastAsia="zh-CN"/>
        </w:rPr>
      </w:pPr>
      <w:r>
        <w:rPr>
          <w:rFonts w:hint="eastAsia" w:ascii="宋体" w:hAnsi="宋体" w:eastAsia="宋体" w:cs="宋体"/>
          <w:bCs w:val="0"/>
          <w:color w:val="auto"/>
          <w:spacing w:val="0"/>
          <w:kern w:val="0"/>
          <w:sz w:val="21"/>
          <w:szCs w:val="21"/>
          <w:highlight w:val="none"/>
        </w:rPr>
        <w:t>（2）</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u w:val="single"/>
          <w:lang w:val="en-US" w:eastAsia="zh-CN"/>
        </w:rPr>
        <w:t xml:space="preserve"> </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%的工程款</w:t>
      </w:r>
      <w:r>
        <w:rPr>
          <w:rFonts w:hint="eastAsia" w:ascii="宋体" w:hAnsi="宋体" w:eastAsia="宋体" w:cs="宋体"/>
          <w:bCs w:val="0"/>
          <w:color w:val="auto"/>
          <w:spacing w:val="0"/>
          <w:kern w:val="0"/>
          <w:sz w:val="21"/>
          <w:szCs w:val="21"/>
          <w:highlight w:val="none"/>
          <w:lang w:eastAsia="zh-CN"/>
        </w:rPr>
        <w:t>；</w:t>
      </w:r>
    </w:p>
    <w:p w14:paraId="4C23DFB8">
      <w:pPr>
        <w:pageBreakBefore w:val="0"/>
        <w:widowControl w:val="0"/>
        <w:tabs>
          <w:tab w:val="center" w:pos="4393"/>
          <w:tab w:val="left" w:pos="6774"/>
        </w:tabs>
        <w:kinsoku/>
        <w:wordWrap/>
        <w:overflowPunct/>
        <w:topLinePunct w:val="0"/>
        <w:autoSpaceDE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lang w:eastAsia="zh-CN"/>
        </w:rPr>
        <w:t>（</w:t>
      </w:r>
      <w:r>
        <w:rPr>
          <w:rFonts w:hint="eastAsia" w:ascii="宋体" w:hAnsi="宋体" w:eastAsia="宋体" w:cs="宋体"/>
          <w:bCs w:val="0"/>
          <w:color w:val="auto"/>
          <w:spacing w:val="0"/>
          <w:kern w:val="0"/>
          <w:sz w:val="21"/>
          <w:szCs w:val="21"/>
          <w:highlight w:val="none"/>
          <w:lang w:val="en-US" w:eastAsia="zh-CN"/>
        </w:rPr>
        <w:t>3</w:t>
      </w:r>
      <w:r>
        <w:rPr>
          <w:rFonts w:hint="eastAsia" w:ascii="宋体" w:hAnsi="宋体" w:eastAsia="宋体" w:cs="宋体"/>
          <w:bCs w:val="0"/>
          <w:color w:val="auto"/>
          <w:spacing w:val="0"/>
          <w:kern w:val="0"/>
          <w:sz w:val="21"/>
          <w:szCs w:val="21"/>
          <w:highlight w:val="none"/>
          <w:lang w:eastAsia="zh-CN"/>
        </w:rPr>
        <w:t>）</w:t>
      </w:r>
      <w:r>
        <w:rPr>
          <w:rFonts w:hint="eastAsia" w:ascii="宋体" w:hAnsi="宋体" w:eastAsia="宋体" w:cs="宋体"/>
          <w:bCs w:val="0"/>
          <w:color w:val="auto"/>
          <w:spacing w:val="0"/>
          <w:kern w:val="0"/>
          <w:sz w:val="21"/>
          <w:szCs w:val="21"/>
          <w:highlight w:val="none"/>
        </w:rPr>
        <w:t>其他方式</w:t>
      </w:r>
      <w:r>
        <w:rPr>
          <w:rFonts w:hint="eastAsia" w:ascii="宋体" w:hAnsi="宋体" w:eastAsia="宋体" w:cs="宋体"/>
          <w:bCs w:val="0"/>
          <w:color w:val="auto"/>
          <w:spacing w:val="0"/>
          <w:kern w:val="0"/>
          <w:sz w:val="21"/>
          <w:szCs w:val="21"/>
          <w:highlight w:val="none"/>
          <w:lang w:eastAsia="zh-CN"/>
        </w:rPr>
        <w:t>：</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u w:val="single"/>
          <w:lang w:val="en-US" w:eastAsia="zh-CN"/>
        </w:rPr>
        <w:t>结算价款的3%</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42E6D652">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15.3.2 质量保证金的扣留 </w:t>
      </w:r>
    </w:p>
    <w:p w14:paraId="33870A4C">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质量保证金的扣留采取以下第</w:t>
      </w:r>
      <w:r>
        <w:rPr>
          <w:rFonts w:hint="eastAsia" w:ascii="宋体" w:hAnsi="宋体" w:eastAsia="宋体" w:cs="宋体"/>
          <w:bCs w:val="0"/>
          <w:color w:val="auto"/>
          <w:spacing w:val="0"/>
          <w:kern w:val="2"/>
          <w:sz w:val="21"/>
          <w:szCs w:val="21"/>
          <w:highlight w:val="none"/>
          <w:u w:val="single"/>
        </w:rPr>
        <w:t xml:space="preserve">  2  </w:t>
      </w:r>
      <w:r>
        <w:rPr>
          <w:rFonts w:hint="eastAsia" w:ascii="宋体" w:hAnsi="宋体" w:eastAsia="宋体" w:cs="宋体"/>
          <w:bCs w:val="0"/>
          <w:color w:val="auto"/>
          <w:spacing w:val="0"/>
          <w:kern w:val="2"/>
          <w:sz w:val="21"/>
          <w:szCs w:val="21"/>
          <w:highlight w:val="none"/>
        </w:rPr>
        <w:t>种方式：</w:t>
      </w:r>
    </w:p>
    <w:p w14:paraId="7B368B27">
      <w:pPr>
        <w:pageBreakBefore w:val="0"/>
        <w:widowControl w:val="0"/>
        <w:tabs>
          <w:tab w:val="center" w:pos="4393"/>
          <w:tab w:val="left" w:pos="6774"/>
        </w:tabs>
        <w:kinsoku/>
        <w:wordWrap/>
        <w:overflowPunct/>
        <w:topLinePunct w:val="0"/>
        <w:autoSpaceDE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（1）在支付工程进度款时逐次扣留，在此情形下，质量保证金的计算基数不包括预付款的支付、扣回以及价格调整的金额；</w:t>
      </w:r>
    </w:p>
    <w:p w14:paraId="31347ED1">
      <w:pPr>
        <w:pageBreakBefore w:val="0"/>
        <w:widowControl w:val="0"/>
        <w:tabs>
          <w:tab w:val="center" w:pos="4393"/>
          <w:tab w:val="left" w:pos="6774"/>
        </w:tabs>
        <w:kinsoku/>
        <w:wordWrap/>
        <w:overflowPunct/>
        <w:topLinePunct w:val="0"/>
        <w:autoSpaceDE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（2）工程竣工结算时一次性扣留质量保证金；</w:t>
      </w:r>
    </w:p>
    <w:p w14:paraId="1B1554B8">
      <w:pPr>
        <w:pageBreakBefore w:val="0"/>
        <w:widowControl w:val="0"/>
        <w:tabs>
          <w:tab w:val="center" w:pos="4393"/>
          <w:tab w:val="left" w:pos="6774"/>
        </w:tabs>
        <w:kinsoku/>
        <w:wordWrap/>
        <w:overflowPunct/>
        <w:topLinePunct w:val="0"/>
        <w:autoSpaceDE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（3）其他扣留方式</w:t>
      </w:r>
      <w:r>
        <w:rPr>
          <w:rFonts w:hint="eastAsia" w:ascii="宋体" w:hAnsi="宋体" w:eastAsia="宋体" w:cs="宋体"/>
          <w:bCs w:val="0"/>
          <w:color w:val="auto"/>
          <w:spacing w:val="0"/>
          <w:kern w:val="0"/>
          <w:sz w:val="21"/>
          <w:szCs w:val="21"/>
          <w:highlight w:val="none"/>
          <w:lang w:eastAsia="zh-CN"/>
        </w:rPr>
        <w:t>：</w:t>
      </w:r>
      <w:r>
        <w:rPr>
          <w:rFonts w:hint="eastAsia" w:ascii="宋体" w:hAnsi="宋体" w:eastAsia="宋体" w:cs="宋体"/>
          <w:bCs w:val="0"/>
          <w:color w:val="auto"/>
          <w:spacing w:val="0"/>
          <w:kern w:val="0"/>
          <w:sz w:val="21"/>
          <w:szCs w:val="21"/>
          <w:highlight w:val="none"/>
          <w:u w:val="single"/>
        </w:rPr>
        <w:t xml:space="preserve">     /    </w:t>
      </w:r>
      <w:r>
        <w:rPr>
          <w:rFonts w:hint="eastAsia" w:ascii="宋体" w:hAnsi="宋体" w:eastAsia="宋体" w:cs="宋体"/>
          <w:bCs w:val="0"/>
          <w:color w:val="auto"/>
          <w:spacing w:val="0"/>
          <w:kern w:val="0"/>
          <w:sz w:val="21"/>
          <w:szCs w:val="21"/>
          <w:highlight w:val="none"/>
        </w:rPr>
        <w:t>。</w:t>
      </w:r>
    </w:p>
    <w:p w14:paraId="02CE3027">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关于质量保证金的补充约定：</w:t>
      </w:r>
      <w:r>
        <w:rPr>
          <w:rFonts w:hint="eastAsia" w:ascii="宋体" w:hAnsi="宋体" w:eastAsia="宋体" w:cs="宋体"/>
          <w:bCs w:val="0"/>
          <w:color w:val="auto"/>
          <w:spacing w:val="0"/>
          <w:kern w:val="0"/>
          <w:sz w:val="21"/>
          <w:szCs w:val="21"/>
          <w:highlight w:val="none"/>
          <w:u w:val="single"/>
        </w:rPr>
        <w:t xml:space="preserve">  /  </w:t>
      </w:r>
      <w:r>
        <w:rPr>
          <w:rFonts w:hint="eastAsia" w:ascii="宋体" w:hAnsi="宋体" w:eastAsia="宋体" w:cs="宋体"/>
          <w:bCs w:val="0"/>
          <w:color w:val="auto"/>
          <w:spacing w:val="0"/>
          <w:kern w:val="0"/>
          <w:sz w:val="21"/>
          <w:szCs w:val="21"/>
          <w:highlight w:val="none"/>
        </w:rPr>
        <w:t>。</w:t>
      </w:r>
    </w:p>
    <w:p w14:paraId="3F8F76D3">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15.4保修</w:t>
      </w:r>
    </w:p>
    <w:p w14:paraId="61C5D99C">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15.4.1 保修责任</w:t>
      </w:r>
    </w:p>
    <w:p w14:paraId="45B199B8">
      <w:pPr>
        <w:pageBreakBefore w:val="0"/>
        <w:widowControl w:val="0"/>
        <w:tabs>
          <w:tab w:val="center" w:pos="4393"/>
          <w:tab w:val="left" w:pos="6774"/>
        </w:tabs>
        <w:kinsoku/>
        <w:wordWrap/>
        <w:overflowPunct/>
        <w:topLinePunct w:val="0"/>
        <w:bidi w:val="0"/>
        <w:spacing w:line="360" w:lineRule="auto"/>
        <w:ind w:left="0" w:right="0" w:firstLine="409"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工程保修期为：</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rPr>
        <w:t>见工程质量保修书</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4F483A15">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15.4.3 修复通知</w:t>
      </w:r>
    </w:p>
    <w:p w14:paraId="2162E1E3">
      <w:pPr>
        <w:pageBreakBefore w:val="0"/>
        <w:widowControl w:val="0"/>
        <w:tabs>
          <w:tab w:val="center" w:pos="4393"/>
          <w:tab w:val="left" w:pos="6774"/>
        </w:tabs>
        <w:kinsoku/>
        <w:wordWrap/>
        <w:overflowPunct/>
        <w:topLinePunct w:val="0"/>
        <w:bidi w:val="0"/>
        <w:snapToGrid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承包人收到保修通知并到达工程现场的合理时间：</w:t>
      </w:r>
      <w:r>
        <w:rPr>
          <w:rFonts w:hint="eastAsia" w:ascii="宋体" w:hAnsi="宋体" w:eastAsia="宋体" w:cs="宋体"/>
          <w:bCs w:val="0"/>
          <w:color w:val="auto"/>
          <w:spacing w:val="0"/>
          <w:kern w:val="0"/>
          <w:sz w:val="21"/>
          <w:szCs w:val="21"/>
          <w:highlight w:val="none"/>
          <w:u w:val="single"/>
        </w:rPr>
        <w:t xml:space="preserve"> 收到保修通知或口头通知12小时内</w:t>
      </w:r>
      <w:r>
        <w:rPr>
          <w:rFonts w:hint="eastAsia" w:ascii="宋体" w:hAnsi="宋体" w:eastAsia="宋体" w:cs="宋体"/>
          <w:bCs w:val="0"/>
          <w:color w:val="auto"/>
          <w:spacing w:val="0"/>
          <w:kern w:val="0"/>
          <w:sz w:val="21"/>
          <w:szCs w:val="21"/>
          <w:highlight w:val="none"/>
        </w:rPr>
        <w:t>。</w:t>
      </w:r>
    </w:p>
    <w:p w14:paraId="259F3696">
      <w:pPr>
        <w:pageBreakBefore w:val="0"/>
        <w:widowControl w:val="0"/>
        <w:tabs>
          <w:tab w:val="center" w:pos="4393"/>
          <w:tab w:val="left" w:pos="6774"/>
        </w:tabs>
        <w:kinsoku/>
        <w:wordWrap/>
        <w:overflowPunct/>
        <w:topLinePunct w:val="0"/>
        <w:bidi w:val="0"/>
        <w:snapToGrid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 违约</w:t>
      </w:r>
    </w:p>
    <w:p w14:paraId="76E69F39">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16.1 发包人违约</w:t>
      </w:r>
    </w:p>
    <w:p w14:paraId="0E079569">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16.1.1发包人违约的情形</w:t>
      </w:r>
    </w:p>
    <w:p w14:paraId="2C23DC7D">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发包人违约的其他情形：</w:t>
      </w:r>
      <w:r>
        <w:rPr>
          <w:rFonts w:hint="eastAsia" w:ascii="宋体" w:hAnsi="宋体" w:eastAsia="宋体" w:cs="宋体"/>
          <w:bCs w:val="0"/>
          <w:color w:val="auto"/>
          <w:spacing w:val="0"/>
          <w:kern w:val="0"/>
          <w:sz w:val="21"/>
          <w:szCs w:val="21"/>
          <w:highlight w:val="none"/>
          <w:u w:val="single"/>
        </w:rPr>
        <w:t xml:space="preserve">    /    </w:t>
      </w:r>
      <w:r>
        <w:rPr>
          <w:rFonts w:hint="eastAsia" w:ascii="宋体" w:hAnsi="宋体" w:eastAsia="宋体" w:cs="宋体"/>
          <w:bCs w:val="0"/>
          <w:color w:val="auto"/>
          <w:spacing w:val="0"/>
          <w:kern w:val="0"/>
          <w:sz w:val="21"/>
          <w:szCs w:val="21"/>
          <w:highlight w:val="none"/>
        </w:rPr>
        <w:t>。</w:t>
      </w:r>
    </w:p>
    <w:p w14:paraId="0F53E4E1">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16.1.2 发包人违约的责任</w:t>
      </w:r>
    </w:p>
    <w:p w14:paraId="2340DD11">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发包人违约责任的承担方式和计算方法：</w:t>
      </w:r>
    </w:p>
    <w:p w14:paraId="138D400B">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（1）因发包人原因未能在计划开工日期前7天内下达开工通知的违约责任：</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rPr>
        <w:t>由承包人书面提出，并</w:t>
      </w:r>
      <w:r>
        <w:rPr>
          <w:rFonts w:hint="eastAsia" w:ascii="宋体" w:hAnsi="宋体" w:eastAsia="宋体" w:cs="宋体"/>
          <w:bCs w:val="0"/>
          <w:color w:val="auto"/>
          <w:spacing w:val="0"/>
          <w:kern w:val="2"/>
          <w:sz w:val="21"/>
          <w:szCs w:val="21"/>
          <w:highlight w:val="none"/>
          <w:u w:val="single"/>
          <w:lang w:val="en-US" w:eastAsia="zh-CN"/>
        </w:rPr>
        <w:t>由</w:t>
      </w:r>
      <w:r>
        <w:rPr>
          <w:rFonts w:hint="eastAsia" w:ascii="宋体" w:hAnsi="宋体" w:eastAsia="宋体" w:cs="宋体"/>
          <w:bCs w:val="0"/>
          <w:color w:val="auto"/>
          <w:spacing w:val="0"/>
          <w:kern w:val="2"/>
          <w:sz w:val="21"/>
          <w:szCs w:val="21"/>
          <w:highlight w:val="none"/>
          <w:u w:val="single"/>
        </w:rPr>
        <w:t>监理工程师和甲方派驻现场工程师核实确认后，顺延工期，不补偿任何费用</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不承担违约责任及承包方因此造成的损失</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760A7D2B">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（2）因发包人原因未能按合同约定支付合同价款的违约责任：</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rPr>
        <w:t>不补偿任何费用</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不承担违约责任及承包方因此造成的损失</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28654601">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（3）发包人违反第10.1款〔变更的范围〕第（2）项约定，自行实施被取消的工作或转由他人实施的违约责任：</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rPr>
        <w:t>不补偿任何费用</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不承担违约责任及承包方因此造成的损失</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1CDA039B">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bCs w:val="0"/>
          <w:color w:val="auto"/>
          <w:spacing w:val="0"/>
          <w:kern w:val="2"/>
          <w:sz w:val="21"/>
          <w:szCs w:val="21"/>
          <w:highlight w:val="none"/>
          <w:u w:val="single"/>
        </w:rPr>
        <w:t>由承包人书面提出，并</w:t>
      </w:r>
      <w:r>
        <w:rPr>
          <w:rFonts w:hint="eastAsia" w:ascii="宋体" w:hAnsi="宋体" w:eastAsia="宋体" w:cs="宋体"/>
          <w:bCs w:val="0"/>
          <w:color w:val="auto"/>
          <w:spacing w:val="0"/>
          <w:kern w:val="2"/>
          <w:sz w:val="21"/>
          <w:szCs w:val="21"/>
          <w:highlight w:val="none"/>
          <w:u w:val="single"/>
          <w:lang w:val="en-US" w:eastAsia="zh-CN"/>
        </w:rPr>
        <w:t>由</w:t>
      </w:r>
      <w:r>
        <w:rPr>
          <w:rFonts w:hint="eastAsia" w:ascii="宋体" w:hAnsi="宋体" w:eastAsia="宋体" w:cs="宋体"/>
          <w:bCs w:val="0"/>
          <w:color w:val="auto"/>
          <w:spacing w:val="0"/>
          <w:kern w:val="2"/>
          <w:sz w:val="21"/>
          <w:szCs w:val="21"/>
          <w:highlight w:val="none"/>
          <w:u w:val="single"/>
        </w:rPr>
        <w:t>监理工程师和甲方派驻现场工程师核实确认后，顺延工期，不补偿任何费用</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不承担违约责任及承包方因此造成的损失</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3D23606D">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（5）因发包人违反合同约定造成暂停施工的违约责任：</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rPr>
        <w:t>由承包人书面提出，并</w:t>
      </w:r>
      <w:r>
        <w:rPr>
          <w:rFonts w:hint="eastAsia" w:ascii="宋体" w:hAnsi="宋体" w:eastAsia="宋体" w:cs="宋体"/>
          <w:bCs w:val="0"/>
          <w:color w:val="auto"/>
          <w:spacing w:val="0"/>
          <w:kern w:val="2"/>
          <w:sz w:val="21"/>
          <w:szCs w:val="21"/>
          <w:highlight w:val="none"/>
          <w:u w:val="single"/>
          <w:lang w:val="en-US" w:eastAsia="zh-CN"/>
        </w:rPr>
        <w:t>由</w:t>
      </w:r>
      <w:r>
        <w:rPr>
          <w:rFonts w:hint="eastAsia" w:ascii="宋体" w:hAnsi="宋体" w:eastAsia="宋体" w:cs="宋体"/>
          <w:bCs w:val="0"/>
          <w:color w:val="auto"/>
          <w:spacing w:val="0"/>
          <w:kern w:val="2"/>
          <w:sz w:val="21"/>
          <w:szCs w:val="21"/>
          <w:highlight w:val="none"/>
          <w:u w:val="single"/>
        </w:rPr>
        <w:t>监理工程师和甲方派驻现场工程师核实确认后，顺延工期，不补偿任何费用</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不承担违约责任及承包方因此造成的损失</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14A516F9">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（6）发包人无正当理由没有在约定期限内发出复工指示，导致承包人无法复工的违约责任：</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rPr>
        <w:t>由承包人书面提出，并</w:t>
      </w:r>
      <w:r>
        <w:rPr>
          <w:rFonts w:hint="eastAsia" w:ascii="宋体" w:hAnsi="宋体" w:eastAsia="宋体" w:cs="宋体"/>
          <w:bCs w:val="0"/>
          <w:color w:val="auto"/>
          <w:spacing w:val="0"/>
          <w:kern w:val="2"/>
          <w:sz w:val="21"/>
          <w:szCs w:val="21"/>
          <w:highlight w:val="none"/>
          <w:u w:val="single"/>
          <w:lang w:eastAsia="zh-CN"/>
        </w:rPr>
        <w:t>由</w:t>
      </w:r>
      <w:r>
        <w:rPr>
          <w:rFonts w:hint="eastAsia" w:ascii="宋体" w:hAnsi="宋体" w:eastAsia="宋体" w:cs="宋体"/>
          <w:bCs w:val="0"/>
          <w:color w:val="auto"/>
          <w:spacing w:val="0"/>
          <w:kern w:val="2"/>
          <w:sz w:val="21"/>
          <w:szCs w:val="21"/>
          <w:highlight w:val="none"/>
          <w:u w:val="single"/>
        </w:rPr>
        <w:t>监理工程师和甲方派驻现场工程师核实确认后，顺延工期，不补偿任何费用</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不承担违约责任及承包方因此造成的损失</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4A9CFECB">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（7）其他：</w:t>
      </w:r>
      <w:r>
        <w:rPr>
          <w:rFonts w:hint="eastAsia" w:ascii="宋体" w:hAnsi="宋体" w:eastAsia="宋体" w:cs="宋体"/>
          <w:bCs w:val="0"/>
          <w:color w:val="auto"/>
          <w:spacing w:val="0"/>
          <w:kern w:val="0"/>
          <w:sz w:val="21"/>
          <w:szCs w:val="21"/>
          <w:highlight w:val="none"/>
          <w:u w:val="single"/>
        </w:rPr>
        <w:t xml:space="preserve">    /    </w:t>
      </w:r>
      <w:r>
        <w:rPr>
          <w:rFonts w:hint="eastAsia" w:ascii="宋体" w:hAnsi="宋体" w:eastAsia="宋体" w:cs="宋体"/>
          <w:bCs w:val="0"/>
          <w:color w:val="auto"/>
          <w:spacing w:val="0"/>
          <w:kern w:val="0"/>
          <w:sz w:val="21"/>
          <w:szCs w:val="21"/>
          <w:highlight w:val="none"/>
        </w:rPr>
        <w:t>。</w:t>
      </w:r>
    </w:p>
    <w:p w14:paraId="31FCD390">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16.1.3 因发包人违约解除合同</w:t>
      </w:r>
    </w:p>
    <w:p w14:paraId="60437475">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承包人按16.1.1项〔发包人违约的情形〕约定暂停施工满</w:t>
      </w:r>
      <w:r>
        <w:rPr>
          <w:rFonts w:hint="eastAsia" w:ascii="宋体" w:hAnsi="宋体" w:eastAsia="宋体" w:cs="宋体"/>
          <w:bCs w:val="0"/>
          <w:color w:val="auto"/>
          <w:spacing w:val="0"/>
          <w:kern w:val="0"/>
          <w:sz w:val="21"/>
          <w:szCs w:val="21"/>
          <w:highlight w:val="none"/>
          <w:u w:val="single"/>
        </w:rPr>
        <w:t xml:space="preserve">  60 </w:t>
      </w:r>
      <w:r>
        <w:rPr>
          <w:rFonts w:hint="eastAsia" w:ascii="宋体" w:hAnsi="宋体" w:eastAsia="宋体" w:cs="宋体"/>
          <w:bCs w:val="0"/>
          <w:color w:val="auto"/>
          <w:spacing w:val="0"/>
          <w:kern w:val="0"/>
          <w:sz w:val="21"/>
          <w:szCs w:val="21"/>
          <w:highlight w:val="none"/>
        </w:rPr>
        <w:t>天后发包人仍不纠正其违约行为并致使合同目的不能实现的，承包人有权解除合同。</w:t>
      </w:r>
      <w:r>
        <w:rPr>
          <w:rFonts w:hint="eastAsia" w:ascii="宋体" w:hAnsi="宋体" w:eastAsia="宋体" w:cs="宋体"/>
          <w:bCs w:val="0"/>
          <w:color w:val="auto"/>
          <w:spacing w:val="0"/>
          <w:kern w:val="2"/>
          <w:sz w:val="21"/>
          <w:szCs w:val="21"/>
          <w:highlight w:val="none"/>
        </w:rPr>
        <w:t xml:space="preserve"> </w:t>
      </w:r>
    </w:p>
    <w:p w14:paraId="0E96DCEF">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16.2 承包人违约</w:t>
      </w:r>
    </w:p>
    <w:p w14:paraId="664F1F4E">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16.2.1 承包人违约的情形</w:t>
      </w:r>
    </w:p>
    <w:p w14:paraId="25A2FA00">
      <w:pPr>
        <w:pageBreakBefore w:val="0"/>
        <w:widowControl w:val="0"/>
        <w:tabs>
          <w:tab w:val="center" w:pos="4393"/>
          <w:tab w:val="left" w:pos="6774"/>
        </w:tabs>
        <w:kinsoku/>
        <w:wordWrap/>
        <w:overflowPunct/>
        <w:topLinePunct w:val="0"/>
        <w:autoSpaceDE w:val="0"/>
        <w:autoSpaceDN w:val="0"/>
        <w:bidi w:val="0"/>
        <w:adjustRightIn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rPr>
      </w:pPr>
      <w:r>
        <w:rPr>
          <w:rFonts w:hint="eastAsia" w:ascii="宋体" w:hAnsi="宋体" w:eastAsia="宋体" w:cs="宋体"/>
          <w:bCs w:val="0"/>
          <w:color w:val="auto"/>
          <w:spacing w:val="0"/>
          <w:kern w:val="0"/>
          <w:sz w:val="21"/>
          <w:szCs w:val="21"/>
          <w:highlight w:val="none"/>
        </w:rPr>
        <w:t>承包人违约的其他情形：</w:t>
      </w:r>
    </w:p>
    <w:p w14:paraId="5611C6D6">
      <w:pPr>
        <w:pageBreakBefore w:val="0"/>
        <w:widowControl w:val="0"/>
        <w:tabs>
          <w:tab w:val="center" w:pos="4393"/>
          <w:tab w:val="left" w:pos="6774"/>
        </w:tabs>
        <w:kinsoku/>
        <w:wordWrap/>
        <w:overflowPunct/>
        <w:topLinePunct w:val="0"/>
        <w:autoSpaceDE w:val="0"/>
        <w:autoSpaceDN w:val="0"/>
        <w:bidi w:val="0"/>
        <w:adjustRightIn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u w:val="single"/>
          <w:lang w:bidi="ar"/>
        </w:rPr>
      </w:pPr>
      <w:r>
        <w:rPr>
          <w:rFonts w:hint="eastAsia" w:ascii="宋体" w:hAnsi="宋体" w:eastAsia="宋体" w:cs="宋体"/>
          <w:bCs w:val="0"/>
          <w:color w:val="auto"/>
          <w:spacing w:val="0"/>
          <w:kern w:val="0"/>
          <w:sz w:val="21"/>
          <w:szCs w:val="21"/>
          <w:highlight w:val="none"/>
          <w:u w:val="single"/>
          <w:lang w:bidi="ar"/>
        </w:rPr>
        <w:t>（1）因承包人安全文明措施不到位的或未按规定实施的；</w:t>
      </w:r>
    </w:p>
    <w:p w14:paraId="2C642CE5">
      <w:pPr>
        <w:pageBreakBefore w:val="0"/>
        <w:widowControl w:val="0"/>
        <w:tabs>
          <w:tab w:val="center" w:pos="4393"/>
          <w:tab w:val="left" w:pos="6774"/>
        </w:tabs>
        <w:kinsoku/>
        <w:wordWrap/>
        <w:overflowPunct/>
        <w:topLinePunct w:val="0"/>
        <w:autoSpaceDE w:val="0"/>
        <w:autoSpaceDN w:val="0"/>
        <w:bidi w:val="0"/>
        <w:adjustRightIn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u w:val="single"/>
          <w:lang w:bidi="ar"/>
        </w:rPr>
      </w:pPr>
      <w:r>
        <w:rPr>
          <w:rFonts w:hint="eastAsia" w:ascii="宋体" w:hAnsi="宋体" w:eastAsia="宋体" w:cs="宋体"/>
          <w:bCs w:val="0"/>
          <w:color w:val="auto"/>
          <w:spacing w:val="0"/>
          <w:kern w:val="0"/>
          <w:sz w:val="21"/>
          <w:szCs w:val="21"/>
          <w:highlight w:val="none"/>
          <w:u w:val="single"/>
          <w:lang w:bidi="ar"/>
        </w:rPr>
        <w:t>（2）因承包人原因，导致周边住户和单位投诉或新闻媒体负面曝光；</w:t>
      </w:r>
    </w:p>
    <w:p w14:paraId="0B797347">
      <w:pPr>
        <w:pageBreakBefore w:val="0"/>
        <w:widowControl w:val="0"/>
        <w:tabs>
          <w:tab w:val="center" w:pos="4393"/>
          <w:tab w:val="left" w:pos="6774"/>
        </w:tabs>
        <w:kinsoku/>
        <w:wordWrap/>
        <w:overflowPunct/>
        <w:topLinePunct w:val="0"/>
        <w:autoSpaceDE w:val="0"/>
        <w:autoSpaceDN w:val="0"/>
        <w:bidi w:val="0"/>
        <w:adjustRightIn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u w:val="single"/>
          <w:lang w:bidi="ar"/>
        </w:rPr>
      </w:pPr>
      <w:r>
        <w:rPr>
          <w:rFonts w:hint="eastAsia" w:ascii="宋体" w:hAnsi="宋体" w:eastAsia="宋体" w:cs="宋体"/>
          <w:bCs w:val="0"/>
          <w:color w:val="auto"/>
          <w:spacing w:val="0"/>
          <w:kern w:val="0"/>
          <w:sz w:val="21"/>
          <w:szCs w:val="21"/>
          <w:highlight w:val="none"/>
          <w:u w:val="single"/>
          <w:lang w:bidi="ar"/>
        </w:rPr>
        <w:t>（3）承包人不能按规定上报竣工结算；</w:t>
      </w:r>
    </w:p>
    <w:p w14:paraId="6C19BCDE">
      <w:pPr>
        <w:pageBreakBefore w:val="0"/>
        <w:widowControl w:val="0"/>
        <w:tabs>
          <w:tab w:val="center" w:pos="4393"/>
          <w:tab w:val="left" w:pos="6774"/>
        </w:tabs>
        <w:kinsoku/>
        <w:wordWrap/>
        <w:overflowPunct/>
        <w:topLinePunct w:val="0"/>
        <w:autoSpaceDE w:val="0"/>
        <w:autoSpaceDN w:val="0"/>
        <w:bidi w:val="0"/>
        <w:adjustRightIn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u w:val="single"/>
          <w:lang w:bidi="ar"/>
        </w:rPr>
      </w:pPr>
      <w:r>
        <w:rPr>
          <w:rFonts w:hint="eastAsia" w:ascii="宋体" w:hAnsi="宋体" w:eastAsia="宋体" w:cs="宋体"/>
          <w:bCs w:val="0"/>
          <w:color w:val="auto"/>
          <w:spacing w:val="0"/>
          <w:kern w:val="0"/>
          <w:sz w:val="21"/>
          <w:szCs w:val="21"/>
          <w:highlight w:val="none"/>
          <w:u w:val="single"/>
          <w:lang w:bidi="ar"/>
        </w:rPr>
        <w:t>（4）因承包人原因发生保险事故给发包人造成影响的；</w:t>
      </w:r>
    </w:p>
    <w:p w14:paraId="3E91DB5A">
      <w:pPr>
        <w:pageBreakBefore w:val="0"/>
        <w:widowControl w:val="0"/>
        <w:tabs>
          <w:tab w:val="center" w:pos="4393"/>
          <w:tab w:val="left" w:pos="6774"/>
        </w:tabs>
        <w:kinsoku/>
        <w:wordWrap/>
        <w:overflowPunct/>
        <w:topLinePunct w:val="0"/>
        <w:autoSpaceDE w:val="0"/>
        <w:autoSpaceDN w:val="0"/>
        <w:bidi w:val="0"/>
        <w:adjustRightIn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u w:val="single"/>
          <w:lang w:bidi="ar"/>
        </w:rPr>
      </w:pPr>
      <w:r>
        <w:rPr>
          <w:rFonts w:hint="eastAsia" w:ascii="宋体" w:hAnsi="宋体" w:eastAsia="宋体" w:cs="宋体"/>
          <w:bCs w:val="0"/>
          <w:color w:val="auto"/>
          <w:spacing w:val="0"/>
          <w:kern w:val="0"/>
          <w:sz w:val="21"/>
          <w:szCs w:val="21"/>
          <w:highlight w:val="none"/>
          <w:u w:val="single"/>
          <w:lang w:bidi="ar"/>
        </w:rPr>
        <w:t>（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p>
    <w:p w14:paraId="32A49786">
      <w:pPr>
        <w:pageBreakBefore w:val="0"/>
        <w:widowControl w:val="0"/>
        <w:tabs>
          <w:tab w:val="center" w:pos="4393"/>
          <w:tab w:val="left" w:pos="6774"/>
        </w:tabs>
        <w:kinsoku/>
        <w:wordWrap/>
        <w:overflowPunct/>
        <w:topLinePunct w:val="0"/>
        <w:autoSpaceDE w:val="0"/>
        <w:autoSpaceDN w:val="0"/>
        <w:bidi w:val="0"/>
        <w:adjustRightIn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rPr>
      </w:pPr>
      <w:r>
        <w:rPr>
          <w:rFonts w:hint="eastAsia" w:ascii="宋体" w:hAnsi="宋体" w:eastAsia="宋体" w:cs="宋体"/>
          <w:bCs w:val="0"/>
          <w:color w:val="auto"/>
          <w:spacing w:val="0"/>
          <w:kern w:val="0"/>
          <w:sz w:val="21"/>
          <w:szCs w:val="21"/>
          <w:highlight w:val="none"/>
          <w:u w:val="single"/>
          <w:lang w:bidi="ar"/>
        </w:rPr>
        <w:t>（6）承包人其他违约情形</w:t>
      </w:r>
      <w:r>
        <w:rPr>
          <w:rFonts w:hint="eastAsia" w:ascii="宋体" w:hAnsi="宋体" w:eastAsia="宋体" w:cs="宋体"/>
          <w:bCs w:val="0"/>
          <w:color w:val="auto"/>
          <w:spacing w:val="0"/>
          <w:kern w:val="0"/>
          <w:sz w:val="21"/>
          <w:szCs w:val="21"/>
          <w:highlight w:val="none"/>
          <w:lang w:bidi="ar"/>
        </w:rPr>
        <w:t>。</w:t>
      </w:r>
    </w:p>
    <w:p w14:paraId="0A3A3C4F">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u w:val="single"/>
        </w:rPr>
        <w:t xml:space="preserve"> 除上述违约责任外，承包人有违反本合同其他任一之约定的，除应改正外，还应向发包人支付违约金5万元，拒不改正的，发包人还有权解除本合同，因此造成损失的，由承包人承担</w:t>
      </w:r>
      <w:r>
        <w:rPr>
          <w:rFonts w:hint="eastAsia" w:ascii="宋体" w:hAnsi="宋体" w:eastAsia="宋体" w:cs="宋体"/>
          <w:bCs w:val="0"/>
          <w:color w:val="auto"/>
          <w:spacing w:val="0"/>
          <w:kern w:val="0"/>
          <w:sz w:val="21"/>
          <w:szCs w:val="21"/>
          <w:highlight w:val="none"/>
        </w:rPr>
        <w:t xml:space="preserve">。 </w:t>
      </w:r>
    </w:p>
    <w:p w14:paraId="00EAAB75">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16.2.2承包人违约的责任</w:t>
      </w:r>
    </w:p>
    <w:p w14:paraId="793E1B6D">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承包人违约责任的承担方式和计算方法：</w:t>
      </w:r>
      <w:r>
        <w:rPr>
          <w:rFonts w:hint="eastAsia" w:ascii="宋体" w:hAnsi="宋体" w:eastAsia="宋体" w:cs="宋体"/>
          <w:bCs w:val="0"/>
          <w:color w:val="auto"/>
          <w:spacing w:val="0"/>
          <w:kern w:val="0"/>
          <w:sz w:val="21"/>
          <w:szCs w:val="21"/>
          <w:highlight w:val="none"/>
          <w:u w:val="single"/>
        </w:rPr>
        <w:t xml:space="preserve"> 由承包人承担全部费用并承担相关法律责任 </w:t>
      </w:r>
      <w:r>
        <w:rPr>
          <w:rFonts w:hint="eastAsia" w:ascii="宋体" w:hAnsi="宋体" w:eastAsia="宋体" w:cs="宋体"/>
          <w:bCs w:val="0"/>
          <w:color w:val="auto"/>
          <w:spacing w:val="0"/>
          <w:kern w:val="0"/>
          <w:sz w:val="21"/>
          <w:szCs w:val="21"/>
          <w:highlight w:val="none"/>
        </w:rPr>
        <w:t>。</w:t>
      </w:r>
      <w:r>
        <w:rPr>
          <w:rFonts w:hint="eastAsia" w:ascii="宋体" w:hAnsi="宋体" w:eastAsia="宋体" w:cs="宋体"/>
          <w:bCs w:val="0"/>
          <w:color w:val="auto"/>
          <w:spacing w:val="0"/>
          <w:kern w:val="2"/>
          <w:sz w:val="21"/>
          <w:szCs w:val="21"/>
          <w:highlight w:val="none"/>
        </w:rPr>
        <w:t xml:space="preserve"> </w:t>
      </w:r>
    </w:p>
    <w:p w14:paraId="0441A8DE">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16.2.3 因承包人违约解除合同</w:t>
      </w:r>
    </w:p>
    <w:p w14:paraId="757A6FF6">
      <w:pPr>
        <w:pageBreakBefore w:val="0"/>
        <w:widowControl w:val="0"/>
        <w:tabs>
          <w:tab w:val="center" w:pos="4393"/>
          <w:tab w:val="left" w:pos="6774"/>
        </w:tabs>
        <w:kinsoku/>
        <w:wordWrap/>
        <w:overflowPunct/>
        <w:topLinePunct w:val="0"/>
        <w:bidi w:val="0"/>
        <w:snapToGrid w:val="0"/>
        <w:spacing w:line="360" w:lineRule="auto"/>
        <w:ind w:left="0" w:right="0" w:firstLine="315"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关于承包人违约解除合同的特别约定：</w:t>
      </w:r>
      <w:r>
        <w:rPr>
          <w:rFonts w:hint="eastAsia" w:ascii="宋体" w:hAnsi="宋体" w:eastAsia="宋体" w:cs="宋体"/>
          <w:bCs/>
          <w:color w:val="auto"/>
          <w:spacing w:val="0"/>
          <w:kern w:val="0"/>
          <w:sz w:val="21"/>
          <w:szCs w:val="21"/>
          <w:highlight w:val="none"/>
          <w:u w:val="single"/>
        </w:rPr>
        <w:t>在本合同解除后，承包人必须在5日内无条件退场并完成清理工作。</w:t>
      </w:r>
    </w:p>
    <w:p w14:paraId="05A57A4A">
      <w:pPr>
        <w:pageBreakBefore w:val="0"/>
        <w:widowControl w:val="0"/>
        <w:tabs>
          <w:tab w:val="center" w:pos="4393"/>
          <w:tab w:val="left" w:pos="6774"/>
        </w:tabs>
        <w:kinsoku/>
        <w:wordWrap/>
        <w:overflowPunct/>
        <w:topLinePunct w:val="0"/>
        <w:bidi w:val="0"/>
        <w:snapToGrid w:val="0"/>
        <w:spacing w:line="360" w:lineRule="auto"/>
        <w:ind w:left="0" w:right="0" w:firstLine="315"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u w:val="single"/>
          <w:lang w:bidi="ar"/>
        </w:rPr>
        <w:t>发包人有权无偿使用，发包人继续使用的行为不免除或减轻承包人应承担的违约责任</w:t>
      </w:r>
      <w:r>
        <w:rPr>
          <w:rFonts w:hint="eastAsia" w:ascii="宋体" w:hAnsi="宋体" w:eastAsia="宋体" w:cs="宋体"/>
          <w:bCs w:val="0"/>
          <w:color w:val="auto"/>
          <w:spacing w:val="0"/>
          <w:kern w:val="0"/>
          <w:sz w:val="21"/>
          <w:szCs w:val="21"/>
          <w:highlight w:val="none"/>
        </w:rPr>
        <w:t xml:space="preserve">。  </w:t>
      </w:r>
    </w:p>
    <w:p w14:paraId="5B02FF43">
      <w:pPr>
        <w:keepNext/>
        <w:keepLines/>
        <w:pageBreakBefore w:val="0"/>
        <w:widowControl w:val="0"/>
        <w:numPr>
          <w:ilvl w:val="3"/>
          <w:numId w:val="2"/>
        </w:numPr>
        <w:kinsoku/>
        <w:wordWrap/>
        <w:overflowPunct/>
        <w:topLinePunct w:val="0"/>
        <w:bidi w:val="0"/>
        <w:spacing w:line="360" w:lineRule="auto"/>
        <w:ind w:left="0" w:right="0" w:firstLine="0" w:firstLineChars="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 xml:space="preserve">17. 不可抗力 </w:t>
      </w:r>
    </w:p>
    <w:p w14:paraId="647D4623">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17.1 不可抗力的确认</w:t>
      </w:r>
    </w:p>
    <w:p w14:paraId="4CC719F3">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除通用合同条款约定的不可抗力事件之外，视为不可抗力的其他情形：</w:t>
      </w:r>
      <w:r>
        <w:rPr>
          <w:rFonts w:hint="eastAsia" w:ascii="宋体" w:hAnsi="宋体" w:eastAsia="宋体" w:cs="宋体"/>
          <w:bCs w:val="0"/>
          <w:color w:val="auto"/>
          <w:spacing w:val="0"/>
          <w:kern w:val="0"/>
          <w:sz w:val="21"/>
          <w:szCs w:val="21"/>
          <w:highlight w:val="none"/>
          <w:u w:val="single"/>
        </w:rPr>
        <w:t xml:space="preserve"> 战争、动乱、空中飞行物体坠落以及洪水、地震、重大疫情等</w:t>
      </w:r>
      <w:r>
        <w:rPr>
          <w:rFonts w:hint="eastAsia" w:ascii="宋体" w:hAnsi="宋体" w:eastAsia="宋体" w:cs="宋体"/>
          <w:bCs w:val="0"/>
          <w:color w:val="auto"/>
          <w:spacing w:val="0"/>
          <w:kern w:val="0"/>
          <w:sz w:val="21"/>
          <w:szCs w:val="21"/>
          <w:highlight w:val="none"/>
        </w:rPr>
        <w:t>。</w:t>
      </w:r>
    </w:p>
    <w:p w14:paraId="0264C27B">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17.4 因不可抗力解除合同</w:t>
      </w:r>
    </w:p>
    <w:p w14:paraId="39F40134">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合同解除后，发包人应在商定或确定发包人应支付款项后</w:t>
      </w:r>
      <w:r>
        <w:rPr>
          <w:rFonts w:hint="eastAsia" w:ascii="宋体" w:hAnsi="宋体" w:eastAsia="宋体" w:cs="宋体"/>
          <w:bCs w:val="0"/>
          <w:color w:val="auto"/>
          <w:spacing w:val="0"/>
          <w:kern w:val="2"/>
          <w:sz w:val="21"/>
          <w:szCs w:val="21"/>
          <w:highlight w:val="none"/>
          <w:u w:val="single"/>
        </w:rPr>
        <w:t xml:space="preserve"> 60</w:t>
      </w:r>
      <w:r>
        <w:rPr>
          <w:rFonts w:hint="eastAsia" w:ascii="宋体" w:hAnsi="宋体" w:eastAsia="宋体" w:cs="宋体"/>
          <w:bCs w:val="0"/>
          <w:color w:val="auto"/>
          <w:spacing w:val="0"/>
          <w:kern w:val="2"/>
          <w:sz w:val="21"/>
          <w:szCs w:val="21"/>
          <w:highlight w:val="none"/>
        </w:rPr>
        <w:t>天内完成款项的支付。</w:t>
      </w:r>
    </w:p>
    <w:p w14:paraId="7B96216A">
      <w:pPr>
        <w:keepNext/>
        <w:keepLines/>
        <w:pageBreakBefore w:val="0"/>
        <w:widowControl w:val="0"/>
        <w:numPr>
          <w:ilvl w:val="3"/>
          <w:numId w:val="2"/>
        </w:numPr>
        <w:kinsoku/>
        <w:wordWrap/>
        <w:overflowPunct/>
        <w:topLinePunct w:val="0"/>
        <w:bidi w:val="0"/>
        <w:spacing w:line="360" w:lineRule="auto"/>
        <w:ind w:left="0" w:right="0" w:firstLine="0" w:firstLineChars="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18. 保险</w:t>
      </w:r>
    </w:p>
    <w:p w14:paraId="54337762">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18.1 工程保险</w:t>
      </w:r>
    </w:p>
    <w:p w14:paraId="13166DCE">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0"/>
          <w:sz w:val="21"/>
          <w:szCs w:val="21"/>
          <w:highlight w:val="none"/>
          <w:u w:val="single"/>
        </w:rPr>
      </w:pPr>
      <w:r>
        <w:rPr>
          <w:rFonts w:hint="eastAsia" w:ascii="宋体" w:hAnsi="宋体" w:eastAsia="宋体" w:cs="宋体"/>
          <w:bCs w:val="0"/>
          <w:color w:val="auto"/>
          <w:spacing w:val="0"/>
          <w:kern w:val="2"/>
          <w:sz w:val="21"/>
          <w:szCs w:val="21"/>
          <w:highlight w:val="none"/>
        </w:rPr>
        <w:t>关于工程保险的特别约定：</w:t>
      </w:r>
      <w:r>
        <w:rPr>
          <w:rFonts w:hint="eastAsia" w:ascii="宋体" w:hAnsi="宋体" w:eastAsia="宋体" w:cs="宋体"/>
          <w:bCs w:val="0"/>
          <w:color w:val="auto"/>
          <w:spacing w:val="0"/>
          <w:kern w:val="0"/>
          <w:sz w:val="21"/>
          <w:szCs w:val="21"/>
          <w:highlight w:val="none"/>
          <w:u w:val="single"/>
        </w:rPr>
        <w:t xml:space="preserve"> 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p>
    <w:p w14:paraId="3362E41B">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0"/>
          <w:sz w:val="21"/>
          <w:szCs w:val="21"/>
          <w:highlight w:val="none"/>
          <w:u w:val="single"/>
        </w:rPr>
      </w:pPr>
      <w:r>
        <w:rPr>
          <w:rFonts w:hint="eastAsia" w:ascii="宋体" w:hAnsi="宋体" w:eastAsia="宋体" w:cs="宋体"/>
          <w:bCs w:val="0"/>
          <w:color w:val="auto"/>
          <w:spacing w:val="0"/>
          <w:kern w:val="0"/>
          <w:sz w:val="21"/>
          <w:szCs w:val="21"/>
          <w:highlight w:val="none"/>
          <w:u w:val="single"/>
        </w:rPr>
        <w:t>第三者责任险由承包人办理，以承包人与发包人名义联名投保，投保条件与保险费率由承包人根据江苏省保险行业协会有关工程保险的相关规定自行考虑，该项费用含在合同价中。</w:t>
      </w:r>
    </w:p>
    <w:p w14:paraId="6B195F2C">
      <w:pPr>
        <w:pageBreakBefore w:val="0"/>
        <w:widowControl w:val="0"/>
        <w:tabs>
          <w:tab w:val="center" w:pos="4393"/>
          <w:tab w:val="left" w:pos="6774"/>
        </w:tabs>
        <w:kinsoku/>
        <w:wordWrap/>
        <w:overflowPunct/>
        <w:topLinePunct w:val="0"/>
        <w:bidi w:val="0"/>
        <w:spacing w:line="360" w:lineRule="auto"/>
        <w:ind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18.3 其他保险</w:t>
      </w:r>
    </w:p>
    <w:p w14:paraId="17290918">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关于其他保险的约定：</w:t>
      </w:r>
    </w:p>
    <w:p w14:paraId="767F8C33">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（1）保险合同需经发包人审批。</w:t>
      </w:r>
    </w:p>
    <w:p w14:paraId="015DE5F9">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（2）保险事故发生时，承包人有责任尽力采取必要的措施，防止或者减少损失。</w:t>
      </w:r>
    </w:p>
    <w:p w14:paraId="5A888950">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（3）如发生保险事故时，承包人应负责向保险公司索赔及办理赔付事宜。</w:t>
      </w:r>
    </w:p>
    <w:p w14:paraId="61E7AB32">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（4）合同生效后，承包人必须在工程开工前办理保险，如承包人未办理保险的，发包人有权从工程进度款中扣除此工程保险费用</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直接选择保险人。</w:t>
      </w:r>
    </w:p>
    <w:p w14:paraId="27962A0B">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承包人是否应为其施工设备等办理财产保险：</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bidi="ar"/>
        </w:rPr>
        <w:t>承包人为其施工设备等办理财产保险</w:t>
      </w:r>
      <w:r>
        <w:rPr>
          <w:rFonts w:hint="eastAsia" w:ascii="宋体" w:hAnsi="宋体" w:eastAsia="宋体" w:cs="宋体"/>
          <w:bCs w:val="0"/>
          <w:color w:val="auto"/>
          <w:spacing w:val="0"/>
          <w:kern w:val="2"/>
          <w:sz w:val="21"/>
          <w:szCs w:val="21"/>
          <w:highlight w:val="none"/>
          <w:u w:val="single"/>
          <w:lang w:val="en-US" w:eastAsia="zh-CN" w:bidi="ar"/>
        </w:rPr>
        <w:t xml:space="preserve"> </w:t>
      </w:r>
      <w:r>
        <w:rPr>
          <w:rFonts w:hint="eastAsia" w:ascii="宋体" w:hAnsi="宋体" w:eastAsia="宋体" w:cs="宋体"/>
          <w:bCs w:val="0"/>
          <w:color w:val="auto"/>
          <w:spacing w:val="0"/>
          <w:kern w:val="2"/>
          <w:sz w:val="21"/>
          <w:szCs w:val="21"/>
          <w:highlight w:val="none"/>
        </w:rPr>
        <w:t>。</w:t>
      </w:r>
    </w:p>
    <w:p w14:paraId="0CFF985B">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18.7 通知义务</w:t>
      </w:r>
    </w:p>
    <w:p w14:paraId="25C3FE29">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关于变更保险合同时的通知义务的约定：</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bidi="ar"/>
        </w:rPr>
        <w:t>变更前应事先征得对方同意并通知监理人</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5DF52CED">
      <w:pPr>
        <w:keepNext/>
        <w:keepLines/>
        <w:pageBreakBefore w:val="0"/>
        <w:widowControl w:val="0"/>
        <w:numPr>
          <w:ilvl w:val="3"/>
          <w:numId w:val="2"/>
        </w:numPr>
        <w:kinsoku/>
        <w:wordWrap/>
        <w:overflowPunct/>
        <w:topLinePunct w:val="0"/>
        <w:bidi w:val="0"/>
        <w:spacing w:line="360" w:lineRule="auto"/>
        <w:ind w:left="0" w:right="0" w:firstLine="0" w:firstLineChars="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20. 争议解决</w:t>
      </w:r>
    </w:p>
    <w:p w14:paraId="4A85D3E4">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20.3 争议评审</w:t>
      </w:r>
    </w:p>
    <w:p w14:paraId="172521B5">
      <w:pPr>
        <w:pageBreakBefore w:val="0"/>
        <w:widowControl w:val="0"/>
        <w:tabs>
          <w:tab w:val="center" w:pos="4393"/>
          <w:tab w:val="left" w:pos="6774"/>
        </w:tabs>
        <w:kinsoku/>
        <w:wordWrap/>
        <w:overflowPunct/>
        <w:topLinePunct w:val="0"/>
        <w:bidi w:val="0"/>
        <w:spacing w:line="360" w:lineRule="auto"/>
        <w:ind w:left="0" w:right="0" w:firstLine="315"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合同当事人是否同意将工程争议提交争议评审小组决定：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 xml:space="preserve">。  </w:t>
      </w:r>
    </w:p>
    <w:p w14:paraId="4A69D6D0">
      <w:pPr>
        <w:pageBreakBefore w:val="0"/>
        <w:widowControl w:val="0"/>
        <w:tabs>
          <w:tab w:val="center" w:pos="4393"/>
          <w:tab w:val="left" w:pos="6774"/>
        </w:tabs>
        <w:kinsoku/>
        <w:wordWrap/>
        <w:overflowPunct/>
        <w:topLinePunct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20.3.1 争议评审小组的确定</w:t>
      </w:r>
    </w:p>
    <w:p w14:paraId="36E3A6BE">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争议评审小组成员的确定：</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2AB3F828">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选定争议评审员的期限：</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4FDDC9E0">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争议评审小组成员的报酬承担方式：</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58C558F2">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其他事项的约定：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2F444FCD">
      <w:pPr>
        <w:pageBreakBefore w:val="0"/>
        <w:widowControl w:val="0"/>
        <w:tabs>
          <w:tab w:val="center" w:pos="4393"/>
          <w:tab w:val="left" w:pos="6774"/>
        </w:tabs>
        <w:kinsoku/>
        <w:wordWrap/>
        <w:overflowPunct/>
        <w:topLinePunct w:val="0"/>
        <w:autoSpaceDE w:val="0"/>
        <w:bidi w:val="0"/>
        <w:spacing w:line="360" w:lineRule="auto"/>
        <w:ind w:left="0" w:right="0" w:firstLine="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20.3.2 争议评审小组的决定</w:t>
      </w:r>
    </w:p>
    <w:p w14:paraId="6D519013">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合同当事人关于本项的约定：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79472D0B">
      <w:pPr>
        <w:pageBreakBefore w:val="0"/>
        <w:widowControl w:val="0"/>
        <w:tabs>
          <w:tab w:val="center" w:pos="4393"/>
          <w:tab w:val="left" w:pos="6774"/>
        </w:tabs>
        <w:kinsoku/>
        <w:wordWrap/>
        <w:overflowPunct/>
        <w:topLinePunct w:val="0"/>
        <w:bidi w:val="0"/>
        <w:spacing w:line="360" w:lineRule="auto"/>
        <w:ind w:left="0" w:right="0" w:firstLine="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20.4仲裁或诉讼</w:t>
      </w:r>
    </w:p>
    <w:p w14:paraId="152E19A3">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因合同及合同有关事项发生的争议，按下列第</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2</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 xml:space="preserve">种方式解决： </w:t>
      </w:r>
    </w:p>
    <w:p w14:paraId="387D30C2">
      <w:pPr>
        <w:pageBreakBefore w:val="0"/>
        <w:widowControl w:val="0"/>
        <w:tabs>
          <w:tab w:val="center" w:pos="4393"/>
          <w:tab w:val="left" w:pos="6774"/>
        </w:tabs>
        <w:kinsoku/>
        <w:wordWrap/>
        <w:overflowPunct/>
        <w:topLinePunct w:val="0"/>
        <w:bidi w:val="0"/>
        <w:spacing w:line="360" w:lineRule="auto"/>
        <w:ind w:left="0" w:right="0" w:firstLine="420" w:firstLineChars="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（1）向</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仲裁委员会申请仲裁；</w:t>
      </w:r>
    </w:p>
    <w:p w14:paraId="7542FC2B">
      <w:pPr>
        <w:pageBreakBefore w:val="0"/>
        <w:widowControl w:val="0"/>
        <w:tabs>
          <w:tab w:val="center" w:pos="4393"/>
          <w:tab w:val="left" w:pos="6774"/>
        </w:tabs>
        <w:kinsoku/>
        <w:wordWrap/>
        <w:overflowPunct/>
        <w:topLinePunct w:val="0"/>
        <w:bidi w:val="0"/>
        <w:spacing w:line="360" w:lineRule="auto"/>
        <w:ind w:left="0" w:right="0"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（2）向</w:t>
      </w:r>
      <w:r>
        <w:rPr>
          <w:rFonts w:hint="eastAsia" w:ascii="宋体" w:hAnsi="宋体" w:eastAsia="宋体" w:cs="宋体"/>
          <w:bCs w:val="0"/>
          <w:color w:val="auto"/>
          <w:spacing w:val="0"/>
          <w:kern w:val="2"/>
          <w:sz w:val="21"/>
          <w:szCs w:val="21"/>
          <w:highlight w:val="none"/>
          <w:u w:val="single"/>
        </w:rPr>
        <w:t xml:space="preserve"> 工程所在地有管辖权的 </w:t>
      </w:r>
      <w:r>
        <w:rPr>
          <w:rFonts w:hint="eastAsia" w:ascii="宋体" w:hAnsi="宋体" w:eastAsia="宋体" w:cs="宋体"/>
          <w:bCs w:val="0"/>
          <w:color w:val="auto"/>
          <w:spacing w:val="0"/>
          <w:kern w:val="2"/>
          <w:sz w:val="21"/>
          <w:szCs w:val="21"/>
          <w:highlight w:val="none"/>
        </w:rPr>
        <w:t>人民法院起诉。</w:t>
      </w:r>
    </w:p>
    <w:p w14:paraId="32048E8C">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 补充条款</w:t>
      </w:r>
    </w:p>
    <w:p w14:paraId="6A7A2F36">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7409CA01">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766F5966">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0C493924">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21.4承包人已在合同价中计入了本工程场地条件以及本工程周围地形、地貌、水文、地质、地下障碍物</w:t>
      </w:r>
      <w:r>
        <w:rPr>
          <w:rFonts w:hint="eastAsia" w:ascii="宋体" w:hAnsi="宋体" w:eastAsia="宋体" w:cs="宋体"/>
          <w:b w:val="0"/>
          <w:bCs w:val="0"/>
          <w:color w:val="auto"/>
          <w:spacing w:val="0"/>
          <w:kern w:val="2"/>
          <w:sz w:val="21"/>
          <w:szCs w:val="21"/>
          <w:highlight w:val="none"/>
          <w:lang w:eastAsia="zh-CN"/>
        </w:rPr>
        <w:t>、</w:t>
      </w:r>
      <w:r>
        <w:rPr>
          <w:rFonts w:hint="eastAsia" w:ascii="宋体" w:hAnsi="宋体" w:eastAsia="宋体" w:cs="宋体"/>
          <w:b w:val="0"/>
          <w:bCs w:val="0"/>
          <w:color w:val="auto"/>
          <w:spacing w:val="0"/>
          <w:kern w:val="2"/>
          <w:sz w:val="21"/>
          <w:szCs w:val="21"/>
          <w:highlight w:val="none"/>
        </w:rPr>
        <w:t>地下管线、交通道路、工期等风险费用。在整个工程施工期间承包人不得就上述条件的变化提出任何额外费用或延长竣工日期的要求。</w:t>
      </w:r>
    </w:p>
    <w:p w14:paraId="451FD0A8">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21.5无论任何时期，发包人有权在本合同所属工程范围内根据整个项目的实际施工进度，将工程分阶段开工、竣工结算，该情况视为承包人已充分考虑在合同价款中。</w:t>
      </w:r>
    </w:p>
    <w:p w14:paraId="0C6DFC9B">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21.6承包人应将施工中产生的多余建筑垃圾清运出场，其外运堆放场地及运距由承包人事先</w:t>
      </w:r>
      <w:r>
        <w:rPr>
          <w:rFonts w:hint="eastAsia" w:ascii="宋体" w:hAnsi="宋体" w:eastAsia="宋体" w:cs="宋体"/>
          <w:b w:val="0"/>
          <w:bCs w:val="0"/>
          <w:color w:val="auto"/>
          <w:spacing w:val="0"/>
          <w:kern w:val="2"/>
          <w:sz w:val="21"/>
          <w:szCs w:val="21"/>
          <w:highlight w:val="none"/>
          <w:lang w:val="en-US" w:eastAsia="zh-CN"/>
        </w:rPr>
        <w:t>勘查</w:t>
      </w:r>
      <w:r>
        <w:rPr>
          <w:rFonts w:hint="eastAsia" w:ascii="宋体" w:hAnsi="宋体" w:eastAsia="宋体" w:cs="宋体"/>
          <w:b w:val="0"/>
          <w:bCs w:val="0"/>
          <w:color w:val="auto"/>
          <w:spacing w:val="0"/>
          <w:kern w:val="2"/>
          <w:sz w:val="21"/>
          <w:szCs w:val="21"/>
          <w:highlight w:val="none"/>
        </w:rPr>
        <w:t>现场情</w:t>
      </w:r>
      <w:r>
        <w:rPr>
          <w:rFonts w:hint="eastAsia" w:ascii="宋体" w:hAnsi="宋体" w:eastAsia="宋体" w:cs="宋体"/>
          <w:b w:val="0"/>
          <w:bCs w:val="0"/>
          <w:color w:val="auto"/>
          <w:spacing w:val="0"/>
          <w:kern w:val="2"/>
          <w:sz w:val="21"/>
          <w:szCs w:val="21"/>
          <w:highlight w:val="none"/>
          <w:lang w:eastAsia="zh-CN"/>
        </w:rPr>
        <w:t>况进</w:t>
      </w:r>
      <w:r>
        <w:rPr>
          <w:rFonts w:hint="eastAsia" w:ascii="宋体" w:hAnsi="宋体" w:eastAsia="宋体" w:cs="宋体"/>
          <w:b w:val="0"/>
          <w:bCs w:val="0"/>
          <w:color w:val="auto"/>
          <w:spacing w:val="0"/>
          <w:kern w:val="2"/>
          <w:sz w:val="21"/>
          <w:szCs w:val="21"/>
          <w:highlight w:val="none"/>
        </w:rPr>
        <w:t>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5F8B3A2F">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p>
    <w:p w14:paraId="41887FD4">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21.8本合同价中应包括防洪、防风、暴雨、暴雪等措施所需要的一切费用。</w:t>
      </w:r>
    </w:p>
    <w:p w14:paraId="0E399BAE">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21.9施工过程中</w:t>
      </w:r>
      <w:r>
        <w:rPr>
          <w:rFonts w:hint="eastAsia" w:ascii="宋体" w:hAnsi="宋体" w:eastAsia="宋体" w:cs="宋体"/>
          <w:b w:val="0"/>
          <w:bCs w:val="0"/>
          <w:color w:val="auto"/>
          <w:spacing w:val="0"/>
          <w:kern w:val="2"/>
          <w:sz w:val="21"/>
          <w:szCs w:val="21"/>
          <w:highlight w:val="none"/>
          <w:lang w:val="en-US" w:eastAsia="zh-CN"/>
        </w:rPr>
        <w:t>与</w:t>
      </w:r>
      <w:r>
        <w:rPr>
          <w:rFonts w:hint="eastAsia" w:ascii="宋体" w:hAnsi="宋体" w:eastAsia="宋体" w:cs="宋体"/>
          <w:b w:val="0"/>
          <w:bCs w:val="0"/>
          <w:color w:val="auto"/>
          <w:spacing w:val="0"/>
          <w:kern w:val="2"/>
          <w:sz w:val="21"/>
          <w:szCs w:val="21"/>
          <w:highlight w:val="none"/>
        </w:rPr>
        <w:t>周围发生的</w:t>
      </w:r>
      <w:r>
        <w:rPr>
          <w:rFonts w:hint="eastAsia" w:ascii="宋体" w:hAnsi="宋体" w:eastAsia="宋体" w:cs="宋体"/>
          <w:b w:val="0"/>
          <w:bCs w:val="0"/>
          <w:color w:val="auto"/>
          <w:spacing w:val="0"/>
          <w:kern w:val="2"/>
          <w:sz w:val="21"/>
          <w:szCs w:val="21"/>
          <w:highlight w:val="none"/>
          <w:lang w:eastAsia="zh-CN"/>
        </w:rPr>
        <w:t>阻挠</w:t>
      </w:r>
      <w:r>
        <w:rPr>
          <w:rFonts w:hint="eastAsia" w:ascii="宋体" w:hAnsi="宋体" w:eastAsia="宋体" w:cs="宋体"/>
          <w:b w:val="0"/>
          <w:bCs w:val="0"/>
          <w:color w:val="auto"/>
          <w:spacing w:val="0"/>
          <w:kern w:val="2"/>
          <w:sz w:val="21"/>
          <w:szCs w:val="21"/>
          <w:highlight w:val="none"/>
        </w:rPr>
        <w:t>施工的各类民扰、矛盾及纠纷由承包人自行协商解决，费用由承包人自理，该费用应包含在合同价中。</w:t>
      </w:r>
    </w:p>
    <w:p w14:paraId="5BCB4AD1">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p>
    <w:p w14:paraId="0A527027">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21.11如承包人原因引发社会矛盾或其他争议纠</w:t>
      </w:r>
      <w:r>
        <w:rPr>
          <w:rFonts w:hint="eastAsia" w:ascii="宋体" w:hAnsi="宋体" w:eastAsia="宋体" w:cs="宋体"/>
          <w:b w:val="0"/>
          <w:bCs w:val="0"/>
          <w:color w:val="auto"/>
          <w:spacing w:val="0"/>
          <w:kern w:val="2"/>
          <w:sz w:val="21"/>
          <w:szCs w:val="21"/>
          <w:highlight w:val="none"/>
          <w:lang w:eastAsia="zh-CN"/>
        </w:rPr>
        <w:t>纷对</w:t>
      </w:r>
      <w:r>
        <w:rPr>
          <w:rFonts w:hint="eastAsia" w:ascii="宋体" w:hAnsi="宋体" w:eastAsia="宋体" w:cs="宋体"/>
          <w:b w:val="0"/>
          <w:bCs w:val="0"/>
          <w:color w:val="auto"/>
          <w:spacing w:val="0"/>
          <w:kern w:val="2"/>
          <w:sz w:val="21"/>
          <w:szCs w:val="21"/>
          <w:highlight w:val="none"/>
        </w:rPr>
        <w:t>发包人造成不良影响或损失的，承包人应积极处理解决社会矛盾，消除不良影响，并承担因此给发包人造成的损失，发包人根据情况不同有权扣除承包人总合同价款3%的违约金。发包人视情况扣减承包人行业履约信誉分值，情况严重者将承包人列入不良资信名单，并向相关行政主管部门举报。</w:t>
      </w:r>
    </w:p>
    <w:p w14:paraId="723C271A">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21.12施工期间承包人必须配合相关单位做好文明施工及安全的工作，否则发包人有权对其进行经济处罚。</w:t>
      </w:r>
    </w:p>
    <w:p w14:paraId="4971630D">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21.13合同签订后，若承包人不按合同双方约定进场施工，发包人有权没收承包人的合同履约保证金并终止合同；若因承包人原因未按时完成工程进度（特别申明：承包人未按施工进度计划要求完成施工内容）视同承包人违约，发包方有权没收承包人的合同履约保证金并终止合同，同时进行强制性清场，承包人须无条件撤离施工现场。</w:t>
      </w:r>
    </w:p>
    <w:p w14:paraId="5E77C3A5">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21.14承包人负责本工程竣工资料的整理，保证资料符合要求，及时报送并配合整体工程竣工验收。因资料移交不及时及工程质量导致竣工验收或竣工备案延误的，按工期延误处理。</w:t>
      </w:r>
    </w:p>
    <w:p w14:paraId="6FA2BF88">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21.15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p>
    <w:p w14:paraId="447F6A29">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21.16承包人应对现场作业、施工方法及施工过程的完整性、稳定性和安全性承担全部责任，负责完成对工程的稳定、完整、安全、可靠及有效运行所必需的全部工作。</w:t>
      </w:r>
    </w:p>
    <w:p w14:paraId="32529A0B">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21.17若工程质量不符合施工验收规范及设计要求的，承包人按要求须在限期内返工或需采取其他补救措施达到合格标准，所发生的费用均由承包人承担。</w:t>
      </w:r>
    </w:p>
    <w:p w14:paraId="6CBDAD14">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21.18承包人的权利义务：</w:t>
      </w:r>
    </w:p>
    <w:p w14:paraId="067362E8">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①承包人对施工现场管理并对安全生产、保卫等工作负全部责任，在进场前应与施工人员签订安全协议书。</w:t>
      </w:r>
    </w:p>
    <w:p w14:paraId="33F5F4A2">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②承包人应在进场前为其施工人员投保意外伤害保险</w:t>
      </w:r>
      <w:r>
        <w:rPr>
          <w:rFonts w:hint="eastAsia" w:ascii="宋体" w:hAnsi="宋体" w:eastAsia="宋体" w:cs="宋体"/>
          <w:b w:val="0"/>
          <w:bCs w:val="0"/>
          <w:color w:val="auto"/>
          <w:spacing w:val="0"/>
          <w:kern w:val="2"/>
          <w:sz w:val="21"/>
          <w:szCs w:val="21"/>
          <w:highlight w:val="none"/>
          <w:lang w:eastAsia="zh-CN"/>
        </w:rPr>
        <w:t>，</w:t>
      </w:r>
      <w:r>
        <w:rPr>
          <w:rFonts w:hint="eastAsia" w:ascii="宋体" w:hAnsi="宋体" w:eastAsia="宋体" w:cs="宋体"/>
          <w:b w:val="0"/>
          <w:bCs w:val="0"/>
          <w:color w:val="auto"/>
          <w:spacing w:val="0"/>
          <w:kern w:val="2"/>
          <w:sz w:val="21"/>
          <w:szCs w:val="21"/>
          <w:highlight w:val="none"/>
        </w:rPr>
        <w:t>保险期间不少于自工程开工之日至工程验收合格之日。</w:t>
      </w:r>
    </w:p>
    <w:p w14:paraId="50D7F7BA">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③如因承包人原因造成工程发生安全事故的，因此产生的一切法律责任均由承包人承担。</w:t>
      </w:r>
    </w:p>
    <w:p w14:paraId="6E0BE742">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p>
    <w:p w14:paraId="21036B77">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 xml:space="preserve">⑤承包人应按照国家有关劳动保护规定对进场作业人员根据岗位和工种情况为施工人员提供必要的劳动保护。 </w:t>
      </w:r>
    </w:p>
    <w:p w14:paraId="19BA526A">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21.19施工过程中及时清运因本工程产生之建筑垃圾，保持现场的整洁，创文明施工现场，所有建筑垃圾应清理出施工区域按有关规定处理，否则由此引起的一切损失或产生的费用由承包人负责。</w:t>
      </w:r>
    </w:p>
    <w:p w14:paraId="4E0E2924">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21.20工程竣工结算要接受发包人委托的审计单位审计，审计以承包人送审价为基数，核减额5%以内审计费由发包人支付；超过5%部分的审计费用由承包人承担，由发包人直接从工程款中扣除。</w:t>
      </w:r>
    </w:p>
    <w:p w14:paraId="258E97D8">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21.21承包人不得因企业资质核验影响办理工程建设手续（如合同签订、合同备案、施工许可证办理等），否则发包人有权没收履约保证金并解除合同，因此造成的一切损失由承包人承担。</w:t>
      </w:r>
    </w:p>
    <w:p w14:paraId="470064C5">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21.22本合同约定智慧工地创建所需费用均包含在合同价款中，不再另行计取。</w:t>
      </w:r>
    </w:p>
    <w:p w14:paraId="34ADF0F6">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21.2</w:t>
      </w:r>
      <w:r>
        <w:rPr>
          <w:rFonts w:hint="eastAsia" w:ascii="宋体" w:hAnsi="宋体" w:eastAsia="宋体" w:cs="宋体"/>
          <w:b w:val="0"/>
          <w:bCs w:val="0"/>
          <w:color w:val="auto"/>
          <w:spacing w:val="0"/>
          <w:kern w:val="2"/>
          <w:sz w:val="21"/>
          <w:szCs w:val="21"/>
          <w:highlight w:val="none"/>
          <w:lang w:val="en-US" w:eastAsia="zh-CN"/>
        </w:rPr>
        <w:t>3承包人</w:t>
      </w:r>
      <w:r>
        <w:rPr>
          <w:rFonts w:hint="eastAsia" w:ascii="宋体" w:hAnsi="宋体" w:eastAsia="宋体" w:cs="宋体"/>
          <w:b w:val="0"/>
          <w:bCs w:val="0"/>
          <w:color w:val="auto"/>
          <w:spacing w:val="0"/>
          <w:kern w:val="2"/>
          <w:sz w:val="21"/>
          <w:szCs w:val="21"/>
          <w:highlight w:val="none"/>
        </w:rPr>
        <w:t>必须做到“六个百分百”施工标准，即“施工工地周边100%围挡、物料堆放100%覆盖、出入车辆100%冲洗、施工现场地面100%硬化、拆迁工地100%湿法作业、渣土车辆100%密闭运输”，否则发包人将按相关条例处罚。</w:t>
      </w:r>
    </w:p>
    <w:p w14:paraId="528D5D25">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21.2</w:t>
      </w:r>
      <w:r>
        <w:rPr>
          <w:rFonts w:hint="eastAsia" w:ascii="宋体" w:hAnsi="宋体" w:eastAsia="宋体" w:cs="宋体"/>
          <w:b w:val="0"/>
          <w:bCs w:val="0"/>
          <w:color w:val="auto"/>
          <w:spacing w:val="0"/>
          <w:kern w:val="2"/>
          <w:sz w:val="21"/>
          <w:szCs w:val="21"/>
          <w:highlight w:val="none"/>
          <w:lang w:val="en-US" w:eastAsia="zh-CN"/>
        </w:rPr>
        <w:t>4</w:t>
      </w:r>
      <w:r>
        <w:rPr>
          <w:rFonts w:hint="eastAsia" w:ascii="宋体" w:hAnsi="宋体" w:eastAsia="宋体" w:cs="宋体"/>
          <w:b w:val="0"/>
          <w:bCs w:val="0"/>
          <w:color w:val="auto"/>
          <w:spacing w:val="0"/>
          <w:kern w:val="2"/>
          <w:sz w:val="21"/>
          <w:szCs w:val="21"/>
          <w:highlight w:val="none"/>
        </w:rPr>
        <w:t>承包人应对扬尘污染防治承担全部责任，并应当制定具体的施工扬尘污染防治实施方案。</w:t>
      </w:r>
    </w:p>
    <w:p w14:paraId="068974AF">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从事房屋建筑、市政基础设施建设、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应当对裸露地面进行覆盖；超过三个月的，应当进行绿化、铺装或者遮盖。该费用已包含在合同总价中。</w:t>
      </w:r>
    </w:p>
    <w:p w14:paraId="2C86AD7F">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lang w:val="en-US"/>
        </w:rPr>
      </w:pPr>
      <w:r>
        <w:rPr>
          <w:rFonts w:hint="eastAsia" w:ascii="宋体" w:hAnsi="宋体" w:eastAsia="宋体" w:cs="宋体"/>
          <w:b w:val="0"/>
          <w:bCs w:val="0"/>
          <w:color w:val="auto"/>
          <w:spacing w:val="0"/>
          <w:kern w:val="2"/>
          <w:sz w:val="21"/>
          <w:szCs w:val="21"/>
          <w:highlight w:val="none"/>
        </w:rPr>
        <w:t>21.2</w:t>
      </w:r>
      <w:r>
        <w:rPr>
          <w:rFonts w:hint="eastAsia" w:ascii="宋体" w:hAnsi="宋体" w:eastAsia="宋体" w:cs="宋体"/>
          <w:b w:val="0"/>
          <w:bCs w:val="0"/>
          <w:color w:val="auto"/>
          <w:spacing w:val="0"/>
          <w:kern w:val="2"/>
          <w:sz w:val="21"/>
          <w:szCs w:val="21"/>
          <w:highlight w:val="none"/>
          <w:lang w:val="en-US" w:eastAsia="zh-CN"/>
        </w:rPr>
        <w:t>5</w:t>
      </w:r>
      <w:r>
        <w:rPr>
          <w:rFonts w:hint="eastAsia" w:ascii="宋体" w:hAnsi="宋体" w:eastAsia="宋体" w:cs="宋体"/>
          <w:b w:val="0"/>
          <w:bCs w:val="0"/>
          <w:color w:val="auto"/>
          <w:spacing w:val="0"/>
          <w:kern w:val="2"/>
          <w:sz w:val="21"/>
          <w:szCs w:val="21"/>
          <w:highlight w:val="none"/>
          <w:lang w:val="en-US"/>
        </w:rPr>
        <w:t>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w:t>
      </w:r>
    </w:p>
    <w:p w14:paraId="4A1FA544">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lang w:val="en-US"/>
        </w:rPr>
      </w:pPr>
      <w:r>
        <w:rPr>
          <w:rFonts w:hint="eastAsia" w:ascii="宋体" w:hAnsi="宋体" w:eastAsia="宋体" w:cs="宋体"/>
          <w:b w:val="0"/>
          <w:bCs w:val="0"/>
          <w:color w:val="auto"/>
          <w:spacing w:val="0"/>
          <w:kern w:val="2"/>
          <w:sz w:val="21"/>
          <w:szCs w:val="21"/>
          <w:highlight w:val="none"/>
          <w:lang w:val="en-US" w:eastAsia="zh-CN"/>
        </w:rPr>
        <w:t>因承包方原因引起发包方和承包方诉讼的，</w:t>
      </w:r>
      <w:r>
        <w:rPr>
          <w:rFonts w:hint="eastAsia" w:ascii="宋体" w:hAnsi="宋体" w:eastAsia="宋体" w:cs="宋体"/>
          <w:b w:val="0"/>
          <w:bCs w:val="0"/>
          <w:color w:val="auto"/>
          <w:spacing w:val="0"/>
          <w:kern w:val="2"/>
          <w:sz w:val="21"/>
          <w:szCs w:val="21"/>
          <w:highlight w:val="none"/>
          <w:lang w:val="en-US"/>
        </w:rPr>
        <w:t>发包人因参与诉讼而产生的一切费用，包括但不限于律师费（以发包人与律师事务所签订的委托代理合同、律师费支付凭证和律师费发票为准）、诉讼费（以正式发票为准）等发包人实际支付、实际垫付或将来必然将支付的费用，都由承包人承担。</w:t>
      </w:r>
    </w:p>
    <w:p w14:paraId="23734E10">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lang w:val="en-US"/>
        </w:rPr>
      </w:pPr>
      <w:r>
        <w:rPr>
          <w:rFonts w:hint="eastAsia" w:ascii="宋体" w:hAnsi="宋体" w:eastAsia="宋体" w:cs="宋体"/>
          <w:b w:val="0"/>
          <w:bCs w:val="0"/>
          <w:color w:val="auto"/>
          <w:spacing w:val="0"/>
          <w:kern w:val="2"/>
          <w:sz w:val="21"/>
          <w:szCs w:val="21"/>
          <w:highlight w:val="none"/>
          <w:lang w:val="en-US" w:eastAsia="zh-CN"/>
        </w:rPr>
        <w:t>21.26</w:t>
      </w:r>
      <w:r>
        <w:rPr>
          <w:rFonts w:hint="eastAsia" w:ascii="宋体" w:hAnsi="宋体" w:eastAsia="宋体" w:cs="宋体"/>
          <w:b w:val="0"/>
          <w:bCs w:val="0"/>
          <w:color w:val="auto"/>
          <w:spacing w:val="0"/>
          <w:kern w:val="2"/>
          <w:sz w:val="21"/>
          <w:szCs w:val="21"/>
          <w:highlight w:val="none"/>
          <w:lang w:val="en-US"/>
        </w:rPr>
        <w:t>为保证项目顺利完成，如需赶工施工的，</w:t>
      </w:r>
      <w:r>
        <w:rPr>
          <w:rFonts w:hint="eastAsia" w:ascii="宋体" w:hAnsi="宋体" w:eastAsia="宋体" w:cs="宋体"/>
          <w:b w:val="0"/>
          <w:bCs w:val="0"/>
          <w:color w:val="auto"/>
          <w:spacing w:val="0"/>
          <w:kern w:val="2"/>
          <w:sz w:val="21"/>
          <w:szCs w:val="21"/>
          <w:highlight w:val="none"/>
        </w:rPr>
        <w:t>该费用</w:t>
      </w:r>
      <w:r>
        <w:rPr>
          <w:rFonts w:hint="eastAsia" w:ascii="宋体" w:hAnsi="宋体" w:eastAsia="宋体" w:cs="宋体"/>
          <w:b w:val="0"/>
          <w:bCs w:val="0"/>
          <w:color w:val="auto"/>
          <w:spacing w:val="0"/>
          <w:kern w:val="2"/>
          <w:sz w:val="21"/>
          <w:szCs w:val="21"/>
          <w:highlight w:val="none"/>
          <w:lang w:val="en-US" w:eastAsia="zh-CN"/>
        </w:rPr>
        <w:t>已</w:t>
      </w:r>
      <w:r>
        <w:rPr>
          <w:rFonts w:hint="eastAsia" w:ascii="宋体" w:hAnsi="宋体" w:eastAsia="宋体" w:cs="宋体"/>
          <w:b w:val="0"/>
          <w:bCs w:val="0"/>
          <w:color w:val="auto"/>
          <w:spacing w:val="0"/>
          <w:kern w:val="2"/>
          <w:sz w:val="21"/>
          <w:szCs w:val="21"/>
          <w:highlight w:val="none"/>
        </w:rPr>
        <w:t>包含在合同价中</w:t>
      </w:r>
      <w:r>
        <w:rPr>
          <w:rFonts w:hint="eastAsia" w:ascii="宋体" w:hAnsi="宋体" w:eastAsia="宋体" w:cs="宋体"/>
          <w:b w:val="0"/>
          <w:bCs w:val="0"/>
          <w:color w:val="auto"/>
          <w:spacing w:val="0"/>
          <w:kern w:val="2"/>
          <w:sz w:val="21"/>
          <w:szCs w:val="21"/>
          <w:highlight w:val="none"/>
          <w:lang w:val="en-US"/>
        </w:rPr>
        <w:t>，包含但不限于赶工、雨季施工、反季节施工等措施费用。</w:t>
      </w:r>
    </w:p>
    <w:p w14:paraId="159E018E">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Cs w:val="0"/>
          <w:color w:val="auto"/>
          <w:spacing w:val="0"/>
          <w:kern w:val="2"/>
          <w:sz w:val="21"/>
          <w:szCs w:val="21"/>
          <w:highlight w:val="none"/>
          <w:lang w:val="en-US"/>
        </w:rPr>
      </w:pPr>
      <w:r>
        <w:rPr>
          <w:rFonts w:hint="eastAsia" w:ascii="宋体" w:hAnsi="宋体" w:eastAsia="宋体" w:cs="宋体"/>
          <w:b w:val="0"/>
          <w:bCs w:val="0"/>
          <w:color w:val="auto"/>
          <w:spacing w:val="0"/>
          <w:kern w:val="2"/>
          <w:sz w:val="21"/>
          <w:szCs w:val="21"/>
          <w:highlight w:val="none"/>
          <w:lang w:val="en-US" w:eastAsia="zh-CN"/>
        </w:rPr>
        <w:t>21.27承包</w:t>
      </w:r>
      <w:r>
        <w:rPr>
          <w:rFonts w:hint="eastAsia" w:ascii="宋体" w:hAnsi="宋体" w:eastAsia="宋体" w:cs="宋体"/>
          <w:b w:val="0"/>
          <w:bCs w:val="0"/>
          <w:color w:val="auto"/>
          <w:spacing w:val="0"/>
          <w:kern w:val="2"/>
          <w:sz w:val="21"/>
          <w:szCs w:val="21"/>
          <w:highlight w:val="none"/>
          <w:lang w:val="en-US"/>
        </w:rPr>
        <w:t>人应将本工程挖出的土方及建筑垃圾清运出场，其外运堆放场地</w:t>
      </w:r>
      <w:r>
        <w:rPr>
          <w:rFonts w:hint="eastAsia" w:ascii="宋体" w:hAnsi="宋体" w:eastAsia="宋体" w:cs="宋体"/>
          <w:b w:val="0"/>
          <w:bCs w:val="0"/>
          <w:color w:val="auto"/>
          <w:spacing w:val="0"/>
          <w:kern w:val="2"/>
          <w:sz w:val="21"/>
          <w:szCs w:val="21"/>
          <w:highlight w:val="none"/>
          <w:lang w:val="en-US" w:eastAsia="zh-CN"/>
        </w:rPr>
        <w:t>（</w:t>
      </w:r>
      <w:r>
        <w:rPr>
          <w:rFonts w:hint="eastAsia" w:ascii="宋体" w:hAnsi="宋体" w:eastAsia="宋体" w:cs="宋体"/>
          <w:b w:val="0"/>
          <w:bCs w:val="0"/>
          <w:color w:val="auto"/>
          <w:spacing w:val="0"/>
          <w:kern w:val="2"/>
          <w:sz w:val="21"/>
          <w:szCs w:val="21"/>
          <w:highlight w:val="none"/>
          <w:lang w:val="en-US"/>
        </w:rPr>
        <w:t>按发包人要求执</w:t>
      </w:r>
      <w:r>
        <w:rPr>
          <w:rFonts w:hint="eastAsia" w:ascii="宋体" w:hAnsi="宋体" w:eastAsia="宋体" w:cs="宋体"/>
          <w:bCs w:val="0"/>
          <w:color w:val="auto"/>
          <w:spacing w:val="0"/>
          <w:kern w:val="2"/>
          <w:sz w:val="21"/>
          <w:szCs w:val="21"/>
          <w:highlight w:val="none"/>
          <w:lang w:val="en-US"/>
        </w:rPr>
        <w:t>行</w:t>
      </w:r>
      <w:r>
        <w:rPr>
          <w:rFonts w:hint="eastAsia" w:ascii="宋体" w:hAnsi="宋体" w:eastAsia="宋体" w:cs="宋体"/>
          <w:bCs w:val="0"/>
          <w:color w:val="auto"/>
          <w:spacing w:val="0"/>
          <w:kern w:val="2"/>
          <w:sz w:val="21"/>
          <w:szCs w:val="21"/>
          <w:highlight w:val="none"/>
          <w:lang w:val="en-US" w:eastAsia="zh-CN"/>
        </w:rPr>
        <w:t>）</w:t>
      </w:r>
      <w:r>
        <w:rPr>
          <w:rFonts w:hint="eastAsia" w:ascii="宋体" w:hAnsi="宋体" w:eastAsia="宋体" w:cs="宋体"/>
          <w:bCs w:val="0"/>
          <w:color w:val="auto"/>
          <w:spacing w:val="0"/>
          <w:kern w:val="2"/>
          <w:sz w:val="21"/>
          <w:szCs w:val="21"/>
          <w:highlight w:val="none"/>
          <w:lang w:val="en-US"/>
        </w:rPr>
        <w:t>及运距由</w:t>
      </w:r>
      <w:r>
        <w:rPr>
          <w:rFonts w:hint="eastAsia" w:ascii="宋体" w:hAnsi="宋体" w:eastAsia="宋体" w:cs="宋体"/>
          <w:bCs w:val="0"/>
          <w:color w:val="auto"/>
          <w:spacing w:val="0"/>
          <w:kern w:val="2"/>
          <w:sz w:val="21"/>
          <w:szCs w:val="21"/>
          <w:highlight w:val="none"/>
          <w:lang w:val="en-US" w:eastAsia="zh-CN"/>
        </w:rPr>
        <w:t>承包人</w:t>
      </w:r>
      <w:r>
        <w:rPr>
          <w:rFonts w:hint="eastAsia" w:ascii="宋体" w:hAnsi="宋体" w:eastAsia="宋体" w:cs="宋体"/>
          <w:bCs w:val="0"/>
          <w:color w:val="auto"/>
          <w:spacing w:val="0"/>
          <w:kern w:val="2"/>
          <w:sz w:val="21"/>
          <w:szCs w:val="21"/>
          <w:highlight w:val="none"/>
          <w:lang w:val="en-US"/>
        </w:rPr>
        <w:t>事先已综合考虑</w:t>
      </w:r>
      <w:r>
        <w:rPr>
          <w:rFonts w:hint="eastAsia" w:ascii="宋体" w:hAnsi="宋体" w:eastAsia="宋体" w:cs="宋体"/>
          <w:bCs w:val="0"/>
          <w:color w:val="auto"/>
          <w:spacing w:val="0"/>
          <w:kern w:val="2"/>
          <w:sz w:val="21"/>
          <w:szCs w:val="21"/>
          <w:highlight w:val="none"/>
          <w:lang w:val="en-US" w:eastAsia="zh-CN"/>
        </w:rPr>
        <w:t>，</w:t>
      </w:r>
      <w:r>
        <w:rPr>
          <w:rFonts w:hint="eastAsia" w:ascii="宋体" w:hAnsi="宋体" w:eastAsia="宋体" w:cs="宋体"/>
          <w:bCs/>
          <w:color w:val="auto"/>
          <w:spacing w:val="0"/>
          <w:kern w:val="2"/>
          <w:sz w:val="21"/>
          <w:szCs w:val="21"/>
          <w:highlight w:val="none"/>
        </w:rPr>
        <w:t>该费用应包含在合同价中</w:t>
      </w:r>
      <w:r>
        <w:rPr>
          <w:rFonts w:hint="eastAsia" w:ascii="宋体" w:hAnsi="宋体" w:eastAsia="宋体" w:cs="宋体"/>
          <w:bCs w:val="0"/>
          <w:color w:val="auto"/>
          <w:spacing w:val="0"/>
          <w:kern w:val="2"/>
          <w:sz w:val="21"/>
          <w:szCs w:val="21"/>
          <w:highlight w:val="none"/>
          <w:lang w:val="en-US"/>
        </w:rPr>
        <w:t>。</w:t>
      </w:r>
    </w:p>
    <w:p w14:paraId="624DB9F4">
      <w:pPr>
        <w:keepNext w:val="0"/>
        <w:keepLines w:val="0"/>
        <w:pageBreakBefore w:val="0"/>
        <w:widowControl w:val="0"/>
        <w:tabs>
          <w:tab w:val="center" w:pos="4393"/>
          <w:tab w:val="left" w:pos="6774"/>
        </w:tabs>
        <w:kinsoku/>
        <w:wordWrap/>
        <w:overflowPunct/>
        <w:topLinePunct w:val="0"/>
        <w:autoSpaceDE/>
        <w:autoSpaceDN/>
        <w:bidi w:val="0"/>
        <w:adjustRightInd/>
        <w:spacing w:line="360" w:lineRule="auto"/>
        <w:ind w:left="0" w:right="0" w:firstLine="420" w:firstLineChars="200"/>
        <w:jc w:val="left"/>
        <w:textAlignment w:val="auto"/>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w:t>
      </w:r>
      <w:r>
        <w:rPr>
          <w:rFonts w:hint="eastAsia" w:ascii="宋体" w:hAnsi="宋体" w:eastAsia="宋体" w:cs="宋体"/>
          <w:b w:val="0"/>
          <w:bCs w:val="0"/>
          <w:color w:val="auto"/>
          <w:spacing w:val="0"/>
          <w:kern w:val="2"/>
          <w:sz w:val="21"/>
          <w:szCs w:val="21"/>
          <w:highlight w:val="none"/>
          <w:lang w:val="en-US" w:eastAsia="zh-CN"/>
        </w:rPr>
        <w:t>28</w:t>
      </w:r>
      <w:r>
        <w:rPr>
          <w:rFonts w:hint="eastAsia" w:ascii="宋体" w:hAnsi="宋体" w:eastAsia="宋体" w:cs="宋体"/>
          <w:b w:val="0"/>
          <w:bCs w:val="0"/>
          <w:color w:val="auto"/>
          <w:spacing w:val="0"/>
          <w:kern w:val="2"/>
          <w:sz w:val="21"/>
          <w:szCs w:val="21"/>
          <w:highlight w:val="none"/>
        </w:rPr>
        <w:t>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w:t>
      </w:r>
    </w:p>
    <w:p w14:paraId="22F689FB">
      <w:pPr>
        <w:tabs>
          <w:tab w:val="center" w:pos="4393"/>
          <w:tab w:val="left" w:pos="6774"/>
        </w:tabs>
        <w:spacing w:line="360" w:lineRule="auto"/>
        <w:ind w:firstLine="420" w:firstLineChars="200"/>
        <w:jc w:val="left"/>
        <w:rPr>
          <w:rFonts w:hint="eastAsia" w:ascii="宋体" w:hAnsi="宋体" w:eastAsia="宋体" w:cs="宋体"/>
          <w:b w:val="0"/>
          <w:bCs/>
          <w:color w:val="auto"/>
          <w:spacing w:val="0"/>
          <w:kern w:val="2"/>
          <w:sz w:val="21"/>
          <w:szCs w:val="21"/>
          <w:highlight w:val="none"/>
          <w:lang w:bidi="ar"/>
        </w:rPr>
      </w:pPr>
      <w:r>
        <w:rPr>
          <w:rFonts w:hint="eastAsia" w:ascii="宋体" w:hAnsi="宋体" w:eastAsia="宋体" w:cs="宋体"/>
          <w:b w:val="0"/>
          <w:bCs/>
          <w:color w:val="auto"/>
          <w:spacing w:val="0"/>
          <w:kern w:val="2"/>
          <w:sz w:val="21"/>
          <w:szCs w:val="21"/>
          <w:highlight w:val="none"/>
          <w:lang w:val="en-US" w:eastAsia="zh-CN" w:bidi="ar"/>
        </w:rPr>
        <w:t>21.29本工程材料检测单位由发包人委托并承担相关费用，承包人需配合材料的抽样、送检等工作。</w:t>
      </w:r>
    </w:p>
    <w:p w14:paraId="1CB15616">
      <w:pPr>
        <w:tabs>
          <w:tab w:val="center" w:pos="4393"/>
          <w:tab w:val="left" w:pos="6774"/>
        </w:tabs>
        <w:spacing w:line="360" w:lineRule="auto"/>
        <w:ind w:firstLine="420" w:firstLineChars="200"/>
        <w:jc w:val="left"/>
        <w:rPr>
          <w:rFonts w:hint="eastAsia" w:ascii="宋体" w:hAnsi="宋体" w:eastAsia="宋体" w:cs="宋体"/>
          <w:b w:val="0"/>
          <w:bCs/>
          <w:color w:val="auto"/>
          <w:spacing w:val="0"/>
          <w:kern w:val="2"/>
          <w:sz w:val="21"/>
          <w:szCs w:val="21"/>
          <w:highlight w:val="none"/>
          <w:lang w:val="en-US" w:eastAsia="zh-CN" w:bidi="ar"/>
        </w:rPr>
      </w:pPr>
      <w:r>
        <w:rPr>
          <w:rFonts w:hint="eastAsia" w:ascii="宋体" w:hAnsi="宋体" w:eastAsia="宋体" w:cs="宋体"/>
          <w:b w:val="0"/>
          <w:bCs/>
          <w:color w:val="auto"/>
          <w:spacing w:val="0"/>
          <w:kern w:val="2"/>
          <w:sz w:val="21"/>
          <w:szCs w:val="21"/>
          <w:highlight w:val="none"/>
          <w:lang w:bidi="ar"/>
        </w:rPr>
        <w:t>21.3</w:t>
      </w:r>
      <w:r>
        <w:rPr>
          <w:rFonts w:hint="eastAsia" w:ascii="宋体" w:hAnsi="宋体" w:eastAsia="宋体" w:cs="宋体"/>
          <w:b w:val="0"/>
          <w:bCs/>
          <w:color w:val="auto"/>
          <w:spacing w:val="0"/>
          <w:kern w:val="2"/>
          <w:sz w:val="21"/>
          <w:szCs w:val="21"/>
          <w:highlight w:val="none"/>
          <w:lang w:val="en-US" w:eastAsia="zh-CN" w:bidi="ar"/>
        </w:rPr>
        <w:t>0关于不平衡报价的约定：本项目发包人不接受不平衡报价，承包人无条件承担因不平衡报价导致的各类损失。对中标文件中明显不合理的单价（指中标单价与发包人认可的单价偏差超过±50%时），发包人有权按照以下有利于发包人的原则处理：</w:t>
      </w:r>
    </w:p>
    <w:p w14:paraId="4731AC4A">
      <w:pPr>
        <w:tabs>
          <w:tab w:val="center" w:pos="4393"/>
          <w:tab w:val="left" w:pos="6774"/>
        </w:tabs>
        <w:spacing w:line="360" w:lineRule="auto"/>
        <w:ind w:firstLine="420" w:firstLineChars="200"/>
        <w:jc w:val="left"/>
        <w:rPr>
          <w:rFonts w:hint="eastAsia" w:ascii="宋体" w:hAnsi="宋体" w:eastAsia="宋体" w:cs="宋体"/>
          <w:b w:val="0"/>
          <w:bCs/>
          <w:color w:val="auto"/>
          <w:spacing w:val="0"/>
          <w:kern w:val="2"/>
          <w:sz w:val="21"/>
          <w:szCs w:val="21"/>
          <w:highlight w:val="none"/>
          <w:lang w:val="en-US" w:eastAsia="zh-CN" w:bidi="ar"/>
        </w:rPr>
      </w:pPr>
      <w:r>
        <w:rPr>
          <w:rFonts w:hint="eastAsia" w:ascii="宋体" w:hAnsi="宋体" w:eastAsia="宋体" w:cs="宋体"/>
          <w:b w:val="0"/>
          <w:bCs/>
          <w:color w:val="auto"/>
          <w:spacing w:val="0"/>
          <w:kern w:val="2"/>
          <w:sz w:val="21"/>
          <w:szCs w:val="21"/>
          <w:highlight w:val="none"/>
          <w:lang w:val="en-US" w:eastAsia="zh-CN" w:bidi="ar"/>
        </w:rPr>
        <w:t>（1）当分项工程变更或工程量清单缺陷，导致工程量增加超过原清单工程量的15%时，按照10.4变更估价进行调整；</w:t>
      </w:r>
    </w:p>
    <w:p w14:paraId="1049EFB2">
      <w:pPr>
        <w:tabs>
          <w:tab w:val="center" w:pos="4393"/>
          <w:tab w:val="left" w:pos="6774"/>
        </w:tabs>
        <w:spacing w:line="360" w:lineRule="auto"/>
        <w:ind w:firstLine="420" w:firstLineChars="200"/>
        <w:jc w:val="left"/>
        <w:rPr>
          <w:rFonts w:hint="eastAsia" w:ascii="宋体" w:hAnsi="宋体" w:eastAsia="宋体" w:cs="宋体"/>
          <w:b w:val="0"/>
          <w:bCs/>
          <w:color w:val="auto"/>
          <w:spacing w:val="0"/>
          <w:kern w:val="2"/>
          <w:sz w:val="21"/>
          <w:szCs w:val="21"/>
          <w:highlight w:val="none"/>
          <w:lang w:val="en-US" w:eastAsia="zh-CN" w:bidi="ar"/>
        </w:rPr>
      </w:pPr>
      <w:r>
        <w:rPr>
          <w:rFonts w:hint="eastAsia" w:ascii="宋体" w:hAnsi="宋体" w:eastAsia="宋体" w:cs="宋体"/>
          <w:b w:val="0"/>
          <w:bCs/>
          <w:color w:val="auto"/>
          <w:spacing w:val="0"/>
          <w:kern w:val="2"/>
          <w:sz w:val="21"/>
          <w:szCs w:val="21"/>
          <w:highlight w:val="none"/>
          <w:lang w:val="en-US" w:eastAsia="zh-CN" w:bidi="ar"/>
        </w:rPr>
        <w:t>（2）当分项工程变更或工程量清单错误，导致工程量减少超过原清单工程量的15%时，则减少超过15%部分的工程量，按照10.4变更估价进行调整后扣除；</w:t>
      </w:r>
    </w:p>
    <w:p w14:paraId="0CFE34BB">
      <w:pPr>
        <w:tabs>
          <w:tab w:val="center" w:pos="4393"/>
          <w:tab w:val="left" w:pos="6774"/>
        </w:tabs>
        <w:spacing w:line="360" w:lineRule="auto"/>
        <w:ind w:firstLine="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
          <w:bCs w:val="0"/>
          <w:color w:val="auto"/>
          <w:spacing w:val="0"/>
          <w:kern w:val="2"/>
          <w:sz w:val="21"/>
          <w:szCs w:val="21"/>
          <w:highlight w:val="none"/>
          <w:lang w:bidi="ar"/>
        </w:rPr>
        <w:br w:type="page"/>
      </w:r>
      <w:r>
        <w:rPr>
          <w:rFonts w:hint="eastAsia" w:ascii="宋体" w:hAnsi="宋体" w:eastAsia="宋体" w:cs="宋体"/>
          <w:b/>
          <w:bCs w:val="0"/>
          <w:color w:val="auto"/>
          <w:spacing w:val="0"/>
          <w:kern w:val="2"/>
          <w:sz w:val="21"/>
          <w:szCs w:val="21"/>
          <w:highlight w:val="none"/>
          <w:lang w:bidi="ar"/>
        </w:rPr>
        <w:t>附件</w:t>
      </w:r>
    </w:p>
    <w:p w14:paraId="4F3F6AC7">
      <w:pPr>
        <w:tabs>
          <w:tab w:val="center" w:pos="4393"/>
          <w:tab w:val="left" w:pos="6774"/>
        </w:tabs>
        <w:spacing w:line="360" w:lineRule="auto"/>
        <w:ind w:firstLine="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协议书附件：</w:t>
      </w:r>
    </w:p>
    <w:p w14:paraId="15181D56">
      <w:pPr>
        <w:tabs>
          <w:tab w:val="center" w:pos="4393"/>
          <w:tab w:val="left" w:pos="6774"/>
        </w:tabs>
        <w:spacing w:line="360" w:lineRule="auto"/>
        <w:ind w:firstLine="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附件1：承包人承揽工程项目一览表</w:t>
      </w:r>
    </w:p>
    <w:p w14:paraId="4E8D40DE">
      <w:pPr>
        <w:tabs>
          <w:tab w:val="center" w:pos="4393"/>
          <w:tab w:val="left" w:pos="6774"/>
        </w:tabs>
        <w:spacing w:line="360" w:lineRule="auto"/>
        <w:ind w:firstLine="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专用合同条款附件：</w:t>
      </w:r>
    </w:p>
    <w:p w14:paraId="2E29780D">
      <w:pPr>
        <w:tabs>
          <w:tab w:val="center" w:pos="4393"/>
          <w:tab w:val="left" w:pos="6774"/>
        </w:tabs>
        <w:spacing w:line="360" w:lineRule="auto"/>
        <w:ind w:firstLine="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附件2：发包人供应材料设备一览表</w:t>
      </w:r>
    </w:p>
    <w:p w14:paraId="47421CCF">
      <w:pPr>
        <w:tabs>
          <w:tab w:val="center" w:pos="4393"/>
          <w:tab w:val="left" w:pos="6774"/>
        </w:tabs>
        <w:spacing w:line="360" w:lineRule="auto"/>
        <w:ind w:firstLine="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附件3：工程质量保修书</w:t>
      </w:r>
    </w:p>
    <w:p w14:paraId="2443B530">
      <w:pPr>
        <w:tabs>
          <w:tab w:val="center" w:pos="4393"/>
          <w:tab w:val="left" w:pos="6774"/>
        </w:tabs>
        <w:spacing w:line="360" w:lineRule="auto"/>
        <w:ind w:firstLine="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附件4：主要建设工程文件目录</w:t>
      </w:r>
    </w:p>
    <w:p w14:paraId="1605FC0B">
      <w:pPr>
        <w:tabs>
          <w:tab w:val="center" w:pos="4393"/>
          <w:tab w:val="left" w:pos="6774"/>
        </w:tabs>
        <w:spacing w:line="360" w:lineRule="auto"/>
        <w:ind w:firstLine="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附件5：承包人用于本工程施工的机械设备表</w:t>
      </w:r>
    </w:p>
    <w:p w14:paraId="0362165B">
      <w:pPr>
        <w:tabs>
          <w:tab w:val="center" w:pos="4393"/>
          <w:tab w:val="left" w:pos="6774"/>
        </w:tabs>
        <w:spacing w:line="360" w:lineRule="auto"/>
        <w:ind w:firstLine="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附件6：承包人主要施工管理人员表</w:t>
      </w:r>
    </w:p>
    <w:p w14:paraId="2524F325">
      <w:pPr>
        <w:tabs>
          <w:tab w:val="center" w:pos="4393"/>
          <w:tab w:val="left" w:pos="6774"/>
        </w:tabs>
        <w:spacing w:line="360" w:lineRule="auto"/>
        <w:ind w:firstLine="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附件7：工程安全环境管理协议</w:t>
      </w:r>
    </w:p>
    <w:p w14:paraId="77B8CC49">
      <w:pPr>
        <w:tabs>
          <w:tab w:val="center" w:pos="4393"/>
          <w:tab w:val="left" w:pos="6774"/>
        </w:tabs>
        <w:spacing w:line="360" w:lineRule="auto"/>
        <w:ind w:firstLine="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附件8：工程廉政协议</w:t>
      </w:r>
    </w:p>
    <w:p w14:paraId="54B80766">
      <w:pPr>
        <w:tabs>
          <w:tab w:val="center" w:pos="4393"/>
          <w:tab w:val="left" w:pos="6774"/>
        </w:tabs>
        <w:spacing w:line="360" w:lineRule="auto"/>
        <w:ind w:firstLine="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附件9：不拖欠农民工工资</w:t>
      </w:r>
    </w:p>
    <w:p w14:paraId="067888F2">
      <w:pPr>
        <w:tabs>
          <w:tab w:val="center" w:pos="4393"/>
          <w:tab w:val="left" w:pos="6774"/>
        </w:tabs>
        <w:spacing w:line="360" w:lineRule="auto"/>
        <w:ind w:left="0" w:leftChars="0" w:firstLine="0" w:firstLineChars="0"/>
        <w:jc w:val="left"/>
        <w:rPr>
          <w:rFonts w:hint="eastAsia" w:ascii="宋体" w:hAnsi="宋体" w:eastAsia="宋体" w:cs="宋体"/>
          <w:color w:val="auto"/>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18" w:right="1555" w:bottom="1418" w:left="1531" w:header="851" w:footer="992" w:gutter="0"/>
          <w:pgNumType w:fmt="decimal"/>
          <w:cols w:space="720" w:num="1"/>
          <w:docGrid w:type="lines" w:linePitch="312" w:charSpace="0"/>
        </w:sectPr>
      </w:pPr>
      <w:r>
        <w:rPr>
          <w:rFonts w:hint="eastAsia" w:ascii="宋体" w:hAnsi="宋体" w:eastAsia="宋体" w:cs="宋体"/>
          <w:bCs w:val="0"/>
          <w:color w:val="auto"/>
          <w:spacing w:val="0"/>
          <w:kern w:val="2"/>
          <w:sz w:val="21"/>
          <w:szCs w:val="21"/>
          <w:highlight w:val="none"/>
          <w:lang w:bidi="ar"/>
        </w:rPr>
        <w:t>附件10：中标人诚信承诺书</w:t>
      </w:r>
    </w:p>
    <w:p w14:paraId="64E28A66">
      <w:pPr>
        <w:tabs>
          <w:tab w:val="center" w:pos="4393"/>
          <w:tab w:val="left" w:pos="6774"/>
        </w:tabs>
        <w:spacing w:before="156" w:after="156" w:line="440" w:lineRule="exact"/>
        <w:ind w:firstLine="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附件1：</w:t>
      </w:r>
    </w:p>
    <w:p w14:paraId="2663171A">
      <w:pPr>
        <w:tabs>
          <w:tab w:val="center" w:pos="4393"/>
          <w:tab w:val="left" w:pos="6774"/>
        </w:tabs>
        <w:spacing w:before="156" w:after="156" w:line="440" w:lineRule="exact"/>
        <w:ind w:firstLine="0" w:firstLineChars="0"/>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承包人承揽工程项目一览表</w:t>
      </w:r>
    </w:p>
    <w:tbl>
      <w:tblPr>
        <w:tblStyle w:val="39"/>
        <w:tblW w:w="14621" w:type="dxa"/>
        <w:tblInd w:w="-413" w:type="dxa"/>
        <w:tblLayout w:type="fixed"/>
        <w:tblCellMar>
          <w:top w:w="0" w:type="dxa"/>
          <w:left w:w="28" w:type="dxa"/>
          <w:bottom w:w="0" w:type="dxa"/>
          <w:right w:w="28" w:type="dxa"/>
        </w:tblCellMar>
      </w:tblPr>
      <w:tblGrid>
        <w:gridCol w:w="1665"/>
        <w:gridCol w:w="1035"/>
        <w:gridCol w:w="2111"/>
        <w:gridCol w:w="1245"/>
        <w:gridCol w:w="885"/>
        <w:gridCol w:w="1425"/>
        <w:gridCol w:w="1935"/>
        <w:gridCol w:w="2100"/>
        <w:gridCol w:w="1185"/>
        <w:gridCol w:w="1035"/>
      </w:tblGrid>
      <w:tr w14:paraId="001ACB00">
        <w:tc>
          <w:tcPr>
            <w:tcW w:w="1665" w:type="dxa"/>
            <w:tcBorders>
              <w:top w:val="single" w:color="000000" w:sz="12" w:space="0"/>
              <w:left w:val="single" w:color="000000" w:sz="12" w:space="0"/>
              <w:bottom w:val="double" w:color="000000" w:sz="6" w:space="0"/>
              <w:right w:val="single" w:color="000000" w:sz="6" w:space="0"/>
            </w:tcBorders>
            <w:noWrap w:val="0"/>
            <w:vAlign w:val="center"/>
          </w:tcPr>
          <w:p w14:paraId="76A1CA45">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单位工程名称</w:t>
            </w:r>
          </w:p>
        </w:tc>
        <w:tc>
          <w:tcPr>
            <w:tcW w:w="1035" w:type="dxa"/>
            <w:tcBorders>
              <w:top w:val="single" w:color="000000" w:sz="12" w:space="0"/>
              <w:left w:val="single" w:color="000000" w:sz="6" w:space="0"/>
              <w:bottom w:val="double" w:color="000000" w:sz="6" w:space="0"/>
              <w:right w:val="single" w:color="000000" w:sz="6" w:space="0"/>
            </w:tcBorders>
            <w:noWrap w:val="0"/>
            <w:vAlign w:val="center"/>
          </w:tcPr>
          <w:p w14:paraId="7185E9A8">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建设规模</w:t>
            </w:r>
          </w:p>
        </w:tc>
        <w:tc>
          <w:tcPr>
            <w:tcW w:w="2111" w:type="dxa"/>
            <w:tcBorders>
              <w:top w:val="single" w:color="000000" w:sz="12" w:space="0"/>
              <w:left w:val="single" w:color="000000" w:sz="6" w:space="0"/>
              <w:bottom w:val="double" w:color="000000" w:sz="6" w:space="0"/>
              <w:right w:val="single" w:color="000000" w:sz="6" w:space="0"/>
            </w:tcBorders>
            <w:noWrap w:val="0"/>
            <w:vAlign w:val="center"/>
          </w:tcPr>
          <w:p w14:paraId="392BB7A6">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建筑面积（平方米）</w:t>
            </w:r>
          </w:p>
        </w:tc>
        <w:tc>
          <w:tcPr>
            <w:tcW w:w="1245" w:type="dxa"/>
            <w:tcBorders>
              <w:top w:val="single" w:color="000000" w:sz="12" w:space="0"/>
              <w:left w:val="single" w:color="000000" w:sz="6" w:space="0"/>
              <w:bottom w:val="double" w:color="000000" w:sz="6" w:space="0"/>
              <w:right w:val="single" w:color="000000" w:sz="6" w:space="0"/>
            </w:tcBorders>
            <w:noWrap w:val="0"/>
            <w:vAlign w:val="center"/>
          </w:tcPr>
          <w:p w14:paraId="3986079A">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结构形式</w:t>
            </w:r>
          </w:p>
        </w:tc>
        <w:tc>
          <w:tcPr>
            <w:tcW w:w="885" w:type="dxa"/>
            <w:tcBorders>
              <w:top w:val="single" w:color="000000" w:sz="12" w:space="0"/>
              <w:left w:val="single" w:color="000000" w:sz="6" w:space="0"/>
              <w:bottom w:val="double" w:color="000000" w:sz="6" w:space="0"/>
              <w:right w:val="single" w:color="000000" w:sz="6" w:space="0"/>
            </w:tcBorders>
            <w:noWrap w:val="0"/>
            <w:vAlign w:val="center"/>
          </w:tcPr>
          <w:p w14:paraId="79635519">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层数</w:t>
            </w:r>
          </w:p>
        </w:tc>
        <w:tc>
          <w:tcPr>
            <w:tcW w:w="1425" w:type="dxa"/>
            <w:tcBorders>
              <w:top w:val="single" w:color="000000" w:sz="12" w:space="0"/>
              <w:left w:val="single" w:color="000000" w:sz="6" w:space="0"/>
              <w:bottom w:val="double" w:color="000000" w:sz="6" w:space="0"/>
              <w:right w:val="single" w:color="000000" w:sz="6" w:space="0"/>
            </w:tcBorders>
            <w:noWrap w:val="0"/>
            <w:vAlign w:val="center"/>
          </w:tcPr>
          <w:p w14:paraId="604685EE">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生产能力</w:t>
            </w:r>
          </w:p>
        </w:tc>
        <w:tc>
          <w:tcPr>
            <w:tcW w:w="1935" w:type="dxa"/>
            <w:tcBorders>
              <w:top w:val="single" w:color="000000" w:sz="12" w:space="0"/>
              <w:left w:val="single" w:color="000000" w:sz="6" w:space="0"/>
              <w:bottom w:val="double" w:color="000000" w:sz="6" w:space="0"/>
              <w:right w:val="single" w:color="000000" w:sz="6" w:space="0"/>
            </w:tcBorders>
            <w:noWrap w:val="0"/>
            <w:vAlign w:val="center"/>
          </w:tcPr>
          <w:p w14:paraId="40EAA503">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设备安装内容</w:t>
            </w:r>
          </w:p>
        </w:tc>
        <w:tc>
          <w:tcPr>
            <w:tcW w:w="2100" w:type="dxa"/>
            <w:tcBorders>
              <w:top w:val="single" w:color="000000" w:sz="12" w:space="0"/>
              <w:left w:val="single" w:color="000000" w:sz="6" w:space="0"/>
              <w:bottom w:val="double" w:color="000000" w:sz="6" w:space="0"/>
              <w:right w:val="single" w:color="000000" w:sz="6" w:space="0"/>
            </w:tcBorders>
            <w:noWrap w:val="0"/>
            <w:vAlign w:val="center"/>
          </w:tcPr>
          <w:p w14:paraId="4784A1AB">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合同价格（元）</w:t>
            </w:r>
          </w:p>
        </w:tc>
        <w:tc>
          <w:tcPr>
            <w:tcW w:w="1185" w:type="dxa"/>
            <w:tcBorders>
              <w:top w:val="single" w:color="000000" w:sz="12" w:space="0"/>
              <w:left w:val="single" w:color="000000" w:sz="6" w:space="0"/>
              <w:bottom w:val="double" w:color="000000" w:sz="6" w:space="0"/>
              <w:right w:val="single" w:color="000000" w:sz="6" w:space="0"/>
            </w:tcBorders>
            <w:noWrap w:val="0"/>
            <w:vAlign w:val="center"/>
          </w:tcPr>
          <w:p w14:paraId="31AFCE4C">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开工日期</w:t>
            </w:r>
          </w:p>
        </w:tc>
        <w:tc>
          <w:tcPr>
            <w:tcW w:w="1035" w:type="dxa"/>
            <w:tcBorders>
              <w:top w:val="single" w:color="000000" w:sz="12" w:space="0"/>
              <w:left w:val="single" w:color="000000" w:sz="6" w:space="0"/>
              <w:bottom w:val="double" w:color="000000" w:sz="6" w:space="0"/>
              <w:right w:val="single" w:color="000000" w:sz="12" w:space="0"/>
            </w:tcBorders>
            <w:noWrap w:val="0"/>
            <w:vAlign w:val="center"/>
          </w:tcPr>
          <w:p w14:paraId="69A72836">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竣工日期</w:t>
            </w:r>
          </w:p>
        </w:tc>
      </w:tr>
      <w:tr w14:paraId="68E19AF2">
        <w:tblPrEx>
          <w:tblCellMar>
            <w:top w:w="0" w:type="dxa"/>
            <w:left w:w="28" w:type="dxa"/>
            <w:bottom w:w="0" w:type="dxa"/>
            <w:right w:w="28" w:type="dxa"/>
          </w:tblCellMar>
        </w:tblPrEx>
        <w:trPr>
          <w:trHeight w:val="567" w:hRule="atLeast"/>
        </w:trPr>
        <w:tc>
          <w:tcPr>
            <w:tcW w:w="1665" w:type="dxa"/>
            <w:tcBorders>
              <w:top w:val="double" w:color="000000" w:sz="6" w:space="0"/>
              <w:left w:val="single" w:color="000000" w:sz="12" w:space="0"/>
              <w:bottom w:val="single" w:color="000000" w:sz="6" w:space="0"/>
              <w:right w:val="single" w:color="000000" w:sz="6" w:space="0"/>
            </w:tcBorders>
            <w:noWrap w:val="0"/>
            <w:vAlign w:val="center"/>
          </w:tcPr>
          <w:p w14:paraId="1944DA1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double" w:color="000000" w:sz="6" w:space="0"/>
              <w:left w:val="single" w:color="000000" w:sz="6" w:space="0"/>
              <w:bottom w:val="single" w:color="000000" w:sz="6" w:space="0"/>
              <w:right w:val="single" w:color="000000" w:sz="6" w:space="0"/>
            </w:tcBorders>
            <w:noWrap w:val="0"/>
            <w:vAlign w:val="center"/>
          </w:tcPr>
          <w:p w14:paraId="7629059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top w:val="double" w:color="000000" w:sz="6" w:space="0"/>
              <w:left w:val="single" w:color="000000" w:sz="6" w:space="0"/>
              <w:bottom w:val="single" w:color="000000" w:sz="6" w:space="0"/>
              <w:right w:val="single" w:color="000000" w:sz="6" w:space="0"/>
            </w:tcBorders>
            <w:noWrap w:val="0"/>
            <w:vAlign w:val="center"/>
          </w:tcPr>
          <w:p w14:paraId="25E48F0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top w:val="double" w:color="000000" w:sz="6" w:space="0"/>
              <w:left w:val="single" w:color="000000" w:sz="6" w:space="0"/>
              <w:bottom w:val="single" w:color="000000" w:sz="6" w:space="0"/>
              <w:right w:val="single" w:color="000000" w:sz="6" w:space="0"/>
            </w:tcBorders>
            <w:noWrap w:val="0"/>
            <w:vAlign w:val="center"/>
          </w:tcPr>
          <w:p w14:paraId="05901C9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top w:val="double" w:color="000000" w:sz="6" w:space="0"/>
              <w:left w:val="single" w:color="000000" w:sz="6" w:space="0"/>
              <w:bottom w:val="single" w:color="000000" w:sz="6" w:space="0"/>
              <w:right w:val="single" w:color="000000" w:sz="6" w:space="0"/>
            </w:tcBorders>
            <w:noWrap w:val="0"/>
            <w:vAlign w:val="center"/>
          </w:tcPr>
          <w:p w14:paraId="6D81F4E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top w:val="double" w:color="000000" w:sz="6" w:space="0"/>
              <w:left w:val="single" w:color="000000" w:sz="6" w:space="0"/>
              <w:bottom w:val="single" w:color="000000" w:sz="6" w:space="0"/>
              <w:right w:val="single" w:color="000000" w:sz="6" w:space="0"/>
            </w:tcBorders>
            <w:noWrap w:val="0"/>
            <w:vAlign w:val="center"/>
          </w:tcPr>
          <w:p w14:paraId="06423FD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top w:val="double" w:color="000000" w:sz="6" w:space="0"/>
              <w:left w:val="single" w:color="000000" w:sz="6" w:space="0"/>
              <w:bottom w:val="single" w:color="000000" w:sz="6" w:space="0"/>
              <w:right w:val="single" w:color="000000" w:sz="6" w:space="0"/>
            </w:tcBorders>
            <w:noWrap w:val="0"/>
            <w:vAlign w:val="center"/>
          </w:tcPr>
          <w:p w14:paraId="6B00BF8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top w:val="double" w:color="000000" w:sz="6" w:space="0"/>
              <w:left w:val="single" w:color="000000" w:sz="6" w:space="0"/>
              <w:bottom w:val="single" w:color="000000" w:sz="6" w:space="0"/>
              <w:right w:val="single" w:color="000000" w:sz="6" w:space="0"/>
            </w:tcBorders>
            <w:noWrap w:val="0"/>
            <w:vAlign w:val="center"/>
          </w:tcPr>
          <w:p w14:paraId="0405B57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top w:val="double" w:color="000000" w:sz="6" w:space="0"/>
              <w:left w:val="single" w:color="000000" w:sz="6" w:space="0"/>
              <w:bottom w:val="single" w:color="000000" w:sz="6" w:space="0"/>
              <w:right w:val="single" w:color="000000" w:sz="6" w:space="0"/>
            </w:tcBorders>
            <w:noWrap w:val="0"/>
            <w:vAlign w:val="center"/>
          </w:tcPr>
          <w:p w14:paraId="4B2A105F">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double" w:color="000000" w:sz="6" w:space="0"/>
              <w:left w:val="single" w:color="000000" w:sz="6" w:space="0"/>
              <w:bottom w:val="single" w:color="000000" w:sz="6" w:space="0"/>
              <w:right w:val="single" w:color="000000" w:sz="12" w:space="0"/>
            </w:tcBorders>
            <w:noWrap w:val="0"/>
            <w:vAlign w:val="center"/>
          </w:tcPr>
          <w:p w14:paraId="5947401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3CFAB7B6">
        <w:tblPrEx>
          <w:tblCellMar>
            <w:top w:w="0" w:type="dxa"/>
            <w:left w:w="28" w:type="dxa"/>
            <w:bottom w:w="0" w:type="dxa"/>
            <w:right w:w="28" w:type="dxa"/>
          </w:tblCellMar>
        </w:tblPrEx>
        <w:trPr>
          <w:trHeight w:val="567" w:hRule="atLeast"/>
        </w:trPr>
        <w:tc>
          <w:tcPr>
            <w:tcW w:w="1665" w:type="dxa"/>
            <w:tcBorders>
              <w:left w:val="single" w:color="000000" w:sz="12" w:space="0"/>
              <w:bottom w:val="single" w:color="000000" w:sz="6" w:space="0"/>
              <w:right w:val="single" w:color="000000" w:sz="6" w:space="0"/>
            </w:tcBorders>
            <w:noWrap w:val="0"/>
            <w:vAlign w:val="center"/>
          </w:tcPr>
          <w:p w14:paraId="76D733D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6" w:space="0"/>
            </w:tcBorders>
            <w:noWrap w:val="0"/>
            <w:vAlign w:val="center"/>
          </w:tcPr>
          <w:p w14:paraId="0D7030E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left w:val="single" w:color="000000" w:sz="6" w:space="0"/>
              <w:bottom w:val="single" w:color="000000" w:sz="6" w:space="0"/>
              <w:right w:val="single" w:color="000000" w:sz="6" w:space="0"/>
            </w:tcBorders>
            <w:noWrap w:val="0"/>
            <w:vAlign w:val="center"/>
          </w:tcPr>
          <w:p w14:paraId="701D21B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left w:val="single" w:color="000000" w:sz="6" w:space="0"/>
              <w:bottom w:val="single" w:color="000000" w:sz="6" w:space="0"/>
              <w:right w:val="single" w:color="000000" w:sz="6" w:space="0"/>
            </w:tcBorders>
            <w:noWrap w:val="0"/>
            <w:vAlign w:val="center"/>
          </w:tcPr>
          <w:p w14:paraId="46AE61A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left w:val="single" w:color="000000" w:sz="6" w:space="0"/>
              <w:bottom w:val="single" w:color="000000" w:sz="6" w:space="0"/>
              <w:right w:val="single" w:color="000000" w:sz="6" w:space="0"/>
            </w:tcBorders>
            <w:noWrap w:val="0"/>
            <w:vAlign w:val="center"/>
          </w:tcPr>
          <w:p w14:paraId="33A1665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left w:val="single" w:color="000000" w:sz="6" w:space="0"/>
              <w:bottom w:val="single" w:color="000000" w:sz="6" w:space="0"/>
              <w:right w:val="single" w:color="000000" w:sz="6" w:space="0"/>
            </w:tcBorders>
            <w:noWrap w:val="0"/>
            <w:vAlign w:val="center"/>
          </w:tcPr>
          <w:p w14:paraId="5EA1762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left w:val="single" w:color="000000" w:sz="6" w:space="0"/>
              <w:bottom w:val="single" w:color="000000" w:sz="6" w:space="0"/>
              <w:right w:val="single" w:color="000000" w:sz="6" w:space="0"/>
            </w:tcBorders>
            <w:noWrap w:val="0"/>
            <w:vAlign w:val="center"/>
          </w:tcPr>
          <w:p w14:paraId="03EABA8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left w:val="single" w:color="000000" w:sz="6" w:space="0"/>
              <w:bottom w:val="single" w:color="000000" w:sz="6" w:space="0"/>
              <w:right w:val="single" w:color="000000" w:sz="6" w:space="0"/>
            </w:tcBorders>
            <w:noWrap w:val="0"/>
            <w:vAlign w:val="center"/>
          </w:tcPr>
          <w:p w14:paraId="5711717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left w:val="single" w:color="000000" w:sz="6" w:space="0"/>
              <w:bottom w:val="single" w:color="000000" w:sz="6" w:space="0"/>
              <w:right w:val="single" w:color="000000" w:sz="6" w:space="0"/>
            </w:tcBorders>
            <w:noWrap w:val="0"/>
            <w:vAlign w:val="center"/>
          </w:tcPr>
          <w:p w14:paraId="6494EB7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12" w:space="0"/>
            </w:tcBorders>
            <w:noWrap w:val="0"/>
            <w:vAlign w:val="center"/>
          </w:tcPr>
          <w:p w14:paraId="450F7CC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74F5F931">
        <w:tblPrEx>
          <w:tblCellMar>
            <w:top w:w="0" w:type="dxa"/>
            <w:left w:w="28" w:type="dxa"/>
            <w:bottom w:w="0" w:type="dxa"/>
            <w:right w:w="28" w:type="dxa"/>
          </w:tblCellMar>
        </w:tblPrEx>
        <w:trPr>
          <w:trHeight w:val="567" w:hRule="atLeast"/>
        </w:trPr>
        <w:tc>
          <w:tcPr>
            <w:tcW w:w="1665" w:type="dxa"/>
            <w:tcBorders>
              <w:left w:val="single" w:color="000000" w:sz="12" w:space="0"/>
              <w:bottom w:val="single" w:color="000000" w:sz="6" w:space="0"/>
              <w:right w:val="single" w:color="000000" w:sz="6" w:space="0"/>
            </w:tcBorders>
            <w:noWrap w:val="0"/>
            <w:vAlign w:val="center"/>
          </w:tcPr>
          <w:p w14:paraId="6DDC1E4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6" w:space="0"/>
            </w:tcBorders>
            <w:noWrap w:val="0"/>
            <w:vAlign w:val="center"/>
          </w:tcPr>
          <w:p w14:paraId="5DC0236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left w:val="single" w:color="000000" w:sz="6" w:space="0"/>
              <w:bottom w:val="single" w:color="000000" w:sz="6" w:space="0"/>
              <w:right w:val="single" w:color="000000" w:sz="6" w:space="0"/>
            </w:tcBorders>
            <w:noWrap w:val="0"/>
            <w:vAlign w:val="center"/>
          </w:tcPr>
          <w:p w14:paraId="4D0CA3D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left w:val="single" w:color="000000" w:sz="6" w:space="0"/>
              <w:bottom w:val="single" w:color="000000" w:sz="6" w:space="0"/>
              <w:right w:val="single" w:color="000000" w:sz="6" w:space="0"/>
            </w:tcBorders>
            <w:noWrap w:val="0"/>
            <w:vAlign w:val="center"/>
          </w:tcPr>
          <w:p w14:paraId="7BC8C43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left w:val="single" w:color="000000" w:sz="6" w:space="0"/>
              <w:bottom w:val="single" w:color="000000" w:sz="6" w:space="0"/>
              <w:right w:val="single" w:color="000000" w:sz="6" w:space="0"/>
            </w:tcBorders>
            <w:noWrap w:val="0"/>
            <w:vAlign w:val="center"/>
          </w:tcPr>
          <w:p w14:paraId="7FFDD62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left w:val="single" w:color="000000" w:sz="6" w:space="0"/>
              <w:bottom w:val="single" w:color="000000" w:sz="6" w:space="0"/>
              <w:right w:val="single" w:color="000000" w:sz="6" w:space="0"/>
            </w:tcBorders>
            <w:noWrap w:val="0"/>
            <w:vAlign w:val="center"/>
          </w:tcPr>
          <w:p w14:paraId="4D25DDE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left w:val="single" w:color="000000" w:sz="6" w:space="0"/>
              <w:bottom w:val="single" w:color="000000" w:sz="6" w:space="0"/>
              <w:right w:val="single" w:color="000000" w:sz="6" w:space="0"/>
            </w:tcBorders>
            <w:noWrap w:val="0"/>
            <w:vAlign w:val="center"/>
          </w:tcPr>
          <w:p w14:paraId="63A0053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left w:val="single" w:color="000000" w:sz="6" w:space="0"/>
              <w:bottom w:val="single" w:color="000000" w:sz="6" w:space="0"/>
              <w:right w:val="single" w:color="000000" w:sz="6" w:space="0"/>
            </w:tcBorders>
            <w:noWrap w:val="0"/>
            <w:vAlign w:val="center"/>
          </w:tcPr>
          <w:p w14:paraId="3C12E23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left w:val="single" w:color="000000" w:sz="6" w:space="0"/>
              <w:bottom w:val="single" w:color="000000" w:sz="6" w:space="0"/>
              <w:right w:val="single" w:color="000000" w:sz="6" w:space="0"/>
            </w:tcBorders>
            <w:noWrap w:val="0"/>
            <w:vAlign w:val="center"/>
          </w:tcPr>
          <w:p w14:paraId="4D96D02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12" w:space="0"/>
            </w:tcBorders>
            <w:noWrap w:val="0"/>
            <w:vAlign w:val="center"/>
          </w:tcPr>
          <w:p w14:paraId="1F1C33C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4F909E19">
        <w:tblPrEx>
          <w:tblCellMar>
            <w:top w:w="0" w:type="dxa"/>
            <w:left w:w="28" w:type="dxa"/>
            <w:bottom w:w="0" w:type="dxa"/>
            <w:right w:w="28" w:type="dxa"/>
          </w:tblCellMar>
        </w:tblPrEx>
        <w:trPr>
          <w:trHeight w:val="567" w:hRule="atLeast"/>
        </w:trPr>
        <w:tc>
          <w:tcPr>
            <w:tcW w:w="1665" w:type="dxa"/>
            <w:tcBorders>
              <w:top w:val="single" w:color="000000" w:sz="6" w:space="0"/>
              <w:left w:val="single" w:color="000000" w:sz="12" w:space="0"/>
              <w:bottom w:val="single" w:color="000000" w:sz="6" w:space="0"/>
              <w:right w:val="single" w:color="000000" w:sz="6" w:space="0"/>
            </w:tcBorders>
            <w:noWrap w:val="0"/>
            <w:vAlign w:val="center"/>
          </w:tcPr>
          <w:p w14:paraId="4A06BF7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6" w:space="0"/>
              <w:right w:val="single" w:color="000000" w:sz="6" w:space="0"/>
            </w:tcBorders>
            <w:noWrap w:val="0"/>
            <w:vAlign w:val="center"/>
          </w:tcPr>
          <w:p w14:paraId="428858C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top w:val="single" w:color="000000" w:sz="6" w:space="0"/>
              <w:left w:val="single" w:color="000000" w:sz="6" w:space="0"/>
              <w:bottom w:val="single" w:color="000000" w:sz="6" w:space="0"/>
              <w:right w:val="single" w:color="000000" w:sz="6" w:space="0"/>
            </w:tcBorders>
            <w:noWrap w:val="0"/>
            <w:vAlign w:val="center"/>
          </w:tcPr>
          <w:p w14:paraId="3FD04A6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top w:val="single" w:color="000000" w:sz="6" w:space="0"/>
              <w:left w:val="single" w:color="000000" w:sz="6" w:space="0"/>
              <w:bottom w:val="single" w:color="000000" w:sz="6" w:space="0"/>
              <w:right w:val="single" w:color="000000" w:sz="6" w:space="0"/>
            </w:tcBorders>
            <w:noWrap w:val="0"/>
            <w:vAlign w:val="center"/>
          </w:tcPr>
          <w:p w14:paraId="068F200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top w:val="single" w:color="000000" w:sz="6" w:space="0"/>
              <w:left w:val="single" w:color="000000" w:sz="6" w:space="0"/>
              <w:bottom w:val="single" w:color="000000" w:sz="6" w:space="0"/>
              <w:right w:val="single" w:color="000000" w:sz="6" w:space="0"/>
            </w:tcBorders>
            <w:noWrap w:val="0"/>
            <w:vAlign w:val="center"/>
          </w:tcPr>
          <w:p w14:paraId="6FEDF11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top w:val="single" w:color="000000" w:sz="6" w:space="0"/>
              <w:left w:val="single" w:color="000000" w:sz="6" w:space="0"/>
              <w:bottom w:val="single" w:color="000000" w:sz="6" w:space="0"/>
              <w:right w:val="single" w:color="000000" w:sz="6" w:space="0"/>
            </w:tcBorders>
            <w:noWrap w:val="0"/>
            <w:vAlign w:val="center"/>
          </w:tcPr>
          <w:p w14:paraId="583DFD2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top w:val="single" w:color="000000" w:sz="6" w:space="0"/>
              <w:left w:val="single" w:color="000000" w:sz="6" w:space="0"/>
              <w:bottom w:val="single" w:color="000000" w:sz="6" w:space="0"/>
              <w:right w:val="single" w:color="000000" w:sz="6" w:space="0"/>
            </w:tcBorders>
            <w:noWrap w:val="0"/>
            <w:vAlign w:val="center"/>
          </w:tcPr>
          <w:p w14:paraId="74414E3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top w:val="single" w:color="000000" w:sz="6" w:space="0"/>
              <w:left w:val="single" w:color="000000" w:sz="6" w:space="0"/>
              <w:bottom w:val="single" w:color="000000" w:sz="6" w:space="0"/>
              <w:right w:val="single" w:color="000000" w:sz="6" w:space="0"/>
            </w:tcBorders>
            <w:noWrap w:val="0"/>
            <w:vAlign w:val="center"/>
          </w:tcPr>
          <w:p w14:paraId="402C54A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top w:val="single" w:color="000000" w:sz="6" w:space="0"/>
              <w:left w:val="single" w:color="000000" w:sz="6" w:space="0"/>
              <w:bottom w:val="single" w:color="000000" w:sz="6" w:space="0"/>
              <w:right w:val="single" w:color="000000" w:sz="6" w:space="0"/>
            </w:tcBorders>
            <w:noWrap w:val="0"/>
            <w:vAlign w:val="center"/>
          </w:tcPr>
          <w:p w14:paraId="0F1A67C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6" w:space="0"/>
              <w:right w:val="single" w:color="000000" w:sz="12" w:space="0"/>
            </w:tcBorders>
            <w:noWrap w:val="0"/>
            <w:vAlign w:val="center"/>
          </w:tcPr>
          <w:p w14:paraId="3CE9593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2689DD77">
        <w:tblPrEx>
          <w:tblCellMar>
            <w:top w:w="0" w:type="dxa"/>
            <w:left w:w="28" w:type="dxa"/>
            <w:bottom w:w="0" w:type="dxa"/>
            <w:right w:w="28" w:type="dxa"/>
          </w:tblCellMar>
        </w:tblPrEx>
        <w:trPr>
          <w:trHeight w:val="567" w:hRule="atLeast"/>
        </w:trPr>
        <w:tc>
          <w:tcPr>
            <w:tcW w:w="1665" w:type="dxa"/>
            <w:tcBorders>
              <w:left w:val="single" w:color="000000" w:sz="12" w:space="0"/>
              <w:bottom w:val="single" w:color="000000" w:sz="6" w:space="0"/>
              <w:right w:val="single" w:color="000000" w:sz="6" w:space="0"/>
            </w:tcBorders>
            <w:noWrap w:val="0"/>
            <w:vAlign w:val="center"/>
          </w:tcPr>
          <w:p w14:paraId="0A15C0E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6" w:space="0"/>
            </w:tcBorders>
            <w:noWrap w:val="0"/>
            <w:vAlign w:val="center"/>
          </w:tcPr>
          <w:p w14:paraId="6EF4757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left w:val="single" w:color="000000" w:sz="6" w:space="0"/>
              <w:bottom w:val="single" w:color="000000" w:sz="6" w:space="0"/>
              <w:right w:val="single" w:color="000000" w:sz="6" w:space="0"/>
            </w:tcBorders>
            <w:noWrap w:val="0"/>
            <w:vAlign w:val="center"/>
          </w:tcPr>
          <w:p w14:paraId="6A7B543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left w:val="single" w:color="000000" w:sz="6" w:space="0"/>
              <w:bottom w:val="single" w:color="000000" w:sz="6" w:space="0"/>
              <w:right w:val="single" w:color="000000" w:sz="6" w:space="0"/>
            </w:tcBorders>
            <w:noWrap w:val="0"/>
            <w:vAlign w:val="center"/>
          </w:tcPr>
          <w:p w14:paraId="77B0951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left w:val="single" w:color="000000" w:sz="6" w:space="0"/>
              <w:bottom w:val="single" w:color="000000" w:sz="6" w:space="0"/>
              <w:right w:val="single" w:color="000000" w:sz="6" w:space="0"/>
            </w:tcBorders>
            <w:noWrap w:val="0"/>
            <w:vAlign w:val="center"/>
          </w:tcPr>
          <w:p w14:paraId="3B43709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left w:val="single" w:color="000000" w:sz="6" w:space="0"/>
              <w:bottom w:val="single" w:color="000000" w:sz="6" w:space="0"/>
              <w:right w:val="single" w:color="000000" w:sz="6" w:space="0"/>
            </w:tcBorders>
            <w:noWrap w:val="0"/>
            <w:vAlign w:val="center"/>
          </w:tcPr>
          <w:p w14:paraId="7676A29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left w:val="single" w:color="000000" w:sz="6" w:space="0"/>
              <w:bottom w:val="single" w:color="000000" w:sz="6" w:space="0"/>
              <w:right w:val="single" w:color="000000" w:sz="6" w:space="0"/>
            </w:tcBorders>
            <w:noWrap w:val="0"/>
            <w:vAlign w:val="center"/>
          </w:tcPr>
          <w:p w14:paraId="4F907CD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left w:val="single" w:color="000000" w:sz="6" w:space="0"/>
              <w:bottom w:val="single" w:color="000000" w:sz="6" w:space="0"/>
              <w:right w:val="single" w:color="000000" w:sz="6" w:space="0"/>
            </w:tcBorders>
            <w:noWrap w:val="0"/>
            <w:vAlign w:val="center"/>
          </w:tcPr>
          <w:p w14:paraId="667D080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left w:val="single" w:color="000000" w:sz="6" w:space="0"/>
              <w:bottom w:val="single" w:color="000000" w:sz="6" w:space="0"/>
              <w:right w:val="single" w:color="000000" w:sz="6" w:space="0"/>
            </w:tcBorders>
            <w:noWrap w:val="0"/>
            <w:vAlign w:val="center"/>
          </w:tcPr>
          <w:p w14:paraId="268C217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12" w:space="0"/>
            </w:tcBorders>
            <w:noWrap w:val="0"/>
            <w:vAlign w:val="center"/>
          </w:tcPr>
          <w:p w14:paraId="2D4B9CB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4AD52172">
        <w:tblPrEx>
          <w:tblCellMar>
            <w:top w:w="0" w:type="dxa"/>
            <w:left w:w="28" w:type="dxa"/>
            <w:bottom w:w="0" w:type="dxa"/>
            <w:right w:w="28" w:type="dxa"/>
          </w:tblCellMar>
        </w:tblPrEx>
        <w:trPr>
          <w:trHeight w:val="567" w:hRule="atLeast"/>
        </w:trPr>
        <w:tc>
          <w:tcPr>
            <w:tcW w:w="1665" w:type="dxa"/>
            <w:tcBorders>
              <w:top w:val="single" w:color="000000" w:sz="6" w:space="0"/>
              <w:left w:val="single" w:color="000000" w:sz="12" w:space="0"/>
              <w:bottom w:val="single" w:color="000000" w:sz="6" w:space="0"/>
              <w:right w:val="single" w:color="000000" w:sz="6" w:space="0"/>
            </w:tcBorders>
            <w:noWrap w:val="0"/>
            <w:vAlign w:val="center"/>
          </w:tcPr>
          <w:p w14:paraId="665C6CD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6" w:space="0"/>
              <w:right w:val="single" w:color="000000" w:sz="6" w:space="0"/>
            </w:tcBorders>
            <w:noWrap w:val="0"/>
            <w:vAlign w:val="center"/>
          </w:tcPr>
          <w:p w14:paraId="747E53B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top w:val="single" w:color="000000" w:sz="6" w:space="0"/>
              <w:left w:val="single" w:color="000000" w:sz="6" w:space="0"/>
              <w:bottom w:val="single" w:color="000000" w:sz="6" w:space="0"/>
              <w:right w:val="single" w:color="000000" w:sz="6" w:space="0"/>
            </w:tcBorders>
            <w:noWrap w:val="0"/>
            <w:vAlign w:val="center"/>
          </w:tcPr>
          <w:p w14:paraId="479A3AA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top w:val="single" w:color="000000" w:sz="6" w:space="0"/>
              <w:left w:val="single" w:color="000000" w:sz="6" w:space="0"/>
              <w:bottom w:val="single" w:color="000000" w:sz="6" w:space="0"/>
              <w:right w:val="single" w:color="000000" w:sz="6" w:space="0"/>
            </w:tcBorders>
            <w:noWrap w:val="0"/>
            <w:vAlign w:val="center"/>
          </w:tcPr>
          <w:p w14:paraId="7425B1F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top w:val="single" w:color="000000" w:sz="6" w:space="0"/>
              <w:left w:val="single" w:color="000000" w:sz="6" w:space="0"/>
              <w:bottom w:val="single" w:color="000000" w:sz="6" w:space="0"/>
              <w:right w:val="single" w:color="000000" w:sz="6" w:space="0"/>
            </w:tcBorders>
            <w:noWrap w:val="0"/>
            <w:vAlign w:val="center"/>
          </w:tcPr>
          <w:p w14:paraId="37CFC91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top w:val="single" w:color="000000" w:sz="6" w:space="0"/>
              <w:left w:val="single" w:color="000000" w:sz="6" w:space="0"/>
              <w:bottom w:val="single" w:color="000000" w:sz="6" w:space="0"/>
              <w:right w:val="single" w:color="000000" w:sz="6" w:space="0"/>
            </w:tcBorders>
            <w:noWrap w:val="0"/>
            <w:vAlign w:val="center"/>
          </w:tcPr>
          <w:p w14:paraId="1843A87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top w:val="single" w:color="000000" w:sz="6" w:space="0"/>
              <w:left w:val="single" w:color="000000" w:sz="6" w:space="0"/>
              <w:bottom w:val="single" w:color="000000" w:sz="6" w:space="0"/>
              <w:right w:val="single" w:color="000000" w:sz="6" w:space="0"/>
            </w:tcBorders>
            <w:noWrap w:val="0"/>
            <w:vAlign w:val="center"/>
          </w:tcPr>
          <w:p w14:paraId="2594E95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top w:val="single" w:color="000000" w:sz="6" w:space="0"/>
              <w:left w:val="single" w:color="000000" w:sz="6" w:space="0"/>
              <w:bottom w:val="single" w:color="000000" w:sz="6" w:space="0"/>
              <w:right w:val="single" w:color="000000" w:sz="6" w:space="0"/>
            </w:tcBorders>
            <w:noWrap w:val="0"/>
            <w:vAlign w:val="center"/>
          </w:tcPr>
          <w:p w14:paraId="5CF8F8A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top w:val="single" w:color="000000" w:sz="6" w:space="0"/>
              <w:left w:val="single" w:color="000000" w:sz="6" w:space="0"/>
              <w:bottom w:val="single" w:color="000000" w:sz="6" w:space="0"/>
              <w:right w:val="single" w:color="000000" w:sz="6" w:space="0"/>
            </w:tcBorders>
            <w:noWrap w:val="0"/>
            <w:vAlign w:val="center"/>
          </w:tcPr>
          <w:p w14:paraId="04149C2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6" w:space="0"/>
              <w:right w:val="single" w:color="000000" w:sz="12" w:space="0"/>
            </w:tcBorders>
            <w:noWrap w:val="0"/>
            <w:vAlign w:val="center"/>
          </w:tcPr>
          <w:p w14:paraId="1F240DA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21BC38BA">
        <w:tblPrEx>
          <w:tblCellMar>
            <w:top w:w="0" w:type="dxa"/>
            <w:left w:w="28" w:type="dxa"/>
            <w:bottom w:w="0" w:type="dxa"/>
            <w:right w:w="28" w:type="dxa"/>
          </w:tblCellMar>
        </w:tblPrEx>
        <w:trPr>
          <w:trHeight w:val="567" w:hRule="atLeast"/>
        </w:trPr>
        <w:tc>
          <w:tcPr>
            <w:tcW w:w="1665" w:type="dxa"/>
            <w:tcBorders>
              <w:left w:val="single" w:color="000000" w:sz="12" w:space="0"/>
              <w:bottom w:val="single" w:color="000000" w:sz="6" w:space="0"/>
              <w:right w:val="single" w:color="000000" w:sz="6" w:space="0"/>
            </w:tcBorders>
            <w:noWrap w:val="0"/>
            <w:vAlign w:val="center"/>
          </w:tcPr>
          <w:p w14:paraId="22068D6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6" w:space="0"/>
            </w:tcBorders>
            <w:noWrap w:val="0"/>
            <w:vAlign w:val="center"/>
          </w:tcPr>
          <w:p w14:paraId="235C042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left w:val="single" w:color="000000" w:sz="6" w:space="0"/>
              <w:bottom w:val="single" w:color="000000" w:sz="6" w:space="0"/>
              <w:right w:val="single" w:color="000000" w:sz="6" w:space="0"/>
            </w:tcBorders>
            <w:noWrap w:val="0"/>
            <w:vAlign w:val="center"/>
          </w:tcPr>
          <w:p w14:paraId="28DFF91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left w:val="single" w:color="000000" w:sz="6" w:space="0"/>
              <w:bottom w:val="single" w:color="000000" w:sz="6" w:space="0"/>
              <w:right w:val="single" w:color="000000" w:sz="6" w:space="0"/>
            </w:tcBorders>
            <w:noWrap w:val="0"/>
            <w:vAlign w:val="center"/>
          </w:tcPr>
          <w:p w14:paraId="7D95370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left w:val="single" w:color="000000" w:sz="6" w:space="0"/>
              <w:bottom w:val="single" w:color="000000" w:sz="6" w:space="0"/>
              <w:right w:val="single" w:color="000000" w:sz="6" w:space="0"/>
            </w:tcBorders>
            <w:noWrap w:val="0"/>
            <w:vAlign w:val="center"/>
          </w:tcPr>
          <w:p w14:paraId="6BF2CF1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left w:val="single" w:color="000000" w:sz="6" w:space="0"/>
              <w:bottom w:val="single" w:color="000000" w:sz="6" w:space="0"/>
              <w:right w:val="single" w:color="000000" w:sz="6" w:space="0"/>
            </w:tcBorders>
            <w:noWrap w:val="0"/>
            <w:vAlign w:val="center"/>
          </w:tcPr>
          <w:p w14:paraId="7D87091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left w:val="single" w:color="000000" w:sz="6" w:space="0"/>
              <w:bottom w:val="single" w:color="000000" w:sz="6" w:space="0"/>
              <w:right w:val="single" w:color="000000" w:sz="6" w:space="0"/>
            </w:tcBorders>
            <w:noWrap w:val="0"/>
            <w:vAlign w:val="center"/>
          </w:tcPr>
          <w:p w14:paraId="7FAB4EF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left w:val="single" w:color="000000" w:sz="6" w:space="0"/>
              <w:bottom w:val="single" w:color="000000" w:sz="6" w:space="0"/>
              <w:right w:val="single" w:color="000000" w:sz="6" w:space="0"/>
            </w:tcBorders>
            <w:noWrap w:val="0"/>
            <w:vAlign w:val="center"/>
          </w:tcPr>
          <w:p w14:paraId="0F452FF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left w:val="single" w:color="000000" w:sz="6" w:space="0"/>
              <w:bottom w:val="single" w:color="000000" w:sz="6" w:space="0"/>
              <w:right w:val="single" w:color="000000" w:sz="6" w:space="0"/>
            </w:tcBorders>
            <w:noWrap w:val="0"/>
            <w:vAlign w:val="center"/>
          </w:tcPr>
          <w:p w14:paraId="380BAF7F">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12" w:space="0"/>
            </w:tcBorders>
            <w:noWrap w:val="0"/>
            <w:vAlign w:val="center"/>
          </w:tcPr>
          <w:p w14:paraId="3022DF3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0EED0931">
        <w:tblPrEx>
          <w:tblCellMar>
            <w:top w:w="0" w:type="dxa"/>
            <w:left w:w="28" w:type="dxa"/>
            <w:bottom w:w="0" w:type="dxa"/>
            <w:right w:w="28" w:type="dxa"/>
          </w:tblCellMar>
        </w:tblPrEx>
        <w:trPr>
          <w:trHeight w:val="567" w:hRule="atLeast"/>
        </w:trPr>
        <w:tc>
          <w:tcPr>
            <w:tcW w:w="1665" w:type="dxa"/>
            <w:tcBorders>
              <w:left w:val="single" w:color="000000" w:sz="12" w:space="0"/>
              <w:bottom w:val="single" w:color="000000" w:sz="6" w:space="0"/>
              <w:right w:val="single" w:color="000000" w:sz="6" w:space="0"/>
            </w:tcBorders>
            <w:noWrap w:val="0"/>
            <w:vAlign w:val="center"/>
          </w:tcPr>
          <w:p w14:paraId="5E0E626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6" w:space="0"/>
            </w:tcBorders>
            <w:noWrap w:val="0"/>
            <w:vAlign w:val="center"/>
          </w:tcPr>
          <w:p w14:paraId="5072597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left w:val="single" w:color="000000" w:sz="6" w:space="0"/>
              <w:bottom w:val="single" w:color="000000" w:sz="6" w:space="0"/>
              <w:right w:val="single" w:color="000000" w:sz="6" w:space="0"/>
            </w:tcBorders>
            <w:noWrap w:val="0"/>
            <w:vAlign w:val="center"/>
          </w:tcPr>
          <w:p w14:paraId="5CD8174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left w:val="single" w:color="000000" w:sz="6" w:space="0"/>
              <w:bottom w:val="single" w:color="000000" w:sz="6" w:space="0"/>
              <w:right w:val="single" w:color="000000" w:sz="6" w:space="0"/>
            </w:tcBorders>
            <w:noWrap w:val="0"/>
            <w:vAlign w:val="center"/>
          </w:tcPr>
          <w:p w14:paraId="05BB916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left w:val="single" w:color="000000" w:sz="6" w:space="0"/>
              <w:bottom w:val="single" w:color="000000" w:sz="6" w:space="0"/>
              <w:right w:val="single" w:color="000000" w:sz="6" w:space="0"/>
            </w:tcBorders>
            <w:noWrap w:val="0"/>
            <w:vAlign w:val="center"/>
          </w:tcPr>
          <w:p w14:paraId="7EA9183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left w:val="single" w:color="000000" w:sz="6" w:space="0"/>
              <w:bottom w:val="single" w:color="000000" w:sz="6" w:space="0"/>
              <w:right w:val="single" w:color="000000" w:sz="6" w:space="0"/>
            </w:tcBorders>
            <w:noWrap w:val="0"/>
            <w:vAlign w:val="center"/>
          </w:tcPr>
          <w:p w14:paraId="574B175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left w:val="single" w:color="000000" w:sz="6" w:space="0"/>
              <w:bottom w:val="single" w:color="000000" w:sz="6" w:space="0"/>
              <w:right w:val="single" w:color="000000" w:sz="6" w:space="0"/>
            </w:tcBorders>
            <w:noWrap w:val="0"/>
            <w:vAlign w:val="center"/>
          </w:tcPr>
          <w:p w14:paraId="5049E68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left w:val="single" w:color="000000" w:sz="6" w:space="0"/>
              <w:bottom w:val="single" w:color="000000" w:sz="6" w:space="0"/>
              <w:right w:val="single" w:color="000000" w:sz="6" w:space="0"/>
            </w:tcBorders>
            <w:noWrap w:val="0"/>
            <w:vAlign w:val="center"/>
          </w:tcPr>
          <w:p w14:paraId="04B96A3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left w:val="single" w:color="000000" w:sz="6" w:space="0"/>
              <w:bottom w:val="single" w:color="000000" w:sz="6" w:space="0"/>
              <w:right w:val="single" w:color="000000" w:sz="6" w:space="0"/>
            </w:tcBorders>
            <w:noWrap w:val="0"/>
            <w:vAlign w:val="center"/>
          </w:tcPr>
          <w:p w14:paraId="7DE079E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12" w:space="0"/>
            </w:tcBorders>
            <w:noWrap w:val="0"/>
            <w:vAlign w:val="center"/>
          </w:tcPr>
          <w:p w14:paraId="05A4B6F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370295C6">
        <w:tblPrEx>
          <w:tblCellMar>
            <w:top w:w="0" w:type="dxa"/>
            <w:left w:w="28" w:type="dxa"/>
            <w:bottom w:w="0" w:type="dxa"/>
            <w:right w:w="28" w:type="dxa"/>
          </w:tblCellMar>
        </w:tblPrEx>
        <w:trPr>
          <w:trHeight w:val="567" w:hRule="atLeast"/>
        </w:trPr>
        <w:tc>
          <w:tcPr>
            <w:tcW w:w="1665" w:type="dxa"/>
            <w:tcBorders>
              <w:top w:val="single" w:color="000000" w:sz="6" w:space="0"/>
              <w:left w:val="single" w:color="000000" w:sz="12" w:space="0"/>
              <w:bottom w:val="single" w:color="000000" w:sz="6" w:space="0"/>
              <w:right w:val="single" w:color="000000" w:sz="6" w:space="0"/>
            </w:tcBorders>
            <w:noWrap w:val="0"/>
            <w:vAlign w:val="center"/>
          </w:tcPr>
          <w:p w14:paraId="4C9B2C6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6" w:space="0"/>
              <w:right w:val="single" w:color="000000" w:sz="6" w:space="0"/>
            </w:tcBorders>
            <w:noWrap w:val="0"/>
            <w:vAlign w:val="center"/>
          </w:tcPr>
          <w:p w14:paraId="7194B4EF">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top w:val="single" w:color="000000" w:sz="6" w:space="0"/>
              <w:left w:val="single" w:color="000000" w:sz="6" w:space="0"/>
              <w:bottom w:val="single" w:color="000000" w:sz="6" w:space="0"/>
              <w:right w:val="single" w:color="000000" w:sz="6" w:space="0"/>
            </w:tcBorders>
            <w:noWrap w:val="0"/>
            <w:vAlign w:val="center"/>
          </w:tcPr>
          <w:p w14:paraId="7D0DC4D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top w:val="single" w:color="000000" w:sz="6" w:space="0"/>
              <w:left w:val="single" w:color="000000" w:sz="6" w:space="0"/>
              <w:bottom w:val="single" w:color="000000" w:sz="6" w:space="0"/>
              <w:right w:val="single" w:color="000000" w:sz="6" w:space="0"/>
            </w:tcBorders>
            <w:noWrap w:val="0"/>
            <w:vAlign w:val="center"/>
          </w:tcPr>
          <w:p w14:paraId="7B16A0F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top w:val="single" w:color="000000" w:sz="6" w:space="0"/>
              <w:left w:val="single" w:color="000000" w:sz="6" w:space="0"/>
              <w:bottom w:val="single" w:color="000000" w:sz="6" w:space="0"/>
              <w:right w:val="single" w:color="000000" w:sz="6" w:space="0"/>
            </w:tcBorders>
            <w:noWrap w:val="0"/>
            <w:vAlign w:val="center"/>
          </w:tcPr>
          <w:p w14:paraId="21FB268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top w:val="single" w:color="000000" w:sz="6" w:space="0"/>
              <w:left w:val="single" w:color="000000" w:sz="6" w:space="0"/>
              <w:bottom w:val="single" w:color="000000" w:sz="6" w:space="0"/>
              <w:right w:val="single" w:color="000000" w:sz="6" w:space="0"/>
            </w:tcBorders>
            <w:noWrap w:val="0"/>
            <w:vAlign w:val="center"/>
          </w:tcPr>
          <w:p w14:paraId="412A9A3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top w:val="single" w:color="000000" w:sz="6" w:space="0"/>
              <w:left w:val="single" w:color="000000" w:sz="6" w:space="0"/>
              <w:bottom w:val="single" w:color="000000" w:sz="6" w:space="0"/>
              <w:right w:val="single" w:color="000000" w:sz="6" w:space="0"/>
            </w:tcBorders>
            <w:noWrap w:val="0"/>
            <w:vAlign w:val="center"/>
          </w:tcPr>
          <w:p w14:paraId="3C9112A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top w:val="single" w:color="000000" w:sz="6" w:space="0"/>
              <w:left w:val="single" w:color="000000" w:sz="6" w:space="0"/>
              <w:bottom w:val="single" w:color="000000" w:sz="6" w:space="0"/>
              <w:right w:val="single" w:color="000000" w:sz="6" w:space="0"/>
            </w:tcBorders>
            <w:noWrap w:val="0"/>
            <w:vAlign w:val="center"/>
          </w:tcPr>
          <w:p w14:paraId="25DDB1D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top w:val="single" w:color="000000" w:sz="6" w:space="0"/>
              <w:left w:val="single" w:color="000000" w:sz="6" w:space="0"/>
              <w:bottom w:val="single" w:color="000000" w:sz="6" w:space="0"/>
              <w:right w:val="single" w:color="000000" w:sz="6" w:space="0"/>
            </w:tcBorders>
            <w:noWrap w:val="0"/>
            <w:vAlign w:val="center"/>
          </w:tcPr>
          <w:p w14:paraId="101A057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6" w:space="0"/>
              <w:right w:val="single" w:color="000000" w:sz="12" w:space="0"/>
            </w:tcBorders>
            <w:noWrap w:val="0"/>
            <w:vAlign w:val="center"/>
          </w:tcPr>
          <w:p w14:paraId="5D84CD5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32FCE7D5">
        <w:tblPrEx>
          <w:tblCellMar>
            <w:top w:w="0" w:type="dxa"/>
            <w:left w:w="28" w:type="dxa"/>
            <w:bottom w:w="0" w:type="dxa"/>
            <w:right w:w="28" w:type="dxa"/>
          </w:tblCellMar>
        </w:tblPrEx>
        <w:trPr>
          <w:trHeight w:val="567" w:hRule="atLeast"/>
        </w:trPr>
        <w:tc>
          <w:tcPr>
            <w:tcW w:w="1665" w:type="dxa"/>
            <w:tcBorders>
              <w:left w:val="single" w:color="000000" w:sz="12" w:space="0"/>
              <w:bottom w:val="single" w:color="000000" w:sz="6" w:space="0"/>
              <w:right w:val="single" w:color="000000" w:sz="6" w:space="0"/>
            </w:tcBorders>
            <w:noWrap w:val="0"/>
            <w:vAlign w:val="center"/>
          </w:tcPr>
          <w:p w14:paraId="11F3708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6" w:space="0"/>
            </w:tcBorders>
            <w:noWrap w:val="0"/>
            <w:vAlign w:val="center"/>
          </w:tcPr>
          <w:p w14:paraId="465DFE3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left w:val="single" w:color="000000" w:sz="6" w:space="0"/>
              <w:bottom w:val="single" w:color="000000" w:sz="6" w:space="0"/>
              <w:right w:val="single" w:color="000000" w:sz="6" w:space="0"/>
            </w:tcBorders>
            <w:noWrap w:val="0"/>
            <w:vAlign w:val="center"/>
          </w:tcPr>
          <w:p w14:paraId="345EC10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left w:val="single" w:color="000000" w:sz="6" w:space="0"/>
              <w:bottom w:val="single" w:color="000000" w:sz="6" w:space="0"/>
              <w:right w:val="single" w:color="000000" w:sz="6" w:space="0"/>
            </w:tcBorders>
            <w:noWrap w:val="0"/>
            <w:vAlign w:val="center"/>
          </w:tcPr>
          <w:p w14:paraId="1B89B18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left w:val="single" w:color="000000" w:sz="6" w:space="0"/>
              <w:bottom w:val="single" w:color="000000" w:sz="6" w:space="0"/>
              <w:right w:val="single" w:color="000000" w:sz="6" w:space="0"/>
            </w:tcBorders>
            <w:noWrap w:val="0"/>
            <w:vAlign w:val="center"/>
          </w:tcPr>
          <w:p w14:paraId="1A1FB9A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left w:val="single" w:color="000000" w:sz="6" w:space="0"/>
              <w:bottom w:val="single" w:color="000000" w:sz="6" w:space="0"/>
              <w:right w:val="single" w:color="000000" w:sz="6" w:space="0"/>
            </w:tcBorders>
            <w:noWrap w:val="0"/>
            <w:vAlign w:val="center"/>
          </w:tcPr>
          <w:p w14:paraId="31A5473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left w:val="single" w:color="000000" w:sz="6" w:space="0"/>
              <w:bottom w:val="single" w:color="000000" w:sz="6" w:space="0"/>
              <w:right w:val="single" w:color="000000" w:sz="6" w:space="0"/>
            </w:tcBorders>
            <w:noWrap w:val="0"/>
            <w:vAlign w:val="center"/>
          </w:tcPr>
          <w:p w14:paraId="5E88424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left w:val="single" w:color="000000" w:sz="6" w:space="0"/>
              <w:bottom w:val="single" w:color="000000" w:sz="6" w:space="0"/>
              <w:right w:val="single" w:color="000000" w:sz="6" w:space="0"/>
            </w:tcBorders>
            <w:noWrap w:val="0"/>
            <w:vAlign w:val="center"/>
          </w:tcPr>
          <w:p w14:paraId="3223DB7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left w:val="single" w:color="000000" w:sz="6" w:space="0"/>
              <w:bottom w:val="single" w:color="000000" w:sz="6" w:space="0"/>
              <w:right w:val="single" w:color="000000" w:sz="6" w:space="0"/>
            </w:tcBorders>
            <w:noWrap w:val="0"/>
            <w:vAlign w:val="center"/>
          </w:tcPr>
          <w:p w14:paraId="1BC4E55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12" w:space="0"/>
            </w:tcBorders>
            <w:noWrap w:val="0"/>
            <w:vAlign w:val="center"/>
          </w:tcPr>
          <w:p w14:paraId="2D23637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52BC3C5D">
        <w:tblPrEx>
          <w:tblCellMar>
            <w:top w:w="0" w:type="dxa"/>
            <w:left w:w="28" w:type="dxa"/>
            <w:bottom w:w="0" w:type="dxa"/>
            <w:right w:w="28" w:type="dxa"/>
          </w:tblCellMar>
        </w:tblPrEx>
        <w:trPr>
          <w:trHeight w:val="567" w:hRule="atLeast"/>
        </w:trPr>
        <w:tc>
          <w:tcPr>
            <w:tcW w:w="1665" w:type="dxa"/>
            <w:tcBorders>
              <w:top w:val="single" w:color="000000" w:sz="6" w:space="0"/>
              <w:left w:val="single" w:color="000000" w:sz="12" w:space="0"/>
              <w:bottom w:val="single" w:color="000000" w:sz="12" w:space="0"/>
              <w:right w:val="single" w:color="000000" w:sz="6" w:space="0"/>
            </w:tcBorders>
            <w:noWrap w:val="0"/>
            <w:vAlign w:val="center"/>
          </w:tcPr>
          <w:p w14:paraId="165073D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12" w:space="0"/>
              <w:right w:val="single" w:color="000000" w:sz="6" w:space="0"/>
            </w:tcBorders>
            <w:noWrap w:val="0"/>
            <w:vAlign w:val="center"/>
          </w:tcPr>
          <w:p w14:paraId="5423015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top w:val="single" w:color="000000" w:sz="6" w:space="0"/>
              <w:left w:val="single" w:color="000000" w:sz="6" w:space="0"/>
              <w:bottom w:val="single" w:color="000000" w:sz="12" w:space="0"/>
              <w:right w:val="single" w:color="000000" w:sz="6" w:space="0"/>
            </w:tcBorders>
            <w:noWrap w:val="0"/>
            <w:vAlign w:val="center"/>
          </w:tcPr>
          <w:p w14:paraId="3657DA4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top w:val="single" w:color="000000" w:sz="6" w:space="0"/>
              <w:left w:val="single" w:color="000000" w:sz="6" w:space="0"/>
              <w:bottom w:val="single" w:color="000000" w:sz="12" w:space="0"/>
              <w:right w:val="single" w:color="000000" w:sz="6" w:space="0"/>
            </w:tcBorders>
            <w:noWrap w:val="0"/>
            <w:vAlign w:val="center"/>
          </w:tcPr>
          <w:p w14:paraId="72EBC9A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top w:val="single" w:color="000000" w:sz="6" w:space="0"/>
              <w:left w:val="single" w:color="000000" w:sz="6" w:space="0"/>
              <w:bottom w:val="single" w:color="000000" w:sz="12" w:space="0"/>
              <w:right w:val="single" w:color="000000" w:sz="6" w:space="0"/>
            </w:tcBorders>
            <w:noWrap w:val="0"/>
            <w:vAlign w:val="center"/>
          </w:tcPr>
          <w:p w14:paraId="2BFFAED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top w:val="single" w:color="000000" w:sz="6" w:space="0"/>
              <w:left w:val="single" w:color="000000" w:sz="6" w:space="0"/>
              <w:bottom w:val="single" w:color="000000" w:sz="12" w:space="0"/>
              <w:right w:val="single" w:color="000000" w:sz="6" w:space="0"/>
            </w:tcBorders>
            <w:noWrap w:val="0"/>
            <w:vAlign w:val="center"/>
          </w:tcPr>
          <w:p w14:paraId="3514F1E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top w:val="single" w:color="000000" w:sz="6" w:space="0"/>
              <w:left w:val="single" w:color="000000" w:sz="6" w:space="0"/>
              <w:bottom w:val="single" w:color="000000" w:sz="12" w:space="0"/>
              <w:right w:val="single" w:color="000000" w:sz="6" w:space="0"/>
            </w:tcBorders>
            <w:noWrap w:val="0"/>
            <w:vAlign w:val="center"/>
          </w:tcPr>
          <w:p w14:paraId="5E79893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top w:val="single" w:color="000000" w:sz="6" w:space="0"/>
              <w:left w:val="single" w:color="000000" w:sz="6" w:space="0"/>
              <w:bottom w:val="single" w:color="000000" w:sz="12" w:space="0"/>
              <w:right w:val="single" w:color="000000" w:sz="6" w:space="0"/>
            </w:tcBorders>
            <w:noWrap w:val="0"/>
            <w:vAlign w:val="center"/>
          </w:tcPr>
          <w:p w14:paraId="2EB39E3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top w:val="single" w:color="000000" w:sz="6" w:space="0"/>
              <w:left w:val="single" w:color="000000" w:sz="6" w:space="0"/>
              <w:bottom w:val="single" w:color="000000" w:sz="12" w:space="0"/>
              <w:right w:val="single" w:color="000000" w:sz="6" w:space="0"/>
            </w:tcBorders>
            <w:noWrap w:val="0"/>
            <w:vAlign w:val="center"/>
          </w:tcPr>
          <w:p w14:paraId="1524908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12" w:space="0"/>
              <w:right w:val="single" w:color="000000" w:sz="12" w:space="0"/>
            </w:tcBorders>
            <w:noWrap w:val="0"/>
            <w:vAlign w:val="center"/>
          </w:tcPr>
          <w:p w14:paraId="3A5D85A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bl>
    <w:p w14:paraId="45129D78">
      <w:pPr>
        <w:tabs>
          <w:tab w:val="center" w:pos="4393"/>
          <w:tab w:val="left" w:pos="6774"/>
        </w:tabs>
        <w:rPr>
          <w:rFonts w:hint="eastAsia" w:ascii="宋体" w:hAnsi="宋体" w:eastAsia="宋体" w:cs="宋体"/>
          <w:color w:val="auto"/>
          <w:highlight w:val="none"/>
        </w:rPr>
        <w:sectPr>
          <w:headerReference r:id="rId13" w:type="first"/>
          <w:footerReference r:id="rId16" w:type="first"/>
          <w:headerReference r:id="rId11" w:type="default"/>
          <w:footerReference r:id="rId14" w:type="default"/>
          <w:headerReference r:id="rId12" w:type="even"/>
          <w:footerReference r:id="rId15" w:type="even"/>
          <w:pgSz w:w="16838" w:h="11906" w:orient="landscape"/>
          <w:pgMar w:top="1554" w:right="1418" w:bottom="1531" w:left="1418" w:header="851" w:footer="992" w:gutter="0"/>
          <w:pgNumType w:fmt="decimal"/>
          <w:cols w:space="720" w:num="1"/>
          <w:docGrid w:type="linesAndChars" w:linePitch="312" w:charSpace="0"/>
        </w:sectPr>
      </w:pPr>
    </w:p>
    <w:p w14:paraId="3935408B">
      <w:pPr>
        <w:tabs>
          <w:tab w:val="center" w:pos="4393"/>
          <w:tab w:val="left" w:pos="6774"/>
        </w:tabs>
        <w:spacing w:line="440" w:lineRule="exact"/>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附件2：</w:t>
      </w:r>
    </w:p>
    <w:p w14:paraId="1CB3BEE0">
      <w:pPr>
        <w:tabs>
          <w:tab w:val="center" w:pos="4393"/>
          <w:tab w:val="left" w:pos="6774"/>
        </w:tabs>
        <w:spacing w:before="120" w:after="120" w:line="440" w:lineRule="exact"/>
        <w:ind w:firstLine="0" w:firstLineChars="0"/>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发包人供应材料设备一览表</w:t>
      </w:r>
    </w:p>
    <w:tbl>
      <w:tblPr>
        <w:tblStyle w:val="39"/>
        <w:tblW w:w="10722" w:type="dxa"/>
        <w:jc w:val="center"/>
        <w:tblLayout w:type="fixed"/>
        <w:tblCellMar>
          <w:top w:w="0" w:type="dxa"/>
          <w:left w:w="28" w:type="dxa"/>
          <w:bottom w:w="0" w:type="dxa"/>
          <w:right w:w="28" w:type="dxa"/>
        </w:tblCellMar>
      </w:tblPr>
      <w:tblGrid>
        <w:gridCol w:w="850"/>
        <w:gridCol w:w="1275"/>
        <w:gridCol w:w="1055"/>
        <w:gridCol w:w="840"/>
        <w:gridCol w:w="840"/>
        <w:gridCol w:w="1155"/>
        <w:gridCol w:w="1350"/>
        <w:gridCol w:w="1095"/>
        <w:gridCol w:w="1241"/>
        <w:gridCol w:w="1021"/>
      </w:tblGrid>
      <w:tr w14:paraId="6690A381">
        <w:tblPrEx>
          <w:tblCellMar>
            <w:top w:w="0" w:type="dxa"/>
            <w:left w:w="28" w:type="dxa"/>
            <w:bottom w:w="0" w:type="dxa"/>
            <w:right w:w="28" w:type="dxa"/>
          </w:tblCellMar>
        </w:tblPrEx>
        <w:trPr>
          <w:jc w:val="center"/>
        </w:trPr>
        <w:tc>
          <w:tcPr>
            <w:tcW w:w="850" w:type="dxa"/>
            <w:tcBorders>
              <w:top w:val="single" w:color="000000" w:sz="12" w:space="0"/>
              <w:left w:val="single" w:color="000000" w:sz="12" w:space="0"/>
              <w:bottom w:val="double" w:color="000000" w:sz="6" w:space="0"/>
              <w:right w:val="single" w:color="000000" w:sz="6" w:space="0"/>
            </w:tcBorders>
            <w:noWrap w:val="0"/>
            <w:vAlign w:val="center"/>
          </w:tcPr>
          <w:p w14:paraId="26A01718">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序号</w:t>
            </w:r>
          </w:p>
        </w:tc>
        <w:tc>
          <w:tcPr>
            <w:tcW w:w="1275" w:type="dxa"/>
            <w:tcBorders>
              <w:top w:val="single" w:color="000000" w:sz="12" w:space="0"/>
              <w:left w:val="single" w:color="000000" w:sz="6" w:space="0"/>
              <w:bottom w:val="double" w:color="000000" w:sz="6" w:space="0"/>
              <w:right w:val="single" w:color="000000" w:sz="6" w:space="0"/>
            </w:tcBorders>
            <w:noWrap w:val="0"/>
            <w:vAlign w:val="center"/>
          </w:tcPr>
          <w:p w14:paraId="53E487FE">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材料、</w:t>
            </w:r>
          </w:p>
          <w:p w14:paraId="5299B953">
            <w:pPr>
              <w:keepNext/>
              <w:widowControl w:val="0"/>
              <w:tabs>
                <w:tab w:val="center" w:pos="4393"/>
                <w:tab w:val="left" w:pos="6774"/>
              </w:tabs>
              <w:spacing w:before="0" w:after="0" w:line="440" w:lineRule="exact"/>
              <w:ind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设备品种</w:t>
            </w:r>
          </w:p>
        </w:tc>
        <w:tc>
          <w:tcPr>
            <w:tcW w:w="1055" w:type="dxa"/>
            <w:tcBorders>
              <w:top w:val="single" w:color="000000" w:sz="12" w:space="0"/>
              <w:left w:val="single" w:color="000000" w:sz="6" w:space="0"/>
              <w:bottom w:val="double" w:color="000000" w:sz="6" w:space="0"/>
              <w:right w:val="single" w:color="000000" w:sz="6" w:space="0"/>
            </w:tcBorders>
            <w:noWrap w:val="0"/>
            <w:vAlign w:val="center"/>
          </w:tcPr>
          <w:p w14:paraId="2148296F">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规格型号</w:t>
            </w:r>
          </w:p>
        </w:tc>
        <w:tc>
          <w:tcPr>
            <w:tcW w:w="840" w:type="dxa"/>
            <w:tcBorders>
              <w:top w:val="single" w:color="000000" w:sz="12" w:space="0"/>
              <w:left w:val="single" w:color="000000" w:sz="6" w:space="0"/>
              <w:bottom w:val="double" w:color="000000" w:sz="6" w:space="0"/>
              <w:right w:val="single" w:color="000000" w:sz="6" w:space="0"/>
            </w:tcBorders>
            <w:noWrap w:val="0"/>
            <w:vAlign w:val="center"/>
          </w:tcPr>
          <w:p w14:paraId="0BD6FEAC">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单位</w:t>
            </w:r>
          </w:p>
        </w:tc>
        <w:tc>
          <w:tcPr>
            <w:tcW w:w="840" w:type="dxa"/>
            <w:tcBorders>
              <w:top w:val="single" w:color="000000" w:sz="12" w:space="0"/>
              <w:left w:val="single" w:color="000000" w:sz="6" w:space="0"/>
              <w:bottom w:val="double" w:color="000000" w:sz="6" w:space="0"/>
              <w:right w:val="single" w:color="000000" w:sz="6" w:space="0"/>
            </w:tcBorders>
            <w:noWrap w:val="0"/>
            <w:vAlign w:val="center"/>
          </w:tcPr>
          <w:p w14:paraId="4922264E">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数量</w:t>
            </w:r>
          </w:p>
        </w:tc>
        <w:tc>
          <w:tcPr>
            <w:tcW w:w="1155" w:type="dxa"/>
            <w:tcBorders>
              <w:top w:val="single" w:color="000000" w:sz="12" w:space="0"/>
              <w:left w:val="single" w:color="000000" w:sz="6" w:space="0"/>
              <w:bottom w:val="double" w:color="000000" w:sz="6" w:space="0"/>
              <w:right w:val="single" w:color="000000" w:sz="6" w:space="0"/>
            </w:tcBorders>
            <w:noWrap w:val="0"/>
            <w:vAlign w:val="center"/>
          </w:tcPr>
          <w:p w14:paraId="49A2E1DC">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单价（元）</w:t>
            </w:r>
          </w:p>
        </w:tc>
        <w:tc>
          <w:tcPr>
            <w:tcW w:w="1350" w:type="dxa"/>
            <w:tcBorders>
              <w:top w:val="single" w:color="000000" w:sz="12" w:space="0"/>
              <w:left w:val="single" w:color="000000" w:sz="6" w:space="0"/>
              <w:bottom w:val="double" w:color="000000" w:sz="6" w:space="0"/>
              <w:right w:val="single" w:color="000000" w:sz="6" w:space="0"/>
            </w:tcBorders>
            <w:noWrap w:val="0"/>
            <w:vAlign w:val="center"/>
          </w:tcPr>
          <w:p w14:paraId="254B10CE">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质量等级</w:t>
            </w:r>
          </w:p>
        </w:tc>
        <w:tc>
          <w:tcPr>
            <w:tcW w:w="1095" w:type="dxa"/>
            <w:tcBorders>
              <w:top w:val="single" w:color="000000" w:sz="12" w:space="0"/>
              <w:left w:val="single" w:color="000000" w:sz="6" w:space="0"/>
              <w:bottom w:val="double" w:color="000000" w:sz="6" w:space="0"/>
              <w:right w:val="single" w:color="000000" w:sz="6" w:space="0"/>
            </w:tcBorders>
            <w:noWrap w:val="0"/>
            <w:vAlign w:val="center"/>
          </w:tcPr>
          <w:p w14:paraId="2B6C0509">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供应时间</w:t>
            </w:r>
          </w:p>
        </w:tc>
        <w:tc>
          <w:tcPr>
            <w:tcW w:w="1241" w:type="dxa"/>
            <w:tcBorders>
              <w:top w:val="single" w:color="000000" w:sz="12" w:space="0"/>
              <w:left w:val="single" w:color="000000" w:sz="6" w:space="0"/>
              <w:bottom w:val="double" w:color="000000" w:sz="6" w:space="0"/>
              <w:right w:val="single" w:color="000000" w:sz="6" w:space="0"/>
            </w:tcBorders>
            <w:noWrap w:val="0"/>
            <w:vAlign w:val="center"/>
          </w:tcPr>
          <w:p w14:paraId="4D045079">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送达地点</w:t>
            </w:r>
          </w:p>
        </w:tc>
        <w:tc>
          <w:tcPr>
            <w:tcW w:w="1021" w:type="dxa"/>
            <w:tcBorders>
              <w:top w:val="single" w:color="000000" w:sz="12" w:space="0"/>
              <w:left w:val="single" w:color="000000" w:sz="6" w:space="0"/>
              <w:bottom w:val="double" w:color="000000" w:sz="6" w:space="0"/>
              <w:right w:val="single" w:color="000000" w:sz="12" w:space="0"/>
            </w:tcBorders>
            <w:noWrap w:val="0"/>
            <w:vAlign w:val="center"/>
          </w:tcPr>
          <w:p w14:paraId="744954AA">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备注</w:t>
            </w:r>
          </w:p>
        </w:tc>
      </w:tr>
      <w:tr w14:paraId="267805C9">
        <w:tblPrEx>
          <w:tblCellMar>
            <w:top w:w="0" w:type="dxa"/>
            <w:left w:w="28" w:type="dxa"/>
            <w:bottom w:w="0" w:type="dxa"/>
            <w:right w:w="28" w:type="dxa"/>
          </w:tblCellMar>
        </w:tblPrEx>
        <w:trPr>
          <w:trHeight w:val="567" w:hRule="atLeast"/>
          <w:jc w:val="center"/>
        </w:trPr>
        <w:tc>
          <w:tcPr>
            <w:tcW w:w="850" w:type="dxa"/>
            <w:tcBorders>
              <w:top w:val="double" w:color="000000" w:sz="6" w:space="0"/>
              <w:left w:val="single" w:color="000000" w:sz="12" w:space="0"/>
              <w:bottom w:val="single" w:color="000000" w:sz="6" w:space="0"/>
              <w:right w:val="single" w:color="000000" w:sz="6" w:space="0"/>
            </w:tcBorders>
            <w:noWrap w:val="0"/>
            <w:vAlign w:val="center"/>
          </w:tcPr>
          <w:p w14:paraId="70DA979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double" w:color="000000" w:sz="6" w:space="0"/>
              <w:left w:val="single" w:color="000000" w:sz="6" w:space="0"/>
              <w:bottom w:val="single" w:color="000000" w:sz="6" w:space="0"/>
              <w:right w:val="single" w:color="000000" w:sz="6" w:space="0"/>
            </w:tcBorders>
            <w:noWrap w:val="0"/>
            <w:vAlign w:val="center"/>
          </w:tcPr>
          <w:p w14:paraId="3FD15B3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double" w:color="000000" w:sz="6" w:space="0"/>
              <w:left w:val="single" w:color="000000" w:sz="6" w:space="0"/>
              <w:bottom w:val="single" w:color="000000" w:sz="6" w:space="0"/>
              <w:right w:val="single" w:color="000000" w:sz="6" w:space="0"/>
            </w:tcBorders>
            <w:noWrap w:val="0"/>
            <w:vAlign w:val="center"/>
          </w:tcPr>
          <w:p w14:paraId="04FA386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double" w:color="000000" w:sz="6" w:space="0"/>
              <w:left w:val="single" w:color="000000" w:sz="6" w:space="0"/>
              <w:bottom w:val="single" w:color="000000" w:sz="6" w:space="0"/>
              <w:right w:val="single" w:color="000000" w:sz="6" w:space="0"/>
            </w:tcBorders>
            <w:noWrap w:val="0"/>
            <w:vAlign w:val="center"/>
          </w:tcPr>
          <w:p w14:paraId="407BB30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double" w:color="000000" w:sz="6" w:space="0"/>
              <w:left w:val="single" w:color="000000" w:sz="6" w:space="0"/>
              <w:bottom w:val="single" w:color="000000" w:sz="6" w:space="0"/>
              <w:right w:val="single" w:color="000000" w:sz="6" w:space="0"/>
            </w:tcBorders>
            <w:noWrap w:val="0"/>
            <w:vAlign w:val="center"/>
          </w:tcPr>
          <w:p w14:paraId="56D8A62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double" w:color="000000" w:sz="6" w:space="0"/>
              <w:left w:val="single" w:color="000000" w:sz="6" w:space="0"/>
              <w:bottom w:val="single" w:color="000000" w:sz="6" w:space="0"/>
              <w:right w:val="single" w:color="000000" w:sz="6" w:space="0"/>
            </w:tcBorders>
            <w:noWrap w:val="0"/>
            <w:vAlign w:val="center"/>
          </w:tcPr>
          <w:p w14:paraId="65D5C97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double" w:color="000000" w:sz="6" w:space="0"/>
              <w:left w:val="single" w:color="000000" w:sz="6" w:space="0"/>
              <w:bottom w:val="single" w:color="000000" w:sz="6" w:space="0"/>
              <w:right w:val="single" w:color="000000" w:sz="6" w:space="0"/>
            </w:tcBorders>
            <w:noWrap w:val="0"/>
            <w:vAlign w:val="center"/>
          </w:tcPr>
          <w:p w14:paraId="2B9439D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double" w:color="000000" w:sz="6" w:space="0"/>
              <w:left w:val="single" w:color="000000" w:sz="6" w:space="0"/>
              <w:bottom w:val="single" w:color="000000" w:sz="6" w:space="0"/>
              <w:right w:val="single" w:color="000000" w:sz="6" w:space="0"/>
            </w:tcBorders>
            <w:noWrap w:val="0"/>
            <w:vAlign w:val="center"/>
          </w:tcPr>
          <w:p w14:paraId="4172BF0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double" w:color="000000" w:sz="6" w:space="0"/>
              <w:left w:val="single" w:color="000000" w:sz="6" w:space="0"/>
              <w:bottom w:val="single" w:color="000000" w:sz="6" w:space="0"/>
              <w:right w:val="single" w:color="000000" w:sz="6" w:space="0"/>
            </w:tcBorders>
            <w:noWrap w:val="0"/>
            <w:vAlign w:val="center"/>
          </w:tcPr>
          <w:p w14:paraId="60C2FC0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double" w:color="000000" w:sz="6" w:space="0"/>
              <w:left w:val="single" w:color="000000" w:sz="6" w:space="0"/>
              <w:bottom w:val="single" w:color="000000" w:sz="6" w:space="0"/>
              <w:right w:val="single" w:color="000000" w:sz="12" w:space="0"/>
            </w:tcBorders>
            <w:noWrap w:val="0"/>
            <w:vAlign w:val="center"/>
          </w:tcPr>
          <w:p w14:paraId="44B2FED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5ADEDC04">
        <w:tblPrEx>
          <w:tblCellMar>
            <w:top w:w="0" w:type="dxa"/>
            <w:left w:w="28" w:type="dxa"/>
            <w:bottom w:w="0" w:type="dxa"/>
            <w:right w:w="28" w:type="dxa"/>
          </w:tblCellMar>
        </w:tblPrEx>
        <w:trPr>
          <w:trHeight w:val="567" w:hRule="atLeast"/>
          <w:jc w:val="center"/>
        </w:trPr>
        <w:tc>
          <w:tcPr>
            <w:tcW w:w="850" w:type="dxa"/>
            <w:tcBorders>
              <w:left w:val="single" w:color="000000" w:sz="12" w:space="0"/>
              <w:bottom w:val="single" w:color="000000" w:sz="6" w:space="0"/>
              <w:right w:val="single" w:color="000000" w:sz="6" w:space="0"/>
            </w:tcBorders>
            <w:noWrap w:val="0"/>
            <w:vAlign w:val="center"/>
          </w:tcPr>
          <w:p w14:paraId="6DBBB64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1521CED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left w:val="single" w:color="000000" w:sz="6" w:space="0"/>
              <w:bottom w:val="single" w:color="000000" w:sz="6" w:space="0"/>
              <w:right w:val="single" w:color="000000" w:sz="6" w:space="0"/>
            </w:tcBorders>
            <w:noWrap w:val="0"/>
            <w:vAlign w:val="center"/>
          </w:tcPr>
          <w:p w14:paraId="3D8B269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left w:val="single" w:color="000000" w:sz="6" w:space="0"/>
              <w:bottom w:val="single" w:color="000000" w:sz="6" w:space="0"/>
              <w:right w:val="single" w:color="000000" w:sz="6" w:space="0"/>
            </w:tcBorders>
            <w:noWrap w:val="0"/>
            <w:vAlign w:val="center"/>
          </w:tcPr>
          <w:p w14:paraId="33127A9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left w:val="single" w:color="000000" w:sz="6" w:space="0"/>
              <w:bottom w:val="single" w:color="000000" w:sz="6" w:space="0"/>
              <w:right w:val="single" w:color="000000" w:sz="6" w:space="0"/>
            </w:tcBorders>
            <w:noWrap w:val="0"/>
            <w:vAlign w:val="center"/>
          </w:tcPr>
          <w:p w14:paraId="2D3238C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left w:val="single" w:color="000000" w:sz="6" w:space="0"/>
              <w:bottom w:val="single" w:color="000000" w:sz="6" w:space="0"/>
              <w:right w:val="single" w:color="000000" w:sz="6" w:space="0"/>
            </w:tcBorders>
            <w:noWrap w:val="0"/>
            <w:vAlign w:val="center"/>
          </w:tcPr>
          <w:p w14:paraId="162E87B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left w:val="single" w:color="000000" w:sz="6" w:space="0"/>
              <w:bottom w:val="single" w:color="000000" w:sz="6" w:space="0"/>
              <w:right w:val="single" w:color="000000" w:sz="6" w:space="0"/>
            </w:tcBorders>
            <w:noWrap w:val="0"/>
            <w:vAlign w:val="center"/>
          </w:tcPr>
          <w:p w14:paraId="394AE7C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40329D4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left w:val="single" w:color="000000" w:sz="6" w:space="0"/>
              <w:bottom w:val="single" w:color="000000" w:sz="6" w:space="0"/>
              <w:right w:val="single" w:color="000000" w:sz="6" w:space="0"/>
            </w:tcBorders>
            <w:noWrap w:val="0"/>
            <w:vAlign w:val="center"/>
          </w:tcPr>
          <w:p w14:paraId="0E58D05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left w:val="single" w:color="000000" w:sz="6" w:space="0"/>
              <w:bottom w:val="single" w:color="000000" w:sz="6" w:space="0"/>
              <w:right w:val="single" w:color="000000" w:sz="12" w:space="0"/>
            </w:tcBorders>
            <w:noWrap w:val="0"/>
            <w:vAlign w:val="center"/>
          </w:tcPr>
          <w:p w14:paraId="15C6941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0563DD68">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46876E2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64CDB5A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46AE6C6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7E5850B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40F1FFF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4262FAB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418FD56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6A95A54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05A6D8A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0312356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620A40F8">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4F4D36C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739A50E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203BF1A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40C4FE1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3D1CBC8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301CCFC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6616800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6C33D7A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3F3FDE2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0D09D13F">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78ADB1A1">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58C999B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1285167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305390AF">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477E41A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5BDC1D1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1FD6358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3C60E92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3EF689D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076736A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5B73554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5D832FB1">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00C9400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0F959F6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2530F48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5FEE262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4CB4B62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7F25403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6274DF5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6B04C7A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53A2892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6BEB99B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295243DA">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23AE09E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5B33568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4DFE3BC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62018DF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79F81B5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51963FA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245950F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6C2BEBD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675A980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34B6174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7BC5499D">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6B60566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0C24903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32B855E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56C7BDB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71C6CD5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5AFB07A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1AF5288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28510F4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38479EA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6A25BFD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6E2755CF">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642A3987">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3D1869D1">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39310A1B">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6AA8FE16">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74932B9F">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72070134">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61B31EF1">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7E0A183C">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28633706">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01BC7CB0">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r>
      <w:tr w14:paraId="5A551869">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345C7F3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44B97BA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14DF0D5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7B08670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55AE46DF">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7A97C20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7A32602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6E5AA2A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6BD8C31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1644022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4252F58D">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6045CED0">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3B6671AC">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70CD1F45">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6CD2AEBD">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68863CFD">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793B3038">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572F6316">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594E681D">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16C63B07">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105D3349">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r>
      <w:tr w14:paraId="527C7C09">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41D1CD09">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370CA471">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74342638">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54656113">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23ACC500">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0BFDD6EF">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7C9D7BB5">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47A65772">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742CB659">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1DF00421">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r>
      <w:tr w14:paraId="322D1BC7">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40ECD5E5">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30037AB1">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25D7823D">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6A0F5C7F">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207A9222">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372B2894">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231727F0">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15AEA5F3">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6F4AEB6D">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5D1E9252">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r>
      <w:tr w14:paraId="2E0D3CDA">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1A0E7461">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0C4BB1D3">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25C3EF51">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62F803E5">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7002C20F">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543EA92B">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58A06289">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21EEDF8D">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55EC6A77">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07345494">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r>
      <w:tr w14:paraId="37B7C755">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1FE1F80C">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10FE7276">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3120B6C7">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1BDD043E">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63884356">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0D6417BF">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1F5B47A6">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72B68517">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5B0FFBDD">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418E34C8">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r>
      <w:tr w14:paraId="7E114552">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1E75908F">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4FA031EA">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2019C247">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5EB4D75A">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6095A930">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07648BB6">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509253C9">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766F3EC6">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4572A2AC">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110D88C4">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r>
      <w:tr w14:paraId="253DD109">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7CD45FBF">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51621937">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111991EC">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35B959F4">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71C8A89C">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38FA1EB3">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59833ACE">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44DA1AA8">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2DE4E3EF">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27327BD0">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r>
      <w:tr w14:paraId="3B928CA6">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12" w:space="0"/>
              <w:right w:val="single" w:color="000000" w:sz="6" w:space="0"/>
            </w:tcBorders>
            <w:noWrap w:val="0"/>
            <w:vAlign w:val="center"/>
          </w:tcPr>
          <w:p w14:paraId="007FF8E0">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12" w:space="0"/>
              <w:right w:val="single" w:color="000000" w:sz="6" w:space="0"/>
            </w:tcBorders>
            <w:noWrap w:val="0"/>
            <w:vAlign w:val="center"/>
          </w:tcPr>
          <w:p w14:paraId="12582D08">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12" w:space="0"/>
              <w:right w:val="single" w:color="000000" w:sz="6" w:space="0"/>
            </w:tcBorders>
            <w:noWrap w:val="0"/>
            <w:vAlign w:val="center"/>
          </w:tcPr>
          <w:p w14:paraId="2A885D3E">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12" w:space="0"/>
              <w:right w:val="single" w:color="000000" w:sz="6" w:space="0"/>
            </w:tcBorders>
            <w:noWrap w:val="0"/>
            <w:vAlign w:val="center"/>
          </w:tcPr>
          <w:p w14:paraId="151E3398">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12" w:space="0"/>
              <w:right w:val="single" w:color="000000" w:sz="6" w:space="0"/>
            </w:tcBorders>
            <w:noWrap w:val="0"/>
            <w:vAlign w:val="center"/>
          </w:tcPr>
          <w:p w14:paraId="3F6C362A">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12" w:space="0"/>
              <w:right w:val="single" w:color="000000" w:sz="6" w:space="0"/>
            </w:tcBorders>
            <w:noWrap w:val="0"/>
            <w:vAlign w:val="center"/>
          </w:tcPr>
          <w:p w14:paraId="431FF461">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12" w:space="0"/>
              <w:right w:val="single" w:color="000000" w:sz="6" w:space="0"/>
            </w:tcBorders>
            <w:noWrap w:val="0"/>
            <w:vAlign w:val="center"/>
          </w:tcPr>
          <w:p w14:paraId="2DE07541">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12" w:space="0"/>
              <w:right w:val="single" w:color="000000" w:sz="6" w:space="0"/>
            </w:tcBorders>
            <w:noWrap w:val="0"/>
            <w:vAlign w:val="center"/>
          </w:tcPr>
          <w:p w14:paraId="6FCB0080">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12" w:space="0"/>
              <w:right w:val="single" w:color="000000" w:sz="6" w:space="0"/>
            </w:tcBorders>
            <w:noWrap w:val="0"/>
            <w:vAlign w:val="center"/>
          </w:tcPr>
          <w:p w14:paraId="1DC7B556">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12" w:space="0"/>
              <w:right w:val="single" w:color="000000" w:sz="12" w:space="0"/>
            </w:tcBorders>
            <w:noWrap w:val="0"/>
            <w:vAlign w:val="center"/>
          </w:tcPr>
          <w:p w14:paraId="7D6679A5">
            <w:pPr>
              <w:tabs>
                <w:tab w:val="center" w:pos="4393"/>
                <w:tab w:val="left" w:pos="6774"/>
              </w:tabs>
              <w:snapToGrid w:val="0"/>
              <w:spacing w:line="240" w:lineRule="auto"/>
              <w:ind w:firstLine="0" w:firstLineChars="0"/>
              <w:jc w:val="center"/>
              <w:rPr>
                <w:rFonts w:hint="eastAsia" w:ascii="宋体" w:hAnsi="宋体" w:eastAsia="宋体" w:cs="宋体"/>
                <w:bCs w:val="0"/>
                <w:color w:val="auto"/>
                <w:spacing w:val="0"/>
                <w:kern w:val="2"/>
                <w:sz w:val="21"/>
                <w:szCs w:val="21"/>
                <w:highlight w:val="none"/>
              </w:rPr>
            </w:pPr>
          </w:p>
        </w:tc>
      </w:tr>
    </w:tbl>
    <w:p w14:paraId="67F8C692">
      <w:pPr>
        <w:tabs>
          <w:tab w:val="center" w:pos="4393"/>
          <w:tab w:val="left" w:pos="6774"/>
        </w:tabs>
        <w:spacing w:line="440" w:lineRule="exact"/>
        <w:ind w:firstLine="0" w:firstLineChars="0"/>
        <w:jc w:val="both"/>
        <w:rPr>
          <w:rFonts w:hint="eastAsia" w:ascii="宋体" w:hAnsi="宋体" w:eastAsia="宋体" w:cs="宋体"/>
          <w:bCs w:val="0"/>
          <w:color w:val="auto"/>
          <w:spacing w:val="0"/>
          <w:kern w:val="2"/>
          <w:sz w:val="21"/>
          <w:szCs w:val="21"/>
          <w:highlight w:val="none"/>
        </w:rPr>
      </w:pPr>
    </w:p>
    <w:p w14:paraId="4EDB3F14">
      <w:pPr>
        <w:tabs>
          <w:tab w:val="center" w:pos="4393"/>
          <w:tab w:val="left" w:pos="6774"/>
        </w:tabs>
        <w:spacing w:line="440" w:lineRule="exact"/>
        <w:ind w:firstLine="0" w:firstLineChars="0"/>
        <w:jc w:val="both"/>
        <w:rPr>
          <w:rFonts w:hint="eastAsia" w:ascii="宋体" w:hAnsi="宋体" w:eastAsia="宋体" w:cs="宋体"/>
          <w:bCs w:val="0"/>
          <w:color w:val="auto"/>
          <w:spacing w:val="0"/>
          <w:kern w:val="2"/>
          <w:sz w:val="21"/>
          <w:szCs w:val="21"/>
          <w:highlight w:val="none"/>
        </w:rPr>
      </w:pPr>
    </w:p>
    <w:p w14:paraId="1B9D6274">
      <w:pPr>
        <w:tabs>
          <w:tab w:val="center" w:pos="4393"/>
          <w:tab w:val="left" w:pos="6774"/>
        </w:tabs>
        <w:spacing w:line="440" w:lineRule="exact"/>
        <w:ind w:firstLine="0" w:firstLineChars="0"/>
        <w:jc w:val="both"/>
        <w:rPr>
          <w:rFonts w:hint="eastAsia" w:ascii="宋体" w:hAnsi="宋体" w:eastAsia="宋体" w:cs="宋体"/>
          <w:bCs w:val="0"/>
          <w:color w:val="auto"/>
          <w:spacing w:val="0"/>
          <w:kern w:val="2"/>
          <w:sz w:val="21"/>
          <w:szCs w:val="21"/>
          <w:highlight w:val="none"/>
        </w:rPr>
      </w:pPr>
    </w:p>
    <w:p w14:paraId="0835A6F7">
      <w:pPr>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附件3：    </w:t>
      </w:r>
    </w:p>
    <w:p w14:paraId="4457B54F">
      <w:pPr>
        <w:tabs>
          <w:tab w:val="center" w:pos="4393"/>
          <w:tab w:val="left" w:pos="6774"/>
        </w:tabs>
        <w:spacing w:line="360" w:lineRule="auto"/>
        <w:ind w:firstLine="0" w:firstLineChars="0"/>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
          <w:bCs w:val="0"/>
          <w:color w:val="auto"/>
          <w:spacing w:val="0"/>
          <w:kern w:val="2"/>
          <w:sz w:val="21"/>
          <w:szCs w:val="21"/>
          <w:highlight w:val="none"/>
          <w:lang w:bidi="ar"/>
        </w:rPr>
        <w:t>工程质量保修书</w:t>
      </w:r>
    </w:p>
    <w:p w14:paraId="0C7CF990">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u w:val="single"/>
          <w:lang w:eastAsia="zh-CN"/>
        </w:rPr>
      </w:pPr>
      <w:r>
        <w:rPr>
          <w:rFonts w:hint="eastAsia" w:ascii="宋体" w:hAnsi="宋体" w:eastAsia="宋体" w:cs="宋体"/>
          <w:bCs w:val="0"/>
          <w:color w:val="auto"/>
          <w:spacing w:val="0"/>
          <w:kern w:val="2"/>
          <w:sz w:val="21"/>
          <w:szCs w:val="21"/>
          <w:highlight w:val="none"/>
          <w:lang w:bidi="ar"/>
        </w:rPr>
        <w:t>发包人（全称）：</w:t>
      </w:r>
    </w:p>
    <w:p w14:paraId="16F22F4D">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lang w:bidi="ar"/>
        </w:rPr>
        <w:t>承包人（全称）：</w:t>
      </w:r>
      <w:r>
        <w:rPr>
          <w:rFonts w:hint="eastAsia" w:ascii="宋体" w:hAnsi="宋体" w:eastAsia="宋体" w:cs="宋体"/>
          <w:bCs w:val="0"/>
          <w:color w:val="auto"/>
          <w:spacing w:val="0"/>
          <w:kern w:val="2"/>
          <w:sz w:val="21"/>
          <w:szCs w:val="21"/>
          <w:highlight w:val="none"/>
          <w:u w:val="single"/>
          <w:lang w:bidi="ar"/>
        </w:rPr>
        <w:t xml:space="preserve">                                </w:t>
      </w:r>
      <w:r>
        <w:rPr>
          <w:rFonts w:hint="eastAsia" w:ascii="宋体" w:hAnsi="宋体" w:eastAsia="宋体" w:cs="宋体"/>
          <w:bCs w:val="0"/>
          <w:color w:val="auto"/>
          <w:spacing w:val="0"/>
          <w:kern w:val="2"/>
          <w:sz w:val="21"/>
          <w:szCs w:val="21"/>
          <w:highlight w:val="none"/>
          <w:lang w:bidi="ar"/>
        </w:rPr>
        <w:t xml:space="preserve"> </w:t>
      </w:r>
    </w:p>
    <w:p w14:paraId="1CE812DA">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发包人和承包人根据《中华人民共和国建筑法》和《建设工程质量管理条例》，经协商一致就</w:t>
      </w:r>
      <w:r>
        <w:rPr>
          <w:rFonts w:hint="eastAsia" w:ascii="宋体" w:hAnsi="宋体" w:eastAsia="宋体" w:cs="宋体"/>
          <w:bCs w:val="0"/>
          <w:color w:val="auto"/>
          <w:spacing w:val="0"/>
          <w:kern w:val="2"/>
          <w:sz w:val="21"/>
          <w:szCs w:val="21"/>
          <w:highlight w:val="none"/>
          <w:u w:val="single"/>
          <w:lang w:val="en-US" w:eastAsia="zh-CN" w:bidi="ar"/>
        </w:rPr>
        <w:t xml:space="preserve">                    </w:t>
      </w:r>
      <w:r>
        <w:rPr>
          <w:rFonts w:hint="eastAsia" w:ascii="宋体" w:hAnsi="宋体" w:eastAsia="宋体" w:cs="宋体"/>
          <w:bCs w:val="0"/>
          <w:color w:val="auto"/>
          <w:spacing w:val="0"/>
          <w:kern w:val="2"/>
          <w:sz w:val="21"/>
          <w:szCs w:val="21"/>
          <w:highlight w:val="none"/>
          <w:lang w:bidi="ar"/>
        </w:rPr>
        <w:t>（工程全称）签订工程质量保修书。</w:t>
      </w:r>
    </w:p>
    <w:p w14:paraId="544E2BA8">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一、工程质量保修范围和内容</w:t>
      </w:r>
    </w:p>
    <w:p w14:paraId="150BAA28">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承包人在质量保修期内，按照有关法律规定和合同约定，承担工程质量保修责任。</w:t>
      </w:r>
    </w:p>
    <w:p w14:paraId="5BCDB0B4">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Cs w:val="0"/>
          <w:color w:val="auto"/>
          <w:spacing w:val="0"/>
          <w:kern w:val="2"/>
          <w:sz w:val="21"/>
          <w:szCs w:val="21"/>
          <w:highlight w:val="none"/>
          <w:u w:val="single"/>
          <w:lang w:bidi="ar"/>
        </w:rPr>
        <w:t xml:space="preserve"> 根据《建设工程质量管理条例》及有关规定执行 </w:t>
      </w:r>
      <w:r>
        <w:rPr>
          <w:rFonts w:hint="eastAsia" w:ascii="宋体" w:hAnsi="宋体" w:eastAsia="宋体" w:cs="宋体"/>
          <w:bCs w:val="0"/>
          <w:color w:val="auto"/>
          <w:spacing w:val="0"/>
          <w:kern w:val="2"/>
          <w:sz w:val="21"/>
          <w:szCs w:val="21"/>
          <w:highlight w:val="none"/>
          <w:lang w:bidi="ar"/>
        </w:rPr>
        <w:t>。</w:t>
      </w:r>
    </w:p>
    <w:p w14:paraId="0CB01517">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二、质量保修期</w:t>
      </w:r>
    </w:p>
    <w:p w14:paraId="157B27DB">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根据《建设工程质量管理条例》及有关规定，工程的质量保修期如下：</w:t>
      </w:r>
    </w:p>
    <w:p w14:paraId="119596DF">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地基基础工程和主体结构工程为设计文件规定的工程合理使用年限；</w:t>
      </w:r>
    </w:p>
    <w:p w14:paraId="4DE582BD">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屋面防水工程、有防水要求的卫生间、房间和外墙面的防渗为</w:t>
      </w:r>
      <w:r>
        <w:rPr>
          <w:rFonts w:hint="eastAsia" w:ascii="宋体" w:hAnsi="宋体" w:eastAsia="宋体" w:cs="宋体"/>
          <w:bCs w:val="0"/>
          <w:color w:val="auto"/>
          <w:spacing w:val="0"/>
          <w:kern w:val="2"/>
          <w:sz w:val="21"/>
          <w:szCs w:val="21"/>
          <w:highlight w:val="none"/>
          <w:u w:val="single"/>
          <w:lang w:bidi="ar"/>
        </w:rPr>
        <w:t xml:space="preserve"> 5 </w:t>
      </w:r>
      <w:r>
        <w:rPr>
          <w:rFonts w:hint="eastAsia" w:ascii="宋体" w:hAnsi="宋体" w:eastAsia="宋体" w:cs="宋体"/>
          <w:bCs w:val="0"/>
          <w:color w:val="auto"/>
          <w:spacing w:val="0"/>
          <w:kern w:val="2"/>
          <w:sz w:val="21"/>
          <w:szCs w:val="21"/>
          <w:highlight w:val="none"/>
          <w:lang w:bidi="ar"/>
        </w:rPr>
        <w:t>年；</w:t>
      </w:r>
    </w:p>
    <w:p w14:paraId="3F55B63F">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装修工程为</w:t>
      </w:r>
      <w:r>
        <w:rPr>
          <w:rFonts w:hint="eastAsia" w:ascii="宋体" w:hAnsi="宋体" w:eastAsia="宋体" w:cs="宋体"/>
          <w:bCs w:val="0"/>
          <w:color w:val="auto"/>
          <w:spacing w:val="0"/>
          <w:kern w:val="2"/>
          <w:sz w:val="21"/>
          <w:szCs w:val="21"/>
          <w:highlight w:val="none"/>
          <w:u w:val="single"/>
          <w:lang w:bidi="ar"/>
        </w:rPr>
        <w:t xml:space="preserve"> 2 </w:t>
      </w:r>
      <w:r>
        <w:rPr>
          <w:rFonts w:hint="eastAsia" w:ascii="宋体" w:hAnsi="宋体" w:eastAsia="宋体" w:cs="宋体"/>
          <w:bCs w:val="0"/>
          <w:color w:val="auto"/>
          <w:spacing w:val="0"/>
          <w:kern w:val="2"/>
          <w:sz w:val="21"/>
          <w:szCs w:val="21"/>
          <w:highlight w:val="none"/>
          <w:lang w:bidi="ar"/>
        </w:rPr>
        <w:t>年；</w:t>
      </w:r>
    </w:p>
    <w:p w14:paraId="15A79801">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电气管线、给排水管道、设备安装工程为</w:t>
      </w:r>
      <w:r>
        <w:rPr>
          <w:rFonts w:hint="eastAsia" w:ascii="宋体" w:hAnsi="宋体" w:eastAsia="宋体" w:cs="宋体"/>
          <w:bCs w:val="0"/>
          <w:color w:val="auto"/>
          <w:spacing w:val="0"/>
          <w:kern w:val="2"/>
          <w:sz w:val="21"/>
          <w:szCs w:val="21"/>
          <w:highlight w:val="none"/>
          <w:u w:val="single"/>
          <w:lang w:bidi="ar"/>
        </w:rPr>
        <w:t xml:space="preserve"> 2 </w:t>
      </w:r>
      <w:r>
        <w:rPr>
          <w:rFonts w:hint="eastAsia" w:ascii="宋体" w:hAnsi="宋体" w:eastAsia="宋体" w:cs="宋体"/>
          <w:bCs w:val="0"/>
          <w:color w:val="auto"/>
          <w:spacing w:val="0"/>
          <w:kern w:val="2"/>
          <w:sz w:val="21"/>
          <w:szCs w:val="21"/>
          <w:highlight w:val="none"/>
          <w:lang w:bidi="ar"/>
        </w:rPr>
        <w:t>年；</w:t>
      </w:r>
    </w:p>
    <w:p w14:paraId="57C122AD">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5</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供热与供冷系统为</w:t>
      </w:r>
      <w:r>
        <w:rPr>
          <w:rFonts w:hint="eastAsia" w:ascii="宋体" w:hAnsi="宋体" w:eastAsia="宋体" w:cs="宋体"/>
          <w:bCs w:val="0"/>
          <w:color w:val="auto"/>
          <w:spacing w:val="0"/>
          <w:kern w:val="2"/>
          <w:sz w:val="21"/>
          <w:szCs w:val="21"/>
          <w:highlight w:val="none"/>
          <w:u w:val="single"/>
          <w:lang w:bidi="ar"/>
        </w:rPr>
        <w:t xml:space="preserve"> 2 </w:t>
      </w:r>
      <w:r>
        <w:rPr>
          <w:rFonts w:hint="eastAsia" w:ascii="宋体" w:hAnsi="宋体" w:eastAsia="宋体" w:cs="宋体"/>
          <w:bCs w:val="0"/>
          <w:color w:val="auto"/>
          <w:spacing w:val="0"/>
          <w:kern w:val="2"/>
          <w:sz w:val="21"/>
          <w:szCs w:val="21"/>
          <w:highlight w:val="none"/>
          <w:lang w:bidi="ar"/>
        </w:rPr>
        <w:t>个采暖期、供冷期；</w:t>
      </w:r>
    </w:p>
    <w:p w14:paraId="312881EB">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6</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住宅小区内的给排水设施、道路等配套工程为</w:t>
      </w:r>
      <w:r>
        <w:rPr>
          <w:rFonts w:hint="eastAsia" w:ascii="宋体" w:hAnsi="宋体" w:eastAsia="宋体" w:cs="宋体"/>
          <w:bCs w:val="0"/>
          <w:color w:val="auto"/>
          <w:spacing w:val="0"/>
          <w:kern w:val="2"/>
          <w:sz w:val="21"/>
          <w:szCs w:val="21"/>
          <w:highlight w:val="none"/>
          <w:u w:val="single"/>
          <w:lang w:bidi="ar"/>
        </w:rPr>
        <w:t xml:space="preserve"> 2 </w:t>
      </w:r>
      <w:r>
        <w:rPr>
          <w:rFonts w:hint="eastAsia" w:ascii="宋体" w:hAnsi="宋体" w:eastAsia="宋体" w:cs="宋体"/>
          <w:bCs w:val="0"/>
          <w:color w:val="auto"/>
          <w:spacing w:val="0"/>
          <w:kern w:val="2"/>
          <w:sz w:val="21"/>
          <w:szCs w:val="21"/>
          <w:highlight w:val="none"/>
          <w:lang w:bidi="ar"/>
        </w:rPr>
        <w:t>年；</w:t>
      </w:r>
    </w:p>
    <w:p w14:paraId="65BB47AC">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其他项目保修期限约定如下：</w:t>
      </w:r>
      <w:r>
        <w:rPr>
          <w:rFonts w:hint="eastAsia" w:ascii="宋体" w:hAnsi="宋体" w:eastAsia="宋体" w:cs="宋体"/>
          <w:bCs w:val="0"/>
          <w:color w:val="auto"/>
          <w:spacing w:val="0"/>
          <w:kern w:val="2"/>
          <w:sz w:val="21"/>
          <w:szCs w:val="21"/>
          <w:highlight w:val="none"/>
          <w:u w:val="single"/>
          <w:lang w:bidi="ar"/>
        </w:rPr>
        <w:t xml:space="preserve"> </w:t>
      </w:r>
      <w:r>
        <w:rPr>
          <w:rFonts w:hint="eastAsia" w:ascii="宋体" w:hAnsi="宋体" w:eastAsia="宋体" w:cs="宋体"/>
          <w:b/>
          <w:bCs/>
          <w:color w:val="auto"/>
          <w:spacing w:val="0"/>
          <w:kern w:val="2"/>
          <w:sz w:val="21"/>
          <w:szCs w:val="21"/>
          <w:highlight w:val="none"/>
          <w:u w:val="single"/>
          <w:lang w:val="en-US" w:eastAsia="zh-CN" w:bidi="ar"/>
        </w:rPr>
        <w:t>本项目质保期为2年</w:t>
      </w:r>
      <w:r>
        <w:rPr>
          <w:rFonts w:hint="eastAsia" w:ascii="宋体" w:hAnsi="宋体" w:eastAsia="宋体" w:cs="宋体"/>
          <w:b/>
          <w:bCs/>
          <w:color w:val="auto"/>
          <w:spacing w:val="0"/>
          <w:kern w:val="2"/>
          <w:sz w:val="21"/>
          <w:szCs w:val="21"/>
          <w:highlight w:val="none"/>
          <w:u w:val="single"/>
          <w:lang w:bidi="ar"/>
        </w:rPr>
        <w:t xml:space="preserve"> </w:t>
      </w:r>
      <w:r>
        <w:rPr>
          <w:rFonts w:hint="eastAsia" w:ascii="宋体" w:hAnsi="宋体" w:eastAsia="宋体" w:cs="宋体"/>
          <w:bCs w:val="0"/>
          <w:color w:val="auto"/>
          <w:spacing w:val="0"/>
          <w:kern w:val="2"/>
          <w:sz w:val="21"/>
          <w:szCs w:val="21"/>
          <w:highlight w:val="none"/>
          <w:lang w:bidi="ar"/>
        </w:rPr>
        <w:t>。</w:t>
      </w:r>
    </w:p>
    <w:p w14:paraId="69EECB51">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质量保修期自工程竣工验收合格之日起计算。</w:t>
      </w:r>
    </w:p>
    <w:p w14:paraId="49A03894">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三、缺陷责任期</w:t>
      </w:r>
    </w:p>
    <w:p w14:paraId="0C73EC1E">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工程缺陷责任期为</w:t>
      </w:r>
      <w:r>
        <w:rPr>
          <w:rFonts w:hint="eastAsia" w:ascii="宋体" w:hAnsi="宋体" w:eastAsia="宋体" w:cs="宋体"/>
          <w:bCs w:val="0"/>
          <w:color w:val="auto"/>
          <w:spacing w:val="0"/>
          <w:kern w:val="2"/>
          <w:sz w:val="21"/>
          <w:szCs w:val="21"/>
          <w:highlight w:val="none"/>
          <w:u w:val="single"/>
          <w:lang w:bidi="ar"/>
        </w:rPr>
        <w:t xml:space="preserve"> 24 </w:t>
      </w:r>
      <w:r>
        <w:rPr>
          <w:rFonts w:hint="eastAsia" w:ascii="宋体" w:hAnsi="宋体" w:eastAsia="宋体" w:cs="宋体"/>
          <w:bCs w:val="0"/>
          <w:color w:val="auto"/>
          <w:spacing w:val="0"/>
          <w:kern w:val="2"/>
          <w:sz w:val="21"/>
          <w:szCs w:val="21"/>
          <w:highlight w:val="none"/>
          <w:lang w:bidi="ar"/>
        </w:rPr>
        <w:t>个月，缺陷责任期自工程通过竣工验收之日起计算。单位工程先于全部工程进行验收，单位工程缺陷责任期自单位工程验收合格之日起算。</w:t>
      </w:r>
    </w:p>
    <w:p w14:paraId="6D2A2BD9">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缺陷责任期终止后，发包人应退还剩余的质量保证金。</w:t>
      </w:r>
    </w:p>
    <w:p w14:paraId="47022AB5">
      <w:pPr>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四、质量保修责任</w:t>
      </w:r>
    </w:p>
    <w:p w14:paraId="08F9A0DA">
      <w:pPr>
        <w:tabs>
          <w:tab w:val="center" w:pos="4393"/>
          <w:tab w:val="left" w:pos="6774"/>
        </w:tabs>
        <w:spacing w:line="360" w:lineRule="auto"/>
        <w:ind w:firstLine="428"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属于保修范围、内容的项目，承包人应当在接到保修通知之日起7天内派人保修。承包人不在约定期限内派人保修的，发包人可以委托他人修理。</w:t>
      </w:r>
    </w:p>
    <w:p w14:paraId="0287F270">
      <w:pPr>
        <w:tabs>
          <w:tab w:val="center" w:pos="4393"/>
          <w:tab w:val="left" w:pos="6774"/>
        </w:tabs>
        <w:spacing w:line="360" w:lineRule="auto"/>
        <w:ind w:firstLine="428"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发生紧急事故需抢修的，承包人在接到事故通知后，应当立即到达事故现场抢修。</w:t>
      </w:r>
    </w:p>
    <w:p w14:paraId="1ED6C2C4">
      <w:pPr>
        <w:tabs>
          <w:tab w:val="center" w:pos="4393"/>
          <w:tab w:val="left" w:pos="6774"/>
        </w:tabs>
        <w:spacing w:line="360" w:lineRule="auto"/>
        <w:ind w:firstLine="428"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FB16887">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质量保修完成后，由发包人组织验收。</w:t>
      </w:r>
    </w:p>
    <w:p w14:paraId="7E5C5283">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五、保修费用</w:t>
      </w:r>
    </w:p>
    <w:p w14:paraId="61645712">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保修费用由造成质量缺陷的责任方承担。</w:t>
      </w:r>
    </w:p>
    <w:p w14:paraId="43CD848C">
      <w:pPr>
        <w:tabs>
          <w:tab w:val="center" w:pos="4393"/>
          <w:tab w:val="left" w:pos="6774"/>
        </w:tabs>
        <w:spacing w:line="360" w:lineRule="auto"/>
        <w:ind w:firstLine="42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color w:val="auto"/>
          <w:spacing w:val="0"/>
          <w:kern w:val="2"/>
          <w:sz w:val="21"/>
          <w:szCs w:val="21"/>
          <w:highlight w:val="none"/>
          <w:lang w:bidi="ar"/>
        </w:rPr>
        <w:t>六</w:t>
      </w:r>
      <w:r>
        <w:rPr>
          <w:rFonts w:hint="eastAsia" w:ascii="宋体" w:hAnsi="宋体" w:eastAsia="宋体" w:cs="宋体"/>
          <w:bCs w:val="0"/>
          <w:color w:val="auto"/>
          <w:spacing w:val="0"/>
          <w:kern w:val="2"/>
          <w:sz w:val="21"/>
          <w:szCs w:val="21"/>
          <w:highlight w:val="none"/>
          <w:lang w:bidi="ar"/>
        </w:rPr>
        <w:t>、双方约定的其他工程质量保修事项：</w:t>
      </w:r>
      <w:r>
        <w:rPr>
          <w:rFonts w:hint="eastAsia" w:ascii="宋体" w:hAnsi="宋体" w:eastAsia="宋体" w:cs="宋体"/>
          <w:bCs w:val="0"/>
          <w:color w:val="auto"/>
          <w:spacing w:val="0"/>
          <w:kern w:val="2"/>
          <w:sz w:val="21"/>
          <w:szCs w:val="21"/>
          <w:highlight w:val="none"/>
          <w:u w:val="single"/>
          <w:lang w:bidi="ar"/>
        </w:rPr>
        <w:t xml:space="preserve"> 根据《建设工程质量管理条例》及有关规定执行 </w:t>
      </w:r>
      <w:r>
        <w:rPr>
          <w:rFonts w:hint="eastAsia" w:ascii="宋体" w:hAnsi="宋体" w:eastAsia="宋体" w:cs="宋体"/>
          <w:bCs w:val="0"/>
          <w:color w:val="auto"/>
          <w:spacing w:val="0"/>
          <w:kern w:val="2"/>
          <w:sz w:val="21"/>
          <w:szCs w:val="21"/>
          <w:highlight w:val="none"/>
          <w:lang w:bidi="ar"/>
        </w:rPr>
        <w:t>。</w:t>
      </w:r>
    </w:p>
    <w:p w14:paraId="49E5C14D">
      <w:pPr>
        <w:tabs>
          <w:tab w:val="center" w:pos="4393"/>
          <w:tab w:val="left" w:pos="6774"/>
        </w:tabs>
        <w:spacing w:line="360" w:lineRule="auto"/>
        <w:ind w:firstLine="399"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工程质量保修书由发包人、承包人在工程竣工验收前共同签署，作为施工合同附件，其有效期限至保修期满。</w:t>
      </w:r>
    </w:p>
    <w:p w14:paraId="29799370">
      <w:pPr>
        <w:tabs>
          <w:tab w:val="center" w:pos="4393"/>
          <w:tab w:val="left" w:pos="6774"/>
        </w:tabs>
        <w:spacing w:line="360" w:lineRule="auto"/>
        <w:ind w:firstLine="420" w:firstLineChars="0"/>
        <w:jc w:val="both"/>
        <w:rPr>
          <w:rFonts w:hint="eastAsia" w:ascii="宋体" w:hAnsi="宋体" w:eastAsia="宋体" w:cs="宋体"/>
          <w:bCs w:val="0"/>
          <w:color w:val="auto"/>
          <w:spacing w:val="0"/>
          <w:kern w:val="2"/>
          <w:sz w:val="21"/>
          <w:szCs w:val="21"/>
          <w:highlight w:val="none"/>
        </w:rPr>
      </w:pPr>
    </w:p>
    <w:p w14:paraId="3E52D1EF">
      <w:pPr>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发包人</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公章</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承包人</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公章</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w:t>
      </w:r>
    </w:p>
    <w:p w14:paraId="584A6B5B">
      <w:pPr>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地  址：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地  址：              </w:t>
      </w:r>
    </w:p>
    <w:p w14:paraId="2EB831EA">
      <w:pPr>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法定代表人</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签字</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法定代表人</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签字</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w:t>
      </w:r>
    </w:p>
    <w:p w14:paraId="2D4C9DA7">
      <w:pPr>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委托代理人</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签字</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委托代理人</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签字</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w:t>
      </w:r>
    </w:p>
    <w:p w14:paraId="178E7DF2">
      <w:pPr>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电  话：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电  话：                       </w:t>
      </w:r>
    </w:p>
    <w:p w14:paraId="58ED3C4F">
      <w:pPr>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开户银行：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开户银行：           </w:t>
      </w:r>
    </w:p>
    <w:p w14:paraId="1D772864">
      <w:pPr>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账  号：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账  号：             </w:t>
      </w:r>
    </w:p>
    <w:p w14:paraId="105F75A3">
      <w:pPr>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邮政编码：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邮政编码：           </w:t>
      </w:r>
    </w:p>
    <w:p w14:paraId="19ADD929">
      <w:pPr>
        <w:pageBreakBefore/>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附件4：</w:t>
      </w:r>
    </w:p>
    <w:p w14:paraId="577E01BF">
      <w:pPr>
        <w:tabs>
          <w:tab w:val="center" w:pos="4393"/>
          <w:tab w:val="left" w:pos="6774"/>
        </w:tabs>
        <w:spacing w:before="120" w:after="120" w:line="440" w:lineRule="exact"/>
        <w:ind w:firstLine="0" w:firstLineChars="0"/>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主要建设工程文件目录</w:t>
      </w:r>
    </w:p>
    <w:tbl>
      <w:tblPr>
        <w:tblStyle w:val="39"/>
        <w:tblW w:w="0" w:type="auto"/>
        <w:jc w:val="center"/>
        <w:tblLayout w:type="fixed"/>
        <w:tblCellMar>
          <w:top w:w="0" w:type="dxa"/>
          <w:left w:w="28" w:type="dxa"/>
          <w:bottom w:w="0" w:type="dxa"/>
          <w:right w:w="28" w:type="dxa"/>
        </w:tblCellMar>
      </w:tblPr>
      <w:tblGrid>
        <w:gridCol w:w="1954"/>
        <w:gridCol w:w="1276"/>
        <w:gridCol w:w="1451"/>
        <w:gridCol w:w="1243"/>
        <w:gridCol w:w="1451"/>
        <w:gridCol w:w="1698"/>
      </w:tblGrid>
      <w:tr w14:paraId="7C45D985">
        <w:tblPrEx>
          <w:tblCellMar>
            <w:top w:w="0" w:type="dxa"/>
            <w:left w:w="28" w:type="dxa"/>
            <w:bottom w:w="0" w:type="dxa"/>
            <w:right w:w="28" w:type="dxa"/>
          </w:tblCellMar>
        </w:tblPrEx>
        <w:trPr>
          <w:jc w:val="center"/>
        </w:trPr>
        <w:tc>
          <w:tcPr>
            <w:tcW w:w="1954" w:type="dxa"/>
            <w:tcBorders>
              <w:top w:val="single" w:color="000000" w:sz="12" w:space="0"/>
              <w:left w:val="single" w:color="000000" w:sz="12" w:space="0"/>
              <w:bottom w:val="double" w:color="000000" w:sz="6" w:space="0"/>
              <w:right w:val="single" w:color="000000" w:sz="6" w:space="0"/>
            </w:tcBorders>
            <w:noWrap w:val="0"/>
            <w:vAlign w:val="center"/>
          </w:tcPr>
          <w:p w14:paraId="71E67147">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文件名称</w:t>
            </w:r>
          </w:p>
        </w:tc>
        <w:tc>
          <w:tcPr>
            <w:tcW w:w="1276" w:type="dxa"/>
            <w:tcBorders>
              <w:top w:val="single" w:color="000000" w:sz="12" w:space="0"/>
              <w:left w:val="single" w:color="000000" w:sz="6" w:space="0"/>
              <w:bottom w:val="double" w:color="000000" w:sz="6" w:space="0"/>
              <w:right w:val="single" w:color="000000" w:sz="6" w:space="0"/>
            </w:tcBorders>
            <w:noWrap w:val="0"/>
            <w:vAlign w:val="center"/>
          </w:tcPr>
          <w:p w14:paraId="11C870EE">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套数</w:t>
            </w:r>
          </w:p>
        </w:tc>
        <w:tc>
          <w:tcPr>
            <w:tcW w:w="1451" w:type="dxa"/>
            <w:tcBorders>
              <w:top w:val="single" w:color="000000" w:sz="12" w:space="0"/>
              <w:left w:val="single" w:color="000000" w:sz="6" w:space="0"/>
              <w:bottom w:val="double" w:color="000000" w:sz="6" w:space="0"/>
              <w:right w:val="single" w:color="000000" w:sz="6" w:space="0"/>
            </w:tcBorders>
            <w:noWrap w:val="0"/>
            <w:vAlign w:val="center"/>
          </w:tcPr>
          <w:p w14:paraId="78BE5B4A">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费用（元）</w:t>
            </w:r>
          </w:p>
        </w:tc>
        <w:tc>
          <w:tcPr>
            <w:tcW w:w="1243" w:type="dxa"/>
            <w:tcBorders>
              <w:top w:val="single" w:color="000000" w:sz="12" w:space="0"/>
              <w:left w:val="single" w:color="000000" w:sz="6" w:space="0"/>
              <w:bottom w:val="double" w:color="000000" w:sz="6" w:space="0"/>
              <w:right w:val="single" w:color="000000" w:sz="6" w:space="0"/>
            </w:tcBorders>
            <w:noWrap w:val="0"/>
            <w:vAlign w:val="center"/>
          </w:tcPr>
          <w:p w14:paraId="06A1AAF6">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质量</w:t>
            </w:r>
          </w:p>
        </w:tc>
        <w:tc>
          <w:tcPr>
            <w:tcW w:w="1451" w:type="dxa"/>
            <w:tcBorders>
              <w:top w:val="single" w:color="000000" w:sz="12" w:space="0"/>
              <w:left w:val="single" w:color="000000" w:sz="6" w:space="0"/>
              <w:bottom w:val="double" w:color="000000" w:sz="6" w:space="0"/>
              <w:right w:val="single" w:color="000000" w:sz="6" w:space="0"/>
            </w:tcBorders>
            <w:noWrap w:val="0"/>
            <w:vAlign w:val="top"/>
          </w:tcPr>
          <w:p w14:paraId="2BC2CECC">
            <w:pPr>
              <w:tabs>
                <w:tab w:val="center" w:pos="4393"/>
                <w:tab w:val="left" w:pos="6774"/>
              </w:tabs>
              <w:spacing w:line="440" w:lineRule="exact"/>
              <w:ind w:firstLine="0" w:firstLineChars="0"/>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移交时间</w:t>
            </w:r>
          </w:p>
        </w:tc>
        <w:tc>
          <w:tcPr>
            <w:tcW w:w="1698" w:type="dxa"/>
            <w:tcBorders>
              <w:top w:val="single" w:color="000000" w:sz="12" w:space="0"/>
              <w:left w:val="single" w:color="000000" w:sz="6" w:space="0"/>
              <w:bottom w:val="double" w:color="000000" w:sz="6" w:space="0"/>
              <w:right w:val="single" w:color="000000" w:sz="12" w:space="0"/>
            </w:tcBorders>
            <w:noWrap w:val="0"/>
            <w:vAlign w:val="top"/>
          </w:tcPr>
          <w:p w14:paraId="0D1E1F44">
            <w:pPr>
              <w:tabs>
                <w:tab w:val="center" w:pos="4393"/>
                <w:tab w:val="left" w:pos="6774"/>
              </w:tabs>
              <w:spacing w:line="440" w:lineRule="exact"/>
              <w:ind w:firstLine="0" w:firstLineChars="0"/>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责任人</w:t>
            </w:r>
          </w:p>
        </w:tc>
      </w:tr>
      <w:tr w14:paraId="57DD5984">
        <w:tblPrEx>
          <w:tblCellMar>
            <w:top w:w="0" w:type="dxa"/>
            <w:left w:w="28" w:type="dxa"/>
            <w:bottom w:w="0" w:type="dxa"/>
            <w:right w:w="28" w:type="dxa"/>
          </w:tblCellMar>
        </w:tblPrEx>
        <w:trPr>
          <w:trHeight w:val="567" w:hRule="atLeast"/>
          <w:jc w:val="center"/>
        </w:trPr>
        <w:tc>
          <w:tcPr>
            <w:tcW w:w="1954" w:type="dxa"/>
            <w:tcBorders>
              <w:top w:val="double" w:color="000000" w:sz="6" w:space="0"/>
              <w:left w:val="single" w:color="000000" w:sz="12" w:space="0"/>
              <w:bottom w:val="single" w:color="000000" w:sz="6" w:space="0"/>
              <w:right w:val="single" w:color="000000" w:sz="6" w:space="0"/>
            </w:tcBorders>
            <w:noWrap w:val="0"/>
            <w:vAlign w:val="center"/>
          </w:tcPr>
          <w:p w14:paraId="2594238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double" w:color="000000" w:sz="6" w:space="0"/>
              <w:left w:val="single" w:color="000000" w:sz="6" w:space="0"/>
              <w:bottom w:val="single" w:color="000000" w:sz="6" w:space="0"/>
              <w:right w:val="single" w:color="000000" w:sz="6" w:space="0"/>
            </w:tcBorders>
            <w:noWrap w:val="0"/>
            <w:vAlign w:val="center"/>
          </w:tcPr>
          <w:p w14:paraId="6B0BF7B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double" w:color="000000" w:sz="6" w:space="0"/>
              <w:left w:val="single" w:color="000000" w:sz="6" w:space="0"/>
              <w:bottom w:val="single" w:color="000000" w:sz="6" w:space="0"/>
              <w:right w:val="single" w:color="000000" w:sz="6" w:space="0"/>
            </w:tcBorders>
            <w:noWrap w:val="0"/>
            <w:vAlign w:val="center"/>
          </w:tcPr>
          <w:p w14:paraId="7B2F6FF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double" w:color="000000" w:sz="6" w:space="0"/>
              <w:left w:val="single" w:color="000000" w:sz="6" w:space="0"/>
              <w:bottom w:val="single" w:color="000000" w:sz="6" w:space="0"/>
              <w:right w:val="single" w:color="000000" w:sz="6" w:space="0"/>
            </w:tcBorders>
            <w:noWrap w:val="0"/>
            <w:vAlign w:val="center"/>
          </w:tcPr>
          <w:p w14:paraId="27C32BD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double" w:color="000000" w:sz="6" w:space="0"/>
              <w:left w:val="single" w:color="000000" w:sz="6" w:space="0"/>
              <w:bottom w:val="single" w:color="000000" w:sz="6" w:space="0"/>
              <w:right w:val="single" w:color="000000" w:sz="6" w:space="0"/>
            </w:tcBorders>
            <w:noWrap w:val="0"/>
            <w:vAlign w:val="center"/>
          </w:tcPr>
          <w:p w14:paraId="52A29DD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double" w:color="000000" w:sz="6" w:space="0"/>
              <w:left w:val="single" w:color="000000" w:sz="6" w:space="0"/>
              <w:bottom w:val="single" w:color="000000" w:sz="6" w:space="0"/>
              <w:right w:val="single" w:color="000000" w:sz="12" w:space="0"/>
            </w:tcBorders>
            <w:noWrap w:val="0"/>
            <w:vAlign w:val="center"/>
          </w:tcPr>
          <w:p w14:paraId="7901168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37E20BC1">
        <w:tblPrEx>
          <w:tblCellMar>
            <w:top w:w="0" w:type="dxa"/>
            <w:left w:w="28" w:type="dxa"/>
            <w:bottom w:w="0" w:type="dxa"/>
            <w:right w:w="28" w:type="dxa"/>
          </w:tblCellMar>
        </w:tblPrEx>
        <w:trPr>
          <w:trHeight w:val="567" w:hRule="atLeast"/>
          <w:jc w:val="center"/>
        </w:trPr>
        <w:tc>
          <w:tcPr>
            <w:tcW w:w="1954" w:type="dxa"/>
            <w:tcBorders>
              <w:left w:val="single" w:color="000000" w:sz="12" w:space="0"/>
              <w:bottom w:val="single" w:color="000000" w:sz="6" w:space="0"/>
              <w:right w:val="single" w:color="000000" w:sz="6" w:space="0"/>
            </w:tcBorders>
            <w:noWrap w:val="0"/>
            <w:vAlign w:val="center"/>
          </w:tcPr>
          <w:p w14:paraId="7AF2165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left w:val="single" w:color="000000" w:sz="6" w:space="0"/>
              <w:bottom w:val="single" w:color="000000" w:sz="6" w:space="0"/>
              <w:right w:val="single" w:color="000000" w:sz="6" w:space="0"/>
            </w:tcBorders>
            <w:noWrap w:val="0"/>
            <w:vAlign w:val="center"/>
          </w:tcPr>
          <w:p w14:paraId="19EEFC6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left w:val="single" w:color="000000" w:sz="6" w:space="0"/>
              <w:bottom w:val="single" w:color="000000" w:sz="6" w:space="0"/>
              <w:right w:val="single" w:color="000000" w:sz="6" w:space="0"/>
            </w:tcBorders>
            <w:noWrap w:val="0"/>
            <w:vAlign w:val="center"/>
          </w:tcPr>
          <w:p w14:paraId="0B15371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left w:val="single" w:color="000000" w:sz="6" w:space="0"/>
              <w:bottom w:val="single" w:color="000000" w:sz="6" w:space="0"/>
              <w:right w:val="single" w:color="000000" w:sz="6" w:space="0"/>
            </w:tcBorders>
            <w:noWrap w:val="0"/>
            <w:vAlign w:val="center"/>
          </w:tcPr>
          <w:p w14:paraId="2479923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left w:val="single" w:color="000000" w:sz="6" w:space="0"/>
              <w:bottom w:val="single" w:color="000000" w:sz="6" w:space="0"/>
              <w:right w:val="single" w:color="000000" w:sz="6" w:space="0"/>
            </w:tcBorders>
            <w:noWrap w:val="0"/>
            <w:vAlign w:val="center"/>
          </w:tcPr>
          <w:p w14:paraId="5A4236E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left w:val="single" w:color="000000" w:sz="6" w:space="0"/>
              <w:bottom w:val="single" w:color="000000" w:sz="6" w:space="0"/>
              <w:right w:val="single" w:color="000000" w:sz="12" w:space="0"/>
            </w:tcBorders>
            <w:noWrap w:val="0"/>
            <w:vAlign w:val="center"/>
          </w:tcPr>
          <w:p w14:paraId="509345C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2FC716EB">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0BECA71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7B5B849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744A1BF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17843A7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81CEDA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6B10360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7A206E5A">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17B6156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13B446E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8106E3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77AED1E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94C325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7CF90DCF">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29A7A62C">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766DAF0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67C15ED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2308D89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29AB554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1C07EA7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1972B90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5BA41B23">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7F123E1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00D6981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3E02AA1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6E7A7F0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28B7CE0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3FF5FF6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24D12F78">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6934E31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67C68BD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1125817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572E1E1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012A579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3C3DF82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30807517">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10E5197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407C968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5731702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6D38178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382BDF5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5C2C279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0FB15B06">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24B7EF2C">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2CA0F14B">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52DE1D4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0D123A67">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0162AA2A">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5C687355">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759D7169">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6A55B17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344305D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786290A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6286307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0700FE7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49975F3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67FFF302">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18E81AC7">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5EBE7B7D">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5E4F6A34">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216E4BAF">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7A7BFFB7">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56DE45A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76567FF8">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2A592715">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251401B3">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66F6173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77EEC598">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5825F29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6848892E">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212FE3E5">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55C962C8">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28606EEC">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7B9D9410">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4EEA4550">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6DA05AB1">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3F1A532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6C2B168D">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25D407CD">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6C204937">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65421805">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3A7099FE">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6BC79E7C">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51482A0E">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3CF6D22D">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1F111D6A">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16BC118D">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66BEBD2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72749C8E">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54DEB54C">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54E2C94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1AEAC83D">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630918A8">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1C6C0FD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0D1D2757">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6112E45F">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0BFF2320">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253BBC7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7635F9C1">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2E647A1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47DA423C">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201F4369">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01B9DA7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20F83FE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2484F0C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4542AB38">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417B28F5">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6924420C">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16F0996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4DF5BFB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3363055F">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7066CCB4">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68084657">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12" w:space="0"/>
              <w:right w:val="single" w:color="000000" w:sz="6" w:space="0"/>
            </w:tcBorders>
            <w:noWrap w:val="0"/>
            <w:vAlign w:val="top"/>
          </w:tcPr>
          <w:p w14:paraId="5FD0F3C1">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12" w:space="0"/>
              <w:right w:val="single" w:color="000000" w:sz="6" w:space="0"/>
            </w:tcBorders>
            <w:noWrap w:val="0"/>
            <w:vAlign w:val="top"/>
          </w:tcPr>
          <w:p w14:paraId="6B84707A">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12" w:space="0"/>
              <w:right w:val="single" w:color="000000" w:sz="6" w:space="0"/>
            </w:tcBorders>
            <w:noWrap w:val="0"/>
            <w:vAlign w:val="top"/>
          </w:tcPr>
          <w:p w14:paraId="1CA28EDC">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12" w:space="0"/>
              <w:right w:val="single" w:color="000000" w:sz="6" w:space="0"/>
            </w:tcBorders>
            <w:noWrap w:val="0"/>
            <w:vAlign w:val="top"/>
          </w:tcPr>
          <w:p w14:paraId="2B121B03">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12" w:space="0"/>
              <w:right w:val="single" w:color="000000" w:sz="6" w:space="0"/>
            </w:tcBorders>
            <w:noWrap w:val="0"/>
            <w:vAlign w:val="top"/>
          </w:tcPr>
          <w:p w14:paraId="4795AF90">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12" w:space="0"/>
              <w:right w:val="single" w:color="000000" w:sz="12" w:space="0"/>
            </w:tcBorders>
            <w:noWrap w:val="0"/>
            <w:vAlign w:val="top"/>
          </w:tcPr>
          <w:p w14:paraId="6E43E75D">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bl>
    <w:p w14:paraId="009BA374">
      <w:pPr>
        <w:tabs>
          <w:tab w:val="center" w:pos="4393"/>
          <w:tab w:val="left" w:pos="6774"/>
        </w:tabs>
        <w:spacing w:line="440" w:lineRule="exact"/>
        <w:ind w:firstLine="0" w:firstLineChars="0"/>
        <w:jc w:val="both"/>
        <w:rPr>
          <w:rFonts w:hint="eastAsia" w:ascii="宋体" w:hAnsi="宋体" w:eastAsia="宋体" w:cs="宋体"/>
          <w:bCs w:val="0"/>
          <w:color w:val="auto"/>
          <w:spacing w:val="0"/>
          <w:kern w:val="2"/>
          <w:sz w:val="21"/>
          <w:szCs w:val="21"/>
          <w:highlight w:val="none"/>
        </w:rPr>
      </w:pPr>
    </w:p>
    <w:p w14:paraId="2259261E">
      <w:pPr>
        <w:pageBreakBefore/>
        <w:tabs>
          <w:tab w:val="center" w:pos="4393"/>
          <w:tab w:val="left" w:pos="6774"/>
        </w:tabs>
        <w:spacing w:line="440" w:lineRule="exact"/>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附件5：</w:t>
      </w:r>
    </w:p>
    <w:p w14:paraId="6B031DD3">
      <w:pPr>
        <w:tabs>
          <w:tab w:val="center" w:pos="4393"/>
          <w:tab w:val="left" w:pos="6774"/>
        </w:tabs>
        <w:spacing w:before="120" w:after="120" w:line="440" w:lineRule="exact"/>
        <w:ind w:firstLine="0" w:firstLineChars="0"/>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承包人用于本工程施工的机械设备表</w:t>
      </w:r>
    </w:p>
    <w:tbl>
      <w:tblPr>
        <w:tblStyle w:val="39"/>
        <w:tblW w:w="9839" w:type="dxa"/>
        <w:jc w:val="center"/>
        <w:tblLayout w:type="fixed"/>
        <w:tblCellMar>
          <w:top w:w="0" w:type="dxa"/>
          <w:left w:w="28" w:type="dxa"/>
          <w:bottom w:w="0" w:type="dxa"/>
          <w:right w:w="28" w:type="dxa"/>
        </w:tblCellMar>
      </w:tblPr>
      <w:tblGrid>
        <w:gridCol w:w="893"/>
        <w:gridCol w:w="1687"/>
        <w:gridCol w:w="1118"/>
        <w:gridCol w:w="790"/>
        <w:gridCol w:w="680"/>
        <w:gridCol w:w="1220"/>
        <w:gridCol w:w="1480"/>
        <w:gridCol w:w="1170"/>
        <w:gridCol w:w="801"/>
      </w:tblGrid>
      <w:tr w14:paraId="3B32BEE3">
        <w:tblPrEx>
          <w:tblCellMar>
            <w:top w:w="0" w:type="dxa"/>
            <w:left w:w="28" w:type="dxa"/>
            <w:bottom w:w="0" w:type="dxa"/>
            <w:right w:w="28" w:type="dxa"/>
          </w:tblCellMar>
        </w:tblPrEx>
        <w:trPr>
          <w:jc w:val="center"/>
        </w:trPr>
        <w:tc>
          <w:tcPr>
            <w:tcW w:w="893" w:type="dxa"/>
            <w:tcBorders>
              <w:top w:val="single" w:color="000000" w:sz="12" w:space="0"/>
              <w:left w:val="single" w:color="000000" w:sz="12" w:space="0"/>
              <w:bottom w:val="double" w:color="000000" w:sz="6" w:space="0"/>
              <w:right w:val="single" w:color="000000" w:sz="6" w:space="0"/>
            </w:tcBorders>
            <w:noWrap w:val="0"/>
            <w:vAlign w:val="center"/>
          </w:tcPr>
          <w:p w14:paraId="784F17EF">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序号</w:t>
            </w:r>
          </w:p>
        </w:tc>
        <w:tc>
          <w:tcPr>
            <w:tcW w:w="1687" w:type="dxa"/>
            <w:tcBorders>
              <w:top w:val="single" w:color="000000" w:sz="12" w:space="0"/>
              <w:left w:val="single" w:color="000000" w:sz="6" w:space="0"/>
              <w:bottom w:val="double" w:color="000000" w:sz="6" w:space="0"/>
              <w:right w:val="single" w:color="000000" w:sz="6" w:space="0"/>
            </w:tcBorders>
            <w:noWrap w:val="0"/>
            <w:vAlign w:val="center"/>
          </w:tcPr>
          <w:p w14:paraId="7125A626">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机械或设备名称</w:t>
            </w:r>
          </w:p>
        </w:tc>
        <w:tc>
          <w:tcPr>
            <w:tcW w:w="1118" w:type="dxa"/>
            <w:tcBorders>
              <w:top w:val="single" w:color="000000" w:sz="12" w:space="0"/>
              <w:left w:val="single" w:color="000000" w:sz="6" w:space="0"/>
              <w:bottom w:val="double" w:color="000000" w:sz="6" w:space="0"/>
              <w:right w:val="single" w:color="000000" w:sz="6" w:space="0"/>
            </w:tcBorders>
            <w:noWrap w:val="0"/>
            <w:vAlign w:val="center"/>
          </w:tcPr>
          <w:p w14:paraId="583E0CF0">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规格型号</w:t>
            </w:r>
          </w:p>
        </w:tc>
        <w:tc>
          <w:tcPr>
            <w:tcW w:w="790" w:type="dxa"/>
            <w:tcBorders>
              <w:top w:val="single" w:color="000000" w:sz="12" w:space="0"/>
              <w:left w:val="single" w:color="000000" w:sz="6" w:space="0"/>
              <w:bottom w:val="double" w:color="000000" w:sz="6" w:space="0"/>
              <w:right w:val="single" w:color="000000" w:sz="6" w:space="0"/>
            </w:tcBorders>
            <w:noWrap w:val="0"/>
            <w:vAlign w:val="center"/>
          </w:tcPr>
          <w:p w14:paraId="5B1E2D19">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数量</w:t>
            </w:r>
          </w:p>
        </w:tc>
        <w:tc>
          <w:tcPr>
            <w:tcW w:w="680" w:type="dxa"/>
            <w:tcBorders>
              <w:top w:val="single" w:color="000000" w:sz="12" w:space="0"/>
              <w:left w:val="single" w:color="000000" w:sz="6" w:space="0"/>
              <w:bottom w:val="double" w:color="000000" w:sz="6" w:space="0"/>
              <w:right w:val="single" w:color="000000" w:sz="6" w:space="0"/>
            </w:tcBorders>
            <w:noWrap w:val="0"/>
            <w:vAlign w:val="center"/>
          </w:tcPr>
          <w:p w14:paraId="1919290C">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产地</w:t>
            </w:r>
          </w:p>
        </w:tc>
        <w:tc>
          <w:tcPr>
            <w:tcW w:w="1220" w:type="dxa"/>
            <w:tcBorders>
              <w:top w:val="single" w:color="000000" w:sz="12" w:space="0"/>
              <w:left w:val="single" w:color="000000" w:sz="6" w:space="0"/>
              <w:bottom w:val="double" w:color="000000" w:sz="6" w:space="0"/>
              <w:right w:val="single" w:color="000000" w:sz="6" w:space="0"/>
            </w:tcBorders>
            <w:noWrap w:val="0"/>
            <w:vAlign w:val="center"/>
          </w:tcPr>
          <w:p w14:paraId="6391D95B">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制造年份</w:t>
            </w:r>
          </w:p>
        </w:tc>
        <w:tc>
          <w:tcPr>
            <w:tcW w:w="1480" w:type="dxa"/>
            <w:tcBorders>
              <w:top w:val="single" w:color="000000" w:sz="12" w:space="0"/>
              <w:left w:val="single" w:color="000000" w:sz="6" w:space="0"/>
              <w:bottom w:val="double" w:color="000000" w:sz="6" w:space="0"/>
              <w:right w:val="single" w:color="000000" w:sz="6" w:space="0"/>
            </w:tcBorders>
            <w:noWrap w:val="0"/>
            <w:vAlign w:val="center"/>
          </w:tcPr>
          <w:p w14:paraId="0C4D14F1">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额定功率（kW）</w:t>
            </w:r>
          </w:p>
        </w:tc>
        <w:tc>
          <w:tcPr>
            <w:tcW w:w="1170" w:type="dxa"/>
            <w:tcBorders>
              <w:top w:val="single" w:color="000000" w:sz="12" w:space="0"/>
              <w:left w:val="single" w:color="000000" w:sz="6" w:space="0"/>
              <w:bottom w:val="double" w:color="000000" w:sz="6" w:space="0"/>
              <w:right w:val="single" w:color="000000" w:sz="6" w:space="0"/>
            </w:tcBorders>
            <w:noWrap w:val="0"/>
            <w:vAlign w:val="center"/>
          </w:tcPr>
          <w:p w14:paraId="139A1AC7">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生产能力</w:t>
            </w:r>
          </w:p>
        </w:tc>
        <w:tc>
          <w:tcPr>
            <w:tcW w:w="801" w:type="dxa"/>
            <w:tcBorders>
              <w:top w:val="single" w:color="000000" w:sz="12" w:space="0"/>
              <w:left w:val="single" w:color="000000" w:sz="6" w:space="0"/>
              <w:bottom w:val="double" w:color="000000" w:sz="6" w:space="0"/>
              <w:right w:val="single" w:color="000000" w:sz="12" w:space="0"/>
            </w:tcBorders>
            <w:noWrap w:val="0"/>
            <w:vAlign w:val="center"/>
          </w:tcPr>
          <w:p w14:paraId="505E4A2E">
            <w:pPr>
              <w:keepNext/>
              <w:widowControl w:val="0"/>
              <w:tabs>
                <w:tab w:val="center" w:pos="4393"/>
                <w:tab w:val="left" w:pos="6774"/>
              </w:tabs>
              <w:spacing w:before="0" w:after="0" w:line="440" w:lineRule="exact"/>
              <w:ind w:left="63" w:right="63" w:firstLine="0" w:firstLineChars="0"/>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备注</w:t>
            </w:r>
          </w:p>
        </w:tc>
      </w:tr>
      <w:tr w14:paraId="75A77E81">
        <w:tblPrEx>
          <w:tblCellMar>
            <w:top w:w="0" w:type="dxa"/>
            <w:left w:w="28" w:type="dxa"/>
            <w:bottom w:w="0" w:type="dxa"/>
            <w:right w:w="28" w:type="dxa"/>
          </w:tblCellMar>
        </w:tblPrEx>
        <w:trPr>
          <w:trHeight w:val="567" w:hRule="atLeast"/>
          <w:jc w:val="center"/>
        </w:trPr>
        <w:tc>
          <w:tcPr>
            <w:tcW w:w="893" w:type="dxa"/>
            <w:tcBorders>
              <w:top w:val="double" w:color="000000" w:sz="6" w:space="0"/>
              <w:left w:val="single" w:color="000000" w:sz="12" w:space="0"/>
              <w:bottom w:val="single" w:color="000000" w:sz="6" w:space="0"/>
              <w:right w:val="single" w:color="000000" w:sz="6" w:space="0"/>
            </w:tcBorders>
            <w:noWrap w:val="0"/>
            <w:vAlign w:val="center"/>
          </w:tcPr>
          <w:p w14:paraId="14CEED6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double" w:color="000000" w:sz="6" w:space="0"/>
              <w:left w:val="single" w:color="000000" w:sz="6" w:space="0"/>
              <w:bottom w:val="single" w:color="000000" w:sz="6" w:space="0"/>
              <w:right w:val="single" w:color="000000" w:sz="6" w:space="0"/>
            </w:tcBorders>
            <w:noWrap w:val="0"/>
            <w:vAlign w:val="center"/>
          </w:tcPr>
          <w:p w14:paraId="53ACAB1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double" w:color="000000" w:sz="6" w:space="0"/>
              <w:left w:val="single" w:color="000000" w:sz="6" w:space="0"/>
              <w:bottom w:val="single" w:color="000000" w:sz="6" w:space="0"/>
              <w:right w:val="single" w:color="000000" w:sz="6" w:space="0"/>
            </w:tcBorders>
            <w:noWrap w:val="0"/>
            <w:vAlign w:val="center"/>
          </w:tcPr>
          <w:p w14:paraId="73CC8E9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double" w:color="000000" w:sz="6" w:space="0"/>
              <w:left w:val="single" w:color="000000" w:sz="6" w:space="0"/>
              <w:bottom w:val="single" w:color="000000" w:sz="6" w:space="0"/>
              <w:right w:val="single" w:color="000000" w:sz="6" w:space="0"/>
            </w:tcBorders>
            <w:noWrap w:val="0"/>
            <w:vAlign w:val="center"/>
          </w:tcPr>
          <w:p w14:paraId="50C4F45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double" w:color="000000" w:sz="6" w:space="0"/>
              <w:left w:val="single" w:color="000000" w:sz="6" w:space="0"/>
              <w:bottom w:val="single" w:color="000000" w:sz="6" w:space="0"/>
              <w:right w:val="single" w:color="000000" w:sz="6" w:space="0"/>
            </w:tcBorders>
            <w:noWrap w:val="0"/>
            <w:vAlign w:val="center"/>
          </w:tcPr>
          <w:p w14:paraId="6C8C920F">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double" w:color="000000" w:sz="6" w:space="0"/>
              <w:left w:val="single" w:color="000000" w:sz="6" w:space="0"/>
              <w:bottom w:val="single" w:color="000000" w:sz="6" w:space="0"/>
              <w:right w:val="single" w:color="000000" w:sz="6" w:space="0"/>
            </w:tcBorders>
            <w:noWrap w:val="0"/>
            <w:vAlign w:val="center"/>
          </w:tcPr>
          <w:p w14:paraId="03F19BA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double" w:color="000000" w:sz="6" w:space="0"/>
              <w:left w:val="single" w:color="000000" w:sz="6" w:space="0"/>
              <w:bottom w:val="single" w:color="000000" w:sz="6" w:space="0"/>
              <w:right w:val="single" w:color="000000" w:sz="6" w:space="0"/>
            </w:tcBorders>
            <w:noWrap w:val="0"/>
            <w:vAlign w:val="center"/>
          </w:tcPr>
          <w:p w14:paraId="6282E24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double" w:color="000000" w:sz="6" w:space="0"/>
              <w:left w:val="single" w:color="000000" w:sz="6" w:space="0"/>
              <w:bottom w:val="single" w:color="000000" w:sz="6" w:space="0"/>
              <w:right w:val="single" w:color="000000" w:sz="6" w:space="0"/>
            </w:tcBorders>
            <w:noWrap w:val="0"/>
            <w:vAlign w:val="center"/>
          </w:tcPr>
          <w:p w14:paraId="4B60C54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double" w:color="000000" w:sz="6" w:space="0"/>
              <w:left w:val="single" w:color="000000" w:sz="6" w:space="0"/>
              <w:bottom w:val="single" w:color="000000" w:sz="6" w:space="0"/>
              <w:right w:val="single" w:color="000000" w:sz="12" w:space="0"/>
            </w:tcBorders>
            <w:noWrap w:val="0"/>
            <w:vAlign w:val="center"/>
          </w:tcPr>
          <w:p w14:paraId="249BD43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0C29E0BE">
        <w:tblPrEx>
          <w:tblCellMar>
            <w:top w:w="0" w:type="dxa"/>
            <w:left w:w="28" w:type="dxa"/>
            <w:bottom w:w="0" w:type="dxa"/>
            <w:right w:w="28" w:type="dxa"/>
          </w:tblCellMar>
        </w:tblPrEx>
        <w:trPr>
          <w:trHeight w:val="567" w:hRule="atLeast"/>
          <w:jc w:val="center"/>
        </w:trPr>
        <w:tc>
          <w:tcPr>
            <w:tcW w:w="893" w:type="dxa"/>
            <w:tcBorders>
              <w:left w:val="single" w:color="000000" w:sz="12" w:space="0"/>
              <w:bottom w:val="single" w:color="000000" w:sz="6" w:space="0"/>
              <w:right w:val="single" w:color="000000" w:sz="6" w:space="0"/>
            </w:tcBorders>
            <w:noWrap w:val="0"/>
            <w:vAlign w:val="center"/>
          </w:tcPr>
          <w:p w14:paraId="2A74335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left w:val="single" w:color="000000" w:sz="6" w:space="0"/>
              <w:bottom w:val="single" w:color="000000" w:sz="6" w:space="0"/>
              <w:right w:val="single" w:color="000000" w:sz="6" w:space="0"/>
            </w:tcBorders>
            <w:noWrap w:val="0"/>
            <w:vAlign w:val="center"/>
          </w:tcPr>
          <w:p w14:paraId="76E5369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left w:val="single" w:color="000000" w:sz="6" w:space="0"/>
              <w:bottom w:val="single" w:color="000000" w:sz="6" w:space="0"/>
              <w:right w:val="single" w:color="000000" w:sz="6" w:space="0"/>
            </w:tcBorders>
            <w:noWrap w:val="0"/>
            <w:vAlign w:val="center"/>
          </w:tcPr>
          <w:p w14:paraId="4AF9F5C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left w:val="single" w:color="000000" w:sz="6" w:space="0"/>
              <w:bottom w:val="single" w:color="000000" w:sz="6" w:space="0"/>
              <w:right w:val="single" w:color="000000" w:sz="6" w:space="0"/>
            </w:tcBorders>
            <w:noWrap w:val="0"/>
            <w:vAlign w:val="center"/>
          </w:tcPr>
          <w:p w14:paraId="04763AC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left w:val="single" w:color="000000" w:sz="6" w:space="0"/>
              <w:bottom w:val="single" w:color="000000" w:sz="6" w:space="0"/>
              <w:right w:val="single" w:color="000000" w:sz="6" w:space="0"/>
            </w:tcBorders>
            <w:noWrap w:val="0"/>
            <w:vAlign w:val="center"/>
          </w:tcPr>
          <w:p w14:paraId="07CF098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left w:val="single" w:color="000000" w:sz="6" w:space="0"/>
              <w:bottom w:val="single" w:color="000000" w:sz="6" w:space="0"/>
              <w:right w:val="single" w:color="000000" w:sz="6" w:space="0"/>
            </w:tcBorders>
            <w:noWrap w:val="0"/>
            <w:vAlign w:val="center"/>
          </w:tcPr>
          <w:p w14:paraId="65F8C92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left w:val="single" w:color="000000" w:sz="6" w:space="0"/>
              <w:bottom w:val="single" w:color="000000" w:sz="6" w:space="0"/>
              <w:right w:val="single" w:color="000000" w:sz="6" w:space="0"/>
            </w:tcBorders>
            <w:noWrap w:val="0"/>
            <w:vAlign w:val="center"/>
          </w:tcPr>
          <w:p w14:paraId="5AFC375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left w:val="single" w:color="000000" w:sz="6" w:space="0"/>
              <w:bottom w:val="single" w:color="000000" w:sz="6" w:space="0"/>
              <w:right w:val="single" w:color="000000" w:sz="6" w:space="0"/>
            </w:tcBorders>
            <w:noWrap w:val="0"/>
            <w:vAlign w:val="center"/>
          </w:tcPr>
          <w:p w14:paraId="327D4AE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left w:val="single" w:color="000000" w:sz="6" w:space="0"/>
              <w:bottom w:val="single" w:color="000000" w:sz="6" w:space="0"/>
              <w:right w:val="single" w:color="000000" w:sz="12" w:space="0"/>
            </w:tcBorders>
            <w:noWrap w:val="0"/>
            <w:vAlign w:val="center"/>
          </w:tcPr>
          <w:p w14:paraId="1B876B4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6498A90A">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center"/>
          </w:tcPr>
          <w:p w14:paraId="615A9A2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single" w:color="000000" w:sz="6" w:space="0"/>
              <w:left w:val="single" w:color="000000" w:sz="6" w:space="0"/>
              <w:bottom w:val="single" w:color="000000" w:sz="6" w:space="0"/>
              <w:right w:val="single" w:color="000000" w:sz="6" w:space="0"/>
            </w:tcBorders>
            <w:noWrap w:val="0"/>
            <w:vAlign w:val="center"/>
          </w:tcPr>
          <w:p w14:paraId="0E9D1C3F">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single" w:color="000000" w:sz="6" w:space="0"/>
              <w:left w:val="single" w:color="000000" w:sz="6" w:space="0"/>
              <w:bottom w:val="single" w:color="000000" w:sz="6" w:space="0"/>
              <w:right w:val="single" w:color="000000" w:sz="6" w:space="0"/>
            </w:tcBorders>
            <w:noWrap w:val="0"/>
            <w:vAlign w:val="center"/>
          </w:tcPr>
          <w:p w14:paraId="4CC4D9F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599ECEE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single" w:color="000000" w:sz="6" w:space="0"/>
              <w:left w:val="single" w:color="000000" w:sz="6" w:space="0"/>
              <w:bottom w:val="single" w:color="000000" w:sz="6" w:space="0"/>
              <w:right w:val="single" w:color="000000" w:sz="6" w:space="0"/>
            </w:tcBorders>
            <w:noWrap w:val="0"/>
            <w:vAlign w:val="center"/>
          </w:tcPr>
          <w:p w14:paraId="39D7F43F">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single" w:color="000000" w:sz="6" w:space="0"/>
              <w:left w:val="single" w:color="000000" w:sz="6" w:space="0"/>
              <w:bottom w:val="single" w:color="000000" w:sz="6" w:space="0"/>
              <w:right w:val="single" w:color="000000" w:sz="6" w:space="0"/>
            </w:tcBorders>
            <w:noWrap w:val="0"/>
            <w:vAlign w:val="center"/>
          </w:tcPr>
          <w:p w14:paraId="7271BA2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0380C6D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single" w:color="000000" w:sz="6" w:space="0"/>
              <w:left w:val="single" w:color="000000" w:sz="6" w:space="0"/>
              <w:bottom w:val="single" w:color="000000" w:sz="6" w:space="0"/>
              <w:right w:val="single" w:color="000000" w:sz="6" w:space="0"/>
            </w:tcBorders>
            <w:noWrap w:val="0"/>
            <w:vAlign w:val="center"/>
          </w:tcPr>
          <w:p w14:paraId="058AF18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single" w:color="000000" w:sz="6" w:space="0"/>
              <w:left w:val="single" w:color="000000" w:sz="6" w:space="0"/>
              <w:bottom w:val="single" w:color="000000" w:sz="6" w:space="0"/>
              <w:right w:val="single" w:color="000000" w:sz="12" w:space="0"/>
            </w:tcBorders>
            <w:noWrap w:val="0"/>
            <w:vAlign w:val="center"/>
          </w:tcPr>
          <w:p w14:paraId="3FDDC5C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777ADDF0">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center"/>
          </w:tcPr>
          <w:p w14:paraId="539DB72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single" w:color="000000" w:sz="6" w:space="0"/>
              <w:left w:val="single" w:color="000000" w:sz="6" w:space="0"/>
              <w:bottom w:val="single" w:color="000000" w:sz="6" w:space="0"/>
              <w:right w:val="single" w:color="000000" w:sz="6" w:space="0"/>
            </w:tcBorders>
            <w:noWrap w:val="0"/>
            <w:vAlign w:val="center"/>
          </w:tcPr>
          <w:p w14:paraId="26B9593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single" w:color="000000" w:sz="6" w:space="0"/>
              <w:left w:val="single" w:color="000000" w:sz="6" w:space="0"/>
              <w:bottom w:val="single" w:color="000000" w:sz="6" w:space="0"/>
              <w:right w:val="single" w:color="000000" w:sz="6" w:space="0"/>
            </w:tcBorders>
            <w:noWrap w:val="0"/>
            <w:vAlign w:val="center"/>
          </w:tcPr>
          <w:p w14:paraId="25C2A1C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21EB0FA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single" w:color="000000" w:sz="6" w:space="0"/>
              <w:left w:val="single" w:color="000000" w:sz="6" w:space="0"/>
              <w:bottom w:val="single" w:color="000000" w:sz="6" w:space="0"/>
              <w:right w:val="single" w:color="000000" w:sz="6" w:space="0"/>
            </w:tcBorders>
            <w:noWrap w:val="0"/>
            <w:vAlign w:val="center"/>
          </w:tcPr>
          <w:p w14:paraId="288764B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single" w:color="000000" w:sz="6" w:space="0"/>
              <w:left w:val="single" w:color="000000" w:sz="6" w:space="0"/>
              <w:bottom w:val="single" w:color="000000" w:sz="6" w:space="0"/>
              <w:right w:val="single" w:color="000000" w:sz="6" w:space="0"/>
            </w:tcBorders>
            <w:noWrap w:val="0"/>
            <w:vAlign w:val="center"/>
          </w:tcPr>
          <w:p w14:paraId="0883A46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2ADCCE5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single" w:color="000000" w:sz="6" w:space="0"/>
              <w:left w:val="single" w:color="000000" w:sz="6" w:space="0"/>
              <w:bottom w:val="single" w:color="000000" w:sz="6" w:space="0"/>
              <w:right w:val="single" w:color="000000" w:sz="6" w:space="0"/>
            </w:tcBorders>
            <w:noWrap w:val="0"/>
            <w:vAlign w:val="center"/>
          </w:tcPr>
          <w:p w14:paraId="3AE0DC7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single" w:color="000000" w:sz="6" w:space="0"/>
              <w:left w:val="single" w:color="000000" w:sz="6" w:space="0"/>
              <w:bottom w:val="single" w:color="000000" w:sz="6" w:space="0"/>
              <w:right w:val="single" w:color="000000" w:sz="12" w:space="0"/>
            </w:tcBorders>
            <w:noWrap w:val="0"/>
            <w:vAlign w:val="center"/>
          </w:tcPr>
          <w:p w14:paraId="4A0101A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635EB1A4">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center"/>
          </w:tcPr>
          <w:p w14:paraId="03EE934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single" w:color="000000" w:sz="6" w:space="0"/>
              <w:left w:val="single" w:color="000000" w:sz="6" w:space="0"/>
              <w:bottom w:val="single" w:color="000000" w:sz="6" w:space="0"/>
              <w:right w:val="single" w:color="000000" w:sz="6" w:space="0"/>
            </w:tcBorders>
            <w:noWrap w:val="0"/>
            <w:vAlign w:val="center"/>
          </w:tcPr>
          <w:p w14:paraId="46F7950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single" w:color="000000" w:sz="6" w:space="0"/>
              <w:left w:val="single" w:color="000000" w:sz="6" w:space="0"/>
              <w:bottom w:val="single" w:color="000000" w:sz="6" w:space="0"/>
              <w:right w:val="single" w:color="000000" w:sz="6" w:space="0"/>
            </w:tcBorders>
            <w:noWrap w:val="0"/>
            <w:vAlign w:val="center"/>
          </w:tcPr>
          <w:p w14:paraId="3C65318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463718F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single" w:color="000000" w:sz="6" w:space="0"/>
              <w:left w:val="single" w:color="000000" w:sz="6" w:space="0"/>
              <w:bottom w:val="single" w:color="000000" w:sz="6" w:space="0"/>
              <w:right w:val="single" w:color="000000" w:sz="6" w:space="0"/>
            </w:tcBorders>
            <w:noWrap w:val="0"/>
            <w:vAlign w:val="center"/>
          </w:tcPr>
          <w:p w14:paraId="558A797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single" w:color="000000" w:sz="6" w:space="0"/>
              <w:left w:val="single" w:color="000000" w:sz="6" w:space="0"/>
              <w:bottom w:val="single" w:color="000000" w:sz="6" w:space="0"/>
              <w:right w:val="single" w:color="000000" w:sz="6" w:space="0"/>
            </w:tcBorders>
            <w:noWrap w:val="0"/>
            <w:vAlign w:val="center"/>
          </w:tcPr>
          <w:p w14:paraId="2CFF220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1BAFD6A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single" w:color="000000" w:sz="6" w:space="0"/>
              <w:left w:val="single" w:color="000000" w:sz="6" w:space="0"/>
              <w:bottom w:val="single" w:color="000000" w:sz="6" w:space="0"/>
              <w:right w:val="single" w:color="000000" w:sz="6" w:space="0"/>
            </w:tcBorders>
            <w:noWrap w:val="0"/>
            <w:vAlign w:val="center"/>
          </w:tcPr>
          <w:p w14:paraId="26F4608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single" w:color="000000" w:sz="6" w:space="0"/>
              <w:left w:val="single" w:color="000000" w:sz="6" w:space="0"/>
              <w:bottom w:val="single" w:color="000000" w:sz="6" w:space="0"/>
              <w:right w:val="single" w:color="000000" w:sz="12" w:space="0"/>
            </w:tcBorders>
            <w:noWrap w:val="0"/>
            <w:vAlign w:val="center"/>
          </w:tcPr>
          <w:p w14:paraId="5D4B630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5DC076EC">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center"/>
          </w:tcPr>
          <w:p w14:paraId="14264FB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single" w:color="000000" w:sz="6" w:space="0"/>
              <w:left w:val="single" w:color="000000" w:sz="6" w:space="0"/>
              <w:bottom w:val="single" w:color="000000" w:sz="6" w:space="0"/>
              <w:right w:val="single" w:color="000000" w:sz="6" w:space="0"/>
            </w:tcBorders>
            <w:noWrap w:val="0"/>
            <w:vAlign w:val="center"/>
          </w:tcPr>
          <w:p w14:paraId="36202B7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single" w:color="000000" w:sz="6" w:space="0"/>
              <w:left w:val="single" w:color="000000" w:sz="6" w:space="0"/>
              <w:bottom w:val="single" w:color="000000" w:sz="6" w:space="0"/>
              <w:right w:val="single" w:color="000000" w:sz="6" w:space="0"/>
            </w:tcBorders>
            <w:noWrap w:val="0"/>
            <w:vAlign w:val="center"/>
          </w:tcPr>
          <w:p w14:paraId="32FC017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2783806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single" w:color="000000" w:sz="6" w:space="0"/>
              <w:left w:val="single" w:color="000000" w:sz="6" w:space="0"/>
              <w:bottom w:val="single" w:color="000000" w:sz="6" w:space="0"/>
              <w:right w:val="single" w:color="000000" w:sz="6" w:space="0"/>
            </w:tcBorders>
            <w:noWrap w:val="0"/>
            <w:vAlign w:val="center"/>
          </w:tcPr>
          <w:p w14:paraId="1EC6129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single" w:color="000000" w:sz="6" w:space="0"/>
              <w:left w:val="single" w:color="000000" w:sz="6" w:space="0"/>
              <w:bottom w:val="single" w:color="000000" w:sz="6" w:space="0"/>
              <w:right w:val="single" w:color="000000" w:sz="6" w:space="0"/>
            </w:tcBorders>
            <w:noWrap w:val="0"/>
            <w:vAlign w:val="center"/>
          </w:tcPr>
          <w:p w14:paraId="5667C26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4A8686D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single" w:color="000000" w:sz="6" w:space="0"/>
              <w:left w:val="single" w:color="000000" w:sz="6" w:space="0"/>
              <w:bottom w:val="single" w:color="000000" w:sz="6" w:space="0"/>
              <w:right w:val="single" w:color="000000" w:sz="6" w:space="0"/>
            </w:tcBorders>
            <w:noWrap w:val="0"/>
            <w:vAlign w:val="center"/>
          </w:tcPr>
          <w:p w14:paraId="20604AE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single" w:color="000000" w:sz="6" w:space="0"/>
              <w:left w:val="single" w:color="000000" w:sz="6" w:space="0"/>
              <w:bottom w:val="single" w:color="000000" w:sz="6" w:space="0"/>
              <w:right w:val="single" w:color="000000" w:sz="12" w:space="0"/>
            </w:tcBorders>
            <w:noWrap w:val="0"/>
            <w:vAlign w:val="center"/>
          </w:tcPr>
          <w:p w14:paraId="3801A37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2DF6551E">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center"/>
          </w:tcPr>
          <w:p w14:paraId="6C78126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single" w:color="000000" w:sz="6" w:space="0"/>
              <w:left w:val="single" w:color="000000" w:sz="6" w:space="0"/>
              <w:bottom w:val="single" w:color="000000" w:sz="6" w:space="0"/>
              <w:right w:val="single" w:color="000000" w:sz="6" w:space="0"/>
            </w:tcBorders>
            <w:noWrap w:val="0"/>
            <w:vAlign w:val="center"/>
          </w:tcPr>
          <w:p w14:paraId="1C7358D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single" w:color="000000" w:sz="6" w:space="0"/>
              <w:left w:val="single" w:color="000000" w:sz="6" w:space="0"/>
              <w:bottom w:val="single" w:color="000000" w:sz="6" w:space="0"/>
              <w:right w:val="single" w:color="000000" w:sz="6" w:space="0"/>
            </w:tcBorders>
            <w:noWrap w:val="0"/>
            <w:vAlign w:val="center"/>
          </w:tcPr>
          <w:p w14:paraId="715F0A4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30DE5D5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single" w:color="000000" w:sz="6" w:space="0"/>
              <w:left w:val="single" w:color="000000" w:sz="6" w:space="0"/>
              <w:bottom w:val="single" w:color="000000" w:sz="6" w:space="0"/>
              <w:right w:val="single" w:color="000000" w:sz="6" w:space="0"/>
            </w:tcBorders>
            <w:noWrap w:val="0"/>
            <w:vAlign w:val="center"/>
          </w:tcPr>
          <w:p w14:paraId="550FC24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single" w:color="000000" w:sz="6" w:space="0"/>
              <w:left w:val="single" w:color="000000" w:sz="6" w:space="0"/>
              <w:bottom w:val="single" w:color="000000" w:sz="6" w:space="0"/>
              <w:right w:val="single" w:color="000000" w:sz="6" w:space="0"/>
            </w:tcBorders>
            <w:noWrap w:val="0"/>
            <w:vAlign w:val="center"/>
          </w:tcPr>
          <w:p w14:paraId="05CD68E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2B7A2D4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single" w:color="000000" w:sz="6" w:space="0"/>
              <w:left w:val="single" w:color="000000" w:sz="6" w:space="0"/>
              <w:bottom w:val="single" w:color="000000" w:sz="6" w:space="0"/>
              <w:right w:val="single" w:color="000000" w:sz="6" w:space="0"/>
            </w:tcBorders>
            <w:noWrap w:val="0"/>
            <w:vAlign w:val="center"/>
          </w:tcPr>
          <w:p w14:paraId="06D7AF1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single" w:color="000000" w:sz="6" w:space="0"/>
              <w:left w:val="single" w:color="000000" w:sz="6" w:space="0"/>
              <w:bottom w:val="single" w:color="000000" w:sz="6" w:space="0"/>
              <w:right w:val="single" w:color="000000" w:sz="12" w:space="0"/>
            </w:tcBorders>
            <w:noWrap w:val="0"/>
            <w:vAlign w:val="center"/>
          </w:tcPr>
          <w:p w14:paraId="4DA89BF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476A1F3F">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center"/>
          </w:tcPr>
          <w:p w14:paraId="25C8823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single" w:color="000000" w:sz="6" w:space="0"/>
              <w:left w:val="single" w:color="000000" w:sz="6" w:space="0"/>
              <w:bottom w:val="single" w:color="000000" w:sz="6" w:space="0"/>
              <w:right w:val="single" w:color="000000" w:sz="6" w:space="0"/>
            </w:tcBorders>
            <w:noWrap w:val="0"/>
            <w:vAlign w:val="center"/>
          </w:tcPr>
          <w:p w14:paraId="2F5CACB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single" w:color="000000" w:sz="6" w:space="0"/>
              <w:left w:val="single" w:color="000000" w:sz="6" w:space="0"/>
              <w:bottom w:val="single" w:color="000000" w:sz="6" w:space="0"/>
              <w:right w:val="single" w:color="000000" w:sz="6" w:space="0"/>
            </w:tcBorders>
            <w:noWrap w:val="0"/>
            <w:vAlign w:val="center"/>
          </w:tcPr>
          <w:p w14:paraId="78D6B14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6BBC635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single" w:color="000000" w:sz="6" w:space="0"/>
              <w:left w:val="single" w:color="000000" w:sz="6" w:space="0"/>
              <w:bottom w:val="single" w:color="000000" w:sz="6" w:space="0"/>
              <w:right w:val="single" w:color="000000" w:sz="6" w:space="0"/>
            </w:tcBorders>
            <w:noWrap w:val="0"/>
            <w:vAlign w:val="center"/>
          </w:tcPr>
          <w:p w14:paraId="2BE4601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single" w:color="000000" w:sz="6" w:space="0"/>
              <w:left w:val="single" w:color="000000" w:sz="6" w:space="0"/>
              <w:bottom w:val="single" w:color="000000" w:sz="6" w:space="0"/>
              <w:right w:val="single" w:color="000000" w:sz="6" w:space="0"/>
            </w:tcBorders>
            <w:noWrap w:val="0"/>
            <w:vAlign w:val="center"/>
          </w:tcPr>
          <w:p w14:paraId="3A6C175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2D26328F">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single" w:color="000000" w:sz="6" w:space="0"/>
              <w:left w:val="single" w:color="000000" w:sz="6" w:space="0"/>
              <w:bottom w:val="single" w:color="000000" w:sz="6" w:space="0"/>
              <w:right w:val="single" w:color="000000" w:sz="6" w:space="0"/>
            </w:tcBorders>
            <w:noWrap w:val="0"/>
            <w:vAlign w:val="center"/>
          </w:tcPr>
          <w:p w14:paraId="484D8A5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single" w:color="000000" w:sz="6" w:space="0"/>
              <w:left w:val="single" w:color="000000" w:sz="6" w:space="0"/>
              <w:bottom w:val="single" w:color="000000" w:sz="6" w:space="0"/>
              <w:right w:val="single" w:color="000000" w:sz="12" w:space="0"/>
            </w:tcBorders>
            <w:noWrap w:val="0"/>
            <w:vAlign w:val="center"/>
          </w:tcPr>
          <w:p w14:paraId="038745F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325BBD85">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08B4BE9E">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0B9C319A">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0F74A374">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10FA210F">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2A9D8284">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11599BB4">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1BA47404">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174D16BE">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3A513F7C">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34534DCE">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center"/>
          </w:tcPr>
          <w:p w14:paraId="0594DB7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single" w:color="000000" w:sz="6" w:space="0"/>
              <w:left w:val="single" w:color="000000" w:sz="6" w:space="0"/>
              <w:bottom w:val="single" w:color="000000" w:sz="6" w:space="0"/>
              <w:right w:val="single" w:color="000000" w:sz="6" w:space="0"/>
            </w:tcBorders>
            <w:noWrap w:val="0"/>
            <w:vAlign w:val="center"/>
          </w:tcPr>
          <w:p w14:paraId="122082C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single" w:color="000000" w:sz="6" w:space="0"/>
              <w:left w:val="single" w:color="000000" w:sz="6" w:space="0"/>
              <w:bottom w:val="single" w:color="000000" w:sz="6" w:space="0"/>
              <w:right w:val="single" w:color="000000" w:sz="6" w:space="0"/>
            </w:tcBorders>
            <w:noWrap w:val="0"/>
            <w:vAlign w:val="center"/>
          </w:tcPr>
          <w:p w14:paraId="613E8A1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5A1894C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single" w:color="000000" w:sz="6" w:space="0"/>
              <w:left w:val="single" w:color="000000" w:sz="6" w:space="0"/>
              <w:bottom w:val="single" w:color="000000" w:sz="6" w:space="0"/>
              <w:right w:val="single" w:color="000000" w:sz="6" w:space="0"/>
            </w:tcBorders>
            <w:noWrap w:val="0"/>
            <w:vAlign w:val="center"/>
          </w:tcPr>
          <w:p w14:paraId="170684D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single" w:color="000000" w:sz="6" w:space="0"/>
              <w:left w:val="single" w:color="000000" w:sz="6" w:space="0"/>
              <w:bottom w:val="single" w:color="000000" w:sz="6" w:space="0"/>
              <w:right w:val="single" w:color="000000" w:sz="6" w:space="0"/>
            </w:tcBorders>
            <w:noWrap w:val="0"/>
            <w:vAlign w:val="center"/>
          </w:tcPr>
          <w:p w14:paraId="006CDFC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59BD18D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single" w:color="000000" w:sz="6" w:space="0"/>
              <w:left w:val="single" w:color="000000" w:sz="6" w:space="0"/>
              <w:bottom w:val="single" w:color="000000" w:sz="6" w:space="0"/>
              <w:right w:val="single" w:color="000000" w:sz="6" w:space="0"/>
            </w:tcBorders>
            <w:noWrap w:val="0"/>
            <w:vAlign w:val="center"/>
          </w:tcPr>
          <w:p w14:paraId="011D908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single" w:color="000000" w:sz="6" w:space="0"/>
              <w:left w:val="single" w:color="000000" w:sz="6" w:space="0"/>
              <w:bottom w:val="single" w:color="000000" w:sz="6" w:space="0"/>
              <w:right w:val="single" w:color="000000" w:sz="12" w:space="0"/>
            </w:tcBorders>
            <w:noWrap w:val="0"/>
            <w:vAlign w:val="center"/>
          </w:tcPr>
          <w:p w14:paraId="3855DFC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30A9C76B">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3FD1E58E">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634FB0EF">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3280255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16FA427D">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66287DC5">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06F2F16A">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6857569F">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79B6F329">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77D6BD9A">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15FD8987">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15391898">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68C0907D">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6BC2FAD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646AB87A">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50731771">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1D82624A">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6DB886C5">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3F242C8C">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4A115D3C">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7B73D833">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1F14241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339115D3">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5944B8D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3AC4A39D">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3AA953E5">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15A69811">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4527DD48">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4D24BF3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5DC3C52E">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7826D01E">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67F94D5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13DD9013">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085D1AD1">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55F1BE1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13386E2A">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2D1014B3">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70EE4ED1">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34AFC6CB">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6537C4D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7C6BB584">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2E37851A">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02AE558C">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39EC872A">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34DFF6B0">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7089F950">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036DEDB0">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2C67F6A4">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1C7DBFC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4ADA731B">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6F00600B">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38B023A9">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6452BDAE">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7A5BA61E">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612AEA58">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4FF544B0">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4ABDF41C">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6C96BDB8">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58C54DB9">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149AB511">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72804579">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103E0909">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661AC287">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70FBBA8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4E4ABDE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61524498">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2CF705D4">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316A0BC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708A731C">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14BA198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54A6E576">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29C553C9">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2E444A10">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29AB4441">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19EEB148">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23AA09A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22515597">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77CDD93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1CEA42A7">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0A2152E2">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r w14:paraId="1C75579B">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12" w:space="0"/>
              <w:right w:val="single" w:color="000000" w:sz="6" w:space="0"/>
            </w:tcBorders>
            <w:noWrap w:val="0"/>
            <w:vAlign w:val="top"/>
          </w:tcPr>
          <w:p w14:paraId="6C0DD665">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12" w:space="0"/>
              <w:right w:val="single" w:color="000000" w:sz="6" w:space="0"/>
            </w:tcBorders>
            <w:noWrap w:val="0"/>
            <w:vAlign w:val="top"/>
          </w:tcPr>
          <w:p w14:paraId="49BF7DEA">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12" w:space="0"/>
              <w:right w:val="single" w:color="000000" w:sz="6" w:space="0"/>
            </w:tcBorders>
            <w:noWrap w:val="0"/>
            <w:vAlign w:val="top"/>
          </w:tcPr>
          <w:p w14:paraId="6A7E5DD7">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12" w:space="0"/>
              <w:right w:val="single" w:color="000000" w:sz="6" w:space="0"/>
            </w:tcBorders>
            <w:noWrap w:val="0"/>
            <w:vAlign w:val="top"/>
          </w:tcPr>
          <w:p w14:paraId="7591FF8C">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12" w:space="0"/>
              <w:right w:val="single" w:color="000000" w:sz="6" w:space="0"/>
            </w:tcBorders>
            <w:noWrap w:val="0"/>
            <w:vAlign w:val="top"/>
          </w:tcPr>
          <w:p w14:paraId="50271AFB">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12" w:space="0"/>
              <w:right w:val="single" w:color="000000" w:sz="6" w:space="0"/>
            </w:tcBorders>
            <w:noWrap w:val="0"/>
            <w:vAlign w:val="top"/>
          </w:tcPr>
          <w:p w14:paraId="04482E28">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12" w:space="0"/>
              <w:right w:val="single" w:color="000000" w:sz="6" w:space="0"/>
            </w:tcBorders>
            <w:noWrap w:val="0"/>
            <w:vAlign w:val="top"/>
          </w:tcPr>
          <w:p w14:paraId="0E92669F">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12" w:space="0"/>
              <w:right w:val="single" w:color="000000" w:sz="6" w:space="0"/>
            </w:tcBorders>
            <w:noWrap w:val="0"/>
            <w:vAlign w:val="top"/>
          </w:tcPr>
          <w:p w14:paraId="6EB90F46">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12" w:space="0"/>
              <w:right w:val="single" w:color="000000" w:sz="12" w:space="0"/>
            </w:tcBorders>
            <w:noWrap w:val="0"/>
            <w:vAlign w:val="top"/>
          </w:tcPr>
          <w:p w14:paraId="3FF4FE95">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r>
    </w:tbl>
    <w:p w14:paraId="312B657A">
      <w:pPr>
        <w:tabs>
          <w:tab w:val="center" w:pos="4393"/>
          <w:tab w:val="left" w:pos="6774"/>
        </w:tabs>
        <w:spacing w:line="440" w:lineRule="exact"/>
        <w:ind w:firstLine="0" w:firstLineChars="0"/>
        <w:jc w:val="both"/>
        <w:rPr>
          <w:rFonts w:hint="eastAsia" w:ascii="宋体" w:hAnsi="宋体" w:eastAsia="宋体" w:cs="宋体"/>
          <w:bCs w:val="0"/>
          <w:color w:val="auto"/>
          <w:spacing w:val="0"/>
          <w:kern w:val="2"/>
          <w:sz w:val="21"/>
          <w:szCs w:val="21"/>
          <w:highlight w:val="none"/>
        </w:rPr>
      </w:pPr>
    </w:p>
    <w:p w14:paraId="76A48B17">
      <w:pPr>
        <w:tabs>
          <w:tab w:val="center" w:pos="4393"/>
          <w:tab w:val="left" w:pos="6774"/>
        </w:tabs>
        <w:spacing w:line="440" w:lineRule="exact"/>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br w:type="page"/>
      </w:r>
      <w:r>
        <w:rPr>
          <w:rFonts w:hint="eastAsia" w:ascii="宋体" w:hAnsi="宋体" w:eastAsia="宋体" w:cs="宋体"/>
          <w:bCs w:val="0"/>
          <w:color w:val="auto"/>
          <w:spacing w:val="0"/>
          <w:kern w:val="2"/>
          <w:sz w:val="21"/>
          <w:szCs w:val="21"/>
          <w:highlight w:val="none"/>
          <w:lang w:bidi="ar"/>
        </w:rPr>
        <w:t>附件6：</w:t>
      </w:r>
    </w:p>
    <w:p w14:paraId="6B5DC0EF">
      <w:pPr>
        <w:tabs>
          <w:tab w:val="center" w:pos="4393"/>
          <w:tab w:val="left" w:pos="6774"/>
        </w:tabs>
        <w:spacing w:before="120" w:after="120" w:line="440" w:lineRule="exact"/>
        <w:ind w:firstLine="0" w:firstLineChars="0"/>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承包人主要施工管理人员表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70"/>
        <w:gridCol w:w="1417"/>
        <w:gridCol w:w="1134"/>
        <w:gridCol w:w="1134"/>
        <w:gridCol w:w="4281"/>
      </w:tblGrid>
      <w:tr w14:paraId="3CB9E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0EC8734B">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名    称</w:t>
            </w:r>
          </w:p>
        </w:tc>
        <w:tc>
          <w:tcPr>
            <w:tcW w:w="1417" w:type="dxa"/>
            <w:noWrap w:val="0"/>
            <w:vAlign w:val="center"/>
          </w:tcPr>
          <w:p w14:paraId="1251B2EE">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姓名</w:t>
            </w:r>
          </w:p>
        </w:tc>
        <w:tc>
          <w:tcPr>
            <w:tcW w:w="1134" w:type="dxa"/>
            <w:noWrap w:val="0"/>
            <w:vAlign w:val="center"/>
          </w:tcPr>
          <w:p w14:paraId="35970FA8">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职务</w:t>
            </w:r>
          </w:p>
        </w:tc>
        <w:tc>
          <w:tcPr>
            <w:tcW w:w="1134" w:type="dxa"/>
            <w:noWrap w:val="0"/>
            <w:vAlign w:val="center"/>
          </w:tcPr>
          <w:p w14:paraId="1548005E">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职称</w:t>
            </w:r>
          </w:p>
        </w:tc>
        <w:tc>
          <w:tcPr>
            <w:tcW w:w="4281" w:type="dxa"/>
            <w:noWrap w:val="0"/>
            <w:vAlign w:val="center"/>
          </w:tcPr>
          <w:p w14:paraId="46F297D6">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主要资历、经验及承担过的项目</w:t>
            </w:r>
          </w:p>
        </w:tc>
      </w:tr>
      <w:tr w14:paraId="7043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36" w:type="dxa"/>
            <w:gridSpan w:val="5"/>
            <w:noWrap w:val="0"/>
            <w:vAlign w:val="center"/>
          </w:tcPr>
          <w:p w14:paraId="545D8619">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一、总部人员</w:t>
            </w:r>
          </w:p>
        </w:tc>
      </w:tr>
      <w:tr w14:paraId="05A0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65615484">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项目主管</w:t>
            </w:r>
          </w:p>
        </w:tc>
        <w:tc>
          <w:tcPr>
            <w:tcW w:w="1417" w:type="dxa"/>
            <w:noWrap w:val="0"/>
            <w:vAlign w:val="center"/>
          </w:tcPr>
          <w:p w14:paraId="3C71852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28F5944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02F47DF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287EA78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56A7F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689860E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17" w:type="dxa"/>
            <w:noWrap w:val="0"/>
            <w:vAlign w:val="center"/>
          </w:tcPr>
          <w:p w14:paraId="348F735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6D5CD7A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176CBC3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5960A77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131EF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07A67DD0">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其他人员</w:t>
            </w:r>
          </w:p>
        </w:tc>
        <w:tc>
          <w:tcPr>
            <w:tcW w:w="1417" w:type="dxa"/>
            <w:noWrap w:val="0"/>
            <w:vAlign w:val="center"/>
          </w:tcPr>
          <w:p w14:paraId="7727823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47B4B2E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2686268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265C17E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6D515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18D0B57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417" w:type="dxa"/>
            <w:noWrap w:val="0"/>
            <w:vAlign w:val="center"/>
          </w:tcPr>
          <w:p w14:paraId="545624D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1AB9DF4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2257478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19D2C2C9">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3A426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36" w:type="dxa"/>
            <w:gridSpan w:val="5"/>
            <w:noWrap w:val="0"/>
            <w:vAlign w:val="center"/>
          </w:tcPr>
          <w:p w14:paraId="08B63828">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二、现场人员</w:t>
            </w:r>
          </w:p>
        </w:tc>
      </w:tr>
      <w:tr w14:paraId="5A910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5D478209">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项目经理</w:t>
            </w:r>
          </w:p>
        </w:tc>
        <w:tc>
          <w:tcPr>
            <w:tcW w:w="1417" w:type="dxa"/>
            <w:noWrap w:val="0"/>
            <w:vAlign w:val="center"/>
          </w:tcPr>
          <w:p w14:paraId="2A7DF5E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3A77416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72824DE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2118376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314DC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0E816DA9">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项目副经理</w:t>
            </w:r>
          </w:p>
        </w:tc>
        <w:tc>
          <w:tcPr>
            <w:tcW w:w="1417" w:type="dxa"/>
            <w:noWrap w:val="0"/>
            <w:vAlign w:val="center"/>
          </w:tcPr>
          <w:p w14:paraId="0CF3F3C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7030D15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4A783FD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3E5E079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414DD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134B158B">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技术负责人</w:t>
            </w:r>
          </w:p>
        </w:tc>
        <w:tc>
          <w:tcPr>
            <w:tcW w:w="1417" w:type="dxa"/>
            <w:noWrap w:val="0"/>
            <w:vAlign w:val="center"/>
          </w:tcPr>
          <w:p w14:paraId="2E66514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29782A6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14701DB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0C29336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07F1C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1A036984">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造价管理</w:t>
            </w:r>
          </w:p>
        </w:tc>
        <w:tc>
          <w:tcPr>
            <w:tcW w:w="1417" w:type="dxa"/>
            <w:noWrap w:val="0"/>
            <w:vAlign w:val="center"/>
          </w:tcPr>
          <w:p w14:paraId="314768D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7F7FAEE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55BF133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70531D6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2F402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7CB17661">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质量管理</w:t>
            </w:r>
          </w:p>
        </w:tc>
        <w:tc>
          <w:tcPr>
            <w:tcW w:w="1417" w:type="dxa"/>
            <w:noWrap w:val="0"/>
            <w:vAlign w:val="center"/>
          </w:tcPr>
          <w:p w14:paraId="1F50715B">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6A5B757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1DF1295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46A1ACC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4E378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2377E5D2">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材料管理</w:t>
            </w:r>
          </w:p>
        </w:tc>
        <w:tc>
          <w:tcPr>
            <w:tcW w:w="1417" w:type="dxa"/>
            <w:noWrap w:val="0"/>
            <w:vAlign w:val="center"/>
          </w:tcPr>
          <w:p w14:paraId="27B1BB0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7892195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0C88503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1464FD0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6379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4115D632">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计划管理</w:t>
            </w:r>
          </w:p>
        </w:tc>
        <w:tc>
          <w:tcPr>
            <w:tcW w:w="1417" w:type="dxa"/>
            <w:noWrap w:val="0"/>
            <w:vAlign w:val="center"/>
          </w:tcPr>
          <w:p w14:paraId="4FF4FBD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3B0E477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4F49B24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1FDE450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23573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51647B6F">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安全管理</w:t>
            </w:r>
          </w:p>
        </w:tc>
        <w:tc>
          <w:tcPr>
            <w:tcW w:w="1417" w:type="dxa"/>
            <w:noWrap w:val="0"/>
            <w:vAlign w:val="center"/>
          </w:tcPr>
          <w:p w14:paraId="4DE49FD1">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018E9A6E">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1BA9349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5393F1EF">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7D02C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vMerge w:val="restart"/>
            <w:noWrap w:val="0"/>
            <w:vAlign w:val="center"/>
          </w:tcPr>
          <w:p w14:paraId="2A8BAF33">
            <w:pPr>
              <w:keepNext/>
              <w:widowControl w:val="0"/>
              <w:tabs>
                <w:tab w:val="center" w:pos="4393"/>
                <w:tab w:val="left" w:pos="6774"/>
              </w:tabs>
              <w:spacing w:before="0" w:after="0" w:line="440" w:lineRule="exact"/>
              <w:ind w:left="63" w:right="63" w:firstLine="0" w:firstLineChars="0"/>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其他人员</w:t>
            </w:r>
          </w:p>
        </w:tc>
        <w:tc>
          <w:tcPr>
            <w:tcW w:w="1417" w:type="dxa"/>
            <w:noWrap w:val="0"/>
            <w:vAlign w:val="center"/>
          </w:tcPr>
          <w:p w14:paraId="4CDEB82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217E2F6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621BD78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6148B207">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20398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vMerge w:val="continue"/>
            <w:noWrap w:val="0"/>
            <w:vAlign w:val="center"/>
          </w:tcPr>
          <w:p w14:paraId="4E661755">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17" w:type="dxa"/>
            <w:noWrap w:val="0"/>
            <w:vAlign w:val="center"/>
          </w:tcPr>
          <w:p w14:paraId="1B2BF49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760C9C4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2DF8ACB5">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6348BC7F">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47771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vMerge w:val="continue"/>
            <w:noWrap w:val="0"/>
            <w:vAlign w:val="center"/>
          </w:tcPr>
          <w:p w14:paraId="117C0D7A">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17" w:type="dxa"/>
            <w:noWrap w:val="0"/>
            <w:vAlign w:val="center"/>
          </w:tcPr>
          <w:p w14:paraId="609D33C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0410910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73D1C39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28E6DF8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1B38A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vMerge w:val="continue"/>
            <w:noWrap w:val="0"/>
            <w:vAlign w:val="center"/>
          </w:tcPr>
          <w:p w14:paraId="0D336DC4">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17" w:type="dxa"/>
            <w:noWrap w:val="0"/>
            <w:vAlign w:val="center"/>
          </w:tcPr>
          <w:p w14:paraId="2AFA75FD">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3F5D2766">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6734C12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351FDA8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15084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vMerge w:val="continue"/>
            <w:noWrap w:val="0"/>
            <w:vAlign w:val="center"/>
          </w:tcPr>
          <w:p w14:paraId="76F62CEE">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17" w:type="dxa"/>
            <w:noWrap w:val="0"/>
            <w:vAlign w:val="center"/>
          </w:tcPr>
          <w:p w14:paraId="43CBAE78">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1CEA33D4">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6926F7DA">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76739CFC">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r w14:paraId="07BBF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vMerge w:val="continue"/>
            <w:noWrap w:val="0"/>
            <w:vAlign w:val="center"/>
          </w:tcPr>
          <w:p w14:paraId="046AC91B">
            <w:pPr>
              <w:tabs>
                <w:tab w:val="center" w:pos="4393"/>
                <w:tab w:val="left" w:pos="6774"/>
              </w:tabs>
              <w:snapToGrid w:val="0"/>
              <w:spacing w:line="240" w:lineRule="auto"/>
              <w:ind w:firstLine="0" w:firstLineChars="0"/>
              <w:jc w:val="both"/>
              <w:rPr>
                <w:rFonts w:hint="eastAsia" w:ascii="宋体" w:hAnsi="宋体" w:eastAsia="宋体" w:cs="宋体"/>
                <w:bCs w:val="0"/>
                <w:color w:val="auto"/>
                <w:spacing w:val="0"/>
                <w:kern w:val="2"/>
                <w:sz w:val="21"/>
                <w:szCs w:val="21"/>
                <w:highlight w:val="none"/>
              </w:rPr>
            </w:pPr>
          </w:p>
        </w:tc>
        <w:tc>
          <w:tcPr>
            <w:tcW w:w="1417" w:type="dxa"/>
            <w:noWrap w:val="0"/>
            <w:vAlign w:val="center"/>
          </w:tcPr>
          <w:p w14:paraId="4CE459F3">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4F97C91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3600BAA0">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3B6A8CC2">
            <w:pPr>
              <w:keepNext/>
              <w:widowControl w:val="0"/>
              <w:tabs>
                <w:tab w:val="center" w:pos="4393"/>
                <w:tab w:val="left" w:pos="6774"/>
              </w:tabs>
              <w:snapToGrid w:val="0"/>
              <w:spacing w:before="0" w:after="0" w:line="440" w:lineRule="exact"/>
              <w:ind w:left="63" w:right="63" w:firstLine="0" w:firstLineChars="0"/>
              <w:jc w:val="both"/>
              <w:rPr>
                <w:rFonts w:hint="eastAsia" w:ascii="宋体" w:hAnsi="宋体" w:eastAsia="宋体" w:cs="宋体"/>
                <w:bCs w:val="0"/>
                <w:color w:val="auto"/>
                <w:spacing w:val="0"/>
                <w:kern w:val="0"/>
                <w:sz w:val="21"/>
                <w:szCs w:val="21"/>
                <w:highlight w:val="none"/>
                <w:lang w:val="en-US" w:eastAsia="zh-CN" w:bidi="ar-SA"/>
              </w:rPr>
            </w:pPr>
          </w:p>
        </w:tc>
      </w:tr>
    </w:tbl>
    <w:p w14:paraId="508BF53A">
      <w:pPr>
        <w:pageBreakBefore/>
        <w:tabs>
          <w:tab w:val="center" w:pos="4393"/>
          <w:tab w:val="left" w:pos="6774"/>
        </w:tabs>
        <w:spacing w:line="440" w:lineRule="exact"/>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附件7：                       </w:t>
      </w:r>
      <w:r>
        <w:rPr>
          <w:rFonts w:hint="eastAsia" w:ascii="宋体" w:hAnsi="宋体" w:eastAsia="宋体" w:cs="宋体"/>
          <w:b/>
          <w:bCs w:val="0"/>
          <w:color w:val="auto"/>
          <w:spacing w:val="0"/>
          <w:kern w:val="2"/>
          <w:sz w:val="21"/>
          <w:szCs w:val="21"/>
          <w:highlight w:val="none"/>
          <w:lang w:bidi="ar"/>
        </w:rPr>
        <w:t>工程安全环境管理协议</w:t>
      </w:r>
    </w:p>
    <w:p w14:paraId="72E1BBEA">
      <w:pPr>
        <w:tabs>
          <w:tab w:val="center" w:pos="4393"/>
          <w:tab w:val="left" w:pos="6774"/>
        </w:tabs>
        <w:spacing w:line="360" w:lineRule="auto"/>
        <w:ind w:firstLine="620" w:firstLineChars="0"/>
        <w:jc w:val="both"/>
        <w:rPr>
          <w:rFonts w:hint="eastAsia" w:ascii="宋体" w:hAnsi="宋体" w:eastAsia="宋体" w:cs="宋体"/>
          <w:b/>
          <w:bCs w:val="0"/>
          <w:color w:val="auto"/>
          <w:spacing w:val="0"/>
          <w:kern w:val="2"/>
          <w:sz w:val="21"/>
          <w:szCs w:val="21"/>
          <w:highlight w:val="none"/>
          <w:lang w:bidi="ar"/>
        </w:rPr>
      </w:pPr>
    </w:p>
    <w:p w14:paraId="234BAF72">
      <w:pPr>
        <w:tabs>
          <w:tab w:val="center" w:pos="4393"/>
          <w:tab w:val="left" w:pos="6774"/>
        </w:tabs>
        <w:spacing w:line="360" w:lineRule="auto"/>
        <w:ind w:firstLine="620" w:firstLineChars="0"/>
        <w:jc w:val="both"/>
        <w:rPr>
          <w:rFonts w:hint="eastAsia" w:ascii="宋体" w:hAnsi="宋体" w:eastAsia="宋体" w:cs="宋体"/>
          <w:bCs w:val="0"/>
          <w:color w:val="auto"/>
          <w:spacing w:val="0"/>
          <w:kern w:val="2"/>
          <w:sz w:val="21"/>
          <w:szCs w:val="24"/>
          <w:highlight w:val="none"/>
          <w:lang w:val="en-US" w:eastAsia="zh-CN"/>
        </w:rPr>
      </w:pPr>
      <w:r>
        <w:rPr>
          <w:rFonts w:hint="eastAsia" w:ascii="宋体" w:hAnsi="宋体" w:eastAsia="宋体" w:cs="宋体"/>
          <w:b/>
          <w:bCs w:val="0"/>
          <w:color w:val="auto"/>
          <w:spacing w:val="0"/>
          <w:kern w:val="2"/>
          <w:sz w:val="21"/>
          <w:szCs w:val="21"/>
          <w:highlight w:val="none"/>
          <w:lang w:bidi="ar"/>
        </w:rPr>
        <w:t>发包人：</w:t>
      </w:r>
      <w:r>
        <w:rPr>
          <w:rFonts w:hint="eastAsia" w:ascii="宋体" w:hAnsi="宋体" w:eastAsia="宋体" w:cs="宋体"/>
          <w:b/>
          <w:bCs w:val="0"/>
          <w:color w:val="auto"/>
          <w:spacing w:val="0"/>
          <w:kern w:val="2"/>
          <w:sz w:val="21"/>
          <w:szCs w:val="21"/>
          <w:highlight w:val="none"/>
          <w:u w:val="single"/>
          <w:lang w:val="en-US" w:eastAsia="zh-CN" w:bidi="ar"/>
        </w:rPr>
        <w:t xml:space="preserve">                                            </w:t>
      </w:r>
      <w:r>
        <w:rPr>
          <w:rFonts w:hint="eastAsia" w:ascii="宋体" w:hAnsi="宋体" w:eastAsia="宋体" w:cs="宋体"/>
          <w:b/>
          <w:bCs w:val="0"/>
          <w:color w:val="auto"/>
          <w:spacing w:val="0"/>
          <w:kern w:val="2"/>
          <w:sz w:val="21"/>
          <w:szCs w:val="21"/>
          <w:highlight w:val="none"/>
          <w:lang w:val="en-US" w:eastAsia="zh-CN" w:bidi="ar"/>
        </w:rPr>
        <w:t xml:space="preserve">  </w:t>
      </w:r>
    </w:p>
    <w:p w14:paraId="362925F2">
      <w:pPr>
        <w:tabs>
          <w:tab w:val="center" w:pos="4393"/>
          <w:tab w:val="left" w:pos="6774"/>
        </w:tabs>
        <w:spacing w:line="360" w:lineRule="auto"/>
        <w:ind w:firstLine="6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
          <w:bCs w:val="0"/>
          <w:color w:val="auto"/>
          <w:spacing w:val="0"/>
          <w:kern w:val="2"/>
          <w:sz w:val="21"/>
          <w:szCs w:val="21"/>
          <w:highlight w:val="none"/>
          <w:lang w:bidi="ar"/>
        </w:rPr>
        <w:t>承包人：</w:t>
      </w:r>
      <w:r>
        <w:rPr>
          <w:rFonts w:hint="eastAsia" w:ascii="宋体" w:hAnsi="宋体" w:eastAsia="宋体" w:cs="宋体"/>
          <w:bCs w:val="0"/>
          <w:color w:val="auto"/>
          <w:spacing w:val="0"/>
          <w:kern w:val="2"/>
          <w:sz w:val="21"/>
          <w:szCs w:val="21"/>
          <w:highlight w:val="none"/>
          <w:u w:val="single"/>
          <w:lang w:bidi="ar"/>
        </w:rPr>
        <w:t>中标单位名称</w:t>
      </w:r>
    </w:p>
    <w:p w14:paraId="43C45296">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1"/>
          <w:highlight w:val="none"/>
          <w:u w:val="none"/>
          <w:lang w:bidi="ar"/>
        </w:rPr>
      </w:pPr>
      <w:r>
        <w:rPr>
          <w:rFonts w:hint="eastAsia" w:ascii="宋体" w:hAnsi="宋体" w:eastAsia="宋体" w:cs="宋体"/>
          <w:bCs w:val="0"/>
          <w:color w:val="auto"/>
          <w:spacing w:val="0"/>
          <w:kern w:val="2"/>
          <w:sz w:val="21"/>
          <w:szCs w:val="21"/>
          <w:highlight w:val="none"/>
          <w:lang w:bidi="ar"/>
        </w:rPr>
        <w:t>工程项目名称：</w:t>
      </w:r>
      <w:r>
        <w:rPr>
          <w:rFonts w:hint="eastAsia" w:ascii="宋体" w:hAnsi="宋体" w:eastAsia="宋体" w:cs="宋体"/>
          <w:bCs w:val="0"/>
          <w:color w:val="auto"/>
          <w:spacing w:val="0"/>
          <w:kern w:val="2"/>
          <w:sz w:val="21"/>
          <w:szCs w:val="21"/>
          <w:highlight w:val="none"/>
          <w:u w:val="none"/>
          <w:lang w:val="en-US" w:eastAsia="zh-CN" w:bidi="ar"/>
        </w:rPr>
        <w:t xml:space="preserve">            </w:t>
      </w:r>
      <w:r>
        <w:rPr>
          <w:rFonts w:hint="eastAsia" w:ascii="宋体" w:hAnsi="宋体" w:eastAsia="宋体" w:cs="宋体"/>
          <w:bCs w:val="0"/>
          <w:color w:val="auto"/>
          <w:spacing w:val="0"/>
          <w:kern w:val="2"/>
          <w:sz w:val="21"/>
          <w:szCs w:val="21"/>
          <w:highlight w:val="none"/>
          <w:u w:val="none"/>
          <w:lang w:bidi="ar"/>
        </w:rPr>
        <w:t xml:space="preserve">   </w:t>
      </w:r>
    </w:p>
    <w:p w14:paraId="367134C6">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42943C39">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 安全文明施工管理目标</w:t>
      </w:r>
    </w:p>
    <w:p w14:paraId="27F77234">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 杜绝重伤及以上事故；</w:t>
      </w:r>
    </w:p>
    <w:p w14:paraId="65E2802E">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2 杜绝重大机械设备事故；</w:t>
      </w:r>
    </w:p>
    <w:p w14:paraId="0759D550">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3 杜绝重大火灾事故；</w:t>
      </w:r>
    </w:p>
    <w:p w14:paraId="468134BB">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4 杜绝负主要责任的重大交通事故；</w:t>
      </w:r>
    </w:p>
    <w:p w14:paraId="6079179F">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5 杜绝重复发生相同性质的事故；</w:t>
      </w:r>
    </w:p>
    <w:p w14:paraId="5E574133">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6 创建安全文明施工样板工程；</w:t>
      </w:r>
    </w:p>
    <w:p w14:paraId="38B3FA3D">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7 杜绝重大设备损坏事故。</w:t>
      </w:r>
    </w:p>
    <w:p w14:paraId="4AB7DFEF">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 安全文明施工和环境管理执行标准：</w:t>
      </w:r>
    </w:p>
    <w:p w14:paraId="5C3DC35C">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以下标准双方均应认真执行：</w:t>
      </w:r>
    </w:p>
    <w:p w14:paraId="0A341504">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 《建设工程安全管理条例》；</w:t>
      </w:r>
    </w:p>
    <w:p w14:paraId="0954DE9A">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2 国家有关部、委、各级政府部门和上级主管部门颁发的有关安全生产和环境保护工作的法令、法规、规定、制度；  </w:t>
      </w:r>
    </w:p>
    <w:p w14:paraId="675510DF">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3 发包人有关安全文明施工及环境保护的规定、制度。</w:t>
      </w:r>
    </w:p>
    <w:p w14:paraId="5D58F593">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 发包人的权利和义务：</w:t>
      </w:r>
    </w:p>
    <w:p w14:paraId="7CA6D4A8">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 发包人按有关规定对承包人的资质进行审查，确认承包人承包的工程与其资质相符合；</w:t>
      </w:r>
    </w:p>
    <w:p w14:paraId="48F6092F">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2 发包人在施工前负责审核承包人的施工组织设计；</w:t>
      </w:r>
    </w:p>
    <w:p w14:paraId="6C4BD825">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6C1A729D">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4 对承包人在施工中新增的施工人员，发包人有权按以上要求进行检查；</w:t>
      </w:r>
    </w:p>
    <w:p w14:paraId="60F1EA1B">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5 施工前发包人有权对承包人的电动工器具、仪表等进行抽样检查；</w:t>
      </w:r>
    </w:p>
    <w:p w14:paraId="47F1A024">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6 施工期间，发包人设专职安监人员负责联系、检查、督促承包人执行有关安全、防火规定，并协助检查和处理工程施工中有关的安全、防火工作、预防事故发生；</w:t>
      </w:r>
    </w:p>
    <w:p w14:paraId="38A3FFBB">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7 发包人有协助承包人搞好安全生产、防火管理的义务。当承包人出现安全、文明施工严重失控情况下，发包人有权按《建设工程安全管理条例》的要求做出停工整顿，限期整改、直到清退出场的决定；</w:t>
      </w:r>
    </w:p>
    <w:p w14:paraId="04C539CA">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8 发包人不得要求承包人违反安全管理规定进行施工。因发包人原因导致事故由发包人承担责任；</w:t>
      </w:r>
    </w:p>
    <w:p w14:paraId="0B3A702B">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9 由发包人提供的机械设备、安全设施，在安装完毕提交使用前，发包人应配合承包人共同按规定验收，并做好验收及交付使用的书面手续。</w:t>
      </w:r>
    </w:p>
    <w:p w14:paraId="3D1C9BB5">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 承包人的权利和义务：</w:t>
      </w:r>
    </w:p>
    <w:p w14:paraId="2B59351E">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 承包人需根据现场的实际开工情况，找出危险源，列出《风险源清单》，根据风险的大小，编制《施工现场工作风险评估》；</w:t>
      </w:r>
    </w:p>
    <w:p w14:paraId="58A3815E">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006BB6E4">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3 承包人必须建立安全管理制度，各级安全生产岗位责任制和定期安全检查、安全教育制度，包括各工种的安全操作规程、特种作业人员的考核制度等；</w:t>
      </w:r>
    </w:p>
    <w:p w14:paraId="4DDE3A71">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4 承包人在项目施工开始前要根据《施工组织设计》或《安全施工方案（措施）》向施工人员进行安全技术交底；</w:t>
      </w:r>
    </w:p>
    <w:p w14:paraId="4949E4B3">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5 承包人必须严格按施工组织设计和有关安全要求规定组织施工。对有可能发生火灾、爆炸、触电、中毒、窒息、机械伤害、烧烫伤等危险或会引起严重设备事故的作业，承包人应制定专项施工安全技术措施；</w:t>
      </w:r>
    </w:p>
    <w:p w14:paraId="33282697">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2B4BD19A">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7 承包人施工人员应经安规考试合格后上岗；</w:t>
      </w:r>
    </w:p>
    <w:p w14:paraId="6E4F3EBE">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8 承包人施工人员应对所在的施工区域、作业环境、操作设施设备、工器具等进行认真检查，发现隐患立即处理，落实整改措施；</w:t>
      </w:r>
    </w:p>
    <w:p w14:paraId="284355F1">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9承包人在施工期间由于施工机械、工器具原因或使用操作不当而造成伤亡事故，由承包人负责；</w:t>
      </w:r>
    </w:p>
    <w:p w14:paraId="2231E207">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10承包人对施工现场安全设施（如脚手架等）每天开工前必须检查，发现隐患及时整改；</w:t>
      </w:r>
    </w:p>
    <w:p w14:paraId="4303A3F6">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20ABB2DB">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12 承包人必须按规定为作业人员配备应有的劳动保护用品、用具。承包人所属人员的身体健康状况必须能满足所从事工作的要求；</w:t>
      </w:r>
    </w:p>
    <w:p w14:paraId="068A50A1">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w:t>
      </w:r>
      <w:r>
        <w:rPr>
          <w:rFonts w:hint="eastAsia" w:ascii="宋体" w:hAnsi="宋体" w:eastAsia="宋体" w:cs="宋体"/>
          <w:bCs w:val="0"/>
          <w:color w:val="auto"/>
          <w:spacing w:val="0"/>
          <w:kern w:val="2"/>
          <w:sz w:val="21"/>
          <w:szCs w:val="21"/>
          <w:highlight w:val="none"/>
          <w:lang w:eastAsia="zh-CN" w:bidi="ar"/>
        </w:rPr>
        <w:t>款中</w:t>
      </w:r>
      <w:r>
        <w:rPr>
          <w:rFonts w:hint="eastAsia" w:ascii="宋体" w:hAnsi="宋体" w:eastAsia="宋体" w:cs="宋体"/>
          <w:bCs w:val="0"/>
          <w:color w:val="auto"/>
          <w:spacing w:val="0"/>
          <w:kern w:val="2"/>
          <w:sz w:val="21"/>
          <w:szCs w:val="21"/>
          <w:highlight w:val="none"/>
          <w:lang w:bidi="ar"/>
        </w:rPr>
        <w:t>扣除；</w:t>
      </w:r>
    </w:p>
    <w:p w14:paraId="494F3F95">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6 贯彻“谁施工谁负责”的管理原则，发包人、承包人人员在施工期间造成伤亡、火警、火灾、电气、机械等重大事故（包括发包人、承包人责任造成对方人员、他方（行人等人员伤亡）</w:t>
      </w:r>
      <w:r>
        <w:rPr>
          <w:rFonts w:hint="eastAsia" w:ascii="宋体" w:hAnsi="宋体" w:eastAsia="宋体" w:cs="宋体"/>
          <w:bCs w:val="0"/>
          <w:color w:val="auto"/>
          <w:spacing w:val="0"/>
          <w:kern w:val="2"/>
          <w:sz w:val="21"/>
          <w:szCs w:val="21"/>
          <w:highlight w:val="none"/>
          <w:lang w:val="en-US" w:eastAsia="zh-CN" w:bidi="ar"/>
        </w:rPr>
        <w:t>)</w:t>
      </w:r>
      <w:r>
        <w:rPr>
          <w:rFonts w:hint="eastAsia" w:ascii="宋体" w:hAnsi="宋体" w:eastAsia="宋体" w:cs="宋体"/>
          <w:bCs w:val="0"/>
          <w:color w:val="auto"/>
          <w:spacing w:val="0"/>
          <w:kern w:val="2"/>
          <w:sz w:val="21"/>
          <w:szCs w:val="21"/>
          <w:highlight w:val="none"/>
          <w:lang w:bidi="ar"/>
        </w:rPr>
        <w:t>，双方应协力进行紧急抢救伤员和保护现场，按国务院、</w:t>
      </w:r>
      <w:r>
        <w:rPr>
          <w:rFonts w:hint="eastAsia" w:ascii="宋体" w:hAnsi="宋体" w:eastAsia="宋体" w:cs="宋体"/>
          <w:bCs w:val="0"/>
          <w:color w:val="auto"/>
          <w:spacing w:val="0"/>
          <w:kern w:val="2"/>
          <w:sz w:val="21"/>
          <w:szCs w:val="21"/>
          <w:highlight w:val="none"/>
          <w:lang w:eastAsia="zh-CN" w:bidi="ar"/>
        </w:rPr>
        <w:t>交通运输部</w:t>
      </w:r>
      <w:r>
        <w:rPr>
          <w:rFonts w:hint="eastAsia" w:ascii="宋体" w:hAnsi="宋体" w:eastAsia="宋体" w:cs="宋体"/>
          <w:bCs w:val="0"/>
          <w:color w:val="auto"/>
          <w:spacing w:val="0"/>
          <w:kern w:val="2"/>
          <w:sz w:val="21"/>
          <w:szCs w:val="21"/>
          <w:highlight w:val="none"/>
          <w:lang w:bidi="ar"/>
        </w:rPr>
        <w:t>及地方有关事故报告规定，在事故发生后24小时内报告各自上级主管部门及省、市、区等有关部门。承包人人员施工中发生的不安全情况应及时向发包人通报；</w:t>
      </w:r>
    </w:p>
    <w:p w14:paraId="20DC1A4C">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 其他</w:t>
      </w:r>
    </w:p>
    <w:p w14:paraId="57F9BD5D">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 承包人工程施工方案中必须包括安全、健康、环保等措施，并贯彻落实到具体工作中</w:t>
      </w:r>
      <w:r>
        <w:rPr>
          <w:rFonts w:hint="eastAsia" w:ascii="宋体" w:hAnsi="宋体" w:eastAsia="宋体" w:cs="宋体"/>
          <w:bCs w:val="0"/>
          <w:color w:val="auto"/>
          <w:spacing w:val="0"/>
          <w:kern w:val="2"/>
          <w:sz w:val="21"/>
          <w:szCs w:val="21"/>
          <w:highlight w:val="none"/>
          <w:lang w:val="en-US" w:eastAsia="zh-CN" w:bidi="ar"/>
        </w:rPr>
        <w:t>去</w:t>
      </w:r>
      <w:r>
        <w:rPr>
          <w:rFonts w:hint="eastAsia" w:ascii="宋体" w:hAnsi="宋体" w:eastAsia="宋体" w:cs="宋体"/>
          <w:bCs w:val="0"/>
          <w:color w:val="auto"/>
          <w:spacing w:val="0"/>
          <w:kern w:val="2"/>
          <w:sz w:val="21"/>
          <w:szCs w:val="21"/>
          <w:highlight w:val="none"/>
          <w:lang w:bidi="ar"/>
        </w:rPr>
        <w:t>，确保施工安全及当地环境不受工程施工破坏；</w:t>
      </w:r>
    </w:p>
    <w:p w14:paraId="3C7FF42F">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2 施工过程中产生的废弃物、噪音等排放必须符合相关规定标准；</w:t>
      </w:r>
    </w:p>
    <w:p w14:paraId="23BB4A3D">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3 由于承包人施工破坏周围环境，造成恶劣影响</w:t>
      </w:r>
      <w:r>
        <w:rPr>
          <w:rFonts w:hint="eastAsia" w:ascii="宋体" w:hAnsi="宋体" w:eastAsia="宋体" w:cs="宋体"/>
          <w:bCs w:val="0"/>
          <w:color w:val="auto"/>
          <w:spacing w:val="0"/>
          <w:kern w:val="2"/>
          <w:sz w:val="21"/>
          <w:szCs w:val="21"/>
          <w:highlight w:val="none"/>
          <w:lang w:val="en-US" w:eastAsia="zh-CN" w:bidi="ar"/>
        </w:rPr>
        <w:t>引发</w:t>
      </w:r>
      <w:r>
        <w:rPr>
          <w:rFonts w:hint="eastAsia" w:ascii="宋体" w:hAnsi="宋体" w:eastAsia="宋体" w:cs="宋体"/>
          <w:bCs w:val="0"/>
          <w:color w:val="auto"/>
          <w:spacing w:val="0"/>
          <w:kern w:val="2"/>
          <w:sz w:val="21"/>
          <w:szCs w:val="21"/>
          <w:highlight w:val="none"/>
          <w:lang w:bidi="ar"/>
        </w:rPr>
        <w:t>纠纷和社会矛盾等由承包人承担全部责任；</w:t>
      </w:r>
    </w:p>
    <w:p w14:paraId="260F6C0A">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4 承包人按月（年）向发包人报送企业职工伤亡事故月（年）报告；</w:t>
      </w:r>
    </w:p>
    <w:p w14:paraId="1E1E139F">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5 对发包人组织的安全环境大检查、安全工作会议，承包人应及时派员参加，认真贯彻落实；</w:t>
      </w:r>
    </w:p>
    <w:p w14:paraId="69B7138C">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8 本协议执行过程中如遇有与国家、</w:t>
      </w:r>
      <w:r>
        <w:rPr>
          <w:rFonts w:hint="eastAsia" w:ascii="宋体" w:hAnsi="宋体" w:eastAsia="宋体" w:cs="宋体"/>
          <w:bCs w:val="0"/>
          <w:color w:val="auto"/>
          <w:spacing w:val="0"/>
          <w:kern w:val="2"/>
          <w:sz w:val="21"/>
          <w:szCs w:val="21"/>
          <w:highlight w:val="none"/>
          <w:lang w:eastAsia="zh-CN" w:bidi="ar"/>
        </w:rPr>
        <w:t>交通运输部</w:t>
      </w:r>
      <w:r>
        <w:rPr>
          <w:rFonts w:hint="eastAsia" w:ascii="宋体" w:hAnsi="宋体" w:eastAsia="宋体" w:cs="宋体"/>
          <w:bCs w:val="0"/>
          <w:color w:val="auto"/>
          <w:spacing w:val="0"/>
          <w:kern w:val="2"/>
          <w:sz w:val="21"/>
          <w:szCs w:val="21"/>
          <w:highlight w:val="none"/>
          <w:lang w:bidi="ar"/>
        </w:rPr>
        <w:t>和地方政府的有关规定不一致时，按国家、</w:t>
      </w:r>
      <w:r>
        <w:rPr>
          <w:rFonts w:hint="eastAsia" w:ascii="宋体" w:hAnsi="宋体" w:eastAsia="宋体" w:cs="宋体"/>
          <w:bCs w:val="0"/>
          <w:color w:val="auto"/>
          <w:spacing w:val="0"/>
          <w:kern w:val="2"/>
          <w:sz w:val="21"/>
          <w:szCs w:val="21"/>
          <w:highlight w:val="none"/>
          <w:lang w:eastAsia="zh-CN" w:bidi="ar"/>
        </w:rPr>
        <w:t>交通运输部</w:t>
      </w:r>
      <w:r>
        <w:rPr>
          <w:rFonts w:hint="eastAsia" w:ascii="宋体" w:hAnsi="宋体" w:eastAsia="宋体" w:cs="宋体"/>
          <w:bCs w:val="0"/>
          <w:color w:val="auto"/>
          <w:spacing w:val="0"/>
          <w:kern w:val="2"/>
          <w:sz w:val="21"/>
          <w:szCs w:val="21"/>
          <w:highlight w:val="none"/>
          <w:lang w:bidi="ar"/>
        </w:rPr>
        <w:t>和地方政府的有关规定执行；</w:t>
      </w:r>
    </w:p>
    <w:p w14:paraId="353A2D29">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9 本协议经甲乙双方签字、盖章后生效，作为工程合同的附件与合同具有同等的法律效力；</w:t>
      </w:r>
    </w:p>
    <w:p w14:paraId="6579A09E">
      <w:pPr>
        <w:tabs>
          <w:tab w:val="center" w:pos="4393"/>
          <w:tab w:val="left" w:pos="6774"/>
        </w:tabs>
        <w:spacing w:line="360" w:lineRule="auto"/>
        <w:ind w:firstLine="5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10 甲乙双方必须严格执行本协议，因违反本协议而造成设备、伤亡事故，由违约方承担一切经济损失。</w:t>
      </w:r>
    </w:p>
    <w:p w14:paraId="7698FA83">
      <w:pPr>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w:t>
      </w:r>
    </w:p>
    <w:p w14:paraId="5889425F">
      <w:pPr>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1"/>
          <w:highlight w:val="none"/>
          <w:lang w:bidi="ar"/>
        </w:rPr>
      </w:pPr>
    </w:p>
    <w:p w14:paraId="3158858D">
      <w:pPr>
        <w:tabs>
          <w:tab w:val="center" w:pos="4393"/>
          <w:tab w:val="left" w:pos="6774"/>
        </w:tabs>
        <w:spacing w:line="360" w:lineRule="auto"/>
        <w:ind w:firstLine="63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单位盖章：                         单位盖章：</w:t>
      </w:r>
    </w:p>
    <w:p w14:paraId="5B9B0A6B">
      <w:pPr>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发包人安全第一责任人：             承包人安全第一责任人：</w:t>
      </w:r>
    </w:p>
    <w:p w14:paraId="0E8E7D5E">
      <w:pPr>
        <w:tabs>
          <w:tab w:val="center" w:pos="4393"/>
          <w:tab w:val="left" w:pos="6774"/>
        </w:tabs>
        <w:spacing w:line="360" w:lineRule="auto"/>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签订日期：</w:t>
      </w:r>
    </w:p>
    <w:p w14:paraId="41D3E25C">
      <w:pPr>
        <w:pageBreakBefore/>
        <w:tabs>
          <w:tab w:val="center" w:pos="4393"/>
          <w:tab w:val="left" w:pos="6774"/>
        </w:tabs>
        <w:snapToGrid w:val="0"/>
        <w:spacing w:line="480" w:lineRule="exact"/>
        <w:ind w:firstLine="0"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附件8：                            </w:t>
      </w:r>
      <w:r>
        <w:rPr>
          <w:rFonts w:hint="eastAsia" w:ascii="宋体" w:hAnsi="宋体" w:eastAsia="宋体" w:cs="宋体"/>
          <w:b/>
          <w:bCs w:val="0"/>
          <w:color w:val="auto"/>
          <w:spacing w:val="0"/>
          <w:kern w:val="2"/>
          <w:sz w:val="21"/>
          <w:szCs w:val="21"/>
          <w:highlight w:val="none"/>
          <w:lang w:bidi="ar"/>
        </w:rPr>
        <w:t>工程廉政合同</w:t>
      </w:r>
    </w:p>
    <w:p w14:paraId="3435CEA9">
      <w:pPr>
        <w:tabs>
          <w:tab w:val="center" w:pos="4393"/>
          <w:tab w:val="left" w:pos="6774"/>
        </w:tabs>
        <w:snapToGrid w:val="0"/>
        <w:spacing w:line="480" w:lineRule="exact"/>
        <w:ind w:firstLine="561" w:firstLineChars="0"/>
        <w:jc w:val="both"/>
        <w:rPr>
          <w:rFonts w:hint="eastAsia" w:ascii="宋体" w:hAnsi="宋体" w:eastAsia="宋体" w:cs="宋体"/>
          <w:b/>
          <w:bCs w:val="0"/>
          <w:color w:val="auto"/>
          <w:spacing w:val="0"/>
          <w:kern w:val="2"/>
          <w:sz w:val="21"/>
          <w:szCs w:val="21"/>
          <w:highlight w:val="none"/>
        </w:rPr>
      </w:pPr>
    </w:p>
    <w:p w14:paraId="7EEE9DF8">
      <w:pPr>
        <w:tabs>
          <w:tab w:val="center" w:pos="4393"/>
          <w:tab w:val="left" w:pos="6774"/>
        </w:tabs>
        <w:snapToGrid w:val="0"/>
        <w:spacing w:line="480" w:lineRule="exact"/>
        <w:ind w:firstLine="561"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bCs w:val="0"/>
          <w:color w:val="auto"/>
          <w:spacing w:val="0"/>
          <w:kern w:val="2"/>
          <w:sz w:val="21"/>
          <w:szCs w:val="21"/>
          <w:highlight w:val="none"/>
          <w:u w:val="single"/>
          <w:lang w:val="en-US" w:eastAsia="zh-CN" w:bidi="ar"/>
        </w:rPr>
        <w:t xml:space="preserve">         </w:t>
      </w:r>
      <w:r>
        <w:rPr>
          <w:rFonts w:hint="eastAsia" w:ascii="宋体" w:hAnsi="宋体" w:eastAsia="宋体" w:cs="宋体"/>
          <w:bCs w:val="0"/>
          <w:color w:val="auto"/>
          <w:spacing w:val="0"/>
          <w:kern w:val="2"/>
          <w:sz w:val="21"/>
          <w:szCs w:val="21"/>
          <w:highlight w:val="none"/>
          <w:lang w:bidi="ar"/>
        </w:rPr>
        <w:t>（以下简称“发包人”）与中标单位（全称）</w:t>
      </w:r>
      <w:r>
        <w:rPr>
          <w:rFonts w:hint="eastAsia" w:ascii="宋体" w:hAnsi="宋体" w:eastAsia="宋体" w:cs="宋体"/>
          <w:bCs w:val="0"/>
          <w:color w:val="auto"/>
          <w:spacing w:val="0"/>
          <w:kern w:val="2"/>
          <w:sz w:val="21"/>
          <w:szCs w:val="21"/>
          <w:highlight w:val="none"/>
          <w:u w:val="single"/>
          <w:lang w:bidi="ar"/>
        </w:rPr>
        <w:t xml:space="preserve">    中标单位名称  </w:t>
      </w:r>
      <w:r>
        <w:rPr>
          <w:rFonts w:hint="eastAsia" w:ascii="宋体" w:hAnsi="宋体" w:eastAsia="宋体" w:cs="宋体"/>
          <w:bCs w:val="0"/>
          <w:color w:val="auto"/>
          <w:spacing w:val="0"/>
          <w:kern w:val="2"/>
          <w:sz w:val="21"/>
          <w:szCs w:val="21"/>
          <w:highlight w:val="none"/>
          <w:lang w:bidi="ar"/>
        </w:rPr>
        <w:t>（以下简称“承包人”），特订立如下合同。</w:t>
      </w:r>
    </w:p>
    <w:p w14:paraId="5B6F95D8">
      <w:pPr>
        <w:tabs>
          <w:tab w:val="center" w:pos="4393"/>
          <w:tab w:val="left" w:pos="6774"/>
        </w:tabs>
        <w:snapToGrid w:val="0"/>
        <w:spacing w:line="480" w:lineRule="exact"/>
        <w:ind w:firstLine="561"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甲乙双方的权利和义务</w:t>
      </w:r>
    </w:p>
    <w:p w14:paraId="20E219AD">
      <w:pPr>
        <w:tabs>
          <w:tab w:val="center" w:pos="4393"/>
          <w:tab w:val="left" w:pos="6774"/>
        </w:tabs>
        <w:snapToGrid w:val="0"/>
        <w:spacing w:line="480" w:lineRule="exact"/>
        <w:ind w:firstLine="561"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（1）严格遵守党的政策规定和国家、省、市有关法律法规有关规定。</w:t>
      </w:r>
    </w:p>
    <w:p w14:paraId="76AEA647">
      <w:pPr>
        <w:tabs>
          <w:tab w:val="center" w:pos="4393"/>
          <w:tab w:val="left" w:pos="6774"/>
        </w:tabs>
        <w:snapToGrid w:val="0"/>
        <w:spacing w:line="480" w:lineRule="exact"/>
        <w:ind w:firstLine="561"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（2）严格执行工程的合同文件，自觉按合同办事。</w:t>
      </w:r>
    </w:p>
    <w:p w14:paraId="7F0A6A7C">
      <w:pPr>
        <w:tabs>
          <w:tab w:val="center" w:pos="4393"/>
          <w:tab w:val="left" w:pos="6774"/>
        </w:tabs>
        <w:snapToGrid w:val="0"/>
        <w:spacing w:line="480" w:lineRule="exact"/>
        <w:ind w:firstLine="561"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（3）双方的业务活动坚持公开、公正、诚信、透明的原则（法律认定的商业秘密和合同文件另有规定除外），不得损害国家和集体利益，违反工程建设管理规章制度。</w:t>
      </w:r>
    </w:p>
    <w:p w14:paraId="2D0D55D1">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（4）建立健全廉政制度，开展廉政教育，设计廉政告示牌，公布举报电话，监督并认真查处违法违纪行为。</w:t>
      </w:r>
    </w:p>
    <w:p w14:paraId="2F4103B3">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（5）发现对方在业务活动中有违反廉政规定的行为，有及时提醒对方纠正的权利和义务。</w:t>
      </w:r>
    </w:p>
    <w:p w14:paraId="39016165">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（6）发现对方严重违反合同义务条款的行为，有向其上级有关部门举报、建议给予处理并要求告知处理结果的权利。</w:t>
      </w:r>
    </w:p>
    <w:p w14:paraId="0483C21D">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发包人的义务</w:t>
      </w:r>
    </w:p>
    <w:p w14:paraId="40E2AC76">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（1）发包人及其工作人员不得索要或接受承包人的礼金、有价证券和贵重物品，不得在承包人报销任何应由发包人或发包人工作人员个人支付的费用等。</w:t>
      </w:r>
    </w:p>
    <w:p w14:paraId="63B3E5EC">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（2）发包人工作人员不得参加承包人安排的超标准宴请和娱乐活动；不得接受承包人提供的通讯工具、交通工具和高档办公用品等。</w:t>
      </w:r>
    </w:p>
    <w:p w14:paraId="6A79F09D">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（3）发包人及其工作人员不得要求或者接受承包人为其住房装修、婚丧嫁娶活动、配偶子女的工作安排以及出国出境、旅游等提供方便等。</w:t>
      </w:r>
    </w:p>
    <w:p w14:paraId="2AE96302">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（4）发包人工作人员及其配偶、子女不得从事与发包人工程有关的材料设备供应、工程分包、劳务等经济活动等。</w:t>
      </w:r>
    </w:p>
    <w:p w14:paraId="6EF9A206">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（5）发包人及其工作人员不得以任何理由向承包人推荐分包单位或推销材料，不得要求承包人购买合同规定外的材料和设备。</w:t>
      </w:r>
    </w:p>
    <w:p w14:paraId="50E7A65E">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（6）发包人工作人员要秉公办事，不准营私舞弊，不准利用职权从事各种个人有偿中介活动和安排个人施工队伍。</w:t>
      </w:r>
    </w:p>
    <w:p w14:paraId="0DB96790">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承包人义务</w:t>
      </w:r>
    </w:p>
    <w:p w14:paraId="751014CA">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（1）承包人不得以任何理由向发包人及其工作人员行贿或馈赠礼金、有价证券、贵重礼品。</w:t>
      </w:r>
    </w:p>
    <w:p w14:paraId="615D2E44">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（2）承包人不得以任何名义为发包人及其工作人员报销应由发包人单位或个人支付的任何费用。</w:t>
      </w:r>
    </w:p>
    <w:p w14:paraId="5F84D19B">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（3）承包人不得以任何理由安排发包人工作人员参加超标准宴请及娱乐活动。</w:t>
      </w:r>
    </w:p>
    <w:p w14:paraId="7A4F74DA">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（4）承包人不得为发包人单位和个人购置或</w:t>
      </w:r>
      <w:r>
        <w:rPr>
          <w:rFonts w:hint="eastAsia" w:ascii="宋体" w:hAnsi="宋体" w:eastAsia="宋体" w:cs="宋体"/>
          <w:bCs w:val="0"/>
          <w:color w:val="auto"/>
          <w:spacing w:val="0"/>
          <w:kern w:val="2"/>
          <w:sz w:val="21"/>
          <w:szCs w:val="21"/>
          <w:highlight w:val="none"/>
          <w:lang w:eastAsia="zh-CN" w:bidi="ar"/>
        </w:rPr>
        <w:t>提供</w:t>
      </w:r>
      <w:r>
        <w:rPr>
          <w:rFonts w:hint="eastAsia" w:ascii="宋体" w:hAnsi="宋体" w:eastAsia="宋体" w:cs="宋体"/>
          <w:bCs w:val="0"/>
          <w:color w:val="auto"/>
          <w:spacing w:val="0"/>
          <w:kern w:val="2"/>
          <w:sz w:val="21"/>
          <w:szCs w:val="21"/>
          <w:highlight w:val="none"/>
          <w:lang w:bidi="ar"/>
        </w:rPr>
        <w:t>通讯工具、交通工具和高档办公用品等。</w:t>
      </w:r>
    </w:p>
    <w:p w14:paraId="05C5FC15">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违约责任</w:t>
      </w:r>
    </w:p>
    <w:p w14:paraId="3C91FDE5">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（1）发包人及其工作人员违反本合同第一、二条，按管理权限，依据有关规定给予党纪、政纪或组织处理；涉嫌犯罪的，移交司法机关追究刑事责任；给承包人单位造成经济损失的，应予以赔偿。</w:t>
      </w:r>
    </w:p>
    <w:p w14:paraId="542CED73">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4D53C527">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5</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双方约定：本合同由双方或双方上级单位的纪检监察机关负责监督执行。由发包人或发包人上级单位的纪检监察机关约请承包人或承包人上级单位纪检监察机关对本合同执行情况进行检查，提出在</w:t>
      </w:r>
      <w:r>
        <w:rPr>
          <w:rFonts w:hint="eastAsia" w:ascii="宋体" w:hAnsi="宋体" w:eastAsia="宋体" w:cs="宋体"/>
          <w:bCs w:val="0"/>
          <w:color w:val="auto"/>
          <w:spacing w:val="0"/>
          <w:kern w:val="2"/>
          <w:sz w:val="21"/>
          <w:szCs w:val="21"/>
          <w:highlight w:val="none"/>
          <w:lang w:eastAsia="zh-CN" w:bidi="ar"/>
        </w:rPr>
        <w:t>本合同规定</w:t>
      </w:r>
      <w:r>
        <w:rPr>
          <w:rFonts w:hint="eastAsia" w:ascii="宋体" w:hAnsi="宋体" w:eastAsia="宋体" w:cs="宋体"/>
          <w:bCs w:val="0"/>
          <w:color w:val="auto"/>
          <w:spacing w:val="0"/>
          <w:kern w:val="2"/>
          <w:sz w:val="21"/>
          <w:szCs w:val="21"/>
          <w:highlight w:val="none"/>
          <w:lang w:bidi="ar"/>
        </w:rPr>
        <w:t>范围内的裁定意见。</w:t>
      </w:r>
    </w:p>
    <w:p w14:paraId="4D7B3B68">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6</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本合同有效期为甲乙双方签署之日起至该工程项目竣工验收后止。</w:t>
      </w:r>
    </w:p>
    <w:p w14:paraId="45A3E7CB">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本合同作为工程施工合同的附件，与工程施工合同具有同等的法律效力，经合同双方签署立即生效。</w:t>
      </w:r>
    </w:p>
    <w:p w14:paraId="41C6D022">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8</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本合同一式</w:t>
      </w:r>
      <w:r>
        <w:rPr>
          <w:rFonts w:hint="eastAsia" w:ascii="宋体" w:hAnsi="宋体" w:eastAsia="宋体" w:cs="宋体"/>
          <w:bCs w:val="0"/>
          <w:color w:val="auto"/>
          <w:spacing w:val="0"/>
          <w:kern w:val="2"/>
          <w:sz w:val="21"/>
          <w:szCs w:val="21"/>
          <w:highlight w:val="none"/>
          <w:lang w:val="en-US" w:eastAsia="zh-CN" w:bidi="ar"/>
        </w:rPr>
        <w:t>陆</w:t>
      </w:r>
      <w:r>
        <w:rPr>
          <w:rFonts w:hint="eastAsia" w:ascii="宋体" w:hAnsi="宋体" w:eastAsia="宋体" w:cs="宋体"/>
          <w:bCs w:val="0"/>
          <w:color w:val="auto"/>
          <w:spacing w:val="0"/>
          <w:kern w:val="2"/>
          <w:sz w:val="21"/>
          <w:szCs w:val="21"/>
          <w:highlight w:val="none"/>
          <w:lang w:bidi="ar"/>
        </w:rPr>
        <w:t>份，由甲乙双方各执</w:t>
      </w:r>
      <w:r>
        <w:rPr>
          <w:rFonts w:hint="eastAsia" w:ascii="宋体" w:hAnsi="宋体" w:eastAsia="宋体" w:cs="宋体"/>
          <w:bCs w:val="0"/>
          <w:color w:val="auto"/>
          <w:spacing w:val="0"/>
          <w:kern w:val="2"/>
          <w:sz w:val="21"/>
          <w:szCs w:val="21"/>
          <w:highlight w:val="none"/>
          <w:lang w:val="en-US" w:eastAsia="zh-CN" w:bidi="ar"/>
        </w:rPr>
        <w:t>三</w:t>
      </w:r>
      <w:r>
        <w:rPr>
          <w:rFonts w:hint="eastAsia" w:ascii="宋体" w:hAnsi="宋体" w:eastAsia="宋体" w:cs="宋体"/>
          <w:bCs w:val="0"/>
          <w:color w:val="auto"/>
          <w:spacing w:val="0"/>
          <w:kern w:val="2"/>
          <w:sz w:val="21"/>
          <w:szCs w:val="21"/>
          <w:highlight w:val="none"/>
          <w:lang w:bidi="ar"/>
        </w:rPr>
        <w:t>份。</w:t>
      </w:r>
    </w:p>
    <w:p w14:paraId="793958B4">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1"/>
          <w:highlight w:val="none"/>
          <w:lang w:bidi="ar"/>
        </w:rPr>
      </w:pPr>
    </w:p>
    <w:p w14:paraId="3561364E">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甲方： </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单位全称</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盖章</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乙方：（单位全称）（盖章）</w:t>
      </w:r>
    </w:p>
    <w:p w14:paraId="55DDEF3F">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法定代表人：                              法定代表人：</w:t>
      </w:r>
    </w:p>
    <w:p w14:paraId="10781042">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或其授权的代理人：（签字）                或其授权的代理人：（签字）  </w:t>
      </w:r>
    </w:p>
    <w:p w14:paraId="25DC3BA5">
      <w:pPr>
        <w:tabs>
          <w:tab w:val="center" w:pos="4393"/>
          <w:tab w:val="left" w:pos="6774"/>
        </w:tabs>
        <w:snapToGrid w:val="0"/>
        <w:spacing w:line="480" w:lineRule="exact"/>
        <w:ind w:firstLine="561"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日          期：                          日       期：   </w:t>
      </w:r>
    </w:p>
    <w:p w14:paraId="1DD0F1A5">
      <w:pPr>
        <w:pageBreakBefore/>
        <w:tabs>
          <w:tab w:val="center" w:pos="4393"/>
          <w:tab w:val="left" w:pos="6774"/>
        </w:tabs>
        <w:spacing w:line="480" w:lineRule="exact"/>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附件9：</w:t>
      </w:r>
    </w:p>
    <w:p w14:paraId="42907F83">
      <w:pPr>
        <w:tabs>
          <w:tab w:val="center" w:pos="4393"/>
          <w:tab w:val="left" w:pos="6774"/>
        </w:tabs>
        <w:spacing w:line="480" w:lineRule="exact"/>
        <w:ind w:left="1" w:firstLine="0" w:firstLineChars="0"/>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
          <w:bCs w:val="0"/>
          <w:color w:val="auto"/>
          <w:spacing w:val="0"/>
          <w:kern w:val="2"/>
          <w:sz w:val="21"/>
          <w:szCs w:val="21"/>
          <w:highlight w:val="none"/>
          <w:lang w:bidi="ar"/>
        </w:rPr>
        <w:t>不拖欠农民工工资承诺书</w:t>
      </w:r>
    </w:p>
    <w:p w14:paraId="560A01FE">
      <w:pPr>
        <w:tabs>
          <w:tab w:val="center" w:pos="4393"/>
          <w:tab w:val="left" w:pos="6774"/>
        </w:tabs>
        <w:spacing w:line="480" w:lineRule="exact"/>
        <w:ind w:left="1334" w:hanging="1334" w:firstLineChars="0"/>
        <w:jc w:val="both"/>
        <w:rPr>
          <w:rFonts w:hint="eastAsia" w:ascii="宋体" w:hAnsi="宋体" w:eastAsia="宋体" w:cs="宋体"/>
          <w:b/>
          <w:bCs w:val="0"/>
          <w:color w:val="auto"/>
          <w:spacing w:val="0"/>
          <w:kern w:val="2"/>
          <w:sz w:val="21"/>
          <w:szCs w:val="21"/>
          <w:highlight w:val="none"/>
        </w:rPr>
      </w:pPr>
    </w:p>
    <w:p w14:paraId="6A56F248">
      <w:pPr>
        <w:tabs>
          <w:tab w:val="center" w:pos="4393"/>
          <w:tab w:val="left" w:pos="6774"/>
        </w:tabs>
        <w:spacing w:line="480" w:lineRule="exact"/>
        <w:ind w:left="1"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我公司承诺我公司承接的</w:t>
      </w:r>
      <w:r>
        <w:rPr>
          <w:rFonts w:hint="eastAsia" w:ascii="宋体" w:hAnsi="宋体" w:eastAsia="宋体" w:cs="宋体"/>
          <w:bCs w:val="0"/>
          <w:color w:val="auto"/>
          <w:spacing w:val="0"/>
          <w:kern w:val="2"/>
          <w:sz w:val="21"/>
          <w:szCs w:val="21"/>
          <w:highlight w:val="none"/>
          <w:u w:val="single"/>
          <w:lang w:bidi="ar"/>
        </w:rPr>
        <w:t xml:space="preserve">                          </w:t>
      </w:r>
      <w:r>
        <w:rPr>
          <w:rFonts w:hint="eastAsia" w:ascii="宋体" w:hAnsi="宋体" w:eastAsia="宋体" w:cs="宋体"/>
          <w:bCs w:val="0"/>
          <w:color w:val="auto"/>
          <w:spacing w:val="0"/>
          <w:kern w:val="2"/>
          <w:sz w:val="21"/>
          <w:szCs w:val="21"/>
          <w:highlight w:val="none"/>
          <w:lang w:bidi="ar"/>
        </w:rPr>
        <w:t>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p>
    <w:p w14:paraId="160D7B8E">
      <w:pPr>
        <w:tabs>
          <w:tab w:val="center" w:pos="4393"/>
          <w:tab w:val="left" w:pos="6774"/>
        </w:tabs>
        <w:spacing w:line="480" w:lineRule="exact"/>
        <w:ind w:left="1329" w:hanging="1329" w:firstLineChars="0"/>
        <w:jc w:val="both"/>
        <w:rPr>
          <w:rFonts w:hint="eastAsia" w:ascii="宋体" w:hAnsi="宋体" w:eastAsia="宋体" w:cs="宋体"/>
          <w:bCs w:val="0"/>
          <w:color w:val="auto"/>
          <w:spacing w:val="0"/>
          <w:kern w:val="2"/>
          <w:sz w:val="21"/>
          <w:szCs w:val="21"/>
          <w:highlight w:val="none"/>
        </w:rPr>
      </w:pPr>
    </w:p>
    <w:p w14:paraId="2BDB7B7A">
      <w:pPr>
        <w:tabs>
          <w:tab w:val="center" w:pos="4393"/>
          <w:tab w:val="left" w:pos="6774"/>
        </w:tabs>
        <w:spacing w:line="480" w:lineRule="exact"/>
        <w:ind w:left="1329" w:hanging="1329" w:firstLineChars="0"/>
        <w:jc w:val="both"/>
        <w:rPr>
          <w:rFonts w:hint="eastAsia" w:ascii="宋体" w:hAnsi="宋体" w:eastAsia="宋体" w:cs="宋体"/>
          <w:bCs w:val="0"/>
          <w:color w:val="auto"/>
          <w:spacing w:val="0"/>
          <w:kern w:val="2"/>
          <w:sz w:val="21"/>
          <w:szCs w:val="21"/>
          <w:highlight w:val="none"/>
        </w:rPr>
      </w:pPr>
    </w:p>
    <w:p w14:paraId="29ED2987">
      <w:pPr>
        <w:tabs>
          <w:tab w:val="center" w:pos="4393"/>
          <w:tab w:val="left" w:pos="6774"/>
        </w:tabs>
        <w:spacing w:line="480" w:lineRule="exact"/>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单位全称：     （盖  章）</w:t>
      </w:r>
    </w:p>
    <w:p w14:paraId="23D8ABEB">
      <w:pPr>
        <w:tabs>
          <w:tab w:val="center" w:pos="4393"/>
          <w:tab w:val="left" w:pos="6774"/>
        </w:tabs>
        <w:spacing w:line="480" w:lineRule="exact"/>
        <w:ind w:left="1329" w:hanging="1329" w:firstLineChars="0"/>
        <w:jc w:val="right"/>
        <w:rPr>
          <w:rFonts w:hint="eastAsia" w:ascii="宋体" w:hAnsi="宋体" w:eastAsia="宋体" w:cs="宋体"/>
          <w:bCs w:val="0"/>
          <w:color w:val="auto"/>
          <w:spacing w:val="0"/>
          <w:kern w:val="2"/>
          <w:sz w:val="21"/>
          <w:szCs w:val="21"/>
          <w:highlight w:val="none"/>
        </w:rPr>
      </w:pPr>
    </w:p>
    <w:p w14:paraId="66BAE6F0">
      <w:pPr>
        <w:tabs>
          <w:tab w:val="center" w:pos="4393"/>
          <w:tab w:val="left" w:pos="6774"/>
        </w:tabs>
        <w:spacing w:line="480" w:lineRule="exact"/>
        <w:ind w:left="1329" w:hanging="1329" w:firstLineChars="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法定代表人或委托人：（签 字）</w:t>
      </w:r>
    </w:p>
    <w:p w14:paraId="46D58047">
      <w:pPr>
        <w:tabs>
          <w:tab w:val="center" w:pos="4393"/>
          <w:tab w:val="left" w:pos="6774"/>
        </w:tabs>
        <w:spacing w:line="480" w:lineRule="exact"/>
        <w:ind w:left="1329" w:hanging="1329" w:firstLineChars="0"/>
        <w:jc w:val="righ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年  月  日</w:t>
      </w:r>
    </w:p>
    <w:p w14:paraId="6A7D026B">
      <w:pPr>
        <w:pageBreakBefore/>
        <w:tabs>
          <w:tab w:val="center" w:pos="4393"/>
          <w:tab w:val="left" w:pos="6774"/>
        </w:tabs>
        <w:spacing w:line="480" w:lineRule="exact"/>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附件10：                    </w:t>
      </w:r>
    </w:p>
    <w:p w14:paraId="0EF77184">
      <w:pPr>
        <w:tabs>
          <w:tab w:val="center" w:pos="4393"/>
          <w:tab w:val="left" w:pos="6774"/>
        </w:tabs>
        <w:spacing w:line="480" w:lineRule="exact"/>
        <w:ind w:firstLine="0" w:firstLineChars="0"/>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
          <w:bCs w:val="0"/>
          <w:color w:val="auto"/>
          <w:spacing w:val="0"/>
          <w:kern w:val="2"/>
          <w:sz w:val="21"/>
          <w:szCs w:val="21"/>
          <w:highlight w:val="none"/>
          <w:lang w:bidi="ar"/>
        </w:rPr>
        <w:t>中标人诚信承诺书</w:t>
      </w:r>
    </w:p>
    <w:p w14:paraId="1137323D">
      <w:pPr>
        <w:tabs>
          <w:tab w:val="center" w:pos="4393"/>
          <w:tab w:val="left" w:pos="6774"/>
        </w:tabs>
        <w:spacing w:line="480" w:lineRule="exact"/>
        <w:ind w:firstLine="1050" w:firstLineChars="0"/>
        <w:jc w:val="both"/>
        <w:rPr>
          <w:rFonts w:hint="eastAsia" w:ascii="宋体" w:hAnsi="宋体" w:eastAsia="宋体" w:cs="宋体"/>
          <w:bCs w:val="0"/>
          <w:color w:val="auto"/>
          <w:spacing w:val="0"/>
          <w:kern w:val="2"/>
          <w:sz w:val="21"/>
          <w:szCs w:val="21"/>
          <w:highlight w:val="none"/>
        </w:rPr>
      </w:pPr>
    </w:p>
    <w:p w14:paraId="41F662FE">
      <w:pPr>
        <w:tabs>
          <w:tab w:val="center" w:pos="4393"/>
          <w:tab w:val="left" w:pos="6774"/>
        </w:tabs>
        <w:spacing w:line="480" w:lineRule="exact"/>
        <w:ind w:firstLine="42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我单位系公司作为</w:t>
      </w:r>
      <w:r>
        <w:rPr>
          <w:rFonts w:hint="eastAsia" w:ascii="宋体" w:hAnsi="宋体" w:eastAsia="宋体" w:cs="宋体"/>
          <w:bCs w:val="0"/>
          <w:color w:val="auto"/>
          <w:spacing w:val="0"/>
          <w:kern w:val="2"/>
          <w:sz w:val="21"/>
          <w:szCs w:val="21"/>
          <w:highlight w:val="none"/>
          <w:u w:val="single"/>
          <w:lang w:bidi="ar"/>
        </w:rPr>
        <w:t xml:space="preserve">           </w:t>
      </w:r>
      <w:r>
        <w:rPr>
          <w:rFonts w:hint="eastAsia" w:ascii="宋体" w:hAnsi="宋体" w:eastAsia="宋体" w:cs="宋体"/>
          <w:bCs w:val="0"/>
          <w:color w:val="auto"/>
          <w:spacing w:val="0"/>
          <w:kern w:val="2"/>
          <w:sz w:val="21"/>
          <w:szCs w:val="21"/>
          <w:highlight w:val="none"/>
          <w:lang w:bidi="ar"/>
        </w:rPr>
        <w:t>（建设单位）</w:t>
      </w:r>
      <w:r>
        <w:rPr>
          <w:rFonts w:hint="eastAsia" w:ascii="宋体" w:hAnsi="宋体" w:eastAsia="宋体" w:cs="宋体"/>
          <w:bCs w:val="0"/>
          <w:color w:val="auto"/>
          <w:spacing w:val="0"/>
          <w:kern w:val="2"/>
          <w:sz w:val="21"/>
          <w:szCs w:val="21"/>
          <w:highlight w:val="none"/>
          <w:u w:val="single"/>
          <w:lang w:bidi="ar"/>
        </w:rPr>
        <w:t xml:space="preserve">                      </w:t>
      </w:r>
      <w:r>
        <w:rPr>
          <w:rFonts w:hint="eastAsia" w:ascii="宋体" w:hAnsi="宋体" w:eastAsia="宋体" w:cs="宋体"/>
          <w:bCs w:val="0"/>
          <w:color w:val="auto"/>
          <w:spacing w:val="0"/>
          <w:kern w:val="2"/>
          <w:sz w:val="21"/>
          <w:szCs w:val="21"/>
          <w:highlight w:val="none"/>
          <w:lang w:bidi="ar"/>
        </w:rPr>
        <w:t>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p>
    <w:p w14:paraId="71DA91C7">
      <w:pPr>
        <w:tabs>
          <w:tab w:val="center" w:pos="4393"/>
          <w:tab w:val="left" w:pos="6774"/>
        </w:tabs>
        <w:spacing w:line="480" w:lineRule="exact"/>
        <w:ind w:left="210" w:hanging="210" w:firstLineChars="0"/>
        <w:jc w:val="both"/>
        <w:rPr>
          <w:rFonts w:hint="eastAsia" w:ascii="宋体" w:hAnsi="宋体" w:eastAsia="宋体" w:cs="宋体"/>
          <w:bCs w:val="0"/>
          <w:color w:val="auto"/>
          <w:spacing w:val="0"/>
          <w:kern w:val="2"/>
          <w:sz w:val="21"/>
          <w:szCs w:val="21"/>
          <w:highlight w:val="none"/>
          <w:u w:val="single"/>
        </w:rPr>
      </w:pPr>
    </w:p>
    <w:p w14:paraId="7648D8D3">
      <w:pPr>
        <w:tabs>
          <w:tab w:val="center" w:pos="4393"/>
          <w:tab w:val="left" w:pos="6774"/>
        </w:tabs>
        <w:spacing w:line="480" w:lineRule="exact"/>
        <w:ind w:left="210" w:hanging="210" w:firstLineChars="0"/>
        <w:jc w:val="both"/>
        <w:rPr>
          <w:rFonts w:hint="eastAsia" w:ascii="宋体" w:hAnsi="宋体" w:eastAsia="宋体" w:cs="宋体"/>
          <w:bCs w:val="0"/>
          <w:color w:val="auto"/>
          <w:spacing w:val="0"/>
          <w:kern w:val="2"/>
          <w:sz w:val="21"/>
          <w:szCs w:val="21"/>
          <w:highlight w:val="none"/>
        </w:rPr>
      </w:pPr>
    </w:p>
    <w:p w14:paraId="787DB8BD">
      <w:pPr>
        <w:tabs>
          <w:tab w:val="center" w:pos="4393"/>
          <w:tab w:val="left" w:pos="6774"/>
        </w:tabs>
        <w:spacing w:line="480" w:lineRule="exact"/>
        <w:ind w:left="210" w:hanging="21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建造师签字：</w:t>
      </w:r>
    </w:p>
    <w:p w14:paraId="6EDA35AE">
      <w:pPr>
        <w:tabs>
          <w:tab w:val="center" w:pos="4393"/>
          <w:tab w:val="left" w:pos="6774"/>
        </w:tabs>
        <w:spacing w:line="480" w:lineRule="exact"/>
        <w:ind w:left="210" w:hanging="210" w:firstLineChars="0"/>
        <w:jc w:val="both"/>
        <w:rPr>
          <w:rFonts w:hint="eastAsia" w:ascii="宋体" w:hAnsi="宋体" w:eastAsia="宋体" w:cs="宋体"/>
          <w:bCs w:val="0"/>
          <w:color w:val="auto"/>
          <w:spacing w:val="0"/>
          <w:kern w:val="2"/>
          <w:sz w:val="21"/>
          <w:szCs w:val="21"/>
          <w:highlight w:val="none"/>
          <w:u w:val="single"/>
        </w:rPr>
      </w:pPr>
    </w:p>
    <w:p w14:paraId="7AEA6DA9">
      <w:pPr>
        <w:tabs>
          <w:tab w:val="center" w:pos="4393"/>
          <w:tab w:val="left" w:pos="6774"/>
        </w:tabs>
        <w:spacing w:line="480" w:lineRule="exact"/>
        <w:ind w:left="319" w:firstLine="735"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中标人法定代表人或授权委托人签字：</w:t>
      </w:r>
    </w:p>
    <w:p w14:paraId="15211377">
      <w:pPr>
        <w:tabs>
          <w:tab w:val="center" w:pos="4393"/>
          <w:tab w:val="left" w:pos="6774"/>
        </w:tabs>
        <w:spacing w:line="480" w:lineRule="exact"/>
        <w:ind w:firstLine="0" w:firstLineChars="0"/>
        <w:jc w:val="both"/>
        <w:rPr>
          <w:rFonts w:hint="eastAsia" w:ascii="宋体" w:hAnsi="宋体" w:eastAsia="宋体" w:cs="宋体"/>
          <w:bCs w:val="0"/>
          <w:color w:val="auto"/>
          <w:spacing w:val="0"/>
          <w:kern w:val="2"/>
          <w:sz w:val="21"/>
          <w:szCs w:val="21"/>
          <w:highlight w:val="none"/>
        </w:rPr>
      </w:pPr>
    </w:p>
    <w:p w14:paraId="59E55A00">
      <w:pPr>
        <w:tabs>
          <w:tab w:val="center" w:pos="4393"/>
          <w:tab w:val="left" w:pos="6774"/>
        </w:tabs>
        <w:spacing w:line="480" w:lineRule="exact"/>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公   章</w:t>
      </w:r>
    </w:p>
    <w:p w14:paraId="414CA764">
      <w:pPr>
        <w:tabs>
          <w:tab w:val="center" w:pos="4393"/>
          <w:tab w:val="left" w:pos="6774"/>
        </w:tabs>
        <w:spacing w:line="480" w:lineRule="exact"/>
        <w:ind w:firstLine="0" w:firstLineChars="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年      月     日</w:t>
      </w:r>
    </w:p>
    <w:p w14:paraId="1D19C7AE">
      <w:pPr>
        <w:widowControl w:val="0"/>
        <w:spacing w:before="0" w:after="0" w:line="360" w:lineRule="auto"/>
        <w:ind w:left="0" w:right="0" w:firstLine="4800" w:firstLineChars="0"/>
        <w:jc w:val="left"/>
        <w:rPr>
          <w:rFonts w:hint="eastAsia" w:ascii="宋体" w:hAnsi="宋体" w:eastAsia="宋体" w:cs="宋体"/>
          <w:i w:val="0"/>
          <w:iCs w:val="0"/>
          <w:kern w:val="0"/>
          <w:sz w:val="24"/>
          <w:szCs w:val="24"/>
          <w:highlight w:val="none"/>
          <w:lang w:val="en-US" w:eastAsia="zh-CN" w:bidi="ar-SA"/>
        </w:rPr>
      </w:pPr>
    </w:p>
    <w:p w14:paraId="4B152E03">
      <w:pPr>
        <w:rPr>
          <w:rFonts w:hint="eastAsia" w:ascii="宋体" w:hAnsi="宋体" w:eastAsia="宋体" w:cs="宋体"/>
          <w:b/>
          <w:bCs/>
          <w:color w:val="auto"/>
          <w:sz w:val="36"/>
          <w:szCs w:val="36"/>
          <w:highlight w:val="none"/>
          <w:lang w:bidi="ar"/>
        </w:rPr>
      </w:pPr>
      <w:r>
        <w:rPr>
          <w:rFonts w:hint="eastAsia" w:ascii="仿宋" w:hAnsi="仿宋" w:eastAsia="仿宋" w:cs="仿宋"/>
          <w:b/>
          <w:bCs/>
          <w:color w:val="000000"/>
          <w:sz w:val="24"/>
          <w:szCs w:val="24"/>
          <w:highlight w:val="none"/>
          <w:lang w:val="en-US" w:eastAsia="zh-CN" w:bidi="ar-SA"/>
        </w:rPr>
        <w:br w:type="page" w:clear="all"/>
      </w:r>
    </w:p>
    <w:p w14:paraId="00EDC780">
      <w:pPr>
        <w:widowControl/>
        <w:spacing w:line="360" w:lineRule="auto"/>
        <w:ind w:firstLine="726"/>
        <w:jc w:val="center"/>
        <w:outlineLvl w:val="0"/>
        <w:rPr>
          <w:rFonts w:ascii="宋体" w:hAnsi="宋体" w:eastAsia="宋体" w:cs="宋体"/>
          <w:color w:val="auto"/>
          <w:highlight w:val="none"/>
        </w:rPr>
      </w:pPr>
      <w:r>
        <w:rPr>
          <w:rFonts w:hint="eastAsia" w:ascii="宋体" w:hAnsi="宋体" w:eastAsia="宋体" w:cs="宋体"/>
          <w:b/>
          <w:bCs/>
          <w:color w:val="auto"/>
          <w:sz w:val="36"/>
          <w:szCs w:val="36"/>
          <w:highlight w:val="none"/>
          <w:lang w:bidi="ar"/>
        </w:rPr>
        <w:t>第四章 项目需求</w:t>
      </w:r>
    </w:p>
    <w:p w14:paraId="339CFF78">
      <w:pPr>
        <w:widowControl/>
        <w:spacing w:line="460" w:lineRule="exact"/>
        <w:ind w:firstLine="422"/>
        <w:jc w:val="left"/>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说明： </w:t>
      </w:r>
    </w:p>
    <w:p w14:paraId="4F22C446">
      <w:pPr>
        <w:widowControl/>
        <w:spacing w:line="460" w:lineRule="exact"/>
        <w:ind w:firstLine="422"/>
        <w:jc w:val="left"/>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1．本项目需求成交注★号的部分为实质性要求和条件(由采购人根据实际情况设置)，磋商供应商必须作出满足或者优于原要求和条件的承诺，否则作无效应答处理。 </w:t>
      </w:r>
    </w:p>
    <w:p w14:paraId="71BADB5B">
      <w:pPr>
        <w:widowControl/>
        <w:spacing w:line="460" w:lineRule="exact"/>
        <w:ind w:firstLine="422"/>
        <w:jc w:val="left"/>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一、工程建设标准及技术规范 </w:t>
      </w:r>
    </w:p>
    <w:p w14:paraId="09EC6185">
      <w:pPr>
        <w:widowControl/>
        <w:spacing w:line="460" w:lineRule="exact"/>
        <w:ind w:firstLine="42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(一)、 本工程采用的计价规范 </w:t>
      </w:r>
    </w:p>
    <w:p w14:paraId="146E2FDC">
      <w:pPr>
        <w:widowControl/>
        <w:spacing w:line="460" w:lineRule="exact"/>
        <w:ind w:firstLine="42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(1)《建设工程工程量清单计价标准》GB/T50500-2024；</w:t>
      </w:r>
    </w:p>
    <w:p w14:paraId="15C4CC06">
      <w:pPr>
        <w:widowControl/>
        <w:spacing w:line="460" w:lineRule="exact"/>
        <w:ind w:firstLine="42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(2)《房屋建筑与装饰工程工程量计算标准》GB/T50854-2024；</w:t>
      </w:r>
    </w:p>
    <w:p w14:paraId="73ADF835">
      <w:pPr>
        <w:widowControl/>
        <w:spacing w:line="460" w:lineRule="exact"/>
        <w:ind w:firstLine="42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(3)《江苏省建筑与装饰工程消耗量》（2026年）； </w:t>
      </w:r>
    </w:p>
    <w:p w14:paraId="2C480AA4">
      <w:pPr>
        <w:widowControl/>
        <w:spacing w:line="460" w:lineRule="exact"/>
        <w:ind w:firstLine="42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(4)《江苏省通用安装工程消耗量》（2026）、 《江苏省市政工程消耗量》（2026）、《江苏省古建筑修缮工程消耗量定额》（2025）、 《江苏省建设工程费用组成规则》及《江苏省建设工程费用参考》（2026）；</w:t>
      </w:r>
    </w:p>
    <w:p w14:paraId="39C16D32">
      <w:pPr>
        <w:widowControl/>
        <w:spacing w:line="460" w:lineRule="exact"/>
        <w:ind w:firstLine="42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(5)江苏省建设工程费用参考；</w:t>
      </w:r>
    </w:p>
    <w:p w14:paraId="5A810B9E">
      <w:pPr>
        <w:widowControl/>
        <w:spacing w:line="460" w:lineRule="exact"/>
        <w:ind w:firstLine="42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(6)国家及省级、行业建设主管部门颁发的工程计量和计价相关规定，以及根据工程需要补充的工程量计算规则； </w:t>
      </w:r>
    </w:p>
    <w:p w14:paraId="309BE66F">
      <w:pPr>
        <w:widowControl/>
        <w:spacing w:line="460" w:lineRule="exact"/>
        <w:ind w:firstLine="42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(7)招标人提供的做法及工程量；</w:t>
      </w:r>
    </w:p>
    <w:p w14:paraId="6D1149A2">
      <w:pPr>
        <w:widowControl/>
        <w:spacing w:line="460" w:lineRule="exact"/>
        <w:ind w:firstLine="42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(8)相关规范、标准图集和技术资料。</w:t>
      </w:r>
    </w:p>
    <w:p w14:paraId="3A9B7FB1">
      <w:pPr>
        <w:widowControl/>
        <w:spacing w:line="460" w:lineRule="exact"/>
        <w:ind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(二)、本工程采用的技术规范 </w:t>
      </w:r>
    </w:p>
    <w:p w14:paraId="586E8B6E">
      <w:pPr>
        <w:widowControl/>
        <w:spacing w:line="460" w:lineRule="exact"/>
        <w:ind w:firstLine="420"/>
        <w:jc w:val="left"/>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1、《建设工程工程量清单计价标准》GB/T50500-2024；</w:t>
      </w:r>
    </w:p>
    <w:p w14:paraId="5BB24639">
      <w:pPr>
        <w:widowControl/>
        <w:spacing w:line="460" w:lineRule="exact"/>
        <w:ind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、采用国家现行相关的国家标准和行业标准，磋商单位在磋商文件中明确注明</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 xml:space="preserve"> </w:t>
      </w:r>
    </w:p>
    <w:p w14:paraId="19C16D01">
      <w:pPr>
        <w:widowControl/>
        <w:spacing w:line="460" w:lineRule="exact"/>
        <w:ind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 xml:space="preserve">、采用行业标准的不得低于国家标准； </w:t>
      </w:r>
    </w:p>
    <w:p w14:paraId="6093ABC4">
      <w:pPr>
        <w:widowControl/>
        <w:spacing w:line="460" w:lineRule="exact"/>
        <w:ind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4</w:t>
      </w:r>
      <w:r>
        <w:rPr>
          <w:rFonts w:hint="eastAsia" w:ascii="宋体" w:hAnsi="宋体" w:eastAsia="宋体" w:cs="宋体"/>
          <w:color w:val="auto"/>
          <w:sz w:val="24"/>
          <w:highlight w:val="none"/>
          <w:lang w:bidi="ar"/>
        </w:rPr>
        <w:t>、同类标准中若国家有新颁布实施的，按新标准执行</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 xml:space="preserve"> </w:t>
      </w:r>
    </w:p>
    <w:p w14:paraId="6B47021F">
      <w:pPr>
        <w:widowControl/>
        <w:spacing w:line="460" w:lineRule="exact"/>
        <w:ind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 xml:space="preserve">、如没有国颁标准的，按相应的行业标准执行。 </w:t>
      </w:r>
    </w:p>
    <w:p w14:paraId="5982B6F6">
      <w:pPr>
        <w:widowControl/>
        <w:spacing w:line="460" w:lineRule="exact"/>
        <w:ind w:firstLine="422"/>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二、项目概况</w:t>
      </w:r>
    </w:p>
    <w:p w14:paraId="3DB58302">
      <w:pPr>
        <w:widowControl/>
        <w:spacing w:line="460" w:lineRule="exact"/>
        <w:ind w:left="239" w:firstLine="211"/>
        <w:jc w:val="left"/>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本项目属性为工程采购，采购标的对应的中小企业划分标准所属行业为建筑业。 </w:t>
      </w:r>
    </w:p>
    <w:p w14:paraId="7D6C0625">
      <w:pPr>
        <w:widowControl/>
        <w:spacing w:line="460" w:lineRule="exact"/>
        <w:ind w:firstLine="420"/>
        <w:jc w:val="left"/>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建设地点：连云港市海州区</w:t>
      </w:r>
      <w:r>
        <w:rPr>
          <w:rFonts w:hint="eastAsia" w:ascii="宋体" w:hAnsi="宋体" w:eastAsia="宋体" w:cs="宋体"/>
          <w:color w:val="auto"/>
          <w:sz w:val="24"/>
          <w:highlight w:val="none"/>
          <w:lang w:val="en-US" w:eastAsia="zh-CN" w:bidi="ar"/>
        </w:rPr>
        <w:t>锦屏镇</w:t>
      </w:r>
    </w:p>
    <w:p w14:paraId="0E1851B8">
      <w:pPr>
        <w:widowControl/>
        <w:spacing w:line="460" w:lineRule="exact"/>
        <w:ind w:firstLine="42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施工范围：</w:t>
      </w:r>
      <w:r>
        <w:rPr>
          <w:rFonts w:hint="eastAsia" w:ascii="宋体" w:hAnsi="宋体" w:eastAsia="宋体" w:cs="宋体"/>
          <w:color w:val="auto"/>
          <w:sz w:val="24"/>
          <w:highlight w:val="none"/>
          <w:lang w:eastAsia="zh-CN" w:bidi="ar"/>
        </w:rPr>
        <w:t>锦屏镇岗嘴村标准化厂房项目</w:t>
      </w:r>
      <w:r>
        <w:rPr>
          <w:rFonts w:hint="eastAsia" w:ascii="宋体" w:hAnsi="宋体" w:eastAsia="宋体" w:cs="宋体"/>
          <w:color w:val="auto"/>
          <w:sz w:val="24"/>
          <w:highlight w:val="none"/>
          <w:lang w:bidi="ar"/>
        </w:rPr>
        <w:t>，建筑面积1675.04㎡，建设内容为土建、钢结构、给排水、电气工程，具体详见图纸及工程量清单。</w:t>
      </w:r>
    </w:p>
    <w:p w14:paraId="3D1E2454">
      <w:pPr>
        <w:widowControl/>
        <w:spacing w:line="460" w:lineRule="exact"/>
        <w:ind w:firstLine="42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★质量标准：执行国家现行验收标准，等级为合格。</w:t>
      </w:r>
    </w:p>
    <w:p w14:paraId="74F0ACE9">
      <w:pPr>
        <w:widowControl/>
        <w:spacing w:line="460" w:lineRule="exact"/>
        <w:ind w:firstLine="42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★工期要求：</w:t>
      </w:r>
      <w:r>
        <w:rPr>
          <w:rFonts w:hint="eastAsia" w:ascii="宋体" w:hAnsi="宋体" w:eastAsia="宋体" w:cs="宋体"/>
          <w:color w:val="auto"/>
          <w:sz w:val="24"/>
          <w:highlight w:val="none"/>
          <w:lang w:val="en-US" w:eastAsia="zh-CN" w:bidi="ar"/>
        </w:rPr>
        <w:t>60</w:t>
      </w:r>
      <w:r>
        <w:rPr>
          <w:rFonts w:hint="eastAsia" w:ascii="宋体" w:hAnsi="宋体" w:eastAsia="宋体" w:cs="宋体"/>
          <w:color w:val="auto"/>
          <w:sz w:val="24"/>
          <w:highlight w:val="none"/>
          <w:lang w:bidi="ar"/>
        </w:rPr>
        <w:t>日历天，具体开工日期以采购人发出的书面通知（开工令）为准，竣工日期相应顺延。</w:t>
      </w:r>
    </w:p>
    <w:p w14:paraId="4A413FAC">
      <w:pPr>
        <w:tabs>
          <w:tab w:val="center" w:pos="4393"/>
          <w:tab w:val="left" w:pos="6774"/>
        </w:tabs>
        <w:spacing w:line="360" w:lineRule="auto"/>
        <w:ind w:firstLine="447"/>
        <w:jc w:val="left"/>
        <w:rPr>
          <w:rStyle w:val="221"/>
          <w:rFonts w:hint="eastAsia" w:ascii="宋体" w:hAnsi="宋体" w:eastAsia="宋体" w:cs="宋体"/>
          <w:b/>
          <w:bCs/>
          <w:color w:val="auto"/>
          <w:spacing w:val="2"/>
          <w:sz w:val="24"/>
          <w:highlight w:val="none"/>
          <w:u w:val="single"/>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付款方式：</w:t>
      </w:r>
      <w:r>
        <w:rPr>
          <w:rStyle w:val="221"/>
          <w:rFonts w:hint="eastAsia" w:ascii="宋体" w:hAnsi="宋体" w:eastAsia="宋体" w:cs="宋体"/>
          <w:b/>
          <w:bCs/>
          <w:color w:val="auto"/>
          <w:spacing w:val="2"/>
          <w:sz w:val="24"/>
          <w:highlight w:val="none"/>
          <w:u w:val="single"/>
        </w:rPr>
        <w:t>签</w:t>
      </w:r>
      <w:bookmarkStart w:id="104" w:name="_GoBack"/>
      <w:bookmarkEnd w:id="104"/>
      <w:r>
        <w:rPr>
          <w:rStyle w:val="221"/>
          <w:rFonts w:hint="eastAsia" w:ascii="宋体" w:hAnsi="宋体" w:eastAsia="宋体" w:cs="宋体"/>
          <w:b/>
          <w:bCs/>
          <w:color w:val="auto"/>
          <w:spacing w:val="2"/>
          <w:sz w:val="24"/>
          <w:highlight w:val="none"/>
          <w:u w:val="single"/>
        </w:rPr>
        <w:t>订合同进场施工后付至合同价的10%作为预付款，全部工程竣工验收合格后一年内付至合同金额的80%，审计结束后一年内付至审计价款的97%，剩余3%质保期结束后付清。</w:t>
      </w:r>
    </w:p>
    <w:p w14:paraId="446109B2">
      <w:pPr>
        <w:tabs>
          <w:tab w:val="center" w:pos="4393"/>
          <w:tab w:val="left" w:pos="6774"/>
        </w:tabs>
        <w:spacing w:line="360" w:lineRule="auto"/>
        <w:ind w:firstLine="447"/>
        <w:jc w:val="left"/>
        <w:rPr>
          <w:rStyle w:val="221"/>
          <w:rFonts w:hint="eastAsia" w:ascii="宋体" w:hAnsi="宋体" w:eastAsia="宋体" w:cs="宋体"/>
          <w:b/>
          <w:bCs/>
          <w:color w:val="auto"/>
          <w:spacing w:val="2"/>
          <w:sz w:val="24"/>
          <w:highlight w:val="none"/>
          <w:u w:val="single"/>
          <w:lang w:bidi="ar"/>
        </w:rPr>
      </w:pPr>
      <w:r>
        <w:rPr>
          <w:rStyle w:val="221"/>
          <w:rFonts w:hint="eastAsia" w:ascii="宋体" w:hAnsi="宋体" w:eastAsia="宋体" w:cs="宋体"/>
          <w:b/>
          <w:bCs/>
          <w:color w:val="auto"/>
          <w:spacing w:val="2"/>
          <w:sz w:val="24"/>
          <w:highlight w:val="none"/>
          <w:u w:val="single"/>
        </w:rPr>
        <w:t>注：每次支付工程款时，承包人必须提供符合税法的增值税专用发票，否则延时付款的责任由承包人自行承担。</w:t>
      </w:r>
    </w:p>
    <w:p w14:paraId="72317D3F">
      <w:pPr>
        <w:pStyle w:val="14"/>
        <w:spacing w:line="520" w:lineRule="exact"/>
        <w:ind w:firstLine="48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三、其他要求</w:t>
      </w:r>
    </w:p>
    <w:p w14:paraId="62E8CF41">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要根据招标人提供的设计图纸、编标说明等相关资料，自行踏勘现场，以充分了解现场情况及施工环境，现场已完成工程成品保护、工完场清、水平运输、垂直运输、拆除物运至招标人指定地点、道路储存空间、装卸限制、临时设施的搭设等都要充分考虑并在投标报价中综合考虑。</w:t>
      </w:r>
    </w:p>
    <w:p w14:paraId="36A30B3B">
      <w:pPr>
        <w:pStyle w:val="37"/>
        <w:spacing w:line="460" w:lineRule="exact"/>
        <w:rPr>
          <w:rFonts w:eastAsia="宋体" w:cs="宋体"/>
          <w:color w:val="auto"/>
          <w:sz w:val="21"/>
          <w:szCs w:val="21"/>
          <w:highlight w:val="none"/>
          <w:lang w:bidi="ar"/>
        </w:rPr>
      </w:pPr>
    </w:p>
    <w:p w14:paraId="07802D7A">
      <w:pPr>
        <w:pStyle w:val="205"/>
        <w:ind w:firstLine="0"/>
        <w:jc w:val="center"/>
        <w:rPr>
          <w:rFonts w:hAnsi="宋体" w:cs="宋体"/>
          <w:b/>
          <w:bCs/>
          <w:color w:val="auto"/>
          <w:sz w:val="36"/>
          <w:szCs w:val="36"/>
          <w:highlight w:val="none"/>
          <w:lang w:bidi="ar"/>
        </w:rPr>
      </w:pPr>
    </w:p>
    <w:p w14:paraId="1EC9AD7D">
      <w:pPr>
        <w:rPr>
          <w:color w:val="auto"/>
          <w:highlight w:val="none"/>
        </w:rPr>
      </w:pPr>
    </w:p>
    <w:p w14:paraId="7B57A9B7">
      <w:pPr>
        <w:rPr>
          <w:rFonts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r>
    </w:p>
    <w:p w14:paraId="6EE0FFBA">
      <w:pPr>
        <w:pStyle w:val="205"/>
        <w:ind w:firstLine="0"/>
        <w:jc w:val="center"/>
        <w:outlineLvl w:val="0"/>
        <w:rPr>
          <w:rFonts w:hAnsi="宋体" w:cs="宋体"/>
          <w:b/>
          <w:bCs/>
          <w:color w:val="auto"/>
          <w:sz w:val="36"/>
          <w:szCs w:val="36"/>
          <w:highlight w:val="none"/>
          <w:lang w:bidi="ar"/>
        </w:rPr>
      </w:pPr>
      <w:r>
        <w:rPr>
          <w:rFonts w:hint="eastAsia" w:hAnsi="宋体" w:cs="宋体"/>
          <w:b/>
          <w:bCs/>
          <w:color w:val="auto"/>
          <w:sz w:val="36"/>
          <w:szCs w:val="36"/>
          <w:highlight w:val="none"/>
          <w:lang w:bidi="ar"/>
        </w:rPr>
        <w:t>第五章  工程量清单（另附）</w:t>
      </w:r>
    </w:p>
    <w:p w14:paraId="296F5B29">
      <w:pPr>
        <w:pStyle w:val="14"/>
        <w:spacing w:line="276"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1．工程量清单编制说明 </w:t>
      </w:r>
    </w:p>
    <w:p w14:paraId="149FD0F2">
      <w:pPr>
        <w:pStyle w:val="14"/>
        <w:tabs>
          <w:tab w:val="left" w:pos="2100"/>
        </w:tabs>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《建设工程工程量清单计价标准》GB/T50500-2024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《房屋建筑与装饰工程工程量计算标准》GB/T50854-2024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《江苏省建筑与装饰工程消耗量》（2026年）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《江苏省通用安装工程消耗量》（2026）、《江苏省市政工程消耗量》（2026）、《江苏省古建筑修缮工程消耗量定额》（2025）、《江苏省建设工程费用组成规则》及《江苏省建设工程费用参考》（2026）</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地方规定等编制。</w:t>
      </w:r>
    </w:p>
    <w:p w14:paraId="7F6F90F9">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 本工程量清单应与采购文件中的供应商须知、通用合同条款、专用合同条款、技术标准和要求内容一起阅读和理解。</w:t>
      </w:r>
    </w:p>
    <w:p w14:paraId="7CFC0A62">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 本工程量清单仅是投标报价的共同基础，竣工结算的工程量按合同约定确定。合同价格的确定以及价款支付应遵循合同条款(包括通用合同条款和专用合同条款)、技术标准和要求以及本章的有关约定。</w:t>
      </w:r>
    </w:p>
    <w:p w14:paraId="322080D0">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 本条第 1.1 款中约定的计量和计价规则适用于合同履约过程中工程量计量与价款支付、工程变更、索赔和工程结算。</w:t>
      </w:r>
    </w:p>
    <w:p w14:paraId="5EC09E42">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 本条与本章第 2 条的说明内容是构成合同文件的已标价工程量清单的组成部分。</w:t>
      </w:r>
    </w:p>
    <w:p w14:paraId="305BF595">
      <w:pPr>
        <w:pStyle w:val="14"/>
        <w:spacing w:line="520" w:lineRule="exact"/>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2．投标报价编制要求</w:t>
      </w:r>
      <w:r>
        <w:rPr>
          <w:rFonts w:hint="eastAsia" w:ascii="宋体" w:hAnsi="宋体" w:eastAsia="宋体" w:cs="宋体"/>
          <w:color w:val="auto"/>
          <w:sz w:val="24"/>
          <w:szCs w:val="24"/>
          <w:highlight w:val="none"/>
        </w:rPr>
        <w:t xml:space="preserve"> </w:t>
      </w:r>
    </w:p>
    <w:p w14:paraId="1092C9D6">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 投标报价应根据采购文件中的有关计价要求，并按照下列依据自主报价，但不得低于成本。</w:t>
      </w:r>
    </w:p>
    <w:p w14:paraId="425D8563">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 本采购文件；</w:t>
      </w:r>
    </w:p>
    <w:p w14:paraId="781B984A">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 《建设工程工程量清单计价标准》GB/T50500-2024、《房屋建筑与装饰工程工程量计算标准》GB/T50854-2024、《江苏省建筑与装饰工程消耗量》（2026年）、《江苏省通用安装工程消耗量》（2026）、《江苏省市政工程消耗量》（2026）、《江苏省古建筑修缮工程消耗量定额》（2025）、《江苏省建设工程费用组成规则》及《江苏省建设工程费用参考》（2026）；</w:t>
      </w:r>
    </w:p>
    <w:p w14:paraId="17C45773">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 国家或省级、行业建设主管部门颁发的计价办法；</w:t>
      </w:r>
    </w:p>
    <w:p w14:paraId="3AE509C1">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 企业定额，国家或省级、行业建设主管部门颁发的计价定额；</w:t>
      </w:r>
    </w:p>
    <w:p w14:paraId="0F4845E5">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 采购文件、采购工程量清单及其补充通知、答疑纪要；</w:t>
      </w:r>
    </w:p>
    <w:p w14:paraId="02638CC5">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 建设工程设计文件及相关资料；</w:t>
      </w:r>
    </w:p>
    <w:p w14:paraId="698A19A4">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 施工现场情况、工程特点及拟定的投标施工组织设计或施工方案；</w:t>
      </w:r>
    </w:p>
    <w:p w14:paraId="374B9260">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 与建设项目相关的标准、规范等技术资料；</w:t>
      </w:r>
    </w:p>
    <w:p w14:paraId="01EFFC52">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 市场价格信息或工程造价管理机构发布的工程造价信息；</w:t>
      </w:r>
    </w:p>
    <w:p w14:paraId="65BEE62F">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 其他的相关资料。</w:t>
      </w:r>
    </w:p>
    <w:p w14:paraId="5D628370">
      <w:pPr>
        <w:pStyle w:val="14"/>
        <w:spacing w:line="52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3、其他要求</w:t>
      </w:r>
    </w:p>
    <w:p w14:paraId="39DA6CA2">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1、工程量清单根据招标人提供的设计图纸工程量进行编制。</w:t>
      </w:r>
    </w:p>
    <w:p w14:paraId="5DED8492">
      <w:pPr>
        <w:pStyle w:val="14"/>
        <w:spacing w:line="52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2、未尽事宜，详见设计图纸及有关规范并执行现行国家及部颁设计、施工、验收有关规范、规程。</w:t>
      </w:r>
    </w:p>
    <w:p w14:paraId="3A7FA783">
      <w:pPr>
        <w:rPr>
          <w:rFonts w:ascii="宋体" w:hAnsi="宋体" w:eastAsia="宋体" w:cs="宋体"/>
          <w:b/>
          <w:bCs/>
          <w:color w:val="auto"/>
          <w:sz w:val="36"/>
          <w:szCs w:val="36"/>
          <w:highlight w:val="none"/>
          <w:lang w:bidi="ar"/>
        </w:rPr>
      </w:pPr>
    </w:p>
    <w:p w14:paraId="3C9CE780">
      <w:pPr>
        <w:rPr>
          <w:rFonts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r>
    </w:p>
    <w:p w14:paraId="4A3FD3E4">
      <w:pPr>
        <w:pStyle w:val="205"/>
        <w:ind w:firstLine="0"/>
        <w:jc w:val="center"/>
        <w:outlineLvl w:val="0"/>
        <w:rPr>
          <w:rFonts w:hAnsi="宋体" w:cs="宋体"/>
          <w:b/>
          <w:bCs/>
          <w:color w:val="auto"/>
          <w:sz w:val="36"/>
          <w:szCs w:val="36"/>
          <w:highlight w:val="none"/>
          <w:lang w:bidi="ar"/>
        </w:rPr>
      </w:pPr>
      <w:r>
        <w:rPr>
          <w:rFonts w:hint="eastAsia" w:hAnsi="宋体" w:cs="宋体"/>
          <w:b/>
          <w:bCs/>
          <w:color w:val="auto"/>
          <w:sz w:val="36"/>
          <w:szCs w:val="36"/>
          <w:highlight w:val="none"/>
          <w:lang w:bidi="ar"/>
        </w:rPr>
        <w:t>第六章  磋商响应文件格式</w:t>
      </w:r>
    </w:p>
    <w:p w14:paraId="2BA692C5">
      <w:pPr>
        <w:widowControl/>
        <w:spacing w:line="360" w:lineRule="auto"/>
        <w:ind w:firstLine="860"/>
        <w:jc w:val="center"/>
        <w:rPr>
          <w:rFonts w:ascii="宋体" w:hAnsi="宋体" w:eastAsia="宋体" w:cs="宋体"/>
          <w:color w:val="auto"/>
          <w:sz w:val="43"/>
          <w:szCs w:val="43"/>
          <w:highlight w:val="none"/>
          <w:lang w:bidi="ar"/>
        </w:rPr>
      </w:pPr>
    </w:p>
    <w:p w14:paraId="59E434EB">
      <w:pPr>
        <w:widowControl/>
        <w:spacing w:line="360" w:lineRule="auto"/>
        <w:ind w:firstLine="860"/>
        <w:jc w:val="center"/>
        <w:rPr>
          <w:rFonts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t>(封 面)</w:t>
      </w:r>
    </w:p>
    <w:p w14:paraId="16CADA1B">
      <w:pPr>
        <w:pStyle w:val="205"/>
        <w:ind w:firstLine="480"/>
        <w:rPr>
          <w:rFonts w:hAnsi="宋体" w:cs="宋体"/>
          <w:color w:val="auto"/>
          <w:highlight w:val="none"/>
        </w:rPr>
      </w:pPr>
    </w:p>
    <w:p w14:paraId="6DC175A9">
      <w:pPr>
        <w:widowControl/>
        <w:spacing w:line="360" w:lineRule="auto"/>
        <w:ind w:firstLine="720"/>
        <w:jc w:val="left"/>
        <w:rPr>
          <w:rFonts w:ascii="宋体" w:hAnsi="宋体" w:eastAsia="宋体" w:cs="宋体"/>
          <w:color w:val="auto"/>
          <w:sz w:val="43"/>
          <w:szCs w:val="43"/>
          <w:highlight w:val="none"/>
          <w:lang w:bidi="ar"/>
        </w:rPr>
      </w:pPr>
      <w:r>
        <w:rPr>
          <w:rFonts w:hint="eastAsia" w:ascii="宋体" w:hAnsi="宋体" w:eastAsia="宋体" w:cs="宋体"/>
          <w:color w:val="auto"/>
          <w:sz w:val="36"/>
          <w:szCs w:val="36"/>
          <w:highlight w:val="none"/>
          <w:lang w:bidi="ar"/>
        </w:rPr>
        <w:t>__________________________________</w:t>
      </w:r>
      <w:r>
        <w:rPr>
          <w:rFonts w:hint="eastAsia" w:ascii="宋体" w:hAnsi="宋体" w:eastAsia="宋体" w:cs="宋体"/>
          <w:color w:val="auto"/>
          <w:sz w:val="43"/>
          <w:szCs w:val="43"/>
          <w:highlight w:val="none"/>
          <w:lang w:bidi="ar"/>
        </w:rPr>
        <w:t xml:space="preserve">工程 </w:t>
      </w:r>
    </w:p>
    <w:p w14:paraId="60AC9F52">
      <w:pPr>
        <w:pStyle w:val="205"/>
        <w:ind w:firstLine="480"/>
        <w:rPr>
          <w:rFonts w:hAnsi="宋体" w:cs="宋体"/>
          <w:color w:val="auto"/>
          <w:highlight w:val="none"/>
        </w:rPr>
      </w:pPr>
    </w:p>
    <w:p w14:paraId="443CD6AB">
      <w:pPr>
        <w:widowControl/>
        <w:spacing w:line="360" w:lineRule="auto"/>
        <w:jc w:val="center"/>
        <w:rPr>
          <w:rFonts w:ascii="宋体" w:hAnsi="宋体" w:eastAsia="宋体" w:cs="宋体"/>
          <w:color w:val="auto"/>
          <w:highlight w:val="none"/>
        </w:rPr>
      </w:pPr>
      <w:r>
        <w:rPr>
          <w:rFonts w:hint="eastAsia" w:ascii="宋体" w:hAnsi="宋体" w:eastAsia="宋体" w:cs="宋体"/>
          <w:b/>
          <w:bCs/>
          <w:color w:val="auto"/>
          <w:sz w:val="72"/>
          <w:szCs w:val="72"/>
          <w:highlight w:val="none"/>
          <w:lang w:bidi="ar"/>
        </w:rPr>
        <w:t>竞争性磋商响应文件</w:t>
      </w:r>
    </w:p>
    <w:p w14:paraId="614CD259">
      <w:pPr>
        <w:widowControl/>
        <w:spacing w:line="360" w:lineRule="auto"/>
        <w:ind w:firstLine="1044"/>
        <w:jc w:val="center"/>
        <w:rPr>
          <w:rFonts w:ascii="宋体" w:hAnsi="宋体" w:eastAsia="宋体" w:cs="宋体"/>
          <w:color w:val="auto"/>
          <w:highlight w:val="none"/>
        </w:rPr>
      </w:pPr>
      <w:r>
        <w:rPr>
          <w:rFonts w:hint="eastAsia" w:ascii="宋体" w:hAnsi="宋体" w:eastAsia="宋体" w:cs="宋体"/>
          <w:b/>
          <w:bCs/>
          <w:color w:val="auto"/>
          <w:sz w:val="52"/>
          <w:szCs w:val="52"/>
          <w:highlight w:val="none"/>
          <w:lang w:bidi="ar"/>
        </w:rPr>
        <w:t>(正本或副本)</w:t>
      </w:r>
    </w:p>
    <w:p w14:paraId="1BE1B235">
      <w:pPr>
        <w:widowControl/>
        <w:spacing w:line="360" w:lineRule="auto"/>
        <w:ind w:firstLine="4320"/>
        <w:jc w:val="left"/>
        <w:rPr>
          <w:rFonts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t xml:space="preserve">项目编号： </w:t>
      </w:r>
    </w:p>
    <w:p w14:paraId="4F7668F5">
      <w:pPr>
        <w:spacing w:line="360" w:lineRule="auto"/>
        <w:rPr>
          <w:rFonts w:ascii="宋体" w:hAnsi="宋体" w:eastAsia="宋体" w:cs="宋体"/>
          <w:color w:val="auto"/>
          <w:sz w:val="36"/>
          <w:szCs w:val="36"/>
          <w:highlight w:val="none"/>
          <w:lang w:bidi="ar"/>
        </w:rPr>
      </w:pPr>
    </w:p>
    <w:p w14:paraId="5C97C29A">
      <w:pPr>
        <w:pStyle w:val="205"/>
        <w:ind w:firstLine="720"/>
        <w:rPr>
          <w:rFonts w:hAnsi="宋体" w:cs="宋体"/>
          <w:color w:val="auto"/>
          <w:sz w:val="36"/>
          <w:szCs w:val="36"/>
          <w:highlight w:val="none"/>
          <w:lang w:bidi="ar"/>
        </w:rPr>
      </w:pPr>
    </w:p>
    <w:p w14:paraId="68506FBA">
      <w:pPr>
        <w:spacing w:line="360" w:lineRule="auto"/>
        <w:rPr>
          <w:rFonts w:ascii="宋体" w:hAnsi="宋体" w:eastAsia="宋体" w:cs="宋体"/>
          <w:color w:val="auto"/>
          <w:sz w:val="36"/>
          <w:szCs w:val="36"/>
          <w:highlight w:val="none"/>
          <w:lang w:bidi="ar"/>
        </w:rPr>
      </w:pPr>
    </w:p>
    <w:p w14:paraId="5B762ED3">
      <w:pPr>
        <w:pStyle w:val="205"/>
        <w:ind w:firstLine="480"/>
        <w:rPr>
          <w:rFonts w:hAnsi="宋体" w:cs="宋体"/>
          <w:color w:val="auto"/>
          <w:highlight w:val="none"/>
        </w:rPr>
      </w:pPr>
    </w:p>
    <w:p w14:paraId="75F2647A">
      <w:pPr>
        <w:spacing w:line="360" w:lineRule="auto"/>
        <w:rPr>
          <w:rFonts w:ascii="宋体" w:hAnsi="宋体" w:eastAsia="宋体" w:cs="宋体"/>
          <w:color w:val="auto"/>
          <w:highlight w:val="none"/>
        </w:rPr>
      </w:pPr>
    </w:p>
    <w:p w14:paraId="5BFE7347">
      <w:pPr>
        <w:widowControl/>
        <w:spacing w:line="360" w:lineRule="auto"/>
        <w:ind w:firstLine="600"/>
        <w:jc w:val="left"/>
        <w:rPr>
          <w:rFonts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t xml:space="preserve">供 应 商(公章): </w:t>
      </w:r>
      <w:r>
        <w:rPr>
          <w:rFonts w:hint="eastAsia" w:ascii="宋体" w:hAnsi="宋体" w:eastAsia="宋体" w:cs="宋体"/>
          <w:color w:val="auto"/>
          <w:highlight w:val="none"/>
          <w:u w:val="single"/>
        </w:rPr>
        <w:t xml:space="preserve">                                               </w:t>
      </w:r>
    </w:p>
    <w:p w14:paraId="43920204">
      <w:pPr>
        <w:widowControl/>
        <w:spacing w:line="360" w:lineRule="auto"/>
        <w:ind w:firstLine="600"/>
        <w:jc w:val="left"/>
        <w:rPr>
          <w:rFonts w:ascii="宋体" w:hAnsi="宋体" w:eastAsia="宋体" w:cs="宋体"/>
          <w:color w:val="auto"/>
          <w:sz w:val="30"/>
          <w:szCs w:val="30"/>
          <w:highlight w:val="none"/>
          <w:lang w:bidi="ar"/>
        </w:rPr>
      </w:pPr>
    </w:p>
    <w:p w14:paraId="0A7CDF09">
      <w:pPr>
        <w:widowControl/>
        <w:spacing w:line="360" w:lineRule="auto"/>
        <w:ind w:firstLine="600"/>
        <w:jc w:val="left"/>
        <w:rPr>
          <w:rFonts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法定代表人或委托代理人（签字或盖章）: </w:t>
      </w:r>
      <w:r>
        <w:rPr>
          <w:rFonts w:hint="eastAsia" w:ascii="宋体" w:hAnsi="宋体" w:eastAsia="宋体" w:cs="宋体"/>
          <w:color w:val="auto"/>
          <w:highlight w:val="none"/>
          <w:u w:val="single"/>
        </w:rPr>
        <w:t xml:space="preserve">                </w:t>
      </w:r>
    </w:p>
    <w:p w14:paraId="706CD100">
      <w:pPr>
        <w:widowControl/>
        <w:spacing w:line="360" w:lineRule="auto"/>
        <w:ind w:firstLine="600"/>
        <w:jc w:val="left"/>
        <w:rPr>
          <w:rFonts w:ascii="宋体" w:hAnsi="宋体" w:eastAsia="宋体" w:cs="宋体"/>
          <w:color w:val="auto"/>
          <w:sz w:val="30"/>
          <w:szCs w:val="30"/>
          <w:highlight w:val="none"/>
          <w:lang w:bidi="ar"/>
        </w:rPr>
      </w:pPr>
    </w:p>
    <w:p w14:paraId="2E0AB273">
      <w:pPr>
        <w:widowControl/>
        <w:spacing w:line="360" w:lineRule="auto"/>
        <w:ind w:firstLine="600"/>
        <w:jc w:val="left"/>
        <w:rPr>
          <w:rFonts w:ascii="宋体" w:hAnsi="宋体" w:eastAsia="宋体" w:cs="宋体"/>
          <w:color w:val="auto"/>
          <w:highlight w:val="none"/>
        </w:rPr>
      </w:pPr>
      <w:r>
        <w:rPr>
          <w:rFonts w:hint="eastAsia" w:ascii="宋体" w:hAnsi="宋体" w:eastAsia="宋体" w:cs="宋体"/>
          <w:color w:val="auto"/>
          <w:sz w:val="30"/>
          <w:szCs w:val="30"/>
          <w:highlight w:val="none"/>
          <w:lang w:bidi="ar"/>
        </w:rPr>
        <w:t>日期：</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年</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月</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日</w:t>
      </w:r>
    </w:p>
    <w:p w14:paraId="6A9FE996">
      <w:pPr>
        <w:widowControl/>
        <w:spacing w:line="360" w:lineRule="auto"/>
        <w:ind w:firstLine="602"/>
        <w:jc w:val="center"/>
        <w:rPr>
          <w:rFonts w:ascii="宋体" w:hAnsi="宋体" w:eastAsia="宋体" w:cs="宋体"/>
          <w:b/>
          <w:bCs/>
          <w:color w:val="auto"/>
          <w:sz w:val="30"/>
          <w:szCs w:val="30"/>
          <w:highlight w:val="none"/>
          <w:lang w:bidi="ar"/>
        </w:rPr>
      </w:pPr>
    </w:p>
    <w:p w14:paraId="394475AA">
      <w:pPr>
        <w:spacing w:line="360" w:lineRule="auto"/>
        <w:rPr>
          <w:rFonts w:ascii="宋体" w:hAnsi="宋体" w:eastAsia="宋体" w:cs="宋体"/>
          <w:b/>
          <w:bCs/>
          <w:color w:val="auto"/>
          <w:sz w:val="31"/>
          <w:szCs w:val="31"/>
          <w:highlight w:val="none"/>
          <w:lang w:bidi="ar"/>
        </w:rPr>
      </w:pPr>
    </w:p>
    <w:p w14:paraId="26F1447E">
      <w:pPr>
        <w:pStyle w:val="205"/>
        <w:ind w:firstLine="480"/>
        <w:rPr>
          <w:rFonts w:hAnsi="宋体" w:cs="宋体"/>
          <w:color w:val="auto"/>
          <w:highlight w:val="none"/>
        </w:rPr>
      </w:pPr>
    </w:p>
    <w:p w14:paraId="582B6CCC">
      <w:pPr>
        <w:widowControl/>
        <w:spacing w:line="360" w:lineRule="auto"/>
        <w:ind w:firstLine="622"/>
        <w:jc w:val="center"/>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响应文件主要目录</w:t>
      </w:r>
    </w:p>
    <w:p w14:paraId="7BC94A0B">
      <w:pPr>
        <w:widowControl/>
        <w:spacing w:line="360" w:lineRule="auto"/>
        <w:ind w:firstLine="480"/>
        <w:jc w:val="center"/>
        <w:rPr>
          <w:rFonts w:ascii="宋体" w:hAnsi="宋体" w:eastAsia="宋体" w:cs="宋体"/>
          <w:color w:val="auto"/>
          <w:highlight w:val="none"/>
        </w:rPr>
      </w:pPr>
      <w:r>
        <w:rPr>
          <w:rFonts w:hint="eastAsia" w:ascii="宋体" w:hAnsi="宋体" w:eastAsia="宋体" w:cs="宋体"/>
          <w:color w:val="auto"/>
          <w:sz w:val="24"/>
          <w:highlight w:val="none"/>
          <w:lang w:bidi="ar"/>
        </w:rPr>
        <w:t>(格式自定，</w:t>
      </w:r>
      <w:r>
        <w:rPr>
          <w:rFonts w:hint="eastAsia" w:ascii="宋体" w:hAnsi="宋体" w:eastAsia="宋体" w:cs="宋体"/>
          <w:b/>
          <w:bCs/>
          <w:color w:val="auto"/>
          <w:sz w:val="24"/>
          <w:highlight w:val="none"/>
          <w:lang w:bidi="ar"/>
        </w:rPr>
        <w:t>请标记页码</w:t>
      </w:r>
      <w:r>
        <w:rPr>
          <w:rFonts w:hint="eastAsia" w:ascii="宋体" w:hAnsi="宋体" w:eastAsia="宋体" w:cs="宋体"/>
          <w:color w:val="auto"/>
          <w:sz w:val="24"/>
          <w:highlight w:val="none"/>
          <w:lang w:bidi="ar"/>
        </w:rPr>
        <w:t>)</w:t>
      </w:r>
    </w:p>
    <w:p w14:paraId="7E6500B3">
      <w:pPr>
        <w:spacing w:line="360" w:lineRule="auto"/>
        <w:ind w:firstLine="280"/>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1、磋商响应函 </w:t>
      </w:r>
    </w:p>
    <w:p w14:paraId="591D71D5">
      <w:pPr>
        <w:spacing w:line="360" w:lineRule="auto"/>
        <w:ind w:firstLine="280"/>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2、开标一览表（首次磋商响应报价表）</w:t>
      </w:r>
    </w:p>
    <w:p w14:paraId="05A6C896">
      <w:pPr>
        <w:spacing w:line="360" w:lineRule="auto"/>
        <w:ind w:firstLine="280"/>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3、已标价工程量清单</w:t>
      </w:r>
    </w:p>
    <w:p w14:paraId="7C315205">
      <w:pPr>
        <w:spacing w:line="360" w:lineRule="auto"/>
        <w:ind w:firstLine="280"/>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4、政府采购政策</w:t>
      </w:r>
    </w:p>
    <w:p w14:paraId="3FC24D51">
      <w:pPr>
        <w:spacing w:line="360" w:lineRule="auto"/>
        <w:ind w:firstLine="280"/>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5、资格审查材料 </w:t>
      </w:r>
    </w:p>
    <w:p w14:paraId="57178C3A">
      <w:pPr>
        <w:spacing w:line="360" w:lineRule="auto"/>
        <w:ind w:firstLine="280"/>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6、法定代表人身份证明(格式)，授权委托书(格式)</w:t>
      </w:r>
    </w:p>
    <w:p w14:paraId="650BF22F">
      <w:pPr>
        <w:spacing w:line="360" w:lineRule="auto"/>
        <w:ind w:firstLine="280"/>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7、商务条款偏离表</w:t>
      </w:r>
    </w:p>
    <w:p w14:paraId="4D248C56">
      <w:pPr>
        <w:spacing w:line="360" w:lineRule="auto"/>
        <w:ind w:firstLine="280"/>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8、技术标</w:t>
      </w:r>
    </w:p>
    <w:p w14:paraId="3B3D64FD">
      <w:pPr>
        <w:spacing w:line="360" w:lineRule="auto"/>
        <w:ind w:firstLine="280"/>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9、其他竞争性磋商文件要求与评标有关的所有资料</w:t>
      </w:r>
    </w:p>
    <w:p w14:paraId="47D44FE4">
      <w:pPr>
        <w:pStyle w:val="205"/>
        <w:ind w:firstLine="480"/>
        <w:rPr>
          <w:rFonts w:hAnsi="宋体" w:cs="宋体"/>
          <w:color w:val="auto"/>
          <w:highlight w:val="none"/>
        </w:rPr>
      </w:pPr>
    </w:p>
    <w:p w14:paraId="4263AE59">
      <w:pPr>
        <w:spacing w:line="360" w:lineRule="auto"/>
        <w:rPr>
          <w:rFonts w:ascii="宋体" w:hAnsi="宋体" w:eastAsia="宋体" w:cs="宋体"/>
          <w:color w:val="auto"/>
          <w:highlight w:val="none"/>
        </w:rPr>
      </w:pPr>
    </w:p>
    <w:p w14:paraId="54ED359F">
      <w:pPr>
        <w:pStyle w:val="205"/>
        <w:ind w:firstLine="480"/>
        <w:rPr>
          <w:rFonts w:hAnsi="宋体" w:cs="宋体"/>
          <w:color w:val="auto"/>
          <w:highlight w:val="none"/>
        </w:rPr>
      </w:pPr>
    </w:p>
    <w:p w14:paraId="46CDFACB">
      <w:pPr>
        <w:spacing w:line="360" w:lineRule="auto"/>
        <w:rPr>
          <w:rFonts w:ascii="宋体" w:hAnsi="宋体" w:eastAsia="宋体" w:cs="宋体"/>
          <w:color w:val="auto"/>
          <w:highlight w:val="none"/>
        </w:rPr>
      </w:pPr>
    </w:p>
    <w:p w14:paraId="0798E2CA">
      <w:pPr>
        <w:pStyle w:val="205"/>
        <w:ind w:firstLine="480"/>
        <w:rPr>
          <w:rFonts w:hAnsi="宋体" w:cs="宋体"/>
          <w:color w:val="auto"/>
          <w:highlight w:val="none"/>
        </w:rPr>
      </w:pPr>
    </w:p>
    <w:p w14:paraId="64583869">
      <w:pPr>
        <w:spacing w:line="360" w:lineRule="auto"/>
        <w:rPr>
          <w:rFonts w:ascii="宋体" w:hAnsi="宋体" w:eastAsia="宋体" w:cs="宋体"/>
          <w:color w:val="auto"/>
          <w:highlight w:val="none"/>
        </w:rPr>
      </w:pPr>
    </w:p>
    <w:p w14:paraId="62ACDBBC">
      <w:pPr>
        <w:pStyle w:val="205"/>
        <w:ind w:firstLine="480"/>
        <w:rPr>
          <w:rFonts w:hAnsi="宋体" w:cs="宋体"/>
          <w:color w:val="auto"/>
          <w:highlight w:val="none"/>
        </w:rPr>
      </w:pPr>
    </w:p>
    <w:p w14:paraId="4EBADEF8">
      <w:pPr>
        <w:spacing w:line="360" w:lineRule="auto"/>
        <w:rPr>
          <w:rFonts w:ascii="宋体" w:hAnsi="宋体" w:eastAsia="宋体" w:cs="宋体"/>
          <w:color w:val="auto"/>
          <w:highlight w:val="none"/>
        </w:rPr>
      </w:pPr>
    </w:p>
    <w:p w14:paraId="100630B3">
      <w:pPr>
        <w:pStyle w:val="205"/>
        <w:ind w:firstLine="480"/>
        <w:rPr>
          <w:rFonts w:hAnsi="宋体" w:cs="宋体"/>
          <w:color w:val="auto"/>
          <w:highlight w:val="none"/>
        </w:rPr>
      </w:pPr>
    </w:p>
    <w:p w14:paraId="75A2FD8C">
      <w:pPr>
        <w:spacing w:line="360" w:lineRule="auto"/>
        <w:rPr>
          <w:rFonts w:ascii="宋体" w:hAnsi="宋体" w:eastAsia="宋体" w:cs="宋体"/>
          <w:color w:val="auto"/>
          <w:highlight w:val="none"/>
        </w:rPr>
      </w:pPr>
    </w:p>
    <w:p w14:paraId="2A374E5C">
      <w:pPr>
        <w:pStyle w:val="205"/>
        <w:ind w:firstLine="480"/>
        <w:rPr>
          <w:rFonts w:hAnsi="宋体" w:cs="宋体"/>
          <w:color w:val="auto"/>
          <w:highlight w:val="none"/>
        </w:rPr>
      </w:pPr>
    </w:p>
    <w:p w14:paraId="6127F3A6">
      <w:pPr>
        <w:spacing w:line="360" w:lineRule="auto"/>
        <w:rPr>
          <w:rFonts w:ascii="宋体" w:hAnsi="宋体" w:eastAsia="宋体" w:cs="宋体"/>
          <w:color w:val="auto"/>
          <w:highlight w:val="none"/>
        </w:rPr>
      </w:pPr>
    </w:p>
    <w:p w14:paraId="7E1216B2">
      <w:pPr>
        <w:pStyle w:val="19"/>
        <w:spacing w:line="360" w:lineRule="auto"/>
        <w:rPr>
          <w:rFonts w:ascii="宋体" w:hAnsi="宋体" w:eastAsia="宋体" w:cs="宋体"/>
          <w:color w:val="auto"/>
          <w:highlight w:val="none"/>
        </w:rPr>
      </w:pPr>
    </w:p>
    <w:p w14:paraId="50E53702">
      <w:pPr>
        <w:pStyle w:val="19"/>
        <w:spacing w:line="360" w:lineRule="auto"/>
        <w:rPr>
          <w:rFonts w:ascii="宋体" w:hAnsi="宋体" w:eastAsia="宋体" w:cs="宋体"/>
          <w:color w:val="auto"/>
          <w:highlight w:val="none"/>
        </w:rPr>
      </w:pPr>
    </w:p>
    <w:p w14:paraId="52917A39">
      <w:pPr>
        <w:pStyle w:val="19"/>
        <w:spacing w:line="360" w:lineRule="auto"/>
        <w:rPr>
          <w:rFonts w:ascii="宋体" w:hAnsi="宋体" w:eastAsia="宋体" w:cs="宋体"/>
          <w:color w:val="auto"/>
          <w:highlight w:val="none"/>
        </w:rPr>
      </w:pPr>
    </w:p>
    <w:p w14:paraId="1035DA55">
      <w:pPr>
        <w:widowControl/>
        <w:spacing w:line="360" w:lineRule="auto"/>
        <w:ind w:firstLine="622"/>
        <w:jc w:val="center"/>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一、磋商响应函</w:t>
      </w:r>
    </w:p>
    <w:p w14:paraId="27748EBD">
      <w:pPr>
        <w:widowControl/>
        <w:spacing w:line="460" w:lineRule="exact"/>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致：</w:t>
      </w:r>
      <w:r>
        <w:rPr>
          <w:rFonts w:hint="eastAsia" w:ascii="宋体" w:hAnsi="宋体" w:eastAsia="宋体" w:cs="宋体"/>
          <w:color w:val="auto"/>
          <w:sz w:val="24"/>
          <w:highlight w:val="none"/>
          <w:u w:val="single"/>
          <w:lang w:bidi="ar"/>
        </w:rPr>
        <w:t xml:space="preserve">连云港市海州区锦屏镇人民政府 </w:t>
      </w:r>
    </w:p>
    <w:p w14:paraId="75AA06CC">
      <w:pPr>
        <w:widowControl/>
        <w:spacing w:line="460" w:lineRule="exact"/>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(一)根据已收到的采购编号为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（小写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）的总价，按磋商文件的要求承包本次采购范围内的全部工程，并承担相关的责任。 </w:t>
      </w:r>
    </w:p>
    <w:p w14:paraId="1220B074">
      <w:pPr>
        <w:widowControl/>
        <w:spacing w:line="460" w:lineRule="exact"/>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p>
    <w:p w14:paraId="41FF3A24">
      <w:pPr>
        <w:widowControl/>
        <w:spacing w:line="460" w:lineRule="exact"/>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我方保证在磋商响应文件有效期内不撤回磋商响应文件，除磋商文件另有规定外，不修改磋商响应文件。 </w:t>
      </w:r>
    </w:p>
    <w:p w14:paraId="58CF4F45">
      <w:pPr>
        <w:widowControl/>
        <w:spacing w:line="460" w:lineRule="exact"/>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(三)我单位保证在收到贵单位发出的书面开工令后立即开工，并在</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天内竣工。 </w:t>
      </w:r>
    </w:p>
    <w:p w14:paraId="27F2A2BA">
      <w:pPr>
        <w:widowControl/>
        <w:spacing w:line="460" w:lineRule="exact"/>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(四)我单位保证本工程质量达到</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p>
    <w:p w14:paraId="23B42C5A">
      <w:pPr>
        <w:widowControl/>
        <w:spacing w:line="460" w:lineRule="exact"/>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(五)我单位保证在成交后派出</w:t>
      </w:r>
      <w:r>
        <w:rPr>
          <w:rFonts w:hint="eastAsia" w:ascii="宋体" w:hAnsi="宋体" w:eastAsia="宋体" w:cs="宋体"/>
          <w:color w:val="auto"/>
          <w:sz w:val="24"/>
          <w:highlight w:val="none"/>
          <w:u w:val="single"/>
          <w:lang w:bidi="ar"/>
        </w:rPr>
        <w:t xml:space="preserve">   (姓名    )</w:t>
      </w:r>
      <w:r>
        <w:rPr>
          <w:rFonts w:hint="eastAsia" w:ascii="宋体" w:hAnsi="宋体" w:eastAsia="宋体" w:cs="宋体"/>
          <w:color w:val="auto"/>
          <w:sz w:val="24"/>
          <w:highlight w:val="none"/>
          <w:lang w:bidi="ar"/>
        </w:rPr>
        <w:t xml:space="preserve">项目负责人全面负责本工程的施工。 </w:t>
      </w:r>
    </w:p>
    <w:p w14:paraId="4335B88A">
      <w:pPr>
        <w:widowControl/>
        <w:spacing w:line="460" w:lineRule="exact"/>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(六)贵单位所发出的磋商文件、成交通知书和本磋商响应文件将构成约束我们双方的合同。 </w:t>
      </w:r>
    </w:p>
    <w:p w14:paraId="69DF953D">
      <w:pPr>
        <w:widowControl/>
        <w:spacing w:line="460" w:lineRule="exact"/>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(盖章) </w:t>
      </w:r>
    </w:p>
    <w:p w14:paraId="35398DC4">
      <w:pPr>
        <w:widowControl/>
        <w:spacing w:line="460" w:lineRule="exact"/>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单位地址：</w:t>
      </w:r>
      <w:r>
        <w:rPr>
          <w:rFonts w:hint="eastAsia" w:ascii="宋体" w:hAnsi="宋体" w:eastAsia="宋体" w:cs="宋体"/>
          <w:color w:val="auto"/>
          <w:sz w:val="24"/>
          <w:highlight w:val="none"/>
          <w:u w:val="single"/>
          <w:lang w:bidi="ar"/>
        </w:rPr>
        <w:t xml:space="preserve">                                               </w:t>
      </w:r>
    </w:p>
    <w:p w14:paraId="42BBE810">
      <w:pPr>
        <w:widowControl/>
        <w:spacing w:line="460" w:lineRule="exact"/>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邮政编码：</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16072393">
      <w:pPr>
        <w:widowControl/>
        <w:spacing w:line="460" w:lineRule="exact"/>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法定代表人或委托代理人(签字或盖章)：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2822F8B2">
      <w:pPr>
        <w:widowControl/>
        <w:spacing w:line="460" w:lineRule="exact"/>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电话：</w:t>
      </w:r>
      <w:r>
        <w:rPr>
          <w:rFonts w:hint="eastAsia" w:ascii="宋体" w:hAnsi="宋体" w:eastAsia="宋体" w:cs="宋体"/>
          <w:color w:val="auto"/>
          <w:sz w:val="24"/>
          <w:highlight w:val="none"/>
          <w:u w:val="single"/>
          <w:lang w:bidi="ar"/>
        </w:rPr>
        <w:t xml:space="preserve">                                            </w:t>
      </w:r>
    </w:p>
    <w:p w14:paraId="4B4140EE">
      <w:pPr>
        <w:widowControl/>
        <w:spacing w:line="460" w:lineRule="exact"/>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传真：</w:t>
      </w:r>
      <w:r>
        <w:rPr>
          <w:rFonts w:hint="eastAsia" w:ascii="宋体" w:hAnsi="宋体" w:eastAsia="宋体" w:cs="宋体"/>
          <w:color w:val="auto"/>
          <w:sz w:val="24"/>
          <w:highlight w:val="none"/>
          <w:u w:val="single"/>
          <w:lang w:bidi="ar"/>
        </w:rPr>
        <w:t xml:space="preserve">                                            </w:t>
      </w:r>
    </w:p>
    <w:p w14:paraId="043F83A3">
      <w:pPr>
        <w:widowControl/>
        <w:spacing w:line="460" w:lineRule="exact"/>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开户银行名称：</w:t>
      </w:r>
      <w:r>
        <w:rPr>
          <w:rFonts w:hint="eastAsia" w:ascii="宋体" w:hAnsi="宋体" w:eastAsia="宋体" w:cs="宋体"/>
          <w:color w:val="auto"/>
          <w:sz w:val="24"/>
          <w:highlight w:val="none"/>
          <w:u w:val="single"/>
          <w:lang w:bidi="ar"/>
        </w:rPr>
        <w:t xml:space="preserve">                                     </w:t>
      </w:r>
    </w:p>
    <w:p w14:paraId="56AF7A4E">
      <w:pPr>
        <w:widowControl/>
        <w:spacing w:line="460" w:lineRule="exact"/>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银行帐号：</w:t>
      </w:r>
      <w:r>
        <w:rPr>
          <w:rFonts w:hint="eastAsia" w:ascii="宋体" w:hAnsi="宋体" w:eastAsia="宋体" w:cs="宋体"/>
          <w:color w:val="auto"/>
          <w:sz w:val="24"/>
          <w:highlight w:val="none"/>
          <w:u w:val="single"/>
          <w:lang w:bidi="ar"/>
        </w:rPr>
        <w:t xml:space="preserve">                                        </w:t>
      </w:r>
    </w:p>
    <w:p w14:paraId="4F725A49">
      <w:pPr>
        <w:widowControl/>
        <w:spacing w:line="460" w:lineRule="exact"/>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开户行地址：</w:t>
      </w:r>
      <w:r>
        <w:rPr>
          <w:rFonts w:hint="eastAsia" w:ascii="宋体" w:hAnsi="宋体" w:eastAsia="宋体" w:cs="宋体"/>
          <w:color w:val="auto"/>
          <w:sz w:val="24"/>
          <w:highlight w:val="none"/>
          <w:u w:val="single"/>
          <w:lang w:bidi="ar"/>
        </w:rPr>
        <w:t xml:space="preserve">                                       </w:t>
      </w:r>
    </w:p>
    <w:p w14:paraId="124CED7B">
      <w:pPr>
        <w:widowControl/>
        <w:spacing w:line="460" w:lineRule="exact"/>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w:t>
      </w:r>
    </w:p>
    <w:p w14:paraId="2597A0D9">
      <w:pPr>
        <w:pStyle w:val="205"/>
        <w:ind w:firstLine="480"/>
        <w:rPr>
          <w:rFonts w:hAnsi="宋体" w:cs="宋体"/>
          <w:color w:val="auto"/>
          <w:szCs w:val="24"/>
          <w:highlight w:val="none"/>
          <w:lang w:bidi="ar"/>
        </w:rPr>
      </w:pPr>
    </w:p>
    <w:p w14:paraId="7A356101">
      <w:pPr>
        <w:rPr>
          <w:rFonts w:ascii="宋体" w:hAnsi="宋体" w:eastAsia="宋体" w:cs="宋体"/>
          <w:color w:val="auto"/>
          <w:highlight w:val="none"/>
          <w:lang w:bidi="ar"/>
        </w:rPr>
      </w:pPr>
    </w:p>
    <w:p w14:paraId="2577E6A1">
      <w:pPr>
        <w:pStyle w:val="57"/>
        <w:rPr>
          <w:rFonts w:ascii="宋体" w:hAnsi="宋体"/>
          <w:color w:val="auto"/>
          <w:szCs w:val="24"/>
          <w:highlight w:val="none"/>
          <w:lang w:bidi="ar"/>
        </w:rPr>
      </w:pPr>
    </w:p>
    <w:p w14:paraId="01BEA42A">
      <w:pPr>
        <w:rPr>
          <w:rFonts w:ascii="宋体" w:hAnsi="宋体" w:eastAsia="宋体" w:cs="宋体"/>
          <w:color w:val="auto"/>
          <w:highlight w:val="none"/>
          <w:lang w:bidi="ar"/>
        </w:rPr>
      </w:pPr>
    </w:p>
    <w:p w14:paraId="0A7FFF51">
      <w:pPr>
        <w:pStyle w:val="57"/>
        <w:rPr>
          <w:rFonts w:ascii="宋体" w:hAnsi="宋体"/>
          <w:color w:val="auto"/>
          <w:szCs w:val="24"/>
          <w:highlight w:val="none"/>
          <w:lang w:bidi="ar"/>
        </w:rPr>
      </w:pPr>
    </w:p>
    <w:p w14:paraId="64589B41">
      <w:pPr>
        <w:rPr>
          <w:rFonts w:ascii="宋体" w:hAnsi="宋体" w:eastAsia="宋体" w:cs="宋体"/>
          <w:color w:val="auto"/>
          <w:highlight w:val="none"/>
          <w:lang w:bidi="ar"/>
        </w:rPr>
      </w:pPr>
    </w:p>
    <w:p w14:paraId="062F067C">
      <w:pPr>
        <w:pStyle w:val="57"/>
        <w:rPr>
          <w:rFonts w:ascii="宋体" w:hAnsi="宋体"/>
          <w:color w:val="auto"/>
          <w:highlight w:val="none"/>
        </w:rPr>
      </w:pPr>
    </w:p>
    <w:p w14:paraId="7EC424DC">
      <w:pPr>
        <w:widowControl/>
        <w:numPr>
          <w:ilvl w:val="0"/>
          <w:numId w:val="3"/>
        </w:numPr>
        <w:spacing w:line="360" w:lineRule="auto"/>
        <w:ind w:firstLine="622"/>
        <w:jc w:val="center"/>
        <w:rPr>
          <w:rFonts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开标一览表（首次磋商响应报价表）</w:t>
      </w:r>
    </w:p>
    <w:tbl>
      <w:tblPr>
        <w:tblStyle w:val="40"/>
        <w:tblW w:w="8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6"/>
        <w:gridCol w:w="6896"/>
      </w:tblGrid>
      <w:tr w14:paraId="4F908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66" w:type="dxa"/>
            <w:vAlign w:val="center"/>
          </w:tcPr>
          <w:p w14:paraId="40E62540">
            <w:pPr>
              <w:widowControl/>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项 目</w:t>
            </w:r>
          </w:p>
          <w:p w14:paraId="4725F8B3">
            <w:pPr>
              <w:spacing w:line="360" w:lineRule="auto"/>
              <w:jc w:val="center"/>
              <w:rPr>
                <w:rFonts w:ascii="宋体" w:hAnsi="宋体" w:eastAsia="宋体" w:cs="宋体"/>
                <w:color w:val="auto"/>
                <w:sz w:val="24"/>
                <w:highlight w:val="none"/>
              </w:rPr>
            </w:pPr>
          </w:p>
        </w:tc>
        <w:tc>
          <w:tcPr>
            <w:tcW w:w="6896" w:type="dxa"/>
          </w:tcPr>
          <w:p w14:paraId="5E06AF96">
            <w:pPr>
              <w:widowControl/>
              <w:spacing w:line="360" w:lineRule="auto"/>
              <w:ind w:firstLine="480"/>
              <w:jc w:val="left"/>
              <w:rPr>
                <w:rFonts w:ascii="宋体" w:hAnsi="宋体" w:eastAsia="宋体" w:cs="宋体"/>
                <w:color w:val="auto"/>
                <w:sz w:val="24"/>
                <w:highlight w:val="none"/>
                <w:lang w:bidi="ar"/>
              </w:rPr>
            </w:pPr>
          </w:p>
          <w:p w14:paraId="0042FF8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p>
          <w:p w14:paraId="37A8A2D5">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p>
          <w:p w14:paraId="5F1298FC">
            <w:pPr>
              <w:spacing w:line="360" w:lineRule="auto"/>
              <w:rPr>
                <w:rFonts w:ascii="宋体" w:hAnsi="宋体" w:eastAsia="宋体" w:cs="宋体"/>
                <w:color w:val="auto"/>
                <w:sz w:val="24"/>
                <w:highlight w:val="none"/>
              </w:rPr>
            </w:pPr>
          </w:p>
        </w:tc>
      </w:tr>
      <w:tr w14:paraId="4B85C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66" w:type="dxa"/>
            <w:vAlign w:val="center"/>
          </w:tcPr>
          <w:p w14:paraId="36B6BAFB">
            <w:pPr>
              <w:widowControl/>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响应</w:t>
            </w:r>
          </w:p>
          <w:p w14:paraId="43E9DE34">
            <w:pPr>
              <w:widowControl/>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报价</w:t>
            </w:r>
          </w:p>
        </w:tc>
        <w:tc>
          <w:tcPr>
            <w:tcW w:w="6896" w:type="dxa"/>
          </w:tcPr>
          <w:p w14:paraId="0920BC2A">
            <w:pPr>
              <w:widowControl/>
              <w:spacing w:line="360" w:lineRule="auto"/>
              <w:ind w:firstLine="480"/>
              <w:jc w:val="left"/>
              <w:rPr>
                <w:rFonts w:ascii="宋体" w:hAnsi="宋体" w:eastAsia="宋体" w:cs="宋体"/>
                <w:color w:val="auto"/>
                <w:sz w:val="24"/>
                <w:highlight w:val="none"/>
                <w:lang w:bidi="ar"/>
              </w:rPr>
            </w:pPr>
          </w:p>
          <w:p w14:paraId="573EAFA8">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p>
          <w:p w14:paraId="0829B29D">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p>
          <w:p w14:paraId="05ADBA7E">
            <w:pPr>
              <w:spacing w:line="360" w:lineRule="auto"/>
              <w:rPr>
                <w:rFonts w:ascii="宋体" w:hAnsi="宋体" w:eastAsia="宋体" w:cs="宋体"/>
                <w:color w:val="auto"/>
                <w:sz w:val="24"/>
                <w:highlight w:val="none"/>
              </w:rPr>
            </w:pPr>
          </w:p>
        </w:tc>
      </w:tr>
      <w:tr w14:paraId="59C4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2066" w:type="dxa"/>
            <w:vAlign w:val="center"/>
          </w:tcPr>
          <w:p w14:paraId="61DB3798">
            <w:pPr>
              <w:widowControl/>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总工期</w:t>
            </w:r>
          </w:p>
        </w:tc>
        <w:tc>
          <w:tcPr>
            <w:tcW w:w="6896" w:type="dxa"/>
          </w:tcPr>
          <w:p w14:paraId="577646E3">
            <w:pPr>
              <w:spacing w:line="360" w:lineRule="auto"/>
              <w:rPr>
                <w:rFonts w:ascii="宋体" w:hAnsi="宋体" w:eastAsia="宋体" w:cs="宋体"/>
                <w:color w:val="auto"/>
                <w:sz w:val="24"/>
                <w:highlight w:val="none"/>
                <w:lang w:bidi="ar"/>
              </w:rPr>
            </w:pPr>
          </w:p>
          <w:p w14:paraId="3839D14E">
            <w:pPr>
              <w:spacing w:line="360" w:lineRule="auto"/>
              <w:ind w:firstLine="240"/>
              <w:rPr>
                <w:rFonts w:ascii="宋体" w:hAnsi="宋体" w:eastAsia="宋体" w:cs="宋体"/>
                <w:color w:val="auto"/>
                <w:sz w:val="24"/>
                <w:highlight w:val="none"/>
              </w:rPr>
            </w:pPr>
          </w:p>
        </w:tc>
      </w:tr>
      <w:tr w14:paraId="053C5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2066" w:type="dxa"/>
            <w:vAlign w:val="center"/>
          </w:tcPr>
          <w:p w14:paraId="6FA7C42D">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质量标准：</w:t>
            </w:r>
          </w:p>
        </w:tc>
        <w:tc>
          <w:tcPr>
            <w:tcW w:w="6896" w:type="dxa"/>
          </w:tcPr>
          <w:p w14:paraId="501329C3">
            <w:pPr>
              <w:spacing w:line="360" w:lineRule="auto"/>
              <w:rPr>
                <w:rFonts w:ascii="宋体" w:hAnsi="宋体" w:eastAsia="宋体" w:cs="宋体"/>
                <w:color w:val="auto"/>
                <w:sz w:val="24"/>
                <w:highlight w:val="none"/>
                <w:lang w:bidi="ar"/>
              </w:rPr>
            </w:pPr>
          </w:p>
        </w:tc>
      </w:tr>
      <w:tr w14:paraId="0489A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2066" w:type="dxa"/>
            <w:vAlign w:val="center"/>
          </w:tcPr>
          <w:p w14:paraId="5F98725B">
            <w:pPr>
              <w:widowControl/>
              <w:spacing w:line="360" w:lineRule="auto"/>
              <w:ind w:firstLine="480"/>
              <w:jc w:val="center"/>
              <w:rPr>
                <w:rFonts w:ascii="宋体" w:hAnsi="宋体" w:eastAsia="宋体" w:cs="宋体"/>
                <w:color w:val="auto"/>
                <w:sz w:val="24"/>
                <w:highlight w:val="none"/>
              </w:rPr>
            </w:pPr>
          </w:p>
          <w:p w14:paraId="504811BE">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项目负责人：</w:t>
            </w:r>
          </w:p>
        </w:tc>
        <w:tc>
          <w:tcPr>
            <w:tcW w:w="6896" w:type="dxa"/>
          </w:tcPr>
          <w:p w14:paraId="50093841">
            <w:pPr>
              <w:spacing w:line="360" w:lineRule="auto"/>
              <w:rPr>
                <w:rFonts w:ascii="宋体" w:hAnsi="宋体" w:eastAsia="宋体" w:cs="宋体"/>
                <w:color w:val="auto"/>
                <w:sz w:val="24"/>
                <w:highlight w:val="none"/>
                <w:lang w:bidi="ar"/>
              </w:rPr>
            </w:pPr>
          </w:p>
        </w:tc>
      </w:tr>
    </w:tbl>
    <w:p w14:paraId="3D1B4898">
      <w:pPr>
        <w:pStyle w:val="205"/>
        <w:ind w:firstLine="0"/>
        <w:rPr>
          <w:rFonts w:hAnsi="宋体" w:cs="宋体"/>
          <w:color w:val="auto"/>
          <w:highlight w:val="none"/>
        </w:rPr>
      </w:pPr>
    </w:p>
    <w:p w14:paraId="4032C301">
      <w:pPr>
        <w:widowControl/>
        <w:spacing w:line="360" w:lineRule="auto"/>
        <w:jc w:val="left"/>
        <w:rPr>
          <w:rFonts w:ascii="宋体" w:hAnsi="宋体" w:eastAsia="宋体" w:cs="宋体"/>
          <w:color w:val="auto"/>
          <w:sz w:val="24"/>
          <w:highlight w:val="none"/>
          <w:lang w:bidi="ar"/>
        </w:rPr>
      </w:pPr>
    </w:p>
    <w:p w14:paraId="7B89FF1F">
      <w:pPr>
        <w:widowControl/>
        <w:spacing w:line="360" w:lineRule="auto"/>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磋商单位（盖章）：</w:t>
      </w:r>
      <w:r>
        <w:rPr>
          <w:rFonts w:hint="eastAsia" w:ascii="宋体" w:hAnsi="宋体" w:eastAsia="宋体" w:cs="宋体"/>
          <w:color w:val="auto"/>
          <w:sz w:val="24"/>
          <w:highlight w:val="none"/>
          <w:u w:val="single"/>
          <w:lang w:bidi="ar"/>
        </w:rPr>
        <w:t xml:space="preserve">                 </w:t>
      </w:r>
    </w:p>
    <w:p w14:paraId="5585CF14">
      <w:pPr>
        <w:widowControl/>
        <w:spacing w:line="360" w:lineRule="auto"/>
        <w:jc w:val="left"/>
        <w:rPr>
          <w:rFonts w:ascii="宋体" w:hAnsi="宋体" w:eastAsia="宋体" w:cs="宋体"/>
          <w:color w:val="auto"/>
          <w:sz w:val="24"/>
          <w:highlight w:val="none"/>
          <w:lang w:bidi="ar"/>
        </w:rPr>
      </w:pPr>
    </w:p>
    <w:p w14:paraId="2D3DBE1E">
      <w:pPr>
        <w:widowControl/>
        <w:spacing w:line="360" w:lineRule="auto"/>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法定代表人(授权代表)签名：</w:t>
      </w:r>
      <w:r>
        <w:rPr>
          <w:rFonts w:hint="eastAsia" w:ascii="宋体" w:hAnsi="宋体" w:eastAsia="宋体" w:cs="宋体"/>
          <w:color w:val="auto"/>
          <w:sz w:val="24"/>
          <w:highlight w:val="none"/>
          <w:u w:val="single"/>
          <w:lang w:bidi="ar"/>
        </w:rPr>
        <w:t xml:space="preserve">                 </w:t>
      </w:r>
    </w:p>
    <w:p w14:paraId="260AD57D">
      <w:pPr>
        <w:widowControl/>
        <w:spacing w:line="360" w:lineRule="auto"/>
        <w:ind w:firstLine="480"/>
        <w:jc w:val="left"/>
        <w:rPr>
          <w:rFonts w:ascii="宋体" w:hAnsi="宋体" w:eastAsia="宋体" w:cs="宋体"/>
          <w:color w:val="auto"/>
          <w:sz w:val="24"/>
          <w:highlight w:val="none"/>
          <w:lang w:bidi="ar"/>
        </w:rPr>
      </w:pPr>
    </w:p>
    <w:p w14:paraId="7B090765">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注:①磋商报价应包括磋商文件所确定的采购范围的全部内容，但该</w:t>
      </w:r>
      <w:r>
        <w:rPr>
          <w:rFonts w:hint="eastAsia" w:ascii="宋体" w:hAnsi="宋体" w:eastAsia="宋体" w:cs="宋体"/>
          <w:b/>
          <w:bCs/>
          <w:color w:val="auto"/>
          <w:sz w:val="24"/>
          <w:highlight w:val="none"/>
          <w:lang w:bidi="ar"/>
        </w:rPr>
        <w:t>表报价非本次磋商的最后报价</w:t>
      </w:r>
      <w:r>
        <w:rPr>
          <w:rFonts w:hint="eastAsia" w:ascii="宋体" w:hAnsi="宋体" w:eastAsia="宋体" w:cs="宋体"/>
          <w:color w:val="auto"/>
          <w:sz w:val="24"/>
          <w:highlight w:val="none"/>
          <w:lang w:bidi="ar"/>
        </w:rPr>
        <w:t xml:space="preserve">。 </w:t>
      </w:r>
    </w:p>
    <w:p w14:paraId="4108D6D5">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②此表格式不得自行改动。</w:t>
      </w:r>
    </w:p>
    <w:p w14:paraId="0DF9F0C9">
      <w:pPr>
        <w:pStyle w:val="205"/>
        <w:ind w:firstLine="480"/>
        <w:rPr>
          <w:rFonts w:hAnsi="宋体" w:cs="宋体"/>
          <w:color w:val="auto"/>
          <w:szCs w:val="24"/>
          <w:highlight w:val="none"/>
          <w:lang w:bidi="ar"/>
        </w:rPr>
      </w:pPr>
    </w:p>
    <w:p w14:paraId="226A32C6">
      <w:pPr>
        <w:spacing w:line="360" w:lineRule="auto"/>
        <w:rPr>
          <w:rFonts w:ascii="宋体" w:hAnsi="宋体" w:eastAsia="宋体" w:cs="宋体"/>
          <w:color w:val="auto"/>
          <w:highlight w:val="none"/>
          <w:lang w:bidi="ar"/>
        </w:rPr>
      </w:pPr>
    </w:p>
    <w:p w14:paraId="4B483C5A">
      <w:pPr>
        <w:pStyle w:val="22"/>
        <w:shd w:val="clear" w:color="auto" w:fill="FFFFFF"/>
        <w:spacing w:line="360" w:lineRule="auto"/>
        <w:jc w:val="center"/>
        <w:rPr>
          <w:rFonts w:hAnsi="宋体" w:eastAsia="宋体" w:cs="宋体"/>
          <w:b/>
          <w:bCs/>
          <w:color w:val="auto"/>
          <w:sz w:val="31"/>
          <w:szCs w:val="31"/>
          <w:highlight w:val="none"/>
          <w:lang w:bidi="ar"/>
        </w:rPr>
      </w:pPr>
    </w:p>
    <w:p w14:paraId="4DE8E60E">
      <w:pPr>
        <w:pStyle w:val="22"/>
        <w:numPr>
          <w:ilvl w:val="0"/>
          <w:numId w:val="4"/>
        </w:numPr>
        <w:shd w:val="clear" w:color="auto" w:fill="FFFFFF"/>
        <w:spacing w:line="360" w:lineRule="auto"/>
        <w:jc w:val="center"/>
        <w:rPr>
          <w:rFonts w:hAnsi="宋体" w:eastAsia="宋体" w:cs="宋体"/>
          <w:b/>
          <w:bCs/>
          <w:color w:val="auto"/>
          <w:sz w:val="32"/>
          <w:szCs w:val="32"/>
          <w:highlight w:val="none"/>
        </w:rPr>
      </w:pPr>
      <w:r>
        <w:rPr>
          <w:rFonts w:hint="eastAsia" w:hAnsi="宋体" w:eastAsia="宋体" w:cs="宋体"/>
          <w:b/>
          <w:bCs/>
          <w:color w:val="auto"/>
          <w:sz w:val="32"/>
          <w:szCs w:val="32"/>
          <w:highlight w:val="none"/>
        </w:rPr>
        <w:t>工程量清单与报价表</w:t>
      </w:r>
    </w:p>
    <w:p w14:paraId="025C5F5B">
      <w:pPr>
        <w:widowControl/>
        <w:spacing w:line="360" w:lineRule="auto"/>
        <w:jc w:val="left"/>
        <w:rPr>
          <w:rFonts w:ascii="宋体" w:hAnsi="宋体" w:eastAsia="宋体" w:cs="宋体"/>
          <w:color w:val="auto"/>
          <w:sz w:val="24"/>
          <w:szCs w:val="22"/>
          <w:highlight w:val="none"/>
        </w:rPr>
      </w:pPr>
      <w:r>
        <w:rPr>
          <w:rFonts w:hint="eastAsia" w:ascii="宋体" w:hAnsi="宋体" w:eastAsia="宋体" w:cs="宋体"/>
          <w:color w:val="auto"/>
          <w:highlight w:val="none"/>
        </w:rPr>
        <w:br w:type="page" w:clear="all"/>
      </w:r>
    </w:p>
    <w:p w14:paraId="3D05EE26">
      <w:pPr>
        <w:widowControl/>
        <w:spacing w:line="360" w:lineRule="auto"/>
        <w:ind w:left="420"/>
        <w:jc w:val="center"/>
        <w:rPr>
          <w:rFonts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四、政府采购政策</w:t>
      </w:r>
    </w:p>
    <w:p w14:paraId="1210E0A0">
      <w:pPr>
        <w:widowControl/>
        <w:spacing w:line="360" w:lineRule="auto"/>
        <w:ind w:firstLine="720"/>
        <w:jc w:val="center"/>
        <w:rPr>
          <w:rFonts w:ascii="宋体" w:hAnsi="宋体" w:eastAsia="宋体" w:cs="宋体"/>
          <w:color w:val="auto"/>
          <w:highlight w:val="none"/>
        </w:rPr>
      </w:pPr>
      <w:r>
        <w:rPr>
          <w:rFonts w:hint="eastAsia" w:ascii="宋体" w:hAnsi="宋体" w:eastAsia="宋体" w:cs="宋体"/>
          <w:color w:val="auto"/>
          <w:sz w:val="36"/>
          <w:szCs w:val="36"/>
          <w:highlight w:val="none"/>
          <w:lang w:bidi="ar"/>
        </w:rPr>
        <w:t>中小企业声明函（格式）</w:t>
      </w:r>
    </w:p>
    <w:p w14:paraId="3C1B23CF">
      <w:pPr>
        <w:widowControl/>
        <w:spacing w:line="360" w:lineRule="auto"/>
        <w:ind w:firstLine="480"/>
        <w:jc w:val="left"/>
        <w:rPr>
          <w:rFonts w:ascii="宋体" w:hAnsi="宋体" w:eastAsia="宋体" w:cs="宋体"/>
          <w:color w:val="auto"/>
          <w:sz w:val="24"/>
          <w:highlight w:val="none"/>
          <w:lang w:bidi="ar"/>
        </w:rPr>
      </w:pPr>
    </w:p>
    <w:p w14:paraId="709496E6">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本公司郑重声明，根据《政府采购促进中小企业发展管理办法》（财库﹝2020﹞46 号）的规定，本公司参加</w:t>
      </w:r>
      <w:r>
        <w:rPr>
          <w:rFonts w:hint="eastAsia" w:ascii="宋体" w:hAnsi="宋体" w:eastAsia="宋体" w:cs="宋体"/>
          <w:color w:val="auto"/>
          <w:sz w:val="24"/>
          <w:highlight w:val="none"/>
          <w:u w:val="single"/>
          <w:lang w:bidi="ar"/>
        </w:rPr>
        <w:t xml:space="preserve">           （单位名称）        </w:t>
      </w:r>
      <w:r>
        <w:rPr>
          <w:rFonts w:hint="eastAsia" w:ascii="宋体" w:hAnsi="宋体" w:eastAsia="宋体" w:cs="宋体"/>
          <w:color w:val="auto"/>
          <w:sz w:val="24"/>
          <w:highlight w:val="none"/>
          <w:lang w:bidi="ar"/>
        </w:rPr>
        <w:t xml:space="preserve">的 </w:t>
      </w:r>
      <w:r>
        <w:rPr>
          <w:rFonts w:hint="eastAsia" w:ascii="宋体" w:hAnsi="宋体" w:eastAsia="宋体" w:cs="宋体"/>
          <w:color w:val="auto"/>
          <w:sz w:val="24"/>
          <w:highlight w:val="none"/>
          <w:u w:val="single"/>
          <w:lang w:bidi="ar"/>
        </w:rPr>
        <w:t xml:space="preserve">  （项目名称）  </w:t>
      </w:r>
      <w:r>
        <w:rPr>
          <w:rFonts w:hint="eastAsia" w:ascii="宋体" w:hAnsi="宋体" w:eastAsia="宋体" w:cs="宋体"/>
          <w:color w:val="auto"/>
          <w:sz w:val="24"/>
          <w:highlight w:val="none"/>
          <w:lang w:bidi="ar"/>
        </w:rPr>
        <w:t xml:space="preserve"> 采购活动，工程的施工单位全部为符合政策要求的中小企业。 </w:t>
      </w:r>
    </w:p>
    <w:p w14:paraId="44CD5E54">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u w:val="single"/>
          <w:lang w:bidi="ar"/>
        </w:rPr>
        <w:t>（标的名称）</w:t>
      </w:r>
      <w:r>
        <w:rPr>
          <w:rFonts w:hint="eastAsia" w:ascii="宋体" w:hAnsi="宋体" w:eastAsia="宋体" w:cs="宋体"/>
          <w:color w:val="auto"/>
          <w:sz w:val="24"/>
          <w:highlight w:val="none"/>
          <w:lang w:bidi="ar"/>
        </w:rPr>
        <w:t xml:space="preserve"> ，属于</w:t>
      </w:r>
      <w:r>
        <w:rPr>
          <w:rFonts w:hint="eastAsia" w:ascii="宋体" w:hAnsi="宋体" w:eastAsia="宋体" w:cs="宋体"/>
          <w:color w:val="auto"/>
          <w:sz w:val="24"/>
          <w:highlight w:val="none"/>
          <w:u w:val="single"/>
          <w:lang w:bidi="ar"/>
        </w:rPr>
        <w:t>（采购文件中明确的所属行业）</w:t>
      </w:r>
      <w:r>
        <w:rPr>
          <w:rFonts w:hint="eastAsia" w:ascii="宋体" w:hAnsi="宋体" w:eastAsia="宋体" w:cs="宋体"/>
          <w:color w:val="auto"/>
          <w:sz w:val="24"/>
          <w:highlight w:val="none"/>
          <w:lang w:bidi="ar"/>
        </w:rPr>
        <w:t xml:space="preserve"> 行业；承建企业为</w:t>
      </w:r>
      <w:r>
        <w:rPr>
          <w:rFonts w:hint="eastAsia" w:ascii="宋体" w:hAnsi="宋体" w:eastAsia="宋体" w:cs="宋体"/>
          <w:color w:val="auto"/>
          <w:sz w:val="24"/>
          <w:highlight w:val="none"/>
          <w:u w:val="single"/>
          <w:lang w:bidi="ar"/>
        </w:rPr>
        <w:t>（企业名称）</w:t>
      </w:r>
      <w:r>
        <w:rPr>
          <w:rFonts w:hint="eastAsia" w:ascii="宋体" w:hAnsi="宋体" w:eastAsia="宋体" w:cs="宋体"/>
          <w:color w:val="auto"/>
          <w:sz w:val="24"/>
          <w:highlight w:val="none"/>
          <w:lang w:bidi="ar"/>
        </w:rPr>
        <w:t>，从业人员人，营业收入为万元，资产总额为万元，属于</w:t>
      </w:r>
      <w:r>
        <w:rPr>
          <w:rFonts w:hint="eastAsia" w:ascii="宋体" w:hAnsi="宋体" w:eastAsia="宋体" w:cs="宋体"/>
          <w:color w:val="auto"/>
          <w:sz w:val="24"/>
          <w:highlight w:val="none"/>
          <w:u w:val="single"/>
          <w:lang w:bidi="ar"/>
        </w:rPr>
        <w:t>（中型企业、小型企业、微型企业）</w:t>
      </w:r>
      <w:r>
        <w:rPr>
          <w:rFonts w:hint="eastAsia" w:ascii="宋体" w:hAnsi="宋体" w:eastAsia="宋体" w:cs="宋体"/>
          <w:color w:val="auto"/>
          <w:sz w:val="24"/>
          <w:highlight w:val="none"/>
          <w:lang w:bidi="ar"/>
        </w:rPr>
        <w:t xml:space="preserve">； </w:t>
      </w:r>
    </w:p>
    <w:p w14:paraId="3E9B2D89">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p>
    <w:p w14:paraId="5373362C">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p>
    <w:p w14:paraId="229B3777">
      <w:pPr>
        <w:widowControl/>
        <w:spacing w:line="360" w:lineRule="auto"/>
        <w:ind w:firstLine="480"/>
        <w:jc w:val="left"/>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企业名称（盖章）：</w:t>
      </w:r>
      <w:r>
        <w:rPr>
          <w:rFonts w:hint="eastAsia" w:ascii="宋体" w:hAnsi="宋体" w:eastAsia="宋体" w:cs="宋体"/>
          <w:color w:val="auto"/>
          <w:sz w:val="24"/>
          <w:highlight w:val="none"/>
          <w:u w:val="single"/>
          <w:lang w:bidi="ar"/>
        </w:rPr>
        <w:t xml:space="preserve">         </w:t>
      </w:r>
    </w:p>
    <w:p w14:paraId="4EC2E343">
      <w:pPr>
        <w:widowControl/>
        <w:spacing w:line="360" w:lineRule="auto"/>
        <w:ind w:firstLine="480"/>
        <w:jc w:val="left"/>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日 期：</w:t>
      </w:r>
      <w:r>
        <w:rPr>
          <w:rFonts w:hint="eastAsia" w:ascii="宋体" w:hAnsi="宋体" w:eastAsia="宋体" w:cs="宋体"/>
          <w:color w:val="auto"/>
          <w:sz w:val="24"/>
          <w:highlight w:val="none"/>
          <w:u w:val="single"/>
          <w:lang w:bidi="ar"/>
        </w:rPr>
        <w:t xml:space="preserve">                     </w:t>
      </w:r>
    </w:p>
    <w:p w14:paraId="3BD9A5D5">
      <w:pPr>
        <w:widowControl/>
        <w:spacing w:line="360" w:lineRule="auto"/>
        <w:ind w:firstLine="482"/>
        <w:jc w:val="left"/>
        <w:rPr>
          <w:rFonts w:ascii="宋体" w:hAnsi="宋体" w:eastAsia="宋体" w:cs="宋体"/>
          <w:b/>
          <w:bCs/>
          <w:color w:val="auto"/>
          <w:sz w:val="24"/>
          <w:highlight w:val="none"/>
          <w:lang w:bidi="ar"/>
        </w:rPr>
      </w:pPr>
    </w:p>
    <w:p w14:paraId="6DF5FB38">
      <w:pPr>
        <w:widowControl/>
        <w:spacing w:line="360" w:lineRule="auto"/>
        <w:ind w:firstLine="482"/>
        <w:jc w:val="left"/>
        <w:rPr>
          <w:rFonts w:ascii="宋体" w:hAnsi="宋体" w:eastAsia="宋体" w:cs="宋体"/>
          <w:b/>
          <w:bCs/>
          <w:color w:val="auto"/>
          <w:sz w:val="24"/>
          <w:highlight w:val="none"/>
          <w:lang w:bidi="ar"/>
        </w:rPr>
      </w:pPr>
    </w:p>
    <w:p w14:paraId="7C47836D">
      <w:pPr>
        <w:widowControl/>
        <w:spacing w:line="360" w:lineRule="auto"/>
        <w:ind w:firstLine="482"/>
        <w:jc w:val="left"/>
        <w:rPr>
          <w:rFonts w:ascii="宋体" w:hAnsi="宋体" w:eastAsia="宋体" w:cs="宋体"/>
          <w:b/>
          <w:bCs/>
          <w:color w:val="auto"/>
          <w:sz w:val="24"/>
          <w:highlight w:val="none"/>
          <w:lang w:bidi="ar"/>
        </w:rPr>
      </w:pPr>
    </w:p>
    <w:p w14:paraId="1BADC011">
      <w:pPr>
        <w:widowControl/>
        <w:spacing w:line="360" w:lineRule="auto"/>
        <w:ind w:firstLine="482"/>
        <w:jc w:val="left"/>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p>
    <w:p w14:paraId="2A69E56C">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1、从业人员、营业收入、资产总额填报上一年度数据，无上一年度数据的新成立企业可不填报。 </w:t>
      </w:r>
    </w:p>
    <w:p w14:paraId="01483CFF">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2、请供应商如实填写，所填内容将作为评审的依据。如填写不完整，将不享受扶持政策。 </w:t>
      </w:r>
    </w:p>
    <w:p w14:paraId="7C56F138">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3、成交供应商的《中小企业声明函》随成交结果公开。</w:t>
      </w:r>
    </w:p>
    <w:p w14:paraId="2ED2F36D">
      <w:pPr>
        <w:pStyle w:val="205"/>
        <w:ind w:firstLine="480"/>
        <w:rPr>
          <w:rFonts w:hAnsi="宋体" w:cs="宋体"/>
          <w:color w:val="auto"/>
          <w:szCs w:val="24"/>
          <w:highlight w:val="none"/>
          <w:lang w:bidi="ar"/>
        </w:rPr>
      </w:pPr>
    </w:p>
    <w:p w14:paraId="3D660C92">
      <w:pPr>
        <w:spacing w:line="360" w:lineRule="auto"/>
        <w:rPr>
          <w:rFonts w:ascii="宋体" w:hAnsi="宋体" w:eastAsia="宋体" w:cs="宋体"/>
          <w:color w:val="auto"/>
          <w:sz w:val="24"/>
          <w:highlight w:val="none"/>
          <w:lang w:bidi="ar"/>
        </w:rPr>
      </w:pPr>
    </w:p>
    <w:p w14:paraId="4C915791">
      <w:pPr>
        <w:pStyle w:val="205"/>
        <w:ind w:firstLine="480"/>
        <w:rPr>
          <w:rFonts w:hAnsi="宋体" w:cs="宋体"/>
          <w:color w:val="auto"/>
          <w:szCs w:val="24"/>
          <w:highlight w:val="none"/>
          <w:lang w:bidi="ar"/>
        </w:rPr>
      </w:pPr>
    </w:p>
    <w:p w14:paraId="082BB0EA">
      <w:pPr>
        <w:rPr>
          <w:rFonts w:ascii="宋体" w:hAnsi="宋体" w:eastAsia="宋体" w:cs="宋体"/>
          <w:color w:val="auto"/>
          <w:highlight w:val="none"/>
          <w:lang w:bidi="ar"/>
        </w:rPr>
      </w:pPr>
    </w:p>
    <w:p w14:paraId="368B6F54">
      <w:pPr>
        <w:rPr>
          <w:rFonts w:ascii="宋体" w:hAnsi="宋体" w:eastAsia="宋体" w:cs="宋体"/>
          <w:color w:val="auto"/>
          <w:highlight w:val="none"/>
          <w:lang w:bidi="ar"/>
        </w:rPr>
      </w:pPr>
    </w:p>
    <w:p w14:paraId="4A00C99B">
      <w:pPr>
        <w:rPr>
          <w:rFonts w:ascii="宋体" w:hAnsi="宋体" w:eastAsia="宋体" w:cs="宋体"/>
          <w:color w:val="auto"/>
          <w:highlight w:val="none"/>
          <w:lang w:bidi="ar"/>
        </w:rPr>
      </w:pPr>
    </w:p>
    <w:p w14:paraId="0C7BB491">
      <w:pPr>
        <w:spacing w:line="360" w:lineRule="auto"/>
        <w:rPr>
          <w:rFonts w:ascii="宋体" w:hAnsi="宋体" w:eastAsia="宋体" w:cs="宋体"/>
          <w:color w:val="auto"/>
          <w:sz w:val="24"/>
          <w:highlight w:val="none"/>
          <w:lang w:bidi="ar"/>
        </w:rPr>
      </w:pPr>
    </w:p>
    <w:p w14:paraId="784D31E4">
      <w:pPr>
        <w:pStyle w:val="205"/>
        <w:ind w:firstLine="480"/>
        <w:rPr>
          <w:rFonts w:hAnsi="宋体" w:cs="宋体"/>
          <w:color w:val="auto"/>
          <w:szCs w:val="24"/>
          <w:highlight w:val="none"/>
          <w:lang w:bidi="ar"/>
        </w:rPr>
      </w:pPr>
    </w:p>
    <w:p w14:paraId="6614BF4D">
      <w:pPr>
        <w:spacing w:line="360" w:lineRule="auto"/>
        <w:rPr>
          <w:rFonts w:ascii="宋体" w:hAnsi="宋体" w:eastAsia="宋体" w:cs="宋体"/>
          <w:color w:val="auto"/>
          <w:sz w:val="24"/>
          <w:highlight w:val="none"/>
          <w:lang w:bidi="ar"/>
        </w:rPr>
      </w:pPr>
    </w:p>
    <w:p w14:paraId="0C1C8BEB">
      <w:pPr>
        <w:widowControl/>
        <w:spacing w:line="360" w:lineRule="auto"/>
        <w:ind w:firstLine="622"/>
        <w:jc w:val="center"/>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残疾人福利性单位声明函（格式）</w:t>
      </w:r>
    </w:p>
    <w:p w14:paraId="3075985E">
      <w:pPr>
        <w:widowControl/>
        <w:spacing w:line="360" w:lineRule="auto"/>
        <w:ind w:firstLine="480"/>
        <w:jc w:val="left"/>
        <w:rPr>
          <w:rFonts w:ascii="宋体" w:hAnsi="宋体" w:eastAsia="宋体" w:cs="宋体"/>
          <w:color w:val="auto"/>
          <w:sz w:val="24"/>
          <w:highlight w:val="none"/>
          <w:lang w:bidi="ar"/>
        </w:rPr>
      </w:pPr>
    </w:p>
    <w:p w14:paraId="2246B8F4">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p>
    <w:p w14:paraId="4FFCD5E0">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本单位对上述声明的真实性负责。如有虚假，将依法承担相应责任。 </w:t>
      </w:r>
    </w:p>
    <w:p w14:paraId="20F77C18">
      <w:pPr>
        <w:widowControl/>
        <w:spacing w:line="360" w:lineRule="auto"/>
        <w:ind w:firstLine="480"/>
        <w:jc w:val="left"/>
        <w:rPr>
          <w:rFonts w:ascii="宋体" w:hAnsi="宋体" w:eastAsia="宋体" w:cs="宋体"/>
          <w:color w:val="auto"/>
          <w:highlight w:val="none"/>
          <w:u w:val="single"/>
        </w:rPr>
      </w:pPr>
      <w:r>
        <w:rPr>
          <w:rFonts w:hint="eastAsia" w:ascii="宋体" w:hAnsi="宋体" w:eastAsia="宋体" w:cs="宋体"/>
          <w:color w:val="auto"/>
          <w:sz w:val="24"/>
          <w:highlight w:val="none"/>
          <w:lang w:bidi="ar"/>
        </w:rPr>
        <w:t>企业名称（盖章）：</w:t>
      </w:r>
      <w:r>
        <w:rPr>
          <w:rFonts w:hint="eastAsia" w:ascii="宋体" w:hAnsi="宋体" w:eastAsia="宋体" w:cs="宋体"/>
          <w:color w:val="auto"/>
          <w:sz w:val="24"/>
          <w:highlight w:val="none"/>
          <w:u w:val="single"/>
          <w:lang w:bidi="ar"/>
        </w:rPr>
        <w:t xml:space="preserve">                  </w:t>
      </w:r>
    </w:p>
    <w:p w14:paraId="0A17A0B0">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1F528CE9">
      <w:pPr>
        <w:widowControl/>
        <w:spacing w:line="360" w:lineRule="auto"/>
        <w:ind w:firstLine="482"/>
        <w:jc w:val="left"/>
        <w:rPr>
          <w:rFonts w:ascii="宋体" w:hAnsi="宋体" w:eastAsia="宋体" w:cs="宋体"/>
          <w:b/>
          <w:bCs/>
          <w:color w:val="auto"/>
          <w:sz w:val="24"/>
          <w:highlight w:val="none"/>
          <w:lang w:bidi="ar"/>
        </w:rPr>
      </w:pPr>
    </w:p>
    <w:p w14:paraId="1711006B">
      <w:pPr>
        <w:widowControl/>
        <w:spacing w:line="360" w:lineRule="auto"/>
        <w:ind w:firstLine="482"/>
        <w:jc w:val="left"/>
        <w:rPr>
          <w:rFonts w:ascii="宋体" w:hAnsi="宋体" w:eastAsia="宋体" w:cs="宋体"/>
          <w:b/>
          <w:bCs/>
          <w:color w:val="auto"/>
          <w:sz w:val="24"/>
          <w:highlight w:val="none"/>
          <w:lang w:bidi="ar"/>
        </w:rPr>
      </w:pPr>
    </w:p>
    <w:p w14:paraId="5644C256">
      <w:pPr>
        <w:widowControl/>
        <w:spacing w:line="360" w:lineRule="auto"/>
        <w:ind w:firstLine="482"/>
        <w:jc w:val="left"/>
        <w:rPr>
          <w:rFonts w:ascii="宋体" w:hAnsi="宋体" w:eastAsia="宋体" w:cs="宋体"/>
          <w:b/>
          <w:bCs/>
          <w:color w:val="auto"/>
          <w:sz w:val="24"/>
          <w:highlight w:val="none"/>
          <w:lang w:bidi="ar"/>
        </w:rPr>
      </w:pPr>
    </w:p>
    <w:p w14:paraId="417CED44">
      <w:pPr>
        <w:widowControl/>
        <w:spacing w:line="360" w:lineRule="auto"/>
        <w:ind w:firstLine="482"/>
        <w:jc w:val="left"/>
        <w:rPr>
          <w:rFonts w:ascii="宋体" w:hAnsi="宋体" w:eastAsia="宋体" w:cs="宋体"/>
          <w:b/>
          <w:bCs/>
          <w:color w:val="auto"/>
          <w:sz w:val="24"/>
          <w:highlight w:val="none"/>
          <w:lang w:bidi="ar"/>
        </w:rPr>
      </w:pPr>
    </w:p>
    <w:p w14:paraId="5118F653">
      <w:pPr>
        <w:widowControl/>
        <w:spacing w:line="360" w:lineRule="auto"/>
        <w:ind w:firstLine="482"/>
        <w:jc w:val="left"/>
        <w:rPr>
          <w:rFonts w:ascii="宋体" w:hAnsi="宋体" w:eastAsia="宋体" w:cs="宋体"/>
          <w:b/>
          <w:bCs/>
          <w:color w:val="auto"/>
          <w:sz w:val="24"/>
          <w:highlight w:val="none"/>
          <w:lang w:bidi="ar"/>
        </w:rPr>
      </w:pPr>
    </w:p>
    <w:p w14:paraId="0B07E49B">
      <w:pPr>
        <w:widowControl/>
        <w:spacing w:line="360" w:lineRule="auto"/>
        <w:ind w:firstLine="482"/>
        <w:jc w:val="left"/>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p>
    <w:p w14:paraId="7C5EB8C2">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 请供应商如实填写，所填内容将作为评审的依据。如填写不完整，将不享受扶持政策。 </w:t>
      </w:r>
    </w:p>
    <w:p w14:paraId="6EA0383F">
      <w:pPr>
        <w:widowControl/>
        <w:spacing w:line="360" w:lineRule="auto"/>
        <w:ind w:firstLine="420"/>
        <w:jc w:val="left"/>
        <w:rPr>
          <w:rFonts w:ascii="宋体" w:hAnsi="宋体" w:eastAsia="宋体" w:cs="宋体"/>
          <w:color w:val="auto"/>
          <w:highlight w:val="none"/>
        </w:rPr>
      </w:pPr>
      <w:r>
        <w:rPr>
          <w:rFonts w:hint="eastAsia" w:ascii="宋体" w:hAnsi="宋体" w:eastAsia="宋体" w:cs="宋体"/>
          <w:color w:val="auto"/>
          <w:szCs w:val="21"/>
          <w:highlight w:val="none"/>
          <w:lang w:bidi="ar"/>
        </w:rPr>
        <w:t>2、</w:t>
      </w:r>
      <w:r>
        <w:rPr>
          <w:rFonts w:hint="eastAsia" w:ascii="宋体" w:hAnsi="宋体" w:eastAsia="宋体" w:cs="宋体"/>
          <w:color w:val="auto"/>
          <w:sz w:val="24"/>
          <w:highlight w:val="none"/>
          <w:lang w:bidi="ar"/>
        </w:rPr>
        <w:t>成交供应商的《残疾人福利性单位声明函》随成交结果公开。</w:t>
      </w:r>
    </w:p>
    <w:p w14:paraId="0B5A64BE">
      <w:pPr>
        <w:widowControl/>
        <w:spacing w:line="360" w:lineRule="auto"/>
        <w:ind w:firstLine="622"/>
        <w:jc w:val="left"/>
        <w:rPr>
          <w:rFonts w:ascii="宋体" w:hAnsi="宋体" w:eastAsia="宋体" w:cs="宋体"/>
          <w:b/>
          <w:bCs/>
          <w:color w:val="auto"/>
          <w:sz w:val="31"/>
          <w:szCs w:val="31"/>
          <w:highlight w:val="none"/>
          <w:lang w:bidi="ar"/>
        </w:rPr>
      </w:pPr>
    </w:p>
    <w:p w14:paraId="78BE3088">
      <w:pPr>
        <w:widowControl/>
        <w:spacing w:line="360" w:lineRule="auto"/>
        <w:ind w:firstLine="622"/>
        <w:jc w:val="left"/>
        <w:rPr>
          <w:rFonts w:ascii="宋体" w:hAnsi="宋体" w:eastAsia="宋体" w:cs="宋体"/>
          <w:b/>
          <w:bCs/>
          <w:color w:val="auto"/>
          <w:sz w:val="31"/>
          <w:szCs w:val="31"/>
          <w:highlight w:val="none"/>
          <w:lang w:bidi="ar"/>
        </w:rPr>
      </w:pPr>
    </w:p>
    <w:p w14:paraId="66E80727">
      <w:pPr>
        <w:widowControl/>
        <w:spacing w:line="360" w:lineRule="auto"/>
        <w:ind w:firstLine="622"/>
        <w:jc w:val="left"/>
        <w:rPr>
          <w:rFonts w:ascii="宋体" w:hAnsi="宋体" w:eastAsia="宋体" w:cs="宋体"/>
          <w:b/>
          <w:bCs/>
          <w:color w:val="auto"/>
          <w:sz w:val="31"/>
          <w:szCs w:val="31"/>
          <w:highlight w:val="none"/>
          <w:lang w:bidi="ar"/>
        </w:rPr>
      </w:pPr>
    </w:p>
    <w:p w14:paraId="5DBD5836">
      <w:pPr>
        <w:pStyle w:val="19"/>
        <w:spacing w:line="360" w:lineRule="auto"/>
        <w:rPr>
          <w:rFonts w:ascii="宋体" w:hAnsi="宋体" w:eastAsia="宋体" w:cs="宋体"/>
          <w:color w:val="auto"/>
          <w:highlight w:val="none"/>
        </w:rPr>
      </w:pPr>
    </w:p>
    <w:p w14:paraId="18A3BC9D">
      <w:pPr>
        <w:widowControl/>
        <w:spacing w:line="360" w:lineRule="auto"/>
        <w:ind w:firstLine="622"/>
        <w:jc w:val="left"/>
        <w:rPr>
          <w:rFonts w:ascii="宋体" w:hAnsi="宋体" w:eastAsia="宋体" w:cs="宋体"/>
          <w:b/>
          <w:bCs/>
          <w:color w:val="auto"/>
          <w:sz w:val="31"/>
          <w:szCs w:val="31"/>
          <w:highlight w:val="none"/>
          <w:lang w:bidi="ar"/>
        </w:rPr>
      </w:pPr>
    </w:p>
    <w:p w14:paraId="18A8A718">
      <w:pPr>
        <w:widowControl/>
        <w:spacing w:line="360" w:lineRule="auto"/>
        <w:ind w:firstLine="622"/>
        <w:jc w:val="center"/>
        <w:rPr>
          <w:rFonts w:hint="eastAsia" w:ascii="宋体" w:hAnsi="宋体" w:eastAsia="宋体" w:cs="宋体"/>
          <w:i/>
          <w:color w:val="auto"/>
          <w:sz w:val="28"/>
          <w:szCs w:val="28"/>
          <w:highlight w:val="none"/>
          <w:u w:val="single"/>
        </w:rPr>
      </w:pPr>
      <w:r>
        <w:rPr>
          <w:rFonts w:hint="eastAsia" w:ascii="宋体" w:hAnsi="宋体" w:eastAsia="宋体" w:cs="宋体"/>
          <w:b/>
          <w:bCs/>
          <w:color w:val="auto"/>
          <w:sz w:val="31"/>
          <w:szCs w:val="31"/>
          <w:highlight w:val="none"/>
          <w:lang w:bidi="ar"/>
        </w:rPr>
        <w:br w:type="page" w:clear="all"/>
      </w:r>
      <w:r>
        <w:rPr>
          <w:rFonts w:hint="eastAsia" w:ascii="宋体" w:hAnsi="宋体" w:eastAsia="宋体" w:cs="宋体"/>
          <w:b/>
          <w:bCs/>
          <w:color w:val="auto"/>
          <w:sz w:val="31"/>
          <w:szCs w:val="31"/>
          <w:highlight w:val="none"/>
          <w:lang w:bidi="ar"/>
        </w:rPr>
        <w:t>关于符合本国产品标准的声明函</w:t>
      </w:r>
    </w:p>
    <w:p w14:paraId="40131B12">
      <w:pPr>
        <w:spacing w:before="0" w:beforeAutospacing="0" w:after="0" w:afterAutospacing="0" w:line="360" w:lineRule="auto"/>
        <w:ind w:firstLine="420"/>
        <w:jc w:val="left"/>
        <w:rPr>
          <w:rFonts w:hint="eastAsia" w:ascii="宋体" w:hAnsi="宋体" w:eastAsia="宋体" w:cs="宋体"/>
          <w:color w:val="auto"/>
          <w:szCs w:val="24"/>
          <w:highlight w:val="none"/>
          <w:lang w:val="en-US" w:eastAsia="zh-CN" w:bidi="ar-SA"/>
        </w:rPr>
      </w:pPr>
    </w:p>
    <w:p w14:paraId="01C2375C">
      <w:pPr>
        <w:spacing w:before="0" w:beforeAutospacing="0" w:after="0" w:afterAutospacing="0" w:line="360" w:lineRule="auto"/>
        <w:ind w:firstLine="420"/>
        <w:jc w:val="left"/>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3C8BF3D">
      <w:pPr>
        <w:widowControl w:val="0"/>
        <w:spacing w:before="30" w:beforeAutospacing="0" w:after="3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1.</w:t>
      </w:r>
      <w:r>
        <w:rPr>
          <w:rFonts w:hint="eastAsia" w:ascii="宋体" w:hAnsi="宋体" w:eastAsia="宋体" w:cs="宋体"/>
          <w:i w:val="0"/>
          <w:color w:val="auto"/>
          <w:sz w:val="21"/>
          <w:szCs w:val="24"/>
          <w:highlight w:val="none"/>
          <w:u w:val="single"/>
          <w:shd w:val="clear" w:color="auto" w:fill="FFFFFF"/>
          <w:lang w:val="en-US" w:eastAsia="zh-CN" w:bidi="ar-SA"/>
        </w:rPr>
        <w:t>（产品名称1）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SA"/>
        </w:rPr>
        <w:t>，生产厂为</w:t>
      </w:r>
      <w:r>
        <w:rPr>
          <w:rFonts w:hint="eastAsia" w:ascii="宋体" w:hAnsi="宋体" w:eastAsia="宋体" w:cs="宋体"/>
          <w:i w:val="0"/>
          <w:color w:val="auto"/>
          <w:sz w:val="21"/>
          <w:szCs w:val="24"/>
          <w:highlight w:val="none"/>
          <w:u w:val="single"/>
          <w:shd w:val="clear" w:color="auto" w:fill="FFFFFF"/>
          <w:lang w:val="en-US" w:eastAsia="zh-CN" w:bidi="ar-SA"/>
        </w:rPr>
        <w:t>（厂名）</w:t>
      </w:r>
      <w:r>
        <w:rPr>
          <w:rFonts w:hint="eastAsia" w:ascii="宋体" w:hAnsi="宋体" w:eastAsia="宋体" w:cs="宋体"/>
          <w:i w:val="0"/>
          <w:color w:val="auto"/>
          <w:sz w:val="21"/>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SA"/>
        </w:rPr>
        <w:t>，厂址为</w:t>
      </w:r>
      <w:r>
        <w:rPr>
          <w:rFonts w:hint="eastAsia" w:ascii="宋体" w:hAnsi="宋体" w:eastAsia="宋体" w:cs="宋体"/>
          <w:i w:val="0"/>
          <w:color w:val="auto"/>
          <w:sz w:val="21"/>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1"/>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1"/>
          <w:szCs w:val="24"/>
          <w:highlight w:val="none"/>
          <w:u w:val="single"/>
          <w:shd w:val="clear" w:color="auto" w:fill="FFFFFF"/>
          <w:lang w:val="en-US" w:eastAsia="zh-CN" w:bidi="ar-SA"/>
        </w:rPr>
        <w:t>（关键组件）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SA"/>
        </w:rPr>
        <w:t>在中国境内生产。</w:t>
      </w:r>
      <w:r>
        <w:rPr>
          <w:rFonts w:hint="eastAsia" w:ascii="宋体" w:hAnsi="宋体" w:eastAsia="宋体" w:cs="宋体"/>
          <w:i w:val="0"/>
          <w:color w:val="auto"/>
          <w:sz w:val="21"/>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1"/>
          <w:szCs w:val="24"/>
          <w:highlight w:val="none"/>
          <w:u w:val="single"/>
          <w:shd w:val="clear" w:color="auto" w:fill="FFFFFF"/>
          <w:lang w:val="en-US" w:eastAsia="zh-CN" w:bidi="ar-SA"/>
        </w:rPr>
        <w:t>（关键工序）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SA"/>
        </w:rPr>
        <w:t>在中国境内完成。</w:t>
      </w:r>
    </w:p>
    <w:p w14:paraId="307E52E3">
      <w:pPr>
        <w:widowControl w:val="0"/>
        <w:spacing w:before="30" w:beforeAutospacing="0" w:after="3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2.</w:t>
      </w:r>
      <w:r>
        <w:rPr>
          <w:rFonts w:hint="eastAsia" w:ascii="宋体" w:hAnsi="宋体" w:eastAsia="宋体" w:cs="宋体"/>
          <w:i w:val="0"/>
          <w:color w:val="auto"/>
          <w:sz w:val="21"/>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，生产厂为</w:t>
      </w:r>
      <w:r>
        <w:rPr>
          <w:rFonts w:hint="eastAsia" w:ascii="宋体" w:hAnsi="宋体" w:eastAsia="宋体" w:cs="宋体"/>
          <w:i w:val="0"/>
          <w:color w:val="auto"/>
          <w:sz w:val="21"/>
          <w:szCs w:val="24"/>
          <w:highlight w:val="none"/>
          <w:u w:val="single"/>
          <w:shd w:val="clear" w:color="auto" w:fill="FFFFFF"/>
          <w:lang w:val="en-US" w:eastAsia="zh-CN" w:bidi="ar-SA"/>
        </w:rPr>
        <w:t>（厂名）</w:t>
      </w:r>
      <w:r>
        <w:rPr>
          <w:rFonts w:hint="eastAsia" w:ascii="宋体" w:hAnsi="宋体" w:eastAsia="宋体" w:cs="宋体"/>
          <w:color w:val="auto"/>
          <w:sz w:val="24"/>
          <w:szCs w:val="24"/>
          <w:highlight w:val="none"/>
          <w:shd w:val="clear" w:color="auto" w:fill="FFFFFF"/>
          <w:lang w:val="en-US" w:eastAsia="zh-CN" w:bidi="ar-SA"/>
        </w:rPr>
        <w:t>，厂址为</w:t>
      </w:r>
      <w:r>
        <w:rPr>
          <w:rFonts w:hint="eastAsia" w:ascii="宋体" w:hAnsi="宋体" w:eastAsia="宋体" w:cs="宋体"/>
          <w:i w:val="0"/>
          <w:color w:val="auto"/>
          <w:sz w:val="21"/>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1"/>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（规定比例）</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1"/>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1"/>
          <w:szCs w:val="24"/>
          <w:highlight w:val="none"/>
          <w:u w:val="single"/>
          <w:shd w:val="clear" w:color="auto" w:fill="FFFFFF"/>
          <w:lang w:val="en-US" w:eastAsia="zh-CN" w:bidi="ar-SA"/>
        </w:rPr>
        <w:t>（关键组件）</w:t>
      </w:r>
      <w:r>
        <w:rPr>
          <w:rFonts w:hint="eastAsia" w:ascii="宋体" w:hAnsi="宋体" w:eastAsia="宋体" w:cs="宋体"/>
          <w:color w:val="auto"/>
          <w:sz w:val="24"/>
          <w:szCs w:val="24"/>
          <w:highlight w:val="none"/>
          <w:shd w:val="clear" w:color="auto" w:fill="FFFFFF"/>
          <w:lang w:val="en-US" w:eastAsia="zh-CN" w:bidi="ar-SA"/>
        </w:rPr>
        <w:t>在中国境内生产。</w:t>
      </w:r>
      <w:r>
        <w:rPr>
          <w:rFonts w:hint="eastAsia" w:ascii="宋体" w:hAnsi="宋体" w:eastAsia="宋体" w:cs="宋体"/>
          <w:i w:val="0"/>
          <w:color w:val="auto"/>
          <w:sz w:val="21"/>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1"/>
          <w:szCs w:val="24"/>
          <w:highlight w:val="none"/>
          <w:u w:val="single"/>
          <w:shd w:val="clear" w:color="auto" w:fill="FFFFFF"/>
          <w:lang w:val="en-US" w:eastAsia="zh-CN" w:bidi="ar-SA"/>
        </w:rPr>
        <w:t>（关键工序）</w:t>
      </w:r>
      <w:r>
        <w:rPr>
          <w:rFonts w:hint="eastAsia" w:ascii="宋体" w:hAnsi="宋体" w:eastAsia="宋体" w:cs="宋体"/>
          <w:color w:val="auto"/>
          <w:sz w:val="24"/>
          <w:szCs w:val="24"/>
          <w:highlight w:val="none"/>
          <w:shd w:val="clear" w:color="auto" w:fill="FFFFFF"/>
          <w:lang w:val="en-US" w:eastAsia="zh-CN" w:bidi="ar-SA"/>
        </w:rPr>
        <w:t>在中国境内完成。</w:t>
      </w:r>
    </w:p>
    <w:p w14:paraId="190E22AB">
      <w:pPr>
        <w:widowControl w:val="0"/>
        <w:spacing w:before="30" w:beforeAutospacing="0" w:after="3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w:t>
      </w:r>
    </w:p>
    <w:p w14:paraId="18F39BB5">
      <w:pPr>
        <w:widowControl w:val="0"/>
        <w:spacing w:before="30" w:beforeAutospacing="0" w:after="3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522F53D4">
      <w:pPr>
        <w:widowControl w:val="0"/>
        <w:spacing w:before="30" w:beforeAutospacing="0" w:after="30" w:afterAutospacing="0" w:line="360" w:lineRule="auto"/>
        <w:jc w:val="left"/>
        <w:rPr>
          <w:rFonts w:hint="eastAsia" w:ascii="宋体" w:hAnsi="宋体" w:eastAsia="宋体" w:cs="宋体"/>
          <w:color w:val="auto"/>
          <w:sz w:val="24"/>
          <w:szCs w:val="24"/>
          <w:highlight w:val="none"/>
          <w:lang w:val="en-US" w:eastAsia="zh-CN" w:bidi="ar-SA"/>
        </w:rPr>
      </w:pPr>
    </w:p>
    <w:p w14:paraId="280B7F45">
      <w:pPr>
        <w:widowControl w:val="0"/>
        <w:spacing w:before="30" w:beforeAutospacing="0" w:after="30" w:afterAutospacing="0" w:line="360" w:lineRule="auto"/>
        <w:ind w:right="480"/>
        <w:jc w:val="lef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p>
    <w:p w14:paraId="13BEFAFA">
      <w:pPr>
        <w:widowControl w:val="0"/>
        <w:spacing w:before="30" w:beforeAutospacing="0" w:after="30" w:afterAutospacing="0" w:line="360" w:lineRule="auto"/>
        <w:ind w:right="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日期：　   年　  月　  日         </w:t>
      </w:r>
    </w:p>
    <w:p w14:paraId="00B3ADC4">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szCs w:val="24"/>
          <w:highlight w:val="none"/>
          <w:shd w:val="clear" w:color="auto" w:fill="FFFFFF"/>
          <w:lang w:val="en-US" w:eastAsia="zh-CN" w:bidi="ar-SA"/>
        </w:rPr>
      </w:pPr>
    </w:p>
    <w:p w14:paraId="07C7D9F8">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szCs w:val="24"/>
          <w:highlight w:val="none"/>
          <w:shd w:val="clear" w:color="auto" w:fill="FFFFFF"/>
          <w:lang w:val="en-US" w:eastAsia="zh-CN" w:bidi="ar-SA"/>
        </w:rPr>
      </w:pPr>
    </w:p>
    <w:p w14:paraId="5B38B8B9">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1.产品如有型号，请在“产品名称”栏一并填写。</w:t>
      </w:r>
    </w:p>
    <w:p w14:paraId="2A1392D7">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2.生产厂名与厂址应与生产厂营业执照载明的相关信息保持一致。</w:t>
      </w:r>
    </w:p>
    <w:p w14:paraId="728B7034">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3.该产品的中国境内生产的组件成本占比相关要求实施前，“规定比例”栏可不填，下同。</w:t>
      </w:r>
    </w:p>
    <w:p w14:paraId="7567CE8B">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4.该产品的关键组件要求实施前，“关键组件”栏可不填，下同。</w:t>
      </w:r>
    </w:p>
    <w:p w14:paraId="59F2D3F8">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5.该产品的关键工序要求实施前，“关键工序”栏可不填，下同。</w:t>
      </w:r>
    </w:p>
    <w:p w14:paraId="32F017F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6.用斜线划除的地方无需填写。</w:t>
      </w:r>
    </w:p>
    <w:p w14:paraId="473EF6BF">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7.请投标人如实填写，如填写有误，将承担一切不利后果。</w:t>
      </w:r>
    </w:p>
    <w:p w14:paraId="3554B9EF">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8.投标人提供虚假《声明函》、虚假证明文件谋取中标的，依照《中华人民共和国政府采购法》等法律法规规定追究相应责任。</w:t>
      </w:r>
    </w:p>
    <w:p w14:paraId="7BB3BC6D">
      <w:pPr>
        <w:rPr>
          <w:rFonts w:ascii="宋体" w:hAnsi="宋体" w:eastAsia="宋体" w:cs="宋体"/>
          <w:b/>
          <w:bCs/>
          <w:color w:val="auto"/>
          <w:sz w:val="31"/>
          <w:szCs w:val="31"/>
          <w:highlight w:val="none"/>
          <w:lang w:bidi="ar"/>
        </w:rPr>
      </w:pPr>
      <w:r>
        <w:rPr>
          <w:rFonts w:hint="eastAsia" w:ascii="宋体" w:hAnsi="宋体" w:eastAsia="宋体" w:cs="宋体"/>
          <w:color w:val="auto"/>
          <w:sz w:val="24"/>
          <w:szCs w:val="24"/>
          <w:highlight w:val="none"/>
          <w:shd w:val="clear" w:color="auto" w:fill="FFFFFF"/>
          <w:lang w:val="en-US" w:eastAsia="zh-CN" w:bidi="ar-SA"/>
        </w:rPr>
        <w:t>9.</w:t>
      </w:r>
      <w:r>
        <w:rPr>
          <w:rFonts w:hint="eastAsia" w:ascii="宋体" w:hAnsi="宋体" w:eastAsia="宋体" w:cs="宋体"/>
          <w:color w:val="auto"/>
          <w:sz w:val="24"/>
          <w:szCs w:val="24"/>
          <w:highlight w:val="none"/>
          <w:lang w:val="en-US" w:eastAsia="zh-CN" w:bidi="ar-SA"/>
        </w:rPr>
        <w:t>中标人的《声明函》或有关证明文件随中标结果公开，接受社会监督</w:t>
      </w:r>
    </w:p>
    <w:p w14:paraId="022691A9">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r>
    </w:p>
    <w:p w14:paraId="73AD896C">
      <w:pPr>
        <w:widowControl/>
        <w:spacing w:line="360" w:lineRule="auto"/>
        <w:jc w:val="center"/>
        <w:rPr>
          <w:rFonts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五、资格审查材料</w:t>
      </w:r>
    </w:p>
    <w:p w14:paraId="5315D76E">
      <w:pPr>
        <w:widowControl/>
        <w:spacing w:line="360" w:lineRule="auto"/>
        <w:ind w:firstLine="482"/>
        <w:rPr>
          <w:rFonts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一、满足《中华人民共和国政府采购法》第二十二条规定，提供下列材料：</w:t>
      </w:r>
      <w:r>
        <w:rPr>
          <w:rFonts w:hint="eastAsia" w:ascii="宋体" w:hAnsi="宋体" w:eastAsia="宋体" w:cs="宋体"/>
          <w:color w:val="auto"/>
          <w:sz w:val="24"/>
          <w:highlight w:val="none"/>
          <w:lang w:bidi="ar"/>
        </w:rPr>
        <w:t xml:space="preserve"> </w:t>
      </w:r>
    </w:p>
    <w:p w14:paraId="08E47298">
      <w:pPr>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（1）法人或者其他组织的营业执照等证明文件，自然人的身份证明；</w:t>
      </w:r>
    </w:p>
    <w:p w14:paraId="2ABBC10D">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（2）具有良好的商业信誉和健全的财务会计制度(按连财购【2023】4号文件要求，符合要求的提交《财务状况报告及税收、社会保障资金缴纳情况承诺函》，并上传至电子投标文件中，格式详见采购文件)；</w:t>
      </w:r>
    </w:p>
    <w:p w14:paraId="38816AAD">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（3）依法缴纳税收和社会保障资金的相关证明材料（按连财购【2023】4号文件要求，符合要求的提交《财务状况报告及税收、社会保障资金缴纳情况承诺函》，并上传至电子投标文件中，格式详见采购文件)；</w:t>
      </w:r>
    </w:p>
    <w:p w14:paraId="1133FBD4">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（4）具备履行合同所必需的设备和专业技术能力的证明材料；(见格式) </w:t>
      </w:r>
    </w:p>
    <w:p w14:paraId="05A42EE8">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（5）参加政府采购活动前三年内在经营活动中没有重大违法记录的书面声明；(见格式)</w:t>
      </w:r>
    </w:p>
    <w:p w14:paraId="37F182F6">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（6）本项目不接受联合体磋商，成交后不得转包或</w:t>
      </w:r>
      <w:r>
        <w:rPr>
          <w:rFonts w:hint="eastAsia" w:ascii="宋体" w:hAnsi="宋体" w:eastAsia="宋体" w:cs="宋体"/>
          <w:color w:val="auto"/>
          <w:sz w:val="24"/>
          <w:highlight w:val="none"/>
          <w:lang w:val="en-US" w:eastAsia="zh-CN" w:bidi="ar"/>
        </w:rPr>
        <w:t>违法</w:t>
      </w:r>
      <w:r>
        <w:rPr>
          <w:rFonts w:hint="eastAsia" w:ascii="宋体" w:hAnsi="宋体" w:eastAsia="宋体" w:cs="宋体"/>
          <w:color w:val="auto"/>
          <w:sz w:val="24"/>
          <w:highlight w:val="none"/>
          <w:lang w:bidi="ar"/>
        </w:rPr>
        <w:t>分包；（见格式）</w:t>
      </w:r>
    </w:p>
    <w:p w14:paraId="4E4F416D">
      <w:pPr>
        <w:spacing w:line="360" w:lineRule="auto"/>
        <w:ind w:firstLine="482"/>
        <w:rPr>
          <w:rFonts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二、落实政府采购政策需满足的资格要求</w:t>
      </w:r>
      <w:r>
        <w:rPr>
          <w:rFonts w:hint="eastAsia" w:ascii="宋体" w:hAnsi="宋体" w:eastAsia="宋体" w:cs="宋体"/>
          <w:color w:val="auto"/>
          <w:sz w:val="24"/>
          <w:highlight w:val="none"/>
          <w:lang w:bidi="ar"/>
        </w:rPr>
        <w:t>：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p>
    <w:p w14:paraId="33590E1C">
      <w:pPr>
        <w:spacing w:line="360" w:lineRule="auto"/>
        <w:ind w:firstLine="482"/>
        <w:rPr>
          <w:rFonts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三、本项目的特定资格要求</w:t>
      </w:r>
      <w:r>
        <w:rPr>
          <w:rFonts w:hint="eastAsia" w:ascii="宋体" w:hAnsi="宋体" w:eastAsia="宋体" w:cs="宋体"/>
          <w:color w:val="auto"/>
          <w:sz w:val="24"/>
          <w:highlight w:val="none"/>
          <w:lang w:bidi="ar"/>
        </w:rPr>
        <w:t>：</w:t>
      </w:r>
    </w:p>
    <w:p w14:paraId="371AB5B4">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磋商供应商须具备建设行政主管部门核发的钢结构工程专业承包二级及以上资质（在有效期内）；且具备有效的企业安全生产许可证（在有效期内）、企业基本户开户许可证或者企业基本存款账户信息证明。</w:t>
      </w:r>
    </w:p>
    <w:p w14:paraId="47BEE7EB">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（2）磋商供应商拟派项目负责人须具备建设行政主管部门颁发的建筑工程专业二级以上建造师注册证书（在有效期内），并具备安全生产考核合格证B类证（在有效期内）。</w:t>
      </w:r>
    </w:p>
    <w:p w14:paraId="211A59B2">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rPr>
        <w:t>本项目要求授权委托人必须为项目负责人，不接受项目负责人以外的人员作为委托人参与投标过程中各环节的活动。拟派项目负责人必须为投标单位的员工，提供劳动合同和202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月至今任意一个月由磋商供应商为其缴纳的社保证明（加盖社保中心章或社保中心参保缴费证明电子专用章）；如是退休人员仍在执业有效期内的，应提供相关退休证明及聘用合同。</w:t>
      </w:r>
    </w:p>
    <w:p w14:paraId="4CB8FC46">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（4）供应商无不良行为、无借牌挂靠行为、项目负责人无不良行为承诺书，供应商、法定代表人、项目负责人无行贿犯罪记录承诺书。（见供应商承诺书格式）</w:t>
      </w:r>
    </w:p>
    <w:p w14:paraId="2507538A">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5）本项目执行江苏省住房和城乡建设厅《关于开展建筑业企业资质动态监管工作的公告》（[2018]第6号）、连建发[2019]182号文，关于企业资质动态核查，由供应商在投标文件中作出书面承诺（格式自拟）,若投标有效期内企业资质核查不合格,将主动放弃中标资格。</w:t>
      </w:r>
    </w:p>
    <w:p w14:paraId="03395262">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6）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p>
    <w:p w14:paraId="6D3CAB33">
      <w:pPr>
        <w:spacing w:line="400" w:lineRule="exact"/>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（7）单位负责人为同一人或者存在直接控股、管理关系的不同供应商，不得参加同一合同项下的政府采购活动。</w:t>
      </w:r>
    </w:p>
    <w:p w14:paraId="381696FC">
      <w:pPr>
        <w:spacing w:line="400" w:lineRule="exact"/>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（8）若供应商的法定代表人参加磋商的，则需提供法定代表人资格证明及本人的身份证；若授权委托代理人参加磋商的，则提供企业法人委托书、授权委托人身份证复印件及被授权人身份证。</w:t>
      </w:r>
    </w:p>
    <w:p w14:paraId="02287707">
      <w:pPr>
        <w:spacing w:line="360" w:lineRule="auto"/>
        <w:rPr>
          <w:rFonts w:ascii="宋体" w:hAnsi="宋体" w:eastAsia="宋体" w:cs="宋体"/>
          <w:color w:val="auto"/>
          <w:sz w:val="24"/>
          <w:highlight w:val="none"/>
          <w:lang w:bidi="ar"/>
        </w:rPr>
      </w:pPr>
    </w:p>
    <w:p w14:paraId="5C1AD42B">
      <w:pPr>
        <w:spacing w:line="360" w:lineRule="auto"/>
        <w:ind w:firstLine="360"/>
        <w:rPr>
          <w:rFonts w:ascii="宋体" w:hAnsi="宋体" w:eastAsia="宋体" w:cs="宋体"/>
          <w:color w:val="auto"/>
          <w:sz w:val="24"/>
          <w:highlight w:val="none"/>
          <w:lang w:bidi="ar"/>
        </w:rPr>
      </w:pPr>
    </w:p>
    <w:p w14:paraId="3A478132">
      <w:pPr>
        <w:pStyle w:val="205"/>
        <w:ind w:firstLine="360"/>
        <w:rPr>
          <w:rFonts w:hAnsi="宋体" w:cs="宋体"/>
          <w:color w:val="auto"/>
          <w:szCs w:val="24"/>
          <w:highlight w:val="none"/>
        </w:rPr>
      </w:pPr>
    </w:p>
    <w:p w14:paraId="31E6B5FA">
      <w:pPr>
        <w:pStyle w:val="205"/>
        <w:ind w:firstLine="480"/>
        <w:rPr>
          <w:rFonts w:hAnsi="宋体" w:cs="宋体"/>
          <w:color w:val="auto"/>
          <w:highlight w:val="none"/>
        </w:rPr>
      </w:pPr>
    </w:p>
    <w:p w14:paraId="2A509723">
      <w:pPr>
        <w:pStyle w:val="205"/>
        <w:ind w:firstLine="480"/>
        <w:rPr>
          <w:rFonts w:hAnsi="宋体" w:cs="宋体"/>
          <w:color w:val="auto"/>
          <w:highlight w:val="none"/>
        </w:rPr>
      </w:pPr>
    </w:p>
    <w:p w14:paraId="35663992">
      <w:pPr>
        <w:widowControl/>
        <w:spacing w:line="360" w:lineRule="auto"/>
        <w:ind w:firstLine="602"/>
        <w:rPr>
          <w:rFonts w:ascii="宋体" w:hAnsi="宋体" w:eastAsia="宋体" w:cs="宋体"/>
          <w:b/>
          <w:bCs/>
          <w:color w:val="auto"/>
          <w:sz w:val="30"/>
          <w:szCs w:val="30"/>
          <w:highlight w:val="none"/>
          <w:lang w:bidi="ar"/>
        </w:rPr>
      </w:pPr>
    </w:p>
    <w:p w14:paraId="6BA1B6EA">
      <w:pPr>
        <w:widowControl/>
        <w:spacing w:line="360" w:lineRule="auto"/>
        <w:ind w:firstLine="602"/>
        <w:jc w:val="center"/>
        <w:rPr>
          <w:rFonts w:ascii="宋体" w:hAnsi="宋体" w:eastAsia="宋体" w:cs="宋体"/>
          <w:b/>
          <w:bCs/>
          <w:color w:val="auto"/>
          <w:sz w:val="30"/>
          <w:szCs w:val="30"/>
          <w:highlight w:val="none"/>
          <w:lang w:bidi="ar"/>
        </w:rPr>
      </w:pPr>
    </w:p>
    <w:p w14:paraId="3EDD13E2">
      <w:pPr>
        <w:widowControl/>
        <w:spacing w:line="360" w:lineRule="auto"/>
        <w:ind w:firstLine="602"/>
        <w:jc w:val="center"/>
        <w:rPr>
          <w:rFonts w:ascii="宋体" w:hAnsi="宋体" w:eastAsia="宋体" w:cs="宋体"/>
          <w:b/>
          <w:bCs/>
          <w:color w:val="auto"/>
          <w:sz w:val="30"/>
          <w:szCs w:val="30"/>
          <w:highlight w:val="none"/>
          <w:lang w:bidi="ar"/>
        </w:rPr>
      </w:pPr>
    </w:p>
    <w:p w14:paraId="3E706DF2">
      <w:pPr>
        <w:widowControl/>
        <w:spacing w:line="360" w:lineRule="auto"/>
        <w:ind w:firstLine="602"/>
        <w:jc w:val="center"/>
        <w:rPr>
          <w:rFonts w:ascii="宋体" w:hAnsi="宋体" w:eastAsia="宋体" w:cs="宋体"/>
          <w:b/>
          <w:bCs/>
          <w:color w:val="auto"/>
          <w:sz w:val="30"/>
          <w:szCs w:val="30"/>
          <w:highlight w:val="none"/>
          <w:lang w:bidi="ar"/>
        </w:rPr>
      </w:pPr>
    </w:p>
    <w:p w14:paraId="02D035D4">
      <w:pPr>
        <w:widowControl/>
        <w:spacing w:line="360" w:lineRule="auto"/>
        <w:ind w:firstLine="602"/>
        <w:jc w:val="center"/>
        <w:rPr>
          <w:rFonts w:ascii="宋体" w:hAnsi="宋体" w:eastAsia="宋体" w:cs="宋体"/>
          <w:b/>
          <w:bCs/>
          <w:color w:val="auto"/>
          <w:sz w:val="30"/>
          <w:szCs w:val="30"/>
          <w:highlight w:val="none"/>
          <w:lang w:bidi="ar"/>
        </w:rPr>
      </w:pPr>
    </w:p>
    <w:p w14:paraId="2812C7DC">
      <w:pPr>
        <w:widowControl/>
        <w:spacing w:line="360" w:lineRule="auto"/>
        <w:ind w:firstLine="602"/>
        <w:jc w:val="center"/>
        <w:rPr>
          <w:rFonts w:ascii="宋体" w:hAnsi="宋体" w:eastAsia="宋体" w:cs="宋体"/>
          <w:b/>
          <w:bCs/>
          <w:color w:val="auto"/>
          <w:sz w:val="30"/>
          <w:szCs w:val="30"/>
          <w:highlight w:val="none"/>
          <w:lang w:bidi="ar"/>
        </w:rPr>
      </w:pPr>
    </w:p>
    <w:p w14:paraId="11FB58C2">
      <w:pPr>
        <w:widowControl/>
        <w:spacing w:line="360" w:lineRule="auto"/>
        <w:ind w:firstLine="602"/>
        <w:jc w:val="center"/>
        <w:rPr>
          <w:rFonts w:ascii="宋体" w:hAnsi="宋体" w:eastAsia="宋体" w:cs="宋体"/>
          <w:b/>
          <w:bCs/>
          <w:color w:val="auto"/>
          <w:sz w:val="30"/>
          <w:szCs w:val="30"/>
          <w:highlight w:val="none"/>
          <w:lang w:bidi="ar"/>
        </w:rPr>
      </w:pPr>
    </w:p>
    <w:p w14:paraId="5CA65BA1">
      <w:pPr>
        <w:widowControl/>
        <w:spacing w:line="360" w:lineRule="auto"/>
        <w:ind w:firstLine="602"/>
        <w:jc w:val="center"/>
        <w:rPr>
          <w:rFonts w:ascii="宋体" w:hAnsi="宋体" w:eastAsia="宋体" w:cs="宋体"/>
          <w:b/>
          <w:bCs/>
          <w:color w:val="auto"/>
          <w:sz w:val="30"/>
          <w:szCs w:val="30"/>
          <w:highlight w:val="none"/>
          <w:lang w:bidi="ar"/>
        </w:rPr>
      </w:pPr>
    </w:p>
    <w:p w14:paraId="67090A58">
      <w:pPr>
        <w:widowControl/>
        <w:spacing w:line="360" w:lineRule="auto"/>
        <w:ind w:firstLine="602"/>
        <w:jc w:val="center"/>
        <w:rPr>
          <w:rFonts w:ascii="宋体" w:hAnsi="宋体" w:eastAsia="宋体" w:cs="宋体"/>
          <w:b/>
          <w:bCs/>
          <w:color w:val="auto"/>
          <w:sz w:val="30"/>
          <w:szCs w:val="30"/>
          <w:highlight w:val="none"/>
          <w:lang w:bidi="ar"/>
        </w:rPr>
      </w:pPr>
    </w:p>
    <w:p w14:paraId="3422D5EE">
      <w:pPr>
        <w:widowControl/>
        <w:spacing w:line="360" w:lineRule="auto"/>
        <w:ind w:firstLine="622"/>
        <w:jc w:val="center"/>
        <w:rPr>
          <w:rFonts w:ascii="宋体" w:hAnsi="宋体" w:eastAsia="宋体" w:cs="宋体"/>
          <w:b/>
          <w:color w:val="auto"/>
          <w:sz w:val="31"/>
          <w:szCs w:val="31"/>
          <w:highlight w:val="none"/>
          <w:lang w:bidi="ar"/>
        </w:rPr>
      </w:pPr>
    </w:p>
    <w:p w14:paraId="12F16FA4">
      <w:pPr>
        <w:widowControl/>
        <w:spacing w:line="360" w:lineRule="auto"/>
        <w:ind w:firstLine="622"/>
        <w:jc w:val="center"/>
        <w:rPr>
          <w:rFonts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5.1财务状况报告及税收、社会保障资金</w:t>
      </w:r>
    </w:p>
    <w:p w14:paraId="232AD288">
      <w:pPr>
        <w:widowControl/>
        <w:spacing w:line="360" w:lineRule="auto"/>
        <w:ind w:firstLine="622"/>
        <w:jc w:val="center"/>
        <w:rPr>
          <w:rFonts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缴纳情况承诺函</w:t>
      </w:r>
    </w:p>
    <w:p w14:paraId="2F49E42E">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采购人名称    </w:t>
      </w:r>
    </w:p>
    <w:p w14:paraId="2430B844">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项目编号</w:t>
      </w:r>
      <w:r>
        <w:rPr>
          <w:rFonts w:hint="eastAsia" w:ascii="宋体" w:hAnsi="宋体" w:eastAsia="宋体" w:cs="宋体"/>
          <w:color w:val="auto"/>
          <w:sz w:val="24"/>
          <w:highlight w:val="none"/>
        </w:rPr>
        <w:t>）采购，根据《</w:t>
      </w:r>
      <w:r>
        <w:rPr>
          <w:rStyle w:val="42"/>
          <w:rFonts w:hint="eastAsia" w:ascii="宋体" w:hAnsi="宋体" w:eastAsia="宋体" w:cs="宋体"/>
          <w:b w:val="0"/>
          <w:color w:val="auto"/>
          <w:sz w:val="24"/>
          <w:highlight w:val="none"/>
        </w:rPr>
        <w:t>关于简化政府采购供应商资格审查有关事项的通知</w:t>
      </w:r>
      <w:r>
        <w:rPr>
          <w:rFonts w:hint="eastAsia" w:ascii="宋体" w:hAnsi="宋体" w:eastAsia="宋体" w:cs="宋体"/>
          <w:color w:val="auto"/>
          <w:sz w:val="24"/>
          <w:highlight w:val="none"/>
        </w:rPr>
        <w:t>》（连财购〔2023〕4号），我方承诺具备《中华人民共和国政府采购法》第二十二条第（二）、第（四）项，《中华人民共和国政府采购法实施条例》第十七条第（二）项规定条件的，具体包括：</w:t>
      </w:r>
    </w:p>
    <w:p w14:paraId="3883B7A5">
      <w:pPr>
        <w:spacing w:line="360" w:lineRule="auto"/>
        <w:ind w:left="360" w:firstLine="240"/>
        <w:rPr>
          <w:rFonts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5A5C49D3">
      <w:pPr>
        <w:spacing w:line="360" w:lineRule="auto"/>
        <w:ind w:left="360" w:firstLine="240"/>
        <w:rPr>
          <w:rFonts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51646D67">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285E580F">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特此承诺</w:t>
      </w:r>
    </w:p>
    <w:p w14:paraId="71A13195">
      <w:pPr>
        <w:spacing w:line="360" w:lineRule="auto"/>
        <w:ind w:left="360" w:firstLine="405"/>
        <w:rPr>
          <w:rFonts w:ascii="宋体" w:hAnsi="宋体" w:eastAsia="宋体" w:cs="宋体"/>
          <w:color w:val="auto"/>
          <w:sz w:val="24"/>
          <w:highlight w:val="none"/>
        </w:rPr>
      </w:pPr>
    </w:p>
    <w:p w14:paraId="06351CE1">
      <w:pPr>
        <w:spacing w:line="360" w:lineRule="auto"/>
        <w:ind w:left="360" w:firstLine="405"/>
        <w:rPr>
          <w:rFonts w:ascii="宋体" w:hAnsi="宋体" w:eastAsia="宋体" w:cs="宋体"/>
          <w:color w:val="auto"/>
          <w:sz w:val="24"/>
          <w:highlight w:val="none"/>
        </w:rPr>
      </w:pPr>
    </w:p>
    <w:p w14:paraId="17D37529">
      <w:pPr>
        <w:spacing w:line="360" w:lineRule="auto"/>
        <w:ind w:left="360" w:firstLine="405"/>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p>
    <w:p w14:paraId="39C6EEB8">
      <w:pPr>
        <w:spacing w:line="360" w:lineRule="auto"/>
        <w:ind w:left="360" w:firstLine="405"/>
        <w:rPr>
          <w:rFonts w:ascii="宋体" w:hAnsi="宋体" w:eastAsia="宋体" w:cs="宋体"/>
          <w:color w:val="auto"/>
          <w:sz w:val="24"/>
          <w:highlight w:val="none"/>
        </w:rPr>
      </w:pPr>
    </w:p>
    <w:p w14:paraId="31FC79E2">
      <w:pPr>
        <w:spacing w:line="360" w:lineRule="auto"/>
        <w:ind w:left="360" w:firstLine="405"/>
        <w:rPr>
          <w:rFonts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法定代表人或其委托代理人（签名或签章）：</w:t>
      </w:r>
    </w:p>
    <w:p w14:paraId="793957BD">
      <w:pPr>
        <w:spacing w:line="360" w:lineRule="auto"/>
        <w:ind w:left="360" w:firstLine="405"/>
        <w:rPr>
          <w:rFonts w:ascii="宋体" w:hAnsi="宋体" w:eastAsia="宋体" w:cs="宋体"/>
          <w:color w:val="auto"/>
          <w:sz w:val="24"/>
          <w:highlight w:val="none"/>
        </w:rPr>
      </w:pPr>
    </w:p>
    <w:p w14:paraId="7D239B40">
      <w:pPr>
        <w:spacing w:line="360" w:lineRule="auto"/>
        <w:ind w:left="360" w:firstLine="405"/>
        <w:rPr>
          <w:rFonts w:ascii="宋体" w:hAnsi="宋体" w:eastAsia="宋体" w:cs="宋体"/>
          <w:color w:val="auto"/>
          <w:sz w:val="24"/>
          <w:highlight w:val="none"/>
        </w:rPr>
      </w:pPr>
      <w:r>
        <w:rPr>
          <w:rFonts w:hint="eastAsia" w:ascii="宋体" w:hAnsi="宋体" w:eastAsia="宋体" w:cs="宋体"/>
          <w:color w:val="auto"/>
          <w:sz w:val="24"/>
          <w:highlight w:val="none"/>
        </w:rPr>
        <w:t>日期：</w:t>
      </w:r>
    </w:p>
    <w:p w14:paraId="2F908164">
      <w:pPr>
        <w:widowControl/>
        <w:spacing w:line="360" w:lineRule="auto"/>
        <w:jc w:val="left"/>
        <w:rPr>
          <w:rFonts w:ascii="宋体" w:hAnsi="宋体" w:eastAsia="宋体" w:cs="宋体"/>
          <w:color w:val="auto"/>
          <w:sz w:val="24"/>
          <w:szCs w:val="22"/>
          <w:highlight w:val="none"/>
        </w:rPr>
      </w:pPr>
    </w:p>
    <w:p w14:paraId="4AB77971">
      <w:pPr>
        <w:pStyle w:val="57"/>
        <w:rPr>
          <w:rFonts w:ascii="宋体" w:hAnsi="宋体"/>
          <w:color w:val="auto"/>
          <w:sz w:val="24"/>
          <w:szCs w:val="22"/>
          <w:highlight w:val="none"/>
        </w:rPr>
      </w:pPr>
    </w:p>
    <w:p w14:paraId="6140470D">
      <w:pPr>
        <w:rPr>
          <w:rFonts w:ascii="宋体" w:hAnsi="宋体" w:eastAsia="宋体" w:cs="宋体"/>
          <w:color w:val="auto"/>
          <w:sz w:val="24"/>
          <w:szCs w:val="22"/>
          <w:highlight w:val="none"/>
        </w:rPr>
      </w:pPr>
    </w:p>
    <w:p w14:paraId="34BB1F74">
      <w:pPr>
        <w:pStyle w:val="57"/>
        <w:rPr>
          <w:rFonts w:ascii="宋体" w:hAnsi="宋体"/>
          <w:color w:val="auto"/>
          <w:highlight w:val="none"/>
        </w:rPr>
      </w:pPr>
    </w:p>
    <w:p w14:paraId="661F1608">
      <w:pPr>
        <w:rPr>
          <w:rFonts w:ascii="宋体" w:hAnsi="宋体" w:eastAsia="宋体" w:cs="宋体"/>
          <w:b/>
          <w:color w:val="auto"/>
          <w:sz w:val="31"/>
          <w:szCs w:val="31"/>
          <w:highlight w:val="none"/>
          <w:lang w:bidi="ar"/>
        </w:rPr>
      </w:pPr>
    </w:p>
    <w:p w14:paraId="094F3DFD">
      <w:pPr>
        <w:rPr>
          <w:rFonts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br w:type="page" w:clear="all"/>
      </w:r>
    </w:p>
    <w:p w14:paraId="790A1164">
      <w:pPr>
        <w:widowControl/>
        <w:spacing w:line="360" w:lineRule="auto"/>
        <w:ind w:firstLine="622"/>
        <w:jc w:val="left"/>
        <w:rPr>
          <w:rFonts w:ascii="宋体" w:hAnsi="宋体" w:eastAsia="宋体" w:cs="宋体"/>
          <w:b/>
          <w:color w:val="auto"/>
          <w:highlight w:val="none"/>
        </w:rPr>
      </w:pPr>
      <w:r>
        <w:rPr>
          <w:rFonts w:hint="eastAsia" w:ascii="宋体" w:hAnsi="宋体" w:eastAsia="宋体" w:cs="宋体"/>
          <w:b/>
          <w:color w:val="auto"/>
          <w:sz w:val="31"/>
          <w:szCs w:val="31"/>
          <w:highlight w:val="none"/>
          <w:lang w:bidi="ar"/>
        </w:rPr>
        <w:t xml:space="preserve">5.2具备履行合同所必需的设备和专业技术能力的声明(格式) </w:t>
      </w:r>
    </w:p>
    <w:p w14:paraId="2966DA5B">
      <w:pPr>
        <w:widowControl/>
        <w:spacing w:line="360" w:lineRule="auto"/>
        <w:ind w:firstLine="480"/>
        <w:jc w:val="left"/>
        <w:rPr>
          <w:rFonts w:ascii="宋体" w:hAnsi="宋体" w:eastAsia="宋体" w:cs="宋体"/>
          <w:color w:val="auto"/>
          <w:sz w:val="24"/>
          <w:highlight w:val="none"/>
          <w:u w:val="single"/>
          <w:lang w:bidi="ar"/>
        </w:rPr>
      </w:pPr>
    </w:p>
    <w:p w14:paraId="779CA854">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u w:val="single"/>
          <w:lang w:bidi="ar"/>
        </w:rPr>
        <w:t xml:space="preserve">      (供应商名称)            </w:t>
      </w:r>
      <w:r>
        <w:rPr>
          <w:rFonts w:hint="eastAsia" w:ascii="宋体" w:hAnsi="宋体" w:eastAsia="宋体" w:cs="宋体"/>
          <w:color w:val="auto"/>
          <w:sz w:val="24"/>
          <w:highlight w:val="none"/>
          <w:lang w:bidi="ar"/>
        </w:rPr>
        <w:t xml:space="preserve">郑重声明：我单位具备履行本项采购合同所必需的设备和专业技术能力，为履行本项采购合同我单位具备如下主要设备和主要专业技术能力： </w:t>
      </w:r>
    </w:p>
    <w:p w14:paraId="36E322B7">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主要设备有：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73A0F0A8">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主要专业技术能力有：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p>
    <w:p w14:paraId="73E6B7C2">
      <w:pPr>
        <w:widowControl/>
        <w:spacing w:line="360" w:lineRule="auto"/>
        <w:ind w:firstLine="480"/>
        <w:jc w:val="left"/>
        <w:rPr>
          <w:rFonts w:ascii="宋体" w:hAnsi="宋体" w:eastAsia="宋体" w:cs="宋体"/>
          <w:color w:val="auto"/>
          <w:sz w:val="24"/>
          <w:highlight w:val="none"/>
          <w:lang w:bidi="ar"/>
        </w:rPr>
      </w:pPr>
    </w:p>
    <w:p w14:paraId="1FA6B4B5">
      <w:pPr>
        <w:widowControl/>
        <w:spacing w:line="360" w:lineRule="auto"/>
        <w:ind w:firstLine="480"/>
        <w:jc w:val="left"/>
        <w:rPr>
          <w:rFonts w:ascii="宋体" w:hAnsi="宋体" w:eastAsia="宋体" w:cs="宋体"/>
          <w:color w:val="auto"/>
          <w:sz w:val="24"/>
          <w:highlight w:val="none"/>
          <w:lang w:bidi="ar"/>
        </w:rPr>
      </w:pPr>
    </w:p>
    <w:p w14:paraId="468B85D9">
      <w:pPr>
        <w:widowControl/>
        <w:spacing w:line="360" w:lineRule="auto"/>
        <w:ind w:firstLine="480"/>
        <w:jc w:val="left"/>
        <w:rPr>
          <w:rFonts w:ascii="宋体" w:hAnsi="宋体" w:eastAsia="宋体" w:cs="宋体"/>
          <w:color w:val="auto"/>
          <w:sz w:val="24"/>
          <w:highlight w:val="none"/>
          <w:lang w:bidi="ar"/>
        </w:rPr>
      </w:pPr>
    </w:p>
    <w:p w14:paraId="73021DA6">
      <w:pPr>
        <w:widowControl/>
        <w:spacing w:line="360" w:lineRule="auto"/>
        <w:ind w:firstLine="480"/>
        <w:jc w:val="left"/>
        <w:rPr>
          <w:rFonts w:ascii="宋体" w:hAnsi="宋体" w:eastAsia="宋体" w:cs="宋体"/>
          <w:color w:val="auto"/>
          <w:highlight w:val="none"/>
          <w:u w:val="single"/>
        </w:rPr>
      </w:pPr>
      <w:r>
        <w:rPr>
          <w:rFonts w:hint="eastAsia" w:ascii="宋体" w:hAnsi="宋体" w:eastAsia="宋体" w:cs="宋体"/>
          <w:color w:val="auto"/>
          <w:sz w:val="24"/>
          <w:highlight w:val="none"/>
          <w:lang w:bidi="ar"/>
        </w:rPr>
        <w:t>声明人(公章)：</w:t>
      </w:r>
      <w:r>
        <w:rPr>
          <w:rFonts w:hint="eastAsia" w:ascii="宋体" w:hAnsi="宋体" w:eastAsia="宋体" w:cs="宋体"/>
          <w:color w:val="auto"/>
          <w:sz w:val="24"/>
          <w:highlight w:val="none"/>
          <w:u w:val="single"/>
          <w:lang w:bidi="ar"/>
        </w:rPr>
        <w:t xml:space="preserve">                           </w:t>
      </w:r>
    </w:p>
    <w:p w14:paraId="09F6E603">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39DAF04F">
      <w:pPr>
        <w:pStyle w:val="205"/>
        <w:ind w:firstLine="480"/>
        <w:rPr>
          <w:rFonts w:hAnsi="宋体" w:cs="宋体"/>
          <w:color w:val="auto"/>
          <w:highlight w:val="none"/>
        </w:rPr>
      </w:pPr>
    </w:p>
    <w:p w14:paraId="7C98D272">
      <w:pPr>
        <w:widowControl/>
        <w:spacing w:line="360" w:lineRule="auto"/>
        <w:jc w:val="left"/>
        <w:rPr>
          <w:rFonts w:ascii="宋体" w:hAnsi="宋体" w:eastAsia="宋体" w:cs="宋体"/>
          <w:color w:val="auto"/>
          <w:highlight w:val="none"/>
        </w:rPr>
      </w:pPr>
      <w:r>
        <w:rPr>
          <w:rFonts w:hint="eastAsia" w:ascii="宋体" w:hAnsi="宋体" w:eastAsia="宋体" w:cs="宋体"/>
          <w:color w:val="auto"/>
          <w:highlight w:val="none"/>
        </w:rPr>
        <w:br w:type="page" w:clear="all"/>
      </w:r>
    </w:p>
    <w:p w14:paraId="5CEA5503">
      <w:pPr>
        <w:widowControl/>
        <w:spacing w:line="360" w:lineRule="auto"/>
        <w:ind w:firstLine="602"/>
        <w:jc w:val="center"/>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5.3参加政府采购活动前三年内在经营活动中没有重大违法记录的书面声明(格式) </w:t>
      </w:r>
    </w:p>
    <w:p w14:paraId="338D9E67">
      <w:pPr>
        <w:widowControl/>
        <w:spacing w:line="360" w:lineRule="auto"/>
        <w:ind w:firstLine="4096"/>
        <w:jc w:val="left"/>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声 明 </w:t>
      </w:r>
    </w:p>
    <w:p w14:paraId="0EA3272E">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p>
    <w:p w14:paraId="7160D539">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6CE234DA">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1347F29E">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504BEA82">
      <w:pPr>
        <w:widowControl/>
        <w:spacing w:line="360" w:lineRule="auto"/>
        <w:jc w:val="left"/>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p>
    <w:p w14:paraId="73D57298">
      <w:pPr>
        <w:widowControl/>
        <w:spacing w:line="360" w:lineRule="auto"/>
        <w:ind w:firstLine="602"/>
        <w:jc w:val="center"/>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5.4供应商承诺书(格式)</w:t>
      </w:r>
    </w:p>
    <w:p w14:paraId="539056E1">
      <w:pPr>
        <w:widowControl/>
        <w:spacing w:line="460" w:lineRule="exact"/>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致： </w:t>
      </w:r>
      <w:r>
        <w:rPr>
          <w:rFonts w:hint="eastAsia" w:ascii="宋体" w:hAnsi="宋体" w:eastAsia="宋体" w:cs="宋体"/>
          <w:color w:val="auto"/>
          <w:sz w:val="24"/>
          <w:highlight w:val="none"/>
          <w:u w:val="single"/>
          <w:lang w:bidi="ar"/>
        </w:rPr>
        <w:t xml:space="preserve">连云港市海州区锦屏镇人民政府   </w:t>
      </w:r>
    </w:p>
    <w:p w14:paraId="3EBF9C5F">
      <w:pPr>
        <w:widowControl/>
        <w:spacing w:line="46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工程项目的磋商，我单位郑重承诺： </w:t>
      </w:r>
    </w:p>
    <w:p w14:paraId="451C8484">
      <w:pPr>
        <w:spacing w:line="46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1、所报项目负责人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同志及本单位近</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年以来无建筑市场不良行为；</w:t>
      </w:r>
    </w:p>
    <w:p w14:paraId="080EFECF">
      <w:pPr>
        <w:spacing w:line="46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2、所报项目负责人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同志中标后不影响办理工程建设手续且能在岗履职； </w:t>
      </w:r>
    </w:p>
    <w:p w14:paraId="4D085348">
      <w:pPr>
        <w:spacing w:line="46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3、所报项目负责人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同志和法定代表人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同志近</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年以来及本单位近</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年以来无行贿犯罪记录；</w:t>
      </w:r>
    </w:p>
    <w:p w14:paraId="2865BA2C">
      <w:pPr>
        <w:spacing w:line="46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4、我单位不存在借牌挂靠行为，不出借挂靠资质。</w:t>
      </w:r>
    </w:p>
    <w:p w14:paraId="598906D1">
      <w:pPr>
        <w:spacing w:line="46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5、我单位保证投标时（包括投标有效期内）非建筑业企业资质动态监管不合格企业，否则我单位将主动放弃中标资格；其余执行连建发【2019】182 号文、江苏省住房和城乡建设厅公告【2018】6 号文等文件规定。</w:t>
      </w:r>
    </w:p>
    <w:p w14:paraId="1C341AAA">
      <w:pPr>
        <w:spacing w:line="46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6.我单位在本项目上不是以联合体身份参加竞争性磋商。</w:t>
      </w:r>
    </w:p>
    <w:p w14:paraId="7669DB19">
      <w:pPr>
        <w:spacing w:line="46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7、本项目我单位中标后不转包或</w:t>
      </w:r>
      <w:r>
        <w:rPr>
          <w:rFonts w:hint="eastAsia" w:ascii="宋体" w:hAnsi="宋体" w:eastAsia="宋体" w:cs="宋体"/>
          <w:color w:val="auto"/>
          <w:sz w:val="24"/>
          <w:highlight w:val="none"/>
          <w:lang w:val="en-US" w:eastAsia="zh-CN"/>
        </w:rPr>
        <w:t>违法</w:t>
      </w:r>
      <w:r>
        <w:rPr>
          <w:rFonts w:hint="eastAsia" w:ascii="宋体" w:hAnsi="宋体" w:eastAsia="宋体" w:cs="宋体"/>
          <w:color w:val="auto"/>
          <w:sz w:val="24"/>
          <w:highlight w:val="none"/>
        </w:rPr>
        <w:t>分包；</w:t>
      </w:r>
    </w:p>
    <w:p w14:paraId="2F73DE69">
      <w:pPr>
        <w:spacing w:line="46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8、未在“信用中国”和“中国政府采购网”被列为失信被执行人。</w:t>
      </w:r>
    </w:p>
    <w:p w14:paraId="447FB936">
      <w:pPr>
        <w:spacing w:line="46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9、磋商全过程（含异议、投诉环节）出示的证明文件资料均是真实、有效的。</w:t>
      </w:r>
    </w:p>
    <w:p w14:paraId="7D55CFB5">
      <w:pPr>
        <w:spacing w:line="46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p>
    <w:p w14:paraId="30AA9988">
      <w:pPr>
        <w:widowControl/>
        <w:spacing w:line="46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综上，</w:t>
      </w:r>
      <w:r>
        <w:rPr>
          <w:rFonts w:hint="eastAsia" w:ascii="宋体" w:hAnsi="宋体" w:eastAsia="宋体" w:cs="宋体"/>
          <w:color w:val="auto"/>
          <w:sz w:val="24"/>
          <w:highlight w:val="none"/>
          <w:lang w:bidi="ar"/>
        </w:rPr>
        <w:t>我单位承诺如有虚假，愿意无条件接受被取消磋商或成交资格、磋商保证金不予退还、履约保证金不予退还、合同解除及清除出场，一切损失由我单位自行承担，同时愿意接受相关处罚，特此承诺！</w:t>
      </w:r>
    </w:p>
    <w:p w14:paraId="2E6ABB28">
      <w:pPr>
        <w:widowControl/>
        <w:spacing w:line="46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(盖章) </w:t>
      </w:r>
    </w:p>
    <w:p w14:paraId="0E379961">
      <w:pPr>
        <w:widowControl/>
        <w:spacing w:line="46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法定代表人：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(签字或盖章) </w:t>
      </w:r>
    </w:p>
    <w:p w14:paraId="00D57E51">
      <w:pPr>
        <w:widowControl/>
        <w:spacing w:line="46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项目负责人：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 </w:t>
      </w:r>
    </w:p>
    <w:p w14:paraId="26E108F6">
      <w:pPr>
        <w:widowControl/>
        <w:spacing w:line="460" w:lineRule="exact"/>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项目负责人证书编号：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07B221BB">
      <w:pPr>
        <w:widowControl/>
        <w:spacing w:line="460" w:lineRule="exact"/>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64D38D2C">
      <w:pPr>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br w:type="page" w:clear="all"/>
      </w:r>
    </w:p>
    <w:p w14:paraId="2EF992E7">
      <w:pPr>
        <w:widowControl/>
        <w:spacing w:line="360" w:lineRule="auto"/>
        <w:ind w:firstLine="602"/>
        <w:jc w:val="center"/>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5.5本项目中标后不允许转包或</w:t>
      </w:r>
      <w:r>
        <w:rPr>
          <w:rFonts w:hint="eastAsia" w:ascii="宋体" w:hAnsi="宋体" w:eastAsia="宋体" w:cs="宋体"/>
          <w:b/>
          <w:bCs/>
          <w:color w:val="auto"/>
          <w:sz w:val="30"/>
          <w:szCs w:val="30"/>
          <w:highlight w:val="none"/>
          <w:lang w:val="en-US" w:eastAsia="zh-CN" w:bidi="ar"/>
        </w:rPr>
        <w:t>违法</w:t>
      </w:r>
      <w:r>
        <w:rPr>
          <w:rFonts w:hint="eastAsia" w:ascii="宋体" w:hAnsi="宋体" w:eastAsia="宋体" w:cs="宋体"/>
          <w:b/>
          <w:bCs/>
          <w:color w:val="auto"/>
          <w:sz w:val="30"/>
          <w:szCs w:val="30"/>
          <w:highlight w:val="none"/>
          <w:lang w:bidi="ar"/>
        </w:rPr>
        <w:t>分包承诺书（格式）</w:t>
      </w:r>
    </w:p>
    <w:p w14:paraId="125E4C7E">
      <w:pPr>
        <w:spacing w:line="360" w:lineRule="auto"/>
        <w:rPr>
          <w:rFonts w:ascii="宋体" w:hAnsi="宋体" w:eastAsia="宋体" w:cs="宋体"/>
          <w:color w:val="auto"/>
          <w:sz w:val="28"/>
          <w:szCs w:val="28"/>
          <w:highlight w:val="none"/>
          <w:lang w:bidi="ar"/>
        </w:rPr>
      </w:pPr>
    </w:p>
    <w:p w14:paraId="2D5DB08E">
      <w:pPr>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致：</w:t>
      </w:r>
      <w:r>
        <w:rPr>
          <w:rFonts w:hint="eastAsia" w:ascii="宋体" w:hAnsi="宋体" w:eastAsia="宋体" w:cs="宋体"/>
          <w:color w:val="auto"/>
          <w:sz w:val="28"/>
          <w:szCs w:val="28"/>
          <w:highlight w:val="none"/>
          <w:u w:val="single"/>
          <w:lang w:bidi="ar"/>
        </w:rPr>
        <w:t xml:space="preserve">                </w:t>
      </w:r>
      <w:r>
        <w:rPr>
          <w:rFonts w:hint="eastAsia" w:ascii="宋体" w:hAnsi="宋体" w:eastAsia="宋体" w:cs="宋体"/>
          <w:color w:val="auto"/>
          <w:sz w:val="28"/>
          <w:szCs w:val="28"/>
          <w:highlight w:val="none"/>
          <w:lang w:bidi="ar"/>
        </w:rPr>
        <w:t xml:space="preserve"> </w:t>
      </w:r>
    </w:p>
    <w:p w14:paraId="6AB892EC">
      <w:pPr>
        <w:widowControl/>
        <w:spacing w:line="360" w:lineRule="auto"/>
        <w:ind w:firstLine="480"/>
        <w:jc w:val="left"/>
        <w:rPr>
          <w:rFonts w:ascii="宋体" w:hAnsi="宋体" w:eastAsia="宋体" w:cs="宋体"/>
          <w:color w:val="auto"/>
          <w:sz w:val="24"/>
          <w:highlight w:val="none"/>
          <w:lang w:bidi="ar"/>
        </w:rPr>
      </w:pPr>
    </w:p>
    <w:p w14:paraId="20A2AB2D">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工程项目的投标工作，我单位郑重承诺：</w:t>
      </w:r>
    </w:p>
    <w:p w14:paraId="38AE5E96">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本项目中标后不转包或</w:t>
      </w:r>
      <w:r>
        <w:rPr>
          <w:rFonts w:hint="eastAsia" w:ascii="宋体" w:hAnsi="宋体" w:eastAsia="宋体" w:cs="宋体"/>
          <w:color w:val="auto"/>
          <w:sz w:val="24"/>
          <w:highlight w:val="none"/>
          <w:lang w:val="en-US" w:eastAsia="zh-CN" w:bidi="ar"/>
        </w:rPr>
        <w:t>违法</w:t>
      </w:r>
      <w:r>
        <w:rPr>
          <w:rFonts w:hint="eastAsia" w:ascii="宋体" w:hAnsi="宋体" w:eastAsia="宋体" w:cs="宋体"/>
          <w:color w:val="auto"/>
          <w:sz w:val="24"/>
          <w:highlight w:val="none"/>
          <w:lang w:bidi="ar"/>
        </w:rPr>
        <w:t>分包，我单位承诺如有虚假，愿意无条件接受被取消预审</w:t>
      </w:r>
    </w:p>
    <w:p w14:paraId="30EDC75B">
      <w:pPr>
        <w:widowControl/>
        <w:spacing w:line="360" w:lineRule="auto"/>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（合格）资格、投标或中标（候选人）资格、履约保证金不予退还、合同解除及清除</w:t>
      </w:r>
    </w:p>
    <w:p w14:paraId="2D01844C">
      <w:pPr>
        <w:widowControl/>
        <w:spacing w:line="360" w:lineRule="auto"/>
        <w:jc w:val="left"/>
        <w:rPr>
          <w:rFonts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出场，一切损失由我单位自行承担，同时愿意接受相关处罚，特此承诺！</w:t>
      </w:r>
    </w:p>
    <w:p w14:paraId="2782D10C">
      <w:pPr>
        <w:widowControl/>
        <w:spacing w:line="360" w:lineRule="auto"/>
        <w:jc w:val="left"/>
        <w:rPr>
          <w:rFonts w:ascii="宋体" w:hAnsi="宋体" w:eastAsia="宋体" w:cs="宋体"/>
          <w:color w:val="auto"/>
          <w:sz w:val="24"/>
          <w:highlight w:val="none"/>
          <w:lang w:bidi="ar"/>
        </w:rPr>
      </w:pPr>
    </w:p>
    <w:p w14:paraId="53ADC06D">
      <w:pPr>
        <w:widowControl/>
        <w:spacing w:line="360" w:lineRule="auto"/>
        <w:jc w:val="left"/>
        <w:rPr>
          <w:rFonts w:ascii="宋体" w:hAnsi="宋体" w:eastAsia="宋体" w:cs="宋体"/>
          <w:color w:val="auto"/>
          <w:sz w:val="24"/>
          <w:highlight w:val="none"/>
          <w:lang w:bidi="ar"/>
        </w:rPr>
      </w:pPr>
    </w:p>
    <w:p w14:paraId="128D667D">
      <w:pPr>
        <w:widowControl/>
        <w:spacing w:line="360" w:lineRule="auto"/>
        <w:jc w:val="left"/>
        <w:rPr>
          <w:rFonts w:ascii="宋体" w:hAnsi="宋体" w:eastAsia="宋体" w:cs="宋体"/>
          <w:color w:val="auto"/>
          <w:sz w:val="24"/>
          <w:highlight w:val="none"/>
          <w:lang w:bidi="ar"/>
        </w:rPr>
      </w:pPr>
    </w:p>
    <w:p w14:paraId="2F6FE86E">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062952C4">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56ED4FD8">
      <w:pPr>
        <w:spacing w:line="360" w:lineRule="auto"/>
        <w:ind w:firstLine="720"/>
        <w:rPr>
          <w:rFonts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2B36A592">
      <w:pPr>
        <w:pStyle w:val="206"/>
        <w:spacing w:line="360" w:lineRule="auto"/>
        <w:rPr>
          <w:rFonts w:ascii="宋体" w:hAnsi="宋体" w:eastAsia="宋体" w:cs="宋体"/>
          <w:color w:val="auto"/>
          <w:highlight w:val="none"/>
        </w:rPr>
      </w:pPr>
    </w:p>
    <w:p w14:paraId="34DD7677">
      <w:pPr>
        <w:widowControl/>
        <w:spacing w:line="360" w:lineRule="auto"/>
        <w:ind w:firstLine="420"/>
        <w:jc w:val="left"/>
        <w:rPr>
          <w:rFonts w:ascii="宋体" w:hAnsi="宋体" w:eastAsia="宋体" w:cs="宋体"/>
          <w:color w:val="auto"/>
          <w:highlight w:val="none"/>
        </w:rPr>
      </w:pPr>
    </w:p>
    <w:p w14:paraId="7D9F1218">
      <w:pPr>
        <w:pStyle w:val="205"/>
        <w:ind w:firstLine="0"/>
        <w:rPr>
          <w:rFonts w:hAnsi="宋体" w:cs="宋体"/>
          <w:color w:val="auto"/>
          <w:highlight w:val="none"/>
        </w:rPr>
      </w:pPr>
    </w:p>
    <w:p w14:paraId="137EE179">
      <w:pPr>
        <w:spacing w:line="360" w:lineRule="auto"/>
        <w:rPr>
          <w:rFonts w:ascii="宋体" w:hAnsi="宋体" w:eastAsia="宋体" w:cs="宋体"/>
          <w:color w:val="auto"/>
          <w:highlight w:val="none"/>
        </w:rPr>
      </w:pPr>
    </w:p>
    <w:p w14:paraId="3015758B">
      <w:pPr>
        <w:spacing w:line="360" w:lineRule="auto"/>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br w:type="page" w:clear="all"/>
      </w:r>
    </w:p>
    <w:p w14:paraId="230241E5">
      <w:pPr>
        <w:widowControl/>
        <w:spacing w:line="360" w:lineRule="auto"/>
        <w:ind w:firstLine="602"/>
        <w:jc w:val="center"/>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六、法定代表人身份证明书(格式)</w:t>
      </w:r>
    </w:p>
    <w:p w14:paraId="29DBF29A">
      <w:pPr>
        <w:pStyle w:val="205"/>
        <w:ind w:firstLine="480"/>
        <w:rPr>
          <w:rFonts w:hAnsi="宋体" w:cs="宋体"/>
          <w:color w:val="auto"/>
          <w:highlight w:val="none"/>
        </w:rPr>
      </w:pPr>
    </w:p>
    <w:p w14:paraId="2CEA986F">
      <w:pPr>
        <w:widowControl/>
        <w:spacing w:line="360" w:lineRule="auto"/>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磋商供应商名称：</w:t>
      </w:r>
      <w:r>
        <w:rPr>
          <w:rFonts w:hint="eastAsia" w:ascii="宋体" w:hAnsi="宋体" w:eastAsia="宋体" w:cs="宋体"/>
          <w:color w:val="auto"/>
          <w:sz w:val="24"/>
          <w:highlight w:val="none"/>
          <w:u w:val="single"/>
          <w:lang w:bidi="ar"/>
        </w:rPr>
        <w:t xml:space="preserve">                         </w:t>
      </w:r>
    </w:p>
    <w:p w14:paraId="2CD74985">
      <w:pPr>
        <w:widowControl/>
        <w:spacing w:line="360" w:lineRule="auto"/>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单位性质： </w:t>
      </w:r>
      <w:r>
        <w:rPr>
          <w:rFonts w:hint="eastAsia" w:ascii="宋体" w:hAnsi="宋体" w:eastAsia="宋体" w:cs="宋体"/>
          <w:color w:val="auto"/>
          <w:sz w:val="24"/>
          <w:highlight w:val="none"/>
          <w:u w:val="single"/>
          <w:lang w:bidi="ar"/>
        </w:rPr>
        <w:t xml:space="preserve">                        </w:t>
      </w:r>
    </w:p>
    <w:p w14:paraId="6B327342">
      <w:pPr>
        <w:widowControl/>
        <w:spacing w:line="360" w:lineRule="auto"/>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地 址：</w:t>
      </w:r>
      <w:r>
        <w:rPr>
          <w:rFonts w:hint="eastAsia" w:ascii="宋体" w:hAnsi="宋体" w:eastAsia="宋体" w:cs="宋体"/>
          <w:color w:val="auto"/>
          <w:sz w:val="24"/>
          <w:highlight w:val="none"/>
          <w:u w:val="single"/>
          <w:lang w:bidi="ar"/>
        </w:rPr>
        <w:t xml:space="preserve">                        </w:t>
      </w:r>
    </w:p>
    <w:p w14:paraId="00DDFFFE">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成立时间：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p>
    <w:p w14:paraId="0EDADE78">
      <w:pPr>
        <w:widowControl/>
        <w:spacing w:line="360" w:lineRule="auto"/>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经营期限：</w:t>
      </w:r>
      <w:r>
        <w:rPr>
          <w:rFonts w:hint="eastAsia" w:ascii="宋体" w:hAnsi="宋体" w:eastAsia="宋体" w:cs="宋体"/>
          <w:color w:val="auto"/>
          <w:sz w:val="24"/>
          <w:highlight w:val="none"/>
          <w:u w:val="single"/>
          <w:lang w:bidi="ar"/>
        </w:rPr>
        <w:t xml:space="preserve">                        </w:t>
      </w:r>
    </w:p>
    <w:p w14:paraId="3B48B135">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姓 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性 别：</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20BA34F2">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年 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职 务：</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1BB16A3A">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系 </w:t>
      </w:r>
      <w:r>
        <w:rPr>
          <w:rFonts w:hint="eastAsia" w:ascii="宋体" w:hAnsi="宋体" w:eastAsia="宋体" w:cs="宋体"/>
          <w:color w:val="auto"/>
          <w:sz w:val="24"/>
          <w:highlight w:val="none"/>
          <w:u w:val="single"/>
          <w:lang w:bidi="ar"/>
        </w:rPr>
        <w:t xml:space="preserve">           (磋商供应商名称)           </w:t>
      </w:r>
      <w:r>
        <w:rPr>
          <w:rFonts w:hint="eastAsia" w:ascii="宋体" w:hAnsi="宋体" w:eastAsia="宋体" w:cs="宋体"/>
          <w:color w:val="auto"/>
          <w:sz w:val="24"/>
          <w:highlight w:val="none"/>
          <w:lang w:bidi="ar"/>
        </w:rPr>
        <w:t xml:space="preserve">的法定代表人。 </w:t>
      </w:r>
    </w:p>
    <w:p w14:paraId="58C08F6D">
      <w:pPr>
        <w:widowControl/>
        <w:spacing w:line="360" w:lineRule="auto"/>
        <w:ind w:firstLine="480"/>
        <w:jc w:val="left"/>
        <w:rPr>
          <w:rFonts w:ascii="宋体" w:hAnsi="宋体" w:eastAsia="宋体" w:cs="宋体"/>
          <w:color w:val="auto"/>
          <w:highlight w:val="none"/>
        </w:rPr>
      </w:pPr>
      <w:r>
        <w:rPr>
          <w:rFonts w:hint="eastAsia" w:ascii="宋体" w:hAnsi="宋体" w:eastAsia="宋体" w:cs="宋体"/>
          <w:color w:val="auto"/>
          <w:sz w:val="24"/>
          <w:highlight w:val="none"/>
          <w:lang w:bidi="ar"/>
        </w:rPr>
        <w:t xml:space="preserve">特此证明。 </w:t>
      </w:r>
    </w:p>
    <w:p w14:paraId="511944DC">
      <w:pPr>
        <w:widowControl/>
        <w:spacing w:line="360" w:lineRule="auto"/>
        <w:ind w:firstLine="1920"/>
        <w:jc w:val="left"/>
        <w:rPr>
          <w:rFonts w:ascii="宋体" w:hAnsi="宋体" w:eastAsia="宋体" w:cs="宋体"/>
          <w:color w:val="auto"/>
          <w:highlight w:val="none"/>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(盖单位章) </w:t>
      </w:r>
    </w:p>
    <w:p w14:paraId="5FA098CF">
      <w:pPr>
        <w:widowControl/>
        <w:spacing w:line="360" w:lineRule="auto"/>
        <w:ind w:firstLine="336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p>
    <w:p w14:paraId="5D4A099F">
      <w:pPr>
        <w:widowControl/>
        <w:spacing w:line="360" w:lineRule="auto"/>
        <w:ind w:firstLine="3360"/>
        <w:jc w:val="left"/>
        <w:rPr>
          <w:rFonts w:ascii="宋体" w:hAnsi="宋体" w:eastAsia="宋体" w:cs="宋体"/>
          <w:color w:val="auto"/>
          <w:sz w:val="24"/>
          <w:highlight w:val="none"/>
          <w:lang w:bidi="ar"/>
        </w:rPr>
      </w:pPr>
    </w:p>
    <w:p w14:paraId="4D27C016">
      <w:pPr>
        <w:widowControl/>
        <w:spacing w:line="360" w:lineRule="auto"/>
        <w:ind w:firstLine="3360"/>
        <w:jc w:val="left"/>
        <w:rPr>
          <w:rFonts w:ascii="宋体" w:hAnsi="宋体" w:eastAsia="宋体" w:cs="宋体"/>
          <w:color w:val="auto"/>
          <w:sz w:val="24"/>
          <w:highlight w:val="none"/>
          <w:lang w:bidi="ar"/>
        </w:rPr>
      </w:pPr>
    </w:p>
    <w:p w14:paraId="0490EBC9">
      <w:pPr>
        <w:widowControl/>
        <w:spacing w:line="360" w:lineRule="auto"/>
        <w:ind w:firstLine="3360"/>
        <w:jc w:val="left"/>
        <w:rPr>
          <w:rFonts w:ascii="宋体" w:hAnsi="宋体" w:eastAsia="宋体" w:cs="宋体"/>
          <w:color w:val="auto"/>
          <w:sz w:val="24"/>
          <w:highlight w:val="none"/>
          <w:lang w:bidi="ar"/>
        </w:rPr>
      </w:pPr>
    </w:p>
    <w:p w14:paraId="2F78A66B">
      <w:pPr>
        <w:widowControl/>
        <w:spacing w:line="360" w:lineRule="auto"/>
        <w:ind w:firstLine="3360"/>
        <w:jc w:val="left"/>
        <w:rPr>
          <w:rFonts w:ascii="宋体" w:hAnsi="宋体" w:eastAsia="宋体" w:cs="宋体"/>
          <w:color w:val="auto"/>
          <w:sz w:val="24"/>
          <w:highlight w:val="none"/>
          <w:lang w:bidi="ar"/>
        </w:rPr>
      </w:pPr>
    </w:p>
    <w:p w14:paraId="0A9093E2">
      <w:pPr>
        <w:widowControl/>
        <w:spacing w:line="360" w:lineRule="auto"/>
        <w:ind w:firstLine="3360"/>
        <w:jc w:val="left"/>
        <w:rPr>
          <w:rFonts w:ascii="宋体" w:hAnsi="宋体" w:eastAsia="宋体" w:cs="宋体"/>
          <w:color w:val="auto"/>
          <w:sz w:val="24"/>
          <w:highlight w:val="none"/>
          <w:lang w:bidi="ar"/>
        </w:rPr>
      </w:pPr>
    </w:p>
    <w:p w14:paraId="4EA8E0A1">
      <w:pPr>
        <w:widowControl/>
        <w:spacing w:line="360" w:lineRule="auto"/>
        <w:ind w:firstLine="3360"/>
        <w:jc w:val="left"/>
        <w:rPr>
          <w:rFonts w:ascii="宋体" w:hAnsi="宋体" w:eastAsia="宋体" w:cs="宋体"/>
          <w:color w:val="auto"/>
          <w:sz w:val="24"/>
          <w:highlight w:val="none"/>
          <w:lang w:bidi="ar"/>
        </w:rPr>
      </w:pPr>
    </w:p>
    <w:p w14:paraId="41CEC176">
      <w:pPr>
        <w:pStyle w:val="205"/>
        <w:ind w:firstLine="480"/>
        <w:rPr>
          <w:rFonts w:hAnsi="宋体" w:cs="宋体"/>
          <w:color w:val="auto"/>
          <w:szCs w:val="24"/>
          <w:highlight w:val="none"/>
          <w:lang w:bidi="ar"/>
        </w:rPr>
      </w:pPr>
    </w:p>
    <w:p w14:paraId="628C1450">
      <w:pPr>
        <w:spacing w:line="360" w:lineRule="auto"/>
        <w:rPr>
          <w:rFonts w:ascii="宋体" w:hAnsi="宋体" w:eastAsia="宋体" w:cs="宋体"/>
          <w:color w:val="auto"/>
          <w:sz w:val="24"/>
          <w:highlight w:val="none"/>
          <w:lang w:bidi="ar"/>
        </w:rPr>
      </w:pPr>
    </w:p>
    <w:p w14:paraId="22CE145D">
      <w:pPr>
        <w:pStyle w:val="205"/>
        <w:ind w:firstLine="480"/>
        <w:rPr>
          <w:rFonts w:hAnsi="宋体" w:cs="宋体"/>
          <w:color w:val="auto"/>
          <w:szCs w:val="24"/>
          <w:highlight w:val="none"/>
          <w:lang w:bidi="ar"/>
        </w:rPr>
      </w:pPr>
    </w:p>
    <w:p w14:paraId="2816F35D">
      <w:pPr>
        <w:spacing w:line="360" w:lineRule="auto"/>
        <w:rPr>
          <w:rFonts w:ascii="宋体" w:hAnsi="宋体" w:eastAsia="宋体" w:cs="宋体"/>
          <w:color w:val="auto"/>
          <w:sz w:val="24"/>
          <w:highlight w:val="none"/>
          <w:lang w:bidi="ar"/>
        </w:rPr>
      </w:pPr>
    </w:p>
    <w:p w14:paraId="7ED10400">
      <w:pPr>
        <w:pStyle w:val="205"/>
        <w:ind w:firstLine="480"/>
        <w:rPr>
          <w:rFonts w:hAnsi="宋体" w:cs="宋体"/>
          <w:color w:val="auto"/>
          <w:szCs w:val="24"/>
          <w:highlight w:val="none"/>
          <w:lang w:bidi="ar"/>
        </w:rPr>
      </w:pPr>
    </w:p>
    <w:p w14:paraId="0654F7D0">
      <w:pPr>
        <w:spacing w:line="360" w:lineRule="auto"/>
        <w:rPr>
          <w:rFonts w:ascii="宋体" w:hAnsi="宋体" w:eastAsia="宋体" w:cs="宋体"/>
          <w:color w:val="auto"/>
          <w:highlight w:val="none"/>
        </w:rPr>
      </w:pPr>
    </w:p>
    <w:p w14:paraId="16405FA3">
      <w:pPr>
        <w:pStyle w:val="205"/>
        <w:ind w:firstLine="480"/>
        <w:rPr>
          <w:rFonts w:hAnsi="宋体" w:cs="宋体"/>
          <w:color w:val="auto"/>
          <w:szCs w:val="24"/>
          <w:highlight w:val="none"/>
          <w:lang w:bidi="ar"/>
        </w:rPr>
      </w:pPr>
    </w:p>
    <w:p w14:paraId="6DE53DFB">
      <w:pPr>
        <w:spacing w:line="360" w:lineRule="auto"/>
        <w:rPr>
          <w:rFonts w:ascii="宋体" w:hAnsi="宋体" w:eastAsia="宋体" w:cs="宋体"/>
          <w:color w:val="auto"/>
          <w:sz w:val="24"/>
          <w:highlight w:val="none"/>
          <w:lang w:bidi="ar"/>
        </w:rPr>
      </w:pPr>
    </w:p>
    <w:p w14:paraId="6BF5B82B">
      <w:pPr>
        <w:pStyle w:val="205"/>
        <w:ind w:firstLine="480"/>
        <w:rPr>
          <w:rFonts w:hAnsi="宋体" w:cs="宋体"/>
          <w:color w:val="auto"/>
          <w:szCs w:val="24"/>
          <w:highlight w:val="none"/>
          <w:lang w:bidi="ar"/>
        </w:rPr>
      </w:pPr>
    </w:p>
    <w:p w14:paraId="42DA299D">
      <w:pPr>
        <w:spacing w:line="360" w:lineRule="auto"/>
        <w:rPr>
          <w:rFonts w:ascii="宋体" w:hAnsi="宋体" w:eastAsia="宋体" w:cs="宋体"/>
          <w:color w:val="auto"/>
          <w:sz w:val="24"/>
          <w:highlight w:val="none"/>
          <w:lang w:bidi="ar"/>
        </w:rPr>
      </w:pPr>
    </w:p>
    <w:p w14:paraId="60488E96">
      <w:pPr>
        <w:widowControl/>
        <w:spacing w:line="360" w:lineRule="auto"/>
        <w:ind w:firstLine="622"/>
        <w:jc w:val="center"/>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授权委托书(格式)</w:t>
      </w:r>
    </w:p>
    <w:p w14:paraId="685F6B30">
      <w:pPr>
        <w:widowControl/>
        <w:spacing w:line="360" w:lineRule="auto"/>
        <w:ind w:firstLine="480"/>
        <w:jc w:val="left"/>
        <w:rPr>
          <w:rFonts w:ascii="宋体" w:hAnsi="宋体" w:eastAsia="宋体" w:cs="宋体"/>
          <w:color w:val="auto"/>
          <w:sz w:val="24"/>
          <w:highlight w:val="none"/>
          <w:lang w:bidi="ar"/>
        </w:rPr>
      </w:pPr>
    </w:p>
    <w:p w14:paraId="1E8B9C5E">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（供应商名称）的法定代表人，现委托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（姓名）为我方代理人。代理人根据授权，以我方名义签署、澄清、说明、补正、递交、撤回、修改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（项目名称）项目投标文件、签订合同和处理有关事宜，其法律后果由我方承担。</w:t>
      </w:r>
    </w:p>
    <w:p w14:paraId="28904DEF">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委托期限：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。(同投标有效期)</w:t>
      </w:r>
    </w:p>
    <w:p w14:paraId="5C8121B7">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代理人无转委托权。</w:t>
      </w:r>
    </w:p>
    <w:p w14:paraId="166C13A1">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附：</w:t>
      </w:r>
      <w:r>
        <w:rPr>
          <w:rFonts w:hint="eastAsia" w:ascii="宋体" w:hAnsi="宋体" w:eastAsia="宋体" w:cs="宋体"/>
          <w:b/>
          <w:bCs/>
          <w:color w:val="auto"/>
          <w:sz w:val="24"/>
          <w:highlight w:val="none"/>
        </w:rPr>
        <w:t>法定代表人和委托代理人身份证彩色扫描件</w:t>
      </w:r>
    </w:p>
    <w:p w14:paraId="5C49CDE7">
      <w:pPr>
        <w:spacing w:line="360" w:lineRule="auto"/>
        <w:ind w:firstLine="480"/>
        <w:jc w:val="left"/>
        <w:rPr>
          <w:rFonts w:ascii="宋体" w:hAnsi="宋体" w:eastAsia="宋体" w:cs="宋体"/>
          <w:color w:val="auto"/>
          <w:sz w:val="24"/>
          <w:highlight w:val="none"/>
        </w:rPr>
      </w:pPr>
    </w:p>
    <w:p w14:paraId="21D5201D">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4324CE4A">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73E2A183">
      <w:pPr>
        <w:spacing w:line="360" w:lineRule="auto"/>
        <w:ind w:firstLine="480"/>
        <w:jc w:val="left"/>
        <w:rPr>
          <w:rFonts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59B7C0AA">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1A07F329">
      <w:pPr>
        <w:spacing w:line="360" w:lineRule="auto"/>
        <w:ind w:firstLine="480"/>
        <w:jc w:val="left"/>
        <w:rPr>
          <w:rFonts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44053464">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65581DBE">
      <w:pPr>
        <w:pStyle w:val="205"/>
        <w:ind w:firstLine="480"/>
        <w:rPr>
          <w:rFonts w:hAnsi="宋体" w:cs="宋体"/>
          <w:color w:val="auto"/>
          <w:highlight w:val="none"/>
        </w:rPr>
      </w:pPr>
    </w:p>
    <w:p w14:paraId="605B3A94">
      <w:pPr>
        <w:widowControl/>
        <w:spacing w:line="360" w:lineRule="auto"/>
        <w:ind w:firstLine="560"/>
        <w:jc w:val="left"/>
        <w:rPr>
          <w:rFonts w:ascii="宋体" w:hAnsi="宋体" w:eastAsia="宋体" w:cs="宋体"/>
          <w:color w:val="auto"/>
          <w:sz w:val="28"/>
          <w:szCs w:val="28"/>
          <w:highlight w:val="none"/>
          <w:lang w:bidi="ar"/>
        </w:rPr>
      </w:pPr>
    </w:p>
    <w:p w14:paraId="0F4D885A">
      <w:pPr>
        <w:widowControl/>
        <w:spacing w:line="360" w:lineRule="auto"/>
        <w:ind w:firstLine="560"/>
        <w:jc w:val="left"/>
        <w:rPr>
          <w:rFonts w:ascii="宋体" w:hAnsi="宋体" w:eastAsia="宋体" w:cs="宋体"/>
          <w:color w:val="auto"/>
          <w:sz w:val="28"/>
          <w:szCs w:val="28"/>
          <w:highlight w:val="none"/>
          <w:lang w:bidi="ar"/>
        </w:rPr>
      </w:pPr>
    </w:p>
    <w:p w14:paraId="627784B9">
      <w:pPr>
        <w:widowControl/>
        <w:spacing w:line="360" w:lineRule="auto"/>
        <w:ind w:firstLine="560"/>
        <w:jc w:val="left"/>
        <w:rPr>
          <w:rFonts w:ascii="宋体" w:hAnsi="宋体" w:eastAsia="宋体" w:cs="宋体"/>
          <w:color w:val="auto"/>
          <w:sz w:val="28"/>
          <w:szCs w:val="28"/>
          <w:highlight w:val="none"/>
          <w:lang w:bidi="ar"/>
        </w:rPr>
      </w:pPr>
    </w:p>
    <w:p w14:paraId="0492F767">
      <w:pPr>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p>
    <w:p w14:paraId="49C4954B">
      <w:pPr>
        <w:widowControl/>
        <w:spacing w:line="360" w:lineRule="auto"/>
        <w:ind w:firstLine="3012"/>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七、商务条款偏离表</w:t>
      </w:r>
    </w:p>
    <w:p w14:paraId="2E33552E">
      <w:pPr>
        <w:pStyle w:val="205"/>
        <w:ind w:firstLine="480"/>
        <w:rPr>
          <w:rFonts w:hAnsi="宋体" w:cs="宋体"/>
          <w:color w:val="auto"/>
          <w:highlight w:val="none"/>
        </w:rPr>
      </w:pPr>
    </w:p>
    <w:p w14:paraId="65D53614">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p>
    <w:p w14:paraId="2AA72F2A">
      <w:pPr>
        <w:spacing w:line="360" w:lineRule="auto"/>
        <w:rPr>
          <w:rFonts w:ascii="宋体" w:hAnsi="宋体" w:eastAsia="宋体" w:cs="宋体"/>
          <w:b/>
          <w:bCs/>
          <w:color w:val="auto"/>
          <w:sz w:val="30"/>
          <w:szCs w:val="30"/>
          <w:highlight w:val="none"/>
          <w:lang w:bidi="ar"/>
        </w:rPr>
      </w:pPr>
    </w:p>
    <w:tbl>
      <w:tblPr>
        <w:tblStyle w:val="39"/>
        <w:tblW w:w="9288" w:type="dxa"/>
        <w:tblInd w:w="4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2988"/>
        <w:gridCol w:w="3360"/>
        <w:gridCol w:w="2004"/>
      </w:tblGrid>
      <w:tr w14:paraId="4C61C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936" w:type="dxa"/>
            <w:vAlign w:val="center"/>
          </w:tcPr>
          <w:p w14:paraId="46B5AAFA">
            <w:pPr>
              <w:spacing w:after="156" w:line="360" w:lineRule="auto"/>
              <w:jc w:val="center"/>
              <w:rPr>
                <w:rFonts w:ascii="宋体" w:hAnsi="宋体" w:eastAsia="宋体" w:cs="宋体"/>
                <w:color w:val="auto"/>
                <w:highlight w:val="none"/>
              </w:rPr>
            </w:pPr>
            <w:r>
              <w:rPr>
                <w:rFonts w:hint="eastAsia" w:ascii="宋体" w:hAnsi="宋体" w:eastAsia="宋体" w:cs="宋体"/>
                <w:color w:val="auto"/>
                <w:highlight w:val="none"/>
              </w:rPr>
              <w:t>序号</w:t>
            </w:r>
          </w:p>
        </w:tc>
        <w:tc>
          <w:tcPr>
            <w:tcW w:w="2988" w:type="dxa"/>
            <w:vAlign w:val="center"/>
          </w:tcPr>
          <w:p w14:paraId="2510EBFF">
            <w:pPr>
              <w:spacing w:after="156" w:line="360" w:lineRule="auto"/>
              <w:jc w:val="center"/>
              <w:rPr>
                <w:rFonts w:ascii="宋体" w:hAnsi="宋体" w:eastAsia="宋体" w:cs="宋体"/>
                <w:color w:val="auto"/>
                <w:highlight w:val="none"/>
              </w:rPr>
            </w:pPr>
            <w:r>
              <w:rPr>
                <w:rFonts w:hint="eastAsia" w:ascii="宋体" w:hAnsi="宋体" w:eastAsia="宋体" w:cs="宋体"/>
                <w:color w:val="auto"/>
                <w:highlight w:val="none"/>
              </w:rPr>
              <w:t>原项目需求主要条款描述</w:t>
            </w:r>
          </w:p>
        </w:tc>
        <w:tc>
          <w:tcPr>
            <w:tcW w:w="3360" w:type="dxa"/>
            <w:vAlign w:val="center"/>
          </w:tcPr>
          <w:p w14:paraId="70BB0709">
            <w:pPr>
              <w:spacing w:after="156" w:line="360" w:lineRule="auto"/>
              <w:jc w:val="center"/>
              <w:rPr>
                <w:rFonts w:ascii="宋体" w:hAnsi="宋体" w:eastAsia="宋体" w:cs="宋体"/>
                <w:color w:val="auto"/>
                <w:highlight w:val="none"/>
              </w:rPr>
            </w:pPr>
            <w:r>
              <w:rPr>
                <w:rFonts w:hint="eastAsia" w:ascii="宋体" w:hAnsi="宋体" w:eastAsia="宋体" w:cs="宋体"/>
                <w:color w:val="auto"/>
                <w:highlight w:val="none"/>
              </w:rPr>
              <w:t>供应商响应情况描述</w:t>
            </w:r>
          </w:p>
        </w:tc>
        <w:tc>
          <w:tcPr>
            <w:tcW w:w="2004" w:type="dxa"/>
            <w:vAlign w:val="center"/>
          </w:tcPr>
          <w:p w14:paraId="098A1C2C">
            <w:pPr>
              <w:spacing w:after="156" w:line="360" w:lineRule="auto"/>
              <w:jc w:val="center"/>
              <w:rPr>
                <w:rFonts w:ascii="宋体" w:hAnsi="宋体" w:eastAsia="宋体" w:cs="宋体"/>
                <w:color w:val="auto"/>
                <w:highlight w:val="none"/>
              </w:rPr>
            </w:pPr>
            <w:r>
              <w:rPr>
                <w:rFonts w:hint="eastAsia" w:ascii="宋体" w:hAnsi="宋体" w:eastAsia="宋体" w:cs="宋体"/>
                <w:color w:val="auto"/>
                <w:highlight w:val="none"/>
              </w:rPr>
              <w:t>偏离情况</w:t>
            </w:r>
          </w:p>
        </w:tc>
      </w:tr>
      <w:tr w14:paraId="1F9AA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936" w:type="dxa"/>
          </w:tcPr>
          <w:p w14:paraId="6E07785E">
            <w:pPr>
              <w:spacing w:after="156" w:line="36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2988" w:type="dxa"/>
          </w:tcPr>
          <w:p w14:paraId="1447410C">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具体要求见第四章“项目需求”中内容，请自填明细</w:t>
            </w:r>
          </w:p>
        </w:tc>
        <w:tc>
          <w:tcPr>
            <w:tcW w:w="3360" w:type="dxa"/>
          </w:tcPr>
          <w:p w14:paraId="53ACE9D2">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请自填响应情况</w:t>
            </w:r>
          </w:p>
        </w:tc>
        <w:tc>
          <w:tcPr>
            <w:tcW w:w="2004" w:type="dxa"/>
          </w:tcPr>
          <w:p w14:paraId="59E4BD28">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p>
        </w:tc>
      </w:tr>
      <w:tr w14:paraId="05CD3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936" w:type="dxa"/>
          </w:tcPr>
          <w:p w14:paraId="76762E10">
            <w:pPr>
              <w:spacing w:after="156" w:line="36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2988" w:type="dxa"/>
          </w:tcPr>
          <w:p w14:paraId="1CB63D91">
            <w:pPr>
              <w:spacing w:after="156" w:line="360" w:lineRule="auto"/>
              <w:rPr>
                <w:rFonts w:ascii="宋体" w:hAnsi="宋体" w:eastAsia="宋体" w:cs="宋体"/>
                <w:color w:val="auto"/>
                <w:highlight w:val="none"/>
              </w:rPr>
            </w:pPr>
          </w:p>
        </w:tc>
        <w:tc>
          <w:tcPr>
            <w:tcW w:w="3360" w:type="dxa"/>
          </w:tcPr>
          <w:p w14:paraId="106F293D">
            <w:pPr>
              <w:spacing w:after="156" w:line="360" w:lineRule="auto"/>
              <w:rPr>
                <w:rFonts w:ascii="宋体" w:hAnsi="宋体" w:eastAsia="宋体" w:cs="宋体"/>
                <w:color w:val="auto"/>
                <w:highlight w:val="none"/>
              </w:rPr>
            </w:pPr>
          </w:p>
        </w:tc>
        <w:tc>
          <w:tcPr>
            <w:tcW w:w="2004" w:type="dxa"/>
          </w:tcPr>
          <w:p w14:paraId="7852AE88">
            <w:pPr>
              <w:spacing w:after="156" w:line="360" w:lineRule="auto"/>
              <w:rPr>
                <w:rFonts w:ascii="宋体" w:hAnsi="宋体" w:eastAsia="宋体" w:cs="宋体"/>
                <w:color w:val="auto"/>
                <w:highlight w:val="none"/>
              </w:rPr>
            </w:pPr>
          </w:p>
        </w:tc>
      </w:tr>
      <w:tr w14:paraId="4F423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trPr>
        <w:tc>
          <w:tcPr>
            <w:tcW w:w="936" w:type="dxa"/>
          </w:tcPr>
          <w:p w14:paraId="65B4887A">
            <w:pPr>
              <w:spacing w:after="156" w:line="360" w:lineRule="auto"/>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2988" w:type="dxa"/>
          </w:tcPr>
          <w:p w14:paraId="644BEA82">
            <w:pPr>
              <w:spacing w:after="156" w:line="360" w:lineRule="auto"/>
              <w:rPr>
                <w:rFonts w:ascii="宋体" w:hAnsi="宋体" w:eastAsia="宋体" w:cs="宋体"/>
                <w:color w:val="auto"/>
                <w:highlight w:val="none"/>
              </w:rPr>
            </w:pPr>
          </w:p>
        </w:tc>
        <w:tc>
          <w:tcPr>
            <w:tcW w:w="3360" w:type="dxa"/>
          </w:tcPr>
          <w:p w14:paraId="53ECC3D7">
            <w:pPr>
              <w:spacing w:after="156" w:line="360" w:lineRule="auto"/>
              <w:rPr>
                <w:rFonts w:ascii="宋体" w:hAnsi="宋体" w:eastAsia="宋体" w:cs="宋体"/>
                <w:color w:val="auto"/>
                <w:highlight w:val="none"/>
              </w:rPr>
            </w:pPr>
          </w:p>
        </w:tc>
        <w:tc>
          <w:tcPr>
            <w:tcW w:w="2004" w:type="dxa"/>
          </w:tcPr>
          <w:p w14:paraId="5D24AC60">
            <w:pPr>
              <w:spacing w:after="156" w:line="360" w:lineRule="auto"/>
              <w:rPr>
                <w:rFonts w:ascii="宋体" w:hAnsi="宋体" w:eastAsia="宋体" w:cs="宋体"/>
                <w:color w:val="auto"/>
                <w:highlight w:val="none"/>
              </w:rPr>
            </w:pPr>
          </w:p>
        </w:tc>
      </w:tr>
    </w:tbl>
    <w:p w14:paraId="62AD67F2">
      <w:pPr>
        <w:pStyle w:val="205"/>
        <w:ind w:firstLine="480"/>
        <w:rPr>
          <w:rFonts w:hAnsi="宋体" w:cs="宋体"/>
          <w:color w:val="auto"/>
          <w:szCs w:val="24"/>
          <w:highlight w:val="none"/>
          <w:lang w:bidi="ar"/>
        </w:rPr>
      </w:pPr>
    </w:p>
    <w:p w14:paraId="04FC3A63">
      <w:pPr>
        <w:pStyle w:val="205"/>
        <w:ind w:firstLine="480"/>
        <w:rPr>
          <w:rFonts w:hAnsi="宋体" w:cs="宋体"/>
          <w:color w:val="auto"/>
          <w:szCs w:val="24"/>
          <w:highlight w:val="none"/>
          <w:lang w:bidi="ar"/>
        </w:rPr>
      </w:pPr>
    </w:p>
    <w:p w14:paraId="585EE704">
      <w:pPr>
        <w:pStyle w:val="205"/>
        <w:ind w:firstLine="480"/>
        <w:rPr>
          <w:rFonts w:hAnsi="宋体" w:cs="宋体"/>
          <w:color w:val="auto"/>
          <w:szCs w:val="24"/>
          <w:highlight w:val="none"/>
          <w:lang w:bidi="ar"/>
        </w:rPr>
      </w:pPr>
      <w:r>
        <w:rPr>
          <w:rFonts w:hint="eastAsia" w:hAnsi="宋体" w:cs="宋体"/>
          <w:color w:val="auto"/>
          <w:szCs w:val="24"/>
          <w:highlight w:val="none"/>
          <w:lang w:bidi="ar"/>
        </w:rPr>
        <w:t>注：1、此表为表样，行数可自行添加，但表式不变。</w:t>
      </w:r>
    </w:p>
    <w:p w14:paraId="3E093313">
      <w:pPr>
        <w:pStyle w:val="205"/>
        <w:ind w:firstLine="960"/>
        <w:rPr>
          <w:rFonts w:hAnsi="宋体" w:cs="宋体"/>
          <w:color w:val="auto"/>
          <w:szCs w:val="24"/>
          <w:highlight w:val="none"/>
          <w:lang w:bidi="ar"/>
        </w:rPr>
      </w:pPr>
      <w:r>
        <w:rPr>
          <w:rFonts w:hint="eastAsia" w:hAnsi="宋体" w:cs="宋体"/>
          <w:color w:val="auto"/>
          <w:szCs w:val="24"/>
          <w:highlight w:val="none"/>
          <w:lang w:bidi="ar"/>
        </w:rPr>
        <w:t>2、“偏离说明”填写“正偏离”“负偏离”或“无偏离”。</w:t>
      </w:r>
    </w:p>
    <w:p w14:paraId="38EC6361">
      <w:pPr>
        <w:pStyle w:val="205"/>
        <w:ind w:firstLine="480"/>
        <w:rPr>
          <w:rFonts w:hAnsi="宋体" w:cs="宋体"/>
          <w:color w:val="auto"/>
          <w:szCs w:val="24"/>
          <w:highlight w:val="none"/>
          <w:lang w:bidi="ar"/>
        </w:rPr>
      </w:pPr>
    </w:p>
    <w:p w14:paraId="62E34A45">
      <w:pPr>
        <w:pStyle w:val="205"/>
        <w:ind w:firstLine="480"/>
        <w:rPr>
          <w:rFonts w:hAnsi="宋体" w:cs="宋体"/>
          <w:color w:val="auto"/>
          <w:szCs w:val="24"/>
          <w:highlight w:val="none"/>
          <w:lang w:bidi="ar"/>
        </w:rPr>
      </w:pPr>
    </w:p>
    <w:p w14:paraId="697D3C75">
      <w:pPr>
        <w:pStyle w:val="205"/>
        <w:ind w:firstLine="480"/>
        <w:rPr>
          <w:rFonts w:hAnsi="宋体" w:cs="宋体"/>
          <w:color w:val="auto"/>
          <w:szCs w:val="24"/>
          <w:highlight w:val="none"/>
          <w:lang w:bidi="ar"/>
        </w:rPr>
      </w:pPr>
      <w:r>
        <w:rPr>
          <w:rFonts w:hint="eastAsia" w:hAnsi="宋体" w:cs="宋体"/>
          <w:color w:val="auto"/>
          <w:szCs w:val="24"/>
          <w:highlight w:val="none"/>
          <w:lang w:bidi="ar"/>
        </w:rPr>
        <w:t>供应商单位全称（公章):</w:t>
      </w:r>
    </w:p>
    <w:p w14:paraId="747D4383">
      <w:pPr>
        <w:pStyle w:val="205"/>
        <w:ind w:firstLine="480"/>
        <w:rPr>
          <w:rFonts w:hAnsi="宋体" w:cs="宋体"/>
          <w:color w:val="auto"/>
          <w:szCs w:val="24"/>
          <w:highlight w:val="none"/>
          <w:lang w:bidi="ar"/>
        </w:rPr>
      </w:pPr>
      <w:r>
        <w:rPr>
          <w:rFonts w:hint="eastAsia" w:hAnsi="宋体" w:cs="宋体"/>
          <w:color w:val="auto"/>
          <w:szCs w:val="24"/>
          <w:highlight w:val="none"/>
          <w:lang w:bidi="ar"/>
        </w:rPr>
        <w:t>法定代表人（授权代表）签字：</w:t>
      </w:r>
    </w:p>
    <w:p w14:paraId="16B0F954">
      <w:pPr>
        <w:spacing w:line="360" w:lineRule="auto"/>
        <w:ind w:firstLine="2160"/>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p>
    <w:p w14:paraId="7A08AAC3">
      <w:pPr>
        <w:spacing w:line="360" w:lineRule="auto"/>
        <w:rPr>
          <w:rFonts w:ascii="宋体" w:hAnsi="宋体" w:eastAsia="宋体" w:cs="宋体"/>
          <w:color w:val="auto"/>
          <w:highlight w:val="none"/>
          <w:lang w:bidi="ar"/>
        </w:rPr>
      </w:pPr>
    </w:p>
    <w:p w14:paraId="6703840D">
      <w:pPr>
        <w:pStyle w:val="205"/>
        <w:ind w:firstLine="480"/>
        <w:rPr>
          <w:rFonts w:hAnsi="宋体" w:cs="宋体"/>
          <w:color w:val="auto"/>
          <w:szCs w:val="24"/>
          <w:highlight w:val="none"/>
          <w:lang w:bidi="ar"/>
        </w:rPr>
      </w:pPr>
    </w:p>
    <w:p w14:paraId="7F092574">
      <w:pPr>
        <w:pStyle w:val="205"/>
        <w:ind w:firstLine="480"/>
        <w:rPr>
          <w:rFonts w:hAnsi="宋体" w:cs="宋体"/>
          <w:color w:val="auto"/>
          <w:szCs w:val="24"/>
          <w:highlight w:val="none"/>
          <w:lang w:bidi="ar"/>
        </w:rPr>
      </w:pPr>
    </w:p>
    <w:p w14:paraId="65AEA4E1">
      <w:pPr>
        <w:pStyle w:val="205"/>
        <w:ind w:firstLine="480"/>
        <w:rPr>
          <w:rFonts w:hAnsi="宋体" w:cs="宋体"/>
          <w:color w:val="auto"/>
          <w:szCs w:val="24"/>
          <w:highlight w:val="none"/>
          <w:lang w:bidi="ar"/>
        </w:rPr>
      </w:pPr>
      <w:r>
        <w:rPr>
          <w:rFonts w:hint="eastAsia" w:hAnsi="宋体" w:cs="宋体"/>
          <w:color w:val="auto"/>
          <w:szCs w:val="24"/>
          <w:highlight w:val="none"/>
          <w:lang w:bidi="ar"/>
        </w:rPr>
        <w:t xml:space="preserve">    </w:t>
      </w:r>
    </w:p>
    <w:p w14:paraId="7A1F6F0B">
      <w:pPr>
        <w:pStyle w:val="205"/>
        <w:ind w:firstLine="480"/>
        <w:rPr>
          <w:rFonts w:hAnsi="宋体" w:cs="宋体"/>
          <w:color w:val="auto"/>
          <w:szCs w:val="24"/>
          <w:highlight w:val="none"/>
          <w:lang w:bidi="ar"/>
        </w:rPr>
      </w:pPr>
    </w:p>
    <w:p w14:paraId="48829BEB">
      <w:pPr>
        <w:spacing w:line="360" w:lineRule="auto"/>
        <w:rPr>
          <w:rFonts w:ascii="宋体" w:hAnsi="宋体" w:eastAsia="宋体" w:cs="宋体"/>
          <w:color w:val="auto"/>
          <w:sz w:val="24"/>
          <w:highlight w:val="none"/>
          <w:lang w:bidi="ar"/>
        </w:rPr>
      </w:pPr>
    </w:p>
    <w:p w14:paraId="48E14760">
      <w:pPr>
        <w:pStyle w:val="205"/>
        <w:ind w:firstLine="480"/>
        <w:rPr>
          <w:rFonts w:hAnsi="宋体" w:cs="宋体"/>
          <w:color w:val="auto"/>
          <w:szCs w:val="24"/>
          <w:highlight w:val="none"/>
          <w:lang w:bidi="ar"/>
        </w:rPr>
      </w:pPr>
    </w:p>
    <w:p w14:paraId="3FAE5579">
      <w:pPr>
        <w:spacing w:line="360" w:lineRule="auto"/>
        <w:rPr>
          <w:rFonts w:ascii="宋体" w:hAnsi="宋体" w:eastAsia="宋体" w:cs="宋体"/>
          <w:color w:val="auto"/>
          <w:sz w:val="24"/>
          <w:highlight w:val="none"/>
          <w:lang w:bidi="ar"/>
        </w:rPr>
      </w:pPr>
    </w:p>
    <w:p w14:paraId="0B125D56">
      <w:pPr>
        <w:pStyle w:val="205"/>
        <w:ind w:firstLine="480"/>
        <w:rPr>
          <w:rFonts w:hAnsi="宋体" w:cs="宋体"/>
          <w:color w:val="auto"/>
          <w:szCs w:val="24"/>
          <w:highlight w:val="none"/>
          <w:lang w:bidi="ar"/>
        </w:rPr>
      </w:pPr>
    </w:p>
    <w:p w14:paraId="788C7E04">
      <w:pPr>
        <w:spacing w:line="360" w:lineRule="auto"/>
        <w:rPr>
          <w:rFonts w:ascii="宋体" w:hAnsi="宋体" w:eastAsia="宋体" w:cs="宋体"/>
          <w:color w:val="auto"/>
          <w:sz w:val="24"/>
          <w:highlight w:val="none"/>
          <w:lang w:bidi="ar"/>
        </w:rPr>
      </w:pPr>
    </w:p>
    <w:p w14:paraId="46DF1817">
      <w:pPr>
        <w:widowControl/>
        <w:spacing w:line="360" w:lineRule="auto"/>
        <w:jc w:val="center"/>
        <w:rPr>
          <w:rFonts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bidi="ar"/>
        </w:rPr>
        <w:t>八、技术标</w:t>
      </w:r>
    </w:p>
    <w:p w14:paraId="788E77D5">
      <w:pPr>
        <w:widowControl/>
        <w:spacing w:line="360" w:lineRule="auto"/>
        <w:jc w:val="center"/>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8.1施工组织设计</w:t>
      </w:r>
    </w:p>
    <w:p w14:paraId="417CAB8D">
      <w:pPr>
        <w:pStyle w:val="22"/>
        <w:spacing w:line="360" w:lineRule="auto"/>
        <w:jc w:val="center"/>
        <w:rPr>
          <w:rFonts w:hAnsi="宋体" w:eastAsia="宋体" w:cs="宋体"/>
          <w:color w:val="auto"/>
          <w:szCs w:val="21"/>
          <w:highlight w:val="none"/>
        </w:rPr>
      </w:pPr>
      <w:r>
        <w:rPr>
          <w:rFonts w:hint="eastAsia" w:hAnsi="宋体" w:eastAsia="宋体" w:cs="宋体"/>
          <w:color w:val="auto"/>
          <w:szCs w:val="21"/>
          <w:highlight w:val="none"/>
        </w:rPr>
        <w:t>(由供应商按采购文件要求等自行填写，格式自定)</w:t>
      </w:r>
    </w:p>
    <w:p w14:paraId="48408904">
      <w:pPr>
        <w:pStyle w:val="205"/>
        <w:ind w:firstLine="480"/>
        <w:rPr>
          <w:rFonts w:hAnsi="宋体" w:cs="宋体"/>
          <w:color w:val="auto"/>
          <w:highlight w:val="none"/>
        </w:rPr>
      </w:pPr>
    </w:p>
    <w:p w14:paraId="66F030EB">
      <w:pPr>
        <w:spacing w:line="360" w:lineRule="auto"/>
        <w:rPr>
          <w:rFonts w:ascii="宋体" w:hAnsi="宋体" w:eastAsia="宋体" w:cs="宋体"/>
          <w:color w:val="auto"/>
          <w:highlight w:val="none"/>
        </w:rPr>
      </w:pPr>
    </w:p>
    <w:p w14:paraId="4725CDD0">
      <w:pPr>
        <w:pStyle w:val="205"/>
        <w:ind w:firstLine="480"/>
        <w:rPr>
          <w:rFonts w:hAnsi="宋体" w:cs="宋体"/>
          <w:color w:val="auto"/>
          <w:highlight w:val="none"/>
        </w:rPr>
      </w:pPr>
    </w:p>
    <w:p w14:paraId="5C204125">
      <w:pPr>
        <w:spacing w:line="360" w:lineRule="auto"/>
        <w:rPr>
          <w:rFonts w:ascii="宋体" w:hAnsi="宋体" w:eastAsia="宋体" w:cs="宋体"/>
          <w:color w:val="auto"/>
          <w:highlight w:val="none"/>
        </w:rPr>
      </w:pPr>
    </w:p>
    <w:p w14:paraId="5D5018DA">
      <w:pPr>
        <w:pStyle w:val="205"/>
        <w:ind w:firstLine="480"/>
        <w:rPr>
          <w:rFonts w:hAnsi="宋体" w:cs="宋体"/>
          <w:color w:val="auto"/>
          <w:highlight w:val="none"/>
        </w:rPr>
      </w:pPr>
    </w:p>
    <w:p w14:paraId="3EB53320">
      <w:pPr>
        <w:spacing w:line="360" w:lineRule="auto"/>
        <w:rPr>
          <w:rFonts w:ascii="宋体" w:hAnsi="宋体" w:eastAsia="宋体" w:cs="宋体"/>
          <w:color w:val="auto"/>
          <w:highlight w:val="none"/>
        </w:rPr>
      </w:pPr>
    </w:p>
    <w:p w14:paraId="2FF084D1">
      <w:pPr>
        <w:pStyle w:val="205"/>
        <w:ind w:firstLine="480"/>
        <w:rPr>
          <w:rFonts w:hAnsi="宋体" w:cs="宋体"/>
          <w:color w:val="auto"/>
          <w:highlight w:val="none"/>
        </w:rPr>
      </w:pPr>
    </w:p>
    <w:p w14:paraId="19B3188A">
      <w:pPr>
        <w:spacing w:line="360" w:lineRule="auto"/>
        <w:rPr>
          <w:rFonts w:ascii="宋体" w:hAnsi="宋体" w:eastAsia="宋体" w:cs="宋体"/>
          <w:color w:val="auto"/>
          <w:highlight w:val="none"/>
        </w:rPr>
      </w:pPr>
    </w:p>
    <w:p w14:paraId="5BE67072">
      <w:pPr>
        <w:pStyle w:val="205"/>
        <w:ind w:firstLine="480"/>
        <w:rPr>
          <w:rFonts w:hAnsi="宋体" w:cs="宋体"/>
          <w:color w:val="auto"/>
          <w:highlight w:val="none"/>
        </w:rPr>
      </w:pPr>
    </w:p>
    <w:p w14:paraId="3402C778">
      <w:pPr>
        <w:spacing w:line="360" w:lineRule="auto"/>
        <w:rPr>
          <w:rFonts w:ascii="宋体" w:hAnsi="宋体" w:eastAsia="宋体" w:cs="宋体"/>
          <w:color w:val="auto"/>
          <w:highlight w:val="none"/>
        </w:rPr>
      </w:pPr>
    </w:p>
    <w:p w14:paraId="63CC58C9">
      <w:pPr>
        <w:pStyle w:val="207"/>
        <w:rPr>
          <w:rFonts w:eastAsia="宋体" w:cs="宋体"/>
          <w:color w:val="auto"/>
          <w:highlight w:val="none"/>
        </w:rPr>
      </w:pPr>
    </w:p>
    <w:p w14:paraId="17B1A273">
      <w:pPr>
        <w:spacing w:line="360" w:lineRule="auto"/>
        <w:rPr>
          <w:rFonts w:ascii="宋体" w:hAnsi="宋体" w:eastAsia="宋体" w:cs="宋体"/>
          <w:color w:val="auto"/>
          <w:highlight w:val="none"/>
        </w:rPr>
      </w:pPr>
    </w:p>
    <w:p w14:paraId="09A2E1CA">
      <w:pPr>
        <w:pStyle w:val="205"/>
        <w:ind w:firstLine="480"/>
        <w:rPr>
          <w:rFonts w:hAnsi="宋体" w:cs="宋体"/>
          <w:color w:val="auto"/>
          <w:highlight w:val="none"/>
        </w:rPr>
      </w:pPr>
    </w:p>
    <w:p w14:paraId="544DB632">
      <w:pPr>
        <w:spacing w:line="360" w:lineRule="auto"/>
        <w:rPr>
          <w:rFonts w:ascii="宋体" w:hAnsi="宋体" w:eastAsia="宋体" w:cs="宋体"/>
          <w:color w:val="auto"/>
          <w:highlight w:val="none"/>
        </w:rPr>
      </w:pPr>
    </w:p>
    <w:p w14:paraId="18B38EBD">
      <w:pPr>
        <w:pStyle w:val="205"/>
        <w:ind w:firstLine="480"/>
        <w:rPr>
          <w:rFonts w:hAnsi="宋体" w:cs="宋体"/>
          <w:color w:val="auto"/>
          <w:highlight w:val="none"/>
        </w:rPr>
      </w:pPr>
    </w:p>
    <w:p w14:paraId="1243847A">
      <w:pPr>
        <w:spacing w:line="360" w:lineRule="auto"/>
        <w:jc w:val="center"/>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p>
    <w:p w14:paraId="1DBEC919">
      <w:pPr>
        <w:spacing w:line="360" w:lineRule="auto"/>
        <w:jc w:val="center"/>
        <w:rPr>
          <w:rFonts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人员配备情况一览表</w:t>
      </w:r>
    </w:p>
    <w:tbl>
      <w:tblPr>
        <w:tblStyle w:val="39"/>
        <w:tblpPr w:leftFromText="180" w:rightFromText="180" w:vertAnchor="text" w:horzAnchor="margin" w:tblpY="74"/>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2012"/>
        <w:gridCol w:w="1190"/>
        <w:gridCol w:w="946"/>
        <w:gridCol w:w="946"/>
        <w:gridCol w:w="2972"/>
      </w:tblGrid>
      <w:tr w14:paraId="77D75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1552" w:type="dxa"/>
            <w:vAlign w:val="center"/>
          </w:tcPr>
          <w:p w14:paraId="7F4928F6">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姓  名</w:t>
            </w:r>
          </w:p>
        </w:tc>
        <w:tc>
          <w:tcPr>
            <w:tcW w:w="2012" w:type="dxa"/>
            <w:vAlign w:val="center"/>
          </w:tcPr>
          <w:p w14:paraId="46DDE0EB">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本项目拟任</w:t>
            </w:r>
          </w:p>
          <w:p w14:paraId="66F62C31">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职  务</w:t>
            </w:r>
          </w:p>
        </w:tc>
        <w:tc>
          <w:tcPr>
            <w:tcW w:w="1190" w:type="dxa"/>
            <w:vAlign w:val="center"/>
          </w:tcPr>
          <w:p w14:paraId="1B73B7BA">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技术</w:t>
            </w:r>
          </w:p>
          <w:p w14:paraId="1FF6F0D9">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职称</w:t>
            </w:r>
          </w:p>
        </w:tc>
        <w:tc>
          <w:tcPr>
            <w:tcW w:w="946" w:type="dxa"/>
            <w:vAlign w:val="center"/>
          </w:tcPr>
          <w:p w14:paraId="3495BF09">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年龄</w:t>
            </w:r>
          </w:p>
        </w:tc>
        <w:tc>
          <w:tcPr>
            <w:tcW w:w="946" w:type="dxa"/>
            <w:vAlign w:val="center"/>
          </w:tcPr>
          <w:p w14:paraId="7832F02B">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学历</w:t>
            </w:r>
          </w:p>
        </w:tc>
        <w:tc>
          <w:tcPr>
            <w:tcW w:w="2972" w:type="dxa"/>
            <w:vAlign w:val="center"/>
          </w:tcPr>
          <w:p w14:paraId="6FCAB8CA">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主要资历及担任过的职务</w:t>
            </w:r>
          </w:p>
        </w:tc>
      </w:tr>
      <w:tr w14:paraId="30DB5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552" w:type="dxa"/>
            <w:vAlign w:val="center"/>
          </w:tcPr>
          <w:p w14:paraId="78398FAF">
            <w:pPr>
              <w:spacing w:line="360" w:lineRule="auto"/>
              <w:jc w:val="center"/>
              <w:rPr>
                <w:rFonts w:ascii="宋体" w:hAnsi="宋体" w:eastAsia="宋体" w:cs="宋体"/>
                <w:color w:val="auto"/>
                <w:sz w:val="28"/>
                <w:highlight w:val="none"/>
              </w:rPr>
            </w:pPr>
          </w:p>
        </w:tc>
        <w:tc>
          <w:tcPr>
            <w:tcW w:w="2012" w:type="dxa"/>
            <w:vAlign w:val="center"/>
          </w:tcPr>
          <w:p w14:paraId="65AA4979">
            <w:pPr>
              <w:spacing w:line="360" w:lineRule="auto"/>
              <w:jc w:val="center"/>
              <w:rPr>
                <w:rFonts w:ascii="宋体" w:hAnsi="宋体" w:eastAsia="宋体" w:cs="宋体"/>
                <w:color w:val="auto"/>
                <w:sz w:val="28"/>
                <w:highlight w:val="none"/>
              </w:rPr>
            </w:pPr>
          </w:p>
        </w:tc>
        <w:tc>
          <w:tcPr>
            <w:tcW w:w="1190" w:type="dxa"/>
            <w:vAlign w:val="center"/>
          </w:tcPr>
          <w:p w14:paraId="58FBB11C">
            <w:pPr>
              <w:spacing w:line="360" w:lineRule="auto"/>
              <w:jc w:val="center"/>
              <w:rPr>
                <w:rFonts w:ascii="宋体" w:hAnsi="宋体" w:eastAsia="宋体" w:cs="宋体"/>
                <w:color w:val="auto"/>
                <w:sz w:val="28"/>
                <w:highlight w:val="none"/>
              </w:rPr>
            </w:pPr>
          </w:p>
        </w:tc>
        <w:tc>
          <w:tcPr>
            <w:tcW w:w="946" w:type="dxa"/>
            <w:vAlign w:val="center"/>
          </w:tcPr>
          <w:p w14:paraId="25FCD3F3">
            <w:pPr>
              <w:spacing w:line="360" w:lineRule="auto"/>
              <w:jc w:val="center"/>
              <w:rPr>
                <w:rFonts w:ascii="宋体" w:hAnsi="宋体" w:eastAsia="宋体" w:cs="宋体"/>
                <w:color w:val="auto"/>
                <w:sz w:val="28"/>
                <w:highlight w:val="none"/>
              </w:rPr>
            </w:pPr>
          </w:p>
        </w:tc>
        <w:tc>
          <w:tcPr>
            <w:tcW w:w="946" w:type="dxa"/>
            <w:vAlign w:val="center"/>
          </w:tcPr>
          <w:p w14:paraId="3AC87972">
            <w:pPr>
              <w:spacing w:line="360" w:lineRule="auto"/>
              <w:jc w:val="center"/>
              <w:rPr>
                <w:rFonts w:ascii="宋体" w:hAnsi="宋体" w:eastAsia="宋体" w:cs="宋体"/>
                <w:color w:val="auto"/>
                <w:sz w:val="28"/>
                <w:highlight w:val="none"/>
              </w:rPr>
            </w:pPr>
          </w:p>
        </w:tc>
        <w:tc>
          <w:tcPr>
            <w:tcW w:w="2972" w:type="dxa"/>
            <w:vAlign w:val="center"/>
          </w:tcPr>
          <w:p w14:paraId="725B0D10">
            <w:pPr>
              <w:spacing w:line="360" w:lineRule="auto"/>
              <w:jc w:val="center"/>
              <w:rPr>
                <w:rFonts w:ascii="宋体" w:hAnsi="宋体" w:eastAsia="宋体" w:cs="宋体"/>
                <w:color w:val="auto"/>
                <w:sz w:val="28"/>
                <w:highlight w:val="none"/>
              </w:rPr>
            </w:pPr>
          </w:p>
        </w:tc>
      </w:tr>
      <w:tr w14:paraId="3413F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552" w:type="dxa"/>
            <w:vAlign w:val="center"/>
          </w:tcPr>
          <w:p w14:paraId="2F4EB84F">
            <w:pPr>
              <w:spacing w:line="360" w:lineRule="auto"/>
              <w:jc w:val="center"/>
              <w:rPr>
                <w:rFonts w:ascii="宋体" w:hAnsi="宋体" w:eastAsia="宋体" w:cs="宋体"/>
                <w:color w:val="auto"/>
                <w:sz w:val="28"/>
                <w:highlight w:val="none"/>
              </w:rPr>
            </w:pPr>
          </w:p>
        </w:tc>
        <w:tc>
          <w:tcPr>
            <w:tcW w:w="2012" w:type="dxa"/>
            <w:vAlign w:val="center"/>
          </w:tcPr>
          <w:p w14:paraId="0F695E29">
            <w:pPr>
              <w:spacing w:line="360" w:lineRule="auto"/>
              <w:jc w:val="center"/>
              <w:rPr>
                <w:rFonts w:ascii="宋体" w:hAnsi="宋体" w:eastAsia="宋体" w:cs="宋体"/>
                <w:color w:val="auto"/>
                <w:sz w:val="28"/>
                <w:highlight w:val="none"/>
              </w:rPr>
            </w:pPr>
          </w:p>
        </w:tc>
        <w:tc>
          <w:tcPr>
            <w:tcW w:w="1190" w:type="dxa"/>
            <w:vAlign w:val="center"/>
          </w:tcPr>
          <w:p w14:paraId="1DB18604">
            <w:pPr>
              <w:spacing w:line="360" w:lineRule="auto"/>
              <w:jc w:val="center"/>
              <w:rPr>
                <w:rFonts w:ascii="宋体" w:hAnsi="宋体" w:eastAsia="宋体" w:cs="宋体"/>
                <w:color w:val="auto"/>
                <w:sz w:val="28"/>
                <w:highlight w:val="none"/>
              </w:rPr>
            </w:pPr>
          </w:p>
        </w:tc>
        <w:tc>
          <w:tcPr>
            <w:tcW w:w="946" w:type="dxa"/>
            <w:vAlign w:val="center"/>
          </w:tcPr>
          <w:p w14:paraId="2D71D92C">
            <w:pPr>
              <w:spacing w:line="360" w:lineRule="auto"/>
              <w:jc w:val="center"/>
              <w:rPr>
                <w:rFonts w:ascii="宋体" w:hAnsi="宋体" w:eastAsia="宋体" w:cs="宋体"/>
                <w:color w:val="auto"/>
                <w:sz w:val="28"/>
                <w:highlight w:val="none"/>
              </w:rPr>
            </w:pPr>
          </w:p>
        </w:tc>
        <w:tc>
          <w:tcPr>
            <w:tcW w:w="946" w:type="dxa"/>
            <w:vAlign w:val="center"/>
          </w:tcPr>
          <w:p w14:paraId="24B01ED1">
            <w:pPr>
              <w:spacing w:line="360" w:lineRule="auto"/>
              <w:jc w:val="center"/>
              <w:rPr>
                <w:rFonts w:ascii="宋体" w:hAnsi="宋体" w:eastAsia="宋体" w:cs="宋体"/>
                <w:color w:val="auto"/>
                <w:sz w:val="28"/>
                <w:highlight w:val="none"/>
              </w:rPr>
            </w:pPr>
          </w:p>
        </w:tc>
        <w:tc>
          <w:tcPr>
            <w:tcW w:w="2972" w:type="dxa"/>
            <w:vAlign w:val="center"/>
          </w:tcPr>
          <w:p w14:paraId="6FF81EB2">
            <w:pPr>
              <w:spacing w:line="360" w:lineRule="auto"/>
              <w:jc w:val="center"/>
              <w:rPr>
                <w:rFonts w:ascii="宋体" w:hAnsi="宋体" w:eastAsia="宋体" w:cs="宋体"/>
                <w:color w:val="auto"/>
                <w:sz w:val="28"/>
                <w:highlight w:val="none"/>
              </w:rPr>
            </w:pPr>
          </w:p>
        </w:tc>
      </w:tr>
      <w:tr w14:paraId="584C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552" w:type="dxa"/>
            <w:vAlign w:val="center"/>
          </w:tcPr>
          <w:p w14:paraId="4D52618E">
            <w:pPr>
              <w:spacing w:line="360" w:lineRule="auto"/>
              <w:jc w:val="center"/>
              <w:rPr>
                <w:rFonts w:ascii="宋体" w:hAnsi="宋体" w:eastAsia="宋体" w:cs="宋体"/>
                <w:color w:val="auto"/>
                <w:sz w:val="28"/>
                <w:highlight w:val="none"/>
              </w:rPr>
            </w:pPr>
          </w:p>
        </w:tc>
        <w:tc>
          <w:tcPr>
            <w:tcW w:w="2012" w:type="dxa"/>
            <w:vAlign w:val="center"/>
          </w:tcPr>
          <w:p w14:paraId="0ACFEB3B">
            <w:pPr>
              <w:spacing w:line="360" w:lineRule="auto"/>
              <w:jc w:val="center"/>
              <w:rPr>
                <w:rFonts w:ascii="宋体" w:hAnsi="宋体" w:eastAsia="宋体" w:cs="宋体"/>
                <w:color w:val="auto"/>
                <w:sz w:val="28"/>
                <w:highlight w:val="none"/>
              </w:rPr>
            </w:pPr>
          </w:p>
        </w:tc>
        <w:tc>
          <w:tcPr>
            <w:tcW w:w="1190" w:type="dxa"/>
            <w:vAlign w:val="center"/>
          </w:tcPr>
          <w:p w14:paraId="0131B4F6">
            <w:pPr>
              <w:spacing w:line="360" w:lineRule="auto"/>
              <w:jc w:val="center"/>
              <w:rPr>
                <w:rFonts w:ascii="宋体" w:hAnsi="宋体" w:eastAsia="宋体" w:cs="宋体"/>
                <w:color w:val="auto"/>
                <w:sz w:val="28"/>
                <w:highlight w:val="none"/>
              </w:rPr>
            </w:pPr>
          </w:p>
        </w:tc>
        <w:tc>
          <w:tcPr>
            <w:tcW w:w="946" w:type="dxa"/>
            <w:vAlign w:val="center"/>
          </w:tcPr>
          <w:p w14:paraId="7FC33951">
            <w:pPr>
              <w:spacing w:line="360" w:lineRule="auto"/>
              <w:jc w:val="center"/>
              <w:rPr>
                <w:rFonts w:ascii="宋体" w:hAnsi="宋体" w:eastAsia="宋体" w:cs="宋体"/>
                <w:color w:val="auto"/>
                <w:sz w:val="28"/>
                <w:highlight w:val="none"/>
              </w:rPr>
            </w:pPr>
          </w:p>
        </w:tc>
        <w:tc>
          <w:tcPr>
            <w:tcW w:w="946" w:type="dxa"/>
            <w:vAlign w:val="center"/>
          </w:tcPr>
          <w:p w14:paraId="113CA4D9">
            <w:pPr>
              <w:spacing w:line="360" w:lineRule="auto"/>
              <w:jc w:val="center"/>
              <w:rPr>
                <w:rFonts w:ascii="宋体" w:hAnsi="宋体" w:eastAsia="宋体" w:cs="宋体"/>
                <w:color w:val="auto"/>
                <w:sz w:val="28"/>
                <w:highlight w:val="none"/>
              </w:rPr>
            </w:pPr>
          </w:p>
        </w:tc>
        <w:tc>
          <w:tcPr>
            <w:tcW w:w="2972" w:type="dxa"/>
            <w:vAlign w:val="center"/>
          </w:tcPr>
          <w:p w14:paraId="3B170E87">
            <w:pPr>
              <w:spacing w:line="360" w:lineRule="auto"/>
              <w:jc w:val="center"/>
              <w:rPr>
                <w:rFonts w:ascii="宋体" w:hAnsi="宋体" w:eastAsia="宋体" w:cs="宋体"/>
                <w:color w:val="auto"/>
                <w:sz w:val="28"/>
                <w:highlight w:val="none"/>
              </w:rPr>
            </w:pPr>
          </w:p>
        </w:tc>
      </w:tr>
      <w:tr w14:paraId="6B59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552" w:type="dxa"/>
            <w:vAlign w:val="center"/>
          </w:tcPr>
          <w:p w14:paraId="68C380A4">
            <w:pPr>
              <w:spacing w:line="360" w:lineRule="auto"/>
              <w:jc w:val="center"/>
              <w:rPr>
                <w:rFonts w:ascii="宋体" w:hAnsi="宋体" w:eastAsia="宋体" w:cs="宋体"/>
                <w:color w:val="auto"/>
                <w:sz w:val="28"/>
                <w:highlight w:val="none"/>
              </w:rPr>
            </w:pPr>
          </w:p>
        </w:tc>
        <w:tc>
          <w:tcPr>
            <w:tcW w:w="2012" w:type="dxa"/>
            <w:vAlign w:val="center"/>
          </w:tcPr>
          <w:p w14:paraId="672EE3E7">
            <w:pPr>
              <w:spacing w:line="360" w:lineRule="auto"/>
              <w:jc w:val="center"/>
              <w:rPr>
                <w:rFonts w:ascii="宋体" w:hAnsi="宋体" w:eastAsia="宋体" w:cs="宋体"/>
                <w:color w:val="auto"/>
                <w:sz w:val="28"/>
                <w:highlight w:val="none"/>
              </w:rPr>
            </w:pPr>
          </w:p>
        </w:tc>
        <w:tc>
          <w:tcPr>
            <w:tcW w:w="1190" w:type="dxa"/>
            <w:vAlign w:val="center"/>
          </w:tcPr>
          <w:p w14:paraId="5C9A4017">
            <w:pPr>
              <w:spacing w:line="360" w:lineRule="auto"/>
              <w:jc w:val="center"/>
              <w:rPr>
                <w:rFonts w:ascii="宋体" w:hAnsi="宋体" w:eastAsia="宋体" w:cs="宋体"/>
                <w:color w:val="auto"/>
                <w:sz w:val="28"/>
                <w:highlight w:val="none"/>
              </w:rPr>
            </w:pPr>
          </w:p>
        </w:tc>
        <w:tc>
          <w:tcPr>
            <w:tcW w:w="946" w:type="dxa"/>
            <w:vAlign w:val="center"/>
          </w:tcPr>
          <w:p w14:paraId="79CD38D0">
            <w:pPr>
              <w:spacing w:line="360" w:lineRule="auto"/>
              <w:jc w:val="center"/>
              <w:rPr>
                <w:rFonts w:ascii="宋体" w:hAnsi="宋体" w:eastAsia="宋体" w:cs="宋体"/>
                <w:color w:val="auto"/>
                <w:sz w:val="28"/>
                <w:highlight w:val="none"/>
              </w:rPr>
            </w:pPr>
          </w:p>
        </w:tc>
        <w:tc>
          <w:tcPr>
            <w:tcW w:w="946" w:type="dxa"/>
            <w:vAlign w:val="center"/>
          </w:tcPr>
          <w:p w14:paraId="706D2B6F">
            <w:pPr>
              <w:spacing w:line="360" w:lineRule="auto"/>
              <w:jc w:val="center"/>
              <w:rPr>
                <w:rFonts w:ascii="宋体" w:hAnsi="宋体" w:eastAsia="宋体" w:cs="宋体"/>
                <w:color w:val="auto"/>
                <w:sz w:val="28"/>
                <w:highlight w:val="none"/>
              </w:rPr>
            </w:pPr>
          </w:p>
        </w:tc>
        <w:tc>
          <w:tcPr>
            <w:tcW w:w="2972" w:type="dxa"/>
            <w:vAlign w:val="center"/>
          </w:tcPr>
          <w:p w14:paraId="370454BA">
            <w:pPr>
              <w:spacing w:line="360" w:lineRule="auto"/>
              <w:jc w:val="center"/>
              <w:rPr>
                <w:rFonts w:ascii="宋体" w:hAnsi="宋体" w:eastAsia="宋体" w:cs="宋体"/>
                <w:color w:val="auto"/>
                <w:sz w:val="28"/>
                <w:highlight w:val="none"/>
              </w:rPr>
            </w:pPr>
          </w:p>
        </w:tc>
      </w:tr>
      <w:tr w14:paraId="62131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552" w:type="dxa"/>
            <w:vAlign w:val="center"/>
          </w:tcPr>
          <w:p w14:paraId="586CA7C3">
            <w:pPr>
              <w:spacing w:line="360" w:lineRule="auto"/>
              <w:jc w:val="center"/>
              <w:rPr>
                <w:rFonts w:ascii="宋体" w:hAnsi="宋体" w:eastAsia="宋体" w:cs="宋体"/>
                <w:color w:val="auto"/>
                <w:sz w:val="28"/>
                <w:highlight w:val="none"/>
              </w:rPr>
            </w:pPr>
          </w:p>
        </w:tc>
        <w:tc>
          <w:tcPr>
            <w:tcW w:w="2012" w:type="dxa"/>
            <w:vAlign w:val="center"/>
          </w:tcPr>
          <w:p w14:paraId="3666CE6B">
            <w:pPr>
              <w:spacing w:line="360" w:lineRule="auto"/>
              <w:jc w:val="center"/>
              <w:rPr>
                <w:rFonts w:ascii="宋体" w:hAnsi="宋体" w:eastAsia="宋体" w:cs="宋体"/>
                <w:color w:val="auto"/>
                <w:sz w:val="28"/>
                <w:highlight w:val="none"/>
              </w:rPr>
            </w:pPr>
          </w:p>
        </w:tc>
        <w:tc>
          <w:tcPr>
            <w:tcW w:w="1190" w:type="dxa"/>
            <w:vAlign w:val="center"/>
          </w:tcPr>
          <w:p w14:paraId="5B684B7D">
            <w:pPr>
              <w:spacing w:line="360" w:lineRule="auto"/>
              <w:jc w:val="center"/>
              <w:rPr>
                <w:rFonts w:ascii="宋体" w:hAnsi="宋体" w:eastAsia="宋体" w:cs="宋体"/>
                <w:color w:val="auto"/>
                <w:sz w:val="28"/>
                <w:highlight w:val="none"/>
              </w:rPr>
            </w:pPr>
          </w:p>
        </w:tc>
        <w:tc>
          <w:tcPr>
            <w:tcW w:w="946" w:type="dxa"/>
            <w:vAlign w:val="center"/>
          </w:tcPr>
          <w:p w14:paraId="46A89F1C">
            <w:pPr>
              <w:spacing w:line="360" w:lineRule="auto"/>
              <w:jc w:val="center"/>
              <w:rPr>
                <w:rFonts w:ascii="宋体" w:hAnsi="宋体" w:eastAsia="宋体" w:cs="宋体"/>
                <w:color w:val="auto"/>
                <w:sz w:val="28"/>
                <w:highlight w:val="none"/>
              </w:rPr>
            </w:pPr>
          </w:p>
        </w:tc>
        <w:tc>
          <w:tcPr>
            <w:tcW w:w="946" w:type="dxa"/>
            <w:vAlign w:val="center"/>
          </w:tcPr>
          <w:p w14:paraId="69CC04E0">
            <w:pPr>
              <w:spacing w:line="360" w:lineRule="auto"/>
              <w:jc w:val="center"/>
              <w:rPr>
                <w:rFonts w:ascii="宋体" w:hAnsi="宋体" w:eastAsia="宋体" w:cs="宋体"/>
                <w:color w:val="auto"/>
                <w:sz w:val="28"/>
                <w:highlight w:val="none"/>
              </w:rPr>
            </w:pPr>
          </w:p>
        </w:tc>
        <w:tc>
          <w:tcPr>
            <w:tcW w:w="2972" w:type="dxa"/>
            <w:vAlign w:val="center"/>
          </w:tcPr>
          <w:p w14:paraId="26B8C2E9">
            <w:pPr>
              <w:spacing w:line="360" w:lineRule="auto"/>
              <w:jc w:val="center"/>
              <w:rPr>
                <w:rFonts w:ascii="宋体" w:hAnsi="宋体" w:eastAsia="宋体" w:cs="宋体"/>
                <w:color w:val="auto"/>
                <w:sz w:val="28"/>
                <w:highlight w:val="none"/>
              </w:rPr>
            </w:pPr>
          </w:p>
        </w:tc>
      </w:tr>
      <w:tr w14:paraId="7088D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552" w:type="dxa"/>
            <w:vAlign w:val="center"/>
          </w:tcPr>
          <w:p w14:paraId="0E519249">
            <w:pPr>
              <w:spacing w:line="360" w:lineRule="auto"/>
              <w:jc w:val="center"/>
              <w:rPr>
                <w:rFonts w:ascii="宋体" w:hAnsi="宋体" w:eastAsia="宋体" w:cs="宋体"/>
                <w:color w:val="auto"/>
                <w:sz w:val="28"/>
                <w:highlight w:val="none"/>
              </w:rPr>
            </w:pPr>
          </w:p>
        </w:tc>
        <w:tc>
          <w:tcPr>
            <w:tcW w:w="2012" w:type="dxa"/>
            <w:vAlign w:val="center"/>
          </w:tcPr>
          <w:p w14:paraId="14F2321A">
            <w:pPr>
              <w:spacing w:line="360" w:lineRule="auto"/>
              <w:jc w:val="center"/>
              <w:rPr>
                <w:rFonts w:ascii="宋体" w:hAnsi="宋体" w:eastAsia="宋体" w:cs="宋体"/>
                <w:color w:val="auto"/>
                <w:sz w:val="28"/>
                <w:highlight w:val="none"/>
              </w:rPr>
            </w:pPr>
          </w:p>
        </w:tc>
        <w:tc>
          <w:tcPr>
            <w:tcW w:w="1190" w:type="dxa"/>
            <w:vAlign w:val="center"/>
          </w:tcPr>
          <w:p w14:paraId="3C12B8AA">
            <w:pPr>
              <w:spacing w:line="360" w:lineRule="auto"/>
              <w:jc w:val="center"/>
              <w:rPr>
                <w:rFonts w:ascii="宋体" w:hAnsi="宋体" w:eastAsia="宋体" w:cs="宋体"/>
                <w:color w:val="auto"/>
                <w:sz w:val="28"/>
                <w:highlight w:val="none"/>
              </w:rPr>
            </w:pPr>
          </w:p>
        </w:tc>
        <w:tc>
          <w:tcPr>
            <w:tcW w:w="946" w:type="dxa"/>
            <w:vAlign w:val="center"/>
          </w:tcPr>
          <w:p w14:paraId="3B8AB8E6">
            <w:pPr>
              <w:spacing w:line="360" w:lineRule="auto"/>
              <w:jc w:val="center"/>
              <w:rPr>
                <w:rFonts w:ascii="宋体" w:hAnsi="宋体" w:eastAsia="宋体" w:cs="宋体"/>
                <w:color w:val="auto"/>
                <w:sz w:val="28"/>
                <w:highlight w:val="none"/>
              </w:rPr>
            </w:pPr>
          </w:p>
        </w:tc>
        <w:tc>
          <w:tcPr>
            <w:tcW w:w="946" w:type="dxa"/>
            <w:vAlign w:val="center"/>
          </w:tcPr>
          <w:p w14:paraId="042A4FC4">
            <w:pPr>
              <w:spacing w:line="360" w:lineRule="auto"/>
              <w:jc w:val="center"/>
              <w:rPr>
                <w:rFonts w:ascii="宋体" w:hAnsi="宋体" w:eastAsia="宋体" w:cs="宋体"/>
                <w:color w:val="auto"/>
                <w:sz w:val="28"/>
                <w:highlight w:val="none"/>
              </w:rPr>
            </w:pPr>
          </w:p>
        </w:tc>
        <w:tc>
          <w:tcPr>
            <w:tcW w:w="2972" w:type="dxa"/>
            <w:vAlign w:val="center"/>
          </w:tcPr>
          <w:p w14:paraId="3EA4C4EF">
            <w:pPr>
              <w:spacing w:line="360" w:lineRule="auto"/>
              <w:jc w:val="center"/>
              <w:rPr>
                <w:rFonts w:ascii="宋体" w:hAnsi="宋体" w:eastAsia="宋体" w:cs="宋体"/>
                <w:color w:val="auto"/>
                <w:sz w:val="28"/>
                <w:highlight w:val="none"/>
              </w:rPr>
            </w:pPr>
          </w:p>
        </w:tc>
      </w:tr>
      <w:tr w14:paraId="55F87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552" w:type="dxa"/>
            <w:vAlign w:val="center"/>
          </w:tcPr>
          <w:p w14:paraId="0A7BFA22">
            <w:pPr>
              <w:spacing w:line="360" w:lineRule="auto"/>
              <w:jc w:val="center"/>
              <w:rPr>
                <w:rFonts w:ascii="宋体" w:hAnsi="宋体" w:eastAsia="宋体" w:cs="宋体"/>
                <w:color w:val="auto"/>
                <w:sz w:val="28"/>
                <w:highlight w:val="none"/>
              </w:rPr>
            </w:pPr>
          </w:p>
        </w:tc>
        <w:tc>
          <w:tcPr>
            <w:tcW w:w="2012" w:type="dxa"/>
            <w:vAlign w:val="center"/>
          </w:tcPr>
          <w:p w14:paraId="01C814A5">
            <w:pPr>
              <w:spacing w:line="360" w:lineRule="auto"/>
              <w:jc w:val="center"/>
              <w:rPr>
                <w:rFonts w:ascii="宋体" w:hAnsi="宋体" w:eastAsia="宋体" w:cs="宋体"/>
                <w:color w:val="auto"/>
                <w:sz w:val="28"/>
                <w:highlight w:val="none"/>
              </w:rPr>
            </w:pPr>
          </w:p>
        </w:tc>
        <w:tc>
          <w:tcPr>
            <w:tcW w:w="1190" w:type="dxa"/>
            <w:vAlign w:val="center"/>
          </w:tcPr>
          <w:p w14:paraId="34EC40F7">
            <w:pPr>
              <w:spacing w:line="360" w:lineRule="auto"/>
              <w:jc w:val="center"/>
              <w:rPr>
                <w:rFonts w:ascii="宋体" w:hAnsi="宋体" w:eastAsia="宋体" w:cs="宋体"/>
                <w:color w:val="auto"/>
                <w:sz w:val="28"/>
                <w:highlight w:val="none"/>
              </w:rPr>
            </w:pPr>
          </w:p>
        </w:tc>
        <w:tc>
          <w:tcPr>
            <w:tcW w:w="946" w:type="dxa"/>
            <w:vAlign w:val="center"/>
          </w:tcPr>
          <w:p w14:paraId="5866EABC">
            <w:pPr>
              <w:spacing w:line="360" w:lineRule="auto"/>
              <w:jc w:val="center"/>
              <w:rPr>
                <w:rFonts w:ascii="宋体" w:hAnsi="宋体" w:eastAsia="宋体" w:cs="宋体"/>
                <w:color w:val="auto"/>
                <w:sz w:val="28"/>
                <w:highlight w:val="none"/>
              </w:rPr>
            </w:pPr>
          </w:p>
        </w:tc>
        <w:tc>
          <w:tcPr>
            <w:tcW w:w="946" w:type="dxa"/>
            <w:vAlign w:val="center"/>
          </w:tcPr>
          <w:p w14:paraId="6DA79AA2">
            <w:pPr>
              <w:spacing w:line="360" w:lineRule="auto"/>
              <w:jc w:val="center"/>
              <w:rPr>
                <w:rFonts w:ascii="宋体" w:hAnsi="宋体" w:eastAsia="宋体" w:cs="宋体"/>
                <w:color w:val="auto"/>
                <w:sz w:val="28"/>
                <w:highlight w:val="none"/>
              </w:rPr>
            </w:pPr>
          </w:p>
        </w:tc>
        <w:tc>
          <w:tcPr>
            <w:tcW w:w="2972" w:type="dxa"/>
            <w:vAlign w:val="center"/>
          </w:tcPr>
          <w:p w14:paraId="41983E4D">
            <w:pPr>
              <w:spacing w:line="360" w:lineRule="auto"/>
              <w:jc w:val="center"/>
              <w:rPr>
                <w:rFonts w:ascii="宋体" w:hAnsi="宋体" w:eastAsia="宋体" w:cs="宋体"/>
                <w:color w:val="auto"/>
                <w:sz w:val="28"/>
                <w:highlight w:val="none"/>
              </w:rPr>
            </w:pPr>
          </w:p>
        </w:tc>
      </w:tr>
      <w:tr w14:paraId="76176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552" w:type="dxa"/>
            <w:vAlign w:val="center"/>
          </w:tcPr>
          <w:p w14:paraId="0AF2321F">
            <w:pPr>
              <w:spacing w:line="360" w:lineRule="auto"/>
              <w:jc w:val="center"/>
              <w:rPr>
                <w:rFonts w:ascii="宋体" w:hAnsi="宋体" w:eastAsia="宋体" w:cs="宋体"/>
                <w:color w:val="auto"/>
                <w:sz w:val="28"/>
                <w:highlight w:val="none"/>
              </w:rPr>
            </w:pPr>
          </w:p>
        </w:tc>
        <w:tc>
          <w:tcPr>
            <w:tcW w:w="2012" w:type="dxa"/>
            <w:vAlign w:val="center"/>
          </w:tcPr>
          <w:p w14:paraId="1EBAC8EB">
            <w:pPr>
              <w:spacing w:line="360" w:lineRule="auto"/>
              <w:jc w:val="center"/>
              <w:rPr>
                <w:rFonts w:ascii="宋体" w:hAnsi="宋体" w:eastAsia="宋体" w:cs="宋体"/>
                <w:color w:val="auto"/>
                <w:sz w:val="28"/>
                <w:highlight w:val="none"/>
              </w:rPr>
            </w:pPr>
          </w:p>
        </w:tc>
        <w:tc>
          <w:tcPr>
            <w:tcW w:w="1190" w:type="dxa"/>
            <w:vAlign w:val="center"/>
          </w:tcPr>
          <w:p w14:paraId="5A0A9B1C">
            <w:pPr>
              <w:spacing w:line="360" w:lineRule="auto"/>
              <w:jc w:val="center"/>
              <w:rPr>
                <w:rFonts w:ascii="宋体" w:hAnsi="宋体" w:eastAsia="宋体" w:cs="宋体"/>
                <w:color w:val="auto"/>
                <w:sz w:val="28"/>
                <w:highlight w:val="none"/>
              </w:rPr>
            </w:pPr>
          </w:p>
        </w:tc>
        <w:tc>
          <w:tcPr>
            <w:tcW w:w="946" w:type="dxa"/>
            <w:vAlign w:val="center"/>
          </w:tcPr>
          <w:p w14:paraId="5FD025F3">
            <w:pPr>
              <w:spacing w:line="360" w:lineRule="auto"/>
              <w:jc w:val="center"/>
              <w:rPr>
                <w:rFonts w:ascii="宋体" w:hAnsi="宋体" w:eastAsia="宋体" w:cs="宋体"/>
                <w:color w:val="auto"/>
                <w:sz w:val="28"/>
                <w:highlight w:val="none"/>
              </w:rPr>
            </w:pPr>
          </w:p>
        </w:tc>
        <w:tc>
          <w:tcPr>
            <w:tcW w:w="946" w:type="dxa"/>
            <w:vAlign w:val="center"/>
          </w:tcPr>
          <w:p w14:paraId="7FEE99FD">
            <w:pPr>
              <w:spacing w:line="360" w:lineRule="auto"/>
              <w:jc w:val="center"/>
              <w:rPr>
                <w:rFonts w:ascii="宋体" w:hAnsi="宋体" w:eastAsia="宋体" w:cs="宋体"/>
                <w:color w:val="auto"/>
                <w:sz w:val="28"/>
                <w:highlight w:val="none"/>
              </w:rPr>
            </w:pPr>
          </w:p>
        </w:tc>
        <w:tc>
          <w:tcPr>
            <w:tcW w:w="2972" w:type="dxa"/>
            <w:vAlign w:val="center"/>
          </w:tcPr>
          <w:p w14:paraId="53FD81A7">
            <w:pPr>
              <w:spacing w:line="360" w:lineRule="auto"/>
              <w:jc w:val="center"/>
              <w:rPr>
                <w:rFonts w:ascii="宋体" w:hAnsi="宋体" w:eastAsia="宋体" w:cs="宋体"/>
                <w:color w:val="auto"/>
                <w:sz w:val="28"/>
                <w:highlight w:val="none"/>
              </w:rPr>
            </w:pPr>
          </w:p>
        </w:tc>
      </w:tr>
      <w:tr w14:paraId="1536E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552" w:type="dxa"/>
            <w:vAlign w:val="center"/>
          </w:tcPr>
          <w:p w14:paraId="68447087">
            <w:pPr>
              <w:spacing w:line="360" w:lineRule="auto"/>
              <w:jc w:val="center"/>
              <w:rPr>
                <w:rFonts w:ascii="宋体" w:hAnsi="宋体" w:eastAsia="宋体" w:cs="宋体"/>
                <w:color w:val="auto"/>
                <w:sz w:val="28"/>
                <w:highlight w:val="none"/>
              </w:rPr>
            </w:pPr>
          </w:p>
        </w:tc>
        <w:tc>
          <w:tcPr>
            <w:tcW w:w="2012" w:type="dxa"/>
            <w:vAlign w:val="center"/>
          </w:tcPr>
          <w:p w14:paraId="7A92C95A">
            <w:pPr>
              <w:spacing w:line="360" w:lineRule="auto"/>
              <w:jc w:val="center"/>
              <w:rPr>
                <w:rFonts w:ascii="宋体" w:hAnsi="宋体" w:eastAsia="宋体" w:cs="宋体"/>
                <w:color w:val="auto"/>
                <w:sz w:val="28"/>
                <w:highlight w:val="none"/>
              </w:rPr>
            </w:pPr>
          </w:p>
        </w:tc>
        <w:tc>
          <w:tcPr>
            <w:tcW w:w="1190" w:type="dxa"/>
            <w:vAlign w:val="center"/>
          </w:tcPr>
          <w:p w14:paraId="3C643F94">
            <w:pPr>
              <w:spacing w:line="360" w:lineRule="auto"/>
              <w:jc w:val="center"/>
              <w:rPr>
                <w:rFonts w:ascii="宋体" w:hAnsi="宋体" w:eastAsia="宋体" w:cs="宋体"/>
                <w:color w:val="auto"/>
                <w:sz w:val="28"/>
                <w:highlight w:val="none"/>
              </w:rPr>
            </w:pPr>
          </w:p>
        </w:tc>
        <w:tc>
          <w:tcPr>
            <w:tcW w:w="946" w:type="dxa"/>
            <w:vAlign w:val="center"/>
          </w:tcPr>
          <w:p w14:paraId="7ED1B589">
            <w:pPr>
              <w:spacing w:line="360" w:lineRule="auto"/>
              <w:jc w:val="center"/>
              <w:rPr>
                <w:rFonts w:ascii="宋体" w:hAnsi="宋体" w:eastAsia="宋体" w:cs="宋体"/>
                <w:color w:val="auto"/>
                <w:sz w:val="28"/>
                <w:highlight w:val="none"/>
              </w:rPr>
            </w:pPr>
          </w:p>
        </w:tc>
        <w:tc>
          <w:tcPr>
            <w:tcW w:w="946" w:type="dxa"/>
            <w:vAlign w:val="center"/>
          </w:tcPr>
          <w:p w14:paraId="63C051EB">
            <w:pPr>
              <w:spacing w:line="360" w:lineRule="auto"/>
              <w:jc w:val="center"/>
              <w:rPr>
                <w:rFonts w:ascii="宋体" w:hAnsi="宋体" w:eastAsia="宋体" w:cs="宋体"/>
                <w:color w:val="auto"/>
                <w:sz w:val="28"/>
                <w:highlight w:val="none"/>
              </w:rPr>
            </w:pPr>
          </w:p>
        </w:tc>
        <w:tc>
          <w:tcPr>
            <w:tcW w:w="2972" w:type="dxa"/>
            <w:vAlign w:val="center"/>
          </w:tcPr>
          <w:p w14:paraId="1136643C">
            <w:pPr>
              <w:spacing w:line="360" w:lineRule="auto"/>
              <w:jc w:val="center"/>
              <w:rPr>
                <w:rFonts w:ascii="宋体" w:hAnsi="宋体" w:eastAsia="宋体" w:cs="宋体"/>
                <w:color w:val="auto"/>
                <w:sz w:val="28"/>
                <w:highlight w:val="none"/>
              </w:rPr>
            </w:pPr>
          </w:p>
        </w:tc>
      </w:tr>
    </w:tbl>
    <w:p w14:paraId="0A15CB01">
      <w:pPr>
        <w:spacing w:line="360" w:lineRule="auto"/>
        <w:rPr>
          <w:rFonts w:ascii="宋体" w:hAnsi="宋体" w:eastAsia="宋体" w:cs="宋体"/>
          <w:b/>
          <w:color w:val="auto"/>
          <w:sz w:val="28"/>
          <w:szCs w:val="30"/>
          <w:highlight w:val="none"/>
        </w:rPr>
      </w:pPr>
    </w:p>
    <w:p w14:paraId="2AE32D72">
      <w:pPr>
        <w:spacing w:line="360" w:lineRule="auto"/>
        <w:jc w:val="left"/>
        <w:rPr>
          <w:rFonts w:ascii="宋体" w:hAnsi="宋体" w:eastAsia="宋体" w:cs="宋体"/>
          <w:bCs/>
          <w:color w:val="auto"/>
          <w:sz w:val="24"/>
          <w:highlight w:val="none"/>
        </w:rPr>
      </w:pPr>
    </w:p>
    <w:p w14:paraId="5FC68367">
      <w:pPr>
        <w:spacing w:line="360" w:lineRule="auto"/>
        <w:ind w:firstLine="480"/>
        <w:jc w:val="left"/>
        <w:rPr>
          <w:rFonts w:ascii="宋体" w:hAnsi="宋体" w:eastAsia="宋体" w:cs="宋体"/>
          <w:bCs/>
          <w:color w:val="auto"/>
          <w:sz w:val="24"/>
          <w:highlight w:val="none"/>
        </w:rPr>
      </w:pPr>
    </w:p>
    <w:p w14:paraId="43861265">
      <w:pPr>
        <w:spacing w:line="360" w:lineRule="auto"/>
        <w:ind w:firstLine="480"/>
        <w:jc w:val="left"/>
        <w:rPr>
          <w:rFonts w:ascii="宋体" w:hAnsi="宋体" w:eastAsia="宋体" w:cs="宋体"/>
          <w:bCs/>
          <w:color w:val="auto"/>
          <w:sz w:val="24"/>
          <w:highlight w:val="none"/>
        </w:rPr>
      </w:pPr>
    </w:p>
    <w:p w14:paraId="018FCB32">
      <w:pPr>
        <w:spacing w:line="360" w:lineRule="auto"/>
        <w:ind w:firstLine="480"/>
        <w:jc w:val="left"/>
        <w:rPr>
          <w:rFonts w:ascii="宋体" w:hAnsi="宋体" w:eastAsia="宋体" w:cs="宋体"/>
          <w:bCs/>
          <w:color w:val="auto"/>
          <w:sz w:val="24"/>
          <w:highlight w:val="none"/>
        </w:rPr>
      </w:pPr>
    </w:p>
    <w:p w14:paraId="358232CB">
      <w:pPr>
        <w:spacing w:line="360" w:lineRule="auto"/>
        <w:ind w:firstLine="480"/>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磋商供应商（盖章）：</w:t>
      </w:r>
    </w:p>
    <w:p w14:paraId="618B653C">
      <w:pPr>
        <w:spacing w:line="360" w:lineRule="auto"/>
        <w:ind w:firstLine="480"/>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法定代表人或委托代理人（签字或盖章）：</w:t>
      </w:r>
    </w:p>
    <w:p w14:paraId="7AC6ED0E">
      <w:pPr>
        <w:spacing w:line="360" w:lineRule="auto"/>
        <w:ind w:firstLine="1440"/>
        <w:rPr>
          <w:rFonts w:ascii="宋体" w:hAnsi="宋体" w:eastAsia="宋体" w:cs="宋体"/>
          <w:bCs/>
          <w:color w:val="auto"/>
          <w:sz w:val="24"/>
          <w:highlight w:val="none"/>
        </w:rPr>
      </w:pPr>
      <w:r>
        <w:rPr>
          <w:rFonts w:hint="eastAsia" w:ascii="宋体" w:hAnsi="宋体" w:eastAsia="宋体" w:cs="宋体"/>
          <w:bCs/>
          <w:color w:val="auto"/>
          <w:sz w:val="24"/>
          <w:highlight w:val="none"/>
        </w:rPr>
        <w:t>年     月     日</w:t>
      </w:r>
    </w:p>
    <w:p w14:paraId="3A5340B5">
      <w:pPr>
        <w:spacing w:line="360" w:lineRule="auto"/>
        <w:rPr>
          <w:rFonts w:ascii="宋体" w:hAnsi="宋体" w:eastAsia="宋体" w:cs="宋体"/>
          <w:b/>
          <w:bCs/>
          <w:color w:val="auto"/>
          <w:sz w:val="30"/>
          <w:szCs w:val="30"/>
          <w:highlight w:val="none"/>
          <w:lang w:bidi="ar"/>
        </w:rPr>
      </w:pPr>
    </w:p>
    <w:p w14:paraId="726D9C11">
      <w:pPr>
        <w:widowControl/>
        <w:spacing w:line="360" w:lineRule="auto"/>
        <w:ind w:firstLine="602"/>
        <w:jc w:val="center"/>
        <w:rPr>
          <w:rFonts w:ascii="宋体" w:hAnsi="宋体" w:eastAsia="宋体" w:cs="宋体"/>
          <w:b/>
          <w:bCs/>
          <w:color w:val="auto"/>
          <w:sz w:val="30"/>
          <w:szCs w:val="30"/>
          <w:highlight w:val="none"/>
          <w:lang w:bidi="ar"/>
        </w:rPr>
      </w:pPr>
    </w:p>
    <w:p w14:paraId="1CDC9E50">
      <w:pPr>
        <w:widowControl/>
        <w:spacing w:line="360" w:lineRule="auto"/>
        <w:ind w:firstLine="602"/>
        <w:jc w:val="center"/>
        <w:rPr>
          <w:rFonts w:ascii="宋体" w:hAnsi="宋体" w:eastAsia="宋体" w:cs="宋体"/>
          <w:b/>
          <w:bCs/>
          <w:color w:val="auto"/>
          <w:sz w:val="30"/>
          <w:szCs w:val="30"/>
          <w:highlight w:val="none"/>
          <w:lang w:bidi="ar"/>
        </w:rPr>
      </w:pPr>
    </w:p>
    <w:p w14:paraId="0CC5DE63">
      <w:pPr>
        <w:widowControl/>
        <w:spacing w:line="360" w:lineRule="auto"/>
        <w:ind w:firstLine="602"/>
        <w:jc w:val="center"/>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9.2商务部分</w:t>
      </w:r>
    </w:p>
    <w:p w14:paraId="3A185C02">
      <w:pPr>
        <w:pStyle w:val="22"/>
        <w:numPr>
          <w:ilvl w:val="0"/>
          <w:numId w:val="5"/>
        </w:numPr>
        <w:spacing w:line="360" w:lineRule="auto"/>
        <w:jc w:val="left"/>
        <w:rPr>
          <w:rFonts w:hAnsi="宋体" w:eastAsia="宋体" w:cs="宋体"/>
          <w:color w:val="auto"/>
          <w:szCs w:val="21"/>
          <w:highlight w:val="none"/>
        </w:rPr>
      </w:pPr>
      <w:r>
        <w:rPr>
          <w:rFonts w:hint="eastAsia" w:hAnsi="宋体" w:eastAsia="宋体" w:cs="宋体"/>
          <w:color w:val="auto"/>
          <w:szCs w:val="21"/>
          <w:highlight w:val="none"/>
        </w:rPr>
        <w:t>人员配置合理</w:t>
      </w:r>
    </w:p>
    <w:p w14:paraId="61BB2F96">
      <w:pPr>
        <w:pStyle w:val="22"/>
        <w:numPr>
          <w:ilvl w:val="0"/>
          <w:numId w:val="5"/>
        </w:numPr>
        <w:spacing w:line="360" w:lineRule="auto"/>
        <w:jc w:val="left"/>
        <w:rPr>
          <w:rFonts w:hAnsi="宋体" w:eastAsia="宋体" w:cs="宋体"/>
          <w:color w:val="auto"/>
          <w:szCs w:val="21"/>
          <w:highlight w:val="none"/>
        </w:rPr>
      </w:pPr>
      <w:r>
        <w:rPr>
          <w:rFonts w:hint="eastAsia" w:hAnsi="宋体" w:eastAsia="宋体" w:cs="宋体"/>
          <w:color w:val="auto"/>
          <w:szCs w:val="21"/>
          <w:highlight w:val="none"/>
        </w:rPr>
        <w:t>企业业绩</w:t>
      </w:r>
    </w:p>
    <w:p w14:paraId="01C20645">
      <w:pPr>
        <w:pStyle w:val="22"/>
        <w:spacing w:line="360" w:lineRule="auto"/>
        <w:jc w:val="left"/>
        <w:rPr>
          <w:rFonts w:hAnsi="宋体" w:eastAsia="宋体" w:cs="宋体"/>
          <w:color w:val="auto"/>
          <w:highlight w:val="none"/>
          <w:lang w:bidi="ar"/>
        </w:rPr>
      </w:pPr>
      <w:r>
        <w:rPr>
          <w:rFonts w:hint="eastAsia" w:hAnsi="宋体" w:eastAsia="宋体" w:cs="宋体"/>
          <w:color w:val="auto"/>
          <w:szCs w:val="21"/>
          <w:highlight w:val="none"/>
        </w:rPr>
        <w:t>3、相关认证</w:t>
      </w:r>
    </w:p>
    <w:p w14:paraId="310B0AB3">
      <w:pPr>
        <w:pStyle w:val="205"/>
        <w:ind w:firstLine="420"/>
        <w:rPr>
          <w:rFonts w:hAnsi="宋体" w:cs="宋体"/>
          <w:color w:val="auto"/>
          <w:sz w:val="21"/>
          <w:szCs w:val="21"/>
          <w:highlight w:val="none"/>
        </w:rPr>
      </w:pPr>
    </w:p>
    <w:p w14:paraId="605A33EE">
      <w:pPr>
        <w:spacing w:line="360" w:lineRule="auto"/>
        <w:rPr>
          <w:rFonts w:ascii="宋体" w:hAnsi="宋体" w:eastAsia="宋体" w:cs="宋体"/>
          <w:color w:val="auto"/>
          <w:highlight w:val="none"/>
        </w:rPr>
      </w:pPr>
    </w:p>
    <w:p w14:paraId="3BF9909D">
      <w:pPr>
        <w:spacing w:line="360" w:lineRule="auto"/>
        <w:rPr>
          <w:rFonts w:ascii="宋体" w:hAnsi="宋体" w:eastAsia="宋体" w:cs="宋体"/>
          <w:color w:val="auto"/>
          <w:highlight w:val="none"/>
        </w:rPr>
      </w:pPr>
    </w:p>
    <w:p w14:paraId="5FC8CB5E">
      <w:pPr>
        <w:pStyle w:val="205"/>
        <w:ind w:firstLine="480"/>
        <w:rPr>
          <w:rFonts w:hAnsi="宋体" w:cs="宋体"/>
          <w:color w:val="auto"/>
          <w:highlight w:val="none"/>
        </w:rPr>
      </w:pPr>
    </w:p>
    <w:p w14:paraId="279B56DD">
      <w:pPr>
        <w:spacing w:line="360" w:lineRule="auto"/>
        <w:rPr>
          <w:rFonts w:ascii="宋体" w:hAnsi="宋体" w:eastAsia="宋体" w:cs="宋体"/>
          <w:color w:val="auto"/>
          <w:highlight w:val="none"/>
        </w:rPr>
      </w:pPr>
    </w:p>
    <w:p w14:paraId="3ABFD75A">
      <w:pPr>
        <w:pStyle w:val="205"/>
        <w:ind w:firstLine="480"/>
        <w:rPr>
          <w:rFonts w:hAnsi="宋体" w:cs="宋体"/>
          <w:color w:val="auto"/>
          <w:highlight w:val="none"/>
        </w:rPr>
      </w:pPr>
    </w:p>
    <w:p w14:paraId="07C4F4BE">
      <w:pPr>
        <w:spacing w:line="360" w:lineRule="auto"/>
        <w:rPr>
          <w:rFonts w:ascii="宋体" w:hAnsi="宋体" w:eastAsia="宋体" w:cs="宋体"/>
          <w:color w:val="auto"/>
          <w:highlight w:val="none"/>
        </w:rPr>
      </w:pPr>
    </w:p>
    <w:p w14:paraId="0BBCE688">
      <w:pPr>
        <w:pStyle w:val="205"/>
        <w:ind w:firstLine="480"/>
        <w:rPr>
          <w:rFonts w:hAnsi="宋体" w:cs="宋体"/>
          <w:color w:val="auto"/>
          <w:highlight w:val="none"/>
        </w:rPr>
      </w:pPr>
    </w:p>
    <w:p w14:paraId="3C9F3485">
      <w:pPr>
        <w:spacing w:line="360" w:lineRule="auto"/>
        <w:rPr>
          <w:rFonts w:ascii="宋体" w:hAnsi="宋体" w:eastAsia="宋体" w:cs="宋体"/>
          <w:color w:val="auto"/>
          <w:highlight w:val="none"/>
        </w:rPr>
      </w:pPr>
    </w:p>
    <w:p w14:paraId="1664B8CB">
      <w:pPr>
        <w:pStyle w:val="205"/>
        <w:ind w:firstLine="480"/>
        <w:rPr>
          <w:rFonts w:hAnsi="宋体" w:cs="宋体"/>
          <w:color w:val="auto"/>
          <w:highlight w:val="none"/>
        </w:rPr>
      </w:pPr>
    </w:p>
    <w:p w14:paraId="07678615">
      <w:pPr>
        <w:spacing w:line="360" w:lineRule="auto"/>
        <w:rPr>
          <w:rFonts w:ascii="宋体" w:hAnsi="宋体" w:eastAsia="宋体" w:cs="宋体"/>
          <w:color w:val="auto"/>
          <w:highlight w:val="none"/>
        </w:rPr>
      </w:pPr>
    </w:p>
    <w:p w14:paraId="7877B99C">
      <w:pPr>
        <w:pStyle w:val="205"/>
        <w:ind w:firstLine="480"/>
        <w:rPr>
          <w:rFonts w:hAnsi="宋体" w:cs="宋体"/>
          <w:color w:val="auto"/>
          <w:highlight w:val="none"/>
        </w:rPr>
      </w:pPr>
    </w:p>
    <w:p w14:paraId="481FEE18">
      <w:pPr>
        <w:spacing w:line="360" w:lineRule="auto"/>
        <w:rPr>
          <w:rFonts w:ascii="宋体" w:hAnsi="宋体" w:eastAsia="宋体" w:cs="宋体"/>
          <w:color w:val="auto"/>
          <w:highlight w:val="none"/>
        </w:rPr>
      </w:pPr>
    </w:p>
    <w:p w14:paraId="2425B35F">
      <w:pPr>
        <w:pStyle w:val="205"/>
        <w:ind w:firstLine="480"/>
        <w:rPr>
          <w:rFonts w:hAnsi="宋体" w:cs="宋体"/>
          <w:color w:val="auto"/>
          <w:highlight w:val="none"/>
        </w:rPr>
      </w:pPr>
    </w:p>
    <w:p w14:paraId="68A32580">
      <w:pPr>
        <w:spacing w:line="360" w:lineRule="auto"/>
        <w:rPr>
          <w:rFonts w:ascii="宋体" w:hAnsi="宋体" w:eastAsia="宋体" w:cs="宋体"/>
          <w:color w:val="auto"/>
          <w:highlight w:val="none"/>
        </w:rPr>
      </w:pPr>
    </w:p>
    <w:p w14:paraId="3E9AA347">
      <w:pPr>
        <w:pStyle w:val="205"/>
        <w:ind w:firstLine="480"/>
        <w:rPr>
          <w:rFonts w:hAnsi="宋体" w:cs="宋体"/>
          <w:color w:val="auto"/>
          <w:highlight w:val="none"/>
        </w:rPr>
      </w:pPr>
    </w:p>
    <w:p w14:paraId="20CDF090">
      <w:pPr>
        <w:spacing w:line="360" w:lineRule="auto"/>
        <w:rPr>
          <w:rFonts w:ascii="宋体" w:hAnsi="宋体" w:eastAsia="宋体" w:cs="宋体"/>
          <w:color w:val="auto"/>
          <w:highlight w:val="none"/>
        </w:rPr>
      </w:pPr>
    </w:p>
    <w:p w14:paraId="1D2E85F5">
      <w:pPr>
        <w:pStyle w:val="205"/>
        <w:ind w:firstLine="480"/>
        <w:rPr>
          <w:rFonts w:hAnsi="宋体" w:cs="宋体"/>
          <w:color w:val="auto"/>
          <w:highlight w:val="none"/>
        </w:rPr>
      </w:pPr>
    </w:p>
    <w:p w14:paraId="3F058813">
      <w:pPr>
        <w:spacing w:line="360" w:lineRule="auto"/>
        <w:rPr>
          <w:rFonts w:ascii="宋体" w:hAnsi="宋体" w:eastAsia="宋体" w:cs="宋体"/>
          <w:color w:val="auto"/>
          <w:highlight w:val="none"/>
        </w:rPr>
      </w:pPr>
    </w:p>
    <w:p w14:paraId="0D32775C">
      <w:pPr>
        <w:pStyle w:val="205"/>
        <w:ind w:firstLine="480"/>
        <w:rPr>
          <w:rFonts w:hAnsi="宋体" w:cs="宋体"/>
          <w:color w:val="auto"/>
          <w:highlight w:val="none"/>
        </w:rPr>
      </w:pPr>
    </w:p>
    <w:p w14:paraId="6BB93D2A">
      <w:pPr>
        <w:spacing w:line="360" w:lineRule="auto"/>
        <w:rPr>
          <w:rFonts w:ascii="宋体" w:hAnsi="宋体" w:eastAsia="宋体" w:cs="宋体"/>
          <w:color w:val="auto"/>
          <w:highlight w:val="none"/>
        </w:rPr>
      </w:pPr>
    </w:p>
    <w:p w14:paraId="2FA1DAD0">
      <w:pPr>
        <w:pStyle w:val="205"/>
        <w:ind w:firstLine="480"/>
        <w:rPr>
          <w:rFonts w:hAnsi="宋体" w:cs="宋体"/>
          <w:color w:val="auto"/>
          <w:highlight w:val="none"/>
        </w:rPr>
      </w:pPr>
    </w:p>
    <w:p w14:paraId="298905FB">
      <w:pPr>
        <w:spacing w:line="360" w:lineRule="auto"/>
        <w:rPr>
          <w:rFonts w:ascii="宋体" w:hAnsi="宋体" w:eastAsia="宋体" w:cs="宋体"/>
          <w:color w:val="auto"/>
          <w:highlight w:val="none"/>
        </w:rPr>
      </w:pPr>
    </w:p>
    <w:p w14:paraId="3D53440D">
      <w:pPr>
        <w:pStyle w:val="205"/>
        <w:ind w:firstLine="480"/>
        <w:rPr>
          <w:rFonts w:hAnsi="宋体" w:cs="宋体"/>
          <w:color w:val="auto"/>
          <w:highlight w:val="none"/>
        </w:rPr>
      </w:pPr>
    </w:p>
    <w:p w14:paraId="49383CDD">
      <w:pPr>
        <w:rPr>
          <w:rFonts w:hAnsi="宋体" w:cs="宋体"/>
          <w:color w:val="auto"/>
          <w:highlight w:val="none"/>
        </w:rPr>
      </w:pPr>
    </w:p>
    <w:p w14:paraId="293FBD39">
      <w:pPr>
        <w:pStyle w:val="16"/>
        <w:rPr>
          <w:color w:val="auto"/>
          <w:highlight w:val="none"/>
        </w:rPr>
      </w:pPr>
    </w:p>
    <w:p w14:paraId="16EC84A8">
      <w:pPr>
        <w:rPr>
          <w:rFonts w:ascii="宋体" w:hAnsi="宋体" w:eastAsia="宋体" w:cs="宋体"/>
          <w:color w:val="auto"/>
          <w:highlight w:val="none"/>
        </w:rPr>
      </w:pPr>
    </w:p>
    <w:p w14:paraId="7CED663D">
      <w:pPr>
        <w:rPr>
          <w:rFonts w:ascii="宋体" w:hAnsi="宋体" w:eastAsia="宋体" w:cs="宋体"/>
          <w:color w:val="auto"/>
          <w:highlight w:val="none"/>
        </w:rPr>
      </w:pPr>
    </w:p>
    <w:p w14:paraId="000EA088">
      <w:pPr>
        <w:rPr>
          <w:rFonts w:ascii="宋体" w:hAnsi="宋体" w:eastAsia="宋体" w:cs="宋体"/>
          <w:color w:val="auto"/>
          <w:highlight w:val="none"/>
        </w:rPr>
      </w:pPr>
    </w:p>
    <w:p w14:paraId="76797FC2">
      <w:pPr>
        <w:spacing w:line="360" w:lineRule="auto"/>
        <w:jc w:val="center"/>
        <w:rPr>
          <w:rFonts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类似项目业绩一览表</w:t>
      </w:r>
    </w:p>
    <w:tbl>
      <w:tblPr>
        <w:tblStyle w:val="39"/>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0B0BF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3383DCC6">
            <w:pPr>
              <w:spacing w:line="360" w:lineRule="auto"/>
              <w:jc w:val="center"/>
              <w:rPr>
                <w:rFonts w:ascii="宋体" w:hAnsi="宋体" w:eastAsia="宋体" w:cs="宋体"/>
                <w:color w:val="auto"/>
                <w:sz w:val="28"/>
                <w:highlight w:val="none"/>
              </w:rPr>
            </w:pPr>
            <w:r>
              <w:rPr>
                <w:rFonts w:hint="eastAsia" w:ascii="宋体" w:hAnsi="宋体" w:eastAsia="宋体" w:cs="宋体"/>
                <w:color w:val="auto"/>
                <w:sz w:val="28"/>
                <w:highlight w:val="none"/>
              </w:rPr>
              <w:t>序号</w:t>
            </w:r>
          </w:p>
        </w:tc>
        <w:tc>
          <w:tcPr>
            <w:tcW w:w="2439" w:type="dxa"/>
            <w:vAlign w:val="center"/>
          </w:tcPr>
          <w:p w14:paraId="06B96A7E">
            <w:pPr>
              <w:spacing w:line="360" w:lineRule="auto"/>
              <w:jc w:val="center"/>
              <w:rPr>
                <w:rFonts w:ascii="宋体" w:hAnsi="宋体" w:eastAsia="宋体" w:cs="宋体"/>
                <w:color w:val="auto"/>
                <w:sz w:val="28"/>
                <w:highlight w:val="none"/>
              </w:rPr>
            </w:pPr>
            <w:r>
              <w:rPr>
                <w:rFonts w:hint="eastAsia" w:ascii="宋体" w:hAnsi="宋体" w:eastAsia="宋体" w:cs="宋体"/>
                <w:color w:val="auto"/>
                <w:sz w:val="28"/>
                <w:highlight w:val="none"/>
              </w:rPr>
              <w:t>项目名称</w:t>
            </w:r>
          </w:p>
        </w:tc>
        <w:tc>
          <w:tcPr>
            <w:tcW w:w="2135" w:type="dxa"/>
            <w:vAlign w:val="center"/>
          </w:tcPr>
          <w:p w14:paraId="284142C3">
            <w:pPr>
              <w:spacing w:line="360" w:lineRule="auto"/>
              <w:jc w:val="center"/>
              <w:rPr>
                <w:rFonts w:ascii="宋体" w:hAnsi="宋体" w:eastAsia="宋体" w:cs="宋体"/>
                <w:color w:val="auto"/>
                <w:sz w:val="28"/>
                <w:highlight w:val="none"/>
              </w:rPr>
            </w:pPr>
            <w:r>
              <w:rPr>
                <w:rFonts w:hint="eastAsia" w:ascii="宋体" w:hAnsi="宋体" w:eastAsia="宋体" w:cs="宋体"/>
                <w:color w:val="auto"/>
                <w:sz w:val="28"/>
                <w:highlight w:val="none"/>
              </w:rPr>
              <w:t>签订时间</w:t>
            </w:r>
          </w:p>
        </w:tc>
        <w:tc>
          <w:tcPr>
            <w:tcW w:w="1358" w:type="dxa"/>
            <w:vAlign w:val="center"/>
          </w:tcPr>
          <w:p w14:paraId="6CDF9A55">
            <w:pPr>
              <w:spacing w:line="360" w:lineRule="auto"/>
              <w:jc w:val="center"/>
              <w:rPr>
                <w:rFonts w:ascii="宋体" w:hAnsi="宋体" w:eastAsia="宋体" w:cs="宋体"/>
                <w:color w:val="auto"/>
                <w:sz w:val="28"/>
                <w:highlight w:val="none"/>
              </w:rPr>
            </w:pPr>
            <w:r>
              <w:rPr>
                <w:rFonts w:hint="eastAsia" w:ascii="宋体" w:hAnsi="宋体" w:eastAsia="宋体" w:cs="宋体"/>
                <w:color w:val="auto"/>
                <w:sz w:val="28"/>
                <w:highlight w:val="none"/>
              </w:rPr>
              <w:t>建设单位</w:t>
            </w:r>
          </w:p>
        </w:tc>
        <w:tc>
          <w:tcPr>
            <w:tcW w:w="2418" w:type="dxa"/>
            <w:vAlign w:val="center"/>
          </w:tcPr>
          <w:p w14:paraId="32305B0F">
            <w:pPr>
              <w:spacing w:line="360" w:lineRule="auto"/>
              <w:jc w:val="center"/>
              <w:rPr>
                <w:rFonts w:ascii="宋体" w:hAnsi="宋体" w:eastAsia="宋体" w:cs="宋体"/>
                <w:color w:val="auto"/>
                <w:sz w:val="28"/>
                <w:highlight w:val="none"/>
              </w:rPr>
            </w:pPr>
            <w:r>
              <w:rPr>
                <w:rFonts w:hint="eastAsia" w:ascii="宋体" w:hAnsi="宋体" w:eastAsia="宋体" w:cs="宋体"/>
                <w:color w:val="auto"/>
                <w:sz w:val="28"/>
                <w:highlight w:val="none"/>
              </w:rPr>
              <w:t>合同金额</w:t>
            </w:r>
          </w:p>
        </w:tc>
      </w:tr>
      <w:tr w14:paraId="5638E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5546DDE1">
            <w:pPr>
              <w:spacing w:line="360" w:lineRule="auto"/>
              <w:jc w:val="center"/>
              <w:rPr>
                <w:rFonts w:ascii="宋体" w:hAnsi="宋体" w:eastAsia="宋体" w:cs="宋体"/>
                <w:color w:val="auto"/>
                <w:sz w:val="28"/>
                <w:highlight w:val="none"/>
              </w:rPr>
            </w:pPr>
          </w:p>
        </w:tc>
        <w:tc>
          <w:tcPr>
            <w:tcW w:w="2439" w:type="dxa"/>
            <w:vAlign w:val="center"/>
          </w:tcPr>
          <w:p w14:paraId="30EEF947">
            <w:pPr>
              <w:spacing w:line="360" w:lineRule="auto"/>
              <w:jc w:val="center"/>
              <w:rPr>
                <w:rFonts w:ascii="宋体" w:hAnsi="宋体" w:eastAsia="宋体" w:cs="宋体"/>
                <w:color w:val="auto"/>
                <w:sz w:val="28"/>
                <w:highlight w:val="none"/>
              </w:rPr>
            </w:pPr>
          </w:p>
        </w:tc>
        <w:tc>
          <w:tcPr>
            <w:tcW w:w="2135" w:type="dxa"/>
            <w:vAlign w:val="center"/>
          </w:tcPr>
          <w:p w14:paraId="564C17B3">
            <w:pPr>
              <w:spacing w:line="360" w:lineRule="auto"/>
              <w:jc w:val="center"/>
              <w:rPr>
                <w:rFonts w:ascii="宋体" w:hAnsi="宋体" w:eastAsia="宋体" w:cs="宋体"/>
                <w:color w:val="auto"/>
                <w:sz w:val="28"/>
                <w:highlight w:val="none"/>
              </w:rPr>
            </w:pPr>
          </w:p>
        </w:tc>
        <w:tc>
          <w:tcPr>
            <w:tcW w:w="1358" w:type="dxa"/>
            <w:vAlign w:val="center"/>
          </w:tcPr>
          <w:p w14:paraId="0F093A18">
            <w:pPr>
              <w:spacing w:line="360" w:lineRule="auto"/>
              <w:jc w:val="center"/>
              <w:rPr>
                <w:rFonts w:ascii="宋体" w:hAnsi="宋体" w:eastAsia="宋体" w:cs="宋体"/>
                <w:color w:val="auto"/>
                <w:sz w:val="28"/>
                <w:highlight w:val="none"/>
              </w:rPr>
            </w:pPr>
          </w:p>
        </w:tc>
        <w:tc>
          <w:tcPr>
            <w:tcW w:w="2418" w:type="dxa"/>
            <w:vAlign w:val="center"/>
          </w:tcPr>
          <w:p w14:paraId="2FCF13DA">
            <w:pPr>
              <w:spacing w:line="360" w:lineRule="auto"/>
              <w:jc w:val="center"/>
              <w:rPr>
                <w:rFonts w:ascii="宋体" w:hAnsi="宋体" w:eastAsia="宋体" w:cs="宋体"/>
                <w:color w:val="auto"/>
                <w:sz w:val="28"/>
                <w:highlight w:val="none"/>
              </w:rPr>
            </w:pPr>
          </w:p>
        </w:tc>
      </w:tr>
      <w:tr w14:paraId="2B2C2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5738989E">
            <w:pPr>
              <w:spacing w:line="360" w:lineRule="auto"/>
              <w:jc w:val="center"/>
              <w:rPr>
                <w:rFonts w:ascii="宋体" w:hAnsi="宋体" w:eastAsia="宋体" w:cs="宋体"/>
                <w:color w:val="auto"/>
                <w:sz w:val="28"/>
                <w:highlight w:val="none"/>
              </w:rPr>
            </w:pPr>
          </w:p>
        </w:tc>
        <w:tc>
          <w:tcPr>
            <w:tcW w:w="2439" w:type="dxa"/>
            <w:vAlign w:val="center"/>
          </w:tcPr>
          <w:p w14:paraId="40CB3E5C">
            <w:pPr>
              <w:spacing w:line="360" w:lineRule="auto"/>
              <w:jc w:val="center"/>
              <w:rPr>
                <w:rFonts w:ascii="宋体" w:hAnsi="宋体" w:eastAsia="宋体" w:cs="宋体"/>
                <w:color w:val="auto"/>
                <w:sz w:val="28"/>
                <w:highlight w:val="none"/>
              </w:rPr>
            </w:pPr>
          </w:p>
        </w:tc>
        <w:tc>
          <w:tcPr>
            <w:tcW w:w="2135" w:type="dxa"/>
            <w:vAlign w:val="center"/>
          </w:tcPr>
          <w:p w14:paraId="6AB124DC">
            <w:pPr>
              <w:spacing w:line="360" w:lineRule="auto"/>
              <w:jc w:val="center"/>
              <w:rPr>
                <w:rFonts w:ascii="宋体" w:hAnsi="宋体" w:eastAsia="宋体" w:cs="宋体"/>
                <w:color w:val="auto"/>
                <w:sz w:val="28"/>
                <w:highlight w:val="none"/>
              </w:rPr>
            </w:pPr>
          </w:p>
        </w:tc>
        <w:tc>
          <w:tcPr>
            <w:tcW w:w="1358" w:type="dxa"/>
            <w:vAlign w:val="center"/>
          </w:tcPr>
          <w:p w14:paraId="263DF494">
            <w:pPr>
              <w:spacing w:line="360" w:lineRule="auto"/>
              <w:jc w:val="center"/>
              <w:rPr>
                <w:rFonts w:ascii="宋体" w:hAnsi="宋体" w:eastAsia="宋体" w:cs="宋体"/>
                <w:color w:val="auto"/>
                <w:sz w:val="28"/>
                <w:highlight w:val="none"/>
              </w:rPr>
            </w:pPr>
          </w:p>
        </w:tc>
        <w:tc>
          <w:tcPr>
            <w:tcW w:w="2418" w:type="dxa"/>
            <w:vAlign w:val="center"/>
          </w:tcPr>
          <w:p w14:paraId="525CC7A3">
            <w:pPr>
              <w:spacing w:line="360" w:lineRule="auto"/>
              <w:jc w:val="center"/>
              <w:rPr>
                <w:rFonts w:ascii="宋体" w:hAnsi="宋体" w:eastAsia="宋体" w:cs="宋体"/>
                <w:color w:val="auto"/>
                <w:sz w:val="28"/>
                <w:highlight w:val="none"/>
              </w:rPr>
            </w:pPr>
          </w:p>
        </w:tc>
      </w:tr>
      <w:tr w14:paraId="6E10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7378E73E">
            <w:pPr>
              <w:spacing w:line="360" w:lineRule="auto"/>
              <w:jc w:val="center"/>
              <w:rPr>
                <w:rFonts w:ascii="宋体" w:hAnsi="宋体" w:eastAsia="宋体" w:cs="宋体"/>
                <w:color w:val="auto"/>
                <w:sz w:val="28"/>
                <w:highlight w:val="none"/>
              </w:rPr>
            </w:pPr>
          </w:p>
        </w:tc>
        <w:tc>
          <w:tcPr>
            <w:tcW w:w="2439" w:type="dxa"/>
            <w:vAlign w:val="center"/>
          </w:tcPr>
          <w:p w14:paraId="54D83438">
            <w:pPr>
              <w:spacing w:line="360" w:lineRule="auto"/>
              <w:jc w:val="center"/>
              <w:rPr>
                <w:rFonts w:ascii="宋体" w:hAnsi="宋体" w:eastAsia="宋体" w:cs="宋体"/>
                <w:color w:val="auto"/>
                <w:sz w:val="28"/>
                <w:highlight w:val="none"/>
              </w:rPr>
            </w:pPr>
          </w:p>
        </w:tc>
        <w:tc>
          <w:tcPr>
            <w:tcW w:w="2135" w:type="dxa"/>
            <w:vAlign w:val="center"/>
          </w:tcPr>
          <w:p w14:paraId="2C4539D4">
            <w:pPr>
              <w:spacing w:line="360" w:lineRule="auto"/>
              <w:jc w:val="center"/>
              <w:rPr>
                <w:rFonts w:ascii="宋体" w:hAnsi="宋体" w:eastAsia="宋体" w:cs="宋体"/>
                <w:color w:val="auto"/>
                <w:sz w:val="28"/>
                <w:highlight w:val="none"/>
              </w:rPr>
            </w:pPr>
          </w:p>
        </w:tc>
        <w:tc>
          <w:tcPr>
            <w:tcW w:w="1358" w:type="dxa"/>
            <w:vAlign w:val="center"/>
          </w:tcPr>
          <w:p w14:paraId="0188A26A">
            <w:pPr>
              <w:spacing w:line="360" w:lineRule="auto"/>
              <w:jc w:val="center"/>
              <w:rPr>
                <w:rFonts w:ascii="宋体" w:hAnsi="宋体" w:eastAsia="宋体" w:cs="宋体"/>
                <w:color w:val="auto"/>
                <w:sz w:val="28"/>
                <w:highlight w:val="none"/>
              </w:rPr>
            </w:pPr>
          </w:p>
        </w:tc>
        <w:tc>
          <w:tcPr>
            <w:tcW w:w="2418" w:type="dxa"/>
            <w:vAlign w:val="center"/>
          </w:tcPr>
          <w:p w14:paraId="0B5FAA58">
            <w:pPr>
              <w:spacing w:line="360" w:lineRule="auto"/>
              <w:jc w:val="center"/>
              <w:rPr>
                <w:rFonts w:ascii="宋体" w:hAnsi="宋体" w:eastAsia="宋体" w:cs="宋体"/>
                <w:color w:val="auto"/>
                <w:sz w:val="28"/>
                <w:highlight w:val="none"/>
              </w:rPr>
            </w:pPr>
          </w:p>
        </w:tc>
      </w:tr>
      <w:tr w14:paraId="7D89A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4E3ACDAF">
            <w:pPr>
              <w:spacing w:line="360" w:lineRule="auto"/>
              <w:jc w:val="center"/>
              <w:rPr>
                <w:rFonts w:ascii="宋体" w:hAnsi="宋体" w:eastAsia="宋体" w:cs="宋体"/>
                <w:color w:val="auto"/>
                <w:sz w:val="28"/>
                <w:highlight w:val="none"/>
              </w:rPr>
            </w:pPr>
          </w:p>
        </w:tc>
        <w:tc>
          <w:tcPr>
            <w:tcW w:w="2439" w:type="dxa"/>
            <w:vAlign w:val="center"/>
          </w:tcPr>
          <w:p w14:paraId="3D570E94">
            <w:pPr>
              <w:spacing w:line="360" w:lineRule="auto"/>
              <w:jc w:val="center"/>
              <w:rPr>
                <w:rFonts w:ascii="宋体" w:hAnsi="宋体" w:eastAsia="宋体" w:cs="宋体"/>
                <w:color w:val="auto"/>
                <w:sz w:val="28"/>
                <w:highlight w:val="none"/>
              </w:rPr>
            </w:pPr>
          </w:p>
        </w:tc>
        <w:tc>
          <w:tcPr>
            <w:tcW w:w="2135" w:type="dxa"/>
            <w:vAlign w:val="center"/>
          </w:tcPr>
          <w:p w14:paraId="2AACC43E">
            <w:pPr>
              <w:spacing w:line="360" w:lineRule="auto"/>
              <w:jc w:val="center"/>
              <w:rPr>
                <w:rFonts w:ascii="宋体" w:hAnsi="宋体" w:eastAsia="宋体" w:cs="宋体"/>
                <w:color w:val="auto"/>
                <w:sz w:val="28"/>
                <w:highlight w:val="none"/>
              </w:rPr>
            </w:pPr>
          </w:p>
        </w:tc>
        <w:tc>
          <w:tcPr>
            <w:tcW w:w="1358" w:type="dxa"/>
            <w:vAlign w:val="center"/>
          </w:tcPr>
          <w:p w14:paraId="0D9F8616">
            <w:pPr>
              <w:spacing w:line="360" w:lineRule="auto"/>
              <w:jc w:val="center"/>
              <w:rPr>
                <w:rFonts w:ascii="宋体" w:hAnsi="宋体" w:eastAsia="宋体" w:cs="宋体"/>
                <w:color w:val="auto"/>
                <w:sz w:val="28"/>
                <w:highlight w:val="none"/>
              </w:rPr>
            </w:pPr>
          </w:p>
        </w:tc>
        <w:tc>
          <w:tcPr>
            <w:tcW w:w="2418" w:type="dxa"/>
            <w:vAlign w:val="center"/>
          </w:tcPr>
          <w:p w14:paraId="097BA55C">
            <w:pPr>
              <w:spacing w:line="360" w:lineRule="auto"/>
              <w:jc w:val="center"/>
              <w:rPr>
                <w:rFonts w:ascii="宋体" w:hAnsi="宋体" w:eastAsia="宋体" w:cs="宋体"/>
                <w:color w:val="auto"/>
                <w:sz w:val="28"/>
                <w:highlight w:val="none"/>
              </w:rPr>
            </w:pPr>
          </w:p>
        </w:tc>
      </w:tr>
      <w:tr w14:paraId="0EC8B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73BA9C49">
            <w:pPr>
              <w:spacing w:line="360" w:lineRule="auto"/>
              <w:jc w:val="center"/>
              <w:rPr>
                <w:rFonts w:ascii="宋体" w:hAnsi="宋体" w:eastAsia="宋体" w:cs="宋体"/>
                <w:color w:val="auto"/>
                <w:sz w:val="28"/>
                <w:highlight w:val="none"/>
              </w:rPr>
            </w:pPr>
          </w:p>
        </w:tc>
        <w:tc>
          <w:tcPr>
            <w:tcW w:w="2439" w:type="dxa"/>
            <w:vAlign w:val="center"/>
          </w:tcPr>
          <w:p w14:paraId="6CB4F193">
            <w:pPr>
              <w:spacing w:line="360" w:lineRule="auto"/>
              <w:jc w:val="center"/>
              <w:rPr>
                <w:rFonts w:ascii="宋体" w:hAnsi="宋体" w:eastAsia="宋体" w:cs="宋体"/>
                <w:color w:val="auto"/>
                <w:sz w:val="28"/>
                <w:highlight w:val="none"/>
              </w:rPr>
            </w:pPr>
          </w:p>
        </w:tc>
        <w:tc>
          <w:tcPr>
            <w:tcW w:w="2135" w:type="dxa"/>
            <w:vAlign w:val="center"/>
          </w:tcPr>
          <w:p w14:paraId="7992CE32">
            <w:pPr>
              <w:spacing w:line="360" w:lineRule="auto"/>
              <w:jc w:val="center"/>
              <w:rPr>
                <w:rFonts w:ascii="宋体" w:hAnsi="宋体" w:eastAsia="宋体" w:cs="宋体"/>
                <w:color w:val="auto"/>
                <w:sz w:val="28"/>
                <w:highlight w:val="none"/>
              </w:rPr>
            </w:pPr>
          </w:p>
        </w:tc>
        <w:tc>
          <w:tcPr>
            <w:tcW w:w="1358" w:type="dxa"/>
            <w:vAlign w:val="center"/>
          </w:tcPr>
          <w:p w14:paraId="13E8CCA6">
            <w:pPr>
              <w:spacing w:line="360" w:lineRule="auto"/>
              <w:jc w:val="center"/>
              <w:rPr>
                <w:rFonts w:ascii="宋体" w:hAnsi="宋体" w:eastAsia="宋体" w:cs="宋体"/>
                <w:color w:val="auto"/>
                <w:sz w:val="28"/>
                <w:highlight w:val="none"/>
              </w:rPr>
            </w:pPr>
          </w:p>
        </w:tc>
        <w:tc>
          <w:tcPr>
            <w:tcW w:w="2418" w:type="dxa"/>
            <w:vAlign w:val="center"/>
          </w:tcPr>
          <w:p w14:paraId="6E46F933">
            <w:pPr>
              <w:spacing w:line="360" w:lineRule="auto"/>
              <w:jc w:val="center"/>
              <w:rPr>
                <w:rFonts w:ascii="宋体" w:hAnsi="宋体" w:eastAsia="宋体" w:cs="宋体"/>
                <w:color w:val="auto"/>
                <w:sz w:val="28"/>
                <w:highlight w:val="none"/>
              </w:rPr>
            </w:pPr>
          </w:p>
        </w:tc>
      </w:tr>
      <w:tr w14:paraId="1811D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02E50250">
            <w:pPr>
              <w:spacing w:line="360" w:lineRule="auto"/>
              <w:jc w:val="center"/>
              <w:rPr>
                <w:rFonts w:ascii="宋体" w:hAnsi="宋体" w:eastAsia="宋体" w:cs="宋体"/>
                <w:color w:val="auto"/>
                <w:sz w:val="28"/>
                <w:highlight w:val="none"/>
              </w:rPr>
            </w:pPr>
          </w:p>
        </w:tc>
        <w:tc>
          <w:tcPr>
            <w:tcW w:w="2439" w:type="dxa"/>
            <w:vAlign w:val="center"/>
          </w:tcPr>
          <w:p w14:paraId="58826FA1">
            <w:pPr>
              <w:spacing w:line="360" w:lineRule="auto"/>
              <w:jc w:val="center"/>
              <w:rPr>
                <w:rFonts w:ascii="宋体" w:hAnsi="宋体" w:eastAsia="宋体" w:cs="宋体"/>
                <w:color w:val="auto"/>
                <w:sz w:val="28"/>
                <w:highlight w:val="none"/>
              </w:rPr>
            </w:pPr>
          </w:p>
        </w:tc>
        <w:tc>
          <w:tcPr>
            <w:tcW w:w="2135" w:type="dxa"/>
            <w:vAlign w:val="center"/>
          </w:tcPr>
          <w:p w14:paraId="45C34349">
            <w:pPr>
              <w:spacing w:line="360" w:lineRule="auto"/>
              <w:jc w:val="center"/>
              <w:rPr>
                <w:rFonts w:ascii="宋体" w:hAnsi="宋体" w:eastAsia="宋体" w:cs="宋体"/>
                <w:color w:val="auto"/>
                <w:sz w:val="28"/>
                <w:highlight w:val="none"/>
              </w:rPr>
            </w:pPr>
          </w:p>
        </w:tc>
        <w:tc>
          <w:tcPr>
            <w:tcW w:w="1358" w:type="dxa"/>
            <w:vAlign w:val="center"/>
          </w:tcPr>
          <w:p w14:paraId="41C3139A">
            <w:pPr>
              <w:spacing w:line="360" w:lineRule="auto"/>
              <w:jc w:val="center"/>
              <w:rPr>
                <w:rFonts w:ascii="宋体" w:hAnsi="宋体" w:eastAsia="宋体" w:cs="宋体"/>
                <w:color w:val="auto"/>
                <w:sz w:val="28"/>
                <w:highlight w:val="none"/>
              </w:rPr>
            </w:pPr>
          </w:p>
        </w:tc>
        <w:tc>
          <w:tcPr>
            <w:tcW w:w="2418" w:type="dxa"/>
            <w:vAlign w:val="center"/>
          </w:tcPr>
          <w:p w14:paraId="2C19433F">
            <w:pPr>
              <w:spacing w:line="360" w:lineRule="auto"/>
              <w:jc w:val="center"/>
              <w:rPr>
                <w:rFonts w:ascii="宋体" w:hAnsi="宋体" w:eastAsia="宋体" w:cs="宋体"/>
                <w:color w:val="auto"/>
                <w:sz w:val="28"/>
                <w:highlight w:val="none"/>
              </w:rPr>
            </w:pPr>
          </w:p>
        </w:tc>
      </w:tr>
      <w:tr w14:paraId="75446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69B93B8E">
            <w:pPr>
              <w:spacing w:line="360" w:lineRule="auto"/>
              <w:jc w:val="center"/>
              <w:rPr>
                <w:rFonts w:ascii="宋体" w:hAnsi="宋体" w:eastAsia="宋体" w:cs="宋体"/>
                <w:color w:val="auto"/>
                <w:sz w:val="28"/>
                <w:highlight w:val="none"/>
              </w:rPr>
            </w:pPr>
          </w:p>
        </w:tc>
        <w:tc>
          <w:tcPr>
            <w:tcW w:w="2439" w:type="dxa"/>
            <w:vAlign w:val="center"/>
          </w:tcPr>
          <w:p w14:paraId="041618DE">
            <w:pPr>
              <w:spacing w:line="360" w:lineRule="auto"/>
              <w:jc w:val="center"/>
              <w:rPr>
                <w:rFonts w:ascii="宋体" w:hAnsi="宋体" w:eastAsia="宋体" w:cs="宋体"/>
                <w:color w:val="auto"/>
                <w:sz w:val="28"/>
                <w:highlight w:val="none"/>
              </w:rPr>
            </w:pPr>
          </w:p>
        </w:tc>
        <w:tc>
          <w:tcPr>
            <w:tcW w:w="2135" w:type="dxa"/>
            <w:vAlign w:val="center"/>
          </w:tcPr>
          <w:p w14:paraId="05ECC72E">
            <w:pPr>
              <w:spacing w:line="360" w:lineRule="auto"/>
              <w:jc w:val="center"/>
              <w:rPr>
                <w:rFonts w:ascii="宋体" w:hAnsi="宋体" w:eastAsia="宋体" w:cs="宋体"/>
                <w:color w:val="auto"/>
                <w:sz w:val="28"/>
                <w:highlight w:val="none"/>
              </w:rPr>
            </w:pPr>
          </w:p>
        </w:tc>
        <w:tc>
          <w:tcPr>
            <w:tcW w:w="1358" w:type="dxa"/>
            <w:vAlign w:val="center"/>
          </w:tcPr>
          <w:p w14:paraId="69BB8C2F">
            <w:pPr>
              <w:spacing w:line="360" w:lineRule="auto"/>
              <w:jc w:val="center"/>
              <w:rPr>
                <w:rFonts w:ascii="宋体" w:hAnsi="宋体" w:eastAsia="宋体" w:cs="宋体"/>
                <w:color w:val="auto"/>
                <w:sz w:val="28"/>
                <w:highlight w:val="none"/>
              </w:rPr>
            </w:pPr>
          </w:p>
        </w:tc>
        <w:tc>
          <w:tcPr>
            <w:tcW w:w="2418" w:type="dxa"/>
            <w:vAlign w:val="center"/>
          </w:tcPr>
          <w:p w14:paraId="1CCCB3A8">
            <w:pPr>
              <w:spacing w:line="360" w:lineRule="auto"/>
              <w:jc w:val="center"/>
              <w:rPr>
                <w:rFonts w:ascii="宋体" w:hAnsi="宋体" w:eastAsia="宋体" w:cs="宋体"/>
                <w:color w:val="auto"/>
                <w:sz w:val="28"/>
                <w:highlight w:val="none"/>
              </w:rPr>
            </w:pPr>
          </w:p>
        </w:tc>
      </w:tr>
      <w:tr w14:paraId="03472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10F5A5C6">
            <w:pPr>
              <w:spacing w:line="360" w:lineRule="auto"/>
              <w:jc w:val="center"/>
              <w:rPr>
                <w:rFonts w:ascii="宋体" w:hAnsi="宋体" w:eastAsia="宋体" w:cs="宋体"/>
                <w:color w:val="auto"/>
                <w:sz w:val="28"/>
                <w:highlight w:val="none"/>
              </w:rPr>
            </w:pPr>
          </w:p>
        </w:tc>
        <w:tc>
          <w:tcPr>
            <w:tcW w:w="2439" w:type="dxa"/>
            <w:vAlign w:val="center"/>
          </w:tcPr>
          <w:p w14:paraId="123227FA">
            <w:pPr>
              <w:spacing w:line="360" w:lineRule="auto"/>
              <w:jc w:val="center"/>
              <w:rPr>
                <w:rFonts w:ascii="宋体" w:hAnsi="宋体" w:eastAsia="宋体" w:cs="宋体"/>
                <w:color w:val="auto"/>
                <w:sz w:val="28"/>
                <w:highlight w:val="none"/>
              </w:rPr>
            </w:pPr>
          </w:p>
        </w:tc>
        <w:tc>
          <w:tcPr>
            <w:tcW w:w="2135" w:type="dxa"/>
            <w:vAlign w:val="center"/>
          </w:tcPr>
          <w:p w14:paraId="3E80CAD0">
            <w:pPr>
              <w:spacing w:line="360" w:lineRule="auto"/>
              <w:jc w:val="center"/>
              <w:rPr>
                <w:rFonts w:ascii="宋体" w:hAnsi="宋体" w:eastAsia="宋体" w:cs="宋体"/>
                <w:color w:val="auto"/>
                <w:sz w:val="28"/>
                <w:highlight w:val="none"/>
              </w:rPr>
            </w:pPr>
          </w:p>
        </w:tc>
        <w:tc>
          <w:tcPr>
            <w:tcW w:w="1358" w:type="dxa"/>
            <w:vAlign w:val="center"/>
          </w:tcPr>
          <w:p w14:paraId="1F99F565">
            <w:pPr>
              <w:spacing w:line="360" w:lineRule="auto"/>
              <w:jc w:val="center"/>
              <w:rPr>
                <w:rFonts w:ascii="宋体" w:hAnsi="宋体" w:eastAsia="宋体" w:cs="宋体"/>
                <w:color w:val="auto"/>
                <w:sz w:val="28"/>
                <w:highlight w:val="none"/>
              </w:rPr>
            </w:pPr>
          </w:p>
        </w:tc>
        <w:tc>
          <w:tcPr>
            <w:tcW w:w="2418" w:type="dxa"/>
            <w:vAlign w:val="center"/>
          </w:tcPr>
          <w:p w14:paraId="1DAF6EB5">
            <w:pPr>
              <w:spacing w:line="360" w:lineRule="auto"/>
              <w:jc w:val="center"/>
              <w:rPr>
                <w:rFonts w:ascii="宋体" w:hAnsi="宋体" w:eastAsia="宋体" w:cs="宋体"/>
                <w:color w:val="auto"/>
                <w:sz w:val="28"/>
                <w:highlight w:val="none"/>
              </w:rPr>
            </w:pPr>
          </w:p>
        </w:tc>
      </w:tr>
      <w:tr w14:paraId="1DAF6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245F16E1">
            <w:pPr>
              <w:spacing w:line="360" w:lineRule="auto"/>
              <w:jc w:val="center"/>
              <w:rPr>
                <w:rFonts w:ascii="宋体" w:hAnsi="宋体" w:eastAsia="宋体" w:cs="宋体"/>
                <w:color w:val="auto"/>
                <w:sz w:val="28"/>
                <w:highlight w:val="none"/>
              </w:rPr>
            </w:pPr>
          </w:p>
        </w:tc>
        <w:tc>
          <w:tcPr>
            <w:tcW w:w="2439" w:type="dxa"/>
            <w:vAlign w:val="center"/>
          </w:tcPr>
          <w:p w14:paraId="0845388B">
            <w:pPr>
              <w:spacing w:line="360" w:lineRule="auto"/>
              <w:jc w:val="center"/>
              <w:rPr>
                <w:rFonts w:ascii="宋体" w:hAnsi="宋体" w:eastAsia="宋体" w:cs="宋体"/>
                <w:color w:val="auto"/>
                <w:sz w:val="28"/>
                <w:highlight w:val="none"/>
              </w:rPr>
            </w:pPr>
          </w:p>
        </w:tc>
        <w:tc>
          <w:tcPr>
            <w:tcW w:w="2135" w:type="dxa"/>
            <w:vAlign w:val="center"/>
          </w:tcPr>
          <w:p w14:paraId="2C4809F6">
            <w:pPr>
              <w:spacing w:line="360" w:lineRule="auto"/>
              <w:jc w:val="center"/>
              <w:rPr>
                <w:rFonts w:ascii="宋体" w:hAnsi="宋体" w:eastAsia="宋体" w:cs="宋体"/>
                <w:color w:val="auto"/>
                <w:sz w:val="28"/>
                <w:highlight w:val="none"/>
              </w:rPr>
            </w:pPr>
          </w:p>
        </w:tc>
        <w:tc>
          <w:tcPr>
            <w:tcW w:w="1358" w:type="dxa"/>
            <w:vAlign w:val="center"/>
          </w:tcPr>
          <w:p w14:paraId="38FC2746">
            <w:pPr>
              <w:spacing w:line="360" w:lineRule="auto"/>
              <w:jc w:val="center"/>
              <w:rPr>
                <w:rFonts w:ascii="宋体" w:hAnsi="宋体" w:eastAsia="宋体" w:cs="宋体"/>
                <w:color w:val="auto"/>
                <w:sz w:val="28"/>
                <w:highlight w:val="none"/>
              </w:rPr>
            </w:pPr>
          </w:p>
        </w:tc>
        <w:tc>
          <w:tcPr>
            <w:tcW w:w="2418" w:type="dxa"/>
            <w:vAlign w:val="center"/>
          </w:tcPr>
          <w:p w14:paraId="4FE2E3B8">
            <w:pPr>
              <w:spacing w:line="360" w:lineRule="auto"/>
              <w:jc w:val="center"/>
              <w:rPr>
                <w:rFonts w:ascii="宋体" w:hAnsi="宋体" w:eastAsia="宋体" w:cs="宋体"/>
                <w:color w:val="auto"/>
                <w:sz w:val="28"/>
                <w:highlight w:val="none"/>
              </w:rPr>
            </w:pPr>
          </w:p>
        </w:tc>
      </w:tr>
      <w:tr w14:paraId="06653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vAlign w:val="center"/>
          </w:tcPr>
          <w:p w14:paraId="75885F3C">
            <w:pPr>
              <w:spacing w:line="360" w:lineRule="auto"/>
              <w:jc w:val="center"/>
              <w:rPr>
                <w:rFonts w:ascii="宋体" w:hAnsi="宋体" w:eastAsia="宋体" w:cs="宋体"/>
                <w:color w:val="auto"/>
                <w:sz w:val="28"/>
                <w:highlight w:val="none"/>
              </w:rPr>
            </w:pPr>
          </w:p>
        </w:tc>
        <w:tc>
          <w:tcPr>
            <w:tcW w:w="2439" w:type="dxa"/>
            <w:vAlign w:val="center"/>
          </w:tcPr>
          <w:p w14:paraId="1CF51457">
            <w:pPr>
              <w:spacing w:line="360" w:lineRule="auto"/>
              <w:jc w:val="center"/>
              <w:rPr>
                <w:rFonts w:ascii="宋体" w:hAnsi="宋体" w:eastAsia="宋体" w:cs="宋体"/>
                <w:color w:val="auto"/>
                <w:sz w:val="28"/>
                <w:highlight w:val="none"/>
              </w:rPr>
            </w:pPr>
          </w:p>
        </w:tc>
        <w:tc>
          <w:tcPr>
            <w:tcW w:w="2135" w:type="dxa"/>
            <w:vAlign w:val="center"/>
          </w:tcPr>
          <w:p w14:paraId="0B768E58">
            <w:pPr>
              <w:spacing w:line="360" w:lineRule="auto"/>
              <w:jc w:val="center"/>
              <w:rPr>
                <w:rFonts w:ascii="宋体" w:hAnsi="宋体" w:eastAsia="宋体" w:cs="宋体"/>
                <w:color w:val="auto"/>
                <w:sz w:val="28"/>
                <w:highlight w:val="none"/>
              </w:rPr>
            </w:pPr>
          </w:p>
        </w:tc>
        <w:tc>
          <w:tcPr>
            <w:tcW w:w="1358" w:type="dxa"/>
            <w:vAlign w:val="center"/>
          </w:tcPr>
          <w:p w14:paraId="6F1A75C7">
            <w:pPr>
              <w:spacing w:line="360" w:lineRule="auto"/>
              <w:jc w:val="center"/>
              <w:rPr>
                <w:rFonts w:ascii="宋体" w:hAnsi="宋体" w:eastAsia="宋体" w:cs="宋体"/>
                <w:color w:val="auto"/>
                <w:sz w:val="28"/>
                <w:highlight w:val="none"/>
              </w:rPr>
            </w:pPr>
          </w:p>
        </w:tc>
        <w:tc>
          <w:tcPr>
            <w:tcW w:w="2418" w:type="dxa"/>
            <w:vAlign w:val="center"/>
          </w:tcPr>
          <w:p w14:paraId="57577137">
            <w:pPr>
              <w:spacing w:line="360" w:lineRule="auto"/>
              <w:jc w:val="center"/>
              <w:rPr>
                <w:rFonts w:ascii="宋体" w:hAnsi="宋体" w:eastAsia="宋体" w:cs="宋体"/>
                <w:color w:val="auto"/>
                <w:sz w:val="28"/>
                <w:highlight w:val="none"/>
              </w:rPr>
            </w:pPr>
          </w:p>
        </w:tc>
      </w:tr>
    </w:tbl>
    <w:p w14:paraId="4627C87A">
      <w:pPr>
        <w:spacing w:line="360" w:lineRule="auto"/>
        <w:jc w:val="center"/>
        <w:rPr>
          <w:rFonts w:ascii="宋体" w:hAnsi="宋体" w:eastAsia="宋体" w:cs="宋体"/>
          <w:b/>
          <w:color w:val="auto"/>
          <w:sz w:val="28"/>
          <w:szCs w:val="30"/>
          <w:highlight w:val="none"/>
        </w:rPr>
      </w:pPr>
    </w:p>
    <w:p w14:paraId="5EA52B4D">
      <w:pPr>
        <w:spacing w:line="360" w:lineRule="auto"/>
        <w:ind w:firstLine="480"/>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磋商供应商（盖章）：</w:t>
      </w:r>
    </w:p>
    <w:p w14:paraId="07965853">
      <w:pPr>
        <w:spacing w:line="360" w:lineRule="auto"/>
        <w:ind w:firstLine="480"/>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法定代表人或委托代理人（签字或盖章）：</w:t>
      </w:r>
    </w:p>
    <w:p w14:paraId="5252569E">
      <w:pPr>
        <w:spacing w:line="360" w:lineRule="auto"/>
        <w:ind w:firstLine="1440"/>
        <w:rPr>
          <w:rFonts w:ascii="宋体" w:hAnsi="宋体" w:eastAsia="宋体" w:cs="宋体"/>
          <w:bCs/>
          <w:color w:val="auto"/>
          <w:sz w:val="24"/>
          <w:highlight w:val="none"/>
        </w:rPr>
      </w:pPr>
      <w:r>
        <w:rPr>
          <w:rFonts w:hint="eastAsia" w:ascii="宋体" w:hAnsi="宋体" w:eastAsia="宋体" w:cs="宋体"/>
          <w:bCs/>
          <w:color w:val="auto"/>
          <w:sz w:val="24"/>
          <w:highlight w:val="none"/>
        </w:rPr>
        <w:t>年     月     日</w:t>
      </w:r>
    </w:p>
    <w:p w14:paraId="2B273590">
      <w:pPr>
        <w:spacing w:line="360" w:lineRule="auto"/>
        <w:rPr>
          <w:rFonts w:ascii="宋体" w:hAnsi="宋体" w:eastAsia="宋体" w:cs="宋体"/>
          <w:color w:val="auto"/>
          <w:highlight w:val="none"/>
        </w:rPr>
      </w:pPr>
    </w:p>
    <w:p w14:paraId="1C79C50E">
      <w:pPr>
        <w:pStyle w:val="205"/>
        <w:ind w:firstLine="480"/>
        <w:rPr>
          <w:rFonts w:hAnsi="宋体" w:cs="宋体"/>
          <w:color w:val="auto"/>
          <w:highlight w:val="none"/>
        </w:rPr>
      </w:pPr>
    </w:p>
    <w:p w14:paraId="67E6502B">
      <w:pPr>
        <w:spacing w:line="360" w:lineRule="auto"/>
        <w:rPr>
          <w:rFonts w:ascii="宋体" w:hAnsi="宋体" w:eastAsia="宋体" w:cs="宋体"/>
          <w:color w:val="auto"/>
          <w:highlight w:val="none"/>
        </w:rPr>
      </w:pPr>
    </w:p>
    <w:p w14:paraId="3CF8BB6F">
      <w:pPr>
        <w:spacing w:line="360" w:lineRule="auto"/>
        <w:rPr>
          <w:rFonts w:ascii="宋体" w:hAnsi="宋体" w:eastAsia="宋体" w:cs="宋体"/>
          <w:color w:val="auto"/>
          <w:highlight w:val="none"/>
        </w:rPr>
      </w:pPr>
    </w:p>
    <w:p w14:paraId="4AFE9022">
      <w:pPr>
        <w:pStyle w:val="57"/>
        <w:rPr>
          <w:rFonts w:ascii="宋体" w:hAnsi="宋体"/>
          <w:color w:val="auto"/>
          <w:highlight w:val="none"/>
        </w:rPr>
      </w:pPr>
    </w:p>
    <w:p w14:paraId="56FB3B78">
      <w:pPr>
        <w:spacing w:line="360" w:lineRule="auto"/>
        <w:rPr>
          <w:rFonts w:ascii="宋体" w:hAnsi="宋体" w:eastAsia="宋体" w:cs="宋体"/>
          <w:color w:val="auto"/>
          <w:highlight w:val="none"/>
        </w:rPr>
      </w:pPr>
    </w:p>
    <w:p w14:paraId="245507B0">
      <w:pPr>
        <w:spacing w:line="360" w:lineRule="auto"/>
        <w:rPr>
          <w:rFonts w:ascii="宋体" w:hAnsi="宋体" w:eastAsia="宋体" w:cs="宋体"/>
          <w:color w:val="auto"/>
          <w:highlight w:val="none"/>
        </w:rPr>
      </w:pPr>
    </w:p>
    <w:p w14:paraId="5B58582C">
      <w:pPr>
        <w:widowControl/>
        <w:spacing w:line="360" w:lineRule="auto"/>
        <w:ind w:firstLine="1205"/>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十、其他竞争性磋商文件要求与评标有关的所有资料</w:t>
      </w:r>
    </w:p>
    <w:p w14:paraId="43EA8F83">
      <w:pPr>
        <w:pStyle w:val="205"/>
        <w:ind w:firstLine="480"/>
        <w:rPr>
          <w:rFonts w:hAnsi="宋体" w:cs="宋体"/>
          <w:color w:val="auto"/>
          <w:szCs w:val="24"/>
          <w:highlight w:val="none"/>
          <w:lang w:bidi="ar"/>
        </w:rPr>
      </w:pPr>
    </w:p>
    <w:p w14:paraId="3893280A">
      <w:pPr>
        <w:spacing w:line="360" w:lineRule="auto"/>
        <w:jc w:val="center"/>
        <w:rPr>
          <w:rFonts w:ascii="宋体" w:hAnsi="宋体" w:eastAsia="宋体" w:cs="宋体"/>
          <w:color w:val="auto"/>
          <w:sz w:val="24"/>
          <w:highlight w:val="none"/>
          <w:lang w:bidi="ar"/>
        </w:rPr>
      </w:pPr>
    </w:p>
    <w:p w14:paraId="6B21763F">
      <w:pPr>
        <w:pStyle w:val="205"/>
        <w:ind w:firstLine="0"/>
        <w:jc w:val="center"/>
        <w:rPr>
          <w:rFonts w:hAnsi="宋体" w:cs="宋体"/>
          <w:color w:val="auto"/>
          <w:szCs w:val="24"/>
          <w:highlight w:val="none"/>
          <w:lang w:bidi="ar"/>
        </w:rPr>
      </w:pPr>
      <w:r>
        <w:rPr>
          <w:rFonts w:hint="eastAsia" w:hAnsi="宋体" w:cs="宋体"/>
          <w:color w:val="auto"/>
          <w:szCs w:val="24"/>
          <w:highlight w:val="none"/>
          <w:lang w:bidi="ar"/>
        </w:rPr>
        <w:t>（供应商根据实际情况编制）</w:t>
      </w:r>
    </w:p>
    <w:p w14:paraId="7A27FEAF">
      <w:pPr>
        <w:spacing w:line="360" w:lineRule="auto"/>
        <w:rPr>
          <w:rFonts w:ascii="宋体" w:hAnsi="宋体" w:eastAsia="宋体" w:cs="宋体"/>
          <w:color w:val="auto"/>
          <w:sz w:val="24"/>
          <w:highlight w:val="none"/>
          <w:lang w:bidi="ar"/>
        </w:rPr>
      </w:pPr>
    </w:p>
    <w:p w14:paraId="7A369B19">
      <w:pPr>
        <w:jc w:val="center"/>
        <w:rPr>
          <w:color w:val="auto"/>
          <w:highlight w:val="none"/>
        </w:rPr>
      </w:pPr>
      <w:r>
        <w:rPr>
          <w:rFonts w:hint="eastAsia" w:ascii="宋体" w:hAnsi="宋体" w:eastAsia="宋体" w:cs="宋体"/>
          <w:color w:val="auto"/>
          <w:sz w:val="32"/>
          <w:highlight w:val="none"/>
        </w:rPr>
        <w:br w:type="page"/>
      </w:r>
      <w:r>
        <w:rPr>
          <w:rFonts w:hint="eastAsia" w:ascii="宋体" w:hAnsi="宋体" w:eastAsia="宋体" w:cs="宋体"/>
          <w:b/>
          <w:bCs/>
          <w:color w:val="auto"/>
          <w:sz w:val="30"/>
          <w:szCs w:val="30"/>
          <w:highlight w:val="none"/>
          <w:lang w:val="en-US" w:eastAsia="zh-CN" w:bidi="ar"/>
        </w:rPr>
        <w:t>十一 履约保证金格式（</w:t>
      </w:r>
      <w:r>
        <w:rPr>
          <w:rFonts w:hint="eastAsia" w:ascii="宋体" w:hAnsi="宋体" w:eastAsia="宋体" w:cs="宋体"/>
          <w:color w:val="auto"/>
          <w:kern w:val="0"/>
          <w:sz w:val="24"/>
          <w:szCs w:val="24"/>
          <w:highlight w:val="none"/>
          <w:lang w:val="en-US" w:eastAsia="zh-CN" w:bidi="ar"/>
        </w:rPr>
        <w:t>如采用银行保函，格式如下。</w:t>
      </w:r>
      <w:r>
        <w:rPr>
          <w:rFonts w:hint="eastAsia" w:ascii="宋体" w:hAnsi="宋体" w:eastAsia="宋体" w:cs="宋体"/>
          <w:b/>
          <w:bCs/>
          <w:color w:val="auto"/>
          <w:sz w:val="30"/>
          <w:szCs w:val="30"/>
          <w:highlight w:val="none"/>
          <w:lang w:val="en-US" w:eastAsia="zh-CN" w:bidi="ar"/>
        </w:rPr>
        <w:t>）</w:t>
      </w:r>
    </w:p>
    <w:p w14:paraId="6C5E4A7D">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 </w:t>
      </w:r>
    </w:p>
    <w:p w14:paraId="394BD2D5">
      <w:pPr>
        <w:keepNext w:val="0"/>
        <w:keepLines w:val="0"/>
        <w:widowControl/>
        <w:suppressLineNumbers w:val="0"/>
        <w:jc w:val="center"/>
        <w:rPr>
          <w:rFonts w:hint="eastAsia" w:ascii="黑体" w:hAnsi="宋体" w:eastAsia="黑体" w:cs="黑体"/>
          <w:color w:val="auto"/>
          <w:kern w:val="0"/>
          <w:sz w:val="28"/>
          <w:szCs w:val="28"/>
          <w:highlight w:val="none"/>
          <w:lang w:val="en-US" w:eastAsia="zh-CN" w:bidi="ar"/>
        </w:rPr>
      </w:pPr>
    </w:p>
    <w:p w14:paraId="093D3A2C">
      <w:pPr>
        <w:keepNext w:val="0"/>
        <w:keepLines w:val="0"/>
        <w:widowControl/>
        <w:suppressLineNumbers w:val="0"/>
        <w:jc w:val="center"/>
        <w:rPr>
          <w:rFonts w:hint="eastAsia" w:ascii="黑体" w:hAnsi="宋体" w:eastAsia="黑体" w:cs="黑体"/>
          <w:color w:val="auto"/>
          <w:kern w:val="0"/>
          <w:sz w:val="28"/>
          <w:szCs w:val="28"/>
          <w:highlight w:val="none"/>
          <w:lang w:val="en-US" w:eastAsia="zh-CN" w:bidi="ar"/>
        </w:rPr>
      </w:pPr>
      <w:r>
        <w:rPr>
          <w:rFonts w:hint="eastAsia" w:ascii="黑体" w:hAnsi="宋体" w:eastAsia="黑体" w:cs="黑体"/>
          <w:color w:val="auto"/>
          <w:kern w:val="0"/>
          <w:sz w:val="28"/>
          <w:szCs w:val="28"/>
          <w:highlight w:val="none"/>
          <w:lang w:val="en-US" w:eastAsia="zh-CN" w:bidi="ar"/>
        </w:rPr>
        <w:t>履约保证金</w:t>
      </w:r>
    </w:p>
    <w:p w14:paraId="7B00D70D">
      <w:pPr>
        <w:keepNext w:val="0"/>
        <w:keepLines w:val="0"/>
        <w:widowControl/>
        <w:suppressLineNumbers w:val="0"/>
        <w:ind w:firstLine="240" w:firstLineChars="100"/>
        <w:jc w:val="both"/>
        <w:rPr>
          <w:rFonts w:hint="eastAsia" w:ascii="宋体" w:hAnsi="宋体" w:eastAsia="宋体" w:cs="宋体"/>
          <w:color w:val="auto"/>
          <w:kern w:val="2"/>
          <w:sz w:val="24"/>
          <w:highlight w:val="none"/>
        </w:rPr>
      </w:pPr>
      <w:r>
        <w:rPr>
          <w:rFonts w:hint="eastAsia" w:ascii="宋体" w:hAnsi="宋体" w:eastAsia="宋体" w:cs="宋体"/>
          <w:color w:val="auto"/>
          <w:kern w:val="2"/>
          <w:sz w:val="24"/>
          <w:highlight w:val="none"/>
          <w:u w:val="single"/>
          <w:lang w:val="en-US" w:eastAsia="zh-CN"/>
        </w:rPr>
        <w:t xml:space="preserve">             </w:t>
      </w:r>
      <w:r>
        <w:rPr>
          <w:rFonts w:hint="eastAsia" w:ascii="宋体" w:hAnsi="宋体" w:eastAsia="宋体" w:cs="宋体"/>
          <w:color w:val="auto"/>
          <w:kern w:val="2"/>
          <w:sz w:val="24"/>
          <w:highlight w:val="none"/>
          <w:u w:val="none"/>
          <w:lang w:val="en-US" w:eastAsia="zh-CN"/>
        </w:rPr>
        <w:t>（</w:t>
      </w:r>
      <w:r>
        <w:rPr>
          <w:rFonts w:hint="eastAsia" w:ascii="宋体" w:hAnsi="宋体" w:eastAsia="宋体" w:cs="宋体"/>
          <w:color w:val="auto"/>
          <w:kern w:val="2"/>
          <w:sz w:val="24"/>
          <w:highlight w:val="none"/>
          <w:lang w:val="en-US" w:eastAsia="zh-CN"/>
        </w:rPr>
        <w:t xml:space="preserve">发包人名称）： </w:t>
      </w:r>
    </w:p>
    <w:p w14:paraId="6EADDD8D">
      <w:pPr>
        <w:adjustRightInd w:val="0"/>
        <w:spacing w:before="120" w:after="120" w:line="360" w:lineRule="auto"/>
        <w:ind w:firstLine="480" w:firstLineChars="200"/>
        <w:jc w:val="left"/>
        <w:textAlignment w:val="baseline"/>
        <w:rPr>
          <w:rFonts w:hint="eastAsia" w:ascii="宋体" w:hAnsi="宋体" w:eastAsia="宋体" w:cs="宋体"/>
          <w:color w:val="auto"/>
          <w:kern w:val="2"/>
          <w:sz w:val="24"/>
          <w:highlight w:val="none"/>
        </w:rPr>
      </w:pPr>
      <w:r>
        <w:rPr>
          <w:rFonts w:hint="eastAsia" w:ascii="宋体" w:hAnsi="宋体" w:eastAsia="宋体" w:cs="宋体"/>
          <w:color w:val="auto"/>
          <w:kern w:val="2"/>
          <w:sz w:val="24"/>
          <w:highlight w:val="none"/>
          <w:lang w:val="en-US" w:eastAsia="zh-CN"/>
        </w:rPr>
        <w:t>鉴于</w:t>
      </w:r>
      <w:r>
        <w:rPr>
          <w:rFonts w:hint="default" w:ascii="宋体" w:hAnsi="宋体" w:eastAsia="宋体" w:cs="宋体"/>
          <w:color w:val="auto"/>
          <w:kern w:val="2"/>
          <w:sz w:val="24"/>
          <w:highlight w:val="none"/>
          <w:u w:val="single"/>
          <w:lang w:val="en-US" w:eastAsia="zh-CN"/>
        </w:rPr>
        <w:t xml:space="preserve"> </w:t>
      </w:r>
      <w:r>
        <w:rPr>
          <w:rFonts w:hint="eastAsia" w:ascii="宋体" w:hAnsi="宋体" w:eastAsia="宋体" w:cs="宋体"/>
          <w:color w:val="auto"/>
          <w:kern w:val="2"/>
          <w:sz w:val="24"/>
          <w:highlight w:val="none"/>
          <w:u w:val="single"/>
          <w:lang w:val="en-US" w:eastAsia="zh-CN"/>
        </w:rPr>
        <w:t xml:space="preserve">          </w:t>
      </w:r>
      <w:r>
        <w:rPr>
          <w:rFonts w:hint="eastAsia" w:ascii="宋体" w:hAnsi="宋体" w:eastAsia="宋体" w:cs="宋体"/>
          <w:color w:val="auto"/>
          <w:kern w:val="2"/>
          <w:sz w:val="24"/>
          <w:highlight w:val="none"/>
          <w:lang w:val="en-US" w:eastAsia="zh-CN"/>
        </w:rPr>
        <w:t>（发包人名称，以下简称</w:t>
      </w:r>
      <w:r>
        <w:rPr>
          <w:rFonts w:hint="default" w:ascii="宋体" w:hAnsi="宋体" w:eastAsia="宋体" w:cs="宋体"/>
          <w:color w:val="auto"/>
          <w:kern w:val="2"/>
          <w:sz w:val="24"/>
          <w:highlight w:val="none"/>
          <w:lang w:val="en-US" w:eastAsia="zh-CN"/>
        </w:rPr>
        <w:t>“</w:t>
      </w:r>
      <w:r>
        <w:rPr>
          <w:rFonts w:hint="eastAsia" w:ascii="宋体" w:hAnsi="宋体" w:eastAsia="宋体" w:cs="宋体"/>
          <w:color w:val="auto"/>
          <w:kern w:val="2"/>
          <w:sz w:val="24"/>
          <w:highlight w:val="none"/>
          <w:lang w:val="en-US" w:eastAsia="zh-CN"/>
        </w:rPr>
        <w:t>发包人</w:t>
      </w:r>
      <w:r>
        <w:rPr>
          <w:rFonts w:hint="default" w:ascii="宋体" w:hAnsi="宋体" w:eastAsia="宋体" w:cs="宋体"/>
          <w:color w:val="auto"/>
          <w:kern w:val="2"/>
          <w:sz w:val="24"/>
          <w:highlight w:val="none"/>
          <w:lang w:val="en-US" w:eastAsia="zh-CN"/>
        </w:rPr>
        <w:t>”</w:t>
      </w:r>
      <w:r>
        <w:rPr>
          <w:rFonts w:hint="eastAsia" w:ascii="宋体" w:hAnsi="宋体" w:eastAsia="宋体" w:cs="宋体"/>
          <w:color w:val="auto"/>
          <w:kern w:val="2"/>
          <w:sz w:val="24"/>
          <w:highlight w:val="none"/>
          <w:lang w:val="en-US" w:eastAsia="zh-CN"/>
        </w:rPr>
        <w:t>）接受</w:t>
      </w:r>
      <w:r>
        <w:rPr>
          <w:rFonts w:hint="default" w:ascii="宋体" w:hAnsi="宋体" w:eastAsia="宋体" w:cs="宋体"/>
          <w:color w:val="auto"/>
          <w:kern w:val="2"/>
          <w:sz w:val="24"/>
          <w:highlight w:val="none"/>
          <w:lang w:val="en-US" w:eastAsia="zh-CN"/>
        </w:rPr>
        <w:t xml:space="preserve"> </w:t>
      </w:r>
      <w:r>
        <w:rPr>
          <w:rFonts w:hint="eastAsia" w:ascii="宋体" w:hAnsi="宋体" w:eastAsia="宋体" w:cs="宋体"/>
          <w:color w:val="auto"/>
          <w:kern w:val="2"/>
          <w:sz w:val="24"/>
          <w:highlight w:val="none"/>
          <w:u w:val="single"/>
          <w:lang w:val="en-US" w:eastAsia="zh-CN"/>
        </w:rPr>
        <w:t xml:space="preserve">         </w:t>
      </w:r>
      <w:r>
        <w:rPr>
          <w:rFonts w:hint="eastAsia" w:ascii="宋体" w:hAnsi="宋体" w:eastAsia="宋体" w:cs="宋体"/>
          <w:color w:val="auto"/>
          <w:kern w:val="2"/>
          <w:sz w:val="24"/>
          <w:highlight w:val="none"/>
          <w:lang w:val="en-US" w:eastAsia="zh-CN"/>
        </w:rPr>
        <w:t>（承包人名称，以下简称</w:t>
      </w:r>
      <w:r>
        <w:rPr>
          <w:rFonts w:hint="default" w:ascii="宋体" w:hAnsi="宋体" w:eastAsia="宋体" w:cs="宋体"/>
          <w:color w:val="auto"/>
          <w:kern w:val="2"/>
          <w:sz w:val="24"/>
          <w:highlight w:val="none"/>
          <w:lang w:val="en-US" w:eastAsia="zh-CN"/>
        </w:rPr>
        <w:t>“</w:t>
      </w:r>
      <w:r>
        <w:rPr>
          <w:rFonts w:hint="eastAsia" w:ascii="宋体" w:hAnsi="宋体" w:eastAsia="宋体" w:cs="宋体"/>
          <w:color w:val="auto"/>
          <w:kern w:val="2"/>
          <w:sz w:val="24"/>
          <w:highlight w:val="none"/>
          <w:lang w:val="en-US" w:eastAsia="zh-CN"/>
        </w:rPr>
        <w:t>承包人</w:t>
      </w:r>
      <w:r>
        <w:rPr>
          <w:rFonts w:hint="default" w:ascii="宋体" w:hAnsi="宋体" w:eastAsia="宋体" w:cs="宋体"/>
          <w:color w:val="auto"/>
          <w:kern w:val="2"/>
          <w:sz w:val="24"/>
          <w:highlight w:val="none"/>
          <w:lang w:val="en-US" w:eastAsia="zh-CN"/>
        </w:rPr>
        <w:t>”</w:t>
      </w:r>
      <w:r>
        <w:rPr>
          <w:rFonts w:hint="eastAsia" w:ascii="宋体" w:hAnsi="宋体" w:eastAsia="宋体" w:cs="宋体"/>
          <w:color w:val="auto"/>
          <w:kern w:val="2"/>
          <w:sz w:val="24"/>
          <w:highlight w:val="none"/>
          <w:lang w:val="en-US" w:eastAsia="zh-CN"/>
        </w:rPr>
        <w:t>）于</w:t>
      </w:r>
      <w:r>
        <w:rPr>
          <w:rFonts w:hint="eastAsia" w:ascii="宋体" w:hAnsi="宋体" w:eastAsia="宋体" w:cs="宋体"/>
          <w:color w:val="auto"/>
          <w:kern w:val="2"/>
          <w:sz w:val="24"/>
          <w:highlight w:val="none"/>
          <w:u w:val="single"/>
          <w:lang w:val="en-US" w:eastAsia="zh-CN"/>
        </w:rPr>
        <w:t xml:space="preserve">   </w:t>
      </w:r>
      <w:r>
        <w:rPr>
          <w:rFonts w:hint="default" w:ascii="宋体" w:hAnsi="宋体" w:eastAsia="宋体" w:cs="宋体"/>
          <w:color w:val="auto"/>
          <w:kern w:val="2"/>
          <w:sz w:val="24"/>
          <w:highlight w:val="none"/>
          <w:u w:val="single"/>
          <w:lang w:val="en-US" w:eastAsia="zh-CN"/>
        </w:rPr>
        <w:t xml:space="preserve"> </w:t>
      </w:r>
      <w:r>
        <w:rPr>
          <w:rFonts w:hint="eastAsia" w:ascii="宋体" w:hAnsi="宋体" w:eastAsia="宋体" w:cs="宋体"/>
          <w:color w:val="auto"/>
          <w:kern w:val="2"/>
          <w:sz w:val="24"/>
          <w:highlight w:val="none"/>
          <w:lang w:val="en-US" w:eastAsia="zh-CN"/>
        </w:rPr>
        <w:t>年</w:t>
      </w:r>
      <w:r>
        <w:rPr>
          <w:rFonts w:hint="default" w:ascii="宋体" w:hAnsi="宋体" w:eastAsia="宋体" w:cs="宋体"/>
          <w:color w:val="auto"/>
          <w:kern w:val="2"/>
          <w:sz w:val="24"/>
          <w:highlight w:val="none"/>
          <w:u w:val="single"/>
          <w:lang w:val="en-US" w:eastAsia="zh-CN"/>
        </w:rPr>
        <w:t xml:space="preserve"> </w:t>
      </w:r>
      <w:r>
        <w:rPr>
          <w:rFonts w:hint="eastAsia" w:ascii="宋体" w:hAnsi="宋体" w:eastAsia="宋体" w:cs="宋体"/>
          <w:color w:val="auto"/>
          <w:kern w:val="2"/>
          <w:sz w:val="24"/>
          <w:highlight w:val="none"/>
          <w:u w:val="single"/>
          <w:lang w:val="en-US" w:eastAsia="zh-CN"/>
        </w:rPr>
        <w:t xml:space="preserve">   </w:t>
      </w:r>
      <w:r>
        <w:rPr>
          <w:rFonts w:hint="eastAsia" w:ascii="宋体" w:hAnsi="宋体" w:eastAsia="宋体" w:cs="宋体"/>
          <w:color w:val="auto"/>
          <w:kern w:val="2"/>
          <w:sz w:val="24"/>
          <w:highlight w:val="none"/>
          <w:lang w:val="en-US" w:eastAsia="zh-CN"/>
        </w:rPr>
        <w:t>月</w:t>
      </w:r>
      <w:r>
        <w:rPr>
          <w:rFonts w:hint="default" w:ascii="宋体" w:hAnsi="宋体" w:eastAsia="宋体" w:cs="宋体"/>
          <w:color w:val="auto"/>
          <w:kern w:val="2"/>
          <w:sz w:val="24"/>
          <w:highlight w:val="none"/>
          <w:u w:val="single"/>
          <w:lang w:val="en-US" w:eastAsia="zh-CN"/>
        </w:rPr>
        <w:t xml:space="preserve"> </w:t>
      </w:r>
      <w:r>
        <w:rPr>
          <w:rFonts w:hint="eastAsia" w:ascii="宋体" w:hAnsi="宋体" w:eastAsia="宋体" w:cs="宋体"/>
          <w:color w:val="auto"/>
          <w:kern w:val="2"/>
          <w:sz w:val="24"/>
          <w:highlight w:val="none"/>
          <w:u w:val="single"/>
          <w:lang w:val="en-US" w:eastAsia="zh-CN"/>
        </w:rPr>
        <w:t xml:space="preserve">   </w:t>
      </w:r>
      <w:r>
        <w:rPr>
          <w:rFonts w:hint="eastAsia" w:ascii="宋体" w:hAnsi="宋体" w:eastAsia="宋体" w:cs="宋体"/>
          <w:color w:val="auto"/>
          <w:kern w:val="2"/>
          <w:sz w:val="24"/>
          <w:highlight w:val="none"/>
          <w:lang w:val="en-US" w:eastAsia="zh-CN"/>
        </w:rPr>
        <w:t>日参加</w:t>
      </w:r>
      <w:r>
        <w:rPr>
          <w:rFonts w:hint="default" w:ascii="宋体" w:hAnsi="宋体" w:eastAsia="宋体" w:cs="宋体"/>
          <w:color w:val="auto"/>
          <w:kern w:val="2"/>
          <w:sz w:val="24"/>
          <w:highlight w:val="none"/>
          <w:u w:val="single"/>
          <w:lang w:val="en-US" w:eastAsia="zh-CN"/>
        </w:rPr>
        <w:t xml:space="preserve"> </w:t>
      </w:r>
      <w:r>
        <w:rPr>
          <w:rFonts w:hint="eastAsia" w:ascii="宋体" w:hAnsi="宋体" w:eastAsia="宋体" w:cs="宋体"/>
          <w:color w:val="auto"/>
          <w:kern w:val="2"/>
          <w:sz w:val="24"/>
          <w:highlight w:val="none"/>
          <w:u w:val="single"/>
          <w:lang w:val="en-US" w:eastAsia="zh-CN"/>
        </w:rPr>
        <w:t xml:space="preserve">         </w:t>
      </w:r>
      <w:r>
        <w:rPr>
          <w:rFonts w:hint="eastAsia" w:ascii="宋体" w:hAnsi="宋体" w:eastAsia="宋体" w:cs="宋体"/>
          <w:color w:val="auto"/>
          <w:kern w:val="2"/>
          <w:sz w:val="24"/>
          <w:highlight w:val="none"/>
          <w:lang w:val="en-US" w:eastAsia="zh-CN"/>
        </w:rPr>
        <w:t>（项目名称）</w:t>
      </w:r>
      <w:r>
        <w:rPr>
          <w:rFonts w:hint="default" w:ascii="宋体" w:hAnsi="宋体" w:eastAsia="宋体" w:cs="宋体"/>
          <w:color w:val="auto"/>
          <w:kern w:val="2"/>
          <w:sz w:val="24"/>
          <w:highlight w:val="none"/>
          <w:lang w:val="en-US" w:eastAsia="zh-CN"/>
        </w:rPr>
        <w:t xml:space="preserve"> </w:t>
      </w:r>
      <w:r>
        <w:rPr>
          <w:rFonts w:hint="eastAsia" w:ascii="宋体" w:hAnsi="宋体" w:eastAsia="宋体" w:cs="宋体"/>
          <w:color w:val="auto"/>
          <w:kern w:val="2"/>
          <w:sz w:val="24"/>
          <w:highlight w:val="none"/>
          <w:lang w:val="en-US" w:eastAsia="zh-CN"/>
        </w:rPr>
        <w:t xml:space="preserve">标段施工的投标。我方愿意无条件地、不可撤销地就承包人履行与 你方订立的合同，向你方提供担保。 </w:t>
      </w:r>
    </w:p>
    <w:p w14:paraId="507A9A8F">
      <w:pPr>
        <w:adjustRightInd w:val="0"/>
        <w:spacing w:before="120" w:after="120" w:line="360" w:lineRule="auto"/>
        <w:ind w:firstLine="480" w:firstLineChars="200"/>
        <w:jc w:val="left"/>
        <w:textAlignment w:val="baseline"/>
        <w:rPr>
          <w:rFonts w:hint="eastAsia" w:ascii="宋体" w:hAnsi="宋体" w:eastAsia="宋体" w:cs="宋体"/>
          <w:color w:val="auto"/>
          <w:kern w:val="2"/>
          <w:sz w:val="24"/>
          <w:highlight w:val="none"/>
        </w:rPr>
      </w:pPr>
      <w:r>
        <w:rPr>
          <w:rFonts w:hint="default" w:ascii="宋体" w:hAnsi="宋体" w:eastAsia="宋体" w:cs="宋体"/>
          <w:color w:val="auto"/>
          <w:kern w:val="2"/>
          <w:sz w:val="24"/>
          <w:highlight w:val="none"/>
          <w:lang w:val="en-US" w:eastAsia="zh-CN"/>
        </w:rPr>
        <w:t xml:space="preserve">1. </w:t>
      </w:r>
      <w:r>
        <w:rPr>
          <w:rFonts w:hint="eastAsia" w:ascii="宋体" w:hAnsi="宋体" w:eastAsia="宋体" w:cs="宋体"/>
          <w:color w:val="auto"/>
          <w:kern w:val="2"/>
          <w:sz w:val="24"/>
          <w:highlight w:val="none"/>
          <w:lang w:val="en-US" w:eastAsia="zh-CN"/>
        </w:rPr>
        <w:t>担保金额人民币（大写）</w:t>
      </w:r>
      <w:r>
        <w:rPr>
          <w:rFonts w:hint="default" w:ascii="宋体" w:hAnsi="宋体" w:eastAsia="宋体" w:cs="宋体"/>
          <w:color w:val="auto"/>
          <w:kern w:val="2"/>
          <w:sz w:val="24"/>
          <w:highlight w:val="none"/>
          <w:u w:val="single"/>
          <w:lang w:val="en-US" w:eastAsia="zh-CN"/>
        </w:rPr>
        <w:t xml:space="preserve"> </w:t>
      </w:r>
      <w:r>
        <w:rPr>
          <w:rFonts w:hint="eastAsia" w:ascii="宋体" w:hAnsi="宋体" w:eastAsia="宋体" w:cs="宋体"/>
          <w:color w:val="auto"/>
          <w:kern w:val="2"/>
          <w:sz w:val="24"/>
          <w:highlight w:val="none"/>
          <w:u w:val="single"/>
          <w:lang w:val="en-US" w:eastAsia="zh-CN"/>
        </w:rPr>
        <w:t xml:space="preserve">       </w:t>
      </w:r>
      <w:r>
        <w:rPr>
          <w:rFonts w:hint="eastAsia" w:ascii="宋体" w:hAnsi="宋体" w:eastAsia="宋体" w:cs="宋体"/>
          <w:color w:val="auto"/>
          <w:kern w:val="2"/>
          <w:sz w:val="24"/>
          <w:highlight w:val="none"/>
          <w:lang w:val="en-US" w:eastAsia="zh-CN"/>
        </w:rPr>
        <w:t>元（</w:t>
      </w:r>
      <w:r>
        <w:rPr>
          <w:rFonts w:hint="default" w:ascii="宋体" w:hAnsi="宋体" w:eastAsia="宋体" w:cs="宋体"/>
          <w:color w:val="auto"/>
          <w:kern w:val="2"/>
          <w:sz w:val="24"/>
          <w:highlight w:val="none"/>
          <w:lang w:val="en-US" w:eastAsia="zh-CN"/>
        </w:rPr>
        <w:t>¥</w:t>
      </w:r>
      <w:r>
        <w:rPr>
          <w:rFonts w:hint="eastAsia" w:ascii="宋体" w:hAnsi="宋体" w:eastAsia="宋体" w:cs="宋体"/>
          <w:color w:val="auto"/>
          <w:kern w:val="2"/>
          <w:sz w:val="24"/>
          <w:highlight w:val="none"/>
          <w:u w:val="single"/>
          <w:lang w:val="en-US" w:eastAsia="zh-CN"/>
        </w:rPr>
        <w:t xml:space="preserve">          </w:t>
      </w:r>
      <w:r>
        <w:rPr>
          <w:rFonts w:hint="default" w:ascii="宋体" w:hAnsi="宋体" w:eastAsia="宋体" w:cs="宋体"/>
          <w:color w:val="auto"/>
          <w:kern w:val="2"/>
          <w:sz w:val="24"/>
          <w:highlight w:val="none"/>
          <w:u w:val="single"/>
          <w:lang w:val="en-US" w:eastAsia="zh-CN"/>
        </w:rPr>
        <w:t xml:space="preserve"> </w:t>
      </w:r>
      <w:r>
        <w:rPr>
          <w:rFonts w:hint="eastAsia" w:ascii="宋体" w:hAnsi="宋体" w:eastAsia="宋体" w:cs="宋体"/>
          <w:color w:val="auto"/>
          <w:kern w:val="2"/>
          <w:sz w:val="24"/>
          <w:highlight w:val="none"/>
          <w:lang w:val="en-US" w:eastAsia="zh-CN"/>
        </w:rPr>
        <w:t xml:space="preserve">）。 </w:t>
      </w:r>
    </w:p>
    <w:p w14:paraId="33DD82FA">
      <w:pPr>
        <w:adjustRightInd w:val="0"/>
        <w:spacing w:before="120" w:after="120" w:line="360" w:lineRule="auto"/>
        <w:ind w:firstLine="480" w:firstLineChars="200"/>
        <w:jc w:val="left"/>
        <w:textAlignment w:val="baseline"/>
        <w:rPr>
          <w:rFonts w:hint="eastAsia" w:ascii="宋体" w:hAnsi="宋体" w:eastAsia="宋体" w:cs="宋体"/>
          <w:color w:val="auto"/>
          <w:kern w:val="2"/>
          <w:sz w:val="24"/>
          <w:highlight w:val="none"/>
        </w:rPr>
      </w:pPr>
      <w:r>
        <w:rPr>
          <w:rFonts w:hint="default" w:ascii="宋体" w:hAnsi="宋体" w:eastAsia="宋体" w:cs="宋体"/>
          <w:color w:val="auto"/>
          <w:kern w:val="2"/>
          <w:sz w:val="24"/>
          <w:highlight w:val="none"/>
          <w:lang w:val="en-US" w:eastAsia="zh-CN"/>
        </w:rPr>
        <w:t xml:space="preserve">2. </w:t>
      </w:r>
      <w:r>
        <w:rPr>
          <w:rFonts w:hint="eastAsia" w:ascii="宋体" w:hAnsi="宋体" w:eastAsia="宋体" w:cs="宋体"/>
          <w:color w:val="auto"/>
          <w:kern w:val="2"/>
          <w:sz w:val="24"/>
          <w:highlight w:val="none"/>
          <w:lang w:val="en-US" w:eastAsia="zh-CN"/>
        </w:rPr>
        <w:t xml:space="preserve">担保有效期自发包人与承包人签订的合同生效之日起至发包人签发交工验收证书且承包人按照合同约定缴纳质量保证金之日止。① </w:t>
      </w:r>
    </w:p>
    <w:p w14:paraId="6E8805E3">
      <w:pPr>
        <w:adjustRightInd w:val="0"/>
        <w:spacing w:before="120" w:after="120" w:line="360" w:lineRule="auto"/>
        <w:ind w:firstLine="480" w:firstLineChars="200"/>
        <w:jc w:val="left"/>
        <w:textAlignment w:val="baseline"/>
        <w:rPr>
          <w:rFonts w:hint="eastAsia" w:ascii="宋体" w:hAnsi="宋体" w:eastAsia="宋体" w:cs="宋体"/>
          <w:color w:val="auto"/>
          <w:kern w:val="2"/>
          <w:sz w:val="24"/>
          <w:highlight w:val="none"/>
        </w:rPr>
      </w:pPr>
      <w:r>
        <w:rPr>
          <w:rFonts w:hint="default" w:ascii="宋体" w:hAnsi="宋体" w:eastAsia="宋体" w:cs="宋体"/>
          <w:color w:val="auto"/>
          <w:kern w:val="2"/>
          <w:sz w:val="24"/>
          <w:highlight w:val="none"/>
          <w:lang w:val="en-US" w:eastAsia="zh-CN"/>
        </w:rPr>
        <w:t xml:space="preserve">3. </w:t>
      </w:r>
      <w:r>
        <w:rPr>
          <w:rFonts w:hint="eastAsia" w:ascii="宋体" w:hAnsi="宋体" w:eastAsia="宋体" w:cs="宋体"/>
          <w:color w:val="auto"/>
          <w:kern w:val="2"/>
          <w:sz w:val="24"/>
          <w:highlight w:val="none"/>
          <w:lang w:val="en-US" w:eastAsia="zh-CN"/>
        </w:rPr>
        <w:t xml:space="preserve">在本担保有效期内，因承包人违反合同约定的义务给你方造成经济损失时，我方在收到你方以书面形式提出的在担保金额内的赔偿要求后，在 </w:t>
      </w:r>
      <w:r>
        <w:rPr>
          <w:rFonts w:hint="default" w:ascii="宋体" w:hAnsi="宋体" w:eastAsia="宋体" w:cs="宋体"/>
          <w:color w:val="auto"/>
          <w:kern w:val="2"/>
          <w:sz w:val="24"/>
          <w:highlight w:val="none"/>
          <w:lang w:val="en-US" w:eastAsia="zh-CN"/>
        </w:rPr>
        <w:t xml:space="preserve">7 </w:t>
      </w:r>
      <w:r>
        <w:rPr>
          <w:rFonts w:hint="eastAsia" w:ascii="宋体" w:hAnsi="宋体" w:eastAsia="宋体" w:cs="宋体"/>
          <w:color w:val="auto"/>
          <w:kern w:val="2"/>
          <w:sz w:val="24"/>
          <w:highlight w:val="none"/>
          <w:lang w:val="en-US" w:eastAsia="zh-CN"/>
        </w:rPr>
        <w:t xml:space="preserve">日内无条件支付，无须你方出具证明或陈述理由。 </w:t>
      </w:r>
    </w:p>
    <w:p w14:paraId="6606F1B2">
      <w:pPr>
        <w:adjustRightInd w:val="0"/>
        <w:spacing w:before="120" w:after="120" w:line="360" w:lineRule="auto"/>
        <w:ind w:firstLine="480" w:firstLineChars="200"/>
        <w:jc w:val="left"/>
        <w:textAlignment w:val="baseline"/>
        <w:rPr>
          <w:rFonts w:hint="eastAsia" w:ascii="宋体" w:hAnsi="宋体" w:eastAsia="宋体" w:cs="宋体"/>
          <w:color w:val="auto"/>
          <w:kern w:val="2"/>
          <w:sz w:val="24"/>
          <w:highlight w:val="none"/>
        </w:rPr>
      </w:pPr>
      <w:r>
        <w:rPr>
          <w:rFonts w:hint="default" w:ascii="宋体" w:hAnsi="宋体" w:eastAsia="宋体" w:cs="宋体"/>
          <w:color w:val="auto"/>
          <w:kern w:val="2"/>
          <w:sz w:val="24"/>
          <w:highlight w:val="none"/>
          <w:lang w:val="en-US" w:eastAsia="zh-CN"/>
        </w:rPr>
        <w:t xml:space="preserve">4. </w:t>
      </w:r>
      <w:r>
        <w:rPr>
          <w:rFonts w:hint="eastAsia" w:ascii="宋体" w:hAnsi="宋体" w:eastAsia="宋体" w:cs="宋体"/>
          <w:color w:val="auto"/>
          <w:kern w:val="2"/>
          <w:sz w:val="24"/>
          <w:highlight w:val="none"/>
          <w:lang w:val="en-US" w:eastAsia="zh-CN"/>
        </w:rPr>
        <w:t xml:space="preserve">发包人和承包人按合同条款第 </w:t>
      </w:r>
      <w:r>
        <w:rPr>
          <w:rFonts w:hint="default" w:ascii="宋体" w:hAnsi="宋体" w:eastAsia="宋体" w:cs="宋体"/>
          <w:color w:val="auto"/>
          <w:kern w:val="2"/>
          <w:sz w:val="24"/>
          <w:highlight w:val="none"/>
          <w:lang w:val="en-US" w:eastAsia="zh-CN"/>
        </w:rPr>
        <w:t xml:space="preserve">15 </w:t>
      </w:r>
      <w:r>
        <w:rPr>
          <w:rFonts w:hint="eastAsia" w:ascii="宋体" w:hAnsi="宋体" w:eastAsia="宋体" w:cs="宋体"/>
          <w:color w:val="auto"/>
          <w:kern w:val="2"/>
          <w:sz w:val="24"/>
          <w:highlight w:val="none"/>
          <w:lang w:val="en-US" w:eastAsia="zh-CN"/>
        </w:rPr>
        <w:t xml:space="preserve">条变更合同时，无论我方是否收到该变更，我方承担本担保规定的义务不变。 </w:t>
      </w:r>
    </w:p>
    <w:p w14:paraId="56B57DC6">
      <w:pPr>
        <w:adjustRightInd w:val="0"/>
        <w:spacing w:before="120" w:after="120" w:line="360" w:lineRule="auto"/>
        <w:ind w:firstLine="480" w:firstLineChars="200"/>
        <w:jc w:val="left"/>
        <w:textAlignment w:val="baseline"/>
        <w:rPr>
          <w:rFonts w:hint="eastAsia" w:ascii="宋体" w:hAnsi="宋体" w:eastAsia="宋体" w:cs="宋体"/>
          <w:color w:val="auto"/>
          <w:kern w:val="2"/>
          <w:sz w:val="24"/>
          <w:highlight w:val="none"/>
        </w:rPr>
      </w:pPr>
      <w:r>
        <w:rPr>
          <w:rFonts w:hint="eastAsia" w:ascii="宋体" w:hAnsi="宋体" w:eastAsia="宋体" w:cs="宋体"/>
          <w:color w:val="auto"/>
          <w:kern w:val="2"/>
          <w:sz w:val="24"/>
          <w:highlight w:val="none"/>
          <w:lang w:val="en-US" w:eastAsia="zh-CN"/>
        </w:rPr>
        <w:t>担保人名称：</w:t>
      </w:r>
      <w:r>
        <w:rPr>
          <w:rFonts w:hint="default" w:ascii="宋体" w:hAnsi="宋体" w:eastAsia="宋体" w:cs="宋体"/>
          <w:color w:val="auto"/>
          <w:kern w:val="2"/>
          <w:sz w:val="24"/>
          <w:highlight w:val="none"/>
          <w:lang w:val="en-US" w:eastAsia="zh-CN"/>
        </w:rPr>
        <w:t xml:space="preserve"> </w:t>
      </w:r>
      <w:r>
        <w:rPr>
          <w:rFonts w:hint="eastAsia" w:ascii="宋体" w:hAnsi="宋体" w:eastAsia="宋体" w:cs="宋体"/>
          <w:color w:val="auto"/>
          <w:kern w:val="2"/>
          <w:sz w:val="24"/>
          <w:highlight w:val="none"/>
          <w:lang w:val="en-US" w:eastAsia="zh-CN"/>
        </w:rPr>
        <w:t xml:space="preserve">（盖单位章） </w:t>
      </w:r>
    </w:p>
    <w:p w14:paraId="27722B52">
      <w:pPr>
        <w:adjustRightInd w:val="0"/>
        <w:spacing w:before="120" w:after="120" w:line="360" w:lineRule="auto"/>
        <w:ind w:firstLine="480" w:firstLineChars="200"/>
        <w:jc w:val="left"/>
        <w:textAlignment w:val="baseline"/>
        <w:rPr>
          <w:rFonts w:hint="eastAsia" w:ascii="宋体" w:hAnsi="宋体" w:eastAsia="宋体" w:cs="宋体"/>
          <w:color w:val="auto"/>
          <w:kern w:val="2"/>
          <w:sz w:val="24"/>
          <w:highlight w:val="none"/>
        </w:rPr>
      </w:pPr>
      <w:r>
        <w:rPr>
          <w:rFonts w:hint="eastAsia" w:ascii="宋体" w:hAnsi="宋体" w:eastAsia="宋体" w:cs="宋体"/>
          <w:color w:val="auto"/>
          <w:kern w:val="2"/>
          <w:sz w:val="24"/>
          <w:highlight w:val="none"/>
          <w:lang w:val="en-US" w:eastAsia="zh-CN"/>
        </w:rPr>
        <w:t>法定代表人或其委托代理人：</w:t>
      </w:r>
      <w:r>
        <w:rPr>
          <w:rFonts w:hint="default" w:ascii="宋体" w:hAnsi="宋体" w:eastAsia="宋体" w:cs="宋体"/>
          <w:color w:val="auto"/>
          <w:kern w:val="2"/>
          <w:sz w:val="24"/>
          <w:highlight w:val="none"/>
          <w:lang w:val="en-US" w:eastAsia="zh-CN"/>
        </w:rPr>
        <w:t xml:space="preserve"> </w:t>
      </w:r>
      <w:r>
        <w:rPr>
          <w:rFonts w:hint="eastAsia" w:ascii="宋体" w:hAnsi="宋体" w:eastAsia="宋体" w:cs="宋体"/>
          <w:color w:val="auto"/>
          <w:kern w:val="2"/>
          <w:sz w:val="24"/>
          <w:highlight w:val="none"/>
          <w:lang w:val="en-US" w:eastAsia="zh-CN"/>
        </w:rPr>
        <w:t xml:space="preserve">（签字） </w:t>
      </w:r>
    </w:p>
    <w:p w14:paraId="6EF155E1">
      <w:pPr>
        <w:adjustRightInd w:val="0"/>
        <w:spacing w:before="120" w:after="120" w:line="360" w:lineRule="auto"/>
        <w:ind w:firstLine="480" w:firstLineChars="200"/>
        <w:jc w:val="left"/>
        <w:textAlignment w:val="baseline"/>
        <w:rPr>
          <w:rFonts w:hint="eastAsia" w:ascii="宋体" w:hAnsi="宋体" w:eastAsia="宋体" w:cs="宋体"/>
          <w:color w:val="auto"/>
          <w:kern w:val="2"/>
          <w:sz w:val="24"/>
          <w:highlight w:val="none"/>
        </w:rPr>
      </w:pPr>
      <w:r>
        <w:rPr>
          <w:rFonts w:hint="eastAsia" w:ascii="宋体" w:hAnsi="宋体" w:eastAsia="宋体" w:cs="宋体"/>
          <w:color w:val="auto"/>
          <w:kern w:val="2"/>
          <w:sz w:val="24"/>
          <w:highlight w:val="none"/>
          <w:lang w:val="en-US" w:eastAsia="zh-CN"/>
        </w:rPr>
        <w:t>地</w:t>
      </w:r>
      <w:r>
        <w:rPr>
          <w:rFonts w:hint="default" w:ascii="宋体" w:hAnsi="宋体" w:eastAsia="宋体" w:cs="宋体"/>
          <w:color w:val="auto"/>
          <w:kern w:val="2"/>
          <w:sz w:val="24"/>
          <w:highlight w:val="none"/>
          <w:lang w:val="en-US" w:eastAsia="zh-CN"/>
        </w:rPr>
        <w:t xml:space="preserve"> </w:t>
      </w:r>
      <w:r>
        <w:rPr>
          <w:rFonts w:hint="eastAsia" w:ascii="宋体" w:hAnsi="宋体" w:eastAsia="宋体" w:cs="宋体"/>
          <w:color w:val="auto"/>
          <w:kern w:val="2"/>
          <w:sz w:val="24"/>
          <w:highlight w:val="none"/>
          <w:lang w:val="en-US" w:eastAsia="zh-CN"/>
        </w:rPr>
        <w:t>址：</w:t>
      </w:r>
    </w:p>
    <w:p w14:paraId="727E432F">
      <w:pPr>
        <w:adjustRightInd w:val="0"/>
        <w:spacing w:before="120" w:after="120" w:line="360" w:lineRule="auto"/>
        <w:ind w:firstLine="480" w:firstLineChars="200"/>
        <w:jc w:val="left"/>
        <w:textAlignment w:val="baseline"/>
        <w:rPr>
          <w:rFonts w:hint="eastAsia" w:ascii="宋体" w:hAnsi="宋体" w:eastAsia="宋体" w:cs="宋体"/>
          <w:color w:val="auto"/>
          <w:kern w:val="2"/>
          <w:sz w:val="24"/>
          <w:highlight w:val="none"/>
        </w:rPr>
      </w:pPr>
      <w:r>
        <w:rPr>
          <w:rFonts w:hint="eastAsia" w:ascii="宋体" w:hAnsi="宋体" w:eastAsia="宋体" w:cs="宋体"/>
          <w:color w:val="auto"/>
          <w:kern w:val="2"/>
          <w:sz w:val="24"/>
          <w:highlight w:val="none"/>
          <w:lang w:val="en-US" w:eastAsia="zh-CN"/>
        </w:rPr>
        <w:t xml:space="preserve">邮政编码： </w:t>
      </w:r>
    </w:p>
    <w:p w14:paraId="36C42E6C">
      <w:pPr>
        <w:adjustRightInd w:val="0"/>
        <w:spacing w:before="120" w:after="120" w:line="360" w:lineRule="auto"/>
        <w:ind w:firstLine="480" w:firstLineChars="200"/>
        <w:jc w:val="left"/>
        <w:textAlignment w:val="baseline"/>
        <w:rPr>
          <w:rFonts w:hint="eastAsia" w:ascii="宋体" w:hAnsi="宋体" w:eastAsia="宋体" w:cs="宋体"/>
          <w:color w:val="auto"/>
          <w:kern w:val="2"/>
          <w:sz w:val="24"/>
          <w:highlight w:val="none"/>
        </w:rPr>
      </w:pPr>
      <w:r>
        <w:rPr>
          <w:rFonts w:hint="eastAsia" w:ascii="宋体" w:hAnsi="宋体" w:eastAsia="宋体" w:cs="宋体"/>
          <w:color w:val="auto"/>
          <w:kern w:val="2"/>
          <w:sz w:val="24"/>
          <w:highlight w:val="none"/>
          <w:lang w:val="en-US" w:eastAsia="zh-CN"/>
        </w:rPr>
        <w:t>电</w:t>
      </w:r>
      <w:r>
        <w:rPr>
          <w:rFonts w:hint="default" w:ascii="宋体" w:hAnsi="宋体" w:eastAsia="宋体" w:cs="宋体"/>
          <w:color w:val="auto"/>
          <w:kern w:val="2"/>
          <w:sz w:val="24"/>
          <w:highlight w:val="none"/>
          <w:lang w:val="en-US" w:eastAsia="zh-CN"/>
        </w:rPr>
        <w:t xml:space="preserve"> </w:t>
      </w:r>
      <w:r>
        <w:rPr>
          <w:rFonts w:hint="eastAsia" w:ascii="宋体" w:hAnsi="宋体" w:eastAsia="宋体" w:cs="宋体"/>
          <w:color w:val="auto"/>
          <w:kern w:val="2"/>
          <w:sz w:val="24"/>
          <w:highlight w:val="none"/>
          <w:lang w:val="en-US" w:eastAsia="zh-CN"/>
        </w:rPr>
        <w:t>话：</w:t>
      </w:r>
      <w:r>
        <w:rPr>
          <w:rFonts w:hint="default" w:ascii="宋体" w:hAnsi="宋体" w:eastAsia="宋体" w:cs="宋体"/>
          <w:color w:val="auto"/>
          <w:kern w:val="2"/>
          <w:sz w:val="24"/>
          <w:highlight w:val="none"/>
          <w:lang w:val="en-US" w:eastAsia="zh-CN"/>
        </w:rPr>
        <w:t xml:space="preserve"> </w:t>
      </w:r>
    </w:p>
    <w:p w14:paraId="3CF7DAF4">
      <w:pPr>
        <w:adjustRightInd w:val="0"/>
        <w:spacing w:before="120" w:after="120" w:line="360" w:lineRule="auto"/>
        <w:ind w:firstLine="480" w:firstLineChars="200"/>
        <w:jc w:val="left"/>
        <w:textAlignment w:val="baseline"/>
        <w:rPr>
          <w:rFonts w:hint="eastAsia" w:ascii="宋体" w:hAnsi="宋体" w:eastAsia="宋体" w:cs="宋体"/>
          <w:color w:val="auto"/>
          <w:kern w:val="2"/>
          <w:sz w:val="24"/>
          <w:highlight w:val="none"/>
        </w:rPr>
      </w:pPr>
      <w:r>
        <w:rPr>
          <w:rFonts w:hint="eastAsia" w:ascii="宋体" w:hAnsi="宋体" w:eastAsia="宋体" w:cs="宋体"/>
          <w:color w:val="auto"/>
          <w:kern w:val="2"/>
          <w:sz w:val="24"/>
          <w:highlight w:val="none"/>
          <w:lang w:val="en-US" w:eastAsia="zh-CN"/>
        </w:rPr>
        <w:t>传</w:t>
      </w:r>
      <w:r>
        <w:rPr>
          <w:rFonts w:hint="default" w:ascii="宋体" w:hAnsi="宋体" w:eastAsia="宋体" w:cs="宋体"/>
          <w:color w:val="auto"/>
          <w:kern w:val="2"/>
          <w:sz w:val="24"/>
          <w:highlight w:val="none"/>
          <w:lang w:val="en-US" w:eastAsia="zh-CN"/>
        </w:rPr>
        <w:t xml:space="preserve"> </w:t>
      </w:r>
      <w:r>
        <w:rPr>
          <w:rFonts w:hint="eastAsia" w:ascii="宋体" w:hAnsi="宋体" w:eastAsia="宋体" w:cs="宋体"/>
          <w:color w:val="auto"/>
          <w:kern w:val="2"/>
          <w:sz w:val="24"/>
          <w:highlight w:val="none"/>
          <w:lang w:val="en-US" w:eastAsia="zh-CN"/>
        </w:rPr>
        <w:t>真：</w:t>
      </w:r>
      <w:r>
        <w:rPr>
          <w:rFonts w:hint="default" w:ascii="宋体" w:hAnsi="宋体" w:eastAsia="宋体" w:cs="宋体"/>
          <w:color w:val="auto"/>
          <w:kern w:val="2"/>
          <w:sz w:val="24"/>
          <w:highlight w:val="none"/>
          <w:lang w:val="en-US" w:eastAsia="zh-CN"/>
        </w:rPr>
        <w:t xml:space="preserve"> </w:t>
      </w:r>
    </w:p>
    <w:p w14:paraId="7B473DC7">
      <w:pPr>
        <w:adjustRightInd w:val="0"/>
        <w:spacing w:before="120" w:after="120" w:line="360" w:lineRule="auto"/>
        <w:ind w:firstLine="480" w:firstLineChars="200"/>
        <w:jc w:val="left"/>
        <w:textAlignment w:val="baseline"/>
        <w:rPr>
          <w:rFonts w:hint="eastAsia" w:ascii="宋体" w:hAnsi="宋体" w:eastAsia="宋体" w:cs="宋体"/>
          <w:color w:val="auto"/>
          <w:kern w:val="2"/>
          <w:sz w:val="24"/>
          <w:highlight w:val="none"/>
        </w:rPr>
      </w:pPr>
      <w:r>
        <w:rPr>
          <w:rFonts w:hint="eastAsia" w:ascii="宋体" w:hAnsi="宋体" w:eastAsia="宋体" w:cs="宋体"/>
          <w:color w:val="auto"/>
          <w:kern w:val="2"/>
          <w:sz w:val="24"/>
          <w:highlight w:val="none"/>
          <w:lang w:val="en-US" w:eastAsia="zh-CN"/>
        </w:rPr>
        <w:t>年</w:t>
      </w:r>
      <w:r>
        <w:rPr>
          <w:rFonts w:hint="default" w:ascii="宋体" w:hAnsi="宋体" w:eastAsia="宋体" w:cs="宋体"/>
          <w:color w:val="auto"/>
          <w:kern w:val="2"/>
          <w:sz w:val="24"/>
          <w:highlight w:val="none"/>
          <w:lang w:val="en-US" w:eastAsia="zh-CN"/>
        </w:rPr>
        <w:t xml:space="preserve"> </w:t>
      </w:r>
      <w:r>
        <w:rPr>
          <w:rFonts w:hint="eastAsia" w:ascii="宋体" w:hAnsi="宋体" w:eastAsia="宋体" w:cs="宋体"/>
          <w:color w:val="auto"/>
          <w:kern w:val="2"/>
          <w:sz w:val="24"/>
          <w:highlight w:val="none"/>
          <w:lang w:val="en-US" w:eastAsia="zh-CN"/>
        </w:rPr>
        <w:t>月</w:t>
      </w:r>
      <w:r>
        <w:rPr>
          <w:rFonts w:hint="default" w:ascii="宋体" w:hAnsi="宋体" w:eastAsia="宋体" w:cs="宋体"/>
          <w:color w:val="auto"/>
          <w:kern w:val="2"/>
          <w:sz w:val="24"/>
          <w:highlight w:val="none"/>
          <w:lang w:val="en-US" w:eastAsia="zh-CN"/>
        </w:rPr>
        <w:t xml:space="preserve"> </w:t>
      </w:r>
      <w:r>
        <w:rPr>
          <w:rFonts w:hint="eastAsia" w:ascii="宋体" w:hAnsi="宋体" w:eastAsia="宋体" w:cs="宋体"/>
          <w:color w:val="auto"/>
          <w:kern w:val="2"/>
          <w:sz w:val="24"/>
          <w:highlight w:val="none"/>
          <w:lang w:val="en-US" w:eastAsia="zh-CN"/>
        </w:rPr>
        <w:t xml:space="preserve">日 </w:t>
      </w:r>
    </w:p>
    <w:p w14:paraId="4A736DD7">
      <w:pPr>
        <w:adjustRightInd w:val="0"/>
        <w:spacing w:before="120" w:after="120" w:line="360" w:lineRule="auto"/>
        <w:ind w:firstLine="440" w:firstLineChars="200"/>
        <w:jc w:val="left"/>
        <w:textAlignment w:val="baseline"/>
        <w:rPr>
          <w:rFonts w:hint="eastAsia" w:ascii="宋体" w:hAnsi="宋体" w:eastAsia="宋体" w:cs="宋体"/>
          <w:color w:val="auto"/>
          <w:kern w:val="2"/>
          <w:sz w:val="22"/>
          <w:szCs w:val="22"/>
          <w:highlight w:val="none"/>
          <w:lang w:val="en-US" w:eastAsia="zh-CN"/>
        </w:rPr>
      </w:pPr>
    </w:p>
    <w:p w14:paraId="6AFBC9C9">
      <w:pPr>
        <w:adjustRightInd w:val="0"/>
        <w:spacing w:before="120" w:after="120" w:line="360" w:lineRule="auto"/>
        <w:ind w:firstLine="440" w:firstLineChars="200"/>
        <w:jc w:val="left"/>
        <w:textAlignment w:val="baseline"/>
        <w:rPr>
          <w:rFonts w:hint="eastAsia" w:ascii="宋体" w:hAnsi="宋体" w:eastAsia="宋体" w:cs="宋体"/>
          <w:color w:val="auto"/>
          <w:kern w:val="2"/>
          <w:sz w:val="24"/>
          <w:highlight w:val="none"/>
        </w:rPr>
      </w:pPr>
      <w:r>
        <w:rPr>
          <w:rFonts w:hint="eastAsia" w:ascii="宋体" w:hAnsi="宋体" w:eastAsia="宋体" w:cs="宋体"/>
          <w:color w:val="auto"/>
          <w:kern w:val="2"/>
          <w:sz w:val="22"/>
          <w:szCs w:val="22"/>
          <w:highlight w:val="none"/>
          <w:lang w:val="en-US" w:eastAsia="zh-CN"/>
        </w:rPr>
        <w:t>①本条内容可修改为：“本担保自</w:t>
      </w:r>
      <w:r>
        <w:rPr>
          <w:rFonts w:hint="default" w:ascii="宋体" w:hAnsi="宋体" w:eastAsia="宋体" w:cs="宋体"/>
          <w:color w:val="auto"/>
          <w:kern w:val="2"/>
          <w:sz w:val="22"/>
          <w:szCs w:val="22"/>
          <w:highlight w:val="none"/>
          <w:lang w:val="en-US" w:eastAsia="zh-CN"/>
        </w:rPr>
        <w:t xml:space="preserve"> </w:t>
      </w:r>
      <w:r>
        <w:rPr>
          <w:rFonts w:hint="eastAsia" w:ascii="宋体" w:hAnsi="宋体" w:eastAsia="宋体" w:cs="宋体"/>
          <w:color w:val="auto"/>
          <w:kern w:val="2"/>
          <w:sz w:val="22"/>
          <w:szCs w:val="22"/>
          <w:highlight w:val="none"/>
          <w:lang w:val="en-US" w:eastAsia="zh-CN"/>
        </w:rPr>
        <w:t>（生效日期）之日起生效，至</w:t>
      </w:r>
      <w:r>
        <w:rPr>
          <w:rFonts w:hint="default" w:ascii="宋体" w:hAnsi="宋体" w:eastAsia="宋体" w:cs="宋体"/>
          <w:color w:val="auto"/>
          <w:kern w:val="2"/>
          <w:sz w:val="22"/>
          <w:szCs w:val="22"/>
          <w:highlight w:val="none"/>
          <w:lang w:val="en-US" w:eastAsia="zh-CN"/>
        </w:rPr>
        <w:t xml:space="preserve"> </w:t>
      </w:r>
      <w:r>
        <w:rPr>
          <w:rFonts w:hint="eastAsia" w:ascii="宋体" w:hAnsi="宋体" w:eastAsia="宋体" w:cs="宋体"/>
          <w:color w:val="auto"/>
          <w:kern w:val="2"/>
          <w:sz w:val="22"/>
          <w:szCs w:val="22"/>
          <w:highlight w:val="none"/>
          <w:lang w:val="en-US" w:eastAsia="zh-CN"/>
        </w:rPr>
        <w:t>（失效日期）之日失效。” 如发包人接受履约保函采用固定有效期，在项目专用合同条款中应增加保证承包人在履约保函失效日前向发 包人出具后续阶段履约保函的约束性条款，直至发包人签发交工验收证书且承包人按照合同约定缴纳质量保证金之日为止。</w:t>
      </w:r>
    </w:p>
    <w:p w14:paraId="1520B98F">
      <w:pPr>
        <w:rPr>
          <w:rFonts w:hint="eastAsia" w:ascii="宋体" w:hAnsi="宋体" w:eastAsia="宋体" w:cs="宋体"/>
          <w:color w:val="auto"/>
          <w:sz w:val="32"/>
          <w:highlight w:val="none"/>
        </w:rPr>
      </w:pPr>
    </w:p>
    <w:p w14:paraId="7DDE0420">
      <w:pPr>
        <w:pStyle w:val="2"/>
        <w:pBdr>
          <w:top w:val="none" w:color="000000" w:sz="0" w:space="0"/>
          <w:left w:val="none" w:color="000000" w:sz="0" w:space="0"/>
          <w:bottom w:val="none" w:color="000000" w:sz="0" w:space="0"/>
          <w:right w:val="none" w:color="000000" w:sz="0" w:space="0"/>
        </w:pBdr>
        <w:spacing w:before="24" w:after="320" w:line="416" w:lineRule="auto"/>
        <w:jc w:val="center"/>
        <w:rPr>
          <w:rFonts w:ascii="宋体" w:hAnsi="宋体" w:eastAsia="宋体" w:cs="宋体"/>
          <w:color w:val="auto"/>
          <w:sz w:val="32"/>
          <w:highlight w:val="none"/>
        </w:rPr>
      </w:pPr>
      <w:r>
        <w:rPr>
          <w:rFonts w:hint="eastAsia" w:ascii="宋体" w:hAnsi="宋体" w:eastAsia="宋体" w:cs="宋体"/>
          <w:color w:val="auto"/>
          <w:sz w:val="32"/>
          <w:highlight w:val="none"/>
        </w:rPr>
        <w:t>第七章  评审方法和评审标准</w:t>
      </w:r>
    </w:p>
    <w:p w14:paraId="70DE0DDE">
      <w:pPr>
        <w:adjustRightInd w:val="0"/>
        <w:spacing w:before="120" w:after="120" w:line="360" w:lineRule="auto"/>
        <w:ind w:firstLine="482" w:firstLineChars="200"/>
        <w:jc w:val="left"/>
        <w:textAlignment w:val="baseline"/>
        <w:rPr>
          <w:rFonts w:ascii="宋体" w:hAnsi="宋体" w:eastAsia="宋体" w:cs="宋体"/>
          <w:b/>
          <w:bCs/>
          <w:color w:val="auto"/>
          <w:kern w:val="2"/>
          <w:sz w:val="24"/>
          <w:highlight w:val="none"/>
        </w:rPr>
      </w:pPr>
      <w:r>
        <w:rPr>
          <w:rFonts w:hint="eastAsia" w:ascii="宋体" w:hAnsi="宋体" w:eastAsia="宋体" w:cs="宋体"/>
          <w:b/>
          <w:bCs/>
          <w:color w:val="auto"/>
          <w:kern w:val="2"/>
          <w:sz w:val="24"/>
          <w:highlight w:val="none"/>
        </w:rPr>
        <w:t>一、</w:t>
      </w:r>
      <w:r>
        <w:rPr>
          <w:rFonts w:hint="eastAsia" w:ascii="宋体" w:hAnsi="宋体" w:eastAsia="宋体" w:cs="宋体"/>
          <w:b/>
          <w:color w:val="auto"/>
          <w:kern w:val="2"/>
          <w:sz w:val="24"/>
          <w:highlight w:val="none"/>
        </w:rPr>
        <w:t>磋商小组：</w:t>
      </w:r>
    </w:p>
    <w:p w14:paraId="4A862EAF">
      <w:pPr>
        <w:adjustRightInd w:val="0"/>
        <w:spacing w:before="120" w:after="120" w:line="360" w:lineRule="auto"/>
        <w:ind w:firstLine="480" w:firstLineChars="200"/>
        <w:jc w:val="left"/>
        <w:textAlignment w:val="baseline"/>
        <w:rPr>
          <w:rFonts w:ascii="宋体" w:hAnsi="宋体" w:eastAsia="宋体" w:cs="宋体"/>
          <w:bCs/>
          <w:color w:val="auto"/>
          <w:kern w:val="2"/>
          <w:sz w:val="24"/>
          <w:highlight w:val="none"/>
        </w:rPr>
      </w:pPr>
      <w:r>
        <w:rPr>
          <w:rFonts w:hint="eastAsia" w:ascii="宋体" w:hAnsi="宋体" w:eastAsia="宋体" w:cs="宋体"/>
          <w:bCs/>
          <w:color w:val="auto"/>
          <w:kern w:val="2"/>
          <w:sz w:val="24"/>
          <w:highlight w:val="none"/>
        </w:rPr>
        <w:t>本采购项目磋商小组由采购人代表和评审专家组成。</w:t>
      </w:r>
    </w:p>
    <w:p w14:paraId="4C6EE25E">
      <w:pPr>
        <w:adjustRightInd w:val="0"/>
        <w:spacing w:before="120" w:after="120" w:line="360" w:lineRule="auto"/>
        <w:ind w:firstLine="482" w:firstLineChars="200"/>
        <w:jc w:val="left"/>
        <w:textAlignment w:val="baseline"/>
        <w:rPr>
          <w:rFonts w:ascii="宋体" w:hAnsi="宋体" w:eastAsia="宋体" w:cs="宋体"/>
          <w:b/>
          <w:bCs/>
          <w:color w:val="auto"/>
          <w:kern w:val="2"/>
          <w:sz w:val="24"/>
          <w:highlight w:val="none"/>
        </w:rPr>
      </w:pPr>
      <w:r>
        <w:rPr>
          <w:rFonts w:hint="eastAsia" w:ascii="宋体" w:hAnsi="宋体" w:eastAsia="宋体" w:cs="宋体"/>
          <w:b/>
          <w:bCs/>
          <w:color w:val="auto"/>
          <w:kern w:val="2"/>
          <w:sz w:val="24"/>
          <w:highlight w:val="none"/>
        </w:rPr>
        <w:t>二</w:t>
      </w:r>
      <w:r>
        <w:rPr>
          <w:rFonts w:hint="eastAsia" w:ascii="宋体" w:hAnsi="宋体" w:eastAsia="宋体" w:cs="宋体"/>
          <w:b/>
          <w:color w:val="auto"/>
          <w:kern w:val="2"/>
          <w:sz w:val="24"/>
          <w:highlight w:val="none"/>
        </w:rPr>
        <w:t>、评审方法：</w:t>
      </w:r>
      <w:r>
        <w:rPr>
          <w:rFonts w:hint="eastAsia" w:ascii="宋体" w:hAnsi="宋体" w:eastAsia="宋体" w:cs="宋体"/>
          <w:b/>
          <w:bCs/>
          <w:color w:val="auto"/>
          <w:kern w:val="2"/>
          <w:sz w:val="24"/>
          <w:highlight w:val="none"/>
        </w:rPr>
        <w:t>综合评分法</w:t>
      </w:r>
    </w:p>
    <w:p w14:paraId="0F43B2E1">
      <w:pPr>
        <w:adjustRightInd w:val="0"/>
        <w:spacing w:before="120" w:after="120" w:line="360" w:lineRule="auto"/>
        <w:ind w:firstLine="480" w:firstLineChars="200"/>
        <w:jc w:val="left"/>
        <w:textAlignment w:val="baseline"/>
        <w:rPr>
          <w:rFonts w:ascii="宋体" w:hAnsi="宋体" w:eastAsia="宋体" w:cs="宋体"/>
          <w:color w:val="auto"/>
          <w:kern w:val="2"/>
          <w:sz w:val="24"/>
          <w:highlight w:val="none"/>
        </w:rPr>
      </w:pPr>
      <w:r>
        <w:rPr>
          <w:rFonts w:hint="eastAsia" w:ascii="宋体" w:hAnsi="宋体" w:eastAsia="宋体" w:cs="宋体"/>
          <w:color w:val="auto"/>
          <w:kern w:val="2"/>
          <w:sz w:val="24"/>
          <w:highlight w:val="none"/>
        </w:rPr>
        <w:t>经磋商确定最终采购需求和提交最后报价的供应商后，由磋商小组采用综合评分法对提交最后报价的供应商的响应文件和最后报价进行综合评分。</w:t>
      </w:r>
    </w:p>
    <w:p w14:paraId="652ADF92">
      <w:pPr>
        <w:adjustRightInd w:val="0"/>
        <w:spacing w:before="120" w:after="120" w:line="360" w:lineRule="auto"/>
        <w:ind w:firstLine="480" w:firstLineChars="200"/>
        <w:jc w:val="left"/>
        <w:textAlignment w:val="baseline"/>
        <w:rPr>
          <w:rFonts w:ascii="宋体" w:hAnsi="宋体" w:eastAsia="宋体" w:cs="宋体"/>
          <w:color w:val="auto"/>
          <w:kern w:val="2"/>
          <w:sz w:val="24"/>
          <w:highlight w:val="none"/>
        </w:rPr>
      </w:pPr>
      <w:r>
        <w:rPr>
          <w:rFonts w:hint="eastAsia" w:ascii="宋体" w:hAnsi="宋体" w:eastAsia="宋体" w:cs="宋体"/>
          <w:color w:val="auto"/>
          <w:kern w:val="2"/>
          <w:sz w:val="24"/>
          <w:highlight w:val="none"/>
        </w:rPr>
        <w:t>综合评分法，是指响应文件满足磋商文件全部实质性要求且按评审因素的量化指标评审得分最高的供应商为成交候选供应商的评审方法。</w:t>
      </w:r>
    </w:p>
    <w:p w14:paraId="28D46031">
      <w:pPr>
        <w:adjustRightInd w:val="0"/>
        <w:spacing w:before="120" w:after="120" w:line="360" w:lineRule="auto"/>
        <w:ind w:firstLine="482" w:firstLineChars="200"/>
        <w:jc w:val="left"/>
        <w:textAlignment w:val="baseline"/>
        <w:rPr>
          <w:rFonts w:ascii="宋体" w:hAnsi="宋体" w:eastAsia="宋体" w:cs="宋体"/>
          <w:b/>
          <w:bCs/>
          <w:color w:val="auto"/>
          <w:kern w:val="2"/>
          <w:sz w:val="24"/>
          <w:highlight w:val="none"/>
        </w:rPr>
      </w:pPr>
      <w:r>
        <w:rPr>
          <w:rFonts w:hint="eastAsia" w:ascii="宋体" w:hAnsi="宋体" w:eastAsia="宋体" w:cs="宋体"/>
          <w:b/>
          <w:bCs/>
          <w:color w:val="auto"/>
          <w:kern w:val="2"/>
          <w:sz w:val="24"/>
          <w:highlight w:val="none"/>
        </w:rPr>
        <w:t>三、</w:t>
      </w:r>
      <w:r>
        <w:rPr>
          <w:rFonts w:hint="eastAsia" w:ascii="宋体" w:hAnsi="宋体" w:eastAsia="宋体" w:cs="宋体"/>
          <w:b/>
          <w:color w:val="auto"/>
          <w:kern w:val="2"/>
          <w:sz w:val="24"/>
          <w:highlight w:val="none"/>
        </w:rPr>
        <w:t>评审</w:t>
      </w:r>
      <w:r>
        <w:rPr>
          <w:rFonts w:hint="eastAsia" w:ascii="宋体" w:hAnsi="宋体" w:eastAsia="宋体" w:cs="宋体"/>
          <w:b/>
          <w:bCs/>
          <w:color w:val="auto"/>
          <w:kern w:val="2"/>
          <w:sz w:val="24"/>
          <w:highlight w:val="none"/>
        </w:rPr>
        <w:t>原则：</w:t>
      </w:r>
    </w:p>
    <w:p w14:paraId="6C202CC6">
      <w:pPr>
        <w:adjustRightInd w:val="0"/>
        <w:spacing w:before="120" w:after="120" w:line="360" w:lineRule="auto"/>
        <w:ind w:firstLine="480" w:firstLineChars="200"/>
        <w:jc w:val="left"/>
        <w:textAlignment w:val="baseline"/>
        <w:rPr>
          <w:rFonts w:ascii="宋体" w:hAnsi="宋体" w:eastAsia="宋体" w:cs="宋体"/>
          <w:bCs/>
          <w:color w:val="auto"/>
          <w:kern w:val="2"/>
          <w:sz w:val="24"/>
          <w:highlight w:val="none"/>
        </w:rPr>
      </w:pPr>
      <w:r>
        <w:rPr>
          <w:rFonts w:hint="eastAsia" w:ascii="宋体" w:hAnsi="宋体" w:eastAsia="宋体" w:cs="宋体"/>
          <w:color w:val="auto"/>
          <w:kern w:val="2"/>
          <w:sz w:val="24"/>
          <w:highlight w:val="none"/>
        </w:rPr>
        <w:t>磋商小组</w:t>
      </w:r>
      <w:r>
        <w:rPr>
          <w:rFonts w:hint="eastAsia" w:ascii="宋体" w:hAnsi="宋体" w:eastAsia="宋体" w:cs="宋体"/>
          <w:bCs/>
          <w:color w:val="auto"/>
          <w:kern w:val="2"/>
          <w:sz w:val="24"/>
          <w:highlight w:val="none"/>
        </w:rPr>
        <w:t>必须客观、公正、审慎，不带任何倾向性和启发性；不得向外界透露任何与评审有关的内容；任何单位和个人不得干扰、影响评审的正常进行；磋商小组及有关工作人员不得私下与供应商接触。</w:t>
      </w:r>
    </w:p>
    <w:p w14:paraId="13982FDD">
      <w:pPr>
        <w:adjustRightInd w:val="0"/>
        <w:spacing w:before="120" w:after="120" w:line="360" w:lineRule="auto"/>
        <w:ind w:firstLine="482" w:firstLineChars="200"/>
        <w:jc w:val="left"/>
        <w:textAlignment w:val="baseline"/>
        <w:rPr>
          <w:rFonts w:ascii="宋体" w:hAnsi="宋体" w:eastAsia="宋体" w:cs="宋体"/>
          <w:b/>
          <w:bCs/>
          <w:color w:val="auto"/>
          <w:kern w:val="2"/>
          <w:sz w:val="24"/>
          <w:highlight w:val="none"/>
        </w:rPr>
      </w:pPr>
      <w:r>
        <w:rPr>
          <w:rFonts w:hint="eastAsia" w:ascii="宋体" w:hAnsi="宋体" w:eastAsia="宋体" w:cs="宋体"/>
          <w:b/>
          <w:bCs/>
          <w:color w:val="auto"/>
          <w:kern w:val="2"/>
          <w:sz w:val="24"/>
          <w:highlight w:val="none"/>
        </w:rPr>
        <w:t xml:space="preserve">四、评审标准： </w:t>
      </w:r>
    </w:p>
    <w:p w14:paraId="0AAF5F83">
      <w:pPr>
        <w:adjustRightInd w:val="0"/>
        <w:spacing w:before="120" w:after="120" w:line="360" w:lineRule="auto"/>
        <w:ind w:firstLine="480" w:firstLineChars="200"/>
        <w:jc w:val="left"/>
        <w:textAlignment w:val="baseline"/>
        <w:rPr>
          <w:rFonts w:ascii="宋体" w:hAnsi="宋体" w:eastAsia="宋体" w:cs="宋体"/>
          <w:bCs/>
          <w:color w:val="auto"/>
          <w:kern w:val="2"/>
          <w:sz w:val="24"/>
          <w:highlight w:val="none"/>
        </w:rPr>
      </w:pPr>
      <w:r>
        <w:rPr>
          <w:rFonts w:hint="eastAsia" w:ascii="宋体" w:hAnsi="宋体" w:eastAsia="宋体" w:cs="宋体"/>
          <w:bCs/>
          <w:color w:val="auto"/>
          <w:kern w:val="2"/>
          <w:sz w:val="24"/>
          <w:highlight w:val="none"/>
        </w:rPr>
        <w:t>(一)评审时，磋商小组以磋商文件为评审依据，磋商小组各成员独立对每个有效响应的文件进行评价、打分，然后汇总每个供应商每项评分因素的得分。</w:t>
      </w:r>
    </w:p>
    <w:p w14:paraId="75B0EA0E">
      <w:pPr>
        <w:pStyle w:val="36"/>
        <w:tabs>
          <w:tab w:val="left" w:pos="720"/>
          <w:tab w:val="clear" w:pos="916"/>
        </w:tabs>
        <w:ind w:firstLine="480"/>
        <w:rPr>
          <w:rFonts w:cs="宋体"/>
          <w:bCs/>
          <w:color w:val="auto"/>
          <w:kern w:val="2"/>
          <w:highlight w:val="none"/>
        </w:rPr>
      </w:pPr>
      <w:r>
        <w:rPr>
          <w:rFonts w:hint="eastAsia" w:cs="宋体"/>
          <w:bCs/>
          <w:color w:val="auto"/>
          <w:kern w:val="2"/>
          <w:highlight w:val="none"/>
        </w:rPr>
        <w:t>(二)本项目评分总分为100分，按四舍五入取至小数点后两位。</w:t>
      </w:r>
    </w:p>
    <w:p w14:paraId="617A86DC">
      <w:pPr>
        <w:adjustRightInd w:val="0"/>
        <w:spacing w:before="120" w:after="120" w:line="360" w:lineRule="auto"/>
        <w:ind w:firstLine="643" w:firstLineChars="200"/>
        <w:jc w:val="center"/>
        <w:textAlignment w:val="baseline"/>
        <w:rPr>
          <w:rFonts w:ascii="宋体" w:hAnsi="宋体" w:eastAsia="宋体" w:cs="宋体"/>
          <w:b/>
          <w:bCs/>
          <w:color w:val="auto"/>
          <w:kern w:val="2"/>
          <w:sz w:val="32"/>
          <w:szCs w:val="32"/>
          <w:highlight w:val="none"/>
        </w:rPr>
      </w:pPr>
      <w:r>
        <w:rPr>
          <w:rFonts w:hint="eastAsia" w:ascii="宋体" w:hAnsi="宋体" w:eastAsia="宋体" w:cs="宋体"/>
          <w:b/>
          <w:bCs/>
          <w:color w:val="auto"/>
          <w:kern w:val="2"/>
          <w:sz w:val="32"/>
          <w:szCs w:val="32"/>
          <w:highlight w:val="none"/>
        </w:rPr>
        <w:br w:type="page"/>
      </w:r>
      <w:r>
        <w:rPr>
          <w:rFonts w:hint="eastAsia" w:ascii="宋体" w:hAnsi="宋体" w:eastAsia="宋体" w:cs="宋体"/>
          <w:b/>
          <w:bCs/>
          <w:color w:val="auto"/>
          <w:kern w:val="2"/>
          <w:sz w:val="32"/>
          <w:szCs w:val="32"/>
          <w:highlight w:val="none"/>
        </w:rPr>
        <w:t>综合评分法</w:t>
      </w:r>
    </w:p>
    <w:p w14:paraId="6E31F905">
      <w:pPr>
        <w:adjustRightInd w:val="0"/>
        <w:spacing w:before="120" w:after="120" w:line="360" w:lineRule="auto"/>
        <w:ind w:firstLine="482" w:firstLineChars="200"/>
        <w:jc w:val="left"/>
        <w:textAlignment w:val="baseline"/>
        <w:rPr>
          <w:rFonts w:ascii="宋体" w:hAnsi="宋体" w:eastAsia="宋体" w:cs="宋体"/>
          <w:b/>
          <w:bCs/>
          <w:color w:val="auto"/>
          <w:kern w:val="2"/>
          <w:sz w:val="24"/>
          <w:highlight w:val="none"/>
        </w:rPr>
      </w:pPr>
      <w:r>
        <w:rPr>
          <w:rFonts w:hint="eastAsia" w:ascii="宋体" w:hAnsi="宋体" w:eastAsia="宋体" w:cs="宋体"/>
          <w:b/>
          <w:bCs/>
          <w:color w:val="auto"/>
          <w:kern w:val="2"/>
          <w:sz w:val="24"/>
          <w:highlight w:val="none"/>
        </w:rPr>
        <w:t>1、价格分：</w:t>
      </w:r>
      <w:r>
        <w:rPr>
          <w:rFonts w:hint="eastAsia" w:ascii="宋体" w:hAnsi="宋体" w:eastAsia="宋体" w:cs="宋体"/>
          <w:b/>
          <w:bCs/>
          <w:color w:val="auto"/>
          <w:kern w:val="2"/>
          <w:sz w:val="24"/>
          <w:highlight w:val="none"/>
          <w:lang w:val="en-US" w:eastAsia="zh-CN"/>
        </w:rPr>
        <w:t>50</w:t>
      </w:r>
      <w:r>
        <w:rPr>
          <w:rFonts w:hint="eastAsia" w:ascii="宋体" w:hAnsi="宋体" w:eastAsia="宋体" w:cs="宋体"/>
          <w:b/>
          <w:bCs/>
          <w:color w:val="auto"/>
          <w:kern w:val="2"/>
          <w:sz w:val="24"/>
          <w:highlight w:val="none"/>
        </w:rPr>
        <w:t>分</w:t>
      </w:r>
    </w:p>
    <w:p w14:paraId="642055D3">
      <w:pPr>
        <w:adjustRightInd w:val="0"/>
        <w:spacing w:before="120" w:after="120" w:line="360" w:lineRule="auto"/>
        <w:ind w:firstLine="480" w:firstLineChars="200"/>
        <w:jc w:val="left"/>
        <w:textAlignment w:val="baseline"/>
        <w:rPr>
          <w:rFonts w:ascii="宋体" w:hAnsi="宋体" w:eastAsia="宋体" w:cs="宋体"/>
          <w:bCs/>
          <w:color w:val="auto"/>
          <w:kern w:val="2"/>
          <w:sz w:val="24"/>
          <w:highlight w:val="none"/>
        </w:rPr>
      </w:pPr>
      <w:r>
        <w:rPr>
          <w:rFonts w:hint="eastAsia" w:ascii="宋体" w:hAnsi="宋体" w:eastAsia="宋体" w:cs="宋体"/>
          <w:bCs/>
          <w:color w:val="auto"/>
          <w:kern w:val="2"/>
          <w:sz w:val="24"/>
          <w:highlight w:val="none"/>
        </w:rPr>
        <w:t>价格分统一采用低价优先法计算，即满足磋商文件要求且最后报价最低的供应商的价格为磋商基准价，其价格分为满分。其他供应商的价格分统一按照下列公式计算：</w:t>
      </w:r>
    </w:p>
    <w:p w14:paraId="7CC5A03F">
      <w:pPr>
        <w:adjustRightInd w:val="0"/>
        <w:spacing w:before="120" w:after="120" w:line="360" w:lineRule="auto"/>
        <w:ind w:firstLine="480" w:firstLineChars="200"/>
        <w:jc w:val="left"/>
        <w:textAlignment w:val="baseline"/>
        <w:rPr>
          <w:rFonts w:ascii="宋体" w:hAnsi="宋体" w:eastAsia="宋体" w:cs="宋体"/>
          <w:bCs/>
          <w:color w:val="auto"/>
          <w:kern w:val="2"/>
          <w:sz w:val="24"/>
          <w:highlight w:val="none"/>
        </w:rPr>
      </w:pPr>
      <w:r>
        <w:rPr>
          <w:rFonts w:hint="eastAsia" w:ascii="宋体" w:hAnsi="宋体" w:eastAsia="宋体" w:cs="宋体"/>
          <w:bCs/>
          <w:color w:val="auto"/>
          <w:kern w:val="2"/>
          <w:sz w:val="24"/>
          <w:highlight w:val="none"/>
        </w:rPr>
        <w:t xml:space="preserve">磋商报价得分=（磋商基准价/最后磋商报价）× </w:t>
      </w:r>
      <w:r>
        <w:rPr>
          <w:rFonts w:hint="eastAsia" w:ascii="宋体" w:hAnsi="宋体" w:eastAsia="宋体" w:cs="宋体"/>
          <w:bCs/>
          <w:color w:val="auto"/>
          <w:kern w:val="2"/>
          <w:sz w:val="24"/>
          <w:highlight w:val="none"/>
          <w:lang w:val="en-US" w:eastAsia="zh-CN"/>
        </w:rPr>
        <w:t>50</w:t>
      </w:r>
      <w:r>
        <w:rPr>
          <w:rFonts w:hint="eastAsia" w:ascii="宋体" w:hAnsi="宋体" w:eastAsia="宋体" w:cs="宋体"/>
          <w:bCs/>
          <w:color w:val="auto"/>
          <w:kern w:val="2"/>
          <w:sz w:val="24"/>
          <w:highlight w:val="none"/>
        </w:rPr>
        <w:t>分</w:t>
      </w:r>
    </w:p>
    <w:p w14:paraId="71D486FA">
      <w:pPr>
        <w:adjustRightInd w:val="0"/>
        <w:spacing w:before="120" w:after="120" w:line="360" w:lineRule="auto"/>
        <w:ind w:firstLine="480" w:firstLineChars="200"/>
        <w:jc w:val="left"/>
        <w:textAlignment w:val="baseline"/>
        <w:rPr>
          <w:rFonts w:ascii="宋体" w:hAnsi="宋体" w:eastAsia="宋体" w:cs="宋体"/>
          <w:bCs/>
          <w:color w:val="auto"/>
          <w:kern w:val="2"/>
          <w:sz w:val="24"/>
          <w:highlight w:val="none"/>
        </w:rPr>
      </w:pPr>
      <w:r>
        <w:rPr>
          <w:rFonts w:hint="eastAsia" w:ascii="宋体" w:hAnsi="宋体" w:eastAsia="宋体" w:cs="宋体"/>
          <w:bCs/>
          <w:color w:val="auto"/>
          <w:kern w:val="2"/>
          <w:sz w:val="24"/>
          <w:highlight w:val="none"/>
        </w:rPr>
        <w:t>项目评审过程中，不得去掉最后报价中的最高报价和最低报价</w:t>
      </w:r>
    </w:p>
    <w:p w14:paraId="3659F7BC">
      <w:pPr>
        <w:spacing w:line="480" w:lineRule="auto"/>
        <w:ind w:firstLine="482" w:firstLineChars="200"/>
        <w:rPr>
          <w:rFonts w:ascii="Times New Roman" w:hAnsi="Times New Roman" w:eastAsia="宋体" w:cs="Times New Roman"/>
          <w:b/>
          <w:bCs/>
          <w:color w:val="auto"/>
          <w:kern w:val="2"/>
          <w:sz w:val="24"/>
          <w:highlight w:val="none"/>
          <w:lang w:val="zh-CN"/>
        </w:rPr>
      </w:pPr>
      <w:r>
        <w:rPr>
          <w:rFonts w:hint="eastAsia" w:ascii="Times New Roman" w:hAnsi="Times New Roman" w:eastAsia="宋体" w:cs="Times New Roman"/>
          <w:b/>
          <w:bCs/>
          <w:color w:val="auto"/>
          <w:kern w:val="2"/>
          <w:sz w:val="24"/>
          <w:highlight w:val="none"/>
          <w:lang w:val="zh-CN"/>
        </w:rPr>
        <w:t>2 、商务分：</w:t>
      </w:r>
      <w:r>
        <w:rPr>
          <w:rFonts w:hint="eastAsia" w:ascii="Times New Roman" w:hAnsi="Times New Roman" w:eastAsia="宋体" w:cs="Times New Roman"/>
          <w:b/>
          <w:bCs/>
          <w:color w:val="auto"/>
          <w:kern w:val="2"/>
          <w:sz w:val="24"/>
          <w:highlight w:val="none"/>
          <w:lang w:val="en-US" w:eastAsia="zh-CN"/>
        </w:rPr>
        <w:t>20</w:t>
      </w:r>
      <w:r>
        <w:rPr>
          <w:rFonts w:hint="eastAsia" w:ascii="Times New Roman" w:hAnsi="Times New Roman" w:eastAsia="宋体" w:cs="Times New Roman"/>
          <w:b/>
          <w:bCs/>
          <w:color w:val="auto"/>
          <w:kern w:val="2"/>
          <w:sz w:val="24"/>
          <w:highlight w:val="none"/>
          <w:lang w:val="zh-CN"/>
        </w:rPr>
        <w:t>分</w:t>
      </w:r>
    </w:p>
    <w:tbl>
      <w:tblPr>
        <w:tblStyle w:val="227"/>
        <w:tblW w:w="90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64"/>
        <w:gridCol w:w="7156"/>
      </w:tblGrid>
      <w:tr w14:paraId="1CD45F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1864" w:type="dxa"/>
          </w:tcPr>
          <w:p w14:paraId="5033503B">
            <w:pPr>
              <w:pStyle w:val="226"/>
              <w:spacing w:before="117" w:line="220" w:lineRule="auto"/>
              <w:ind w:firstLine="472"/>
              <w:rPr>
                <w:color w:val="auto"/>
                <w:highlight w:val="none"/>
              </w:rPr>
            </w:pPr>
            <w:r>
              <w:rPr>
                <w:color w:val="auto"/>
                <w:spacing w:val="-2"/>
                <w:highlight w:val="none"/>
              </w:rPr>
              <w:t>评审因素</w:t>
            </w:r>
          </w:p>
        </w:tc>
        <w:tc>
          <w:tcPr>
            <w:tcW w:w="7156" w:type="dxa"/>
          </w:tcPr>
          <w:p w14:paraId="637D19F4">
            <w:pPr>
              <w:pStyle w:val="226"/>
              <w:spacing w:before="117" w:line="221" w:lineRule="auto"/>
              <w:ind w:left="3100" w:firstLine="472"/>
              <w:rPr>
                <w:color w:val="auto"/>
                <w:highlight w:val="none"/>
              </w:rPr>
            </w:pPr>
            <w:r>
              <w:rPr>
                <w:color w:val="auto"/>
                <w:spacing w:val="-2"/>
                <w:highlight w:val="none"/>
              </w:rPr>
              <w:t>评审标准</w:t>
            </w:r>
          </w:p>
        </w:tc>
      </w:tr>
      <w:tr w14:paraId="785F62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jc w:val="center"/>
        </w:trPr>
        <w:tc>
          <w:tcPr>
            <w:tcW w:w="1864" w:type="dxa"/>
            <w:vAlign w:val="center"/>
          </w:tcPr>
          <w:p w14:paraId="107156F4">
            <w:pPr>
              <w:pStyle w:val="226"/>
              <w:spacing w:before="65" w:line="408" w:lineRule="exact"/>
              <w:ind w:left="0" w:leftChars="0" w:firstLine="0" w:firstLineChars="0"/>
              <w:jc w:val="center"/>
              <w:rPr>
                <w:rFonts w:hAnsi="宋体" w:cs="宋体"/>
                <w:color w:val="auto"/>
                <w:szCs w:val="24"/>
                <w:highlight w:val="none"/>
                <w:lang w:bidi="ar"/>
              </w:rPr>
            </w:pPr>
            <w:r>
              <w:rPr>
                <w:rFonts w:hint="eastAsia" w:ascii="Calibri" w:hAnsi="Calibri" w:cs="Times New Roman"/>
                <w:b w:val="0"/>
                <w:bCs w:val="0"/>
                <w:kern w:val="2"/>
                <w:sz w:val="24"/>
                <w:szCs w:val="24"/>
                <w:highlight w:val="none"/>
                <w:lang w:val="en-US" w:eastAsia="zh-CN" w:bidi="ar-SA"/>
              </w:rPr>
              <w:t>项目负责</w:t>
            </w:r>
            <w:r>
              <w:rPr>
                <w:rFonts w:hint="eastAsia" w:ascii="Calibri" w:hAnsi="Calibri" w:eastAsia="宋体" w:cs="Times New Roman"/>
                <w:b w:val="0"/>
                <w:bCs w:val="0"/>
                <w:kern w:val="2"/>
                <w:sz w:val="24"/>
                <w:szCs w:val="24"/>
                <w:highlight w:val="none"/>
                <w:lang w:val="zh-CN" w:eastAsia="zh-CN" w:bidi="ar-SA"/>
              </w:rPr>
              <w:t>人</w:t>
            </w:r>
          </w:p>
          <w:p w14:paraId="7FDAE7B7">
            <w:pPr>
              <w:pStyle w:val="205"/>
              <w:widowControl w:val="0"/>
              <w:ind w:firstLine="0"/>
              <w:jc w:val="center"/>
              <w:rPr>
                <w:rFonts w:ascii="Calibri" w:hAnsi="Calibri"/>
                <w:color w:val="auto"/>
                <w:kern w:val="2"/>
                <w:szCs w:val="24"/>
                <w:highlight w:val="none"/>
                <w:lang w:val="zh-CN"/>
              </w:rPr>
            </w:pPr>
            <w:r>
              <w:rPr>
                <w:rFonts w:hint="eastAsia" w:hAnsi="宋体" w:cs="宋体"/>
                <w:color w:val="auto"/>
                <w:szCs w:val="24"/>
                <w:highlight w:val="none"/>
                <w:lang w:bidi="ar"/>
              </w:rPr>
              <w:t>（</w:t>
            </w:r>
            <w:r>
              <w:rPr>
                <w:rFonts w:hint="eastAsia" w:hAnsi="宋体" w:cs="宋体"/>
                <w:color w:val="auto"/>
                <w:szCs w:val="24"/>
                <w:highlight w:val="none"/>
                <w:lang w:val="en-US" w:eastAsia="zh-CN" w:bidi="ar"/>
              </w:rPr>
              <w:t>3</w:t>
            </w:r>
            <w:r>
              <w:rPr>
                <w:rFonts w:hint="eastAsia" w:hAnsi="宋体" w:cs="宋体"/>
                <w:color w:val="auto"/>
                <w:szCs w:val="24"/>
                <w:highlight w:val="none"/>
                <w:lang w:bidi="ar"/>
              </w:rPr>
              <w:t>分）</w:t>
            </w:r>
          </w:p>
        </w:tc>
        <w:tc>
          <w:tcPr>
            <w:tcW w:w="7156" w:type="dxa"/>
          </w:tcPr>
          <w:p w14:paraId="59BEF7AD">
            <w:pPr>
              <w:widowControl/>
              <w:spacing w:line="360" w:lineRule="auto"/>
              <w:jc w:val="left"/>
              <w:rPr>
                <w:rFonts w:hint="eastAsia" w:ascii="Calibri" w:hAnsi="Calibri" w:eastAsia="宋体" w:cs="Times New Roman"/>
                <w:color w:val="auto"/>
                <w:kern w:val="2"/>
                <w:sz w:val="24"/>
                <w:highlight w:val="none"/>
                <w:lang w:val="zh-CN"/>
              </w:rPr>
            </w:pPr>
            <w:r>
              <w:rPr>
                <w:rFonts w:hint="eastAsia" w:ascii="Calibri" w:hAnsi="Calibri" w:eastAsia="宋体" w:cs="Times New Roman"/>
                <w:color w:val="auto"/>
                <w:kern w:val="2"/>
                <w:sz w:val="24"/>
                <w:highlight w:val="none"/>
                <w:lang w:val="zh-CN"/>
              </w:rPr>
              <w:t>供应商为本项目拟派的项目负责人具有中级及以上工程师职称的得3 分；本项最高得3分。</w:t>
            </w:r>
          </w:p>
          <w:p w14:paraId="1A8F8E34">
            <w:pPr>
              <w:widowControl/>
              <w:spacing w:line="360" w:lineRule="auto"/>
              <w:jc w:val="left"/>
              <w:rPr>
                <w:rFonts w:ascii="Calibri" w:hAnsi="Calibri" w:eastAsia="宋体" w:cs="Times New Roman"/>
                <w:color w:val="auto"/>
                <w:kern w:val="2"/>
                <w:sz w:val="24"/>
                <w:highlight w:val="none"/>
                <w:lang w:val="zh-CN"/>
              </w:rPr>
            </w:pPr>
            <w:r>
              <w:rPr>
                <w:rFonts w:hint="eastAsia" w:ascii="Calibri" w:hAnsi="Calibri" w:eastAsia="宋体" w:cs="Times New Roman"/>
                <w:color w:val="auto"/>
                <w:kern w:val="2"/>
                <w:sz w:val="24"/>
                <w:highlight w:val="none"/>
                <w:lang w:val="zh-CN"/>
              </w:rPr>
              <w:t>响应文件中提供职称证书及2026年</w:t>
            </w:r>
            <w:r>
              <w:rPr>
                <w:rFonts w:hint="eastAsia" w:ascii="Calibri" w:hAnsi="Calibri" w:eastAsia="宋体" w:cs="Times New Roman"/>
                <w:color w:val="auto"/>
                <w:kern w:val="2"/>
                <w:sz w:val="24"/>
                <w:highlight w:val="none"/>
                <w:lang w:val="en-US" w:eastAsia="zh-CN"/>
              </w:rPr>
              <w:t>4</w:t>
            </w:r>
            <w:r>
              <w:rPr>
                <w:rFonts w:hint="eastAsia" w:ascii="Calibri" w:hAnsi="Calibri" w:eastAsia="宋体" w:cs="Times New Roman"/>
                <w:color w:val="auto"/>
                <w:kern w:val="2"/>
                <w:sz w:val="24"/>
                <w:highlight w:val="none"/>
                <w:lang w:val="zh-CN"/>
              </w:rPr>
              <w:t>月至今任意一个月由磋商供应商为其缴纳的社保证明材料扫描件并加盖公章，如为退休人员，需提供单位聘用合同及退休证明），否则不得分。</w:t>
            </w:r>
          </w:p>
        </w:tc>
      </w:tr>
      <w:tr w14:paraId="11A067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jc w:val="center"/>
        </w:trPr>
        <w:tc>
          <w:tcPr>
            <w:tcW w:w="1864" w:type="dxa"/>
            <w:vAlign w:val="center"/>
          </w:tcPr>
          <w:p w14:paraId="3A1BD0FA">
            <w:pPr>
              <w:widowControl/>
              <w:spacing w:line="360" w:lineRule="auto"/>
              <w:jc w:val="center"/>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人员配备</w:t>
            </w:r>
          </w:p>
          <w:p w14:paraId="0488477A">
            <w:pPr>
              <w:pStyle w:val="205"/>
              <w:widowControl w:val="0"/>
              <w:ind w:firstLine="0"/>
              <w:jc w:val="center"/>
              <w:rPr>
                <w:rFonts w:ascii="Calibri" w:hAnsi="Calibri"/>
                <w:color w:val="auto"/>
                <w:kern w:val="2"/>
                <w:szCs w:val="24"/>
                <w:highlight w:val="none"/>
                <w:lang w:val="zh-CN"/>
              </w:rPr>
            </w:pPr>
            <w:r>
              <w:rPr>
                <w:rFonts w:hint="eastAsia" w:hAnsi="宋体" w:cs="宋体"/>
                <w:color w:val="auto"/>
                <w:szCs w:val="24"/>
                <w:highlight w:val="none"/>
                <w:lang w:bidi="ar"/>
              </w:rPr>
              <w:t>（</w:t>
            </w:r>
            <w:r>
              <w:rPr>
                <w:rFonts w:hint="eastAsia" w:hAnsi="宋体" w:cs="宋体"/>
                <w:color w:val="auto"/>
                <w:szCs w:val="24"/>
                <w:highlight w:val="none"/>
                <w:lang w:val="en-US" w:eastAsia="zh-CN" w:bidi="ar"/>
              </w:rPr>
              <w:t>11</w:t>
            </w:r>
            <w:r>
              <w:rPr>
                <w:rFonts w:hint="eastAsia" w:hAnsi="宋体" w:cs="宋体"/>
                <w:color w:val="auto"/>
                <w:szCs w:val="24"/>
                <w:highlight w:val="none"/>
                <w:lang w:bidi="ar"/>
              </w:rPr>
              <w:t>分）</w:t>
            </w:r>
          </w:p>
        </w:tc>
        <w:tc>
          <w:tcPr>
            <w:tcW w:w="7156" w:type="dxa"/>
          </w:tcPr>
          <w:p w14:paraId="4BACE3EF">
            <w:pPr>
              <w:widowControl/>
              <w:spacing w:line="360" w:lineRule="exact"/>
              <w:jc w:val="left"/>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1、团队配备（不含项目负责人）：项目组配备安全员、施工员、资料员、材料员、质量员，每有一人 1分，此项满分为 5 分。</w:t>
            </w:r>
          </w:p>
          <w:p w14:paraId="02638597">
            <w:pPr>
              <w:widowControl/>
              <w:spacing w:line="360" w:lineRule="exact"/>
              <w:jc w:val="left"/>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2、上述人员中（不含项目负责人）具有中级及以上工程师职称的，每有一人得3分；本项最高得6分。</w:t>
            </w:r>
          </w:p>
          <w:p w14:paraId="7659902E">
            <w:pPr>
              <w:widowControl/>
              <w:spacing w:line="360" w:lineRule="exact"/>
              <w:jc w:val="left"/>
              <w:rPr>
                <w:rFonts w:hint="eastAsia" w:eastAsia="宋体"/>
                <w:color w:val="auto"/>
                <w:highlight w:val="none"/>
                <w:lang w:val="zh-CN" w:eastAsia="zh-CN"/>
              </w:rPr>
            </w:pPr>
            <w:r>
              <w:rPr>
                <w:rFonts w:hint="eastAsia" w:ascii="宋体" w:hAnsi="宋体" w:eastAsia="宋体" w:cs="宋体"/>
                <w:color w:val="auto"/>
                <w:sz w:val="24"/>
                <w:highlight w:val="none"/>
                <w:lang w:val="en-US" w:eastAsia="zh-CN" w:bidi="ar"/>
              </w:rPr>
              <w:t>响应文件中提供相应证书及2026年4月至今任意一个月由磋商供应商为其缴纳的社保证明材料扫描件并加盖公章，如为退休人员，需提供单位聘用合同及退休证明），否则不得分。</w:t>
            </w:r>
          </w:p>
        </w:tc>
      </w:tr>
      <w:tr w14:paraId="0F7C7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jc w:val="center"/>
        </w:trPr>
        <w:tc>
          <w:tcPr>
            <w:tcW w:w="1864" w:type="dxa"/>
            <w:vAlign w:val="center"/>
          </w:tcPr>
          <w:p w14:paraId="44CDE609">
            <w:pPr>
              <w:pStyle w:val="205"/>
              <w:widowControl w:val="0"/>
              <w:ind w:firstLine="0"/>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类似业绩</w:t>
            </w:r>
          </w:p>
          <w:p w14:paraId="7861A3AE">
            <w:pPr>
              <w:pStyle w:val="205"/>
              <w:widowControl w:val="0"/>
              <w:ind w:firstLine="0"/>
              <w:jc w:val="center"/>
              <w:rPr>
                <w:rFonts w:ascii="Calibri" w:hAnsi="Calibri"/>
                <w:color w:val="auto"/>
                <w:kern w:val="2"/>
                <w:szCs w:val="24"/>
                <w:highlight w:val="none"/>
              </w:rPr>
            </w:pPr>
            <w:r>
              <w:rPr>
                <w:rFonts w:hint="eastAsia" w:hAnsi="宋体" w:cs="宋体"/>
                <w:color w:val="auto"/>
                <w:szCs w:val="24"/>
                <w:highlight w:val="none"/>
                <w:lang w:bidi="ar"/>
              </w:rPr>
              <w:t>（</w:t>
            </w:r>
            <w:r>
              <w:rPr>
                <w:rFonts w:hint="eastAsia" w:hAnsi="宋体" w:cs="宋体"/>
                <w:color w:val="auto"/>
                <w:szCs w:val="24"/>
                <w:highlight w:val="none"/>
                <w:lang w:val="en-US" w:eastAsia="zh-CN" w:bidi="ar"/>
              </w:rPr>
              <w:t>6</w:t>
            </w:r>
            <w:r>
              <w:rPr>
                <w:rFonts w:hint="eastAsia" w:hAnsi="宋体" w:cs="宋体"/>
                <w:color w:val="auto"/>
                <w:szCs w:val="24"/>
                <w:highlight w:val="none"/>
                <w:lang w:bidi="ar"/>
              </w:rPr>
              <w:t>分）</w:t>
            </w:r>
          </w:p>
        </w:tc>
        <w:tc>
          <w:tcPr>
            <w:tcW w:w="7156" w:type="dxa"/>
          </w:tcPr>
          <w:p w14:paraId="787DF839">
            <w:pPr>
              <w:spacing w:line="320" w:lineRule="exact"/>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供应商提供自 202</w:t>
            </w:r>
            <w:r>
              <w:rPr>
                <w:rFonts w:hint="eastAsia" w:ascii="宋体" w:hAnsi="宋体" w:cs="宋体"/>
                <w:color w:val="auto"/>
                <w:sz w:val="24"/>
                <w:szCs w:val="24"/>
                <w:highlight w:val="none"/>
                <w:lang w:val="en-US" w:eastAsia="zh-CN" w:bidi="ar"/>
              </w:rPr>
              <w:t>1</w:t>
            </w:r>
            <w:r>
              <w:rPr>
                <w:rFonts w:hint="eastAsia" w:ascii="宋体" w:hAnsi="宋体" w:cs="宋体"/>
                <w:color w:val="auto"/>
                <w:sz w:val="24"/>
                <w:szCs w:val="24"/>
                <w:highlight w:val="none"/>
                <w:lang w:bidi="ar"/>
              </w:rPr>
              <w:t xml:space="preserve">年 1 月 1 日以来承担过钢结构施工业绩，（日期以合同签订日期为准），有一个得 </w:t>
            </w:r>
            <w:r>
              <w:rPr>
                <w:rFonts w:hint="eastAsia" w:ascii="宋体" w:hAnsi="宋体" w:cs="宋体"/>
                <w:color w:val="auto"/>
                <w:sz w:val="24"/>
                <w:szCs w:val="24"/>
                <w:highlight w:val="none"/>
                <w:lang w:val="en-US" w:eastAsia="zh-CN" w:bidi="ar"/>
              </w:rPr>
              <w:t>3</w:t>
            </w:r>
            <w:r>
              <w:rPr>
                <w:rFonts w:hint="eastAsia" w:ascii="宋体" w:hAnsi="宋体" w:cs="宋体"/>
                <w:color w:val="auto"/>
                <w:sz w:val="24"/>
                <w:szCs w:val="24"/>
                <w:highlight w:val="none"/>
                <w:lang w:bidi="ar"/>
              </w:rPr>
              <w:t>分，本项最高得</w:t>
            </w:r>
            <w:r>
              <w:rPr>
                <w:rFonts w:hint="eastAsia" w:ascii="宋体" w:hAnsi="宋体" w:cs="宋体"/>
                <w:color w:val="auto"/>
                <w:sz w:val="24"/>
                <w:szCs w:val="24"/>
                <w:highlight w:val="none"/>
                <w:lang w:val="en-US" w:eastAsia="zh-CN" w:bidi="ar"/>
              </w:rPr>
              <w:t>6</w:t>
            </w:r>
            <w:r>
              <w:rPr>
                <w:rFonts w:hint="eastAsia" w:ascii="宋体" w:hAnsi="宋体" w:cs="宋体"/>
                <w:color w:val="auto"/>
                <w:sz w:val="24"/>
                <w:szCs w:val="24"/>
                <w:highlight w:val="none"/>
                <w:lang w:bidi="ar"/>
              </w:rPr>
              <w:t>分；</w:t>
            </w:r>
          </w:p>
          <w:p w14:paraId="46AD2C9A">
            <w:pPr>
              <w:spacing w:line="320" w:lineRule="exact"/>
              <w:jc w:val="left"/>
              <w:rPr>
                <w:rFonts w:ascii="Calibri" w:hAnsi="Calibri" w:eastAsia="宋体" w:cs="Times New Roman"/>
                <w:b/>
                <w:bCs/>
                <w:color w:val="auto"/>
                <w:kern w:val="2"/>
                <w:sz w:val="24"/>
                <w:highlight w:val="none"/>
                <w:lang w:val="zh-CN"/>
              </w:rPr>
            </w:pPr>
            <w:r>
              <w:rPr>
                <w:rFonts w:hint="eastAsia" w:ascii="宋体" w:hAnsi="宋体" w:cs="宋体"/>
                <w:color w:val="auto"/>
                <w:sz w:val="24"/>
                <w:szCs w:val="24"/>
                <w:highlight w:val="none"/>
                <w:lang w:bidi="ar"/>
              </w:rPr>
              <w:t>注：时间以合同签订时间为准。业绩证明材料须提供合同扫描件并加盖供应商公章，未提供或未按要求提供有效的证明文件的此项不得分。若提供的施工合同不能明示，则需提供建设单位书面证明文件，证明文件上需加盖建设单位公章，否则不予认可。</w:t>
            </w:r>
          </w:p>
        </w:tc>
      </w:tr>
    </w:tbl>
    <w:p w14:paraId="21F26BFD">
      <w:pPr>
        <w:spacing w:line="480" w:lineRule="auto"/>
        <w:ind w:firstLine="482" w:firstLineChars="200"/>
        <w:rPr>
          <w:rFonts w:ascii="Times New Roman" w:hAnsi="Times New Roman" w:eastAsia="宋体" w:cs="Times New Roman"/>
          <w:b/>
          <w:bCs/>
          <w:color w:val="auto"/>
          <w:kern w:val="2"/>
          <w:sz w:val="24"/>
          <w:highlight w:val="none"/>
          <w:lang w:val="zh-CN"/>
        </w:rPr>
      </w:pPr>
    </w:p>
    <w:p w14:paraId="5B1BB9BC">
      <w:pPr>
        <w:spacing w:line="480" w:lineRule="auto"/>
        <w:ind w:firstLine="482" w:firstLineChars="200"/>
        <w:rPr>
          <w:rFonts w:ascii="Times New Roman" w:hAnsi="Times New Roman" w:eastAsia="宋体" w:cs="宋体"/>
          <w:b/>
          <w:bCs/>
          <w:color w:val="auto"/>
          <w:kern w:val="2"/>
          <w:sz w:val="24"/>
          <w:highlight w:val="none"/>
          <w:lang w:val="zh-CN"/>
        </w:rPr>
      </w:pPr>
      <w:r>
        <w:rPr>
          <w:rFonts w:hint="eastAsia" w:ascii="Times New Roman" w:hAnsi="Times New Roman" w:eastAsia="宋体" w:cs="Times New Roman"/>
          <w:b/>
          <w:bCs/>
          <w:color w:val="auto"/>
          <w:kern w:val="2"/>
          <w:sz w:val="24"/>
          <w:highlight w:val="none"/>
          <w:lang w:val="zh-CN"/>
        </w:rPr>
        <w:t>2 、技术分：</w:t>
      </w:r>
      <w:r>
        <w:rPr>
          <w:rFonts w:hint="eastAsia" w:ascii="Times New Roman" w:hAnsi="Times New Roman" w:eastAsia="宋体" w:cs="Times New Roman"/>
          <w:b/>
          <w:bCs/>
          <w:color w:val="auto"/>
          <w:kern w:val="2"/>
          <w:sz w:val="24"/>
          <w:highlight w:val="none"/>
          <w:lang w:val="en-US" w:eastAsia="zh-CN"/>
        </w:rPr>
        <w:t>30</w:t>
      </w:r>
      <w:r>
        <w:rPr>
          <w:rFonts w:hint="eastAsia" w:ascii="Times New Roman" w:hAnsi="Times New Roman" w:eastAsia="宋体" w:cs="Times New Roman"/>
          <w:b/>
          <w:bCs/>
          <w:color w:val="auto"/>
          <w:kern w:val="2"/>
          <w:sz w:val="24"/>
          <w:highlight w:val="none"/>
          <w:lang w:val="zh-CN"/>
        </w:rPr>
        <w:t>分</w:t>
      </w:r>
    </w:p>
    <w:tbl>
      <w:tblPr>
        <w:tblStyle w:val="227"/>
        <w:tblW w:w="90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64"/>
        <w:gridCol w:w="7156"/>
      </w:tblGrid>
      <w:tr w14:paraId="2C0432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jc w:val="center"/>
        </w:trPr>
        <w:tc>
          <w:tcPr>
            <w:tcW w:w="1864" w:type="dxa"/>
            <w:vAlign w:val="center"/>
          </w:tcPr>
          <w:p w14:paraId="1E7BCA4A">
            <w:pPr>
              <w:spacing w:line="277" w:lineRule="auto"/>
              <w:jc w:val="center"/>
              <w:rPr>
                <w:rFonts w:hint="eastAsia" w:ascii="Times New Roman" w:hAnsi="Times New Roman" w:eastAsia="宋体" w:cs="Times New Roman"/>
                <w:color w:val="auto"/>
                <w:kern w:val="2"/>
                <w:sz w:val="24"/>
                <w:highlight w:val="none"/>
              </w:rPr>
            </w:pPr>
            <w:r>
              <w:rPr>
                <w:rFonts w:hint="eastAsia" w:ascii="Times New Roman" w:hAnsi="Times New Roman" w:eastAsia="宋体" w:cs="Times New Roman"/>
                <w:color w:val="auto"/>
                <w:kern w:val="2"/>
                <w:sz w:val="24"/>
                <w:highlight w:val="none"/>
              </w:rPr>
              <w:t>施工方案</w:t>
            </w:r>
          </w:p>
          <w:p w14:paraId="7347136D">
            <w:pPr>
              <w:spacing w:line="277" w:lineRule="auto"/>
              <w:jc w:val="center"/>
              <w:rPr>
                <w:rFonts w:ascii="Calibri" w:hAnsi="Calibri" w:eastAsia="宋体" w:cs="Times New Roman"/>
                <w:color w:val="auto"/>
                <w:kern w:val="2"/>
                <w:sz w:val="24"/>
                <w:highlight w:val="none"/>
              </w:rPr>
            </w:pPr>
            <w:r>
              <w:rPr>
                <w:rFonts w:hint="eastAsia" w:ascii="Times New Roman" w:hAnsi="Times New Roman" w:eastAsia="宋体" w:cs="Times New Roman"/>
                <w:color w:val="auto"/>
                <w:kern w:val="2"/>
                <w:sz w:val="24"/>
                <w:highlight w:val="none"/>
                <w:lang w:val="en-US" w:eastAsia="zh-CN"/>
              </w:rPr>
              <w:t>5</w:t>
            </w:r>
            <w:r>
              <w:rPr>
                <w:rFonts w:hint="eastAsia" w:ascii="Times New Roman" w:hAnsi="Times New Roman" w:eastAsia="宋体" w:cs="Times New Roman"/>
                <w:color w:val="auto"/>
                <w:kern w:val="2"/>
                <w:sz w:val="24"/>
                <w:highlight w:val="none"/>
              </w:rPr>
              <w:t>分</w:t>
            </w:r>
          </w:p>
        </w:tc>
        <w:tc>
          <w:tcPr>
            <w:tcW w:w="7156" w:type="dxa"/>
          </w:tcPr>
          <w:p w14:paraId="03F6E7BC">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供应商对本项目内容和特点进行总体分析，提出施工方案。</w:t>
            </w:r>
          </w:p>
          <w:p w14:paraId="530AB12A">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1.施工组织方案编制完整、科学、有深度，完全针对项目特点。施工部署、工艺流程、资源配置（人、机、料）最优，各专业穿插衔接周密，平面布置动态合理，是本项目的卓越指导文件，得</w:t>
            </w:r>
            <w:r>
              <w:rPr>
                <w:rFonts w:hint="eastAsia" w:ascii="Calibri" w:hAnsi="Calibri" w:cs="Times New Roman"/>
                <w:color w:val="auto"/>
                <w:highlight w:val="none"/>
                <w:lang w:val="en-US" w:eastAsia="zh-CN"/>
              </w:rPr>
              <w:t>5</w:t>
            </w:r>
            <w:r>
              <w:rPr>
                <w:rFonts w:hint="eastAsia" w:ascii="Calibri" w:hAnsi="Calibri" w:cs="Times New Roman"/>
                <w:color w:val="auto"/>
                <w:highlight w:val="none"/>
                <w:lang w:val="zh-CN" w:eastAsia="zh-CN"/>
              </w:rPr>
              <w:t>分。</w:t>
            </w:r>
          </w:p>
          <w:p w14:paraId="6660CE99">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2.施工组织方案编制完整、合理，能结合项目实际。部署清晰，工艺可行，资源配置满足要求，平面布置合理，能有效指导施工，得</w:t>
            </w:r>
            <w:r>
              <w:rPr>
                <w:rFonts w:hint="eastAsia" w:ascii="Calibri" w:hAnsi="Calibri" w:cs="Times New Roman"/>
                <w:color w:val="auto"/>
                <w:highlight w:val="none"/>
                <w:lang w:val="en-US" w:eastAsia="zh-CN"/>
              </w:rPr>
              <w:t>3</w:t>
            </w:r>
            <w:r>
              <w:rPr>
                <w:rFonts w:hint="eastAsia" w:ascii="Calibri" w:hAnsi="Calibri" w:cs="Times New Roman"/>
                <w:color w:val="auto"/>
                <w:highlight w:val="none"/>
                <w:lang w:val="zh-CN" w:eastAsia="zh-CN"/>
              </w:rPr>
              <w:t>分。</w:t>
            </w:r>
          </w:p>
          <w:p w14:paraId="6801CF7D">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3.施工组织方案内容基本完整，但深度一般，与项目特点结合不够紧密。部署、工艺或资源配置存在可优化之处，指导性一般，得</w:t>
            </w:r>
            <w:r>
              <w:rPr>
                <w:rFonts w:hint="eastAsia" w:ascii="Calibri" w:hAnsi="Calibri" w:cs="Times New Roman"/>
                <w:color w:val="auto"/>
                <w:highlight w:val="none"/>
                <w:lang w:val="en-US" w:eastAsia="zh-CN"/>
              </w:rPr>
              <w:t>2</w:t>
            </w:r>
            <w:r>
              <w:rPr>
                <w:rFonts w:hint="eastAsia" w:ascii="Calibri" w:hAnsi="Calibri" w:cs="Times New Roman"/>
                <w:color w:val="auto"/>
                <w:highlight w:val="none"/>
                <w:lang w:val="zh-CN" w:eastAsia="zh-CN"/>
              </w:rPr>
              <w:t>分。</w:t>
            </w:r>
          </w:p>
          <w:p w14:paraId="3F5A122A">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4.施工组织方案内容空洞、套用模板，严重缺乏针对性。部署混乱或关键内容缺失，无法有效指导施工，得1分。</w:t>
            </w:r>
          </w:p>
          <w:p w14:paraId="6BBC6506">
            <w:pPr>
              <w:pStyle w:val="226"/>
              <w:spacing w:before="32" w:line="408" w:lineRule="exact"/>
              <w:ind w:left="110" w:firstLine="0" w:firstLineChars="0"/>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未见阐述不得分。</w:t>
            </w:r>
          </w:p>
        </w:tc>
      </w:tr>
      <w:tr w14:paraId="72E44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jc w:val="center"/>
        </w:trPr>
        <w:tc>
          <w:tcPr>
            <w:tcW w:w="1864" w:type="dxa"/>
            <w:vAlign w:val="center"/>
          </w:tcPr>
          <w:p w14:paraId="71450724">
            <w:pPr>
              <w:spacing w:line="277" w:lineRule="auto"/>
              <w:jc w:val="center"/>
              <w:rPr>
                <w:rFonts w:hint="eastAsia" w:ascii="Times New Roman" w:hAnsi="Times New Roman" w:eastAsia="宋体" w:cs="Times New Roman"/>
                <w:color w:val="auto"/>
                <w:kern w:val="2"/>
                <w:sz w:val="24"/>
                <w:highlight w:val="none"/>
              </w:rPr>
            </w:pPr>
            <w:r>
              <w:rPr>
                <w:rFonts w:hint="eastAsia" w:ascii="Times New Roman" w:hAnsi="Times New Roman" w:eastAsia="宋体" w:cs="Times New Roman"/>
                <w:color w:val="auto"/>
                <w:kern w:val="2"/>
                <w:sz w:val="24"/>
                <w:highlight w:val="none"/>
              </w:rPr>
              <w:t>管理方案</w:t>
            </w:r>
          </w:p>
          <w:p w14:paraId="0967F23A">
            <w:pPr>
              <w:spacing w:line="277" w:lineRule="auto"/>
              <w:jc w:val="center"/>
              <w:rPr>
                <w:rFonts w:ascii="Calibri" w:hAnsi="Calibri" w:eastAsia="宋体" w:cs="Times New Roman"/>
                <w:color w:val="auto"/>
                <w:kern w:val="2"/>
                <w:sz w:val="24"/>
                <w:highlight w:val="none"/>
              </w:rPr>
            </w:pPr>
            <w:r>
              <w:rPr>
                <w:rFonts w:hint="eastAsia" w:ascii="Times New Roman" w:hAnsi="Times New Roman" w:eastAsia="宋体" w:cs="Times New Roman"/>
                <w:color w:val="auto"/>
                <w:kern w:val="2"/>
                <w:sz w:val="24"/>
                <w:highlight w:val="none"/>
                <w:lang w:val="en-US" w:eastAsia="zh-CN"/>
              </w:rPr>
              <w:t>5</w:t>
            </w:r>
            <w:r>
              <w:rPr>
                <w:rFonts w:hint="eastAsia" w:ascii="Times New Roman" w:hAnsi="Times New Roman" w:eastAsia="宋体" w:cs="Times New Roman"/>
                <w:color w:val="auto"/>
                <w:kern w:val="2"/>
                <w:sz w:val="24"/>
                <w:highlight w:val="none"/>
              </w:rPr>
              <w:t>分</w:t>
            </w:r>
          </w:p>
          <w:p w14:paraId="5F089408">
            <w:pPr>
              <w:spacing w:line="277" w:lineRule="auto"/>
              <w:ind w:firstLine="480" w:firstLineChars="200"/>
              <w:jc w:val="center"/>
              <w:rPr>
                <w:rFonts w:ascii="Calibri" w:hAnsi="Calibri" w:eastAsia="宋体" w:cs="Times New Roman"/>
                <w:color w:val="auto"/>
                <w:kern w:val="2"/>
                <w:sz w:val="24"/>
                <w:highlight w:val="none"/>
              </w:rPr>
            </w:pPr>
          </w:p>
        </w:tc>
        <w:tc>
          <w:tcPr>
            <w:tcW w:w="7156" w:type="dxa"/>
          </w:tcPr>
          <w:p w14:paraId="6E560E0C">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供应商对本项目提出管理组织机构、岗位职责、人员配备、施工平面布置、内外协调沟通机制等管理方案。</w:t>
            </w:r>
          </w:p>
          <w:p w14:paraId="1FCB7313">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1.项目管理组织机构健全高效，岗位职责极其清晰；主要管理人员资质优异、经验匹配；施工平面布置科学最优；内外协调沟通机制完备、预案周全，得</w:t>
            </w:r>
            <w:r>
              <w:rPr>
                <w:rFonts w:hint="eastAsia" w:ascii="Calibri" w:hAnsi="Calibri" w:cs="Times New Roman"/>
                <w:color w:val="auto"/>
                <w:highlight w:val="none"/>
                <w:lang w:val="en-US" w:eastAsia="zh-CN"/>
              </w:rPr>
              <w:t>5</w:t>
            </w:r>
            <w:r>
              <w:rPr>
                <w:rFonts w:hint="eastAsia" w:ascii="Calibri" w:hAnsi="Calibri" w:cs="Times New Roman"/>
                <w:color w:val="auto"/>
                <w:highlight w:val="none"/>
                <w:lang w:val="zh-CN" w:eastAsia="zh-CN"/>
              </w:rPr>
              <w:t>分。</w:t>
            </w:r>
          </w:p>
          <w:p w14:paraId="424ED1EE">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2.组织机构合理，岗位职责明确；主要管理人员资质符合要求；平面布置合理；有协调沟通机制，得</w:t>
            </w:r>
            <w:r>
              <w:rPr>
                <w:rFonts w:hint="eastAsia" w:ascii="Calibri" w:hAnsi="Calibri" w:cs="Times New Roman"/>
                <w:color w:val="auto"/>
                <w:highlight w:val="none"/>
                <w:lang w:val="en-US" w:eastAsia="zh-CN"/>
              </w:rPr>
              <w:t>3</w:t>
            </w:r>
            <w:r>
              <w:rPr>
                <w:rFonts w:hint="eastAsia" w:ascii="Calibri" w:hAnsi="Calibri" w:cs="Times New Roman"/>
                <w:color w:val="auto"/>
                <w:highlight w:val="none"/>
                <w:lang w:val="zh-CN" w:eastAsia="zh-CN"/>
              </w:rPr>
              <w:t>分。</w:t>
            </w:r>
          </w:p>
          <w:p w14:paraId="39E16457">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3.组织机构基本完整，但职责或人员配备有少许不足；现场布置或协调措施较为常规，得</w:t>
            </w:r>
            <w:r>
              <w:rPr>
                <w:rFonts w:hint="eastAsia" w:ascii="Calibri" w:hAnsi="Calibri" w:cs="Times New Roman"/>
                <w:color w:val="auto"/>
                <w:highlight w:val="none"/>
                <w:lang w:val="en-US" w:eastAsia="zh-CN"/>
              </w:rPr>
              <w:t>2</w:t>
            </w:r>
            <w:r>
              <w:rPr>
                <w:rFonts w:hint="eastAsia" w:ascii="Calibri" w:hAnsi="Calibri" w:cs="Times New Roman"/>
                <w:color w:val="auto"/>
                <w:highlight w:val="none"/>
                <w:lang w:val="zh-CN" w:eastAsia="zh-CN"/>
              </w:rPr>
              <w:t>分。</w:t>
            </w:r>
          </w:p>
          <w:p w14:paraId="2E3572F8">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4.现场管理方案粗糙，人员配备或职责划分存在明显缺陷，缺乏有效的组织协调计划，得1分。 </w:t>
            </w:r>
          </w:p>
          <w:p w14:paraId="51DD4C99">
            <w:pPr>
              <w:pStyle w:val="226"/>
              <w:spacing w:before="32" w:line="408" w:lineRule="exact"/>
              <w:ind w:left="110" w:firstLine="0" w:firstLineChars="0"/>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未见阐述不得分。  </w:t>
            </w:r>
          </w:p>
        </w:tc>
      </w:tr>
      <w:tr w14:paraId="7BC7A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864" w:type="dxa"/>
            <w:vAlign w:val="center"/>
          </w:tcPr>
          <w:p w14:paraId="4C9172BD">
            <w:pPr>
              <w:spacing w:line="278" w:lineRule="auto"/>
              <w:jc w:val="center"/>
              <w:rPr>
                <w:rFonts w:ascii="Calibri" w:hAnsi="Calibri" w:eastAsia="宋体" w:cs="Times New Roman"/>
                <w:color w:val="auto"/>
                <w:kern w:val="2"/>
                <w:sz w:val="24"/>
                <w:highlight w:val="none"/>
              </w:rPr>
            </w:pPr>
            <w:r>
              <w:rPr>
                <w:rFonts w:hint="eastAsia" w:ascii="Calibri" w:hAnsi="Calibri" w:eastAsia="宋体" w:cs="Times New Roman"/>
                <w:color w:val="auto"/>
                <w:kern w:val="2"/>
                <w:sz w:val="24"/>
                <w:highlight w:val="none"/>
              </w:rPr>
              <w:t>安全文明建设、环境保护措施</w:t>
            </w:r>
          </w:p>
          <w:p w14:paraId="4895F9BE">
            <w:pPr>
              <w:spacing w:line="278" w:lineRule="auto"/>
              <w:jc w:val="center"/>
              <w:rPr>
                <w:rFonts w:ascii="Calibri" w:hAnsi="Calibri" w:eastAsia="宋体" w:cs="Times New Roman"/>
                <w:color w:val="auto"/>
                <w:kern w:val="2"/>
                <w:sz w:val="24"/>
                <w:highlight w:val="none"/>
                <w:lang w:val="zh-CN"/>
              </w:rPr>
            </w:pPr>
            <w:r>
              <w:rPr>
                <w:rFonts w:hint="eastAsia" w:ascii="Times New Roman" w:hAnsi="Times New Roman" w:eastAsia="宋体" w:cs="Times New Roman"/>
                <w:color w:val="auto"/>
                <w:kern w:val="2"/>
                <w:sz w:val="24"/>
                <w:highlight w:val="none"/>
                <w:lang w:val="en-US" w:eastAsia="zh-CN"/>
              </w:rPr>
              <w:t>5</w:t>
            </w:r>
            <w:r>
              <w:rPr>
                <w:rFonts w:hint="eastAsia" w:ascii="Calibri" w:hAnsi="Calibri" w:eastAsia="宋体" w:cs="Times New Roman"/>
                <w:color w:val="auto"/>
                <w:kern w:val="2"/>
                <w:sz w:val="24"/>
                <w:highlight w:val="none"/>
                <w:lang w:val="zh-CN"/>
              </w:rPr>
              <w:t>分</w:t>
            </w:r>
          </w:p>
        </w:tc>
        <w:tc>
          <w:tcPr>
            <w:tcW w:w="7156" w:type="dxa"/>
          </w:tcPr>
          <w:p w14:paraId="1D3D5223">
            <w:pPr>
              <w:pStyle w:val="226"/>
              <w:spacing w:before="32" w:line="408" w:lineRule="exact"/>
              <w:ind w:left="110" w:firstLine="0" w:firstLineChars="0"/>
              <w:rPr>
                <w:rFonts w:hint="eastAsia" w:ascii="Calibri" w:hAnsi="Calibri" w:cs="Times New Roman"/>
                <w:color w:val="auto"/>
                <w:highlight w:val="none"/>
                <w:lang w:eastAsia="zh-CN"/>
              </w:rPr>
            </w:pPr>
            <w:r>
              <w:rPr>
                <w:rFonts w:hint="eastAsia" w:ascii="Calibri" w:hAnsi="Calibri" w:cs="Times New Roman"/>
                <w:color w:val="auto"/>
                <w:highlight w:val="none"/>
                <w:lang w:eastAsia="zh-CN"/>
              </w:rPr>
              <w:t>该工程安全文明施工、 施工现场扬尘污染防治措施、环境保护措施方面的措施科学、合理、 操作性强、规范、高效。</w:t>
            </w:r>
          </w:p>
          <w:p w14:paraId="7747C02E">
            <w:pPr>
              <w:pStyle w:val="226"/>
              <w:spacing w:before="32" w:line="408" w:lineRule="exact"/>
              <w:ind w:left="110" w:firstLine="0" w:firstLineChars="0"/>
              <w:rPr>
                <w:rFonts w:hint="eastAsia" w:ascii="Calibri" w:hAnsi="Calibri" w:cs="Times New Roman"/>
                <w:color w:val="auto"/>
                <w:highlight w:val="none"/>
                <w:lang w:eastAsia="zh-CN"/>
              </w:rPr>
            </w:pPr>
            <w:r>
              <w:rPr>
                <w:rFonts w:hint="eastAsia" w:ascii="Calibri" w:hAnsi="Calibri" w:cs="Times New Roman"/>
                <w:color w:val="auto"/>
                <w:highlight w:val="none"/>
                <w:lang w:eastAsia="zh-CN"/>
              </w:rPr>
              <w:t>1.安全文明施工、 施工现场扬尘污染防治措施、环境保护措施保证体系健全，责任落实到人；问题沟通和解决机制简单有效，对项目安全、环保等风险进行分析，给出应对措施的得</w:t>
            </w:r>
            <w:r>
              <w:rPr>
                <w:rFonts w:hint="eastAsia" w:ascii="Calibri" w:hAnsi="Calibri" w:cs="Times New Roman"/>
                <w:color w:val="auto"/>
                <w:highlight w:val="none"/>
                <w:lang w:val="en-US" w:eastAsia="zh-CN"/>
              </w:rPr>
              <w:t>5</w:t>
            </w:r>
            <w:r>
              <w:rPr>
                <w:rFonts w:hint="eastAsia" w:ascii="Calibri" w:hAnsi="Calibri" w:cs="Times New Roman"/>
                <w:color w:val="auto"/>
                <w:highlight w:val="none"/>
                <w:lang w:eastAsia="zh-CN"/>
              </w:rPr>
              <w:t>分。</w:t>
            </w:r>
          </w:p>
          <w:p w14:paraId="28F6A643">
            <w:pPr>
              <w:pStyle w:val="226"/>
              <w:spacing w:before="32" w:line="408" w:lineRule="exact"/>
              <w:ind w:left="110" w:firstLine="0" w:firstLineChars="0"/>
              <w:rPr>
                <w:rFonts w:hint="eastAsia" w:ascii="Calibri" w:hAnsi="Calibri" w:cs="Times New Roman"/>
                <w:color w:val="auto"/>
                <w:highlight w:val="none"/>
                <w:lang w:eastAsia="zh-CN"/>
              </w:rPr>
            </w:pPr>
            <w:r>
              <w:rPr>
                <w:rFonts w:hint="eastAsia" w:ascii="Calibri" w:hAnsi="Calibri" w:cs="Times New Roman"/>
                <w:color w:val="auto"/>
                <w:highlight w:val="none"/>
                <w:lang w:eastAsia="zh-CN"/>
              </w:rPr>
              <w:t>2.安全文明施工、 施工现场扬尘污染防治措施、环境保护措施保证体系有瑕疵；问题沟通和解决机制基本满足项目需求，对项目安全、环保等风险分析笼统，应对措施单一的得</w:t>
            </w:r>
            <w:r>
              <w:rPr>
                <w:rFonts w:hint="eastAsia" w:ascii="Calibri" w:hAnsi="Calibri" w:cs="Times New Roman"/>
                <w:color w:val="auto"/>
                <w:highlight w:val="none"/>
                <w:lang w:val="en-US" w:eastAsia="zh-CN"/>
              </w:rPr>
              <w:t>3</w:t>
            </w:r>
            <w:r>
              <w:rPr>
                <w:rFonts w:hint="eastAsia" w:ascii="Calibri" w:hAnsi="Calibri" w:cs="Times New Roman"/>
                <w:color w:val="auto"/>
                <w:highlight w:val="none"/>
                <w:lang w:eastAsia="zh-CN"/>
              </w:rPr>
              <w:t>分。</w:t>
            </w:r>
          </w:p>
          <w:p w14:paraId="13D909C8">
            <w:pPr>
              <w:pStyle w:val="226"/>
              <w:spacing w:before="32" w:line="408" w:lineRule="exact"/>
              <w:ind w:left="110" w:firstLine="0" w:firstLineChars="0"/>
              <w:rPr>
                <w:rFonts w:hint="eastAsia" w:ascii="Calibri" w:hAnsi="Calibri" w:cs="Times New Roman"/>
                <w:color w:val="auto"/>
                <w:highlight w:val="none"/>
                <w:lang w:eastAsia="zh-CN"/>
              </w:rPr>
            </w:pPr>
            <w:r>
              <w:rPr>
                <w:rFonts w:hint="eastAsia" w:ascii="Calibri" w:hAnsi="Calibri" w:cs="Times New Roman"/>
                <w:color w:val="auto"/>
                <w:highlight w:val="none"/>
                <w:lang w:eastAsia="zh-CN"/>
              </w:rPr>
              <w:t>3.安全文明施工、 施工现场扬尘污染防治措施、环境保护措施保证体系不完全贴合项目需求；问题沟通和解决机制简单粗糙，对项目安全、环保等风险分析片面，未给出应对措施的得2分。</w:t>
            </w:r>
          </w:p>
          <w:p w14:paraId="24FF638D">
            <w:pPr>
              <w:pStyle w:val="226"/>
              <w:spacing w:before="32" w:line="408" w:lineRule="exact"/>
              <w:ind w:left="110" w:firstLine="0" w:firstLineChars="0"/>
              <w:rPr>
                <w:rFonts w:hint="eastAsia" w:ascii="Calibri" w:hAnsi="Calibri" w:cs="Times New Roman"/>
                <w:color w:val="auto"/>
                <w:highlight w:val="none"/>
                <w:lang w:eastAsia="zh-CN"/>
              </w:rPr>
            </w:pPr>
            <w:r>
              <w:rPr>
                <w:rFonts w:hint="eastAsia" w:ascii="Calibri" w:hAnsi="Calibri" w:cs="Times New Roman"/>
                <w:color w:val="auto"/>
                <w:highlight w:val="none"/>
                <w:lang w:eastAsia="zh-CN"/>
              </w:rPr>
              <w:t>4.保证措施零散、不系统，或仅罗列通用条款，无实质性内容的得1分。</w:t>
            </w:r>
          </w:p>
          <w:p w14:paraId="2A593373">
            <w:pPr>
              <w:pStyle w:val="226"/>
              <w:spacing w:before="32" w:line="408" w:lineRule="exact"/>
              <w:ind w:left="110" w:firstLine="0" w:firstLineChars="0"/>
              <w:rPr>
                <w:rFonts w:ascii="Calibri" w:hAnsi="Calibri" w:cs="Times New Roman"/>
                <w:color w:val="auto"/>
                <w:highlight w:val="none"/>
                <w:lang w:val="zh-CN" w:eastAsia="zh-CN"/>
              </w:rPr>
            </w:pPr>
            <w:r>
              <w:rPr>
                <w:rFonts w:hint="eastAsia" w:ascii="Calibri" w:hAnsi="Calibri" w:cs="Times New Roman"/>
                <w:color w:val="auto"/>
                <w:highlight w:val="none"/>
                <w:lang w:eastAsia="zh-CN"/>
              </w:rPr>
              <w:t>未见阐述不得分。</w:t>
            </w:r>
          </w:p>
        </w:tc>
      </w:tr>
      <w:tr w14:paraId="4F8A57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jc w:val="center"/>
        </w:trPr>
        <w:tc>
          <w:tcPr>
            <w:tcW w:w="1864" w:type="dxa"/>
            <w:vAlign w:val="center"/>
          </w:tcPr>
          <w:p w14:paraId="76353F45">
            <w:pPr>
              <w:pStyle w:val="226"/>
              <w:spacing w:before="65" w:line="408" w:lineRule="exact"/>
              <w:ind w:firstLine="0" w:firstLineChars="0"/>
              <w:jc w:val="center"/>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施工进度计划</w:t>
            </w:r>
          </w:p>
          <w:p w14:paraId="5C660AA0">
            <w:pPr>
              <w:pStyle w:val="226"/>
              <w:spacing w:before="65" w:line="408" w:lineRule="exact"/>
              <w:ind w:firstLine="0" w:firstLineChars="0"/>
              <w:jc w:val="center"/>
              <w:rPr>
                <w:rFonts w:ascii="Calibri" w:hAnsi="Calibri" w:cs="Times New Roman"/>
                <w:color w:val="auto"/>
                <w:highlight w:val="none"/>
                <w:lang w:val="zh-CN" w:eastAsia="zh-CN"/>
              </w:rPr>
            </w:pPr>
            <w:r>
              <w:rPr>
                <w:rFonts w:hint="eastAsia" w:ascii="Calibri" w:hAnsi="Calibri" w:cs="Times New Roman"/>
                <w:color w:val="auto"/>
                <w:highlight w:val="none"/>
                <w:lang w:val="en-US" w:eastAsia="zh-CN"/>
              </w:rPr>
              <w:t>5</w:t>
            </w:r>
            <w:r>
              <w:rPr>
                <w:rFonts w:hint="eastAsia" w:ascii="Calibri" w:hAnsi="Calibri" w:cs="Times New Roman"/>
                <w:color w:val="auto"/>
                <w:highlight w:val="none"/>
                <w:lang w:val="zh-CN" w:eastAsia="zh-CN"/>
              </w:rPr>
              <w:t>分</w:t>
            </w:r>
          </w:p>
        </w:tc>
        <w:tc>
          <w:tcPr>
            <w:tcW w:w="7156" w:type="dxa"/>
          </w:tcPr>
          <w:p w14:paraId="3BD004EA">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磋商供应商提供施工进度计划，内容包括但不限于总进度计划、各阶段进度的保证措施等。</w:t>
            </w:r>
          </w:p>
          <w:p w14:paraId="22127AE8">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1.总进度计划（网络图/横道图）编制科学严谨，关键线路清晰，节点工期完全满足要求；保证措施（技术、组织、经济、合同）全面、具体、有力，应变预案周全，得</w:t>
            </w:r>
            <w:r>
              <w:rPr>
                <w:rFonts w:hint="eastAsia" w:ascii="Calibri" w:hAnsi="Calibri" w:cs="Times New Roman"/>
                <w:color w:val="auto"/>
                <w:highlight w:val="none"/>
                <w:lang w:val="en-US" w:eastAsia="zh-CN"/>
              </w:rPr>
              <w:t>5</w:t>
            </w:r>
            <w:r>
              <w:rPr>
                <w:rFonts w:hint="eastAsia" w:ascii="Calibri" w:hAnsi="Calibri" w:cs="Times New Roman"/>
                <w:color w:val="auto"/>
                <w:highlight w:val="none"/>
                <w:lang w:val="zh-CN" w:eastAsia="zh-CN"/>
              </w:rPr>
              <w:t>分。</w:t>
            </w:r>
          </w:p>
          <w:p w14:paraId="491374E5">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2. 进度计划合理，节点工期满足要求；保证措施较为全面，逻辑清晰，得</w:t>
            </w:r>
            <w:r>
              <w:rPr>
                <w:rFonts w:hint="eastAsia" w:ascii="Calibri" w:hAnsi="Calibri" w:cs="Times New Roman"/>
                <w:color w:val="auto"/>
                <w:highlight w:val="none"/>
                <w:lang w:val="en-US" w:eastAsia="zh-CN"/>
              </w:rPr>
              <w:t>3</w:t>
            </w:r>
            <w:r>
              <w:rPr>
                <w:rFonts w:hint="eastAsia" w:ascii="Calibri" w:hAnsi="Calibri" w:cs="Times New Roman"/>
                <w:color w:val="auto"/>
                <w:highlight w:val="none"/>
                <w:lang w:val="zh-CN" w:eastAsia="zh-CN"/>
              </w:rPr>
              <w:t>分。</w:t>
            </w:r>
          </w:p>
          <w:p w14:paraId="35342792">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3.有基本的进度计划，但编制较简单或个别节点欠合理；保证措施不够具体，针对性一般，得2分。</w:t>
            </w:r>
          </w:p>
          <w:p w14:paraId="0514E49A">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4.进度计划明显不合理或过于简略，无法指导施工；保证措施空洞，缺乏可操作性，得1分。</w:t>
            </w:r>
          </w:p>
          <w:p w14:paraId="0D3F80D9">
            <w:pPr>
              <w:pStyle w:val="226"/>
              <w:spacing w:before="32" w:line="408" w:lineRule="exact"/>
              <w:ind w:left="110" w:firstLine="0" w:firstLineChars="0"/>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未见阐述不得分。</w:t>
            </w:r>
          </w:p>
        </w:tc>
      </w:tr>
      <w:tr w14:paraId="4C779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1" w:hRule="atLeast"/>
          <w:jc w:val="center"/>
        </w:trPr>
        <w:tc>
          <w:tcPr>
            <w:tcW w:w="1864" w:type="dxa"/>
            <w:vAlign w:val="center"/>
          </w:tcPr>
          <w:p w14:paraId="21A59645">
            <w:pPr>
              <w:pStyle w:val="226"/>
              <w:spacing w:before="65" w:line="228" w:lineRule="auto"/>
              <w:ind w:left="0" w:leftChars="0" w:firstLine="0" w:firstLineChars="0"/>
              <w:jc w:val="center"/>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施工质量保证措施</w:t>
            </w:r>
          </w:p>
          <w:p w14:paraId="240DBD84">
            <w:pPr>
              <w:pStyle w:val="226"/>
              <w:spacing w:before="65" w:line="228" w:lineRule="auto"/>
              <w:ind w:left="0" w:leftChars="0" w:firstLine="0" w:firstLineChars="0"/>
              <w:jc w:val="center"/>
              <w:rPr>
                <w:rFonts w:ascii="Calibri" w:hAnsi="Calibri" w:cs="Times New Roman"/>
                <w:color w:val="auto"/>
                <w:highlight w:val="none"/>
                <w:lang w:val="zh-CN" w:eastAsia="zh-CN"/>
              </w:rPr>
            </w:pPr>
            <w:r>
              <w:rPr>
                <w:rFonts w:hint="eastAsia" w:ascii="Calibri" w:hAnsi="Calibri" w:cs="Times New Roman"/>
                <w:color w:val="auto"/>
                <w:highlight w:val="none"/>
                <w:lang w:val="en-US" w:eastAsia="zh-CN"/>
              </w:rPr>
              <w:t>5</w:t>
            </w:r>
            <w:r>
              <w:rPr>
                <w:rFonts w:hint="eastAsia" w:ascii="Calibri" w:hAnsi="Calibri" w:cs="Times New Roman"/>
                <w:color w:val="auto"/>
                <w:highlight w:val="none"/>
                <w:lang w:val="zh-CN" w:eastAsia="zh-CN"/>
              </w:rPr>
              <w:t>分</w:t>
            </w:r>
          </w:p>
        </w:tc>
        <w:tc>
          <w:tcPr>
            <w:tcW w:w="7156" w:type="dxa"/>
          </w:tcPr>
          <w:p w14:paraId="33445474">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磋商供应商提供施工质量保证措施， 内容包括但不限于施工质量控制措施、分部分项工程施工过程质量控制等。</w:t>
            </w:r>
          </w:p>
          <w:p w14:paraId="31985E0A">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1.质量目标明确且高于招标标准；质量保证体系健全，责任落实到人；针对本项目特殊工艺和质控点的措施非常具体、先进；质量通病防治方案详尽有效，得</w:t>
            </w:r>
            <w:r>
              <w:rPr>
                <w:rFonts w:hint="eastAsia" w:ascii="Calibri" w:hAnsi="Calibri" w:cs="Times New Roman"/>
                <w:color w:val="auto"/>
                <w:highlight w:val="none"/>
                <w:lang w:val="en-US" w:eastAsia="zh-CN"/>
              </w:rPr>
              <w:t>5</w:t>
            </w:r>
            <w:r>
              <w:rPr>
                <w:rFonts w:hint="eastAsia" w:ascii="Calibri" w:hAnsi="Calibri" w:cs="Times New Roman"/>
                <w:color w:val="auto"/>
                <w:highlight w:val="none"/>
                <w:lang w:val="zh-CN" w:eastAsia="zh-CN"/>
              </w:rPr>
              <w:t>分。</w:t>
            </w:r>
          </w:p>
          <w:p w14:paraId="5CA10336">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2.质量目标明确，符合要求；质量体系完整；有针对性的质量控制措施和通病防治内容，得</w:t>
            </w:r>
            <w:r>
              <w:rPr>
                <w:rFonts w:hint="eastAsia" w:ascii="Calibri" w:hAnsi="Calibri" w:cs="Times New Roman"/>
                <w:color w:val="auto"/>
                <w:highlight w:val="none"/>
                <w:lang w:val="en-US" w:eastAsia="zh-CN"/>
              </w:rPr>
              <w:t>3</w:t>
            </w:r>
            <w:r>
              <w:rPr>
                <w:rFonts w:hint="eastAsia" w:ascii="Calibri" w:hAnsi="Calibri" w:cs="Times New Roman"/>
                <w:color w:val="auto"/>
                <w:highlight w:val="none"/>
                <w:lang w:val="zh-CN" w:eastAsia="zh-CN"/>
              </w:rPr>
              <w:t>分。</w:t>
            </w:r>
          </w:p>
          <w:p w14:paraId="4C27BCE3">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3.有质量目标和基本控制程序，但措施较为笼统，对项目特点的针对性不强，得2分。</w:t>
            </w:r>
          </w:p>
          <w:p w14:paraId="0437BFF1">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4.质量保证措施零散、不系统，或仅罗列通用条款，无实质性内容，得1分。</w:t>
            </w:r>
          </w:p>
          <w:p w14:paraId="64EE40A7">
            <w:pPr>
              <w:pStyle w:val="226"/>
              <w:spacing w:before="32" w:line="408" w:lineRule="exact"/>
              <w:ind w:left="110" w:firstLine="0" w:firstLineChars="0"/>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未见阐述不得分。</w:t>
            </w:r>
          </w:p>
        </w:tc>
      </w:tr>
      <w:tr w14:paraId="6DB18E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9" w:hRule="atLeast"/>
          <w:jc w:val="center"/>
        </w:trPr>
        <w:tc>
          <w:tcPr>
            <w:tcW w:w="1864" w:type="dxa"/>
            <w:vAlign w:val="center"/>
          </w:tcPr>
          <w:p w14:paraId="0A4E2919">
            <w:pPr>
              <w:pStyle w:val="226"/>
              <w:spacing w:before="65" w:line="408" w:lineRule="exact"/>
              <w:ind w:left="0" w:leftChars="0" w:firstLine="0" w:firstLineChars="0"/>
              <w:jc w:val="center"/>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施工的重点难</w:t>
            </w:r>
            <w:r>
              <w:rPr>
                <w:rFonts w:hint="eastAsia" w:ascii="Calibri" w:hAnsi="Calibri" w:cs="Times New Roman"/>
                <w:color w:val="auto"/>
                <w:highlight w:val="none"/>
                <w:lang w:eastAsia="zh-CN"/>
              </w:rPr>
              <w:t>点</w:t>
            </w:r>
            <w:r>
              <w:rPr>
                <w:rFonts w:hint="eastAsia" w:ascii="Calibri" w:hAnsi="Calibri" w:cs="Times New Roman"/>
                <w:color w:val="auto"/>
                <w:highlight w:val="none"/>
                <w:lang w:val="zh-CN" w:eastAsia="zh-CN"/>
              </w:rPr>
              <w:t>分析</w:t>
            </w:r>
          </w:p>
          <w:p w14:paraId="3BBB87E7">
            <w:pPr>
              <w:pStyle w:val="226"/>
              <w:spacing w:line="228" w:lineRule="auto"/>
              <w:ind w:left="0" w:leftChars="0" w:firstLine="0" w:firstLineChars="0"/>
              <w:jc w:val="center"/>
              <w:rPr>
                <w:rFonts w:ascii="Calibri" w:hAnsi="Calibri" w:cs="Times New Roman"/>
                <w:color w:val="auto"/>
                <w:highlight w:val="none"/>
                <w:lang w:val="zh-CN" w:eastAsia="zh-CN"/>
              </w:rPr>
            </w:pPr>
            <w:r>
              <w:rPr>
                <w:rFonts w:hint="eastAsia" w:ascii="Calibri" w:hAnsi="Calibri" w:cs="Times New Roman"/>
                <w:color w:val="auto"/>
                <w:highlight w:val="none"/>
                <w:lang w:val="en-US" w:eastAsia="zh-CN"/>
              </w:rPr>
              <w:t>5</w:t>
            </w:r>
            <w:r>
              <w:rPr>
                <w:rFonts w:hint="eastAsia" w:ascii="Calibri" w:hAnsi="Calibri" w:cs="Times New Roman"/>
                <w:color w:val="auto"/>
                <w:highlight w:val="none"/>
                <w:lang w:val="zh-CN" w:eastAsia="zh-CN"/>
              </w:rPr>
              <w:t>分</w:t>
            </w:r>
          </w:p>
        </w:tc>
        <w:tc>
          <w:tcPr>
            <w:tcW w:w="7156" w:type="dxa"/>
          </w:tcPr>
          <w:p w14:paraId="276EFA58">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磋商供应商提供施工的重点难点分析，内容包括但不限于关键施工技术、工艺及工程项目实施的重点、难点分析等。</w:t>
            </w:r>
          </w:p>
          <w:p w14:paraId="00E26AA7">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1.精准识别项目全部核心难点与重点，提出的建议极具针对性、创新性和可操作性，能显著优化施工、节约成本或保障安全，得</w:t>
            </w:r>
            <w:r>
              <w:rPr>
                <w:rFonts w:hint="eastAsia" w:ascii="Calibri" w:hAnsi="Calibri" w:cs="Times New Roman"/>
                <w:color w:val="auto"/>
                <w:highlight w:val="none"/>
                <w:lang w:val="en-US" w:eastAsia="zh-CN"/>
              </w:rPr>
              <w:t>5</w:t>
            </w:r>
            <w:r>
              <w:rPr>
                <w:rFonts w:hint="eastAsia" w:ascii="Calibri" w:hAnsi="Calibri" w:cs="Times New Roman"/>
                <w:color w:val="auto"/>
                <w:highlight w:val="none"/>
                <w:lang w:val="zh-CN" w:eastAsia="zh-CN"/>
              </w:rPr>
              <w:t>分。</w:t>
            </w:r>
          </w:p>
          <w:p w14:paraId="3505FC4D">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2.较好识别了主要难点与重点，建议合理可行，能有效解决问题，得</w:t>
            </w:r>
            <w:r>
              <w:rPr>
                <w:rFonts w:hint="eastAsia" w:ascii="Calibri" w:hAnsi="Calibri" w:cs="Times New Roman"/>
                <w:color w:val="auto"/>
                <w:highlight w:val="none"/>
                <w:lang w:val="en-US" w:eastAsia="zh-CN"/>
              </w:rPr>
              <w:t>3</w:t>
            </w:r>
            <w:r>
              <w:rPr>
                <w:rFonts w:hint="eastAsia" w:ascii="Calibri" w:hAnsi="Calibri" w:cs="Times New Roman"/>
                <w:color w:val="auto"/>
                <w:highlight w:val="none"/>
                <w:lang w:val="zh-CN" w:eastAsia="zh-CN"/>
              </w:rPr>
              <w:t>分。</w:t>
            </w:r>
          </w:p>
          <w:p w14:paraId="1A8321AA">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3.识别了部分难点，但不够全面或准确，建议较为常规，可操作性一般，得2分。</w:t>
            </w:r>
          </w:p>
          <w:p w14:paraId="1A4120C4">
            <w:pPr>
              <w:pStyle w:val="226"/>
              <w:spacing w:before="32" w:line="408" w:lineRule="exact"/>
              <w:ind w:left="110" w:firstLine="0" w:firstLineChars="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4.未能有效识别难点重点，或所提建议空洞，与本项目关联性弱，缺乏实际价值，得1分。</w:t>
            </w:r>
          </w:p>
          <w:p w14:paraId="333EE6BD">
            <w:pPr>
              <w:pStyle w:val="226"/>
              <w:spacing w:before="32" w:line="408" w:lineRule="exact"/>
              <w:ind w:left="110" w:firstLine="0" w:firstLineChars="0"/>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未见阐述不得分。</w:t>
            </w:r>
          </w:p>
        </w:tc>
      </w:tr>
    </w:tbl>
    <w:p w14:paraId="3526D701">
      <w:pPr>
        <w:pStyle w:val="36"/>
        <w:tabs>
          <w:tab w:val="left" w:pos="720"/>
          <w:tab w:val="clear" w:pos="916"/>
        </w:tabs>
        <w:ind w:firstLine="482"/>
        <w:rPr>
          <w:rFonts w:cs="宋体"/>
          <w:b/>
          <w:bCs/>
          <w:color w:val="auto"/>
          <w:kern w:val="2"/>
          <w:highlight w:val="none"/>
        </w:rPr>
      </w:pPr>
    </w:p>
    <w:p w14:paraId="532A5245">
      <w:pPr>
        <w:pStyle w:val="36"/>
        <w:tabs>
          <w:tab w:val="left" w:pos="720"/>
          <w:tab w:val="clear" w:pos="916"/>
        </w:tabs>
        <w:ind w:firstLine="482"/>
        <w:rPr>
          <w:rFonts w:cs="宋体"/>
          <w:b/>
          <w:bCs/>
          <w:color w:val="auto"/>
          <w:kern w:val="2"/>
          <w:highlight w:val="none"/>
        </w:rPr>
      </w:pPr>
    </w:p>
    <w:p w14:paraId="187B1B72">
      <w:pPr>
        <w:pStyle w:val="36"/>
        <w:tabs>
          <w:tab w:val="left" w:pos="720"/>
          <w:tab w:val="clear" w:pos="916"/>
        </w:tabs>
        <w:ind w:firstLine="0" w:firstLineChars="0"/>
        <w:rPr>
          <w:rFonts w:cs="宋体"/>
          <w:b/>
          <w:bCs/>
          <w:color w:val="auto"/>
          <w:kern w:val="2"/>
          <w:highlight w:val="none"/>
        </w:rPr>
      </w:pPr>
      <w:r>
        <w:rPr>
          <w:rFonts w:hint="eastAsia" w:cs="宋体"/>
          <w:b/>
          <w:bCs/>
          <w:color w:val="auto"/>
          <w:kern w:val="2"/>
          <w:highlight w:val="none"/>
        </w:rPr>
        <w:t>五、成交标准：</w:t>
      </w:r>
    </w:p>
    <w:p w14:paraId="6FDF4B78">
      <w:pPr>
        <w:pStyle w:val="205"/>
        <w:ind w:firstLine="480" w:firstLineChars="200"/>
        <w:rPr>
          <w:rFonts w:ascii="Arial" w:hAnsi="Arial" w:cs="宋体"/>
          <w:bCs/>
          <w:color w:val="auto"/>
          <w:kern w:val="2"/>
          <w:szCs w:val="24"/>
          <w:highlight w:val="none"/>
        </w:rPr>
      </w:pPr>
      <w:r>
        <w:rPr>
          <w:rFonts w:hint="eastAsia" w:ascii="Arial" w:hAnsi="Arial" w:cs="宋体"/>
          <w:bCs/>
          <w:color w:val="auto"/>
          <w:kern w:val="2"/>
          <w:szCs w:val="24"/>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p w14:paraId="1AC97DA6">
      <w:pPr>
        <w:pStyle w:val="205"/>
        <w:ind w:firstLine="0"/>
        <w:jc w:val="center"/>
        <w:rPr>
          <w:rFonts w:ascii="Arial" w:hAnsi="Arial" w:cs="宋体"/>
          <w:bCs/>
          <w:color w:val="auto"/>
          <w:kern w:val="2"/>
          <w:szCs w:val="24"/>
          <w:highlight w:val="none"/>
        </w:rPr>
      </w:pPr>
    </w:p>
    <w:p w14:paraId="00C8B296">
      <w:pPr>
        <w:spacing w:line="360" w:lineRule="auto"/>
        <w:rPr>
          <w:rFonts w:ascii="宋体" w:hAnsi="宋体" w:eastAsia="宋体" w:cs="宋体"/>
          <w:color w:val="auto"/>
          <w:sz w:val="24"/>
          <w:highlight w:val="none"/>
          <w:lang w:bidi="ar"/>
        </w:rPr>
      </w:pPr>
    </w:p>
    <w:sectPr>
      <w:footerReference r:id="rId17" w:type="default"/>
      <w:pgSz w:w="11906" w:h="16838"/>
      <w:pgMar w:top="1440" w:right="1080" w:bottom="1440" w:left="108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Yu Gothic UI"/>
    <w:panose1 w:val="00000000000000000000"/>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MS Mincho">
    <w:altName w:val="仓耳舒圆体 W03"/>
    <w:panose1 w:val="02020609040205080304"/>
    <w:charset w:val="80"/>
    <w:family w:val="roman"/>
    <w:pitch w:val="default"/>
    <w:sig w:usb0="00000000" w:usb1="00000000" w:usb2="00000010" w:usb3="00000000" w:csb0="4002009F" w:csb1="DFD70000"/>
  </w:font>
  <w:font w:name="仓耳舒圆体 W03">
    <w:panose1 w:val="02020400000000000000"/>
    <w:charset w:val="80"/>
    <w:family w:val="auto"/>
    <w:pitch w:val="default"/>
    <w:sig w:usb0="80000023" w:usb1="08C10458" w:usb2="00000012" w:usb3="00000000" w:csb0="00020001" w:csb1="00000000"/>
  </w:font>
  <w:font w:name="*KSGSNHCAQV0_19_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KSODKQMFWQ0_19_0">
    <w:altName w:val="Segoe Print"/>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56A4F">
    <w:pPr>
      <w:pStyle w:val="26"/>
      <w:jc w:val="cente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D2559">
    <w:pPr>
      <w:pStyle w:val="26"/>
      <w:framePr w:wrap="around" w:vAnchor="text" w:hAnchor="margin" w:xAlign="center" w:y="1"/>
      <w:rPr>
        <w:rStyle w:val="44"/>
      </w:rPr>
    </w:pPr>
    <w:r>
      <w:fldChar w:fldCharType="begin"/>
    </w:r>
    <w:r>
      <w:rPr>
        <w:rStyle w:val="44"/>
      </w:rPr>
      <w:instrText xml:space="preserve">PAGE  </w:instrText>
    </w:r>
    <w:r>
      <w:fldChar w:fldCharType="separate"/>
    </w:r>
    <w:r>
      <w:rPr>
        <w:rStyle w:val="44"/>
      </w:rPr>
      <w:t>1</w:t>
    </w:r>
    <w:r>
      <w:fldChar w:fldCharType="end"/>
    </w:r>
  </w:p>
  <w:p w14:paraId="53902F0A">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93A94">
    <w:pPr>
      <w:widowControl w:val="0"/>
      <w:tabs>
        <w:tab w:val="center" w:pos="4393"/>
        <w:tab w:val="left" w:pos="6774"/>
      </w:tabs>
      <w:snapToGrid w:val="0"/>
      <w:spacing w:line="360" w:lineRule="auto"/>
      <w:ind w:firstLine="0" w:firstLineChars="0"/>
      <w:jc w:val="left"/>
      <w:rPr>
        <w:rFonts w:hint="default" w:ascii="Times New Roman" w:hAnsi="Times New Roman" w:eastAsia="宋体" w:cs="Times New Roman"/>
        <w:bCs/>
        <w:spacing w:val="2"/>
        <w:kern w:val="2"/>
        <w:sz w:val="18"/>
        <w:szCs w:val="18"/>
        <w:lang w:val="en-US" w:eastAsia="zh-CN" w:bidi="ar-SA"/>
      </w:rPr>
    </w:pPr>
    <w:r>
      <w:rPr>
        <w:rFonts w:hint="default" w:ascii="Times New Roman" w:hAnsi="Times New Roman" w:eastAsia="宋体" w:cs="Times New Roman"/>
        <w:bCs/>
        <w:spacing w:val="2"/>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0135DC8">
                          <w:pPr>
                            <w:widowControl w:val="0"/>
                            <w:tabs>
                              <w:tab w:val="center" w:pos="4393"/>
                              <w:tab w:val="left" w:pos="6774"/>
                            </w:tabs>
                            <w:snapToGrid w:val="0"/>
                            <w:spacing w:line="360" w:lineRule="auto"/>
                            <w:ind w:firstLine="0" w:firstLineChars="0"/>
                            <w:jc w:val="left"/>
                            <w:rPr>
                              <w:rFonts w:hint="default" w:ascii="Times New Roman" w:hAnsi="Times New Roman" w:eastAsia="宋体" w:cs="Times New Roman"/>
                              <w:bCs/>
                              <w:spacing w:val="2"/>
                              <w:kern w:val="2"/>
                              <w:sz w:val="18"/>
                              <w:szCs w:val="18"/>
                              <w:lang w:val="en-US" w:eastAsia="zh-CN" w:bidi="ar-SA"/>
                            </w:rPr>
                          </w:pPr>
                          <w:r>
                            <w:rPr>
                              <w:rFonts w:hint="default" w:ascii="Times New Roman" w:hAnsi="Times New Roman" w:eastAsia="宋体" w:cs="Times New Roman"/>
                              <w:bCs/>
                              <w:spacing w:val="2"/>
                              <w:kern w:val="2"/>
                              <w:sz w:val="18"/>
                              <w:szCs w:val="18"/>
                              <w:lang w:val="en-US" w:eastAsia="zh-CN" w:bidi="ar-SA"/>
                            </w:rPr>
                            <w:fldChar w:fldCharType="begin"/>
                          </w:r>
                          <w:r>
                            <w:rPr>
                              <w:rFonts w:hint="default" w:ascii="Times New Roman" w:hAnsi="Times New Roman" w:eastAsia="宋体" w:cs="Times New Roman"/>
                              <w:bCs/>
                              <w:spacing w:val="2"/>
                              <w:kern w:val="2"/>
                              <w:sz w:val="18"/>
                              <w:szCs w:val="18"/>
                              <w:lang w:val="en-US" w:eastAsia="zh-CN" w:bidi="ar-SA"/>
                            </w:rPr>
                            <w:instrText xml:space="preserve"> PAGE  \* MERGEFORMAT </w:instrText>
                          </w:r>
                          <w:r>
                            <w:rPr>
                              <w:rFonts w:hint="default" w:ascii="Times New Roman" w:hAnsi="Times New Roman" w:eastAsia="宋体" w:cs="Times New Roman"/>
                              <w:bCs/>
                              <w:spacing w:val="2"/>
                              <w:kern w:val="2"/>
                              <w:sz w:val="18"/>
                              <w:szCs w:val="18"/>
                              <w:lang w:val="en-US" w:eastAsia="zh-CN" w:bidi="ar-SA"/>
                            </w:rPr>
                            <w:fldChar w:fldCharType="separate"/>
                          </w:r>
                          <w:r>
                            <w:rPr>
                              <w:rFonts w:hint="default" w:ascii="Times New Roman" w:hAnsi="Times New Roman" w:eastAsia="宋体" w:cs="Times New Roman"/>
                              <w:bCs/>
                              <w:spacing w:val="2"/>
                              <w:kern w:val="2"/>
                              <w:sz w:val="18"/>
                              <w:szCs w:val="18"/>
                              <w:lang w:val="en-US" w:eastAsia="zh-CN" w:bidi="ar-SA"/>
                            </w:rPr>
                            <w:t>21</w:t>
                          </w:r>
                          <w:r>
                            <w:rPr>
                              <w:rFonts w:hint="default" w:ascii="Times New Roman" w:hAnsi="Times New Roman" w:eastAsia="宋体" w:cs="Times New Roman"/>
                              <w:bCs/>
                              <w:spacing w:val="2"/>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10135DC8">
                    <w:pPr>
                      <w:widowControl w:val="0"/>
                      <w:tabs>
                        <w:tab w:val="center" w:pos="4393"/>
                        <w:tab w:val="left" w:pos="6774"/>
                      </w:tabs>
                      <w:snapToGrid w:val="0"/>
                      <w:spacing w:line="360" w:lineRule="auto"/>
                      <w:ind w:firstLine="0" w:firstLineChars="0"/>
                      <w:jc w:val="left"/>
                      <w:rPr>
                        <w:rFonts w:hint="default" w:ascii="Times New Roman" w:hAnsi="Times New Roman" w:eastAsia="宋体" w:cs="Times New Roman"/>
                        <w:bCs/>
                        <w:spacing w:val="2"/>
                        <w:kern w:val="2"/>
                        <w:sz w:val="18"/>
                        <w:szCs w:val="18"/>
                        <w:lang w:val="en-US" w:eastAsia="zh-CN" w:bidi="ar-SA"/>
                      </w:rPr>
                    </w:pPr>
                    <w:r>
                      <w:rPr>
                        <w:rFonts w:hint="default" w:ascii="Times New Roman" w:hAnsi="Times New Roman" w:eastAsia="宋体" w:cs="Times New Roman"/>
                        <w:bCs/>
                        <w:spacing w:val="2"/>
                        <w:kern w:val="2"/>
                        <w:sz w:val="18"/>
                        <w:szCs w:val="18"/>
                        <w:lang w:val="en-US" w:eastAsia="zh-CN" w:bidi="ar-SA"/>
                      </w:rPr>
                      <w:fldChar w:fldCharType="begin"/>
                    </w:r>
                    <w:r>
                      <w:rPr>
                        <w:rFonts w:hint="default" w:ascii="Times New Roman" w:hAnsi="Times New Roman" w:eastAsia="宋体" w:cs="Times New Roman"/>
                        <w:bCs/>
                        <w:spacing w:val="2"/>
                        <w:kern w:val="2"/>
                        <w:sz w:val="18"/>
                        <w:szCs w:val="18"/>
                        <w:lang w:val="en-US" w:eastAsia="zh-CN" w:bidi="ar-SA"/>
                      </w:rPr>
                      <w:instrText xml:space="preserve"> PAGE  \* MERGEFORMAT </w:instrText>
                    </w:r>
                    <w:r>
                      <w:rPr>
                        <w:rFonts w:hint="default" w:ascii="Times New Roman" w:hAnsi="Times New Roman" w:eastAsia="宋体" w:cs="Times New Roman"/>
                        <w:bCs/>
                        <w:spacing w:val="2"/>
                        <w:kern w:val="2"/>
                        <w:sz w:val="18"/>
                        <w:szCs w:val="18"/>
                        <w:lang w:val="en-US" w:eastAsia="zh-CN" w:bidi="ar-SA"/>
                      </w:rPr>
                      <w:fldChar w:fldCharType="separate"/>
                    </w:r>
                    <w:r>
                      <w:rPr>
                        <w:rFonts w:hint="default" w:ascii="Times New Roman" w:hAnsi="Times New Roman" w:eastAsia="宋体" w:cs="Times New Roman"/>
                        <w:bCs/>
                        <w:spacing w:val="2"/>
                        <w:kern w:val="2"/>
                        <w:sz w:val="18"/>
                        <w:szCs w:val="18"/>
                        <w:lang w:val="en-US" w:eastAsia="zh-CN" w:bidi="ar-SA"/>
                      </w:rPr>
                      <w:t>21</w:t>
                    </w:r>
                    <w:r>
                      <w:rPr>
                        <w:rFonts w:hint="default" w:ascii="Times New Roman" w:hAnsi="Times New Roman" w:eastAsia="宋体" w:cs="Times New Roman"/>
                        <w:bCs/>
                        <w:spacing w:val="2"/>
                        <w:kern w:val="2"/>
                        <w:sz w:val="18"/>
                        <w:szCs w:val="18"/>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51E5C">
    <w:pPr>
      <w:tabs>
        <w:tab w:val="center" w:pos="4393"/>
        <w:tab w:val="left" w:pos="6774"/>
      </w:tabs>
      <w:spacing w:line="240" w:lineRule="auto"/>
      <w:ind w:firstLine="0" w:firstLineChars="0"/>
      <w:jc w:val="both"/>
      <w:rPr>
        <w:rFonts w:hint="default" w:ascii="Times New Roman" w:hAnsi="Times New Roman" w:eastAsia="宋体" w:cs="Times New Roman"/>
        <w:bCs w:val="0"/>
        <w:spacing w:val="0"/>
        <w:kern w:val="2"/>
        <w:sz w:val="21"/>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E7658">
    <w:pPr>
      <w:tabs>
        <w:tab w:val="center" w:pos="4393"/>
        <w:tab w:val="left" w:pos="6774"/>
      </w:tabs>
      <w:spacing w:line="240" w:lineRule="auto"/>
      <w:ind w:firstLine="0" w:firstLineChars="0"/>
      <w:jc w:val="both"/>
      <w:rPr>
        <w:rFonts w:hint="default" w:ascii="Times New Roman" w:hAnsi="Times New Roman" w:eastAsia="宋体" w:cs="Times New Roman"/>
        <w:bCs w:val="0"/>
        <w:spacing w:val="0"/>
        <w:kern w:val="2"/>
        <w:sz w:val="21"/>
        <w:szCs w:val="2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5B520">
    <w:pPr>
      <w:widowControl w:val="0"/>
      <w:tabs>
        <w:tab w:val="center" w:pos="4393"/>
        <w:tab w:val="left" w:pos="6774"/>
      </w:tabs>
      <w:snapToGrid w:val="0"/>
      <w:spacing w:line="360" w:lineRule="auto"/>
      <w:ind w:firstLine="0" w:firstLineChars="0"/>
      <w:jc w:val="left"/>
      <w:rPr>
        <w:rFonts w:hint="default" w:ascii="Times New Roman" w:hAnsi="Times New Roman" w:eastAsia="宋体" w:cs="Times New Roman"/>
        <w:bCs/>
        <w:spacing w:val="2"/>
        <w:kern w:val="2"/>
        <w:sz w:val="18"/>
        <w:szCs w:val="18"/>
        <w:lang w:val="en-US" w:eastAsia="zh-CN" w:bidi="ar-SA"/>
      </w:rPr>
    </w:pPr>
    <w:r>
      <w:rPr>
        <w:rFonts w:hint="default" w:ascii="Times New Roman" w:hAnsi="Times New Roman" w:eastAsia="宋体" w:cs="Times New Roman"/>
        <w:bCs/>
        <w:spacing w:val="2"/>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54F4413">
                          <w:pPr>
                            <w:widowControl w:val="0"/>
                            <w:tabs>
                              <w:tab w:val="center" w:pos="4393"/>
                              <w:tab w:val="left" w:pos="6774"/>
                            </w:tabs>
                            <w:snapToGrid w:val="0"/>
                            <w:spacing w:line="360" w:lineRule="auto"/>
                            <w:ind w:firstLine="0" w:firstLineChars="0"/>
                            <w:jc w:val="left"/>
                            <w:rPr>
                              <w:rFonts w:hint="default" w:ascii="Times New Roman" w:hAnsi="Times New Roman" w:eastAsia="宋体" w:cs="Times New Roman"/>
                              <w:bCs/>
                              <w:spacing w:val="2"/>
                              <w:kern w:val="2"/>
                              <w:sz w:val="18"/>
                              <w:szCs w:val="18"/>
                              <w:lang w:val="en-US" w:eastAsia="zh-CN" w:bidi="ar-SA"/>
                            </w:rPr>
                          </w:pPr>
                          <w:r>
                            <w:rPr>
                              <w:rFonts w:hint="default" w:ascii="Times New Roman" w:hAnsi="Times New Roman" w:eastAsia="宋体" w:cs="Times New Roman"/>
                              <w:bCs/>
                              <w:spacing w:val="2"/>
                              <w:kern w:val="2"/>
                              <w:sz w:val="18"/>
                              <w:szCs w:val="18"/>
                              <w:lang w:val="en-US" w:eastAsia="zh-CN" w:bidi="ar-SA"/>
                            </w:rPr>
                            <w:fldChar w:fldCharType="begin"/>
                          </w:r>
                          <w:r>
                            <w:rPr>
                              <w:rFonts w:hint="default" w:ascii="Times New Roman" w:hAnsi="Times New Roman" w:eastAsia="宋体" w:cs="Times New Roman"/>
                              <w:bCs/>
                              <w:spacing w:val="2"/>
                              <w:kern w:val="2"/>
                              <w:sz w:val="18"/>
                              <w:szCs w:val="18"/>
                              <w:lang w:val="en-US" w:eastAsia="zh-CN" w:bidi="ar-SA"/>
                            </w:rPr>
                            <w:instrText xml:space="preserve"> PAGE  \* MERGEFORMAT </w:instrText>
                          </w:r>
                          <w:r>
                            <w:rPr>
                              <w:rFonts w:hint="default" w:ascii="Times New Roman" w:hAnsi="Times New Roman" w:eastAsia="宋体" w:cs="Times New Roman"/>
                              <w:bCs/>
                              <w:spacing w:val="2"/>
                              <w:kern w:val="2"/>
                              <w:sz w:val="18"/>
                              <w:szCs w:val="18"/>
                              <w:lang w:val="en-US" w:eastAsia="zh-CN" w:bidi="ar-SA"/>
                            </w:rPr>
                            <w:fldChar w:fldCharType="separate"/>
                          </w:r>
                          <w:r>
                            <w:rPr>
                              <w:rFonts w:hint="default" w:ascii="Times New Roman" w:hAnsi="Times New Roman" w:eastAsia="宋体" w:cs="Times New Roman"/>
                              <w:bCs/>
                              <w:spacing w:val="2"/>
                              <w:kern w:val="2"/>
                              <w:sz w:val="18"/>
                              <w:szCs w:val="18"/>
                              <w:lang w:val="en-US" w:eastAsia="zh-CN" w:bidi="ar-SA"/>
                            </w:rPr>
                            <w:t>77</w:t>
                          </w:r>
                          <w:r>
                            <w:rPr>
                              <w:rFonts w:hint="default" w:ascii="Times New Roman" w:hAnsi="Times New Roman" w:eastAsia="宋体" w:cs="Times New Roman"/>
                              <w:bCs/>
                              <w:spacing w:val="2"/>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654F4413">
                    <w:pPr>
                      <w:widowControl w:val="0"/>
                      <w:tabs>
                        <w:tab w:val="center" w:pos="4393"/>
                        <w:tab w:val="left" w:pos="6774"/>
                      </w:tabs>
                      <w:snapToGrid w:val="0"/>
                      <w:spacing w:line="360" w:lineRule="auto"/>
                      <w:ind w:firstLine="0" w:firstLineChars="0"/>
                      <w:jc w:val="left"/>
                      <w:rPr>
                        <w:rFonts w:hint="default" w:ascii="Times New Roman" w:hAnsi="Times New Roman" w:eastAsia="宋体" w:cs="Times New Roman"/>
                        <w:bCs/>
                        <w:spacing w:val="2"/>
                        <w:kern w:val="2"/>
                        <w:sz w:val="18"/>
                        <w:szCs w:val="18"/>
                        <w:lang w:val="en-US" w:eastAsia="zh-CN" w:bidi="ar-SA"/>
                      </w:rPr>
                    </w:pPr>
                    <w:r>
                      <w:rPr>
                        <w:rFonts w:hint="default" w:ascii="Times New Roman" w:hAnsi="Times New Roman" w:eastAsia="宋体" w:cs="Times New Roman"/>
                        <w:bCs/>
                        <w:spacing w:val="2"/>
                        <w:kern w:val="2"/>
                        <w:sz w:val="18"/>
                        <w:szCs w:val="18"/>
                        <w:lang w:val="en-US" w:eastAsia="zh-CN" w:bidi="ar-SA"/>
                      </w:rPr>
                      <w:fldChar w:fldCharType="begin"/>
                    </w:r>
                    <w:r>
                      <w:rPr>
                        <w:rFonts w:hint="default" w:ascii="Times New Roman" w:hAnsi="Times New Roman" w:eastAsia="宋体" w:cs="Times New Roman"/>
                        <w:bCs/>
                        <w:spacing w:val="2"/>
                        <w:kern w:val="2"/>
                        <w:sz w:val="18"/>
                        <w:szCs w:val="18"/>
                        <w:lang w:val="en-US" w:eastAsia="zh-CN" w:bidi="ar-SA"/>
                      </w:rPr>
                      <w:instrText xml:space="preserve"> PAGE  \* MERGEFORMAT </w:instrText>
                    </w:r>
                    <w:r>
                      <w:rPr>
                        <w:rFonts w:hint="default" w:ascii="Times New Roman" w:hAnsi="Times New Roman" w:eastAsia="宋体" w:cs="Times New Roman"/>
                        <w:bCs/>
                        <w:spacing w:val="2"/>
                        <w:kern w:val="2"/>
                        <w:sz w:val="18"/>
                        <w:szCs w:val="18"/>
                        <w:lang w:val="en-US" w:eastAsia="zh-CN" w:bidi="ar-SA"/>
                      </w:rPr>
                      <w:fldChar w:fldCharType="separate"/>
                    </w:r>
                    <w:r>
                      <w:rPr>
                        <w:rFonts w:hint="default" w:ascii="Times New Roman" w:hAnsi="Times New Roman" w:eastAsia="宋体" w:cs="Times New Roman"/>
                        <w:bCs/>
                        <w:spacing w:val="2"/>
                        <w:kern w:val="2"/>
                        <w:sz w:val="18"/>
                        <w:szCs w:val="18"/>
                        <w:lang w:val="en-US" w:eastAsia="zh-CN" w:bidi="ar-SA"/>
                      </w:rPr>
                      <w:t>77</w:t>
                    </w:r>
                    <w:r>
                      <w:rPr>
                        <w:rFonts w:hint="default" w:ascii="Times New Roman" w:hAnsi="Times New Roman" w:eastAsia="宋体" w:cs="Times New Roman"/>
                        <w:bCs/>
                        <w:spacing w:val="2"/>
                        <w:kern w:val="2"/>
                        <w:sz w:val="18"/>
                        <w:szCs w:val="18"/>
                        <w:lang w:val="en-US" w:eastAsia="zh-CN" w:bidi="ar-S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456FF">
    <w:pPr>
      <w:tabs>
        <w:tab w:val="center" w:pos="4393"/>
        <w:tab w:val="left" w:pos="6774"/>
      </w:tabs>
      <w:spacing w:line="240" w:lineRule="auto"/>
      <w:ind w:firstLine="0" w:firstLineChars="0"/>
      <w:jc w:val="both"/>
      <w:rPr>
        <w:rFonts w:hint="default" w:ascii="Times New Roman" w:hAnsi="Times New Roman" w:eastAsia="宋体" w:cs="Times New Roman"/>
        <w:bCs w:val="0"/>
        <w:spacing w:val="0"/>
        <w:kern w:val="2"/>
        <w:sz w:val="21"/>
        <w:szCs w:val="24"/>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117F5">
    <w:pPr>
      <w:tabs>
        <w:tab w:val="center" w:pos="4393"/>
        <w:tab w:val="left" w:pos="6774"/>
      </w:tabs>
      <w:spacing w:line="240" w:lineRule="auto"/>
      <w:ind w:firstLine="0" w:firstLineChars="0"/>
      <w:jc w:val="both"/>
      <w:rPr>
        <w:rFonts w:hint="default" w:ascii="Times New Roman" w:hAnsi="Times New Roman" w:eastAsia="宋体" w:cs="Times New Roman"/>
        <w:bCs w:val="0"/>
        <w:spacing w:val="0"/>
        <w:kern w:val="2"/>
        <w:sz w:val="21"/>
        <w:szCs w:val="24"/>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6A6E9">
    <w:pPr>
      <w:pStyle w:val="26"/>
      <w:jc w:val="center"/>
    </w:pPr>
    <w:r>
      <w:fldChar w:fldCharType="begin"/>
    </w:r>
    <w:r>
      <w:instrText xml:space="preserve">PAGE \* MERGEFORMAT</w:instrText>
    </w:r>
    <w:r>
      <w:fldChar w:fldCharType="separate"/>
    </w:r>
    <w:r>
      <w:t>81</w:t>
    </w:r>
    <w:r>
      <w:fldChar w:fldCharType="end"/>
    </w:r>
  </w:p>
  <w:p w14:paraId="43A62C9A">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42F01">
    <w:pPr>
      <w:widowControl w:val="0"/>
      <w:pBdr>
        <w:top w:val="none" w:color="000000" w:sz="0" w:space="0"/>
        <w:left w:val="none" w:color="000000" w:sz="0" w:space="0"/>
        <w:bottom w:val="none" w:color="000000" w:sz="0" w:space="0"/>
        <w:right w:val="none" w:color="000000" w:sz="0" w:space="0"/>
      </w:pBdr>
      <w:tabs>
        <w:tab w:val="center" w:pos="4393"/>
        <w:tab w:val="left" w:pos="6774"/>
      </w:tabs>
      <w:snapToGrid w:val="0"/>
      <w:spacing w:line="360" w:lineRule="auto"/>
      <w:ind w:firstLine="0" w:firstLineChars="0"/>
      <w:jc w:val="center"/>
      <w:rPr>
        <w:rFonts w:hint="default" w:ascii="Times New Roman" w:hAnsi="Times New Roman" w:eastAsia="宋体" w:cs="Times New Roman"/>
        <w:bCs/>
        <w:spacing w:val="2"/>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AD675">
    <w:pPr>
      <w:tabs>
        <w:tab w:val="center" w:pos="4393"/>
        <w:tab w:val="left" w:pos="6774"/>
      </w:tabs>
      <w:spacing w:line="240" w:lineRule="auto"/>
      <w:ind w:firstLine="0" w:firstLineChars="0"/>
      <w:jc w:val="both"/>
      <w:rPr>
        <w:rFonts w:hint="default" w:ascii="Times New Roman" w:hAnsi="Times New Roman" w:eastAsia="宋体" w:cs="Times New Roman"/>
        <w:bCs w:val="0"/>
        <w:spacing w:val="0"/>
        <w:kern w:val="2"/>
        <w:sz w:val="21"/>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1F64C">
    <w:pPr>
      <w:tabs>
        <w:tab w:val="center" w:pos="4393"/>
        <w:tab w:val="left" w:pos="6774"/>
      </w:tabs>
      <w:spacing w:line="240" w:lineRule="auto"/>
      <w:ind w:firstLine="0" w:firstLineChars="0"/>
      <w:jc w:val="both"/>
      <w:rPr>
        <w:rFonts w:hint="default" w:ascii="Times New Roman" w:hAnsi="Times New Roman" w:eastAsia="宋体" w:cs="Times New Roman"/>
        <w:bCs w:val="0"/>
        <w:spacing w:val="0"/>
        <w:kern w:val="2"/>
        <w:sz w:val="21"/>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58CBC">
    <w:pPr>
      <w:widowControl w:val="0"/>
      <w:pBdr>
        <w:top w:val="none" w:color="000000" w:sz="0" w:space="0"/>
        <w:left w:val="none" w:color="000000" w:sz="0" w:space="0"/>
        <w:bottom w:val="none" w:color="000000" w:sz="0" w:space="0"/>
        <w:right w:val="none" w:color="000000" w:sz="0" w:space="0"/>
      </w:pBdr>
      <w:tabs>
        <w:tab w:val="center" w:pos="4393"/>
        <w:tab w:val="left" w:pos="6774"/>
      </w:tabs>
      <w:snapToGrid w:val="0"/>
      <w:spacing w:line="360" w:lineRule="auto"/>
      <w:ind w:firstLine="0" w:firstLineChars="0"/>
      <w:jc w:val="center"/>
      <w:rPr>
        <w:rFonts w:hint="default" w:ascii="Times New Roman" w:hAnsi="Times New Roman" w:eastAsia="宋体" w:cs="Times New Roman"/>
        <w:bCs/>
        <w:spacing w:val="2"/>
        <w:kern w:val="2"/>
        <w:sz w:val="18"/>
        <w:szCs w:val="18"/>
        <w:lang w:val="en-US"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18192">
    <w:pPr>
      <w:tabs>
        <w:tab w:val="center" w:pos="4393"/>
        <w:tab w:val="left" w:pos="6774"/>
      </w:tabs>
      <w:spacing w:line="240" w:lineRule="auto"/>
      <w:ind w:firstLine="0" w:firstLineChars="0"/>
      <w:jc w:val="both"/>
      <w:rPr>
        <w:rFonts w:hint="default" w:ascii="Times New Roman" w:hAnsi="Times New Roman" w:eastAsia="宋体" w:cs="Times New Roman"/>
        <w:bCs w:val="0"/>
        <w:spacing w:val="0"/>
        <w:kern w:val="2"/>
        <w:sz w:val="21"/>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1A4E5">
    <w:pPr>
      <w:tabs>
        <w:tab w:val="center" w:pos="4393"/>
        <w:tab w:val="left" w:pos="6774"/>
      </w:tabs>
      <w:spacing w:line="240" w:lineRule="auto"/>
      <w:ind w:firstLine="0" w:firstLineChars="0"/>
      <w:jc w:val="both"/>
      <w:rPr>
        <w:rFonts w:hint="default" w:ascii="Times New Roman" w:hAnsi="Times New Roman" w:eastAsia="宋体" w:cs="Times New Roman"/>
        <w:bCs w:val="0"/>
        <w:spacing w:val="0"/>
        <w:kern w:val="2"/>
        <w:sz w:val="21"/>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3"/>
      <w:numFmt w:val="japaneseCounting"/>
      <w:lvlText w:val="%1、"/>
      <w:lvlJc w:val="left"/>
      <w:pPr>
        <w:ind w:left="720" w:hanging="720"/>
      </w:pPr>
      <w:rPr>
        <w:rFonts w:hint="default" w:cs="宋体"/>
        <w:color w:val="000000"/>
        <w:sz w:val="3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3">
    <w:nsid w:val="0053208E"/>
    <w:multiLevelType w:val="multilevel"/>
    <w:tmpl w:val="0053208E"/>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2"/>
      <w:numFmt w:val="chineseCounting"/>
      <w:suff w:val="nothing"/>
      <w:lvlText w:val="%1、"/>
      <w:lvlJc w:val="left"/>
      <w:pPr>
        <w:ind w:left="-202"/>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044"/>
    <w:rsid w:val="002E753F"/>
    <w:rsid w:val="00400289"/>
    <w:rsid w:val="005707E1"/>
    <w:rsid w:val="005715C5"/>
    <w:rsid w:val="00601A07"/>
    <w:rsid w:val="007A7044"/>
    <w:rsid w:val="00A46895"/>
    <w:rsid w:val="00A67D58"/>
    <w:rsid w:val="00A85808"/>
    <w:rsid w:val="00BE0CDA"/>
    <w:rsid w:val="00C029D5"/>
    <w:rsid w:val="00C34DAD"/>
    <w:rsid w:val="00C83508"/>
    <w:rsid w:val="00FA4DD2"/>
    <w:rsid w:val="00FB0EBE"/>
    <w:rsid w:val="01057174"/>
    <w:rsid w:val="010F7FF3"/>
    <w:rsid w:val="01255120"/>
    <w:rsid w:val="01341D50"/>
    <w:rsid w:val="015F3549"/>
    <w:rsid w:val="016519C1"/>
    <w:rsid w:val="01722330"/>
    <w:rsid w:val="0183453D"/>
    <w:rsid w:val="01981D96"/>
    <w:rsid w:val="01CA216C"/>
    <w:rsid w:val="032C4E8C"/>
    <w:rsid w:val="03983948"/>
    <w:rsid w:val="03A10CAA"/>
    <w:rsid w:val="03B409DD"/>
    <w:rsid w:val="03D11155"/>
    <w:rsid w:val="0410030A"/>
    <w:rsid w:val="043A35D9"/>
    <w:rsid w:val="04C9495C"/>
    <w:rsid w:val="04DB19D7"/>
    <w:rsid w:val="05290F57"/>
    <w:rsid w:val="053B7608"/>
    <w:rsid w:val="054E58E9"/>
    <w:rsid w:val="055204AE"/>
    <w:rsid w:val="05D25154"/>
    <w:rsid w:val="05D67331"/>
    <w:rsid w:val="063127B9"/>
    <w:rsid w:val="06562220"/>
    <w:rsid w:val="065A3ABE"/>
    <w:rsid w:val="06A25465"/>
    <w:rsid w:val="06B37672"/>
    <w:rsid w:val="06CC4290"/>
    <w:rsid w:val="074309F6"/>
    <w:rsid w:val="076369A2"/>
    <w:rsid w:val="0781507A"/>
    <w:rsid w:val="07E13D6B"/>
    <w:rsid w:val="07FB4E2D"/>
    <w:rsid w:val="080A5070"/>
    <w:rsid w:val="081163FE"/>
    <w:rsid w:val="08123F24"/>
    <w:rsid w:val="082779D0"/>
    <w:rsid w:val="083E2F6B"/>
    <w:rsid w:val="084E1401"/>
    <w:rsid w:val="08BB636A"/>
    <w:rsid w:val="09412D13"/>
    <w:rsid w:val="09CF031F"/>
    <w:rsid w:val="09EF09C1"/>
    <w:rsid w:val="09F17D6E"/>
    <w:rsid w:val="0A6C3DC0"/>
    <w:rsid w:val="0A786C09"/>
    <w:rsid w:val="0A9D666F"/>
    <w:rsid w:val="0ABB08A3"/>
    <w:rsid w:val="0ABD461B"/>
    <w:rsid w:val="0AE55920"/>
    <w:rsid w:val="0B212DFC"/>
    <w:rsid w:val="0B226B74"/>
    <w:rsid w:val="0B494101"/>
    <w:rsid w:val="0B5B0786"/>
    <w:rsid w:val="0B5C3E34"/>
    <w:rsid w:val="0B996E37"/>
    <w:rsid w:val="0BF059ED"/>
    <w:rsid w:val="0BFE4EEC"/>
    <w:rsid w:val="0C126BE9"/>
    <w:rsid w:val="0C210BDA"/>
    <w:rsid w:val="0C2228AF"/>
    <w:rsid w:val="0C2D2C04"/>
    <w:rsid w:val="0C7813B4"/>
    <w:rsid w:val="0C7E602C"/>
    <w:rsid w:val="0CB13E20"/>
    <w:rsid w:val="0CD10852"/>
    <w:rsid w:val="0CE04CA6"/>
    <w:rsid w:val="0D2B61B4"/>
    <w:rsid w:val="0D9059D0"/>
    <w:rsid w:val="0D935B07"/>
    <w:rsid w:val="0DDC300B"/>
    <w:rsid w:val="0E082052"/>
    <w:rsid w:val="0E2A585E"/>
    <w:rsid w:val="0E460DCC"/>
    <w:rsid w:val="0E572FD9"/>
    <w:rsid w:val="0E772D33"/>
    <w:rsid w:val="0EB9334C"/>
    <w:rsid w:val="0EBB70C4"/>
    <w:rsid w:val="0EC11652"/>
    <w:rsid w:val="0EF820C6"/>
    <w:rsid w:val="0F543075"/>
    <w:rsid w:val="0F706100"/>
    <w:rsid w:val="0F7A6F7F"/>
    <w:rsid w:val="0F8A050F"/>
    <w:rsid w:val="0FCD5301"/>
    <w:rsid w:val="0FDE750E"/>
    <w:rsid w:val="0FED59A3"/>
    <w:rsid w:val="0FFC1742"/>
    <w:rsid w:val="10507CE0"/>
    <w:rsid w:val="10596B94"/>
    <w:rsid w:val="107F2121"/>
    <w:rsid w:val="10CD30DE"/>
    <w:rsid w:val="110C3C07"/>
    <w:rsid w:val="110E5BD1"/>
    <w:rsid w:val="112076B2"/>
    <w:rsid w:val="11567578"/>
    <w:rsid w:val="119500A0"/>
    <w:rsid w:val="11A71B81"/>
    <w:rsid w:val="11C72224"/>
    <w:rsid w:val="12086AC4"/>
    <w:rsid w:val="123258EF"/>
    <w:rsid w:val="124675EC"/>
    <w:rsid w:val="12751C80"/>
    <w:rsid w:val="127F48AC"/>
    <w:rsid w:val="12B427A8"/>
    <w:rsid w:val="12CF313E"/>
    <w:rsid w:val="1318606C"/>
    <w:rsid w:val="134C6090"/>
    <w:rsid w:val="1373354D"/>
    <w:rsid w:val="138E2FF9"/>
    <w:rsid w:val="13D12EE6"/>
    <w:rsid w:val="144E09DA"/>
    <w:rsid w:val="14641329"/>
    <w:rsid w:val="14B80288"/>
    <w:rsid w:val="14BC5944"/>
    <w:rsid w:val="14E530ED"/>
    <w:rsid w:val="154C7F64"/>
    <w:rsid w:val="155B33AF"/>
    <w:rsid w:val="159E329B"/>
    <w:rsid w:val="15AA7E92"/>
    <w:rsid w:val="15C54914"/>
    <w:rsid w:val="15E2762C"/>
    <w:rsid w:val="15FB522B"/>
    <w:rsid w:val="1606331B"/>
    <w:rsid w:val="16225C7A"/>
    <w:rsid w:val="16557DFE"/>
    <w:rsid w:val="166E2C6E"/>
    <w:rsid w:val="16B07F1A"/>
    <w:rsid w:val="16B56AEF"/>
    <w:rsid w:val="17084E70"/>
    <w:rsid w:val="17214184"/>
    <w:rsid w:val="1732013F"/>
    <w:rsid w:val="176A78D9"/>
    <w:rsid w:val="17A728DB"/>
    <w:rsid w:val="17F11DA8"/>
    <w:rsid w:val="184C6FDF"/>
    <w:rsid w:val="18502F73"/>
    <w:rsid w:val="18512847"/>
    <w:rsid w:val="18673E19"/>
    <w:rsid w:val="18A92683"/>
    <w:rsid w:val="18B07A55"/>
    <w:rsid w:val="18ED07C2"/>
    <w:rsid w:val="193460EB"/>
    <w:rsid w:val="19805192"/>
    <w:rsid w:val="198527A8"/>
    <w:rsid w:val="19874772"/>
    <w:rsid w:val="198A4263"/>
    <w:rsid w:val="198D7E73"/>
    <w:rsid w:val="19AF3CC9"/>
    <w:rsid w:val="19EF056A"/>
    <w:rsid w:val="19F53DD2"/>
    <w:rsid w:val="1A134FCE"/>
    <w:rsid w:val="1A1F0E4F"/>
    <w:rsid w:val="1AA94BBC"/>
    <w:rsid w:val="1ABF1CEA"/>
    <w:rsid w:val="1AC13CB4"/>
    <w:rsid w:val="1AC76DF0"/>
    <w:rsid w:val="1ACE63D1"/>
    <w:rsid w:val="1ADF05DE"/>
    <w:rsid w:val="1AEA6F4B"/>
    <w:rsid w:val="1AFD0A64"/>
    <w:rsid w:val="1B274DC6"/>
    <w:rsid w:val="1B3A75C2"/>
    <w:rsid w:val="1B5A7C65"/>
    <w:rsid w:val="1B60171F"/>
    <w:rsid w:val="1B740D26"/>
    <w:rsid w:val="1BC577D4"/>
    <w:rsid w:val="1BD619E1"/>
    <w:rsid w:val="1BE539D2"/>
    <w:rsid w:val="1C057BD0"/>
    <w:rsid w:val="1C202C5C"/>
    <w:rsid w:val="1C224C26"/>
    <w:rsid w:val="1C47643B"/>
    <w:rsid w:val="1C5D3A88"/>
    <w:rsid w:val="1C8E5E18"/>
    <w:rsid w:val="1C964CCC"/>
    <w:rsid w:val="1CC7757C"/>
    <w:rsid w:val="1CE67A02"/>
    <w:rsid w:val="1D305963"/>
    <w:rsid w:val="1D632E00"/>
    <w:rsid w:val="1D994A74"/>
    <w:rsid w:val="1D99517C"/>
    <w:rsid w:val="1DBA49EB"/>
    <w:rsid w:val="1DEA52D0"/>
    <w:rsid w:val="1E14234D"/>
    <w:rsid w:val="1E2F3834"/>
    <w:rsid w:val="1E4075E6"/>
    <w:rsid w:val="1E680C8C"/>
    <w:rsid w:val="1EB510CB"/>
    <w:rsid w:val="1EBA1146"/>
    <w:rsid w:val="1EDD3086"/>
    <w:rsid w:val="1F0028D1"/>
    <w:rsid w:val="1F1D7927"/>
    <w:rsid w:val="1F372797"/>
    <w:rsid w:val="1F503CA8"/>
    <w:rsid w:val="1F7C289F"/>
    <w:rsid w:val="1F7C464D"/>
    <w:rsid w:val="1FA80624"/>
    <w:rsid w:val="1FE3647B"/>
    <w:rsid w:val="202C0F23"/>
    <w:rsid w:val="20701280"/>
    <w:rsid w:val="20EC75B1"/>
    <w:rsid w:val="210668C5"/>
    <w:rsid w:val="211B39F2"/>
    <w:rsid w:val="21260D15"/>
    <w:rsid w:val="21313216"/>
    <w:rsid w:val="214747E7"/>
    <w:rsid w:val="215C4736"/>
    <w:rsid w:val="216B08FE"/>
    <w:rsid w:val="219D08AB"/>
    <w:rsid w:val="21A8172A"/>
    <w:rsid w:val="21DE15EF"/>
    <w:rsid w:val="21E50274"/>
    <w:rsid w:val="2217065D"/>
    <w:rsid w:val="224D22D1"/>
    <w:rsid w:val="226202D0"/>
    <w:rsid w:val="22680EB9"/>
    <w:rsid w:val="227D6EA2"/>
    <w:rsid w:val="228644BC"/>
    <w:rsid w:val="228D26CE"/>
    <w:rsid w:val="229C0B63"/>
    <w:rsid w:val="22A7378F"/>
    <w:rsid w:val="22BB548D"/>
    <w:rsid w:val="22F61867"/>
    <w:rsid w:val="2366364A"/>
    <w:rsid w:val="237B0B11"/>
    <w:rsid w:val="23AB4E95"/>
    <w:rsid w:val="23B7122F"/>
    <w:rsid w:val="23CB7951"/>
    <w:rsid w:val="23D06D16"/>
    <w:rsid w:val="23D507D0"/>
    <w:rsid w:val="23D902C0"/>
    <w:rsid w:val="23E26A49"/>
    <w:rsid w:val="24290FC9"/>
    <w:rsid w:val="2432352D"/>
    <w:rsid w:val="244F40DF"/>
    <w:rsid w:val="24612064"/>
    <w:rsid w:val="24704055"/>
    <w:rsid w:val="24A563F4"/>
    <w:rsid w:val="24EE7D9B"/>
    <w:rsid w:val="251610A0"/>
    <w:rsid w:val="251A293E"/>
    <w:rsid w:val="25292B82"/>
    <w:rsid w:val="254554E2"/>
    <w:rsid w:val="256C60D9"/>
    <w:rsid w:val="258129BE"/>
    <w:rsid w:val="25CE197B"/>
    <w:rsid w:val="25DA3E7C"/>
    <w:rsid w:val="25E70E85"/>
    <w:rsid w:val="265754CC"/>
    <w:rsid w:val="26D665A3"/>
    <w:rsid w:val="270D1AB7"/>
    <w:rsid w:val="271B0BF0"/>
    <w:rsid w:val="27400656"/>
    <w:rsid w:val="274F0899"/>
    <w:rsid w:val="27561C28"/>
    <w:rsid w:val="27576CCB"/>
    <w:rsid w:val="2790513A"/>
    <w:rsid w:val="27CC5A46"/>
    <w:rsid w:val="27FA0805"/>
    <w:rsid w:val="28213FE4"/>
    <w:rsid w:val="28235FAE"/>
    <w:rsid w:val="282C4737"/>
    <w:rsid w:val="28485A15"/>
    <w:rsid w:val="28602A0B"/>
    <w:rsid w:val="287E1436"/>
    <w:rsid w:val="28940C5A"/>
    <w:rsid w:val="295201CD"/>
    <w:rsid w:val="295B52D4"/>
    <w:rsid w:val="297E0FC2"/>
    <w:rsid w:val="298D02AE"/>
    <w:rsid w:val="29AE5D4B"/>
    <w:rsid w:val="29C4351D"/>
    <w:rsid w:val="29CA2459"/>
    <w:rsid w:val="2A135BAE"/>
    <w:rsid w:val="2A2C0A1E"/>
    <w:rsid w:val="2A3A75DF"/>
    <w:rsid w:val="2A3C3357"/>
    <w:rsid w:val="2A685EFA"/>
    <w:rsid w:val="2A89415C"/>
    <w:rsid w:val="2AB078A1"/>
    <w:rsid w:val="2ABE1FBE"/>
    <w:rsid w:val="2AD417E1"/>
    <w:rsid w:val="2AFC4894"/>
    <w:rsid w:val="2B4F2C16"/>
    <w:rsid w:val="2B7803BF"/>
    <w:rsid w:val="2B794137"/>
    <w:rsid w:val="2BDF21EC"/>
    <w:rsid w:val="2C0236B7"/>
    <w:rsid w:val="2C163734"/>
    <w:rsid w:val="2CB27900"/>
    <w:rsid w:val="2CDC497D"/>
    <w:rsid w:val="2CF25F4F"/>
    <w:rsid w:val="2CF47017"/>
    <w:rsid w:val="2D197980"/>
    <w:rsid w:val="2D76092E"/>
    <w:rsid w:val="2D7B4196"/>
    <w:rsid w:val="2D8A262B"/>
    <w:rsid w:val="2D9139BA"/>
    <w:rsid w:val="2DCC67A0"/>
    <w:rsid w:val="2E0E2CE8"/>
    <w:rsid w:val="2E422F06"/>
    <w:rsid w:val="2EE322B6"/>
    <w:rsid w:val="2F1E302B"/>
    <w:rsid w:val="2F516105"/>
    <w:rsid w:val="2F520F27"/>
    <w:rsid w:val="2F953370"/>
    <w:rsid w:val="2FA32648"/>
    <w:rsid w:val="2FAF1ED5"/>
    <w:rsid w:val="2FDC3B42"/>
    <w:rsid w:val="2FE06533"/>
    <w:rsid w:val="300541EB"/>
    <w:rsid w:val="301C637B"/>
    <w:rsid w:val="3098505F"/>
    <w:rsid w:val="30E8072D"/>
    <w:rsid w:val="30F57DBC"/>
    <w:rsid w:val="31024FC4"/>
    <w:rsid w:val="310E0E7D"/>
    <w:rsid w:val="315247C1"/>
    <w:rsid w:val="320A7897"/>
    <w:rsid w:val="320D154F"/>
    <w:rsid w:val="322F554F"/>
    <w:rsid w:val="32441160"/>
    <w:rsid w:val="324B718F"/>
    <w:rsid w:val="32562ADC"/>
    <w:rsid w:val="32892EB1"/>
    <w:rsid w:val="32A41A99"/>
    <w:rsid w:val="32C959A4"/>
    <w:rsid w:val="32DE1F01"/>
    <w:rsid w:val="32E05404"/>
    <w:rsid w:val="32FD73FC"/>
    <w:rsid w:val="330D3AE3"/>
    <w:rsid w:val="33377C24"/>
    <w:rsid w:val="335A2AA0"/>
    <w:rsid w:val="335F3D2B"/>
    <w:rsid w:val="33813B89"/>
    <w:rsid w:val="33941B0E"/>
    <w:rsid w:val="33D04B10"/>
    <w:rsid w:val="34050C5E"/>
    <w:rsid w:val="341744ED"/>
    <w:rsid w:val="34515C51"/>
    <w:rsid w:val="349B511E"/>
    <w:rsid w:val="34D10B40"/>
    <w:rsid w:val="34DA468D"/>
    <w:rsid w:val="34E201AD"/>
    <w:rsid w:val="35131158"/>
    <w:rsid w:val="3522139B"/>
    <w:rsid w:val="353F1F4D"/>
    <w:rsid w:val="355C665B"/>
    <w:rsid w:val="35611EC4"/>
    <w:rsid w:val="35AD5109"/>
    <w:rsid w:val="35C802BA"/>
    <w:rsid w:val="360016DD"/>
    <w:rsid w:val="36341386"/>
    <w:rsid w:val="36624145"/>
    <w:rsid w:val="36A4475E"/>
    <w:rsid w:val="37182A56"/>
    <w:rsid w:val="37363AAD"/>
    <w:rsid w:val="373D070E"/>
    <w:rsid w:val="377D6D5D"/>
    <w:rsid w:val="37985945"/>
    <w:rsid w:val="37D90437"/>
    <w:rsid w:val="37F012DD"/>
    <w:rsid w:val="381E22EE"/>
    <w:rsid w:val="38221F30"/>
    <w:rsid w:val="38392C84"/>
    <w:rsid w:val="38453E1F"/>
    <w:rsid w:val="385C3C86"/>
    <w:rsid w:val="38AD5420"/>
    <w:rsid w:val="38B67553"/>
    <w:rsid w:val="38EF77E6"/>
    <w:rsid w:val="3941767C"/>
    <w:rsid w:val="398B5761"/>
    <w:rsid w:val="39A607ED"/>
    <w:rsid w:val="39C11183"/>
    <w:rsid w:val="39CB3DB0"/>
    <w:rsid w:val="39E845E8"/>
    <w:rsid w:val="39FC665F"/>
    <w:rsid w:val="39FF7EFD"/>
    <w:rsid w:val="3A10210A"/>
    <w:rsid w:val="3A184B1B"/>
    <w:rsid w:val="3A7C5D33"/>
    <w:rsid w:val="3AB900AC"/>
    <w:rsid w:val="3AEA4709"/>
    <w:rsid w:val="3B345984"/>
    <w:rsid w:val="3B4441DB"/>
    <w:rsid w:val="3B483EC7"/>
    <w:rsid w:val="3B64626A"/>
    <w:rsid w:val="3B7B3FDE"/>
    <w:rsid w:val="3B851344"/>
    <w:rsid w:val="3B857F33"/>
    <w:rsid w:val="3BBF7944"/>
    <w:rsid w:val="3BF014E4"/>
    <w:rsid w:val="3C8446EA"/>
    <w:rsid w:val="3C991F43"/>
    <w:rsid w:val="3CB52AF5"/>
    <w:rsid w:val="3D08531B"/>
    <w:rsid w:val="3D202664"/>
    <w:rsid w:val="3D2F0AF9"/>
    <w:rsid w:val="3D485717"/>
    <w:rsid w:val="3D6C3AFB"/>
    <w:rsid w:val="3D8B4BB3"/>
    <w:rsid w:val="3DA667C1"/>
    <w:rsid w:val="3DB363E6"/>
    <w:rsid w:val="3DEE5747"/>
    <w:rsid w:val="3DF8538F"/>
    <w:rsid w:val="3E500668"/>
    <w:rsid w:val="3E5A7DF8"/>
    <w:rsid w:val="3E6D7B2B"/>
    <w:rsid w:val="3E726EF0"/>
    <w:rsid w:val="3E78202C"/>
    <w:rsid w:val="3E9C5D1B"/>
    <w:rsid w:val="3EA846BF"/>
    <w:rsid w:val="3EE64970"/>
    <w:rsid w:val="3F0F473E"/>
    <w:rsid w:val="3F1955BD"/>
    <w:rsid w:val="3F6251B6"/>
    <w:rsid w:val="3F6B7328"/>
    <w:rsid w:val="3F8455E6"/>
    <w:rsid w:val="3FA07A8C"/>
    <w:rsid w:val="3FDE0FDB"/>
    <w:rsid w:val="3FFC1167"/>
    <w:rsid w:val="40077B0C"/>
    <w:rsid w:val="40353870"/>
    <w:rsid w:val="404623E2"/>
    <w:rsid w:val="406C2E26"/>
    <w:rsid w:val="407F76A2"/>
    <w:rsid w:val="40890521"/>
    <w:rsid w:val="414F176A"/>
    <w:rsid w:val="41546D80"/>
    <w:rsid w:val="41BE244C"/>
    <w:rsid w:val="41D8023A"/>
    <w:rsid w:val="41F67E38"/>
    <w:rsid w:val="420946BA"/>
    <w:rsid w:val="42097B6B"/>
    <w:rsid w:val="428471F1"/>
    <w:rsid w:val="42C11271"/>
    <w:rsid w:val="42C65A5C"/>
    <w:rsid w:val="42CA554C"/>
    <w:rsid w:val="42E41C46"/>
    <w:rsid w:val="42FE6FA4"/>
    <w:rsid w:val="430976F7"/>
    <w:rsid w:val="433066CD"/>
    <w:rsid w:val="4335673E"/>
    <w:rsid w:val="43884ABF"/>
    <w:rsid w:val="43AD4526"/>
    <w:rsid w:val="43BB4E95"/>
    <w:rsid w:val="43C53F65"/>
    <w:rsid w:val="43D146B8"/>
    <w:rsid w:val="442E38B9"/>
    <w:rsid w:val="443133A9"/>
    <w:rsid w:val="44957494"/>
    <w:rsid w:val="44E346A3"/>
    <w:rsid w:val="44F114C2"/>
    <w:rsid w:val="453C0257"/>
    <w:rsid w:val="455D7761"/>
    <w:rsid w:val="455F75B7"/>
    <w:rsid w:val="456A6B72"/>
    <w:rsid w:val="45796DB6"/>
    <w:rsid w:val="457E43CC"/>
    <w:rsid w:val="458B0897"/>
    <w:rsid w:val="45AF27D7"/>
    <w:rsid w:val="45DB35CC"/>
    <w:rsid w:val="45EA380F"/>
    <w:rsid w:val="45FD1795"/>
    <w:rsid w:val="46032B23"/>
    <w:rsid w:val="463B406B"/>
    <w:rsid w:val="464E3D9E"/>
    <w:rsid w:val="4689127A"/>
    <w:rsid w:val="46A41C10"/>
    <w:rsid w:val="46A95479"/>
    <w:rsid w:val="46E2098A"/>
    <w:rsid w:val="46F918FA"/>
    <w:rsid w:val="470923BB"/>
    <w:rsid w:val="472B4AE3"/>
    <w:rsid w:val="476E221E"/>
    <w:rsid w:val="47743CD8"/>
    <w:rsid w:val="477535AD"/>
    <w:rsid w:val="47A04ACD"/>
    <w:rsid w:val="47AD5093"/>
    <w:rsid w:val="48194880"/>
    <w:rsid w:val="48425B85"/>
    <w:rsid w:val="488E0EB1"/>
    <w:rsid w:val="48931F3C"/>
    <w:rsid w:val="48BF71D5"/>
    <w:rsid w:val="48CA1AC2"/>
    <w:rsid w:val="49344DBF"/>
    <w:rsid w:val="493F0316"/>
    <w:rsid w:val="496B4C67"/>
    <w:rsid w:val="49B31FB9"/>
    <w:rsid w:val="49C10D2B"/>
    <w:rsid w:val="49D7054F"/>
    <w:rsid w:val="49F8312B"/>
    <w:rsid w:val="49FC4B13"/>
    <w:rsid w:val="4A574CDF"/>
    <w:rsid w:val="4A5751EC"/>
    <w:rsid w:val="4A761B16"/>
    <w:rsid w:val="4A9106FD"/>
    <w:rsid w:val="4AC62BC0"/>
    <w:rsid w:val="4AD66A58"/>
    <w:rsid w:val="4B02784D"/>
    <w:rsid w:val="4B133808"/>
    <w:rsid w:val="4B2B3CC4"/>
    <w:rsid w:val="4B3A12EF"/>
    <w:rsid w:val="4B3C4B0D"/>
    <w:rsid w:val="4B5F07FC"/>
    <w:rsid w:val="4B7A5635"/>
    <w:rsid w:val="4B807208"/>
    <w:rsid w:val="4B942074"/>
    <w:rsid w:val="4BBE19C6"/>
    <w:rsid w:val="4BE01E83"/>
    <w:rsid w:val="4BFA1DED"/>
    <w:rsid w:val="4C147838"/>
    <w:rsid w:val="4C2630C7"/>
    <w:rsid w:val="4C39729F"/>
    <w:rsid w:val="4C651E42"/>
    <w:rsid w:val="4C7C718B"/>
    <w:rsid w:val="4CA0731E"/>
    <w:rsid w:val="4CEE62DB"/>
    <w:rsid w:val="4D0B0C3B"/>
    <w:rsid w:val="4D3B0DF4"/>
    <w:rsid w:val="4D50664E"/>
    <w:rsid w:val="4D677E3B"/>
    <w:rsid w:val="4D8602C2"/>
    <w:rsid w:val="4D9A3D6D"/>
    <w:rsid w:val="4DE82D2A"/>
    <w:rsid w:val="4DF07E31"/>
    <w:rsid w:val="4E0B07C7"/>
    <w:rsid w:val="4E3414DA"/>
    <w:rsid w:val="4E3E0B9C"/>
    <w:rsid w:val="4E43258F"/>
    <w:rsid w:val="4E9407BC"/>
    <w:rsid w:val="4EBC7D13"/>
    <w:rsid w:val="4EC74FEB"/>
    <w:rsid w:val="4F0F2539"/>
    <w:rsid w:val="4F195165"/>
    <w:rsid w:val="4F381A8F"/>
    <w:rsid w:val="4F3C2FF7"/>
    <w:rsid w:val="4F806F93"/>
    <w:rsid w:val="4F8810DB"/>
    <w:rsid w:val="4F8E5B53"/>
    <w:rsid w:val="4FBA4253"/>
    <w:rsid w:val="4FC21359"/>
    <w:rsid w:val="4FC82E13"/>
    <w:rsid w:val="501222E0"/>
    <w:rsid w:val="5032028D"/>
    <w:rsid w:val="503C735D"/>
    <w:rsid w:val="505428F9"/>
    <w:rsid w:val="50BC3FFA"/>
    <w:rsid w:val="50CC07FE"/>
    <w:rsid w:val="50DB26D2"/>
    <w:rsid w:val="50F934A0"/>
    <w:rsid w:val="50FB0FC7"/>
    <w:rsid w:val="515C15D6"/>
    <w:rsid w:val="516E79EA"/>
    <w:rsid w:val="51934B19"/>
    <w:rsid w:val="51A27694"/>
    <w:rsid w:val="51DA5080"/>
    <w:rsid w:val="51E43809"/>
    <w:rsid w:val="52304CA0"/>
    <w:rsid w:val="524B7D2C"/>
    <w:rsid w:val="52546BE0"/>
    <w:rsid w:val="526E7576"/>
    <w:rsid w:val="52727066"/>
    <w:rsid w:val="52B256B5"/>
    <w:rsid w:val="53204D14"/>
    <w:rsid w:val="5325232B"/>
    <w:rsid w:val="534C78B7"/>
    <w:rsid w:val="537F7C8D"/>
    <w:rsid w:val="539B25ED"/>
    <w:rsid w:val="53C92957"/>
    <w:rsid w:val="53D37FD9"/>
    <w:rsid w:val="53EB70D0"/>
    <w:rsid w:val="540E3B7C"/>
    <w:rsid w:val="54183C3E"/>
    <w:rsid w:val="543835BD"/>
    <w:rsid w:val="543D55B6"/>
    <w:rsid w:val="546D455B"/>
    <w:rsid w:val="54921C42"/>
    <w:rsid w:val="54B25E40"/>
    <w:rsid w:val="54B7123F"/>
    <w:rsid w:val="54D20290"/>
    <w:rsid w:val="550E4956"/>
    <w:rsid w:val="556F3D31"/>
    <w:rsid w:val="557355CF"/>
    <w:rsid w:val="559032A2"/>
    <w:rsid w:val="55935C72"/>
    <w:rsid w:val="55B41744"/>
    <w:rsid w:val="55CE071F"/>
    <w:rsid w:val="55E6075F"/>
    <w:rsid w:val="55F14746"/>
    <w:rsid w:val="55FF50B5"/>
    <w:rsid w:val="56310FE7"/>
    <w:rsid w:val="56905D0D"/>
    <w:rsid w:val="56925F29"/>
    <w:rsid w:val="569972B8"/>
    <w:rsid w:val="56A45C5C"/>
    <w:rsid w:val="56BA722E"/>
    <w:rsid w:val="56CE4A87"/>
    <w:rsid w:val="56E532E7"/>
    <w:rsid w:val="570A1F63"/>
    <w:rsid w:val="571C57F3"/>
    <w:rsid w:val="57325016"/>
    <w:rsid w:val="575C2093"/>
    <w:rsid w:val="575E5E0B"/>
    <w:rsid w:val="576158FB"/>
    <w:rsid w:val="578E4942"/>
    <w:rsid w:val="57E502DB"/>
    <w:rsid w:val="581B3CFC"/>
    <w:rsid w:val="5827444F"/>
    <w:rsid w:val="58CE0D6F"/>
    <w:rsid w:val="58DF2F7C"/>
    <w:rsid w:val="58E467E4"/>
    <w:rsid w:val="58F702C5"/>
    <w:rsid w:val="5940109D"/>
    <w:rsid w:val="596733D9"/>
    <w:rsid w:val="59B241EC"/>
    <w:rsid w:val="59F46E28"/>
    <w:rsid w:val="59F760A3"/>
    <w:rsid w:val="5A020223"/>
    <w:rsid w:val="5A094C46"/>
    <w:rsid w:val="5A2F1CE1"/>
    <w:rsid w:val="5A3E3CD2"/>
    <w:rsid w:val="5A5534F6"/>
    <w:rsid w:val="5A673229"/>
    <w:rsid w:val="5AB521E6"/>
    <w:rsid w:val="5ABC1339"/>
    <w:rsid w:val="5AC14805"/>
    <w:rsid w:val="5AC71F19"/>
    <w:rsid w:val="5AC95E34"/>
    <w:rsid w:val="5B1F58B2"/>
    <w:rsid w:val="5B5E287E"/>
    <w:rsid w:val="5B6B4F9B"/>
    <w:rsid w:val="5B6F30D0"/>
    <w:rsid w:val="5B751975"/>
    <w:rsid w:val="5B953DC6"/>
    <w:rsid w:val="5C0A6562"/>
    <w:rsid w:val="5C260997"/>
    <w:rsid w:val="5C642116"/>
    <w:rsid w:val="5C657C3C"/>
    <w:rsid w:val="5C734374"/>
    <w:rsid w:val="5D9500AD"/>
    <w:rsid w:val="5D99194B"/>
    <w:rsid w:val="5DBB5A53"/>
    <w:rsid w:val="5DC310BE"/>
    <w:rsid w:val="5DF43025"/>
    <w:rsid w:val="5DF8580E"/>
    <w:rsid w:val="5E6E102A"/>
    <w:rsid w:val="5E7B54F5"/>
    <w:rsid w:val="5E8E6FD6"/>
    <w:rsid w:val="5E912F6A"/>
    <w:rsid w:val="5EE44E48"/>
    <w:rsid w:val="5F261904"/>
    <w:rsid w:val="5F2E2567"/>
    <w:rsid w:val="5F5D2E4C"/>
    <w:rsid w:val="5F6D531F"/>
    <w:rsid w:val="5F8F74AA"/>
    <w:rsid w:val="5FC03B07"/>
    <w:rsid w:val="606A3A73"/>
    <w:rsid w:val="609C022E"/>
    <w:rsid w:val="60A725D1"/>
    <w:rsid w:val="60AF1486"/>
    <w:rsid w:val="60D158A0"/>
    <w:rsid w:val="610C0686"/>
    <w:rsid w:val="6118702B"/>
    <w:rsid w:val="61295F97"/>
    <w:rsid w:val="617701F5"/>
    <w:rsid w:val="617E77D6"/>
    <w:rsid w:val="61B054B5"/>
    <w:rsid w:val="61F555BE"/>
    <w:rsid w:val="62031A89"/>
    <w:rsid w:val="625B657B"/>
    <w:rsid w:val="62AD7C47"/>
    <w:rsid w:val="62CA6A4B"/>
    <w:rsid w:val="62F82F60"/>
    <w:rsid w:val="63422A85"/>
    <w:rsid w:val="63520F1A"/>
    <w:rsid w:val="63660521"/>
    <w:rsid w:val="63AA2F5C"/>
    <w:rsid w:val="63B23767"/>
    <w:rsid w:val="63B514A9"/>
    <w:rsid w:val="63CE60C7"/>
    <w:rsid w:val="63EB287A"/>
    <w:rsid w:val="642D54E3"/>
    <w:rsid w:val="643B63DF"/>
    <w:rsid w:val="647B5838"/>
    <w:rsid w:val="64A97426"/>
    <w:rsid w:val="65132728"/>
    <w:rsid w:val="651D7306"/>
    <w:rsid w:val="655E4607"/>
    <w:rsid w:val="65654809"/>
    <w:rsid w:val="65A74E21"/>
    <w:rsid w:val="663C1A0D"/>
    <w:rsid w:val="665E1984"/>
    <w:rsid w:val="6686712D"/>
    <w:rsid w:val="66D41C46"/>
    <w:rsid w:val="66FC7C0F"/>
    <w:rsid w:val="6707201B"/>
    <w:rsid w:val="67273072"/>
    <w:rsid w:val="67672ABA"/>
    <w:rsid w:val="67AC2BC3"/>
    <w:rsid w:val="68142C42"/>
    <w:rsid w:val="68363182"/>
    <w:rsid w:val="683C3F47"/>
    <w:rsid w:val="68EA74FF"/>
    <w:rsid w:val="699D0A15"/>
    <w:rsid w:val="69CA7330"/>
    <w:rsid w:val="6A0B0318"/>
    <w:rsid w:val="6A1F142A"/>
    <w:rsid w:val="6A600360"/>
    <w:rsid w:val="6AD61884"/>
    <w:rsid w:val="6ADE5F45"/>
    <w:rsid w:val="6AED636A"/>
    <w:rsid w:val="6AF428B7"/>
    <w:rsid w:val="6B07083C"/>
    <w:rsid w:val="6B1271E1"/>
    <w:rsid w:val="6B1532D8"/>
    <w:rsid w:val="6B767770"/>
    <w:rsid w:val="6BAC3EA4"/>
    <w:rsid w:val="6BC06C3D"/>
    <w:rsid w:val="6BEC17E0"/>
    <w:rsid w:val="6BFF1513"/>
    <w:rsid w:val="6C0C1E82"/>
    <w:rsid w:val="6C450EF0"/>
    <w:rsid w:val="6C60046D"/>
    <w:rsid w:val="6CED41BB"/>
    <w:rsid w:val="6CFC78E9"/>
    <w:rsid w:val="6D2356D5"/>
    <w:rsid w:val="6D5238C5"/>
    <w:rsid w:val="6D54763D"/>
    <w:rsid w:val="6D790884"/>
    <w:rsid w:val="6D9C0FE4"/>
    <w:rsid w:val="6DB225B5"/>
    <w:rsid w:val="6DC42A14"/>
    <w:rsid w:val="6DCE5641"/>
    <w:rsid w:val="6DE54739"/>
    <w:rsid w:val="6E2214E9"/>
    <w:rsid w:val="6E241705"/>
    <w:rsid w:val="6E3E026B"/>
    <w:rsid w:val="6E6C6C08"/>
    <w:rsid w:val="6E7064AA"/>
    <w:rsid w:val="6E9A19C7"/>
    <w:rsid w:val="6EB37C44"/>
    <w:rsid w:val="6F255735"/>
    <w:rsid w:val="6F321E6B"/>
    <w:rsid w:val="6F4B2CC1"/>
    <w:rsid w:val="6F8561D3"/>
    <w:rsid w:val="6F991C7F"/>
    <w:rsid w:val="6F9D1A3F"/>
    <w:rsid w:val="6FCA4BD2"/>
    <w:rsid w:val="6FD26F3F"/>
    <w:rsid w:val="6FF45107"/>
    <w:rsid w:val="6FFD220E"/>
    <w:rsid w:val="701B6B38"/>
    <w:rsid w:val="701D28B0"/>
    <w:rsid w:val="703674CE"/>
    <w:rsid w:val="70885FC4"/>
    <w:rsid w:val="70B76860"/>
    <w:rsid w:val="710A0738"/>
    <w:rsid w:val="71216877"/>
    <w:rsid w:val="712A5284"/>
    <w:rsid w:val="71AF7537"/>
    <w:rsid w:val="71EE7EBF"/>
    <w:rsid w:val="725132DC"/>
    <w:rsid w:val="726245AA"/>
    <w:rsid w:val="72DB435C"/>
    <w:rsid w:val="72ED5B8D"/>
    <w:rsid w:val="735E1215"/>
    <w:rsid w:val="74212243"/>
    <w:rsid w:val="7422500A"/>
    <w:rsid w:val="746F1200"/>
    <w:rsid w:val="74FA4F6E"/>
    <w:rsid w:val="75002987"/>
    <w:rsid w:val="759A04FF"/>
    <w:rsid w:val="75CD3A2D"/>
    <w:rsid w:val="75E8126A"/>
    <w:rsid w:val="764741E2"/>
    <w:rsid w:val="765406AD"/>
    <w:rsid w:val="766528BB"/>
    <w:rsid w:val="766D79C1"/>
    <w:rsid w:val="76C43A85"/>
    <w:rsid w:val="77020109"/>
    <w:rsid w:val="77185B7F"/>
    <w:rsid w:val="774424D0"/>
    <w:rsid w:val="777A4144"/>
    <w:rsid w:val="77822FF8"/>
    <w:rsid w:val="77AE203F"/>
    <w:rsid w:val="77D777E8"/>
    <w:rsid w:val="77F71C38"/>
    <w:rsid w:val="783C6333"/>
    <w:rsid w:val="7853185A"/>
    <w:rsid w:val="7899684C"/>
    <w:rsid w:val="78AD0549"/>
    <w:rsid w:val="78BB0EB8"/>
    <w:rsid w:val="7940316B"/>
    <w:rsid w:val="79426EE3"/>
    <w:rsid w:val="79621333"/>
    <w:rsid w:val="796B01E8"/>
    <w:rsid w:val="79865022"/>
    <w:rsid w:val="79872B48"/>
    <w:rsid w:val="79D264B9"/>
    <w:rsid w:val="79FC7092"/>
    <w:rsid w:val="7A0D5743"/>
    <w:rsid w:val="7A2D742D"/>
    <w:rsid w:val="7A710426"/>
    <w:rsid w:val="7A747570"/>
    <w:rsid w:val="7AC2652D"/>
    <w:rsid w:val="7AE71AF0"/>
    <w:rsid w:val="7B0F2381"/>
    <w:rsid w:val="7B113011"/>
    <w:rsid w:val="7B1D19B6"/>
    <w:rsid w:val="7B29035B"/>
    <w:rsid w:val="7B364826"/>
    <w:rsid w:val="7B737828"/>
    <w:rsid w:val="7B7610C6"/>
    <w:rsid w:val="7B971768"/>
    <w:rsid w:val="7B9A1258"/>
    <w:rsid w:val="7C9537CE"/>
    <w:rsid w:val="7CCD2F68"/>
    <w:rsid w:val="7CED360A"/>
    <w:rsid w:val="7D60202E"/>
    <w:rsid w:val="7DD16A88"/>
    <w:rsid w:val="7E176B90"/>
    <w:rsid w:val="7E3C65F7"/>
    <w:rsid w:val="7E4234E1"/>
    <w:rsid w:val="7E464D80"/>
    <w:rsid w:val="7E590F57"/>
    <w:rsid w:val="7EEF5417"/>
    <w:rsid w:val="7EF40C80"/>
    <w:rsid w:val="7F5F6540"/>
    <w:rsid w:val="7F8E0880"/>
    <w:rsid w:val="7FA501CC"/>
    <w:rsid w:val="7FAA7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4"/>
      <w:lang w:val="en-US" w:eastAsia="zh-CN" w:bidi="ar-SA"/>
    </w:rPr>
  </w:style>
  <w:style w:type="paragraph" w:styleId="2">
    <w:name w:val="heading 1"/>
    <w:basedOn w:val="1"/>
    <w:next w:val="1"/>
    <w:link w:val="56"/>
    <w:qFormat/>
    <w:uiPriority w:val="0"/>
    <w:pPr>
      <w:keepNext/>
      <w:keepLines/>
      <w:spacing w:before="340" w:after="330" w:line="578" w:lineRule="auto"/>
      <w:outlineLvl w:val="0"/>
    </w:pPr>
    <w:rPr>
      <w:b/>
      <w:bCs/>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qFormat/>
    <w:uiPriority w:val="99"/>
    <w:pPr>
      <w:keepNext/>
      <w:keepLines/>
      <w:spacing w:before="20" w:after="20" w:line="415" w:lineRule="auto"/>
      <w:ind w:firstLine="137"/>
      <w:outlineLvl w:val="2"/>
    </w:pPr>
    <w:rPr>
      <w:rFonts w:hAnsi="黑体" w:eastAsia="黑体"/>
      <w:sz w:val="24"/>
      <w:szCs w:val="20"/>
    </w:rPr>
  </w:style>
  <w:style w:type="paragraph" w:styleId="5">
    <w:name w:val="heading 4"/>
    <w:basedOn w:val="1"/>
    <w:next w:val="1"/>
    <w:link w:val="6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2"/>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6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6"/>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Body Text"/>
    <w:basedOn w:val="1"/>
    <w:next w:val="15"/>
    <w:qFormat/>
    <w:uiPriority w:val="0"/>
    <w:rPr>
      <w:rFonts w:ascii="楷体_GB2312" w:hAnsi="Arial" w:eastAsia="楷体_GB2312"/>
      <w:sz w:val="28"/>
      <w:szCs w:val="20"/>
    </w:rPr>
  </w:style>
  <w:style w:type="paragraph" w:styleId="15">
    <w:name w:val="Body Text First Indent"/>
    <w:basedOn w:val="14"/>
    <w:next w:val="16"/>
    <w:unhideWhenUsed/>
    <w:qFormat/>
    <w:uiPriority w:val="99"/>
    <w:pPr>
      <w:ind w:firstLine="420" w:firstLineChars="100"/>
    </w:pPr>
  </w:style>
  <w:style w:type="paragraph" w:styleId="16">
    <w:name w:val="Body Text First Indent 2"/>
    <w:basedOn w:val="17"/>
    <w:qFormat/>
    <w:uiPriority w:val="0"/>
    <w:pPr>
      <w:widowControl/>
      <w:tabs>
        <w:tab w:val="left" w:pos="1080"/>
        <w:tab w:val="center" w:pos="4393"/>
        <w:tab w:val="left" w:pos="6774"/>
      </w:tabs>
      <w:spacing w:before="100" w:beforeAutospacing="1" w:after="100" w:afterAutospacing="1"/>
      <w:ind w:left="420" w:firstLine="420"/>
      <w:jc w:val="left"/>
    </w:pPr>
    <w:rPr>
      <w:sz w:val="24"/>
    </w:rPr>
  </w:style>
  <w:style w:type="paragraph" w:styleId="17">
    <w:name w:val="Body Text Indent"/>
    <w:basedOn w:val="1"/>
    <w:next w:val="18"/>
    <w:qFormat/>
    <w:uiPriority w:val="0"/>
    <w:pPr>
      <w:spacing w:before="240" w:line="360" w:lineRule="auto"/>
      <w:ind w:firstLine="552"/>
    </w:pPr>
    <w:rPr>
      <w:rFonts w:ascii="宋体" w:hAnsi="宋体" w:eastAsia="宋体" w:cs="Times New Roman"/>
      <w:szCs w:val="20"/>
    </w:rPr>
  </w:style>
  <w:style w:type="paragraph" w:styleId="18">
    <w:name w:val="envelope return"/>
    <w:basedOn w:val="1"/>
    <w:qFormat/>
    <w:uiPriority w:val="0"/>
    <w:pPr>
      <w:snapToGrid w:val="0"/>
    </w:pPr>
    <w:rPr>
      <w:rFonts w:ascii="Arial" w:hAnsi="Arial"/>
    </w:rPr>
  </w:style>
  <w:style w:type="paragraph" w:styleId="19">
    <w:name w:val="Block Text"/>
    <w:basedOn w:val="1"/>
    <w:qFormat/>
    <w:uiPriority w:val="0"/>
    <w:pPr>
      <w:ind w:left="256" w:right="6" w:firstLine="624"/>
    </w:pPr>
    <w:rPr>
      <w:rFonts w:eastAsia="仿宋_GB2312"/>
      <w:sz w:val="28"/>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218"/>
    <w:qFormat/>
    <w:uiPriority w:val="0"/>
    <w:rPr>
      <w:rFonts w:ascii="宋体" w:hAnsi="Courier New"/>
      <w:szCs w:val="20"/>
    </w:rPr>
  </w:style>
  <w:style w:type="paragraph" w:styleId="23">
    <w:name w:val="toc 8"/>
    <w:basedOn w:val="1"/>
    <w:next w:val="1"/>
    <w:unhideWhenUsed/>
    <w:qFormat/>
    <w:uiPriority w:val="39"/>
    <w:pPr>
      <w:spacing w:after="57"/>
      <w:ind w:left="1984"/>
    </w:pPr>
  </w:style>
  <w:style w:type="paragraph" w:styleId="24">
    <w:name w:val="Body Text Indent 2"/>
    <w:basedOn w:val="1"/>
    <w:qFormat/>
    <w:uiPriority w:val="0"/>
    <w:pPr>
      <w:spacing w:after="120" w:line="480" w:lineRule="auto"/>
      <w:ind w:left="420"/>
    </w:pPr>
  </w:style>
  <w:style w:type="paragraph" w:styleId="25">
    <w:name w:val="endnote text"/>
    <w:basedOn w:val="1"/>
    <w:link w:val="203"/>
    <w:semiHidden/>
    <w:unhideWhenUsed/>
    <w:qFormat/>
    <w:uiPriority w:val="99"/>
    <w:rPr>
      <w:sz w:val="20"/>
    </w:rPr>
  </w:style>
  <w:style w:type="paragraph" w:styleId="26">
    <w:name w:val="footer"/>
    <w:basedOn w:val="1"/>
    <w:qFormat/>
    <w:uiPriority w:val="0"/>
    <w:pPr>
      <w:tabs>
        <w:tab w:val="center" w:pos="4153"/>
        <w:tab w:val="right" w:pos="8306"/>
      </w:tabs>
      <w:jc w:val="left"/>
    </w:pPr>
    <w:rPr>
      <w:sz w:val="18"/>
    </w:rPr>
  </w:style>
  <w:style w:type="paragraph" w:styleId="2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69"/>
    <w:qFormat/>
    <w:uiPriority w:val="11"/>
    <w:pPr>
      <w:spacing w:before="200" w:after="200"/>
    </w:pPr>
    <w:rPr>
      <w:sz w:val="24"/>
    </w:rPr>
  </w:style>
  <w:style w:type="paragraph" w:styleId="31">
    <w:name w:val="footnote text"/>
    <w:basedOn w:val="1"/>
    <w:link w:val="202"/>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HTML Preformatt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02" w:firstLineChars="200"/>
    </w:pPr>
    <w:rPr>
      <w:rFonts w:ascii="宋体" w:hAnsi="宋体" w:eastAsia="宋体" w:cs="Times New Roman"/>
      <w:sz w:val="24"/>
      <w:szCs w:val="24"/>
      <w:lang w:val="en-US" w:eastAsia="zh-CN" w:bidi="ar-SA"/>
    </w:rPr>
  </w:style>
  <w:style w:type="paragraph" w:styleId="37">
    <w:name w:val="Normal (Web)"/>
    <w:basedOn w:val="1"/>
    <w:qFormat/>
    <w:uiPriority w:val="99"/>
    <w:pPr>
      <w:spacing w:line="360" w:lineRule="auto"/>
      <w:ind w:firstLine="482"/>
      <w:jc w:val="left"/>
    </w:pPr>
    <w:rPr>
      <w:rFonts w:ascii="宋体" w:hAnsi="宋体"/>
      <w:b/>
      <w:sz w:val="24"/>
    </w:rPr>
  </w:style>
  <w:style w:type="paragraph" w:styleId="38">
    <w:name w:val="Title"/>
    <w:basedOn w:val="1"/>
    <w:next w:val="1"/>
    <w:link w:val="68"/>
    <w:qFormat/>
    <w:uiPriority w:val="10"/>
    <w:pPr>
      <w:spacing w:before="300" w:after="200"/>
      <w:contextualSpacing/>
    </w:pPr>
    <w:rPr>
      <w:sz w:val="48"/>
      <w:szCs w:val="48"/>
    </w:rPr>
  </w:style>
  <w:style w:type="table" w:styleId="40">
    <w:name w:val="Table Grid"/>
    <w:basedOn w:val="3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bCs/>
    </w:rPr>
  </w:style>
  <w:style w:type="character" w:styleId="43">
    <w:name w:val="endnote reference"/>
    <w:basedOn w:val="41"/>
    <w:semiHidden/>
    <w:unhideWhenUsed/>
    <w:qFormat/>
    <w:uiPriority w:val="99"/>
    <w:rPr>
      <w:vertAlign w:val="superscript"/>
    </w:rPr>
  </w:style>
  <w:style w:type="character" w:styleId="44">
    <w:name w:val="page number"/>
    <w:basedOn w:val="41"/>
    <w:qFormat/>
    <w:uiPriority w:val="0"/>
  </w:style>
  <w:style w:type="character" w:styleId="45">
    <w:name w:val="FollowedHyperlink"/>
    <w:basedOn w:val="41"/>
    <w:qFormat/>
    <w:uiPriority w:val="0"/>
    <w:rPr>
      <w:color w:val="800080"/>
      <w:u w:val="none"/>
    </w:rPr>
  </w:style>
  <w:style w:type="character" w:styleId="46">
    <w:name w:val="HTML Definition"/>
    <w:basedOn w:val="41"/>
    <w:qFormat/>
    <w:uiPriority w:val="0"/>
  </w:style>
  <w:style w:type="character" w:styleId="47">
    <w:name w:val="HTML Typewriter"/>
    <w:basedOn w:val="41"/>
    <w:qFormat/>
    <w:uiPriority w:val="0"/>
    <w:rPr>
      <w:rFonts w:ascii="monospace" w:hAnsi="monospace" w:eastAsia="monospace" w:cs="monospace"/>
      <w:sz w:val="20"/>
    </w:rPr>
  </w:style>
  <w:style w:type="character" w:styleId="48">
    <w:name w:val="HTML Acronym"/>
    <w:basedOn w:val="41"/>
    <w:qFormat/>
    <w:uiPriority w:val="0"/>
  </w:style>
  <w:style w:type="character" w:styleId="49">
    <w:name w:val="HTML Variable"/>
    <w:basedOn w:val="41"/>
    <w:qFormat/>
    <w:uiPriority w:val="0"/>
  </w:style>
  <w:style w:type="character" w:styleId="50">
    <w:name w:val="Hyperlink"/>
    <w:basedOn w:val="41"/>
    <w:qFormat/>
    <w:uiPriority w:val="0"/>
    <w:rPr>
      <w:color w:val="0000FF"/>
      <w:u w:val="none"/>
    </w:rPr>
  </w:style>
  <w:style w:type="character" w:styleId="51">
    <w:name w:val="HTML Code"/>
    <w:basedOn w:val="41"/>
    <w:qFormat/>
    <w:uiPriority w:val="0"/>
    <w:rPr>
      <w:rFonts w:hint="default" w:ascii="monospace" w:hAnsi="monospace" w:eastAsia="monospace" w:cs="monospace"/>
      <w:sz w:val="20"/>
    </w:rPr>
  </w:style>
  <w:style w:type="character" w:styleId="52">
    <w:name w:val="HTML Cite"/>
    <w:basedOn w:val="41"/>
    <w:qFormat/>
    <w:uiPriority w:val="0"/>
  </w:style>
  <w:style w:type="character" w:styleId="53">
    <w:name w:val="footnote reference"/>
    <w:basedOn w:val="41"/>
    <w:unhideWhenUsed/>
    <w:qFormat/>
    <w:uiPriority w:val="99"/>
    <w:rPr>
      <w:vertAlign w:val="superscript"/>
    </w:rPr>
  </w:style>
  <w:style w:type="character" w:styleId="54">
    <w:name w:val="HTML Keyboard"/>
    <w:basedOn w:val="41"/>
    <w:qFormat/>
    <w:uiPriority w:val="0"/>
    <w:rPr>
      <w:rFonts w:hint="default" w:ascii="monospace" w:hAnsi="monospace" w:eastAsia="monospace" w:cs="monospace"/>
      <w:sz w:val="20"/>
    </w:rPr>
  </w:style>
  <w:style w:type="character" w:styleId="55">
    <w:name w:val="HTML Sample"/>
    <w:basedOn w:val="41"/>
    <w:qFormat/>
    <w:uiPriority w:val="0"/>
    <w:rPr>
      <w:rFonts w:hint="default" w:ascii="monospace" w:hAnsi="monospace" w:eastAsia="monospace" w:cs="monospace"/>
    </w:rPr>
  </w:style>
  <w:style w:type="character" w:customStyle="1" w:styleId="56">
    <w:name w:val="标题 1 Char"/>
    <w:basedOn w:val="41"/>
    <w:link w:val="2"/>
    <w:qFormat/>
    <w:uiPriority w:val="0"/>
    <w:rPr>
      <w:rFonts w:asciiTheme="minorHAnsi" w:hAnsiTheme="minorHAnsi" w:eastAsiaTheme="minorEastAsia" w:cstheme="minorBidi"/>
      <w:b/>
      <w:bCs/>
      <w:sz w:val="44"/>
      <w:szCs w:val="44"/>
    </w:rPr>
  </w:style>
  <w:style w:type="paragraph" w:customStyle="1" w:styleId="57">
    <w:name w:val="正文1"/>
    <w:next w:val="1"/>
    <w:qFormat/>
    <w:uiPriority w:val="0"/>
    <w:pPr>
      <w:jc w:val="both"/>
    </w:pPr>
    <w:rPr>
      <w:rFonts w:ascii="Calibri" w:hAnsi="Calibri" w:eastAsia="宋体" w:cs="宋体"/>
      <w:sz w:val="21"/>
      <w:szCs w:val="21"/>
      <w:lang w:val="en-US" w:eastAsia="zh-CN" w:bidi="ar-SA"/>
    </w:rPr>
  </w:style>
  <w:style w:type="character" w:customStyle="1" w:styleId="58">
    <w:name w:val="Heading 1 Char"/>
    <w:basedOn w:val="41"/>
    <w:qFormat/>
    <w:uiPriority w:val="9"/>
    <w:rPr>
      <w:rFonts w:ascii="Arial" w:hAnsi="Arial" w:eastAsia="Arial" w:cs="Arial"/>
      <w:sz w:val="40"/>
      <w:szCs w:val="40"/>
    </w:rPr>
  </w:style>
  <w:style w:type="character" w:customStyle="1" w:styleId="59">
    <w:name w:val="Heading 2 Char"/>
    <w:basedOn w:val="41"/>
    <w:qFormat/>
    <w:uiPriority w:val="9"/>
    <w:rPr>
      <w:rFonts w:ascii="Arial" w:hAnsi="Arial" w:eastAsia="Arial" w:cs="Arial"/>
      <w:sz w:val="34"/>
    </w:rPr>
  </w:style>
  <w:style w:type="character" w:customStyle="1" w:styleId="60">
    <w:name w:val="Heading 3 Char"/>
    <w:basedOn w:val="41"/>
    <w:qFormat/>
    <w:uiPriority w:val="9"/>
    <w:rPr>
      <w:rFonts w:ascii="Arial" w:hAnsi="Arial" w:eastAsia="Arial" w:cs="Arial"/>
      <w:sz w:val="30"/>
      <w:szCs w:val="30"/>
    </w:rPr>
  </w:style>
  <w:style w:type="character" w:customStyle="1" w:styleId="61">
    <w:name w:val="标题 4 Char"/>
    <w:basedOn w:val="41"/>
    <w:link w:val="5"/>
    <w:qFormat/>
    <w:uiPriority w:val="9"/>
    <w:rPr>
      <w:rFonts w:ascii="Arial" w:hAnsi="Arial" w:eastAsia="Arial" w:cs="Arial"/>
      <w:b/>
      <w:bCs/>
      <w:sz w:val="26"/>
      <w:szCs w:val="26"/>
    </w:rPr>
  </w:style>
  <w:style w:type="character" w:customStyle="1" w:styleId="62">
    <w:name w:val="标题 5 Char"/>
    <w:basedOn w:val="41"/>
    <w:link w:val="6"/>
    <w:qFormat/>
    <w:uiPriority w:val="9"/>
    <w:rPr>
      <w:rFonts w:ascii="Arial" w:hAnsi="Arial" w:eastAsia="Arial" w:cs="Arial"/>
      <w:b/>
      <w:bCs/>
      <w:sz w:val="24"/>
      <w:szCs w:val="24"/>
    </w:rPr>
  </w:style>
  <w:style w:type="character" w:customStyle="1" w:styleId="63">
    <w:name w:val="标题 6 Char"/>
    <w:basedOn w:val="41"/>
    <w:link w:val="7"/>
    <w:qFormat/>
    <w:uiPriority w:val="9"/>
    <w:rPr>
      <w:rFonts w:ascii="Arial" w:hAnsi="Arial" w:eastAsia="Arial" w:cs="Arial"/>
      <w:b/>
      <w:bCs/>
      <w:sz w:val="22"/>
      <w:szCs w:val="22"/>
    </w:rPr>
  </w:style>
  <w:style w:type="character" w:customStyle="1" w:styleId="64">
    <w:name w:val="标题 7 Char"/>
    <w:basedOn w:val="41"/>
    <w:link w:val="8"/>
    <w:qFormat/>
    <w:uiPriority w:val="9"/>
    <w:rPr>
      <w:rFonts w:ascii="Arial" w:hAnsi="Arial" w:eastAsia="Arial" w:cs="Arial"/>
      <w:b/>
      <w:bCs/>
      <w:i/>
      <w:iCs/>
      <w:sz w:val="22"/>
      <w:szCs w:val="22"/>
    </w:rPr>
  </w:style>
  <w:style w:type="character" w:customStyle="1" w:styleId="65">
    <w:name w:val="标题 8 Char"/>
    <w:basedOn w:val="41"/>
    <w:link w:val="9"/>
    <w:qFormat/>
    <w:uiPriority w:val="9"/>
    <w:rPr>
      <w:rFonts w:ascii="Arial" w:hAnsi="Arial" w:eastAsia="Arial" w:cs="Arial"/>
      <w:i/>
      <w:iCs/>
      <w:sz w:val="22"/>
      <w:szCs w:val="22"/>
    </w:rPr>
  </w:style>
  <w:style w:type="character" w:customStyle="1" w:styleId="66">
    <w:name w:val="标题 9 Char"/>
    <w:basedOn w:val="41"/>
    <w:link w:val="10"/>
    <w:qFormat/>
    <w:uiPriority w:val="9"/>
    <w:rPr>
      <w:rFonts w:ascii="Arial" w:hAnsi="Arial" w:eastAsia="Arial" w:cs="Arial"/>
      <w:i/>
      <w:iCs/>
      <w:sz w:val="21"/>
      <w:szCs w:val="21"/>
    </w:rPr>
  </w:style>
  <w:style w:type="paragraph" w:styleId="67">
    <w:name w:val="No Spacing"/>
    <w:qFormat/>
    <w:uiPriority w:val="1"/>
    <w:rPr>
      <w:rFonts w:ascii="Calibri" w:hAnsi="Calibri" w:eastAsia="宋体" w:cs="Times New Roman"/>
      <w:lang w:val="en-US" w:eastAsia="zh-CN" w:bidi="ar-SA"/>
    </w:rPr>
  </w:style>
  <w:style w:type="character" w:customStyle="1" w:styleId="68">
    <w:name w:val="标题 Char"/>
    <w:basedOn w:val="41"/>
    <w:link w:val="38"/>
    <w:qFormat/>
    <w:uiPriority w:val="10"/>
    <w:rPr>
      <w:sz w:val="48"/>
      <w:szCs w:val="48"/>
    </w:rPr>
  </w:style>
  <w:style w:type="character" w:customStyle="1" w:styleId="69">
    <w:name w:val="副标题 Char"/>
    <w:basedOn w:val="41"/>
    <w:link w:val="30"/>
    <w:qFormat/>
    <w:uiPriority w:val="11"/>
    <w:rPr>
      <w:sz w:val="24"/>
      <w:szCs w:val="24"/>
    </w:rPr>
  </w:style>
  <w:style w:type="paragraph" w:styleId="70">
    <w:name w:val="Quote"/>
    <w:basedOn w:val="1"/>
    <w:next w:val="1"/>
    <w:link w:val="71"/>
    <w:qFormat/>
    <w:uiPriority w:val="29"/>
    <w:pPr>
      <w:ind w:left="720" w:right="720"/>
    </w:pPr>
    <w:rPr>
      <w:i/>
    </w:rPr>
  </w:style>
  <w:style w:type="character" w:customStyle="1" w:styleId="71">
    <w:name w:val="引用 Char"/>
    <w:link w:val="70"/>
    <w:qFormat/>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3">
    <w:name w:val="明显引用 Char"/>
    <w:link w:val="72"/>
    <w:qFormat/>
    <w:uiPriority w:val="30"/>
    <w:rPr>
      <w:i/>
    </w:rPr>
  </w:style>
  <w:style w:type="character" w:customStyle="1" w:styleId="74">
    <w:name w:val="Header Char"/>
    <w:basedOn w:val="41"/>
    <w:qFormat/>
    <w:uiPriority w:val="99"/>
  </w:style>
  <w:style w:type="character" w:customStyle="1" w:styleId="75">
    <w:name w:val="Footer Char"/>
    <w:basedOn w:val="41"/>
    <w:qFormat/>
    <w:uiPriority w:val="99"/>
  </w:style>
  <w:style w:type="character" w:customStyle="1" w:styleId="76">
    <w:name w:val="Caption Char"/>
    <w:qFormat/>
    <w:uiPriority w:val="99"/>
  </w:style>
  <w:style w:type="table" w:customStyle="1" w:styleId="77">
    <w:name w:val="Table Grid Light"/>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8">
    <w:name w:val="Plain Table 1"/>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Plain Table 2"/>
    <w:basedOn w:val="3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39"/>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4"/>
    <w:basedOn w:val="39"/>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5"/>
    <w:basedOn w:val="39"/>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Grid Table 1 Light"/>
    <w:basedOn w:val="3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basedOn w:val="3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5">
    <w:name w:val="Grid Table 1 Light - Accent 2"/>
    <w:basedOn w:val="3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6">
    <w:name w:val="Grid Table 1 Light - Accent 3"/>
    <w:basedOn w:val="3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7">
    <w:name w:val="Grid Table 1 Light - Accent 4"/>
    <w:basedOn w:val="3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8">
    <w:name w:val="Grid Table 1 Light - Accent 5"/>
    <w:basedOn w:val="3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9">
    <w:name w:val="Grid Table 1 Light - Accent 6"/>
    <w:basedOn w:val="3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0">
    <w:name w:val="Grid Table 2"/>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basedOn w:val="3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2">
    <w:name w:val="Grid Table 2 - Accent 2"/>
    <w:basedOn w:val="3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2 - Accent 3"/>
    <w:basedOn w:val="3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2 - Accent 4"/>
    <w:basedOn w:val="3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2 - Accent 5"/>
    <w:basedOn w:val="39"/>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2 - Accent 6"/>
    <w:basedOn w:val="39"/>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3"/>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basedOn w:val="3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9">
    <w:name w:val="Grid Table 3 - Accent 2"/>
    <w:basedOn w:val="3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3 - Accent 3"/>
    <w:basedOn w:val="3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3 - Accent 4"/>
    <w:basedOn w:val="3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3 - Accent 5"/>
    <w:basedOn w:val="39"/>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3 - Accent 6"/>
    <w:basedOn w:val="39"/>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Grid Table 4"/>
    <w:basedOn w:val="3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basedOn w:val="39"/>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6">
    <w:name w:val="Grid Table 4 - Accent 2"/>
    <w:basedOn w:val="39"/>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7">
    <w:name w:val="Grid Table 4 - Accent 3"/>
    <w:basedOn w:val="39"/>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8">
    <w:name w:val="Grid Table 4 - Accent 4"/>
    <w:basedOn w:val="39"/>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9">
    <w:name w:val="Grid Table 4 - Accent 5"/>
    <w:basedOn w:val="39"/>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0">
    <w:name w:val="Grid Table 4 - Accent 6"/>
    <w:basedOn w:val="39"/>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1">
    <w:name w:val="Grid Table 5 Dark"/>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3">
    <w:name w:val="Grid Table 5 Dark - Accent 2"/>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4">
    <w:name w:val="Grid Table 5 Dark - Accent 3"/>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5">
    <w:name w:val="Grid Table 5 Dark- Accent 4"/>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6">
    <w:name w:val="Grid Table 5 Dark - Accent 5"/>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7">
    <w:name w:val="Grid Table 5 Dark - Accent 6"/>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8">
    <w:name w:val="Grid Table 6 Colorful"/>
    <w:basedOn w:val="3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basedOn w:val="39"/>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basedOn w:val="3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basedOn w:val="39"/>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2">
    <w:name w:val="Grid Table 6 Colorful - Accent 4"/>
    <w:basedOn w:val="3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basedOn w:val="39"/>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4">
    <w:name w:val="Grid Table 6 Colorful - Accent 6"/>
    <w:basedOn w:val="39"/>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5">
    <w:name w:val="Grid Table 7 Colorful"/>
    <w:basedOn w:val="3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basedOn w:val="39"/>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basedOn w:val="39"/>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basedOn w:val="39"/>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9">
    <w:name w:val="Grid Table 7 Colorful - Accent 4"/>
    <w:basedOn w:val="39"/>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basedOn w:val="39"/>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1">
    <w:name w:val="Grid Table 7 Colorful - Accent 6"/>
    <w:basedOn w:val="39"/>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2">
    <w:name w:val="List Table 1 Light"/>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4">
    <w:name w:val="List Table 1 Light - Accent 2"/>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5">
    <w:name w:val="List Table 1 Light - Accent 3"/>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6">
    <w:name w:val="List Table 1 Light - Accent 4"/>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7">
    <w:name w:val="List Table 1 Light - Accent 5"/>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8">
    <w:name w:val="List Table 1 Light - Accent 6"/>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9">
    <w:name w:val="List Table 2"/>
    <w:basedOn w:val="3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basedOn w:val="39"/>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1">
    <w:name w:val="List Table 2 - Accent 2"/>
    <w:basedOn w:val="39"/>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2">
    <w:name w:val="List Table 2 - Accent 3"/>
    <w:basedOn w:val="39"/>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3">
    <w:name w:val="List Table 2 - Accent 4"/>
    <w:basedOn w:val="39"/>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4">
    <w:name w:val="List Table 2 - Accent 5"/>
    <w:basedOn w:val="39"/>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5">
    <w:name w:val="List Table 2 - Accent 6"/>
    <w:basedOn w:val="39"/>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6">
    <w:name w:val="List Table 3"/>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basedOn w:val="39"/>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8">
    <w:name w:val="List Table 3 - Accent 2"/>
    <w:basedOn w:val="3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9">
    <w:name w:val="List Table 3 - Accent 3"/>
    <w:basedOn w:val="39"/>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0">
    <w:name w:val="List Table 3 - Accent 4"/>
    <w:basedOn w:val="3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1">
    <w:name w:val="List Table 3 - Accent 5"/>
    <w:basedOn w:val="39"/>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2">
    <w:name w:val="List Table 3 - Accent 6"/>
    <w:basedOn w:val="39"/>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3">
    <w:name w:val="List Table 4"/>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basedOn w:val="39"/>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5">
    <w:name w:val="List Table 4 - Accent 2"/>
    <w:basedOn w:val="39"/>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6">
    <w:name w:val="List Table 4 - Accent 3"/>
    <w:basedOn w:val="39"/>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7">
    <w:name w:val="List Table 4 - Accent 4"/>
    <w:basedOn w:val="39"/>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8">
    <w:name w:val="List Table 4 - Accent 5"/>
    <w:basedOn w:val="39"/>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9">
    <w:name w:val="List Table 4 - Accent 6"/>
    <w:basedOn w:val="39"/>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0">
    <w:name w:val="List Table 5 Dark"/>
    <w:basedOn w:val="3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basedOn w:val="39"/>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2">
    <w:name w:val="List Table 5 Dark - Accent 2"/>
    <w:basedOn w:val="39"/>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3">
    <w:name w:val="List Table 5 Dark - Accent 3"/>
    <w:basedOn w:val="39"/>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4">
    <w:name w:val="List Table 5 Dark - Accent 4"/>
    <w:basedOn w:val="39"/>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5">
    <w:name w:val="List Table 5 Dark - Accent 5"/>
    <w:basedOn w:val="39"/>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6">
    <w:name w:val="List Table 5 Dark - Accent 6"/>
    <w:basedOn w:val="39"/>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7">
    <w:name w:val="List Table 6 Colorful"/>
    <w:basedOn w:val="39"/>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basedOn w:val="39"/>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9">
    <w:name w:val="List Table 6 Colorful - Accent 2"/>
    <w:basedOn w:val="39"/>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basedOn w:val="39"/>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basedOn w:val="39"/>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basedOn w:val="39"/>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basedOn w:val="39"/>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st Table 7 Colorful"/>
    <w:basedOn w:val="39"/>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basedOn w:val="39"/>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6">
    <w:name w:val="List Table 7 Colorful - Accent 2"/>
    <w:basedOn w:val="39"/>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basedOn w:val="39"/>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basedOn w:val="39"/>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basedOn w:val="39"/>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basedOn w:val="39"/>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1">
    <w:name w:val="Lined - Accent"/>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3">
    <w:name w:val="Lined - Accent 2"/>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Lined - Accent 3"/>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Lined - Accent 4"/>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Lined - Accent 5"/>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7">
    <w:name w:val="Lined - Accent 6"/>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amp; Lined - Accent"/>
    <w:basedOn w:val="3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basedOn w:val="39"/>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0">
    <w:name w:val="Bordered &amp; Lined - Accent 2"/>
    <w:basedOn w:val="39"/>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1">
    <w:name w:val="Bordered &amp; Lined - Accent 3"/>
    <w:basedOn w:val="39"/>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2">
    <w:name w:val="Bordered &amp; Lined - Accent 4"/>
    <w:basedOn w:val="39"/>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3">
    <w:name w:val="Bordered &amp; Lined - Accent 5"/>
    <w:basedOn w:val="39"/>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4">
    <w:name w:val="Bordered &amp; Lined - Accent 6"/>
    <w:basedOn w:val="39"/>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5">
    <w:name w:val="Bordered"/>
    <w:basedOn w:val="3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basedOn w:val="3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7">
    <w:name w:val="Bordered - Accent 2"/>
    <w:basedOn w:val="3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8">
    <w:name w:val="Bordered - Accent 3"/>
    <w:basedOn w:val="3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9">
    <w:name w:val="Bordered - Accent 4"/>
    <w:basedOn w:val="3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0">
    <w:name w:val="Bordered - Accent 5"/>
    <w:basedOn w:val="3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1">
    <w:name w:val="Bordered - Accent 6"/>
    <w:basedOn w:val="3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2">
    <w:name w:val="脚注文本 Char"/>
    <w:link w:val="31"/>
    <w:qFormat/>
    <w:uiPriority w:val="99"/>
    <w:rPr>
      <w:sz w:val="18"/>
    </w:rPr>
  </w:style>
  <w:style w:type="character" w:customStyle="1" w:styleId="203">
    <w:name w:val="尾注文本 Char"/>
    <w:link w:val="25"/>
    <w:qFormat/>
    <w:uiPriority w:val="99"/>
    <w:rPr>
      <w:sz w:val="20"/>
    </w:rPr>
  </w:style>
  <w:style w:type="paragraph" w:customStyle="1" w:styleId="204">
    <w:name w:val="TOC 标题1"/>
    <w:unhideWhenUsed/>
    <w:qFormat/>
    <w:uiPriority w:val="39"/>
    <w:rPr>
      <w:rFonts w:ascii="Calibri" w:hAnsi="Calibri" w:eastAsia="宋体" w:cs="Times New Roman"/>
      <w:lang w:val="en-US" w:eastAsia="zh-CN" w:bidi="ar-SA"/>
    </w:rPr>
  </w:style>
  <w:style w:type="paragraph" w:customStyle="1" w:styleId="205">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206">
    <w:name w:val="Default"/>
    <w:qFormat/>
    <w:uiPriority w:val="99"/>
    <w:pPr>
      <w:widowControl w:val="0"/>
    </w:pPr>
    <w:rPr>
      <w:rFonts w:ascii="MS Mincho" w:hAnsi="Times New Roman" w:eastAsia="MS Mincho" w:cs="Times New Roman"/>
      <w:color w:val="000000"/>
      <w:sz w:val="24"/>
      <w:szCs w:val="24"/>
      <w:lang w:val="en-US" w:eastAsia="zh-CN" w:bidi="ar-SA"/>
    </w:rPr>
  </w:style>
  <w:style w:type="paragraph" w:customStyle="1" w:styleId="207">
    <w:name w:val="首行缩进"/>
    <w:basedOn w:val="1"/>
    <w:qFormat/>
    <w:uiPriority w:val="0"/>
    <w:pPr>
      <w:spacing w:line="360" w:lineRule="auto"/>
      <w:ind w:firstLine="480"/>
      <w:jc w:val="left"/>
    </w:pPr>
    <w:rPr>
      <w:rFonts w:ascii="宋体" w:hAnsi="宋体"/>
      <w:sz w:val="24"/>
    </w:rPr>
  </w:style>
  <w:style w:type="paragraph" w:customStyle="1" w:styleId="208">
    <w:name w:val="普通正文"/>
    <w:basedOn w:val="1"/>
    <w:qFormat/>
    <w:uiPriority w:val="0"/>
    <w:pPr>
      <w:spacing w:before="120" w:after="120" w:line="360" w:lineRule="auto"/>
      <w:ind w:firstLine="480"/>
      <w:jc w:val="left"/>
    </w:pPr>
    <w:rPr>
      <w:rFonts w:ascii="Arial" w:hAnsi="Arial"/>
      <w:sz w:val="24"/>
    </w:rPr>
  </w:style>
  <w:style w:type="paragraph" w:customStyle="1" w:styleId="209">
    <w:name w:val="正文_0"/>
    <w:qFormat/>
    <w:uiPriority w:val="0"/>
    <w:pPr>
      <w:widowControl w:val="0"/>
      <w:jc w:val="both"/>
    </w:pPr>
    <w:rPr>
      <w:rFonts w:ascii="Times New Roman" w:hAnsi="Times New Roman" w:eastAsia="宋体" w:cs="Times New Roman"/>
      <w:sz w:val="21"/>
      <w:lang w:val="en-US" w:eastAsia="zh-CN" w:bidi="ar-SA"/>
    </w:rPr>
  </w:style>
  <w:style w:type="paragraph" w:customStyle="1" w:styleId="210">
    <w:name w:val="正文文本_0"/>
    <w:basedOn w:val="209"/>
    <w:qFormat/>
    <w:uiPriority w:val="0"/>
    <w:pPr>
      <w:spacing w:after="60" w:line="360" w:lineRule="atLeast"/>
      <w:ind w:left="72" w:right="30"/>
      <w:jc w:val="center"/>
    </w:pPr>
    <w:rPr>
      <w:sz w:val="20"/>
    </w:rPr>
  </w:style>
  <w:style w:type="paragraph" w:styleId="211">
    <w:name w:val="List Paragraph"/>
    <w:basedOn w:val="1"/>
    <w:qFormat/>
    <w:uiPriority w:val="34"/>
    <w:pPr>
      <w:ind w:firstLine="420"/>
    </w:pPr>
  </w:style>
  <w:style w:type="paragraph" w:customStyle="1" w:styleId="212">
    <w:name w:val="Table Paragraph"/>
    <w:basedOn w:val="1"/>
    <w:qFormat/>
    <w:uiPriority w:val="1"/>
    <w:rPr>
      <w:rFonts w:ascii="宋体" w:hAnsi="宋体" w:eastAsia="宋体" w:cs="宋体"/>
      <w:lang w:val="zh-CN" w:bidi="zh-CN"/>
    </w:rPr>
  </w:style>
  <w:style w:type="character" w:customStyle="1" w:styleId="213">
    <w:name w:val="hover"/>
    <w:basedOn w:val="41"/>
    <w:qFormat/>
    <w:uiPriority w:val="0"/>
    <w:rPr>
      <w:color w:val="5FB878"/>
    </w:rPr>
  </w:style>
  <w:style w:type="character" w:customStyle="1" w:styleId="214">
    <w:name w:val="hover1"/>
    <w:basedOn w:val="41"/>
    <w:qFormat/>
    <w:uiPriority w:val="0"/>
    <w:rPr>
      <w:color w:val="5FB878"/>
    </w:rPr>
  </w:style>
  <w:style w:type="character" w:customStyle="1" w:styleId="215">
    <w:name w:val="hover2"/>
    <w:basedOn w:val="41"/>
    <w:qFormat/>
    <w:uiPriority w:val="0"/>
    <w:rPr>
      <w:color w:val="FFFFFF"/>
    </w:rPr>
  </w:style>
  <w:style w:type="character" w:customStyle="1" w:styleId="216">
    <w:name w:val="16"/>
    <w:qFormat/>
    <w:uiPriority w:val="0"/>
    <w:rPr>
      <w:rFonts w:hint="default" w:ascii="Times New Roman" w:hAnsi="Times New Roman" w:cs="Times New Roman"/>
    </w:rPr>
  </w:style>
  <w:style w:type="character" w:customStyle="1" w:styleId="217">
    <w:name w:val="17"/>
    <w:basedOn w:val="41"/>
    <w:qFormat/>
    <w:uiPriority w:val="0"/>
    <w:rPr>
      <w:rFonts w:hint="eastAsia" w:ascii="仿宋" w:hAnsi="仿宋" w:eastAsia="仿宋"/>
      <w:color w:val="000000"/>
      <w:sz w:val="22"/>
      <w:szCs w:val="22"/>
    </w:rPr>
  </w:style>
  <w:style w:type="character" w:customStyle="1" w:styleId="218">
    <w:name w:val="纯文本 Char"/>
    <w:basedOn w:val="41"/>
    <w:link w:val="22"/>
    <w:qFormat/>
    <w:uiPriority w:val="0"/>
    <w:rPr>
      <w:rFonts w:ascii="宋体" w:hAnsi="Courier New" w:eastAsiaTheme="minorEastAsia" w:cstheme="minorBidi"/>
      <w:sz w:val="21"/>
    </w:rPr>
  </w:style>
  <w:style w:type="paragraph" w:customStyle="1" w:styleId="219">
    <w:name w:val="列出段落2"/>
    <w:basedOn w:val="1"/>
    <w:qFormat/>
    <w:uiPriority w:val="0"/>
    <w:pPr>
      <w:ind w:firstLine="420"/>
    </w:pPr>
    <w:rPr>
      <w:rFonts w:ascii="Calibri" w:hAnsi="Calibri" w:eastAsia="宋体" w:cs="Times New Roman"/>
      <w:szCs w:val="22"/>
    </w:rPr>
  </w:style>
  <w:style w:type="character" w:customStyle="1" w:styleId="220">
    <w:name w:val="15"/>
    <w:basedOn w:val="41"/>
    <w:qFormat/>
    <w:uiPriority w:val="0"/>
    <w:rPr>
      <w:rFonts w:hint="default" w:ascii="Times New Roman" w:hAnsi="Times New Roman" w:cs="Times New Roman"/>
    </w:rPr>
  </w:style>
  <w:style w:type="character" w:customStyle="1" w:styleId="221">
    <w:name w:val="NormalCharacter"/>
    <w:qFormat/>
    <w:uiPriority w:val="0"/>
  </w:style>
  <w:style w:type="paragraph" w:customStyle="1" w:styleId="222">
    <w:name w:val="UserStyle_609"/>
    <w:qFormat/>
    <w:uiPriority w:val="0"/>
    <w:pPr>
      <w:widowControl w:val="0"/>
      <w:spacing w:before="100" w:after="100" w:line="360" w:lineRule="auto"/>
      <w:ind w:left="360" w:right="360"/>
    </w:pPr>
    <w:rPr>
      <w:rFonts w:ascii="Times New Roman" w:hAnsi="Times New Roman" w:eastAsia="宋体" w:cs="Times New Roman"/>
      <w:bCs/>
      <w:spacing w:val="2"/>
      <w:sz w:val="24"/>
      <w:lang w:val="en-US" w:eastAsia="zh-CN" w:bidi="ar-SA"/>
    </w:rPr>
  </w:style>
  <w:style w:type="paragraph" w:customStyle="1" w:styleId="223">
    <w:name w:val="PlainText"/>
    <w:qFormat/>
    <w:uiPriority w:val="0"/>
    <w:pPr>
      <w:widowControl w:val="0"/>
      <w:spacing w:line="360" w:lineRule="auto"/>
    </w:pPr>
    <w:rPr>
      <w:rFonts w:ascii="宋体" w:hAnsi="Courier New" w:eastAsia="宋体" w:cs="Times New Roman"/>
      <w:bCs/>
      <w:spacing w:val="2"/>
      <w:sz w:val="44"/>
      <w:szCs w:val="21"/>
      <w:lang w:val="en-US" w:eastAsia="zh-CN" w:bidi="ar-SA"/>
    </w:rPr>
  </w:style>
  <w:style w:type="paragraph" w:customStyle="1" w:styleId="224">
    <w:name w:val="AnnotationText"/>
    <w:qFormat/>
    <w:uiPriority w:val="0"/>
    <w:pPr>
      <w:widowControl w:val="0"/>
      <w:spacing w:line="360" w:lineRule="auto"/>
    </w:pPr>
    <w:rPr>
      <w:rFonts w:ascii="宋体" w:hAnsi="宋体" w:eastAsia="宋体" w:cs="Times New Roman"/>
      <w:bCs/>
      <w:spacing w:val="2"/>
      <w:sz w:val="44"/>
      <w:szCs w:val="44"/>
      <w:lang w:val="en-US" w:eastAsia="zh-CN" w:bidi="ar-SA"/>
    </w:rPr>
  </w:style>
  <w:style w:type="paragraph" w:customStyle="1" w:styleId="225">
    <w:name w:val="Blockquote"/>
    <w:qFormat/>
    <w:uiPriority w:val="0"/>
    <w:pPr>
      <w:widowControl w:val="0"/>
      <w:spacing w:before="100" w:after="100" w:line="360" w:lineRule="auto"/>
      <w:ind w:left="360" w:right="360"/>
    </w:pPr>
    <w:rPr>
      <w:rFonts w:ascii="宋体" w:hAnsi="宋体" w:eastAsia="宋体" w:cs="Times New Roman"/>
      <w:bCs/>
      <w:spacing w:val="2"/>
      <w:sz w:val="24"/>
      <w:lang w:val="en-US" w:eastAsia="zh-CN" w:bidi="ar-SA"/>
    </w:rPr>
  </w:style>
  <w:style w:type="paragraph" w:customStyle="1" w:styleId="226">
    <w:name w:val="Table Text"/>
    <w:semiHidden/>
    <w:qFormat/>
    <w:uiPriority w:val="0"/>
    <w:pPr>
      <w:widowControl w:val="0"/>
      <w:spacing w:line="360" w:lineRule="auto"/>
      <w:ind w:firstLine="802" w:firstLineChars="200"/>
      <w:jc w:val="both"/>
    </w:pPr>
    <w:rPr>
      <w:rFonts w:ascii="宋体" w:hAnsi="宋体" w:eastAsia="宋体" w:cs="宋体"/>
      <w:kern w:val="2"/>
      <w:sz w:val="24"/>
      <w:szCs w:val="24"/>
      <w:lang w:val="en-US" w:eastAsia="en-US" w:bidi="ar-SA"/>
    </w:rPr>
  </w:style>
  <w:style w:type="table" w:customStyle="1" w:styleId="227">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F47BE8-E4A9-4EBC-98FA-5926479D9BEF}">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113</Pages>
  <Words>3908</Words>
  <Characters>4357</Characters>
  <Lines>357</Lines>
  <Paragraphs>100</Paragraphs>
  <TotalTime>11</TotalTime>
  <ScaleCrop>false</ScaleCrop>
  <LinksUpToDate>false</LinksUpToDate>
  <CharactersWithSpaces>4516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2026-04-03T09:16:00Z</dcterms:created>
  <dc:creator>Administrator</dc:creator>
  <cp:lastModifiedBy>丁思文</cp:lastModifiedBy>
  <cp:lastPrinted>2025-11-10T09:10:00Z</cp:lastPrinted>
  <dcterms:modified xsi:type="dcterms:W3CDTF">2026-10-08T07:02:50Z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35C83C50E3E8458EABAD695A3FA047C4_13</vt:lpwstr>
  </property>
  <property fmtid="{D5CDD505-2E9C-101B-9397-08002B2CF9AE}" pid="4" name="KSOTemplateDocerSaveRecord">
    <vt:lpwstr>eyJoZGlkIjoiM2Y1MjMzZjY0MzNlZWY2MzhmODgyYmU1ZjhhODg3ZjIiLCJ1c2VySWQiOiI1NTg5NTM1NTEifQ==</vt:lpwstr>
  </property>
</Properties>
</file>