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lang w:eastAsia="zh-CN"/>
        </w:rPr>
      </w:pPr>
      <w:r>
        <w:rPr>
          <w:rFonts w:hint="eastAsia" w:ascii="宋体" w:hAnsi="宋体"/>
          <w:b/>
          <w:bCs/>
          <w:color w:val="000000"/>
          <w:sz w:val="32"/>
          <w:highlight w:val="none"/>
        </w:rPr>
        <w:t xml:space="preserve">项目名称：</w:t>
      </w:r>
      <w:r>
        <w:rPr>
          <w:rFonts w:hint="eastAsia" w:ascii="宋体" w:hAnsi="宋体" w:cs="Times New Roman"/>
          <w:b w:val="0"/>
          <w:bCs w:val="0"/>
          <w:color w:val="000000"/>
          <w:sz w:val="32"/>
          <w:highlight w:val="none"/>
        </w:rPr>
        <w:t xml:space="preserve">南通市实验中学食堂洗碗机采购项目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59</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9"/>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729"/>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w:t>
          </w:r>
          <w:r>
            <w:rPr>
              <w:rFonts w:hint="eastAsia"/>
              <w:sz w:val="36"/>
              <w:szCs w:val="32"/>
              <w:highlight w:val="none"/>
              <w:lang w:val="en-US" w:eastAsia="zh-CN"/>
            </w:rPr>
            <w:t xml:space="preserve">1</w:t>
          </w:r>
          <w:r>
            <w:rPr>
              <w:sz w:val="36"/>
              <w:szCs w:val="32"/>
              <w:highlight w:val="none"/>
            </w:rPr>
            <w:fldChar w:fldCharType="end"/>
          </w:r>
          <w:r>
            <w:rPr>
              <w:sz w:val="36"/>
              <w:szCs w:val="32"/>
              <w:highlight w:val="none"/>
              <w:lang w:eastAsia="zh-CN"/>
            </w:rPr>
            <w:fldChar w:fldCharType="end"/>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45"/>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南通市实验中学食堂洗碗机采购项目的潜在供应商应在江苏政府采购网获取采购文件，并于2026年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月30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159</w:t>
      </w:r>
      <w:r/>
    </w:p>
    <w:p>
      <w:pPr>
        <w:pStyle w:val="745"/>
        <w:ind w:firstLine="560"/>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2.项目名称：南通市实验中学食堂洗碗机采购项目</w:t>
      </w:r>
      <w:r/>
    </w:p>
    <w:p>
      <w:pPr>
        <w:pStyle w:val="745"/>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7</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0"/>
          <w:highlight w:val="none"/>
          <w:lang w:val="en-US" w:eastAsia="zh-CN" w:bidi="ar-SA"/>
        </w:rPr>
        <w:t xml:space="preserve">全自动长龙式洗碗机（含全自动分配器）（详见第四章）</w:t>
      </w:r>
      <w:r>
        <w:rPr>
          <w:rFonts w:hint="eastAsia" w:ascii="仿宋" w:hAnsi="仿宋" w:eastAsia="仿宋" w:cs="仿宋"/>
          <w:sz w:val="28"/>
          <w:szCs w:val="28"/>
          <w:highlight w:val="none"/>
        </w:rPr>
        <w:t xml:space="preserve">。</w:t>
      </w:r>
      <w:r/>
    </w:p>
    <w:p>
      <w:pPr>
        <w:ind w:firstLine="560"/>
        <w:rPr>
          <w:rFonts w:hint="eastAsia" w:ascii="仿宋" w:hAnsi="仿宋" w:eastAsia="仿宋" w:cs="仿宋"/>
          <w:sz w:val="28"/>
          <w:szCs w:val="20"/>
          <w:highlight w:val="none"/>
          <w:lang w:val="en-US" w:eastAsia="zh-CN" w:bidi="ar-SA"/>
        </w:rPr>
      </w:pPr>
      <w:r>
        <w:rPr>
          <w:rFonts w:hint="eastAsia" w:ascii="仿宋" w:hAnsi="仿宋" w:eastAsia="仿宋" w:cs="仿宋"/>
          <w:sz w:val="28"/>
          <w:szCs w:val="28"/>
          <w:highlight w:val="none"/>
        </w:rPr>
        <w:t xml:space="preserve">6.</w:t>
      </w:r>
      <w:r>
        <w:rPr>
          <w:rFonts w:hint="eastAsia" w:ascii="仿宋" w:hAnsi="仿宋" w:eastAsia="仿宋" w:cs="仿宋"/>
          <w:sz w:val="28"/>
          <w:szCs w:val="20"/>
          <w:highlight w:val="none"/>
          <w:lang w:val="en-US" w:eastAsia="zh-CN" w:bidi="ar-SA"/>
        </w:rPr>
        <w:t xml:space="preserve">合同履行期限：自合同签订后十个工作日内完成供货、安装、调试，具备验收条件。</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月30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南通市实验中学</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南通市环城东路153号</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刘老师</w:t>
      </w:r>
      <w:r/>
    </w:p>
    <w:p>
      <w:pPr>
        <w:spacing w:line="48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联系方式：</w:t>
      </w:r>
      <w:bookmarkStart w:id="14" w:name="_GoBack"/>
      <w:r/>
      <w:bookmarkEnd w:id="14"/>
      <w:r>
        <w:rPr>
          <w:rFonts w:hint="eastAsia" w:ascii="仿宋" w:hAnsi="仿宋" w:eastAsia="仿宋" w:cs="仿宋"/>
          <w:sz w:val="28"/>
          <w:szCs w:val="28"/>
          <w:highlight w:val="none"/>
          <w:lang w:val="en-US" w:eastAsia="zh-CN"/>
        </w:rPr>
        <w:t xml:space="preserve">15152878362</w:t>
      </w:r>
      <w:r>
        <w:rPr>
          <w:rFonts w:hint="eastAsia" w:ascii="仿宋" w:hAnsi="仿宋" w:eastAsia="仿宋" w:cs="仿宋"/>
          <w:sz w:val="28"/>
          <w:szCs w:val="28"/>
          <w:highlight w:val="none"/>
          <w:lang w:val="en-US" w:eastAsia="zh-CN"/>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45"/>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396"/>
        <w:gridCol w:w="646"/>
        <w:gridCol w:w="808"/>
        <w:gridCol w:w="5783"/>
      </w:tblGrid>
      <w:tr>
        <w:trPr/>
        <w:tc>
          <w:tcPr>
            <w:shd w:val="clear" w:color="auto" w:fill="d9d9d9"/>
            <w:tcW w:w="772"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序号</w:t>
            </w:r>
            <w:r/>
          </w:p>
        </w:tc>
        <w:tc>
          <w:tcPr>
            <w:shd w:val="clear" w:color="auto" w:fill="d9d9d9"/>
            <w:tcW w:w="139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产品名称</w:t>
            </w:r>
            <w:r/>
          </w:p>
        </w:tc>
        <w:tc>
          <w:tcPr>
            <w:shd w:val="clear" w:color="auto" w:fill="d9d9d9"/>
            <w:tcW w:w="64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数量</w:t>
            </w:r>
            <w:r/>
          </w:p>
        </w:tc>
        <w:tc>
          <w:tcPr>
            <w:shd w:val="clear" w:color="auto" w:fill="d9d9d9"/>
            <w:tcW w:w="80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单位</w:t>
            </w:r>
            <w:r/>
          </w:p>
        </w:tc>
        <w:tc>
          <w:tcPr>
            <w:shd w:val="clear" w:color="auto" w:fill="d9d9d9"/>
            <w:tcW w:w="5783"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b/>
                <w:sz w:val="21"/>
              </w:rPr>
              <w:t xml:space="preserve">备注</w:t>
            </w:r>
            <w:r/>
          </w:p>
        </w:tc>
      </w:tr>
      <w:tr>
        <w:trPr/>
        <w:tc>
          <w:tcPr>
            <w:tcW w:w="772"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1</w:t>
            </w:r>
            <w:r/>
          </w:p>
        </w:tc>
        <w:tc>
          <w:tcPr>
            <w:tcW w:w="1396" w:type="dxa"/>
            <w:vAlign w:val="center"/>
            <w:textDirection w:val="lrTb"/>
            <w:noWrap w:val="false"/>
          </w:tcPr>
          <w:p>
            <w:pPr>
              <w:ind w:firstLine="0"/>
              <w:spacing w:after="0" w:line="240" w:lineRule="auto"/>
              <w:rPr>
                <w:rFonts w:hint="eastAsia" w:ascii="宋体" w:hAnsi="宋体" w:eastAsia="宋体" w:cs="宋体"/>
              </w:rPr>
            </w:pPr>
            <w:r>
              <w:rPr>
                <w:rFonts w:hint="eastAsia" w:ascii="宋体" w:hAnsi="宋体" w:eastAsia="宋体" w:cs="宋体"/>
                <w:sz w:val="21"/>
              </w:rPr>
              <w:t xml:space="preserve">全自动长龙式洗碗机（含全自动分配器）</w:t>
            </w:r>
            <w:r/>
          </w:p>
        </w:tc>
        <w:tc>
          <w:tcPr>
            <w:tcW w:w="646"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1</w:t>
            </w:r>
            <w:r/>
          </w:p>
        </w:tc>
        <w:tc>
          <w:tcPr>
            <w:tcW w:w="80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z w:val="21"/>
              </w:rPr>
              <w:t xml:space="preserve">台</w:t>
            </w:r>
            <w:r/>
          </w:p>
        </w:tc>
        <w:tc>
          <w:tcPr>
            <w:tcW w:w="5783" w:type="dxa"/>
            <w:vAlign w:val="center"/>
            <w:textDirection w:val="lrTb"/>
            <w:noWrap w:val="false"/>
          </w:tcPr>
          <w:p>
            <w:pPr>
              <w:ind w:firstLine="0"/>
              <w:spacing w:after="0" w:line="240" w:lineRule="auto"/>
              <w:rPr>
                <w:rFonts w:hint="eastAsia" w:ascii="宋体" w:hAnsi="宋体" w:eastAsia="宋体" w:cs="宋体"/>
                <w:lang w:eastAsia="zh-CN"/>
              </w:rPr>
            </w:pPr>
            <w:r>
              <w:rPr>
                <w:rFonts w:hint="eastAsia" w:ascii="宋体" w:hAnsi="宋体" w:eastAsia="宋体" w:cs="宋体"/>
                <w:sz w:val="21"/>
              </w:rPr>
              <w:t xml:space="preserve">全套成品，含洗碗机主机、喷淋系统、传送系统、控制系统、配套辅件；含供货、运输、接管、安装、调试、验收全包服务</w:t>
            </w:r>
            <w:r>
              <w:rPr>
                <w:rFonts w:hint="eastAsia" w:ascii="宋体" w:hAnsi="宋体" w:cs="宋体"/>
                <w:sz w:val="21"/>
                <w:lang w:eastAsia="zh-CN"/>
              </w:rPr>
              <w:t xml:space="preserve">。</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本项目核心产品：全自动长龙式洗碗机（含全自动分配器）</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45"/>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本项目采购学校食堂专用通道式商用洗碗机，设备需满足4000碟/小时（8寸碟）洗涤能力，全套设备包含主机、喷淋系统、传送系统、控制系统及全部配套辅件。成交供应商完成供货、运输、安装、接管、调试、检测、验收交付全部全包服务，设备满足中小学校食堂规范要求，洗涤后实现高温消毒、烘干灭菌，碗盘洗涤完毕可直接投入使用，无需等待晾干。报价包含所有辅材、检测、培训、税费等全部费用，采购人不再另行支付其他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产品金属材料必须符合GB 4806.9-2016《食品安全国家标准 食品接触用金属材料及制品》；</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设备拔齿塑料部件符合GB 4806.7-2023《食品安全国家标准 食品接触用塑料材料及制品》；</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符合HACCP食品卫生安全相关要求；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有国家标准按国家标准执行；无国家标准执行行业标准；无国家、行业标准执行企业标准；采购文件有特殊要求的，以采购文件要求为准，同时符合现行法律法规要求；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5. 供应商保证所供产品不得侵犯第三方专利权、商标权、版权等知识产权，否则承担全部法律责任。</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整机参数：设备类型为通道式商用洗碗机，整机采用SUS304食品级不锈钢，板材厚度≥1.2mm；整机尺寸4200×855×1900（±10）mm；最大洗涤履带速度≥1.5米/分钟（4000碟/小时，8寸碟）；机器总功率≤55.5KW；进出料方向：右进左出。</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入口区：入口长度≥900mm，入口宽度≥612mm；入口高度≥420mm；配置风罩；进口端侧护板可拆卸；入口配备餐具感应传感器。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主洗区：清洗泵功率≥3.5kW，水缸容量≥100L；清洗温度55-70℃，加热功率≤30kW；洗臂为不锈钢金属材质，上4根/组、下4根/组，抽屉式安装，耐油碱腐蚀、耐高温、不易变形老化。</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双喷淋区：配置预喷淋臂，喷淋臂不锈钢材质；进水温度10℃条件下实测喷淋温度≥82℃；耗水量约350L，加热功率≤30kW；双道喷淋节能系统；设备内置烘干功能，配置风扇除湿结构+热风循环系统，实现高温消毒烘干灭菌。验收阶段由采购人随机抽样，中标单位送检，检测项目包含阴离子合成洗涤剂、大肠菌群、沙门氏菌等，检测全部费用由中标单位承担。</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5. 出口区：出口长度≥1200mm，出口工作面高度≤860mm；出口区四周围边可拆，符合HACCP卫生要求；喷淋臂、洗臂均为不锈钢金属材质。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6. 传送系统：传送拔齿采用食品级高强度工程塑料尼龙材质；清洗、喷淋模块完全密封防水，具备防鼠线路防护。</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7. 控制系统：支持手动/自动双模式切换；具备自动启动、延时功能；电子温度显示；升温箱分级加热控制，双温度探头监测减少温度波动。</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8. 药液分配系统：配套1套全自动药液分配器，适配洗涤剂、催干剂；配套洗涤剂20L/桶（±10）、催干剂20L/桶（±10）；洗碗机专用洗涤剂为碱性浓缩型，保质期2年；催干剂为表面活性剂复配浓缩高效型。</w:t>
      </w:r>
      <w:r/>
    </w:p>
    <w:p>
      <w:pPr>
        <w:ind w:firstLine="0"/>
        <w:keepLines w:val="0"/>
        <w:keepNext w:val="0"/>
        <w:pageBreakBefore w:val="0"/>
        <w:spacing w:after="62" w:line="440" w:lineRule="exact"/>
        <w:widowControl w:val="off"/>
        <w:rPr>
          <w:rFonts w:hint="eastAsia" w:ascii="Times New Roman" w:hAnsi="Times New Roman" w:eastAsia="仿宋" w:cs="Times New Roman"/>
          <w:b/>
          <w:bCs/>
          <w:sz w:val="24"/>
          <w:szCs w:val="24"/>
          <w:highlight w:val="none"/>
        </w:rPr>
      </w:pPr>
      <w:r>
        <w:rPr>
          <w:rFonts w:hint="eastAsia" w:ascii="Times New Roman" w:hAnsi="Times New Roman" w:eastAsia="仿宋" w:cs="Times New Roman"/>
          <w:sz w:val="24"/>
          <w:szCs w:val="24"/>
          <w:highlight w:val="none"/>
        </w:rPr>
        <w:t xml:space="preserve">     9. </w:t>
      </w:r>
      <w:r>
        <w:rPr>
          <w:rFonts w:hint="eastAsia" w:ascii="Times New Roman" w:hAnsi="Times New Roman" w:eastAsia="仿宋" w:cs="Times New Roman"/>
          <w:b/>
          <w:bCs/>
          <w:sz w:val="24"/>
          <w:szCs w:val="24"/>
          <w:highlight w:val="none"/>
        </w:rPr>
        <w:t xml:space="preserve">验收时提供洗碗机整机材料符合GB 4806.9-2016的检测报告；提供拔齿部件符合GB 4806.7-2023的检测报告。</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10. 焊接工艺：不锈钢焊接拼缝无明显缝隙、无虚焊，氩弧焊焊接，表面打磨抛光处理。</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11. 产品必须原厂整机生产，现场仅做安装，不允许施工现场制作设备本体。</w:t>
      </w:r>
      <w:r/>
    </w:p>
    <w:p>
      <w:pPr>
        <w:numPr>
          <w:ilvl w:val="0"/>
          <w:numId w:val="0"/>
        </w:numPr>
        <w:spacing w:line="5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rPr>
        <w:t xml:space="preserve">）采购标的需满足的服务要求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成交供应商提供产品说明书、质量保证书、保修卡、合格证等全套技术资料及附件；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免费提供设备操作培训，采购人操作人员经简单培训即可上岗；</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免费提供设备组装、一般维修所需专用工具；</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4.安装调试、垃圾现场清理全部由成交供应商负责；施工过程中造成场地、管线、其他设备损坏，由成交单位修复并承担全部费用；安装人员人身安全责任全部由成交供应商承担。</w:t>
      </w:r>
      <w:r/>
    </w:p>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w:t>
      </w:r>
      <w:r>
        <w:rPr>
          <w:rFonts w:hint="eastAsia" w:ascii="Times New Roman" w:hAnsi="Times New Roman" w:eastAsia="仿宋" w:cs="Times New Roman"/>
          <w:sz w:val="24"/>
          <w:szCs w:val="24"/>
          <w:highlight w:val="none"/>
        </w:rPr>
        <w:t xml:space="preserve">实施时间：自合同签订后十个工作日内完成供货、安装、调试，具备验收条件。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（2）</w:t>
      </w:r>
      <w:r>
        <w:rPr>
          <w:rFonts w:hint="eastAsia" w:ascii="Times New Roman" w:hAnsi="Times New Roman" w:eastAsia="仿宋" w:cs="Times New Roman"/>
          <w:sz w:val="24"/>
          <w:szCs w:val="24"/>
          <w:highlight w:val="none"/>
        </w:rPr>
        <w:t xml:space="preserve">交付地点：南通市实验中学食堂洗消间。</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eastAsia="zh-CN"/>
        </w:rPr>
        <w:t xml:space="preserve">（</w:t>
      </w:r>
      <w:r>
        <w:rPr>
          <w:rFonts w:hint="eastAsia" w:ascii="Times New Roman" w:hAnsi="Times New Roman" w:eastAsia="仿宋" w:cs="Times New Roman"/>
          <w:sz w:val="24"/>
          <w:szCs w:val="24"/>
          <w:highlight w:val="none"/>
          <w:lang w:val="en-US" w:eastAsia="zh-CN"/>
        </w:rPr>
        <w:t xml:space="preserve">3</w:t>
      </w:r>
      <w:r>
        <w:rPr>
          <w:rFonts w:hint="eastAsia" w:ascii="Times New Roman" w:hAnsi="Times New Roman" w:eastAsia="仿宋" w:cs="Times New Roman"/>
          <w:sz w:val="24"/>
          <w:szCs w:val="24"/>
          <w:highlight w:val="none"/>
          <w:lang w:eastAsia="zh-CN"/>
        </w:rPr>
        <w:t xml:space="preserve">）</w:t>
      </w:r>
      <w:r>
        <w:rPr>
          <w:rFonts w:hint="eastAsia" w:ascii="Times New Roman" w:hAnsi="Times New Roman" w:eastAsia="仿宋" w:cs="Times New Roman"/>
          <w:sz w:val="24"/>
          <w:szCs w:val="24"/>
          <w:highlight w:val="none"/>
        </w:rPr>
        <w:t xml:space="preserve">供应商可自行现场踏勘，充分了解现场条件，因忽视现场条件造成的工期延误、额外费用，采购人不予认可，相关费用由供应商自行承担。</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免费保修期：自项目验收合格之日起2年。保修期内，非人为因素造成设备故障，免费维修、免费更换零部件。</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故障响应：接到采购人故障报修通知后1小时响应，48小时内维修完毕。</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质保期满后，提供终身上门维修服务，仅收取零部件成本费。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4. 保修期内承担设备全面保养维护，保障设备连续稳定正常运行。</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供应商完成全部安装调试后，提交书面验收申请；采购人收到申请后5个工作日内组织验收，必要时可邀请质检相关部门共同参与，出具验收报告，验收报告作为付款依据。</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验收依据：本采购文件技术参数、国家/行业现行标准、检测报告、供应商响应文件承诺、合同约定条款。</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3. 如验收不合格，成交供应商必须无条件整改直至验收合格，由此产生全部费用自行承担。</w:t>
      </w:r>
      <w:r/>
    </w:p>
    <w:p>
      <w:pPr>
        <w:keepLines w:val="0"/>
        <w:keepNext w:val="0"/>
        <w:pageBreakBefore w:val="0"/>
        <w:spacing w:line="480" w:lineRule="exact"/>
        <w:widowControl w:val="off"/>
        <w:rPr>
          <w:rFonts w:hint="eastAsia"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hint="eastAsia" w:ascii="Times New Roman" w:hAnsi="Times New Roman" w:eastAsia="仿宋" w:cs="Times New Roman"/>
          <w:b/>
          <w:sz w:val="28"/>
          <w:szCs w:val="28"/>
          <w:highlight w:val="none"/>
        </w:rPr>
        <w:t xml:space="preserve">报价包含范围</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供应商报价包含货物供货、备品备件、运输、保险、装卸、仓储、安装接管、调试、检测送检、技术培训、技术资料、全部税费、专利、质保、售后服务、垃圾清理等本项目全部相关费用，采购人不再支付任何其他费用。</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宋体" w:hAnsi="宋体" w:cs="宋体"/>
          <w:b/>
          <w:color w:val="000000"/>
          <w:sz w:val="28"/>
          <w:lang w:val="en-US" w:eastAsia="zh-CN"/>
        </w:rPr>
        <w:t xml:space="preserve">5.</w:t>
      </w:r>
      <w:r>
        <w:rPr>
          <w:rFonts w:ascii="Times New Roman" w:hAnsi="Times New Roman" w:eastAsia="仿宋" w:cs="Times New Roman"/>
          <w:b/>
          <w:sz w:val="28"/>
          <w:szCs w:val="28"/>
          <w:highlight w:val="none"/>
        </w:rPr>
        <w:t xml:space="preserve">付款方式</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1. 成交人完成全部供货安装调试，经采购人验收合格后10个工作日内一次性支付全部合同款项。</w:t>
      </w:r>
      <w:r/>
    </w:p>
    <w:p>
      <w:pPr>
        <w:ind w:firstLine="561"/>
        <w:keepLines w:val="0"/>
        <w:keepNext w:val="0"/>
        <w:pageBreakBefore w:val="0"/>
        <w:spacing w:after="62" w:line="440" w:lineRule="exact"/>
        <w:widowControl w:val="off"/>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rPr>
        <w:t xml:space="preserve">2. 成交供应商收款前须向采购人开具合法有效发票；最终付款条款以双方正式签订采购合同为准。</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7.</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本项目技术部分不接受负偏离。</w:t>
      </w: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1.1 验收阶段必须提供洗碗机整机材料GB 4806.9-2016检测报告、拔齿部件GB 4806.7-2023检测报告；供应商须在响应文件中作出书面承诺，承诺验收时如实提交上述两份检测报告，加盖公章。</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1.2 项目验收抽样检测（阴离子合成洗涤剂、大肠菌群、沙门氏菌等）的全部检测费用由中标单位承担，供应商须提供加盖公章书面承诺。</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2.1 供货安装工期：</w:t>
      </w:r>
      <w:r>
        <w:rPr>
          <w:rFonts w:hint="eastAsia" w:ascii="仿宋" w:hAnsi="仿宋" w:eastAsia="仿宋" w:cs="Times New Roman"/>
          <w:b/>
          <w:bCs/>
          <w:color w:val="000000"/>
          <w:sz w:val="24"/>
          <w:szCs w:val="24"/>
          <w:highlight w:val="none"/>
          <w:u w:val="single"/>
          <w:lang w:val="en-US" w:eastAsia="zh-CN"/>
        </w:rPr>
        <w:t xml:space="preserve">自合同签订后十个工作日</w:t>
      </w:r>
      <w:r>
        <w:rPr>
          <w:rFonts w:hint="eastAsia" w:ascii="仿宋" w:hAnsi="仿宋" w:eastAsia="仿宋" w:cs="Times New Roman"/>
          <w:color w:val="000000"/>
          <w:sz w:val="24"/>
          <w:szCs w:val="24"/>
          <w:highlight w:val="none"/>
          <w:u w:val="single"/>
          <w:lang w:val="en-US" w:eastAsia="zh-CN"/>
        </w:rPr>
        <w:t xml:space="preserve">内完成全部供货、安装、调试。供应商须提供加盖公章书面承诺函，明确工期、供货组织、人员配置、应急保障措施。逾期完不成视为违约。</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2.2 质保期不少于验收合格之日起2年；故障报修1小时响应，48小时内维修完毕，须加盖公章书面承诺，不接受负偏离。</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2.3 本项目报价为全包价，包含检测费、运输、安装、辅材、培训、售后、垃圾清运等全部费用，采购人不再支付其他任何费用，提供加盖公章承诺。</w:t>
      </w:r>
      <w:r/>
    </w:p>
    <w:p>
      <w:pPr>
        <w:jc w:val="left"/>
        <w:keepLines w:val="0"/>
        <w:keepNext w:val="0"/>
        <w:pageBreakBefore w:val="0"/>
        <w:spacing w:line="480" w:lineRule="exact"/>
        <w:widowControl w:val="off"/>
        <w:rPr>
          <w:rFonts w:hint="eastAsia" w:ascii="仿宋" w:hAnsi="仿宋" w:eastAsia="仿宋" w:cs="Times New Roman"/>
          <w:color w:val="000000"/>
          <w:sz w:val="24"/>
          <w:szCs w:val="24"/>
          <w:highlight w:val="none"/>
          <w:u w:val="single"/>
          <w:lang w:val="en-US" w:eastAsia="zh-CN"/>
        </w:rPr>
      </w:pPr>
      <w:r>
        <w:rPr>
          <w:rFonts w:hint="eastAsia" w:ascii="仿宋" w:hAnsi="仿宋" w:eastAsia="仿宋" w:cs="Times New Roman"/>
          <w:color w:val="000000"/>
          <w:sz w:val="24"/>
          <w:szCs w:val="24"/>
          <w:highlight w:val="none"/>
          <w:u w:val="single"/>
          <w:lang w:val="en-US" w:eastAsia="zh-CN"/>
        </w:rPr>
        <w:t xml:space="preserve">2.4 设备必须原厂整机生产，不允许施工现场制作设备本体，供应商书面加盖公章承诺。</w:t>
      </w:r>
      <w:r/>
    </w:p>
    <w:p>
      <w:pPr>
        <w:ind w:left="1" w:firstLine="558"/>
        <w:jc w:val="both"/>
        <w:spacing w:before="42" w:line="292" w:lineRule="auto"/>
        <w:rPr>
          <w:rFonts w:ascii="宋体" w:hAnsi="宋体" w:eastAsia="宋体" w:cs="宋体"/>
          <w:spacing w:val="-1"/>
          <w:sz w:val="28"/>
          <w:szCs w:val="28"/>
        </w:rPr>
      </w:pPr>
      <w:r>
        <w:rPr>
          <w:rFonts w:ascii="宋体" w:hAnsi="宋体" w:eastAsia="宋体" w:cs="宋体"/>
          <w:spacing w:val="-1"/>
          <w:sz w:val="28"/>
          <w:szCs w:val="28"/>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45"/>
        <w:ind w:firstLine="0"/>
        <w:jc w:val="center"/>
        <w:rPr>
          <w:rFonts w:hint="eastAsia" w:ascii="黑体" w:hAnsi="黑体" w:eastAsia="黑体" w:cs="黑体"/>
          <w:color w:val="000000"/>
          <w:sz w:val="44"/>
          <w:szCs w:val="44"/>
          <w:highlight w:val="none"/>
        </w:rPr>
        <w:outlineLvl w:val="0"/>
      </w:pPr>
      <w:r>
        <w:rPr>
          <w:highlight w:val="none"/>
        </w:rPr>
      </w:r>
      <w:r>
        <w:rPr>
          <w:highlight w:val="none"/>
        </w:rPr>
      </w:r>
    </w:p>
    <w:p>
      <w:pPr>
        <w:pStyle w:val="745"/>
        <w:ind w:firstLine="0"/>
        <w:jc w:val="center"/>
        <w:rPr>
          <w:highlight w:val="none"/>
        </w:rPr>
        <w:outlineLvl w:val="0"/>
      </w:pPr>
      <w:r>
        <w:rPr>
          <w:highlight w:val="none"/>
        </w:rPr>
      </w:r>
      <w:r>
        <w:rPr>
          <w:highlight w:val="none"/>
        </w:rPr>
      </w:r>
    </w:p>
    <w:p>
      <w:pPr>
        <w:pStyle w:val="745"/>
        <w:ind w:firstLine="0"/>
        <w:jc w:val="center"/>
        <w:rPr>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0"/>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5"/>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5"/>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企业名称（加盖CA电子公章）：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6"/>
    <w:next w:val="721"/>
    <w:uiPriority w:val="99"/>
    <w:qFormat/>
    <w:rPr>
      <w:rFonts w:ascii="楷体_GB2312" w:hAnsi="Arial" w:eastAsia="楷体_GB2312"/>
      <w:sz w:val="28"/>
      <w:szCs w:val="28"/>
    </w:rPr>
  </w:style>
  <w:style w:type="paragraph" w:styleId="721"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2">
    <w:name w:val="Body Text Indent"/>
    <w:basedOn w:val="706"/>
    <w:next w:val="706"/>
    <w:uiPriority w:val="0"/>
    <w:qFormat/>
    <w:pPr>
      <w:ind w:firstLine="403"/>
      <w:spacing w:line="440" w:lineRule="exact"/>
    </w:pPr>
    <w:rPr>
      <w:rFonts w:ascii="宋体" w:hAnsi="宋体"/>
      <w:sz w:val="20"/>
      <w:szCs w:val="21"/>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3"/>
    <w:uiPriority w:val="99"/>
    <w:semiHidden/>
    <w:unhideWhenUsed/>
    <w:qFormat/>
    <w:pPr>
      <w:spacing w:after="0" w:line="240" w:lineRule="auto"/>
    </w:pPr>
    <w:rPr>
      <w:sz w:val="20"/>
    </w:rPr>
  </w:style>
  <w:style w:type="paragraph" w:styleId="727">
    <w:name w:val="Footer"/>
    <w:basedOn w:val="706"/>
    <w:link w:val="766"/>
    <w:uiPriority w:val="99"/>
    <w:unhideWhenUsed/>
    <w:qFormat/>
    <w:pPr>
      <w:spacing w:after="0" w:line="240" w:lineRule="auto"/>
      <w:tabs>
        <w:tab w:val="center" w:pos="7143" w:leader="none"/>
        <w:tab w:val="right" w:pos="14287" w:leader="none"/>
      </w:tabs>
    </w:pPr>
  </w:style>
  <w:style w:type="paragraph" w:styleId="728">
    <w:name w:val="Header"/>
    <w:basedOn w:val="706"/>
    <w:link w:val="764"/>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59"/>
    <w:uiPriority w:val="11"/>
    <w:qFormat/>
    <w:pPr>
      <w:spacing w:before="200" w:after="200"/>
    </w:pPr>
    <w:rPr>
      <w:sz w:val="24"/>
      <w:szCs w:val="24"/>
    </w:rPr>
  </w:style>
  <w:style w:type="paragraph" w:styleId="732">
    <w:name w:val="footnote text"/>
    <w:basedOn w:val="706"/>
    <w:link w:val="892"/>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0"/>
    <w:qFormat/>
    <w:pPr>
      <w:jc w:val="left"/>
      <w:spacing w:beforeAutospacing="1" w:afterAutospacing="1"/>
    </w:pPr>
    <w:rPr>
      <w:sz w:val="24"/>
    </w:rPr>
  </w:style>
  <w:style w:type="paragraph" w:styleId="738">
    <w:name w:val="Title"/>
    <w:basedOn w:val="706"/>
    <w:next w:val="706"/>
    <w:link w:val="758"/>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rPr>
      <w:b/>
    </w:rPr>
  </w:style>
  <w:style w:type="character" w:styleId="741">
    <w:name w:val="endnote reference"/>
    <w:uiPriority w:val="99"/>
    <w:semiHidden/>
    <w:unhideWhenUsed/>
    <w:qFormat/>
    <w:rPr>
      <w:vertAlign w:val="superscript"/>
    </w:rPr>
  </w:style>
  <w:style w:type="character" w:styleId="742">
    <w:name w:val="Emphasis"/>
    <w:uiPriority w:val="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正文首行缩进 21"/>
    <w:basedOn w:val="746"/>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
    <w:basedOn w:val="706"/>
    <w:next w:val="745"/>
    <w:uiPriority w:val="0"/>
    <w:unhideWhenUsed/>
    <w:qFormat/>
    <w:pPr>
      <w:ind w:left="420"/>
      <w:spacing w:after="120"/>
    </w:p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38"/>
    <w:uiPriority w:val="10"/>
    <w:qFormat/>
    <w:rPr>
      <w:sz w:val="48"/>
      <w:szCs w:val="48"/>
    </w:rPr>
  </w:style>
  <w:style w:type="character" w:styleId="759" w:customStyle="1">
    <w:name w:val="Subtitle Char"/>
    <w:link w:val="731"/>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28"/>
    <w:uiPriority w:val="99"/>
    <w:qFormat/>
  </w:style>
  <w:style w:type="character" w:styleId="765" w:customStyle="1">
    <w:name w:val="Footer Char"/>
    <w:link w:val="727"/>
    <w:uiPriority w:val="99"/>
    <w:qFormat/>
  </w:style>
  <w:style w:type="character" w:styleId="766" w:customStyle="1">
    <w:name w:val="Caption Char"/>
    <w:link w:val="727"/>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2"/>
    <w:uiPriority w:val="99"/>
    <w:qFormat/>
    <w:rPr>
      <w:sz w:val="18"/>
    </w:rPr>
  </w:style>
  <w:style w:type="character" w:styleId="893" w:customStyle="1">
    <w:name w:val="Endnote Text Char"/>
    <w:link w:val="726"/>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80588F7-A239-45A3-99B7-CC589A0114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2026-10-26T07:37:54Z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BEB6BC1C6B9640D3BCC39B8D47BF38FE_13</vt:lpwstr>
  </property>
  <property fmtid="{D5CDD505-2E9C-101B-9397-08002B2CF9AE}" pid="4" name="KSOTemplateDocerSaveRecord">
    <vt:lpwstr>eyJoZGlkIjoiMGRkNTk5ZjA5YWZiMjQ4N2FjZjQ2MmExYTFlODRiZjYiLCJ1c2VySWQiOiIxNjU1OTQ5OTkwIn0=</vt:lpwstr>
  </property>
</Properties>
</file>