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line="360" w:lineRule="auto"/>
        <w:rPr>
          <w:rFonts w:hint="eastAsia" w:ascii="宋体" w:hAnsi="宋体"/>
          <w:b/>
          <w:bCs/>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mc:AlternateContent>
          <mc:Choice Requires="wpg">
            <w:drawing>
              <wp:inline xmlns:wp="http://schemas.openxmlformats.org/drawingml/2006/wordprocessingDrawing" distT="0" distB="0" distL="0" distR="0">
                <wp:extent cx="1950720" cy="13455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950720" cy="1345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6pt;height:105.9pt;mso-wrap-distance-left:0.0pt;mso-wrap-distance-top:0.0pt;mso-wrap-distance-right:0.0pt;mso-wrap-distance-bottom:0.0pt;" stroked="f">
                <v:path textboxrect="0,0,0,0"/>
                <v:imagedata r:id="rId13" o:title=""/>
              </v:shape>
            </w:pict>
          </mc:Fallback>
        </mc:AlternateContent>
      </w:r>
      <w:r/>
    </w:p>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ascii="宋体" w:hAnsi="宋体"/>
          <w:b/>
          <w:bCs/>
          <w:color w:val="000000" w:themeColor="text1"/>
          <w:sz w:val="52"/>
          <w:szCs w:val="52"/>
          <w:highlight w:val="none"/>
          <w14:textFill>
            <w14:solidFill>
              <w14:schemeClr w14:val="tx1"/>
            </w14:solidFill>
          </w14:textFill>
        </w:rPr>
      </w:r>
      <w:r/>
    </w:p>
    <w:p>
      <w:pPr>
        <w:jc w:val="center"/>
        <w:spacing w:line="360" w:lineRule="auto"/>
        <w:rPr>
          <w:rFonts w:ascii="宋体" w:hAnsi="宋体"/>
          <w:b/>
          <w:bCs/>
          <w:color w:val="000000" w:themeColor="text1"/>
          <w:sz w:val="52"/>
          <w:szCs w:val="52"/>
          <w:highlight w:val="none"/>
          <w14:textFill>
            <w14:solidFill>
              <w14:schemeClr w14:val="tx1"/>
            </w14:solidFill>
          </w14:textFill>
        </w:rPr>
      </w:pPr>
      <w:r>
        <w:rPr>
          <w:rFonts w:hint="eastAsia" w:ascii="宋体" w:hAnsi="宋体"/>
          <w:b/>
          <w:bCs/>
          <w:color w:val="000000" w:themeColor="text1"/>
          <w:sz w:val="52"/>
          <w:szCs w:val="52"/>
          <w:highlight w:val="none"/>
          <w14:textFill>
            <w14:solidFill>
              <w14:schemeClr w14:val="tx1"/>
            </w14:solidFill>
          </w14:textFill>
        </w:rPr>
        <w:t xml:space="preserve">昆山市政府采购</w:t>
      </w:r>
      <w:r/>
    </w:p>
    <w:p>
      <w:pPr>
        <w:jc w:val="center"/>
        <w:spacing w:line="360" w:lineRule="auto"/>
        <w:rPr>
          <w:rFonts w:ascii="宋体" w:hAnsi="宋体"/>
          <w:b/>
          <w:bCs/>
          <w:color w:val="000000" w:themeColor="text1"/>
          <w:sz w:val="52"/>
          <w:szCs w:val="52"/>
          <w:highlight w:val="none"/>
          <w14:textFill>
            <w14:solidFill>
              <w14:schemeClr w14:val="tx1"/>
            </w14:solidFill>
          </w14:textFill>
        </w:rPr>
      </w:pPr>
      <w:r>
        <w:rPr>
          <w:rFonts w:hint="eastAsia" w:ascii="宋体" w:hAnsi="宋体"/>
          <w:b/>
          <w:bCs/>
          <w:color w:val="000000" w:themeColor="text1"/>
          <w:sz w:val="52"/>
          <w:szCs w:val="52"/>
          <w:highlight w:val="none"/>
          <w14:textFill>
            <w14:solidFill>
              <w14:schemeClr w14:val="tx1"/>
            </w14:solidFill>
          </w14:textFill>
        </w:rPr>
        <w:t xml:space="preserve">单一来源采购文件</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JSZC-320583-SZYE-D2026-0036</w:t>
      </w:r>
      <w:r/>
    </w:p>
    <w:p>
      <w:pPr>
        <w:ind w:left="1898" w:firstLine="0"/>
        <w:jc w:val="both"/>
        <w:keepLines w:val="0"/>
        <w:keepNext w:val="0"/>
        <w:pageBreakBefore w:val="0"/>
        <w:spacing w:line="360" w:lineRule="auto"/>
        <w:widowControl w:val="off"/>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采购项目：</w:t>
      </w:r>
      <w:r>
        <w:rPr>
          <w:rFonts w:hint="eastAsia" w:ascii="宋体" w:hAnsi="宋体"/>
          <w:color w:val="000000" w:themeColor="text1"/>
          <w:sz w:val="28"/>
          <w:szCs w:val="28"/>
          <w:highlight w:val="none"/>
          <w:lang w:val="en-US" w:eastAsia="zh-CN"/>
          <w14:textFill>
            <w14:solidFill>
              <w14:schemeClr w14:val="tx1"/>
            </w14:solidFill>
          </w14:textFill>
        </w:rPr>
        <w:t xml:space="preserve">昆山市巴城镇有线智慧镇(街道)服务</w:t>
      </w:r>
      <w:r/>
    </w:p>
    <w:p>
      <w:pPr>
        <w:ind w:left="1898" w:firstLine="0"/>
        <w:jc w:val="both"/>
        <w:keepLines w:val="0"/>
        <w:keepNext w:val="0"/>
        <w:pageBreakBefore w:val="0"/>
        <w:spacing w:line="360" w:lineRule="auto"/>
        <w:widowControl w:val="off"/>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w:t>
      </w:r>
      <w:r>
        <w:rPr>
          <w:rFonts w:hint="eastAsia" w:ascii="宋体" w:hAnsi="宋体"/>
          <w:color w:val="000000" w:themeColor="text1"/>
          <w:sz w:val="28"/>
          <w:szCs w:val="28"/>
          <w:highlight w:val="none"/>
          <w:lang w:eastAsia="zh-CN"/>
          <w14:textFill>
            <w14:solidFill>
              <w14:schemeClr w14:val="tx1"/>
            </w14:solidFill>
          </w14:textFill>
        </w:rPr>
        <w:t xml:space="preserve">昆山市巴城镇人民政府（昆山市巴城镇党建工作办公室）</w:t>
      </w:r>
      <w:r/>
    </w:p>
    <w:p>
      <w:pPr>
        <w:ind w:firstLine="0"/>
        <w:spacing w:line="360" w:lineRule="auto"/>
        <w:rPr>
          <w:rFonts w:ascii="宋体" w:hAnsi="宋体"/>
          <w:color w:val="000000" w:themeColor="text1"/>
          <w:spacing w:val="-14"/>
          <w:sz w:val="30"/>
          <w:highlight w:val="none"/>
          <w14:textFill>
            <w14:solidFill>
              <w14:schemeClr w14:val="tx1"/>
            </w14:solidFill>
          </w14:textFill>
        </w:rPr>
      </w:pPr>
      <w:r>
        <w:rPr>
          <w:rFonts w:ascii="宋体" w:hAnsi="宋体"/>
          <w:color w:val="000000" w:themeColor="text1"/>
          <w:spacing w:val="-14"/>
          <w:sz w:val="30"/>
          <w:highlight w:val="none"/>
          <w14:textFill>
            <w14:solidFill>
              <w14:schemeClr w14:val="tx1"/>
            </w14:solidFill>
          </w14:textFill>
        </w:rPr>
      </w:r>
      <w:r/>
    </w:p>
    <w:p>
      <w:pPr>
        <w:ind w:firstLine="2448"/>
        <w:spacing w:line="360" w:lineRule="auto"/>
        <w:rPr>
          <w:rFonts w:ascii="宋体" w:hAnsi="宋体"/>
          <w:color w:val="000000" w:themeColor="text1"/>
          <w:spacing w:val="-14"/>
          <w:sz w:val="30"/>
          <w:highlight w:val="none"/>
          <w14:textFill>
            <w14:solidFill>
              <w14:schemeClr w14:val="tx1"/>
            </w14:solidFill>
          </w14:textFill>
        </w:rPr>
      </w:pPr>
      <w:r>
        <w:rPr>
          <w:rFonts w:ascii="宋体" w:hAnsi="宋体"/>
          <w:color w:val="000000" w:themeColor="text1"/>
          <w:spacing w:val="-14"/>
          <w:sz w:val="30"/>
          <w:highlight w:val="none"/>
          <w14:textFill>
            <w14:solidFill>
              <w14:schemeClr w14:val="tx1"/>
            </w14:solidFill>
          </w14:textFill>
        </w:rPr>
      </w:r>
      <w:r/>
    </w:p>
    <w:p>
      <w:pPr>
        <w:spacing w:line="360" w:lineRule="auto"/>
        <w:rPr>
          <w:rFonts w:ascii="宋体" w:hAnsi="宋体"/>
          <w:color w:val="000000" w:themeColor="text1"/>
          <w:spacing w:val="-14"/>
          <w:sz w:val="30"/>
          <w:highlight w:val="none"/>
          <w14:textFill>
            <w14:solidFill>
              <w14:schemeClr w14:val="tx1"/>
            </w14:solidFill>
          </w14:textFill>
        </w:rPr>
      </w:pPr>
      <w:r>
        <w:rPr>
          <w:rFonts w:ascii="宋体" w:hAnsi="宋体"/>
          <w:color w:val="000000" w:themeColor="text1"/>
          <w:spacing w:val="-14"/>
          <w:sz w:val="30"/>
          <w:highlight w:val="none"/>
          <w14:textFill>
            <w14:solidFill>
              <w14:schemeClr w14:val="tx1"/>
            </w14:solidFill>
          </w14:textFill>
        </w:rPr>
      </w:r>
      <w:r/>
    </w:p>
    <w:p>
      <w:pPr>
        <w:jc w:val="center"/>
        <w:spacing w:line="360" w:lineRule="auto"/>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pacing w:val="-14"/>
          <w:sz w:val="30"/>
          <w:szCs w:val="30"/>
          <w:highlight w:val="none"/>
          <w14:textFill>
            <w14:solidFill>
              <w14:schemeClr w14:val="tx1"/>
            </w14:solidFill>
          </w14:textFill>
        </w:rPr>
        <w:t xml:space="preserve">苏州宇恩项目咨询有限公司</w:t>
      </w:r>
      <w:r/>
    </w:p>
    <w:p>
      <w:pPr>
        <w:jc w:val="center"/>
        <w:spacing w:line="360" w:lineRule="auto"/>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二〇二</w:t>
      </w:r>
      <w:r>
        <w:rPr>
          <w:rFonts w:hint="eastAsia" w:ascii="宋体" w:hAnsi="宋体"/>
          <w:color w:val="000000" w:themeColor="text1"/>
          <w:sz w:val="30"/>
          <w:szCs w:val="30"/>
          <w:highlight w:val="none"/>
          <w:lang w:val="en-US" w:eastAsia="zh-CN"/>
          <w14:textFill>
            <w14:solidFill>
              <w14:schemeClr w14:val="tx1"/>
            </w14:solidFill>
          </w14:textFill>
        </w:rPr>
        <w:t xml:space="preserve">六</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lang w:val="en-US" w:eastAsia="zh-CN"/>
          <w14:textFill>
            <w14:solidFill>
              <w14:schemeClr w14:val="tx1"/>
            </w14:solidFill>
          </w14:textFill>
        </w:rPr>
        <w:t xml:space="preserve">九</w:t>
      </w:r>
      <w:r>
        <w:rPr>
          <w:rFonts w:hint="eastAsia" w:ascii="宋体" w:hAnsi="宋体"/>
          <w:color w:val="000000" w:themeColor="text1"/>
          <w:sz w:val="30"/>
          <w:szCs w:val="30"/>
          <w:highlight w:val="none"/>
          <w14:textFill>
            <w14:solidFill>
              <w14:schemeClr w14:val="tx1"/>
            </w14:solidFill>
          </w14:textFill>
        </w:rPr>
        <w:t xml:space="preserve">月</w:t>
      </w:r>
      <w:r/>
    </w:p>
    <w:p>
      <w:pPr>
        <w:ind w:firstLine="2640"/>
        <w:keepNext/>
        <w:rPr>
          <w:rFonts w:hint="eastAsia" w:ascii="黑体" w:hAnsi="Arial" w:eastAsia="黑体"/>
          <w:b/>
          <w:color w:val="000000" w:themeColor="text1"/>
          <w:sz w:val="44"/>
          <w:szCs w:val="21"/>
          <w:highlight w:val="none"/>
          <w14:textFill>
            <w14:solidFill>
              <w14:schemeClr w14:val="tx1"/>
            </w14:solidFill>
          </w14:textFill>
        </w:rPr>
        <w:outlineLvl w:val="0"/>
      </w:pPr>
      <w:r>
        <w:rPr>
          <w:rFonts w:ascii="Times New Roman" w:hAnsi="Times New Roman"/>
          <w:color w:val="000000" w:themeColor="text1"/>
          <w:szCs w:val="21"/>
          <w:highlight w:val="none"/>
          <w14:textFill>
            <w14:solidFill>
              <w14:schemeClr w14:val="tx1"/>
            </w14:solidFill>
          </w14:textFill>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单一来源采购邀请</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供应商须知</w:t>
      </w:r>
      <w:r>
        <w:rPr>
          <w:rFonts w:hint="eastAsia" w:ascii="黑体" w:hAnsi="Showcard Gothic" w:eastAsia="黑体"/>
          <w:color w:val="000000" w:themeColor="text1"/>
          <w:sz w:val="36"/>
          <w:szCs w:val="36"/>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响应文件格式</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Lines w:val="0"/>
        <w:keepNext/>
        <w:pageBreakBefore w:val="0"/>
        <w:spacing w:before="260" w:after="260" w:line="416" w:lineRule="auto"/>
        <w:widowControl w:val="off"/>
        <w:rPr>
          <w:rFonts w:hint="eastAsia" w:ascii="宋体" w:hAnsi="宋体"/>
          <w:color w:val="000000" w:themeColor="text1"/>
          <w:sz w:val="24"/>
          <w:szCs w:val="24"/>
          <w:highlight w:val="none"/>
          <w14:textFill>
            <w14:solidFill>
              <w14:schemeClr w14:val="tx1"/>
            </w14:solidFill>
          </w14:textFill>
        </w:rPr>
        <w:outlineLvl w:val="0"/>
      </w:pPr>
      <w:r>
        <w:rPr>
          <w:rFonts w:ascii="黑体" w:hAnsi="Times New Roman" w:eastAsia="黑体"/>
          <w:color w:val="000000" w:themeColor="text1"/>
          <w:sz w:val="44"/>
          <w:szCs w:val="44"/>
          <w:highlight w:val="none"/>
          <w14:textFill>
            <w14:solidFill>
              <w14:schemeClr w14:val="tx1"/>
            </w14:solidFill>
          </w14:textFill>
        </w:rPr>
        <w:br w:type="page" w:clear="all"/>
      </w: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单一来源采购邀请</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昆山市巴城镇人民政府（昆山市巴城镇党建工作办公室）</w:t>
      </w:r>
      <w:r>
        <w:rPr>
          <w:rFonts w:hint="eastAsia" w:ascii="宋体" w:hAnsi="宋体"/>
          <w:color w:val="000000" w:themeColor="text1"/>
          <w:sz w:val="24"/>
          <w:szCs w:val="24"/>
          <w:highlight w:val="none"/>
          <w14:textFill>
            <w14:solidFill>
              <w14:schemeClr w14:val="tx1"/>
            </w14:solidFill>
          </w14:textFill>
        </w:rPr>
        <w:t xml:space="preserve">的委托，苏州宇恩项目咨询有限公司就</w:t>
      </w:r>
      <w:r>
        <w:rPr>
          <w:rFonts w:hint="eastAsia" w:ascii="宋体" w:hAnsi="宋体"/>
          <w:color w:val="000000" w:themeColor="text1"/>
          <w:sz w:val="24"/>
          <w:szCs w:val="24"/>
          <w:highlight w:val="none"/>
          <w:lang w:eastAsia="zh-CN"/>
          <w14:textFill>
            <w14:solidFill>
              <w14:schemeClr w14:val="tx1"/>
            </w14:solidFill>
          </w14:textFill>
        </w:rPr>
        <w:t xml:space="preserve">昆山市巴城镇有线智慧镇(街道)服务</w:t>
      </w:r>
      <w:r>
        <w:rPr>
          <w:rFonts w:hint="eastAsia" w:ascii="宋体" w:hAnsi="宋体"/>
          <w:color w:val="000000" w:themeColor="text1"/>
          <w:sz w:val="24"/>
          <w:szCs w:val="24"/>
          <w:highlight w:val="none"/>
          <w14:textFill>
            <w14:solidFill>
              <w14:schemeClr w14:val="tx1"/>
            </w14:solidFill>
          </w14:textFill>
        </w:rPr>
        <w:t xml:space="preserve">进行单一来源采购，欢迎符合相关条件的合格供应商参加采购活动。</w:t>
      </w:r>
      <w:r/>
    </w:p>
    <w:p>
      <w:pPr>
        <w:ind w:firstLine="498"/>
        <w:keepLines/>
        <w:keepNext/>
        <w:spacing w:before="145" w:after="145"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JSZC-320583-SZYE-D2026-0036；</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昆山市巴城镇有线智慧镇(街道)服务；</w:t>
      </w:r>
      <w:bookmarkEnd w:id="11"/>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t xml:space="preserve">人民币壹佰零捌万元整（¥1080000.00元）；</w:t>
      </w:r>
      <w:r>
        <w:rPr>
          <w:rFonts w:hint="eastAsia" w:ascii="宋体" w:hAnsi="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4.采购需求（简介）：</w:t>
      </w:r>
      <w:r>
        <w:rPr>
          <w:rFonts w:hint="eastAsia" w:ascii="宋体" w:hAnsi="宋体"/>
          <w:color w:val="000000" w:themeColor="text1"/>
          <w:sz w:val="24"/>
          <w:szCs w:val="24"/>
          <w:highlight w:val="none"/>
          <w:lang w:eastAsia="zh-CN"/>
          <w14:textFill>
            <w14:solidFill>
              <w14:schemeClr w14:val="tx1"/>
            </w14:solidFill>
          </w14:textFill>
        </w:rPr>
        <w:t xml:space="preserve">让广电网络和高清互动机顶盒智能终端实现辖区全覆盖，打造集宣传发布、社会管理、民生服务、公共文化服务于一体的信息化、智能化、多功能的综合服务应用平台。</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1年</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98"/>
        <w:keepLines/>
        <w:keepNext/>
        <w:spacing w:before="145" w:after="145"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12" w:name="_Toc28359080"/>
      <w:r/>
      <w:bookmarkStart w:id="13" w:name="_Toc28359003"/>
      <w:r/>
      <w:bookmarkStart w:id="14" w:name="_Toc38985264"/>
      <w:r/>
      <w:bookmarkStart w:id="15" w:name="_Toc35393622"/>
      <w:r/>
      <w:bookmarkStart w:id="16" w:name="_Toc35393791"/>
      <w:r>
        <w:rPr>
          <w:rFonts w:hint="eastAsia" w:ascii="Times New Roman" w:hAnsi="Times New Roman"/>
          <w:b/>
          <w:bCs/>
          <w:color w:val="000000" w:themeColor="text1"/>
          <w:sz w:val="32"/>
          <w:szCs w:val="32"/>
          <w:highlight w:val="none"/>
          <w14:textFill>
            <w14:solidFill>
              <w14:schemeClr w14:val="tx1"/>
            </w14:solidFill>
          </w14:textFill>
        </w:rPr>
        <w:t xml:space="preserve">二、</w:t>
      </w:r>
      <w:bookmarkEnd w:id="12"/>
      <w:r/>
      <w:bookmarkEnd w:id="13"/>
      <w:r/>
      <w:bookmarkEnd w:id="14"/>
      <w:r/>
      <w:bookmarkEnd w:id="15"/>
      <w:r/>
      <w:bookmarkEnd w:id="16"/>
      <w:r>
        <w:rPr>
          <w:rFonts w:hint="eastAsia" w:ascii="Times New Roman" w:hAnsi="Times New Roman"/>
          <w:b/>
          <w:bCs/>
          <w:color w:val="000000" w:themeColor="text1"/>
          <w:sz w:val="32"/>
          <w:szCs w:val="32"/>
          <w:highlight w:val="none"/>
          <w14:textFill>
            <w14:solidFill>
              <w14:schemeClr w14:val="tx1"/>
            </w14:solidFill>
          </w14:textFill>
        </w:rPr>
        <w:t xml:space="preserve">合格单一来源供应商资格要求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000000" w:themeColor="text1"/>
          <w:sz w:val="24"/>
          <w:szCs w:val="24"/>
          <w:highlight w:val="none"/>
          <w14:textFill>
            <w14:solidFill>
              <w14:schemeClr w14:val="tx1"/>
            </w14:solidFill>
          </w14:textFill>
        </w:rPr>
        <w:t xml:space="preserve">（一）通用资格要求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w:t>
      </w:r>
      <w:r>
        <w:rPr>
          <w:rFonts w:hint="eastAsia" w:ascii="宋体" w:hAnsi="宋体" w:eastAsia="宋体" w:cs="仿宋_GB2312"/>
          <w:sz w:val="24"/>
          <w:szCs w:val="22"/>
          <w:highlight w:val="none"/>
          <w:lang w:val="en-US" w:eastAsia="en-US" w:bidi="ar-SA"/>
        </w:rPr>
        <w:t xml:space="preserve">文件</w:t>
      </w:r>
      <w:r>
        <w:rPr>
          <w:rFonts w:hint="eastAsia" w:ascii="宋体" w:hAnsi="宋体"/>
          <w:color w:val="000000" w:themeColor="text1"/>
          <w:sz w:val="24"/>
          <w:szCs w:val="24"/>
          <w:highlight w:val="none"/>
          <w14:textFill>
            <w14:solidFill>
              <w14:schemeClr w14:val="tx1"/>
            </w14:solidFill>
          </w14:textFill>
        </w:rPr>
        <w:t xml:space="preserve">，自然人的身份证明；</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3.落实政府采购政策需满足的资格要求：无</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4.本项目不接受联合体参与单一来源采购活动。</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（二）本项目的特定资格要求：无</w:t>
      </w:r>
      <w:bookmarkEnd w:id="17"/>
      <w:bookmarkEnd w:id="18"/>
      <w:bookmarkEnd w:id="19"/>
      <w:bookmarkEnd w:id="20"/>
      <w:bookmarkEnd w:id="21"/>
      <w:r/>
    </w:p>
    <w:p>
      <w:pPr>
        <w:ind w:firstLine="498"/>
        <w:keepLines/>
        <w:keepNext/>
        <w:spacing w:before="145" w:after="145"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color w:val="000000" w:themeColor="text1"/>
          <w:sz w:val="32"/>
          <w:szCs w:val="32"/>
          <w:highlight w:val="none"/>
          <w14:textFill>
            <w14:solidFill>
              <w14:schemeClr w14:val="tx1"/>
            </w14:solidFill>
          </w14:textFill>
        </w:rPr>
        <w:t xml:space="preserve">三、提交</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响应文件截止时间</w:t>
      </w:r>
      <w:bookmarkEnd w:id="24"/>
      <w:r/>
      <w:bookmarkEnd w:id="25"/>
      <w:r/>
      <w:bookmarkEnd w:id="26"/>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olor w:val="000000" w:themeColor="text1"/>
          <w:sz w:val="24"/>
          <w:szCs w:val="24"/>
          <w:highlight w:val="none"/>
          <w:u w:val="single"/>
          <w14:textFill>
            <w14:solidFill>
              <w14:schemeClr w14:val="tx1"/>
            </w14:solidFill>
          </w14:textFill>
        </w:rPr>
        <w:t xml:space="preserve">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olor w:val="000000" w:themeColor="text1"/>
          <w:sz w:val="24"/>
          <w:szCs w:val="24"/>
          <w:highlight w:val="none"/>
          <w:u w:val="single"/>
          <w14:textFill>
            <w14:solidFill>
              <w14:schemeClr w14:val="tx1"/>
            </w14:solidFill>
          </w14:textFill>
        </w:rPr>
        <w:t xml:space="preserve">月</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08</w:t>
      </w:r>
      <w:r>
        <w:rPr>
          <w:rFonts w:hint="eastAsia" w:ascii="宋体" w:hAnsi="宋体"/>
          <w:color w:val="000000" w:themeColor="text1"/>
          <w:sz w:val="24"/>
          <w:szCs w:val="24"/>
          <w:highlight w:val="none"/>
          <w:u w:val="single"/>
          <w14:textFill>
            <w14:solidFill>
              <w14:schemeClr w14:val="tx1"/>
            </w14:solidFill>
          </w14:textFill>
        </w:rPr>
        <w:t xml:space="preserve">日</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color w:val="000000" w:themeColor="text1"/>
          <w:sz w:val="24"/>
          <w:szCs w:val="24"/>
          <w:highlight w:val="none"/>
          <w:u w:val="single"/>
          <w14:textFill>
            <w14:solidFill>
              <w14:schemeClr w14:val="tx1"/>
            </w14:solidFill>
          </w14:textFill>
        </w:rPr>
        <w:t xml:space="preserve">点00分</w:t>
      </w:r>
      <w:r>
        <w:rPr>
          <w:rFonts w:hint="eastAsia" w:ascii="宋体" w:hAnsi="宋体"/>
          <w:color w:val="000000" w:themeColor="text1"/>
          <w:sz w:val="24"/>
          <w:szCs w:val="24"/>
          <w:highlight w:val="none"/>
          <w14:textFill>
            <w14:solidFill>
              <w14:schemeClr w14:val="tx1"/>
            </w14:solidFill>
          </w14:textFill>
        </w:rPr>
        <w:t xml:space="preserve">（北京时间）。</w:t>
      </w:r>
      <w:r/>
    </w:p>
    <w:p>
      <w:pPr>
        <w:ind w:firstLine="498"/>
        <w:keepLines/>
        <w:keepNext/>
        <w:spacing w:before="145" w:after="145"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27" w:name="_Toc38985269"/>
      <w:r/>
      <w:bookmarkStart w:id="28" w:name="_Toc35393796"/>
      <w:r/>
      <w:bookmarkStart w:id="29" w:name="_Toc28359085"/>
      <w:r/>
      <w:bookmarkStart w:id="30" w:name="_Toc35393627"/>
      <w:r/>
      <w:bookmarkStart w:id="31" w:name="_Toc28359008"/>
      <w:r>
        <w:rPr>
          <w:rFonts w:hint="eastAsia" w:ascii="Times New Roman" w:hAnsi="Times New Roman"/>
          <w:b/>
          <w:bCs/>
          <w:color w:val="000000" w:themeColor="text1"/>
          <w:sz w:val="32"/>
          <w:szCs w:val="32"/>
          <w:highlight w:val="none"/>
          <w14:textFill>
            <w14:solidFill>
              <w14:schemeClr w14:val="tx1"/>
            </w14:solidFill>
          </w14:textFill>
        </w:rPr>
        <w:t xml:space="preserve">四、本次单一来源采购联系方式</w:t>
      </w:r>
      <w:bookmarkEnd w:id="27"/>
      <w:r/>
      <w:bookmarkEnd w:id="28"/>
      <w:r/>
      <w:bookmarkEnd w:id="29"/>
      <w:r/>
      <w:bookmarkEnd w:id="30"/>
      <w:r/>
      <w:bookmarkEnd w:id="31"/>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bookmarkStart w:id="32" w:name="_Toc28359086"/>
      <w:r/>
      <w:bookmarkStart w:id="33" w:name="_Toc28359009"/>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称：昆山市巴城镇人民政府（昆山市巴城镇党建工作办公室）</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地址：昆山市巴城镇 </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联系人:陆飞</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34" w:name="OLE_LINK2"/>
      <w:r/>
      <w:bookmarkStart w:id="35" w:name="OLE_LINK1"/>
      <w:r/>
      <w:bookmarkStart w:id="36" w:name="OLE_LINK4"/>
      <w:r/>
      <w:bookmarkStart w:id="37" w:name="OLE_LINK3"/>
      <w:r>
        <w:rPr>
          <w:rFonts w:hint="eastAsia" w:ascii="宋体" w:hAnsi="宋体"/>
          <w:color w:val="000000" w:themeColor="text1"/>
          <w:sz w:val="24"/>
          <w:szCs w:val="24"/>
          <w:highlight w:val="none"/>
          <w14:textFill>
            <w14:solidFill>
              <w14:schemeClr w14:val="tx1"/>
            </w14:solidFill>
          </w14:textFill>
        </w:rPr>
        <w:t xml:space="preserve">0512-57658162 </w:t>
      </w:r>
      <w:bookmarkEnd w:id="34"/>
      <w:r/>
      <w:bookmarkEnd w:id="35"/>
      <w:r/>
      <w:bookmarkEnd w:id="36"/>
      <w:bookmarkEnd w:id="37"/>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bookmarkEnd w:id="32"/>
      <w:r/>
      <w:bookmarkEnd w:id="33"/>
      <w:r>
        <w:rPr>
          <w:rFonts w:hint="eastAsia" w:ascii="宋体" w:hAnsi="宋体"/>
          <w:color w:val="000000" w:themeColor="text1"/>
          <w:sz w:val="24"/>
          <w:szCs w:val="24"/>
          <w:highlight w:val="none"/>
          <w14:textFill>
            <w14:solidFill>
              <w14:schemeClr w14:val="tx1"/>
            </w14:solidFill>
          </w14:textFill>
        </w:rPr>
        <w:t xml:space="preserve">苏州宇恩项目咨询有限公司</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址：昆山市玉山镇萧林路1999号5号楼A区11楼 </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联系人：薛媛媛、姜晓明</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38" w:name="_Toc28359010"/>
      <w:r/>
      <w:bookmarkStart w:id="39" w:name="_Toc28359087"/>
      <w:r>
        <w:rPr>
          <w:rFonts w:ascii="宋体" w:hAnsi="宋体"/>
          <w:color w:val="000000" w:themeColor="text1"/>
          <w:sz w:val="24"/>
          <w:szCs w:val="24"/>
          <w:highlight w:val="none"/>
          <w14:textFill>
            <w14:solidFill>
              <w14:schemeClr w14:val="tx1"/>
            </w14:solidFill>
          </w14:textFill>
        </w:rPr>
        <w:t xml:space="preserve">0512-57383089</w:t>
      </w:r>
      <w:bookmarkEnd w:id="38"/>
      <w:bookmarkEnd w:id="39"/>
      <w:r/>
    </w:p>
    <w:p>
      <w:pPr>
        <w:ind w:firstLine="498"/>
        <w:keepLines/>
        <w:keepNext/>
        <w:spacing w:before="145" w:after="145"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五、其他</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jiangsu.gov.cn/jiangsu/zlxz/ee/ee3a4bc5a3454aa2b0d9312230633ce9.html。</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2.本次单一来源采购不收取保证金。</w:t>
      </w:r>
      <w:r/>
    </w:p>
    <w:p>
      <w:pPr>
        <w:ind w:firstLine="480"/>
        <w:rPr>
          <w:rFonts w:hint="eastAsia"/>
          <w:highlight w:val="none"/>
        </w:rPr>
      </w:pPr>
      <w:r>
        <w:rPr>
          <w:rFonts w:hint="eastAsia"/>
          <w:highlight w:val="none"/>
        </w:rPr>
        <w:br w:type="page" w:clear="all"/>
      </w:r>
      <w:r/>
    </w:p>
    <w:p>
      <w:pPr>
        <w:jc w:val="center"/>
        <w:keepLines/>
        <w:keepNext/>
        <w:spacing w:before="260" w:after="260" w:line="416" w:lineRule="auto"/>
        <w:rPr>
          <w:rFonts w:hint="eastAsia" w:ascii="黑体" w:hAnsi="Arial" w:eastAsia="黑体" w:cs="Arial"/>
          <w:b/>
          <w:bCs/>
          <w:color w:val="000000" w:themeColor="text1"/>
          <w:sz w:val="44"/>
          <w:szCs w:val="44"/>
          <w:highlight w:val="none"/>
          <w14:textFill>
            <w14:solidFill>
              <w14:schemeClr w14:val="tx1"/>
            </w14:solidFill>
          </w14:textFill>
        </w:rPr>
        <w:outlineLvl w:val="1"/>
      </w:pPr>
      <w:r/>
      <w:bookmarkStart w:id="40" w:name="_Toc120614211"/>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0"/>
      <w:r>
        <w:rPr>
          <w:rFonts w:hint="eastAsia" w:ascii="黑体" w:hAnsi="Arial" w:eastAsia="黑体" w:cs="Arial"/>
          <w:b/>
          <w:bCs/>
          <w:color w:val="000000" w:themeColor="text1"/>
          <w:sz w:val="44"/>
          <w:szCs w:val="44"/>
          <w:highlight w:val="none"/>
          <w14:textFill>
            <w14:solidFill>
              <w14:schemeClr w14:val="tx1"/>
            </w14:solidFill>
          </w14:textFill>
        </w:rPr>
        <w:t xml:space="preserve">供应商须知</w:t>
      </w:r>
      <w:r/>
    </w:p>
    <w:p>
      <w:pPr>
        <w:ind w:firstLine="498"/>
        <w:keepLines/>
        <w:keepNext/>
        <w:spacing w:before="145" w:after="145" w:line="360" w:lineRule="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41" w:name="_Toc513029203"/>
      <w:r/>
      <w:bookmarkStart w:id="42" w:name="_Toc16938519"/>
      <w:r/>
      <w:bookmarkStart w:id="43" w:name="_Toc20823275"/>
      <w:r/>
      <w:bookmarkStart w:id="44"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1"/>
      <w:r/>
      <w:bookmarkEnd w:id="42"/>
      <w:r/>
      <w:bookmarkEnd w:id="43"/>
      <w:r/>
      <w:bookmarkEnd w:id="44"/>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45" w:name="_Hlt16619475"/>
      <w:r/>
      <w:bookmarkEnd w:id="45"/>
      <w:r/>
      <w:bookmarkStart w:id="46" w:name="_Toc458694821"/>
      <w:r/>
      <w:bookmarkStart w:id="47" w:name="_Toc20823276"/>
      <w:r/>
      <w:bookmarkStart w:id="48" w:name="_Toc16938520"/>
      <w:r/>
      <w:bookmarkStart w:id="49" w:name="_Toc513029204"/>
      <w:r>
        <w:rPr>
          <w:rFonts w:hint="eastAsia" w:ascii="Arial" w:hAnsi="Arial" w:eastAsia="黑体" w:cs="Arial"/>
          <w:color w:val="000000" w:themeColor="text1"/>
          <w:sz w:val="28"/>
          <w:szCs w:val="28"/>
          <w:highlight w:val="none"/>
          <w14:textFill>
            <w14:solidFill>
              <w14:schemeClr w14:val="tx1"/>
            </w14:solidFill>
          </w14:textFill>
        </w:rPr>
        <w:t xml:space="preserve">1</w:t>
      </w:r>
      <w:bookmarkEnd w:id="46"/>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47"/>
      <w:r/>
      <w:bookmarkEnd w:id="48"/>
      <w:r/>
      <w:bookmarkEnd w:id="49"/>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1.1本次政府采购活动采取单一来源采购方式。</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50" w:name="_Toc513029205"/>
      <w:r/>
      <w:bookmarkStart w:id="51" w:name="_Toc20823277"/>
      <w:r/>
      <w:bookmarkStart w:id="52" w:name="_Toc16938521"/>
      <w:r>
        <w:rPr>
          <w:rFonts w:hint="eastAsia" w:ascii="Arial" w:hAnsi="Arial" w:eastAsia="黑体" w:cs="Arial"/>
          <w:color w:val="000000" w:themeColor="text1"/>
          <w:sz w:val="28"/>
          <w:szCs w:val="28"/>
          <w:highlight w:val="none"/>
          <w14:textFill>
            <w14:solidFill>
              <w14:schemeClr w14:val="tx1"/>
            </w14:solidFill>
          </w14:textFill>
        </w:rPr>
        <w:t xml:space="preserve">2、合格的</w:t>
      </w:r>
      <w:bookmarkEnd w:id="50"/>
      <w:r/>
      <w:bookmarkEnd w:id="51"/>
      <w:r/>
      <w:bookmarkEnd w:id="52"/>
      <w:r>
        <w:rPr>
          <w:rFonts w:hint="eastAsia" w:ascii="Arial" w:hAnsi="Arial" w:eastAsia="黑体" w:cs="Arial"/>
          <w:color w:val="000000" w:themeColor="text1"/>
          <w:sz w:val="28"/>
          <w:szCs w:val="28"/>
          <w:highlight w:val="none"/>
          <w14:textFill>
            <w14:solidFill>
              <w14:schemeClr w14:val="tx1"/>
            </w14:solidFill>
          </w14:textFill>
        </w:rPr>
        <w:t xml:space="preserve">供应商</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bookmarkStart w:id="53" w:name="_Toc20823278"/>
      <w:r/>
      <w:bookmarkStart w:id="54" w:name="_Toc513029206"/>
      <w:r/>
      <w:bookmarkStart w:id="55" w:name="_Toc16938522"/>
      <w:r>
        <w:rPr>
          <w:rFonts w:hint="eastAsia" w:ascii="宋体" w:hAnsi="宋体"/>
          <w:color w:val="000000" w:themeColor="text1"/>
          <w:sz w:val="24"/>
          <w:szCs w:val="21"/>
          <w:highlight w:val="none"/>
          <w14:textFill>
            <w14:solidFill>
              <w14:schemeClr w14:val="tx1"/>
            </w14:solidFill>
          </w14:textFill>
        </w:rPr>
        <w:t xml:space="preserve">2.1满足采购文件中合格单一来源供应商资格要求的规定。</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2.2满足本采购文件实质性条款的规定。</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53"/>
      <w:r/>
      <w:bookmarkEnd w:id="54"/>
      <w:r/>
      <w:bookmarkEnd w:id="55"/>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3.1本次采购及由此产生的合同受中华人民共和国有关的法律法规制约和保护。</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56" w:name="_Toc513029207"/>
      <w:r/>
      <w:bookmarkStart w:id="57" w:name="_Toc16938523"/>
      <w:r/>
      <w:bookmarkStart w:id="58" w:name="_Toc462564067"/>
      <w:r/>
      <w:bookmarkStart w:id="59" w:name="_Toc20823279"/>
      <w:r>
        <w:rPr>
          <w:rFonts w:hint="eastAsia" w:ascii="Arial" w:hAnsi="Arial" w:eastAsia="黑体" w:cs="Arial"/>
          <w:color w:val="000000" w:themeColor="text1"/>
          <w:sz w:val="28"/>
          <w:szCs w:val="28"/>
          <w:highlight w:val="none"/>
          <w14:textFill>
            <w14:solidFill>
              <w14:schemeClr w14:val="tx1"/>
            </w14:solidFill>
          </w14:textFill>
        </w:rPr>
        <w:t xml:space="preserve">4、相关费用</w:t>
      </w:r>
      <w:bookmarkEnd w:id="56"/>
      <w:r/>
      <w:bookmarkEnd w:id="57"/>
      <w:r/>
      <w:bookmarkEnd w:id="58"/>
      <w:r/>
      <w:bookmarkEnd w:id="59"/>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4.1供应商应自行承担所有与参加本次采购有关的费用，无论采购过程中的做法和结果如何，苏州宇恩项目咨询有限公司（以下简称我公司）在任何情况下均无义务和责任承担这些费用。</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4.2本次采购</w:t>
      </w:r>
      <w:r>
        <w:rPr>
          <w:rFonts w:hint="eastAsia" w:ascii="宋体" w:hAnsi="宋体"/>
          <w:color w:val="000000" w:themeColor="text1"/>
          <w:sz w:val="24"/>
          <w:szCs w:val="21"/>
          <w:highlight w:val="none"/>
          <w:lang w:val="en-US" w:eastAsia="zh-CN"/>
          <w14:textFill>
            <w14:solidFill>
              <w14:schemeClr w14:val="tx1"/>
            </w14:solidFill>
          </w14:textFill>
        </w:rPr>
        <w:t xml:space="preserve">采购中心</w:t>
      </w:r>
      <w:r>
        <w:rPr>
          <w:rFonts w:hint="eastAsia" w:ascii="宋体" w:hAnsi="宋体"/>
          <w:color w:val="000000" w:themeColor="text1"/>
          <w:sz w:val="24"/>
          <w:szCs w:val="21"/>
          <w:highlight w:val="none"/>
          <w14:textFill>
            <w14:solidFill>
              <w14:schemeClr w14:val="tx1"/>
            </w14:solidFill>
          </w14:textFill>
        </w:rPr>
        <w:t xml:space="preserve">和采购人不收取标书工本费与成交服务费。</w:t>
      </w:r>
      <w:r/>
    </w:p>
    <w:p>
      <w:pPr>
        <w:ind w:firstLine="301"/>
        <w:keepLines/>
        <w:keepNext/>
        <w:pageBreakBefore w:val="0"/>
        <w:spacing w:line="360" w:lineRule="auto"/>
        <w:widowControl w:val="off"/>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采购文件的约束力</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321"/>
        <w:keepLines/>
        <w:keepNext/>
        <w:spacing w:before="145" w:after="145" w:line="360" w:lineRule="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60" w:name="_Toc120614215"/>
      <w:r/>
      <w:bookmarkStart w:id="61" w:name="_Toc20823281"/>
      <w:r/>
      <w:bookmarkStart w:id="62" w:name="_Toc16938525"/>
      <w:r/>
      <w:bookmarkStart w:id="63" w:name="_Toc513029209"/>
      <w:r>
        <w:rPr>
          <w:rFonts w:hint="eastAsia" w:ascii="Times New Roman" w:hAnsi="Times New Roman"/>
          <w:b/>
          <w:bCs/>
          <w:color w:val="000000" w:themeColor="text1"/>
          <w:sz w:val="32"/>
          <w:szCs w:val="32"/>
          <w:highlight w:val="none"/>
          <w14:textFill>
            <w14:solidFill>
              <w14:schemeClr w14:val="tx1"/>
            </w14:solidFill>
          </w14:textFill>
        </w:rPr>
        <w:t xml:space="preserve">二、</w:t>
      </w:r>
      <w:bookmarkEnd w:id="60"/>
      <w:r/>
      <w:bookmarkEnd w:id="61"/>
      <w:r/>
      <w:bookmarkEnd w:id="62"/>
      <w:r/>
      <w:bookmarkEnd w:id="63"/>
      <w:r>
        <w:rPr>
          <w:rFonts w:hint="eastAsia" w:ascii="Times New Roman" w:hAnsi="Times New Roman"/>
          <w:b/>
          <w:bCs/>
          <w:color w:val="000000" w:themeColor="text1"/>
          <w:sz w:val="32"/>
          <w:szCs w:val="32"/>
          <w:highlight w:val="none"/>
          <w14:textFill>
            <w14:solidFill>
              <w14:schemeClr w14:val="tx1"/>
            </w14:solidFill>
          </w14:textFill>
        </w:rPr>
        <w:t xml:space="preserve">采购文件</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64" w:name="_Toc16938526"/>
      <w:r/>
      <w:bookmarkStart w:id="65" w:name="_Toc20823282"/>
      <w:r/>
      <w:bookmarkStart w:id="66" w:name="_Toc513029210"/>
      <w:r>
        <w:rPr>
          <w:rFonts w:hint="eastAsia" w:ascii="Arial" w:hAnsi="Arial" w:eastAsia="黑体" w:cs="Arial"/>
          <w:color w:val="000000" w:themeColor="text1"/>
          <w:sz w:val="28"/>
          <w:szCs w:val="28"/>
          <w:highlight w:val="none"/>
          <w14:textFill>
            <w14:solidFill>
              <w14:schemeClr w14:val="tx1"/>
            </w14:solidFill>
          </w14:textFill>
        </w:rPr>
        <w:t xml:space="preserve">6、采购文件构成</w:t>
      </w:r>
      <w:bookmarkEnd w:id="64"/>
      <w:r/>
      <w:bookmarkEnd w:id="65"/>
      <w:r/>
      <w:bookmarkEnd w:id="66"/>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6.1采购文件由以下部分组成：</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（1）单一来源采购邀请</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（2）供应商须知</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（3）合同文本</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（4）采购需求</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）响应文件格式</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请仔细检查采购文件是否齐全，如有缺漏请立即与我公司联系解决。</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6.2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56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67" w:name="_Toc513029211"/>
      <w:r/>
      <w:bookmarkStart w:id="68" w:name="_Toc462564070"/>
      <w:r/>
      <w:bookmarkStart w:id="69" w:name="_Toc16938527"/>
      <w:r/>
      <w:bookmarkStart w:id="70" w:name="_Toc20823283"/>
      <w:r>
        <w:rPr>
          <w:rFonts w:hint="eastAsia" w:ascii="Arial" w:hAnsi="Arial" w:eastAsia="黑体" w:cs="Arial"/>
          <w:color w:val="000000" w:themeColor="text1"/>
          <w:sz w:val="28"/>
          <w:szCs w:val="28"/>
          <w:highlight w:val="none"/>
          <w14:textFill>
            <w14:solidFill>
              <w14:schemeClr w14:val="tx1"/>
            </w14:solidFill>
          </w14:textFill>
        </w:rPr>
        <w:t xml:space="preserve">7、采购文件的澄清</w:t>
      </w:r>
      <w:bookmarkEnd w:id="67"/>
      <w:r/>
      <w:bookmarkEnd w:id="68"/>
      <w:r/>
      <w:bookmarkEnd w:id="69"/>
      <w:r/>
      <w:bookmarkEnd w:id="70"/>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bookmarkStart w:id="71" w:name="_Toc513029212"/>
      <w:r/>
      <w:bookmarkStart w:id="72" w:name="_Toc462564071"/>
      <w:r/>
      <w:bookmarkStart w:id="73" w:name="_Toc20823284"/>
      <w:r/>
      <w:bookmarkStart w:id="74" w:name="_Toc16938528"/>
      <w:r>
        <w:rPr>
          <w:rFonts w:hint="eastAsia" w:ascii="宋体" w:hAnsi="宋体"/>
          <w:color w:val="000000" w:themeColor="text1"/>
          <w:sz w:val="24"/>
          <w:szCs w:val="21"/>
          <w:highlight w:val="none"/>
          <w14:textFill>
            <w14:solidFill>
              <w14:schemeClr w14:val="tx1"/>
            </w14:solidFill>
          </w14:textFill>
        </w:rPr>
        <w:t xml:space="preserve">7.1供应商如果要求对采购文件进行澄清的，应在响应文件接收截止时间（以下简称“截止时间”）</w:t>
      </w:r>
      <w:r>
        <w:rPr>
          <w:rFonts w:hint="eastAsia" w:ascii="宋体" w:hAnsi="宋体"/>
          <w:b/>
          <w:bCs/>
          <w:color w:val="000000" w:themeColor="text1"/>
          <w:sz w:val="24"/>
          <w:szCs w:val="21"/>
          <w:highlight w:val="none"/>
          <w14:textFill>
            <w14:solidFill>
              <w14:schemeClr w14:val="tx1"/>
            </w14:solidFill>
          </w14:textFill>
        </w:rPr>
        <w:t xml:space="preserve">三天</w:t>
      </w:r>
      <w:r>
        <w:rPr>
          <w:rFonts w:hint="eastAsia" w:ascii="宋体" w:hAnsi="宋体"/>
          <w:color w:val="000000" w:themeColor="text1"/>
          <w:sz w:val="24"/>
          <w:szCs w:val="21"/>
          <w:highlight w:val="none"/>
          <w14:textFill>
            <w14:solidFill>
              <w14:schemeClr w14:val="tx1"/>
            </w14:solidFill>
          </w14:textFill>
        </w:rPr>
        <w:t xml:space="preserve">前，在苏采云系统中通知采购代理。采购代理将在苏采云系统中对澄清要求予以答复。</w:t>
      </w:r>
      <w:bookmarkEnd w:id="71"/>
      <w:bookmarkEnd w:id="72"/>
      <w:bookmarkEnd w:id="73"/>
      <w:bookmarkEnd w:id="74"/>
      <w:r/>
    </w:p>
    <w:p>
      <w:pPr>
        <w:ind w:firstLine="56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75" w:name="_Toc120614216"/>
      <w:r/>
      <w:bookmarkStart w:id="76" w:name="_Toc16938529"/>
      <w:r/>
      <w:bookmarkStart w:id="77" w:name="_Toc462564072"/>
      <w:r/>
      <w:bookmarkStart w:id="78" w:name="_Toc20823285"/>
      <w:r/>
      <w:bookmarkStart w:id="79" w:name="_Toc513029213"/>
      <w:r>
        <w:rPr>
          <w:rFonts w:hint="eastAsia" w:ascii="Arial" w:hAnsi="Arial" w:eastAsia="黑体" w:cs="Arial"/>
          <w:color w:val="000000" w:themeColor="text1"/>
          <w:sz w:val="28"/>
          <w:szCs w:val="28"/>
          <w:highlight w:val="none"/>
          <w14:textFill>
            <w14:solidFill>
              <w14:schemeClr w14:val="tx1"/>
            </w14:solidFill>
          </w14:textFill>
        </w:rPr>
        <w:t xml:space="preserve">8、采购文件的修改</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8.1在截止时间前，采购代理可以以补充文件的方式对采购文件进行修改。</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8.2采购代理有权按照政府采购的有关要求推迟截止时间。</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8.3采购文件的补充文件将作为采购文件的组成部分，并对供应商具有约束力。</w:t>
      </w:r>
      <w:r/>
    </w:p>
    <w:p>
      <w:pPr>
        <w:ind w:firstLine="482"/>
        <w:keepLines/>
        <w:keepNext/>
        <w:pageBreakBefore w:val="0"/>
        <w:spacing w:before="145" w:after="145"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三、响应文件的编制</w:t>
      </w:r>
      <w:bookmarkEnd w:id="75"/>
      <w:r/>
      <w:bookmarkEnd w:id="76"/>
      <w:r/>
      <w:bookmarkEnd w:id="77"/>
      <w:r/>
      <w:bookmarkEnd w:id="78"/>
      <w:r/>
      <w:bookmarkEnd w:id="79"/>
      <w:r/>
      <w:r/>
    </w:p>
    <w:p>
      <w:pPr>
        <w:ind w:firstLine="560"/>
        <w:keepLines/>
        <w:keepNext/>
        <w:pageBreakBefore w:val="0"/>
        <w:spacing w:line="360" w:lineRule="auto"/>
        <w:widowControl w:val="off"/>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0" w:name="_Toc513029214"/>
      <w:r/>
      <w:bookmarkStart w:id="81" w:name="_Toc462564073"/>
      <w:r/>
      <w:bookmarkStart w:id="82" w:name="_Toc20823286"/>
      <w:r/>
      <w:bookmarkStart w:id="83" w:name="_Toc16938530"/>
      <w:r>
        <w:rPr>
          <w:rFonts w:hint="eastAsia" w:ascii="Arial" w:hAnsi="Arial" w:eastAsia="黑体" w:cs="Arial"/>
          <w:color w:val="000000" w:themeColor="text1"/>
          <w:sz w:val="28"/>
          <w:szCs w:val="28"/>
          <w:highlight w:val="none"/>
          <w14:textFill>
            <w14:solidFill>
              <w14:schemeClr w14:val="tx1"/>
            </w14:solidFill>
          </w14:textFill>
        </w:rPr>
        <w:t xml:space="preserve">9、响应文件的语言及度量衡单位</w:t>
      </w:r>
      <w:bookmarkEnd w:id="80"/>
      <w:r/>
      <w:bookmarkEnd w:id="81"/>
      <w:r/>
      <w:bookmarkEnd w:id="82"/>
      <w:r/>
      <w:bookmarkEnd w:id="83"/>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9.1供应商提交的响应文件以及供应商与我公司就有关采购活动的所有来往通知、函件和文件均应使用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9.2除技术性能另有规定外，响应文件所使用的度量衡单位，均须采用国家法定计量单位。</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84" w:name="_Toc20823287"/>
      <w:r/>
      <w:bookmarkStart w:id="85" w:name="_Toc513029215"/>
      <w:r/>
      <w:bookmarkStart w:id="86" w:name="_Toc16938531"/>
      <w:r/>
      <w:bookmarkStart w:id="87" w:name="_Toc462564074"/>
      <w:r>
        <w:rPr>
          <w:rFonts w:hint="eastAsia" w:ascii="Arial" w:hAnsi="Arial" w:eastAsia="黑体" w:cs="Arial"/>
          <w:color w:val="000000" w:themeColor="text1"/>
          <w:sz w:val="28"/>
          <w:szCs w:val="28"/>
          <w:highlight w:val="none"/>
          <w14:textFill>
            <w14:solidFill>
              <w14:schemeClr w14:val="tx1"/>
            </w14:solidFill>
          </w14:textFill>
        </w:rPr>
        <w:t xml:space="preserve">10、响应文件构成</w:t>
      </w:r>
      <w:bookmarkEnd w:id="84"/>
      <w:r/>
      <w:bookmarkEnd w:id="85"/>
      <w:r/>
      <w:bookmarkEnd w:id="86"/>
      <w:r/>
      <w:bookmarkEnd w:id="87"/>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bookmarkStart w:id="88" w:name="_Hlt26954838"/>
      <w:r/>
      <w:bookmarkEnd w:id="88"/>
      <w:r/>
      <w:bookmarkStart w:id="89" w:name="_Hlt26670360"/>
      <w:r/>
      <w:bookmarkEnd w:id="89"/>
      <w:r/>
      <w:bookmarkStart w:id="90" w:name="_Hlt26668975"/>
      <w:r/>
      <w:bookmarkEnd w:id="90"/>
      <w:r/>
      <w:bookmarkStart w:id="91" w:name="_Toc49090509"/>
      <w:r/>
      <w:bookmarkStart w:id="92" w:name="_Toc14577357"/>
      <w:r/>
      <w:bookmarkStart w:id="93" w:name="_Toc513029216"/>
      <w:r/>
      <w:bookmarkStart w:id="94" w:name="_Toc49090507"/>
      <w:r/>
      <w:bookmarkStart w:id="95" w:name="_Toc49090508"/>
      <w:r/>
      <w:bookmarkStart w:id="96" w:name="_Toc14577354"/>
      <w:r/>
      <w:bookmarkStart w:id="97" w:name="_Toc513029219"/>
      <w:r/>
      <w:bookmarkStart w:id="98" w:name="_Toc14577355"/>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供应商编写的响应文件应包括资格证明文件、符合性证明文件、分项报价表、技术要求响应及偏离表、商务要求响应及偏离表、其他证明文件、单一来源响应函等部分。</w:t>
      </w:r>
      <w:bookmarkEnd w:id="91"/>
      <w:bookmarkEnd w:id="92"/>
      <w:bookmarkEnd w:id="93"/>
      <w:bookmarkEnd w:id="94"/>
      <w:bookmarkEnd w:id="95"/>
      <w:bookmarkEnd w:id="96"/>
      <w:bookmarkEnd w:id="97"/>
      <w:bookmarkEnd w:id="98"/>
      <w:r/>
    </w:p>
    <w:p>
      <w:pPr>
        <w:pStyle w:val="856"/>
        <w:ind w:firstLine="420"/>
        <w:pageBreakBefore w:val="0"/>
        <w:spacing w:before="0" w:after="0"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11、证明供应商及响应标的符合采购文件规定的文件</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11.1供应商应按照法律、法规、规章和规范性文件以及采购文件要求提交证明文件，证明其及响应标的符合采购文件规定。</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11.2采购文件对证明文件无明确形式要求的，证明文件可以以文字资料、图纸和数据等形式提交。</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12、分项报价表</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bookmarkStart w:id="99" w:name="_Hlt26954846"/>
      <w:r/>
      <w:bookmarkEnd w:id="99"/>
      <w:r/>
      <w:bookmarkStart w:id="100" w:name="_Hlt26670486"/>
      <w:r/>
      <w:bookmarkEnd w:id="100"/>
      <w:r/>
      <w:bookmarkStart w:id="101" w:name="_Hlt26670482"/>
      <w:r/>
      <w:bookmarkEnd w:id="101"/>
      <w:r/>
      <w:bookmarkStart w:id="102" w:name="_Hlt26954848"/>
      <w:r/>
      <w:bookmarkEnd w:id="102"/>
      <w:r/>
      <w:bookmarkStart w:id="103" w:name="_Hlt26954731"/>
      <w:r/>
      <w:bookmarkEnd w:id="103"/>
      <w:r>
        <w:rPr>
          <w:rFonts w:hint="eastAsia" w:ascii="宋体" w:hAnsi="宋体"/>
          <w:bCs/>
          <w:color w:val="000000" w:themeColor="text1"/>
          <w:sz w:val="24"/>
          <w:szCs w:val="21"/>
          <w:highlight w:val="none"/>
          <w14:textFill>
            <w14:solidFill>
              <w14:schemeClr w14:val="tx1"/>
            </w14:solidFill>
          </w14:textFill>
        </w:rPr>
        <w:t xml:space="preserve">12.1供应商应按照采购文件规定格式填报分项报价表。</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12.2报价货币。响应文件中的单价和总价无特殊规定的采用人民币报价，以元为单位标注。采购文件中另有规定的按规定执行。</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lang w:val="zh-CN"/>
          <w14:textFill>
            <w14:solidFill>
              <w14:schemeClr w14:val="tx1"/>
            </w14:solidFill>
          </w14:textFill>
        </w:rPr>
      </w:pPr>
      <w:r>
        <w:rPr>
          <w:rFonts w:hint="eastAsia" w:ascii="宋体" w:hAnsi="宋体"/>
          <w:bCs/>
          <w:color w:val="000000" w:themeColor="text1"/>
          <w:sz w:val="24"/>
          <w:szCs w:val="21"/>
          <w:highlight w:val="none"/>
          <w:lang w:val="zh-CN"/>
          <w14:textFill>
            <w14:solidFill>
              <w14:schemeClr w14:val="tx1"/>
            </w14:solidFill>
          </w14:textFill>
        </w:rPr>
        <w:t xml:space="preserve">13.1供应商需对采购文件中的技术要求与商务要求逐项作出响应或偏离，并说明原因。</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lang w:val="zh-CN"/>
          <w14:textFill>
            <w14:solidFill>
              <w14:schemeClr w14:val="tx1"/>
            </w14:solidFill>
          </w14:textFill>
        </w:rPr>
      </w:pPr>
      <w:r>
        <w:rPr>
          <w:rFonts w:hint="eastAsia" w:ascii="宋体" w:hAnsi="宋体"/>
          <w:bCs/>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pStyle w:val="856"/>
        <w:ind w:firstLine="420"/>
        <w:pageBreakBefore w:val="0"/>
        <w:spacing w:before="0" w:after="0" w:line="360" w:lineRule="auto"/>
        <w:widowControl w:val="off"/>
        <w:rPr>
          <w:rFonts w:hint="eastAsia"/>
          <w:b w:val="0"/>
          <w:bCs w:val="0"/>
          <w:color w:val="000000" w:themeColor="text1"/>
          <w:highlight w:val="none"/>
          <w14:textFill>
            <w14:solidFill>
              <w14:schemeClr w14:val="tx1"/>
            </w14:solidFill>
          </w14:textFill>
        </w:rPr>
      </w:pPr>
      <w:r/>
      <w:bookmarkStart w:id="104" w:name="_Toc14577359"/>
      <w:r/>
      <w:bookmarkStart w:id="105" w:name="_Toc49090510"/>
      <w:r>
        <w:rPr>
          <w:rFonts w:hint="eastAsia"/>
          <w:b w:val="0"/>
          <w:bCs w:val="0"/>
          <w:color w:val="000000" w:themeColor="text1"/>
          <w:highlight w:val="none"/>
          <w14:textFill>
            <w14:solidFill>
              <w14:schemeClr w14:val="tx1"/>
            </w14:solidFill>
          </w14:textFill>
        </w:rPr>
        <w:t xml:space="preserve">14、服务承诺、人员安排及其他</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14.1</w:t>
      </w:r>
      <w:r>
        <w:rPr>
          <w:rFonts w:hint="eastAsia" w:ascii="宋体" w:hAnsi="宋体"/>
          <w:bCs/>
          <w:color w:val="000000" w:themeColor="text1"/>
          <w:sz w:val="24"/>
          <w:szCs w:val="21"/>
          <w:highlight w:val="none"/>
          <w:lang w:val="zh-CN"/>
          <w14:textFill>
            <w14:solidFill>
              <w14:schemeClr w14:val="tx1"/>
            </w14:solidFill>
          </w14:textFill>
        </w:rPr>
        <w:t xml:space="preserve">供应商</w:t>
      </w:r>
      <w:r>
        <w:rPr>
          <w:rFonts w:hint="eastAsia" w:ascii="宋体" w:hAnsi="宋体"/>
          <w:bCs/>
          <w:color w:val="000000" w:themeColor="text1"/>
          <w:sz w:val="24"/>
          <w:szCs w:val="21"/>
          <w:highlight w:val="none"/>
          <w14:textFill>
            <w14:solidFill>
              <w14:schemeClr w14:val="tx1"/>
            </w14:solidFill>
          </w14:textFill>
        </w:rPr>
        <w:t xml:space="preserve">需根据采购文件要求提供有关售后服务的管理制度，售后服务机构的分布情况，售后服务人员的数量、素质、技术水平及售后服务的反应能力等。</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14.2</w:t>
      </w:r>
      <w:r>
        <w:rPr>
          <w:rFonts w:hint="eastAsia" w:ascii="宋体" w:hAnsi="宋体"/>
          <w:bCs/>
          <w:color w:val="000000" w:themeColor="text1"/>
          <w:sz w:val="24"/>
          <w:szCs w:val="21"/>
          <w:highlight w:val="none"/>
          <w:lang w:val="zh-CN"/>
          <w14:textFill>
            <w14:solidFill>
              <w14:schemeClr w14:val="tx1"/>
            </w14:solidFill>
          </w14:textFill>
        </w:rPr>
        <w:t xml:space="preserve">供应商</w:t>
      </w:r>
      <w:r>
        <w:rPr>
          <w:rFonts w:hint="eastAsia" w:ascii="宋体" w:hAnsi="宋体"/>
          <w:bCs/>
          <w:color w:val="000000" w:themeColor="text1"/>
          <w:sz w:val="24"/>
          <w:szCs w:val="21"/>
          <w:highlight w:val="none"/>
          <w14:textFill>
            <w14:solidFill>
              <w14:schemeClr w14:val="tx1"/>
            </w14:solidFill>
          </w14:textFill>
        </w:rPr>
        <w:t xml:space="preserve">需根据采购文件要求提供服务方案计划。</w:t>
      </w:r>
      <w:bookmarkEnd w:id="104"/>
      <w:bookmarkEnd w:id="105"/>
      <w:r/>
    </w:p>
    <w:p>
      <w:pPr>
        <w:pStyle w:val="856"/>
        <w:ind w:firstLine="420"/>
        <w:pageBreakBefore w:val="0"/>
        <w:spacing w:before="0" w:after="0" w:line="360" w:lineRule="auto"/>
        <w:widowControl w:val="off"/>
        <w:rPr>
          <w:rFonts w:hint="eastAsia"/>
          <w:b w:val="0"/>
          <w:bCs w:val="0"/>
          <w:color w:val="000000" w:themeColor="text1"/>
          <w:highlight w:val="none"/>
          <w14:textFill>
            <w14:solidFill>
              <w14:schemeClr w14:val="tx1"/>
            </w14:solidFill>
          </w14:textFill>
        </w:rPr>
      </w:pPr>
      <w:r/>
      <w:bookmarkStart w:id="106" w:name="_Toc14577360"/>
      <w:r/>
      <w:bookmarkStart w:id="107" w:name="_Toc49090511"/>
      <w:r>
        <w:rPr>
          <w:rFonts w:hint="eastAsia"/>
          <w:b w:val="0"/>
          <w:bCs w:val="0"/>
          <w:color w:val="000000" w:themeColor="text1"/>
          <w:highlight w:val="none"/>
          <w14:textFill>
            <w14:solidFill>
              <w14:schemeClr w14:val="tx1"/>
            </w14:solidFill>
          </w14:textFill>
        </w:rPr>
        <w:t xml:space="preserve">15、单一来源响应函</w:t>
      </w:r>
      <w:r/>
    </w:p>
    <w:p>
      <w:pPr>
        <w:ind w:firstLine="48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15.1供应商应按照采购文件中提供的格式完整、正确填写单一来源响应函</w:t>
      </w:r>
      <w:r>
        <w:rPr>
          <w:rFonts w:hint="eastAsia" w:ascii="宋体" w:hAnsi="宋体"/>
          <w:color w:val="000000" w:themeColor="text1"/>
          <w:sz w:val="24"/>
          <w:highlight w:val="none"/>
          <w14:textFill>
            <w14:solidFill>
              <w14:schemeClr w14:val="tx1"/>
            </w14:solidFill>
          </w14:textFill>
        </w:rPr>
        <w:t xml:space="preserve">。</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16、单一来源采购有效期</w:t>
      </w:r>
      <w:bookmarkEnd w:id="106"/>
      <w:r/>
      <w:bookmarkEnd w:id="107"/>
      <w:r/>
      <w:r/>
    </w:p>
    <w:p>
      <w:pPr>
        <w:ind w:firstLine="480"/>
        <w:pageBreakBefore w:val="0"/>
        <w:spacing w:line="360" w:lineRule="auto"/>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6.1单一来源采购有效期（以下简称“有效期”）为我公司规定的响应文件接</w:t>
      </w:r>
      <w:r>
        <w:rPr>
          <w:rFonts w:hint="eastAsia" w:ascii="宋体" w:hAnsi="宋体"/>
          <w:bCs/>
          <w:color w:val="000000" w:themeColor="text1"/>
          <w:sz w:val="24"/>
          <w:highlight w:val="none"/>
          <w14:textFill>
            <w14:solidFill>
              <w14:schemeClr w14:val="tx1"/>
            </w14:solidFill>
          </w14:textFill>
        </w:rPr>
        <w:t xml:space="preserve">收截止之日后</w:t>
      </w:r>
      <w:r>
        <w:rPr>
          <w:rFonts w:hint="eastAsia" w:ascii="仿宋_GB2312" w:hAnsi="仿宋_GB2312"/>
          <w:b/>
          <w:color w:val="000000" w:themeColor="text1"/>
          <w:sz w:val="24"/>
          <w:highlight w:val="none"/>
          <w:u w:val="single"/>
          <w14:textFill>
            <w14:solidFill>
              <w14:schemeClr w14:val="tx1"/>
            </w14:solidFill>
          </w14:textFill>
        </w:rPr>
        <w:t xml:space="preserve">三十（30）天</w:t>
      </w:r>
      <w:r>
        <w:rPr>
          <w:rFonts w:hint="eastAsia" w:ascii="宋体" w:hAnsi="宋体"/>
          <w:bCs/>
          <w:color w:val="000000" w:themeColor="text1"/>
          <w:sz w:val="24"/>
          <w:highlight w:val="none"/>
          <w14:textFill>
            <w14:solidFill>
              <w14:schemeClr w14:val="tx1"/>
            </w14:solidFill>
          </w14:textFill>
        </w:rPr>
        <w:t xml:space="preserve">。有效期比规定期限短的将被视为未响应采购文件要求而予以拒绝。</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、有效期的延长</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17.1在特殊情况下，我公司于原有效期满之前，可向供应商提出延长</w:t>
      </w:r>
      <w:r>
        <w:rPr>
          <w:rFonts w:ascii="宋体" w:hAnsi="宋体"/>
          <w:bCs/>
          <w:color w:val="000000" w:themeColor="text1"/>
          <w:sz w:val="24"/>
          <w:szCs w:val="21"/>
          <w:highlight w:val="none"/>
          <w14:textFill>
            <w14:solidFill>
              <w14:schemeClr w14:val="tx1"/>
            </w14:solidFill>
          </w14:textFill>
        </w:rPr>
        <w:t xml:space="preserve">有效期</w:t>
      </w:r>
      <w:r>
        <w:rPr>
          <w:rFonts w:hint="eastAsia" w:ascii="宋体" w:hAnsi="宋体"/>
          <w:bCs/>
          <w:color w:val="000000" w:themeColor="text1"/>
          <w:sz w:val="24"/>
          <w:szCs w:val="21"/>
          <w:highlight w:val="none"/>
          <w14:textFill>
            <w14:solidFill>
              <w14:schemeClr w14:val="tx1"/>
            </w14:solidFill>
          </w14:textFill>
        </w:rPr>
        <w:t xml:space="preserve">的要求。这种要求与答复均应采用书面形式。供应商可以拒绝我公司的这一要求而放弃单一来源采购活动，同意延长有效期的供应商既不能要求也不允许修改其响应文件。</w:t>
      </w:r>
      <w:r>
        <w:rPr>
          <w:rFonts w:hint="eastAsia" w:ascii="宋体" w:hAnsi="宋体"/>
          <w:color w:val="000000" w:themeColor="text1"/>
          <w:sz w:val="24"/>
          <w:szCs w:val="24"/>
          <w:highlight w:val="none"/>
          <w14:textFill>
            <w14:solidFill>
              <w14:schemeClr w14:val="tx1"/>
            </w14:solidFill>
          </w14:textFill>
        </w:rPr>
        <w:t xml:space="preserve">受有效期约束的所有权利与义务均延长至新的有效期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2"/>
        <w:keepLines/>
        <w:keepNext/>
        <w:pageBreakBefore w:val="0"/>
        <w:spacing w:before="145" w:after="145"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08" w:name="_Hlt26954739"/>
      <w:r/>
      <w:bookmarkEnd w:id="108"/>
      <w:r/>
      <w:bookmarkStart w:id="109" w:name="_Hlt26954852"/>
      <w:r/>
      <w:bookmarkEnd w:id="109"/>
      <w:r/>
      <w:bookmarkStart w:id="110" w:name="_Toc16938540"/>
      <w:r/>
      <w:bookmarkStart w:id="111" w:name="_Toc513029224"/>
      <w:r/>
      <w:bookmarkStart w:id="112" w:name="_Toc120614217"/>
      <w:r/>
      <w:bookmarkStart w:id="113" w:name="_Toc20823296"/>
      <w:r>
        <w:rPr>
          <w:rFonts w:hint="eastAsia" w:ascii="Times New Roman" w:hAnsi="Times New Roman"/>
          <w:b/>
          <w:bCs/>
          <w:color w:val="000000" w:themeColor="text1"/>
          <w:sz w:val="32"/>
          <w:szCs w:val="32"/>
          <w:highlight w:val="none"/>
          <w14:textFill>
            <w14:solidFill>
              <w14:schemeClr w14:val="tx1"/>
            </w14:solidFill>
          </w14:textFill>
        </w:rPr>
        <w:t xml:space="preserve">四、响应文件的递交</w:t>
      </w:r>
      <w:bookmarkEnd w:id="110"/>
      <w:r/>
      <w:bookmarkEnd w:id="111"/>
      <w:r/>
      <w:bookmarkEnd w:id="112"/>
      <w:r/>
      <w:bookmarkEnd w:id="113"/>
      <w:r/>
      <w:r/>
    </w:p>
    <w:p>
      <w:pPr>
        <w:ind w:firstLine="561"/>
        <w:keepLines/>
        <w:keepNext/>
        <w:pageBreakBefore w:val="0"/>
        <w:spacing w:line="360" w:lineRule="auto"/>
        <w:widowControl w:val="off"/>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14" w:name="_Toc462564084"/>
      <w:r/>
      <w:bookmarkStart w:id="115" w:name="_Toc20823297"/>
      <w:r/>
      <w:bookmarkStart w:id="116" w:name="_Toc513029225"/>
      <w:r/>
      <w:bookmarkStart w:id="117" w:name="_Toc1693854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bookmarkEnd w:id="114"/>
      <w:r/>
      <w:bookmarkEnd w:id="115"/>
      <w:r/>
      <w:bookmarkEnd w:id="116"/>
      <w:r/>
      <w:bookmarkEnd w:id="117"/>
      <w:r>
        <w:rPr>
          <w:rFonts w:hint="eastAsia" w:ascii="黑体" w:hAnsi="Arial" w:eastAsia="黑体" w:cs="Arial"/>
          <w:color w:val="000000" w:themeColor="text1"/>
          <w:sz w:val="28"/>
          <w:szCs w:val="28"/>
          <w:highlight w:val="none"/>
          <w14:textFill>
            <w14:solidFill>
              <w14:schemeClr w14:val="tx1"/>
            </w14:solidFill>
          </w14:textFill>
        </w:rPr>
        <w:t xml:space="preserve">响应文件的递交</w:t>
      </w:r>
      <w:r/>
    </w:p>
    <w:p>
      <w:pPr>
        <w:ind w:firstLine="480"/>
        <w:keepLines w:val="0"/>
        <w:keepNext w:val="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118" w:name="_Toc16938542"/>
      <w:r/>
      <w:bookmarkStart w:id="119" w:name="_Toc20823298"/>
      <w:r/>
      <w:bookmarkStart w:id="120" w:name="_Toc513029226"/>
      <w:r/>
      <w:r/>
    </w:p>
    <w:p>
      <w:pPr>
        <w:ind w:firstLine="560"/>
        <w:keepLines/>
        <w:keepNext/>
        <w:pageBreakBefore w:val="0"/>
        <w:spacing w:before="280" w:after="290" w:line="360" w:lineRule="auto"/>
        <w:widowControl w:val="off"/>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、提交响应文件截止时间</w:t>
      </w:r>
      <w:bookmarkEnd w:id="118"/>
      <w:r/>
      <w:bookmarkEnd w:id="119"/>
      <w:r/>
      <w:bookmarkEnd w:id="120"/>
      <w:r/>
      <w:r/>
    </w:p>
    <w:p>
      <w:pPr>
        <w:ind w:firstLine="480"/>
        <w:pageBreakBefore w:val="0"/>
        <w:spacing w:line="360" w:lineRule="auto"/>
        <w:widowControl w:val="off"/>
        <w:rPr>
          <w:rFonts w:hint="eastAsia" w:ascii="宋体" w:hAnsi="宋体"/>
          <w:bCs/>
          <w:i/>
          <w:color w:val="000000" w:themeColor="text1"/>
          <w:sz w:val="24"/>
          <w:szCs w:val="21"/>
          <w:highlight w:val="none"/>
          <w:u w:val="single"/>
          <w14:textFill>
            <w14:solidFill>
              <w14:schemeClr w14:val="tx1"/>
            </w14:solidFill>
          </w14:textFill>
        </w:rPr>
      </w:pPr>
      <w:r>
        <w:rPr>
          <w:rFonts w:ascii="宋体" w:hAnsi="宋体"/>
          <w:i/>
          <w:color w:val="000000" w:themeColor="text1"/>
          <w:sz w:val="24"/>
          <w:szCs w:val="21"/>
          <w:highlight w:val="none"/>
          <w:u w:val="single"/>
          <w14:textFill>
            <w14:solidFill>
              <w14:schemeClr w14:val="tx1"/>
            </w14:solidFill>
          </w14:textFill>
        </w:rPr>
        <w:t xml:space="preserve">19</w:t>
      </w:r>
      <w:r>
        <w:rPr>
          <w:rFonts w:hint="eastAsia" w:ascii="宋体" w:hAnsi="宋体"/>
          <w:i/>
          <w:color w:val="000000" w:themeColor="text1"/>
          <w:sz w:val="24"/>
          <w:szCs w:val="21"/>
          <w:highlight w:val="none"/>
          <w:u w:val="single"/>
          <w14:textFill>
            <w14:solidFill>
              <w14:schemeClr w14:val="tx1"/>
            </w14:solidFill>
          </w14:textFill>
        </w:rPr>
        <w:t xml:space="preserve">.1</w:t>
      </w:r>
      <w:r>
        <w:rPr>
          <w:rFonts w:hint="eastAsia" w:ascii="宋体" w:hAnsi="宋体"/>
          <w:bCs/>
          <w:i/>
          <w:color w:val="000000" w:themeColor="text1"/>
          <w:sz w:val="24"/>
          <w:highlight w:val="none"/>
          <w:u w:val="single"/>
          <w14:textFill>
            <w14:solidFill>
              <w14:schemeClr w14:val="tx1"/>
            </w14:solidFill>
          </w14:textFill>
        </w:rPr>
        <w:t xml:space="preserve">供应商上传电子响应文件的时间不得迟于单一来源采购邀请中规定的截止时间。</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bookmarkStart w:id="121" w:name="_Toc16938543"/>
      <w:r/>
      <w:bookmarkStart w:id="122" w:name="_Toc20823299"/>
      <w:r/>
      <w:bookmarkStart w:id="123" w:name="_Toc513029227"/>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我公司可以按照规定，通过修改采购文件酌情延长截止时间，在此情况下，供应商的所有权利和义务以及供应商受制的截止时间以延长后新的截止时间为准。</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、响应文件</w:t>
      </w:r>
      <w:bookmarkEnd w:id="121"/>
      <w:r/>
      <w:bookmarkEnd w:id="122"/>
      <w:r/>
      <w:bookmarkEnd w:id="123"/>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20.1我公司拒绝接收在其规定的截止时间后上传的任何电子响应文件。</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4" w:name="_Toc20823300"/>
      <w:r/>
      <w:bookmarkStart w:id="125" w:name="_Toc513029228"/>
      <w:r/>
      <w:bookmarkStart w:id="126" w:name="_Toc1693854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、响应文件的撤回和修改</w:t>
      </w:r>
      <w:bookmarkEnd w:id="124"/>
      <w:r/>
      <w:bookmarkEnd w:id="125"/>
      <w:r/>
      <w:bookmarkEnd w:id="126"/>
      <w:r/>
      <w:r/>
    </w:p>
    <w:p>
      <w:pPr>
        <w:ind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ind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.1.1电子响应文件的撤回</w:t>
      </w:r>
      <w:r/>
    </w:p>
    <w:p>
      <w:pPr>
        <w:ind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供应商可在截止时间前，撤回其电子响应文件，具体操作方法见《操作手册》。</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供应商撤回电子响应文件，则认为其不再参与本项目采购活动。</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.2响应文件的修改</w:t>
      </w:r>
      <w:r/>
    </w:p>
    <w:p>
      <w:pPr>
        <w:ind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供应商可在截止时间前，对其电子响应文件进行修改，具体操作方法见《操作手册》。</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在截止时间之后，供应商不得对其电子响应文件作任何修改。</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在截止时间至有效期满之间的这段时间内，供应商不得撤回其响应文件。</w:t>
      </w:r>
      <w:r/>
    </w:p>
    <w:p>
      <w:pPr>
        <w:ind w:firstLine="482"/>
        <w:keepLines/>
        <w:keepNext/>
        <w:pageBreakBefore w:val="0"/>
        <w:spacing w:before="145" w:after="145"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27" w:name="_Toc513029229"/>
      <w:r/>
      <w:bookmarkStart w:id="128" w:name="_Toc120614218"/>
      <w:r/>
      <w:bookmarkStart w:id="129" w:name="_Toc20823301"/>
      <w:r/>
      <w:bookmarkStart w:id="130" w:name="_Toc16938545"/>
      <w:r>
        <w:rPr>
          <w:rFonts w:hint="eastAsia" w:ascii="Times New Roman" w:hAnsi="Times New Roman"/>
          <w:b/>
          <w:bCs/>
          <w:color w:val="000000" w:themeColor="text1"/>
          <w:sz w:val="32"/>
          <w:szCs w:val="32"/>
          <w:highlight w:val="none"/>
          <w14:textFill>
            <w14:solidFill>
              <w14:schemeClr w14:val="tx1"/>
            </w14:solidFill>
          </w14:textFill>
        </w:rPr>
        <w:t xml:space="preserve">五、响应文件的解密与评审</w:t>
      </w:r>
      <w:bookmarkEnd w:id="127"/>
      <w:r/>
      <w:bookmarkEnd w:id="128"/>
      <w:r/>
      <w:bookmarkEnd w:id="129"/>
      <w:r/>
      <w:bookmarkEnd w:id="130"/>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1" w:name="_Toc513029230"/>
      <w:r/>
      <w:bookmarkStart w:id="132" w:name="_Toc16938546"/>
      <w:r/>
      <w:bookmarkStart w:id="133" w:name="_Toc20823302"/>
      <w:r>
        <w:rPr>
          <w:rFonts w:hint="eastAsia" w:ascii="Arial" w:hAnsi="Arial" w:eastAsia="黑体" w:cs="Arial"/>
          <w:color w:val="000000" w:themeColor="text1"/>
          <w:sz w:val="28"/>
          <w:szCs w:val="28"/>
          <w:highlight w:val="none"/>
          <w14:textFill>
            <w14:solidFill>
              <w14:schemeClr w14:val="tx1"/>
            </w14:solidFill>
          </w14:textFill>
        </w:rPr>
        <w:t xml:space="preserve">22、</w:t>
      </w:r>
      <w:bookmarkEnd w:id="131"/>
      <w:r/>
      <w:bookmarkEnd w:id="132"/>
      <w:r/>
      <w:bookmarkEnd w:id="133"/>
      <w:r>
        <w:rPr>
          <w:rFonts w:hint="eastAsia" w:ascii="Arial" w:hAnsi="Arial" w:eastAsia="黑体" w:cs="Arial"/>
          <w:color w:val="000000" w:themeColor="text1"/>
          <w:sz w:val="28"/>
          <w:szCs w:val="28"/>
          <w:highlight w:val="none"/>
          <w14:textFill>
            <w14:solidFill>
              <w14:schemeClr w14:val="tx1"/>
            </w14:solidFill>
          </w14:textFill>
        </w:rPr>
        <w:t xml:space="preserve">响应文件解密</w:t>
      </w:r>
      <w:r/>
    </w:p>
    <w:p>
      <w:pPr>
        <w:ind w:firstLine="360"/>
        <w:pageBreakBefore w:val="0"/>
        <w:spacing w:line="360" w:lineRule="auto"/>
        <w:widowControl w:val="off"/>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供应商应当按照《操作手册》规定，在苏采云系统规定的时间内对响应文件进行解密。</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4" w:name="_Toc513029231"/>
      <w:r/>
      <w:bookmarkStart w:id="135" w:name="_Toc16938547"/>
      <w:r/>
      <w:bookmarkStart w:id="136"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、单一来源谈判小组</w:t>
      </w:r>
      <w:r/>
    </w:p>
    <w:p>
      <w:pPr>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23.1单一来源谈判小组（以下简称“谈判小组”）由政府采购评审专家、采购人代表组成，且人员构成符合政府采购有关规定。</w:t>
      </w:r>
      <w:r/>
    </w:p>
    <w:p>
      <w:pPr>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.2谈判小组应当按照客观、公正、审慎的原则评审供应商的响应文件，并与</w:t>
      </w:r>
      <w:r>
        <w:rPr>
          <w:rFonts w:hint="eastAsia" w:ascii="宋体" w:hAnsi="宋体"/>
          <w:bCs/>
          <w:color w:val="000000" w:themeColor="text1"/>
          <w:sz w:val="24"/>
          <w:szCs w:val="21"/>
          <w:highlight w:val="none"/>
          <w14:textFill>
            <w14:solidFill>
              <w14:schemeClr w14:val="tx1"/>
            </w14:solidFill>
          </w14:textFill>
        </w:rPr>
        <w:t xml:space="preserve">供应商协商采购标的的价格</w:t>
      </w:r>
      <w:r>
        <w:rPr>
          <w:rFonts w:hint="eastAsia" w:ascii="宋体" w:hAnsi="宋体"/>
          <w:color w:val="000000" w:themeColor="text1"/>
          <w:sz w:val="24"/>
          <w:szCs w:val="24"/>
          <w:highlight w:val="none"/>
          <w14:textFill>
            <w14:solidFill>
              <w14:schemeClr w14:val="tx1"/>
            </w14:solidFill>
          </w14:textFill>
        </w:rPr>
        <w:t xml:space="preserve">。</w:t>
      </w:r>
      <w:r/>
    </w:p>
    <w:p>
      <w:pPr>
        <w:ind w:firstLine="280"/>
        <w:pageBreakBefore w:val="0"/>
        <w:spacing w:line="360" w:lineRule="auto"/>
        <w:widowControl w:val="off"/>
        <w:rPr>
          <w:rFonts w:hint="eastAsia" w:ascii="黑体" w:hAnsi="Arial" w:eastAsia="黑体" w:cs="Arial"/>
          <w:color w:val="000000" w:themeColor="text1"/>
          <w:sz w:val="28"/>
          <w:szCs w:val="28"/>
          <w:highlight w:val="none"/>
          <w14:textFill>
            <w14:solidFill>
              <w14:schemeClr w14:val="tx1"/>
            </w14:solidFill>
          </w14:textFill>
        </w:rPr>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、单一来源谈判过程的保密与公正</w:t>
      </w:r>
      <w:bookmarkEnd w:id="134"/>
      <w:bookmarkEnd w:id="135"/>
      <w:bookmarkEnd w:id="136"/>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bookmarkStart w:id="137" w:name="_Toc16938548"/>
      <w:r/>
      <w:bookmarkStart w:id="138" w:name="_Toc20823304"/>
      <w:r/>
      <w:bookmarkStart w:id="139" w:name="_Toc513029232"/>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.1谈判小组</w:t>
      </w:r>
      <w:r>
        <w:rPr>
          <w:rFonts w:ascii="宋体" w:hAnsi="宋体"/>
          <w:bCs/>
          <w:color w:val="000000" w:themeColor="text1"/>
          <w:sz w:val="24"/>
          <w:szCs w:val="21"/>
          <w:highlight w:val="none"/>
          <w14:textFill>
            <w14:solidFill>
              <w14:schemeClr w14:val="tx1"/>
            </w14:solidFill>
          </w14:textFill>
        </w:rPr>
        <w:t xml:space="preserve">、采购人和我公司工作人员、相关监督人员等与评审工作有关的人员，对评审</w:t>
      </w:r>
      <w:r>
        <w:rPr>
          <w:rFonts w:hint="eastAsia" w:ascii="宋体" w:hAnsi="宋体"/>
          <w:bCs/>
          <w:color w:val="000000" w:themeColor="text1"/>
          <w:sz w:val="24"/>
          <w:szCs w:val="21"/>
          <w:highlight w:val="none"/>
          <w14:textFill>
            <w14:solidFill>
              <w14:schemeClr w14:val="tx1"/>
            </w14:solidFill>
          </w14:textFill>
        </w:rPr>
        <w:t xml:space="preserve">、单一来源谈判</w:t>
      </w:r>
      <w:r>
        <w:rPr>
          <w:rFonts w:ascii="宋体" w:hAnsi="宋体"/>
          <w:bCs/>
          <w:color w:val="000000" w:themeColor="text1"/>
          <w:sz w:val="24"/>
          <w:szCs w:val="21"/>
          <w:highlight w:val="none"/>
          <w14:textFill>
            <w14:solidFill>
              <w14:schemeClr w14:val="tx1"/>
            </w14:solidFill>
          </w14:textFill>
        </w:rPr>
        <w:t xml:space="preserve">情况以及在评审</w:t>
      </w:r>
      <w:r>
        <w:rPr>
          <w:rFonts w:hint="eastAsia" w:ascii="宋体" w:hAnsi="宋体"/>
          <w:bCs/>
          <w:color w:val="000000" w:themeColor="text1"/>
          <w:sz w:val="24"/>
          <w:szCs w:val="21"/>
          <w:highlight w:val="none"/>
          <w14:textFill>
            <w14:solidFill>
              <w14:schemeClr w14:val="tx1"/>
            </w14:solidFill>
          </w14:textFill>
        </w:rPr>
        <w:t xml:space="preserve">、单一来源谈判</w:t>
      </w:r>
      <w:r>
        <w:rPr>
          <w:rFonts w:ascii="宋体" w:hAnsi="宋体"/>
          <w:bCs/>
          <w:color w:val="000000" w:themeColor="text1"/>
          <w:sz w:val="24"/>
          <w:szCs w:val="21"/>
          <w:highlight w:val="none"/>
          <w14:textFill>
            <w14:solidFill>
              <w14:schemeClr w14:val="tx1"/>
            </w14:solidFill>
          </w14:textFill>
        </w:rPr>
        <w:t xml:space="preserve">过程</w:t>
      </w:r>
      <w:r>
        <w:rPr>
          <w:rFonts w:hint="eastAsia" w:ascii="宋体" w:hAnsi="宋体"/>
          <w:bCs/>
          <w:color w:val="000000" w:themeColor="text1"/>
          <w:sz w:val="24"/>
          <w:szCs w:val="21"/>
          <w:highlight w:val="none"/>
          <w14:textFill>
            <w14:solidFill>
              <w14:schemeClr w14:val="tx1"/>
            </w14:solidFill>
          </w14:textFill>
        </w:rPr>
        <w:t xml:space="preserve">（以下简称“谈判过程”）</w:t>
      </w:r>
      <w:r>
        <w:rPr>
          <w:rFonts w:ascii="宋体" w:hAnsi="宋体"/>
          <w:bCs/>
          <w:color w:val="000000" w:themeColor="text1"/>
          <w:sz w:val="24"/>
          <w:szCs w:val="21"/>
          <w:highlight w:val="none"/>
          <w14:textFill>
            <w14:solidFill>
              <w14:schemeClr w14:val="tx1"/>
            </w14:solidFill>
          </w14:textFill>
        </w:rPr>
        <w:t xml:space="preserve">中获悉的国家秘密、商业秘密负有保密责任。</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.2在</w:t>
      </w:r>
      <w:r>
        <w:rPr>
          <w:rFonts w:hint="eastAsia" w:ascii="宋体" w:hAnsi="宋体"/>
          <w:color w:val="000000" w:themeColor="text1"/>
          <w:sz w:val="24"/>
          <w:szCs w:val="24"/>
          <w:highlight w:val="none"/>
          <w14:textFill>
            <w14:solidFill>
              <w14:schemeClr w14:val="tx1"/>
            </w14:solidFill>
          </w14:textFill>
        </w:rPr>
        <w:t xml:space="preserve">谈判过程中，供应商不得以任何行为影响评审及谈判过程，否则将会导致其响应文件被拒绝。</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、评审及谈判过程中的澄清</w:t>
      </w:r>
      <w:bookmarkEnd w:id="137"/>
      <w:r/>
      <w:bookmarkEnd w:id="138"/>
      <w:r/>
      <w:bookmarkEnd w:id="139"/>
      <w:r/>
      <w:r/>
    </w:p>
    <w:p>
      <w:pPr>
        <w:ind w:firstLine="48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25.1项目评审及谈判过程中，谈判小组有权要求供应商对响应文件中含义不明确、同类问题表述不一致或者有明显文字和计算错误的内容等作出必要的澄清、说明或者更正。</w:t>
      </w:r>
      <w:r/>
    </w:p>
    <w:p>
      <w:pPr>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.2需要供应商进行澄清、说明和更正的，谈判小组将通过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14:textFill>
            <w14:solidFill>
              <w14:schemeClr w14:val="tx1"/>
            </w14:solidFill>
          </w14:textFill>
        </w:rPr>
        <w:t xml:space="preserve">方式</w:t>
      </w:r>
      <w:r>
        <w:rPr>
          <w:rFonts w:ascii="宋体" w:hAnsi="宋体" w:cs="宋体"/>
          <w:color w:val="000000" w:themeColor="text1"/>
          <w:sz w:val="24"/>
          <w:szCs w:val="24"/>
          <w:highlight w:val="none"/>
          <w14:textFill>
            <w14:solidFill>
              <w14:schemeClr w14:val="tx1"/>
            </w14:solidFill>
          </w14:textFill>
        </w:rPr>
        <w:t xml:space="preserve">见</w:t>
      </w:r>
      <w:r>
        <w:rPr>
          <w:rFonts w:hint="eastAsia" w:ascii="宋体" w:hAnsi="宋体" w:cs="宋体"/>
          <w:color w:val="000000" w:themeColor="text1"/>
          <w:sz w:val="24"/>
          <w:szCs w:val="24"/>
          <w:highlight w:val="none"/>
          <w14:textFill>
            <w14:solidFill>
              <w14:schemeClr w14:val="tx1"/>
            </w14:solidFill>
          </w14:textFill>
        </w:rPr>
        <w:t xml:space="preserve">《操作手册》。</w:t>
      </w:r>
      <w:r/>
    </w:p>
    <w:p>
      <w:pPr>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.3接到谈判小组澄清、说明和更正要求的供应商如未按规定做出澄清、说明和 更正，其风险由供应商自行承担。</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0" w:name="_Toc513029233"/>
      <w:r/>
      <w:bookmarkStart w:id="141" w:name="_Toc20823305"/>
      <w:r/>
      <w:bookmarkStart w:id="142" w:name="_Toc16938549"/>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、对响应文件的审</w:t>
      </w:r>
      <w:bookmarkEnd w:id="140"/>
      <w:r/>
      <w:bookmarkEnd w:id="141"/>
      <w:r/>
      <w:bookmarkEnd w:id="142"/>
      <w:r>
        <w:rPr>
          <w:rFonts w:hint="eastAsia" w:ascii="Arial" w:hAnsi="Arial" w:eastAsia="黑体" w:cs="Arial"/>
          <w:color w:val="000000" w:themeColor="text1"/>
          <w:sz w:val="28"/>
          <w:szCs w:val="28"/>
          <w:highlight w:val="none"/>
          <w14:textFill>
            <w14:solidFill>
              <w14:schemeClr w14:val="tx1"/>
            </w14:solidFill>
          </w14:textFill>
        </w:rPr>
        <w:t xml:space="preserve">查</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资格审查：由谈判小组依据法律法规和谈判文件的规定，对响应文件中的资格证明文件进行审查，以确定供应商是否具备参加单一来源谈判的资格。</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谈判小组在进行资格审查的同时，将在“信用中国”网站（www.creditchina.gov.cn）查询供应商的信用记录，以确定供应商是否具备谈判资格,查询结果留存并归档。</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.1.2符合性审查：依据采购文件的规定，由谈判小组从响应文件的有效性、完整性和对采购文件的响应程度进行审查，以确定是否对谈判文件的实质性要求作出响应。</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.1.3未通过资格审查或符合性审查的供应商，谈判小组将在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中告知未通过资格审查或符合性审查的原因，评审结束后，谈判小组将不再告知未通过资格审查或符合性审查的原因。</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采购文件规定的实质性要求存在负偏离，或者在实质上与采购文件不一致，而且限制了合同中买方和我公司的权利或供应商的义务。重大偏离由谈判小组按照少数服从多数的原则认定。谈判小组决定响应文件的响应性只根据响应文件本身的内容，而不寻求外部的证据。</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26.3未实质性响应采购文件的情形</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26.3.2供应商未按照采购文件要求上传电子响应文件的。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26.3.3供应商提交两个（含两个）以上不同的响应文件或者最后报价的。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26.3.4供应商不具备采购文件中规定资格要求的。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26.3.6不符合采购文件中规定的实质性要求和条件的</w:t>
      </w:r>
      <w:r>
        <w:rPr>
          <w:rFonts w:hint="eastAsia" w:ascii="宋体" w:hAnsi="宋体"/>
          <w:bCs/>
          <w:i/>
          <w:color w:val="000000" w:themeColor="text1"/>
          <w:sz w:val="24"/>
          <w:szCs w:val="21"/>
          <w:highlight w:val="none"/>
          <w:u w:val="single"/>
          <w14:textFill>
            <w14:solidFill>
              <w14:schemeClr w14:val="tx1"/>
            </w14:solidFill>
          </w14:textFill>
        </w:rPr>
        <w:t xml:space="preserve">（本采购文件中斜体且有下划线部分为实质性要求和条件）。</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26.3.8响应文件含有采购人不能接受的附加条件的。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26.3.10响应文件未按照谈判文件要求加盖CA电子公章的。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26.4未实质性响应采购文件的响应文件按无效响应处理。</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如果响应文件实质上没有响应采购文件的要求，谈判小组将予以拒绝。</w:t>
      </w:r>
      <w:r/>
    </w:p>
    <w:p>
      <w:pPr>
        <w:ind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bookmarkStart w:id="143" w:name="_Toc20823306"/>
      <w:r/>
      <w:bookmarkStart w:id="144" w:name="_Toc16938550"/>
      <w:r/>
      <w:bookmarkStart w:id="145"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.6供应商在项目评审及谈判全过程中应保持通讯畅通，并安排专人与我公司及谈判小组联系。</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143"/>
      <w:r/>
      <w:bookmarkEnd w:id="144"/>
      <w:r/>
      <w:bookmarkEnd w:id="145"/>
      <w:r>
        <w:rPr>
          <w:rFonts w:hint="eastAsia" w:ascii="Arial" w:hAnsi="Arial" w:eastAsia="黑体" w:cs="Arial"/>
          <w:color w:val="000000" w:themeColor="text1"/>
          <w:sz w:val="28"/>
          <w:szCs w:val="28"/>
          <w:highlight w:val="none"/>
          <w14:textFill>
            <w14:solidFill>
              <w14:schemeClr w14:val="tx1"/>
            </w14:solidFill>
          </w14:textFill>
        </w:rPr>
        <w:t xml:space="preserve">单一来源谈判及成交原则</w:t>
      </w:r>
      <w:r/>
    </w:p>
    <w:p>
      <w:pPr>
        <w:ind w:left="479"/>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.1单一来源谈判</w:t>
      </w:r>
      <w:r/>
    </w:p>
    <w:p>
      <w:pPr>
        <w:ind w:firstLine="422"/>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对于通过资格审查和符合性审查的供应商，谈判小组将通过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与其就采购标的的价格、服务等内容进行单一来源谈判。</w:t>
      </w:r>
      <w:r>
        <w:rPr>
          <w:rFonts w:hint="eastAsia" w:ascii="宋体" w:hAnsi="宋体" w:cs="宋体"/>
          <w:b/>
          <w:sz w:val="24"/>
          <w:szCs w:val="24"/>
          <w:highlight w:val="none"/>
          <w:lang w:bidi="ar"/>
        </w:rPr>
        <w:t xml:space="preserve">提交最后报价的规定时间为十分钟，超过规定的时间视为放弃提交最后报价。</w:t>
      </w:r>
      <w:r/>
    </w:p>
    <w:p>
      <w:pPr>
        <w:ind w:firstLine="478"/>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.1.2</w:t>
      </w:r>
      <w:r>
        <w:rPr>
          <w:rFonts w:hint="eastAsia" w:ascii="宋体" w:hAnsi="宋体"/>
          <w:color w:val="000000" w:themeColor="text1"/>
          <w:sz w:val="24"/>
          <w:szCs w:val="21"/>
          <w:highlight w:val="none"/>
          <w14:textFill>
            <w14:solidFill>
              <w14:schemeClr w14:val="tx1"/>
            </w14:solidFill>
          </w14:textFill>
        </w:rPr>
        <w:t xml:space="preserve">供应商应当在</w:t>
      </w:r>
      <w:r>
        <w:rPr>
          <w:rFonts w:hint="eastAsia" w:ascii="宋体" w:hAnsi="宋体"/>
          <w:color w:val="000000" w:themeColor="text1"/>
          <w:sz w:val="24"/>
          <w:szCs w:val="24"/>
          <w:highlight w:val="none"/>
          <w14:textFill>
            <w14:solidFill>
              <w14:schemeClr w14:val="tx1"/>
            </w14:solidFill>
          </w14:textFill>
        </w:rPr>
        <w:t xml:space="preserve">苏采云系统中</w:t>
      </w:r>
      <w:r>
        <w:rPr>
          <w:rFonts w:hint="eastAsia" w:ascii="宋体" w:hAnsi="宋体"/>
          <w:color w:val="000000" w:themeColor="text1"/>
          <w:sz w:val="24"/>
          <w:szCs w:val="21"/>
          <w:highlight w:val="none"/>
          <w14:textFill>
            <w14:solidFill>
              <w14:schemeClr w14:val="tx1"/>
            </w14:solidFill>
          </w14:textFill>
        </w:rPr>
        <w:t xml:space="preserve">以书面形式对谈判过程中做出的承诺与澄清进行确认，并在谈判小组规定的时间内完成最后报价。</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.1.3</w:t>
      </w:r>
      <w:r>
        <w:rPr>
          <w:rFonts w:hint="eastAsia" w:ascii="宋体" w:hAnsi="宋体"/>
          <w:color w:val="000000" w:themeColor="text1"/>
          <w:sz w:val="24"/>
          <w:szCs w:val="21"/>
          <w:highlight w:val="none"/>
          <w14:textFill>
            <w14:solidFill>
              <w14:schemeClr w14:val="tx1"/>
            </w14:solidFill>
          </w14:textFill>
        </w:rPr>
        <w:t xml:space="preserve">供应商的最后报价在响应产品数量没有增加，配置、服务没有重大提高的情况下，一般不允许高于第一次报价（即单一来源谈判分项报价表</w:t>
      </w:r>
      <w:r>
        <w:rPr>
          <w:rFonts w:hint="eastAsia" w:ascii="宋体" w:hAnsi="宋体"/>
          <w:bCs/>
          <w:color w:val="000000" w:themeColor="text1"/>
          <w:sz w:val="24"/>
          <w:szCs w:val="21"/>
          <w:highlight w:val="none"/>
          <w14:textFill>
            <w14:solidFill>
              <w14:schemeClr w14:val="tx1"/>
            </w14:solidFill>
          </w14:textFill>
        </w:rPr>
        <w:t xml:space="preserve">中的</w:t>
      </w:r>
      <w:r>
        <w:rPr>
          <w:rFonts w:hint="eastAsia" w:ascii="宋体" w:hAnsi="宋体"/>
          <w:color w:val="000000" w:themeColor="text1"/>
          <w:sz w:val="24"/>
          <w:szCs w:val="21"/>
          <w:highlight w:val="none"/>
          <w14:textFill>
            <w14:solidFill>
              <w14:schemeClr w14:val="tx1"/>
            </w14:solidFill>
          </w14:textFill>
        </w:rPr>
        <w:t xml:space="preserve">报价）。否则，谈判小组有权拒绝该最后报价并不再给予报价补救机会。</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.2成交原则</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谈判小组根据政府采购相关法律、规章的规定，在供应商的响应情况能保证采购项目质量且最后报价合理的基础上确定其为成交供应商。</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单一来源谈判终止情形处理</w:t>
      </w:r>
      <w:r/>
    </w:p>
    <w:p>
      <w:pPr>
        <w:ind w:firstLine="480"/>
        <w:pageBreakBefore w:val="0"/>
        <w:spacing w:line="360" w:lineRule="auto"/>
        <w:widowControl w:val="off"/>
        <w:rPr>
          <w:rFonts w:hint="eastAsia" w:ascii="宋体" w:hAnsi="宋体" w:eastAsia="宋体"/>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出现下列情形之一的，我公司将终止采购活动，发布项目终止公告并说明原因，重新开展采购活动</w:t>
      </w:r>
      <w:r>
        <w:rPr>
          <w:rFonts w:hint="eastAsia" w:ascii="宋体" w:hAnsi="宋体"/>
          <w:bCs/>
          <w:color w:val="000000" w:themeColor="text1"/>
          <w:sz w:val="24"/>
          <w:szCs w:val="21"/>
          <w:highlight w:val="none"/>
          <w:lang w:eastAsia="zh-CN"/>
          <w14:textFill>
            <w14:solidFill>
              <w14:schemeClr w14:val="tx1"/>
            </w14:solidFill>
          </w14:textFill>
        </w:rPr>
        <w:t xml:space="preserve">；</w:t>
      </w:r>
      <w:r/>
    </w:p>
    <w:p>
      <w:pPr>
        <w:ind w:left="719" w:hanging="24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27.3.1因情况变化，不再符合规定的单一来源采购方式适用情形的；</w:t>
      </w:r>
      <w:r/>
    </w:p>
    <w:p>
      <w:pPr>
        <w:ind w:left="719" w:hanging="24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27.3.2出现影响采购公正的违法、违规行为的；</w:t>
      </w:r>
      <w:r/>
    </w:p>
    <w:p>
      <w:pPr>
        <w:ind w:left="719" w:hanging="24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27.3.3供应商最后报价超过采购预算的；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27.3.4供应商的技术方案、服务承诺、商务条款等不能满足采购人或谈判小组的要求；</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27.3.5法律、法规、规章规定的其他应当终止的情形。</w:t>
      </w:r>
      <w:r/>
    </w:p>
    <w:p>
      <w:pPr>
        <w:ind w:firstLine="482"/>
        <w:keepLines/>
        <w:keepNext/>
        <w:pageBreakBefore w:val="0"/>
        <w:spacing w:before="145" w:after="145" w:line="360" w:lineRule="auto"/>
        <w:widowControl w:val="off"/>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六、成交</w:t>
      </w:r>
      <w:r/>
    </w:p>
    <w:p>
      <w:pPr>
        <w:ind w:firstLine="420"/>
        <w:keepLines/>
        <w:keepNext/>
        <w:pageBreakBefore w:val="0"/>
        <w:spacing w:line="360" w:lineRule="auto"/>
        <w:widowControl w:val="off"/>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28、确定成交供应商</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.1谈判小组根据谈判情况编写单一来源评审报告，推荐成交候选供应商。</w:t>
      </w:r>
      <w:r/>
    </w:p>
    <w:p>
      <w:pPr>
        <w:ind w:firstLine="48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28.2 采购人根据谈判小组推荐的成交候选供应商确定成交供应商。</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28.3</w:t>
      </w:r>
      <w:r>
        <w:rPr>
          <w:rFonts w:hint="eastAsia" w:ascii="宋体" w:hAnsi="宋体"/>
          <w:bCs/>
          <w:color w:val="000000" w:themeColor="text1"/>
          <w:sz w:val="24"/>
          <w:szCs w:val="21"/>
          <w:highlight w:val="none"/>
          <w14:textFill>
            <w14:solidFill>
              <w14:schemeClr w14:val="tx1"/>
            </w14:solidFill>
          </w14:textFill>
        </w:rPr>
        <w:t xml:space="preserve">若有充分证据证明，成交供应商出现下列情况之一的，一经查实，将被取消成交资格：</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1提供虚假材料谋取成交的。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2与评审专家、采购人、其他供应商或者我公司工作人员恶意串通的。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向评审专家、采购人或我公司工作人员行贿或者提供其他不正当利益的。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4恶意竞争，最后报价明显低于其自身合理成本且又无法提供证明的。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5不满足本采购文件规定的实质性要求，但在评审过程中又未被谈判小组发现的。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6成交后无正当理由拒不与采购人签订政府采购合同或者未按照采购文件确定的事项签订政府采购合同的。</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7将政府采购合同转包的。</w:t>
      </w:r>
      <w:r/>
    </w:p>
    <w:p>
      <w:pPr>
        <w:ind w:firstLine="600"/>
        <w:keepLines/>
        <w:keepNext/>
        <w:pageBreakBefore w:val="0"/>
        <w:spacing w:line="360" w:lineRule="auto"/>
        <w:widowControl w:val="off"/>
        <w:rPr>
          <w:rFonts w:hint="eastAsia" w:ascii="黑体" w:hAnsi="宋体" w:eastAsia="黑体"/>
          <w:bCs/>
          <w:color w:val="000000" w:themeColor="text1"/>
          <w:sz w:val="30"/>
          <w:szCs w:val="30"/>
          <w:highlight w:val="none"/>
          <w14:textFill>
            <w14:solidFill>
              <w14:schemeClr w14:val="tx1"/>
            </w14:solidFill>
          </w14:textFill>
        </w:rPr>
        <w:outlineLvl w:val="3"/>
      </w:pPr>
      <w:r/>
      <w:bookmarkStart w:id="146" w:name="_Toc200451960"/>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46"/>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29.1供应商认为采购过程和采购结果使自己的权益受到损害的，可以从采购结果公布之日起七个工作日内，以书面形式向我公司提出质疑。</w:t>
      </w:r>
      <w:r/>
    </w:p>
    <w:p>
      <w:pPr>
        <w:ind w:firstLine="480"/>
        <w:pageBreakBefore w:val="0"/>
        <w:spacing w:line="360" w:lineRule="auto"/>
        <w:widowControl w:val="off"/>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供应商应当在法定质疑期内一次性提出针对同一采购程序环节的质疑。供应商如在法定期限内对同一采购程序环节提出多次质疑的，我公司、</w:t>
      </w:r>
      <w:r>
        <w:rPr>
          <w:rFonts w:ascii="Times New Roman" w:hAnsi="宋体" w:cs="宋体"/>
          <w:color w:val="000000" w:themeColor="text1"/>
          <w:sz w:val="24"/>
          <w:szCs w:val="24"/>
          <w:highlight w:val="none"/>
          <w14:textFill>
            <w14:solidFill>
              <w14:schemeClr w14:val="tx1"/>
            </w14:solidFill>
          </w14:textFill>
        </w:rPr>
        <w:t xml:space="preserve">采购人</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.4只接收以纸质原件形式送达的质疑,建议供应商尽量通过邮寄方式提交质疑（采购人和采购代理不接受未填写快递运单的快件）。</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.5以下情形的质疑不予受理</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.5.1内容不符合《政府采购质疑和投诉办法》第十二条规定的质疑。</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.5.2超出政府采购法定期限的质疑。</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.5.3以传真、电子邮件等方式递交的非原件形式的质疑。</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.5.4未参加单一来源采购活动的供应商所提出的质疑。</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.5.5供应商组成联合体参加谈判，联合体中任何一方或多方未按要求签字、盖章、加盖公章的质疑。</w:t>
      </w:r>
      <w:r/>
    </w:p>
    <w:p>
      <w:pPr>
        <w:ind w:firstLine="468"/>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供应商提出书面质疑必须有理、有据，不得捏造事实、提供虚假材料进行恶意质疑。否则，一经查实，我公司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、成交通知书</w:t>
      </w:r>
      <w:r/>
    </w:p>
    <w:p>
      <w:pPr>
        <w:ind w:firstLine="60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0</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成交结果确定后，我公司将向成交供应商发出成交通知书。</w:t>
      </w:r>
      <w:r>
        <w:rPr>
          <w:rFonts w:hint="eastAsia" w:ascii="宋体" w:hAnsi="宋体" w:cs="宋体"/>
          <w:color w:val="000000" w:themeColor="text1"/>
          <w:sz w:val="24"/>
          <w:szCs w:val="24"/>
          <w:highlight w:val="none"/>
          <w14:textFill>
            <w14:solidFill>
              <w14:schemeClr w14:val="tx1"/>
            </w14:solidFill>
          </w14:textFill>
        </w:rPr>
        <w:t xml:space="preserve">请成交供应商在成交结果公告届满之日起30日内,使用CA数字证书登录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不再保证提供下载成交通知书服务,因未及时下载而造成的不利后果由成交供应商自行承担。</w:t>
      </w:r>
      <w:r/>
    </w:p>
    <w:p>
      <w:pPr>
        <w:ind w:firstLine="60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before="145" w:after="145"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47" w:name="_Toc120614220"/>
      <w:r/>
      <w:bookmarkStart w:id="148" w:name="_Toc20823308"/>
      <w:r/>
      <w:bookmarkStart w:id="149" w:name="_Toc513029236"/>
      <w:r/>
      <w:bookmarkStart w:id="150" w:name="_Toc16938552"/>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47"/>
      <w:r/>
      <w:bookmarkEnd w:id="148"/>
      <w:bookmarkEnd w:id="149"/>
      <w:bookmarkEnd w:id="150"/>
      <w:r/>
    </w:p>
    <w:p>
      <w:pPr>
        <w:ind w:firstLine="600"/>
        <w:keepLines/>
        <w:keepNext/>
        <w:pageBreakBefore w:val="0"/>
        <w:spacing w:line="360" w:lineRule="auto"/>
        <w:widowControl w:val="off"/>
        <w:rPr>
          <w:rFonts w:hint="eastAsia" w:ascii="黑体" w:hAnsi="宋体" w:eastAsia="黑体"/>
          <w:bCs/>
          <w:color w:val="000000" w:themeColor="text1"/>
          <w:sz w:val="30"/>
          <w:szCs w:val="30"/>
          <w:highlight w:val="none"/>
          <w14:textFill>
            <w14:solidFill>
              <w14:schemeClr w14:val="tx1"/>
            </w14:solidFill>
          </w14:textFill>
        </w:rPr>
        <w:outlineLvl w:val="3"/>
      </w:pPr>
      <w:r/>
      <w:bookmarkStart w:id="151" w:name="_Toc20823309"/>
      <w:r/>
      <w:bookmarkStart w:id="152" w:name="_Toc16938553"/>
      <w:r/>
      <w:bookmarkStart w:id="153" w:name="_Toc51302923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.l成交供应商应当在成交通知书发出之日起三十日内，按照采购文件确定的事项与采购人签订政府采购合同。</w:t>
      </w:r>
      <w:r/>
    </w:p>
    <w:p>
      <w:pPr>
        <w:ind w:firstLine="60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.2采购文件、成交供应商的响应文件及谈判过程中有关澄清、承诺文件均应作为合同附件。</w:t>
      </w:r>
      <w:r/>
    </w:p>
    <w:p>
      <w:pPr>
        <w:ind w:firstLine="60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.3签订合同后，</w:t>
      </w:r>
      <w:r>
        <w:rPr>
          <w:rFonts w:hint="eastAsia" w:ascii="宋体" w:hAnsi="宋体"/>
          <w:i/>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、标的物的追加</w:t>
      </w:r>
      <w:r/>
    </w:p>
    <w:p>
      <w:pPr>
        <w:ind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1"/>
      <w:bookmarkEnd w:id="152"/>
      <w:bookmarkEnd w:id="153"/>
      <w:r/>
    </w:p>
    <w:p>
      <w:pPr>
        <w:ind w:firstLine="600"/>
        <w:keepLines/>
        <w:keepNext/>
        <w:pageBreakBefore w:val="0"/>
        <w:spacing w:line="360" w:lineRule="auto"/>
        <w:widowControl w:val="off"/>
        <w:rPr>
          <w:rFonts w:ascii="黑体" w:hAnsi="宋体" w:eastAsia="黑体"/>
          <w:bCs/>
          <w:color w:val="000000" w:themeColor="text1"/>
          <w:sz w:val="30"/>
          <w:szCs w:val="30"/>
          <w:highlight w:val="none"/>
          <w14:textFill>
            <w14:solidFill>
              <w14:schemeClr w14:val="tx1"/>
            </w14:solidFill>
          </w14:textFill>
        </w:rPr>
        <w:outlineLvl w:val="3"/>
      </w:pPr>
      <w:r/>
      <w:bookmarkStart w:id="154" w:name="_Toc479757207"/>
      <w:r/>
      <w:bookmarkStart w:id="155" w:name="_Toc120614221"/>
      <w:r/>
      <w:bookmarkStart w:id="156" w:name="_Toc513029242"/>
      <w:r/>
      <w:bookmarkStart w:id="157" w:name="_Toc20823314"/>
      <w:r/>
      <w:bookmarkStart w:id="158" w:name="_Toc16938558"/>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6"/>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成交供应商可凭政府采购合同办理融资贷款，详情请见江苏政府采购网“政采贷”专栏。</w:t>
      </w:r>
      <w:r/>
    </w:p>
    <w:p>
      <w:pPr>
        <w:keepLines/>
        <w:keepNext/>
        <w:pageBreakBefore w:val="0"/>
        <w:spacing w:before="145" w:after="145"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八、代理收费标准</w:t>
      </w:r>
      <w:r/>
    </w:p>
    <w:p>
      <w:pPr>
        <w:pStyle w:val="854"/>
        <w:ind w:firstLine="600"/>
        <w:pageBreakBefore w:val="0"/>
        <w:spacing w:line="360" w:lineRule="auto"/>
        <w:widowControl w:val="off"/>
        <w:rPr>
          <w:rFonts w:hint="eastAsia" w:ascii="黑体" w:hAnsi="宋体" w:eastAsia="黑体"/>
          <w:bCs/>
          <w:color w:val="000000" w:themeColor="text1"/>
          <w:sz w:val="30"/>
          <w:szCs w:val="30"/>
          <w:highlight w:val="none"/>
          <w:lang w:val="en-US" w:eastAsia="zh-CN"/>
          <w14:textFill>
            <w14:solidFill>
              <w14:schemeClr w14:val="tx1"/>
            </w14:solidFill>
          </w14:textFill>
        </w:rPr>
      </w:pPr>
      <w:r>
        <w:rPr>
          <w:rFonts w:hint="eastAsia" w:ascii="黑体" w:hAnsi="宋体" w:eastAsia="黑体"/>
          <w:bCs/>
          <w:color w:val="000000" w:themeColor="text1"/>
          <w:sz w:val="30"/>
          <w:szCs w:val="30"/>
          <w:highlight w:val="none"/>
          <w:lang w:val="en-US" w:eastAsia="zh-CN"/>
          <w14:textFill>
            <w14:solidFill>
              <w14:schemeClr w14:val="tx1"/>
            </w14:solidFill>
          </w14:textFill>
        </w:rPr>
        <w:t xml:space="preserve">34、</w:t>
      </w:r>
      <w:r>
        <w:rPr>
          <w:rFonts w:hint="eastAsia" w:ascii="Times New Roman" w:hAnsi="Times New Roman"/>
          <w:b/>
          <w:bCs/>
          <w:color w:val="000000" w:themeColor="text1"/>
          <w:sz w:val="32"/>
          <w:szCs w:val="32"/>
          <w:highlight w:val="none"/>
          <w14:textFill>
            <w14:solidFill>
              <w14:schemeClr w14:val="tx1"/>
            </w14:solidFill>
          </w14:textFill>
        </w:rPr>
        <w:t xml:space="preserve">代理收费标准</w:t>
      </w:r>
      <w:r/>
    </w:p>
    <w:p>
      <w:pPr>
        <w:ind w:firstLine="556"/>
        <w:pageBreakBefore w:val="0"/>
        <w:spacing w:line="360" w:lineRule="auto"/>
        <w:widowControl w:val="off"/>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成交供应商单位向代理机构支付以差额累计法收费（按项目预算金额100万元以下，收取1.5%；100-500万元，收取1.1%；500-1000万元，收取0.8%；1000-5000万元，收取0.5%；5000-10000万元，收取0.25%）；</w:t>
      </w:r>
      <w:r>
        <w:rPr>
          <w:rFonts w:hint="eastAsia" w:ascii="宋体" w:hAnsi="宋体"/>
          <w:bCs/>
          <w:color w:val="000000" w:themeColor="text1"/>
          <w:sz w:val="24"/>
          <w:szCs w:val="24"/>
          <w:highlight w:val="none"/>
          <w:lang w:val="en-US" w:eastAsia="zh-CN"/>
          <w14:textFill>
            <w14:solidFill>
              <w14:schemeClr w14:val="tx1"/>
            </w14:solidFill>
          </w14:textFill>
        </w:rPr>
        <w:t xml:space="preserve">本项目收取成交服务费</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15880.00元。</w:t>
      </w:r>
      <w:r/>
    </w:p>
    <w:p>
      <w:pPr>
        <w:rPr>
          <w:rFonts w:hint="eastAsia"/>
          <w:highlight w:val="none"/>
        </w:rPr>
      </w:pPr>
      <w:r>
        <w:rPr>
          <w:rFonts w:hint="eastAsia"/>
          <w:highlight w:val="none"/>
        </w:rPr>
      </w:r>
      <w:r/>
    </w:p>
    <w:p>
      <w:pPr>
        <w:jc w:val="center"/>
        <w:keepLines/>
        <w:keepNext/>
        <w:spacing w:before="260" w:after="260" w:line="416" w:lineRule="auto"/>
        <w:rPr>
          <w:rFonts w:hint="eastAsia" w:ascii="黑体" w:hAnsi="Arial" w:eastAsia="黑体" w:cs="Arial"/>
          <w:b/>
          <w:bCs/>
          <w:color w:val="000000" w:themeColor="text1"/>
          <w:sz w:val="44"/>
          <w:szCs w:val="44"/>
          <w:highlight w:val="none"/>
          <w14:textFill>
            <w14:solidFill>
              <w14:schemeClr w14:val="tx1"/>
            </w14:solidFill>
          </w14:textFill>
        </w:rPr>
        <w:outlineLvl w:val="1"/>
      </w:pPr>
      <w:r>
        <w:rPr>
          <w:rFonts w:ascii="黑体" w:hAnsi="Times New Roman" w:eastAsia="黑体"/>
          <w:bCs/>
          <w:color w:val="000000" w:themeColor="text1"/>
          <w:sz w:val="44"/>
          <w:szCs w:val="28"/>
          <w:highlight w:val="none"/>
          <w14:textFill>
            <w14:solidFill>
              <w14:schemeClr w14:val="tx1"/>
            </w14:solidFill>
          </w14:textFill>
        </w:rPr>
        <w:br w:type="page" w:clear="all"/>
      </w:r>
      <w:r>
        <w:rPr>
          <w:rFonts w:hint="eastAsia" w:ascii="黑体" w:hAnsi="Arial" w:eastAsia="黑体" w:cs="Arial"/>
          <w:b/>
          <w:bCs/>
          <w:color w:val="000000" w:themeColor="text1"/>
          <w:sz w:val="44"/>
          <w:szCs w:val="44"/>
          <w:highlight w:val="none"/>
          <w14:textFill>
            <w14:solidFill>
              <w14:schemeClr w14:val="tx1"/>
            </w14:solidFill>
          </w14:textFill>
        </w:rPr>
        <w:t xml:space="preserve">第三章  合同</w:t>
      </w:r>
      <w:bookmarkEnd w:id="154"/>
      <w:r/>
      <w:bookmarkEnd w:id="155"/>
      <w:r/>
      <w:bookmarkEnd w:id="156"/>
      <w:r/>
      <w:bookmarkEnd w:id="157"/>
      <w:r/>
      <w:bookmarkEnd w:id="158"/>
      <w:r>
        <w:rPr>
          <w:rFonts w:hint="eastAsia" w:ascii="黑体" w:hAnsi="Arial" w:eastAsia="黑体" w:cs="Arial"/>
          <w:b/>
          <w:bCs/>
          <w:color w:val="000000" w:themeColor="text1"/>
          <w:sz w:val="44"/>
          <w:szCs w:val="44"/>
          <w:highlight w:val="none"/>
          <w14:textFill>
            <w14:solidFill>
              <w14:schemeClr w14:val="tx1"/>
            </w14:solidFill>
          </w14:textFill>
        </w:rPr>
        <w:t xml:space="preserve">文本</w:t>
      </w:r>
      <w:r/>
    </w:p>
    <w:p>
      <w:pPr>
        <w:ind w:right="-252" w:firstLine="480"/>
        <w:keepLines w:val="0"/>
        <w:keepNext w:val="0"/>
        <w:pageBreakBefore w:val="0"/>
        <w:spacing w:line="360" w:lineRule="auto"/>
        <w:rPr>
          <w:rFonts w:hint="eastAsia" w:ascii="宋体" w:hAnsi="宋体" w:cs="仿宋_GB2312"/>
          <w:sz w:val="24"/>
          <w:highlight w:val="none"/>
        </w:rPr>
      </w:pPr>
      <w:r/>
      <w:bookmarkStart w:id="159" w:name="_Toc13889378"/>
      <w:r/>
      <w:bookmarkStart w:id="160" w:name="_Toc13642118"/>
      <w:r/>
      <w:bookmarkStart w:id="161" w:name="_Hlt16619350"/>
      <w:r/>
      <w:bookmarkStart w:id="162" w:name="_Toc16938590"/>
      <w:r/>
      <w:bookmarkStart w:id="163" w:name="_Toc20823346"/>
      <w:r/>
      <w:bookmarkStart w:id="164" w:name="_Toc120614244"/>
      <w:r/>
      <w:bookmarkStart w:id="165" w:name="_Toc479757211"/>
      <w:r/>
      <w:bookmarkStart w:id="166" w:name="_Toc462564139"/>
      <w:r>
        <w:rPr>
          <w:rFonts w:hint="eastAsia" w:ascii="宋体" w:hAnsi="宋体" w:cs="仿宋_GB2312"/>
          <w:sz w:val="24"/>
          <w:highlight w:val="none"/>
        </w:rPr>
        <w:t xml:space="preserve">根据《中华人民共和国民法典》有关规定，为明确采购单位（甲方）和供应单位（乙方）购销过程中的权利、义务和经济责任，经双方友好协商，签订以下条款，共同遵守。</w:t>
      </w:r>
      <w:bookmarkEnd w:id="159"/>
      <w:bookmarkEnd w:id="160"/>
      <w:r/>
    </w:p>
    <w:p>
      <w:pPr>
        <w:pStyle w:val="883"/>
        <w:ind w:left="0" w:firstLine="482"/>
        <w:keepLines w:val="0"/>
        <w:keepNext w:val="0"/>
        <w:pageBreakBefore w:val="0"/>
        <w:spacing w:line="360" w:lineRule="auto"/>
        <w:rPr>
          <w:rFonts w:ascii="宋体" w:hAnsi="宋体" w:cs="仿宋_GB2312"/>
          <w:b/>
          <w:highlight w:val="none"/>
          <w:lang w:eastAsia="zh-CN"/>
        </w:rPr>
        <w:outlineLvl w:val="0"/>
      </w:pPr>
      <w:r>
        <w:rPr>
          <w:rFonts w:hint="eastAsia" w:ascii="宋体" w:hAnsi="宋体" w:cs="仿宋_GB2312"/>
          <w:b/>
          <w:highlight w:val="none"/>
          <w:lang w:eastAsia="zh-CN"/>
        </w:rPr>
        <w:t xml:space="preserve">一、合作目标</w:t>
      </w:r>
      <w:r/>
    </w:p>
    <w:p>
      <w:pPr>
        <w:pStyle w:val="885"/>
        <w:ind w:firstLine="480"/>
        <w:keepLines w:val="0"/>
        <w:keepNext w:val="0"/>
        <w:pageBreakBefore w:val="0"/>
        <w:spacing w:line="360" w:lineRule="auto"/>
        <w:rPr>
          <w:rFonts w:ascii="宋体" w:hAnsi="宋体" w:eastAsia="宋体" w:cs="仿宋_GB2312"/>
          <w:sz w:val="24"/>
          <w:szCs w:val="22"/>
          <w:highlight w:val="none"/>
        </w:rPr>
      </w:pPr>
      <w:r>
        <w:rPr>
          <w:rFonts w:hint="eastAsia" w:ascii="宋体" w:hAnsi="宋体" w:eastAsia="宋体" w:cs="仿宋_GB2312"/>
          <w:sz w:val="24"/>
          <w:szCs w:val="22"/>
          <w:highlight w:val="none"/>
        </w:rPr>
        <w:t xml:space="preserve">由甲方发挥主导作用，组织协调相关部门共同推进“有线智慧镇（街道）”的规划和建设。由乙方在双向网全面覆盖的基础上，做好昆山</w:t>
      </w:r>
      <w:r>
        <w:rPr>
          <w:rFonts w:hint="eastAsia" w:ascii="宋体" w:hAnsi="宋体" w:eastAsia="宋体" w:cs="仿宋_GB2312"/>
          <w:sz w:val="24"/>
          <w:szCs w:val="22"/>
          <w:highlight w:val="none"/>
          <w:lang w:eastAsia="zh-CN"/>
        </w:rPr>
        <w:t xml:space="preserve">市巴城镇</w:t>
      </w:r>
      <w:r>
        <w:rPr>
          <w:rFonts w:hint="eastAsia" w:ascii="宋体" w:hAnsi="宋体" w:eastAsia="宋体" w:cs="仿宋_GB2312"/>
          <w:sz w:val="24"/>
          <w:szCs w:val="22"/>
          <w:highlight w:val="none"/>
        </w:rPr>
        <w:t xml:space="preserve">有线智慧镇（街道）关于平台维护、内容更新等服务。</w:t>
      </w:r>
      <w:r/>
    </w:p>
    <w:p>
      <w:pPr>
        <w:pStyle w:val="883"/>
        <w:ind w:left="0" w:firstLine="482"/>
        <w:keepLines w:val="0"/>
        <w:keepNext w:val="0"/>
        <w:pageBreakBefore w:val="0"/>
        <w:spacing w:line="360" w:lineRule="auto"/>
        <w:rPr>
          <w:rFonts w:ascii="宋体" w:hAnsi="宋体" w:cs="仿宋_GB2312"/>
          <w:b/>
          <w:highlight w:val="none"/>
          <w:lang w:eastAsia="zh-CN"/>
        </w:rPr>
        <w:outlineLvl w:val="0"/>
      </w:pPr>
      <w:r>
        <w:rPr>
          <w:rFonts w:hint="eastAsia" w:ascii="宋体" w:hAnsi="宋体" w:cs="仿宋_GB2312"/>
          <w:b/>
          <w:highlight w:val="none"/>
          <w:lang w:eastAsia="zh-CN"/>
        </w:rPr>
        <w:t xml:space="preserve">二、合作内容</w:t>
      </w:r>
      <w:r/>
    </w:p>
    <w:p>
      <w:pPr>
        <w:pStyle w:val="885"/>
        <w:ind w:firstLine="480"/>
        <w:keepLines w:val="0"/>
        <w:keepNext w:val="0"/>
        <w:pageBreakBefore w:val="0"/>
        <w:spacing w:line="360" w:lineRule="auto"/>
        <w:rPr>
          <w:rFonts w:ascii="宋体" w:hAnsi="宋体" w:eastAsia="宋体" w:cs="仿宋_GB2312"/>
          <w:sz w:val="24"/>
          <w:szCs w:val="22"/>
          <w:highlight w:val="none"/>
        </w:rPr>
      </w:pPr>
      <w:r>
        <w:rPr>
          <w:rFonts w:hint="eastAsia" w:ascii="宋体" w:hAnsi="宋体" w:eastAsia="宋体" w:cs="仿宋_GB2312"/>
          <w:sz w:val="24"/>
          <w:szCs w:val="22"/>
          <w:highlight w:val="none"/>
        </w:rPr>
        <w:t xml:space="preserve">1.乙方负责建设维护电视栏目，并按照甲方要求进行改版、升级。对所有版块内容进行制作、上传，通过文字、图片、视频等方式展现。</w:t>
      </w:r>
      <w:r/>
    </w:p>
    <w:p>
      <w:pPr>
        <w:pStyle w:val="684"/>
        <w:ind w:firstLine="480"/>
        <w:spacing w:line="360" w:lineRule="auto"/>
        <w:rPr>
          <w:rFonts w:hint="eastAsia" w:ascii="宋体" w:hAnsi="宋体" w:eastAsia="宋体" w:cs="仿宋_GB2312"/>
          <w:sz w:val="24"/>
          <w:szCs w:val="22"/>
          <w:highlight w:val="none"/>
          <w:lang w:val="en-US" w:eastAsia="en-US" w:bidi="ar-SA"/>
        </w:rPr>
      </w:pPr>
      <w:r>
        <w:rPr>
          <w:rFonts w:hint="eastAsia" w:ascii="宋体" w:hAnsi="宋体" w:eastAsia="宋体" w:cs="仿宋_GB2312"/>
          <w:sz w:val="24"/>
          <w:szCs w:val="22"/>
          <w:highlight w:val="none"/>
          <w:lang w:val="en-US" w:eastAsia="en-US" w:bidi="ar-SA"/>
        </w:rPr>
        <w:t xml:space="preserve">2.</w:t>
      </w:r>
      <w:r>
        <w:rPr>
          <w:rFonts w:hint="eastAsia" w:ascii="宋体" w:hAnsi="宋体" w:eastAsia="宋体" w:cs="仿宋_GB2312"/>
          <w:sz w:val="24"/>
          <w:szCs w:val="22"/>
          <w:highlight w:val="none"/>
          <w:lang w:val="en-US" w:eastAsia="zh-CN" w:bidi="ar-SA"/>
        </w:rPr>
        <w:t xml:space="preserve">配合部分活动举办。</w:t>
      </w:r>
      <w:r/>
    </w:p>
    <w:p>
      <w:pPr>
        <w:pStyle w:val="883"/>
        <w:ind w:left="0" w:firstLine="482"/>
        <w:keepLines w:val="0"/>
        <w:keepNext w:val="0"/>
        <w:pageBreakBefore w:val="0"/>
        <w:spacing w:line="360" w:lineRule="auto"/>
        <w:rPr>
          <w:rFonts w:hint="eastAsia" w:ascii="宋体" w:hAnsi="宋体" w:cs="仿宋_GB2312"/>
          <w:b/>
          <w:highlight w:val="none"/>
          <w:lang w:eastAsia="zh-CN"/>
        </w:rPr>
        <w:outlineLvl w:val="0"/>
      </w:pPr>
      <w:r>
        <w:rPr>
          <w:rFonts w:hint="eastAsia" w:ascii="宋体" w:hAnsi="宋体" w:cs="仿宋_GB2312"/>
          <w:b/>
          <w:highlight w:val="none"/>
          <w:lang w:eastAsia="zh-CN"/>
        </w:rPr>
        <w:t xml:space="preserve">三、合同费用</w:t>
      </w:r>
      <w:r/>
    </w:p>
    <w:p>
      <w:pPr>
        <w:pStyle w:val="885"/>
        <w:ind w:firstLine="480"/>
        <w:keepLines w:val="0"/>
        <w:keepNext w:val="0"/>
        <w:pageBreakBefore w:val="0"/>
        <w:spacing w:line="360" w:lineRule="auto"/>
        <w:rPr>
          <w:rFonts w:ascii="宋体" w:hAnsi="宋体" w:eastAsia="宋体" w:cs="仿宋_GB2312"/>
          <w:sz w:val="24"/>
          <w:szCs w:val="22"/>
          <w:highlight w:val="none"/>
        </w:rPr>
      </w:pPr>
      <w:r>
        <w:rPr>
          <w:rFonts w:hint="eastAsia" w:ascii="宋体" w:hAnsi="宋体" w:eastAsia="宋体" w:cs="仿宋_GB2312"/>
          <w:sz w:val="24"/>
          <w:szCs w:val="22"/>
          <w:highlight w:val="none"/>
        </w:rPr>
        <w:t xml:space="preserve">合同总款价格：</w:t>
      </w:r>
      <w:r/>
    </w:p>
    <w:p>
      <w:pPr>
        <w:pStyle w:val="883"/>
        <w:ind w:left="0" w:firstLine="482"/>
        <w:keepLines w:val="0"/>
        <w:keepNext w:val="0"/>
        <w:pageBreakBefore w:val="0"/>
        <w:spacing w:line="360" w:lineRule="auto"/>
        <w:rPr>
          <w:rFonts w:hint="eastAsia" w:ascii="宋体" w:hAnsi="宋体" w:cs="仿宋_GB2312"/>
          <w:b/>
          <w:highlight w:val="none"/>
          <w:lang w:eastAsia="zh-CN"/>
        </w:rPr>
        <w:outlineLvl w:val="0"/>
      </w:pPr>
      <w:r>
        <w:rPr>
          <w:rFonts w:hint="eastAsia" w:ascii="宋体" w:hAnsi="宋体" w:cs="仿宋_GB2312"/>
          <w:b/>
          <w:highlight w:val="none"/>
          <w:lang w:eastAsia="zh-CN"/>
        </w:rPr>
        <w:t xml:space="preserve">四、付款方式</w:t>
      </w:r>
      <w:r/>
    </w:p>
    <w:p>
      <w:pPr>
        <w:pStyle w:val="885"/>
        <w:ind w:firstLine="480"/>
        <w:keepLines w:val="0"/>
        <w:keepNext w:val="0"/>
        <w:pageBreakBefore w:val="0"/>
        <w:spacing w:line="360" w:lineRule="auto"/>
        <w:rPr>
          <w:rFonts w:ascii="宋体" w:hAnsi="宋体" w:eastAsia="宋体" w:cs="仿宋_GB2312"/>
          <w:sz w:val="24"/>
          <w:szCs w:val="22"/>
          <w:highlight w:val="none"/>
        </w:rPr>
      </w:pPr>
      <w:r>
        <w:rPr>
          <w:rFonts w:hint="eastAsia" w:ascii="宋体" w:hAnsi="宋体" w:eastAsia="宋体" w:cs="仿宋_GB2312"/>
          <w:sz w:val="24"/>
          <w:szCs w:val="22"/>
          <w:highlight w:val="none"/>
          <w:lang w:eastAsia="zh-CN"/>
        </w:rPr>
        <w:t xml:space="preserve">甲方应在收到乙方验收申请及完整验收资料后30个工作日内组织验收；验收合格后一次性付清，具体付款结合财政资金拨付进度</w:t>
      </w:r>
      <w:r>
        <w:rPr>
          <w:rFonts w:hint="eastAsia" w:ascii="宋体" w:hAnsi="宋体" w:eastAsia="宋体" w:cs="仿宋_GB2312"/>
          <w:sz w:val="24"/>
          <w:szCs w:val="22"/>
          <w:highlight w:val="none"/>
          <w:lang w:val="en-US" w:eastAsia="zh-CN"/>
        </w:rPr>
        <w:t xml:space="preserve">。</w:t>
      </w:r>
      <w:r/>
    </w:p>
    <w:p>
      <w:pPr>
        <w:pStyle w:val="883"/>
        <w:ind w:left="0" w:firstLine="482"/>
        <w:keepLines w:val="0"/>
        <w:keepNext w:val="0"/>
        <w:pageBreakBefore w:val="0"/>
        <w:spacing w:line="360" w:lineRule="auto"/>
        <w:rPr>
          <w:rFonts w:hint="eastAsia" w:ascii="宋体" w:hAnsi="宋体" w:cs="仿宋_GB2312"/>
          <w:b/>
          <w:highlight w:val="none"/>
          <w:lang w:eastAsia="zh-CN"/>
        </w:rPr>
        <w:outlineLvl w:val="0"/>
      </w:pPr>
      <w:r>
        <w:rPr>
          <w:rFonts w:hint="eastAsia" w:ascii="宋体" w:hAnsi="宋体" w:cs="仿宋_GB2312"/>
          <w:b/>
          <w:highlight w:val="none"/>
          <w:lang w:eastAsia="zh-CN"/>
        </w:rPr>
        <w:t xml:space="preserve">五、合同期限</w:t>
      </w:r>
      <w:r/>
    </w:p>
    <w:p>
      <w:pPr>
        <w:ind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本协议合同期限为</w:t>
      </w:r>
      <w:r>
        <w:rPr>
          <w:rFonts w:hint="eastAsia" w:ascii="宋体" w:hAnsi="宋体" w:cs="仿宋_GB2312"/>
          <w:sz w:val="24"/>
          <w:highlight w:val="none"/>
          <w:lang w:val="en-US" w:eastAsia="zh-CN"/>
        </w:rPr>
        <w:t xml:space="preserve">2026</w:t>
      </w:r>
      <w:r>
        <w:rPr>
          <w:rFonts w:hint="eastAsia" w:ascii="宋体" w:hAnsi="宋体" w:cs="仿宋_GB2312"/>
          <w:sz w:val="24"/>
          <w:highlight w:val="none"/>
        </w:rPr>
        <w:t xml:space="preserve">年</w:t>
      </w:r>
      <w:r>
        <w:rPr>
          <w:rFonts w:hint="eastAsia" w:ascii="宋体" w:hAnsi="宋体" w:cs="仿宋_GB2312"/>
          <w:sz w:val="24"/>
          <w:highlight w:val="none"/>
          <w:lang w:val="en-US" w:eastAsia="zh-CN"/>
        </w:rPr>
        <w:t xml:space="preserve">11</w:t>
      </w:r>
      <w:r>
        <w:rPr>
          <w:rFonts w:hint="eastAsia" w:ascii="宋体" w:hAnsi="宋体" w:cs="仿宋_GB2312"/>
          <w:sz w:val="24"/>
          <w:highlight w:val="none"/>
        </w:rPr>
        <w:t xml:space="preserve">月</w:t>
      </w:r>
      <w:r>
        <w:rPr>
          <w:rFonts w:hint="eastAsia" w:ascii="宋体" w:hAnsi="宋体" w:cs="仿宋_GB2312"/>
          <w:sz w:val="24"/>
          <w:highlight w:val="none"/>
          <w:lang w:val="en-US" w:eastAsia="zh-CN"/>
        </w:rPr>
        <w:t xml:space="preserve">5日</w:t>
      </w:r>
      <w:r>
        <w:rPr>
          <w:rFonts w:hint="eastAsia" w:ascii="宋体" w:hAnsi="宋体" w:cs="仿宋_GB2312"/>
          <w:sz w:val="24"/>
          <w:highlight w:val="none"/>
        </w:rPr>
        <w:t xml:space="preserve">至</w:t>
      </w:r>
      <w:r>
        <w:rPr>
          <w:rFonts w:hint="eastAsia" w:ascii="宋体" w:hAnsi="宋体" w:cs="仿宋_GB2312"/>
          <w:sz w:val="24"/>
          <w:highlight w:val="none"/>
          <w:lang w:val="en-US" w:eastAsia="zh-CN"/>
        </w:rPr>
        <w:t xml:space="preserve">2027</w:t>
      </w:r>
      <w:r>
        <w:rPr>
          <w:rFonts w:hint="eastAsia" w:ascii="宋体" w:hAnsi="宋体" w:cs="仿宋_GB2312"/>
          <w:sz w:val="24"/>
          <w:highlight w:val="none"/>
        </w:rPr>
        <w:t xml:space="preserve">年</w:t>
      </w:r>
      <w:r>
        <w:rPr>
          <w:rFonts w:hint="eastAsia" w:ascii="宋体" w:hAnsi="宋体" w:cs="仿宋_GB2312"/>
          <w:sz w:val="24"/>
          <w:highlight w:val="none"/>
          <w:lang w:val="en-US" w:eastAsia="zh-CN"/>
        </w:rPr>
        <w:t xml:space="preserve">11</w:t>
      </w:r>
      <w:r>
        <w:rPr>
          <w:rFonts w:hint="eastAsia" w:ascii="宋体" w:hAnsi="宋体" w:cs="仿宋_GB2312"/>
          <w:sz w:val="24"/>
          <w:highlight w:val="none"/>
        </w:rPr>
        <w:t xml:space="preserve">月</w:t>
      </w:r>
      <w:r>
        <w:rPr>
          <w:rFonts w:hint="eastAsia" w:ascii="宋体" w:hAnsi="宋体" w:cs="仿宋_GB2312"/>
          <w:sz w:val="24"/>
          <w:highlight w:val="none"/>
          <w:lang w:val="en-US" w:eastAsia="zh-CN"/>
        </w:rPr>
        <w:t xml:space="preserve">4日</w:t>
      </w:r>
      <w:r>
        <w:rPr>
          <w:rFonts w:hint="eastAsia" w:ascii="宋体" w:hAnsi="宋体" w:cs="仿宋_GB2312"/>
          <w:sz w:val="24"/>
          <w:highlight w:val="none"/>
        </w:rPr>
        <w:t xml:space="preserve">，为期一年。</w:t>
      </w:r>
      <w:r/>
    </w:p>
    <w:p>
      <w:pPr>
        <w:pStyle w:val="883"/>
        <w:ind w:left="0" w:firstLine="482"/>
        <w:keepLines w:val="0"/>
        <w:keepNext w:val="0"/>
        <w:pageBreakBefore w:val="0"/>
        <w:spacing w:line="360" w:lineRule="auto"/>
        <w:rPr>
          <w:rFonts w:hint="eastAsia" w:ascii="宋体" w:hAnsi="宋体" w:cs="仿宋_GB2312"/>
          <w:b/>
          <w:highlight w:val="none"/>
          <w:lang w:eastAsia="zh-CN"/>
        </w:rPr>
        <w:outlineLvl w:val="0"/>
      </w:pPr>
      <w:r>
        <w:rPr>
          <w:rFonts w:hint="eastAsia" w:ascii="宋体" w:hAnsi="宋体" w:cs="仿宋_GB2312"/>
          <w:b/>
          <w:highlight w:val="none"/>
          <w:lang w:val="en-US" w:eastAsia="zh-CN"/>
        </w:rPr>
        <w:t xml:space="preserve">六、</w:t>
      </w:r>
      <w:r>
        <w:rPr>
          <w:rFonts w:hint="eastAsia" w:ascii="宋体" w:hAnsi="宋体" w:cs="仿宋_GB2312"/>
          <w:b/>
          <w:highlight w:val="none"/>
          <w:lang w:eastAsia="zh-CN"/>
        </w:rPr>
        <w:t xml:space="preserve">违约责任</w:t>
      </w:r>
      <w:r/>
    </w:p>
    <w:p>
      <w:pPr>
        <w:ind w:right="-252"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2、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80"/>
        <w:keepLines w:val="0"/>
        <w:keepNext w:val="0"/>
        <w:pageBreakBefore w:val="0"/>
        <w:spacing w:line="360" w:lineRule="auto"/>
        <w:rPr>
          <w:rFonts w:hint="eastAsia" w:ascii="宋体" w:hAnsi="宋体" w:cs="仿宋_GB2312"/>
          <w:sz w:val="24"/>
          <w:highlight w:val="none"/>
          <w:lang w:eastAsia="zh-CN"/>
        </w:rPr>
      </w:pPr>
      <w:r>
        <w:rPr>
          <w:rFonts w:hint="eastAsia" w:ascii="宋体" w:hAnsi="宋体" w:cs="仿宋_GB2312"/>
          <w:sz w:val="24"/>
          <w:highlight w:val="none"/>
          <w:lang w:eastAsia="zh-CN"/>
        </w:rPr>
        <w:t xml:space="preserve">3、除因不可抗力造成的误期或延期外，任何交付期限的延长，乙方均应按合同总价款每日万分之五的标准向甲方支付违约金，同时本条款项下的违约金计算不影响上述两项违约金条款的执行。</w:t>
      </w:r>
      <w:r/>
    </w:p>
    <w:p>
      <w:pPr>
        <w:ind w:right="-252" w:firstLine="480"/>
        <w:keepLines w:val="0"/>
        <w:keepNext w:val="0"/>
        <w:pageBreakBefore w:val="0"/>
        <w:spacing w:line="360" w:lineRule="auto"/>
        <w:rPr>
          <w:rFonts w:ascii="宋体" w:hAnsi="宋体" w:cs="仿宋_GB2312"/>
          <w:color w:val="auto"/>
          <w:sz w:val="24"/>
          <w:highlight w:val="none"/>
        </w:rPr>
      </w:pPr>
      <w:r>
        <w:rPr>
          <w:rFonts w:hint="eastAsia" w:ascii="宋体" w:hAnsi="宋体" w:cs="仿宋_GB2312"/>
          <w:sz w:val="24"/>
          <w:highlight w:val="none"/>
        </w:rPr>
        <w:t xml:space="preserve">4、</w:t>
      </w:r>
      <w:r>
        <w:rPr>
          <w:rFonts w:hint="eastAsia" w:ascii="宋体" w:hAnsi="宋体" w:cs="仿宋_GB2312"/>
          <w:color w:val="auto"/>
          <w:sz w:val="24"/>
          <w:highlight w:val="none"/>
        </w:rPr>
        <w:t xml:space="preserve">乙方全部履行合同，甲方在收到乙方的付款通知及合格发票并审定无误10天内按期付款，如有违约，甲方按合同总价每日万分之五支付延期付款违约金，但逾期违约金不得超过逾期款项的5%。</w:t>
      </w:r>
      <w:r/>
    </w:p>
    <w:p>
      <w:pPr>
        <w:ind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5、乙方提前交货的，甲方接货后，按合同规定的付款方式付款。</w:t>
      </w:r>
      <w:r/>
    </w:p>
    <w:p>
      <w:pPr>
        <w:pStyle w:val="883"/>
        <w:ind w:left="0" w:firstLine="482"/>
        <w:keepLines w:val="0"/>
        <w:keepNext w:val="0"/>
        <w:pageBreakBefore w:val="0"/>
        <w:spacing w:line="360" w:lineRule="auto"/>
        <w:rPr>
          <w:rFonts w:ascii="宋体" w:hAnsi="宋体" w:cs="仿宋_GB2312"/>
          <w:b/>
          <w:highlight w:val="none"/>
          <w:lang w:eastAsia="zh-CN"/>
        </w:rPr>
        <w:outlineLvl w:val="0"/>
      </w:pPr>
      <w:r>
        <w:rPr>
          <w:rFonts w:hint="eastAsia" w:ascii="宋体" w:hAnsi="宋体" w:cs="仿宋_GB2312"/>
          <w:b/>
          <w:highlight w:val="none"/>
          <w:lang w:eastAsia="zh-CN"/>
        </w:rPr>
        <w:t xml:space="preserve">七、特别条款</w:t>
      </w:r>
      <w:r/>
    </w:p>
    <w:p>
      <w:pPr>
        <w:ind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1、双方签约人为各自法定代表人或被授权代表。</w:t>
      </w:r>
      <w:r/>
    </w:p>
    <w:p>
      <w:pPr>
        <w:ind w:right="-252"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2、本合同系指本文件及其附件中的所有部分；其中招标文件、中标的投标文件、中标单位在招标过程中的澄清、承诺等为本合同不可缺少的必要组成部分。</w:t>
      </w:r>
      <w:r/>
    </w:p>
    <w:p>
      <w:pPr>
        <w:ind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3．本合同一式肆份，甲乙双方各壹份、备案机构和招标代理人各执壹份，各份具有同等法律效力。</w:t>
      </w:r>
      <w:r/>
    </w:p>
    <w:p>
      <w:pPr>
        <w:pStyle w:val="885"/>
        <w:ind w:firstLine="480"/>
        <w:keepLines w:val="0"/>
        <w:keepNext w:val="0"/>
        <w:pageBreakBefore w:val="0"/>
        <w:spacing w:line="360" w:lineRule="auto"/>
        <w:rPr>
          <w:rFonts w:ascii="宋体" w:hAnsi="宋体" w:cs="仿宋_GB2312"/>
          <w:sz w:val="24"/>
          <w:highlight w:val="none"/>
        </w:rPr>
      </w:pPr>
      <w:r>
        <w:rPr>
          <w:rFonts w:ascii="宋体" w:hAnsi="宋体" w:cs="仿宋_GB2312"/>
          <w:sz w:val="24"/>
          <w:highlight w:val="none"/>
        </w:rPr>
      </w:r>
      <w:r/>
    </w:p>
    <w:p>
      <w:pPr>
        <w:ind w:firstLine="480"/>
        <w:keepLines w:val="0"/>
        <w:keepNext w:val="0"/>
        <w:pageBreakBefore w:val="0"/>
        <w:spacing w:line="360" w:lineRule="auto"/>
        <w:rPr>
          <w:rFonts w:ascii="宋体" w:hAnsi="宋体" w:cs="仿宋_GB2312"/>
          <w:sz w:val="24"/>
          <w:highlight w:val="none"/>
        </w:rPr>
      </w:pPr>
      <w:r>
        <w:rPr>
          <w:rFonts w:hint="eastAsia" w:ascii="宋体" w:hAnsi="宋体" w:cs="仿宋_GB2312"/>
          <w:sz w:val="24"/>
          <w:highlight w:val="none"/>
        </w:rPr>
        <w:t xml:space="preserve">甲方：                              乙方：    </w:t>
      </w:r>
      <w:r/>
    </w:p>
    <w:p>
      <w:pPr>
        <w:ind w:firstLine="480"/>
        <w:keepLines w:val="0"/>
        <w:keepNext w:val="0"/>
        <w:pageBreakBefore w:val="0"/>
        <w:rPr>
          <w:highlight w:val="none"/>
        </w:rPr>
      </w:pPr>
      <w:r>
        <w:rPr>
          <w:rFonts w:hint="eastAsia" w:ascii="宋体" w:hAnsi="宋体" w:cs="仿宋_GB2312"/>
          <w:sz w:val="24"/>
          <w:highlight w:val="none"/>
        </w:rPr>
        <w:t xml:space="preserve">签约日期：                          签约日期：         </w:t>
      </w:r>
      <w:r>
        <w:rPr>
          <w:rFonts w:hint="eastAsia" w:ascii="宋体" w:hAnsi="宋体" w:cs="Arial"/>
          <w:sz w:val="24"/>
          <w:highlight w:val="none"/>
        </w:rPr>
        <w:t xml:space="preserve">   </w:t>
      </w:r>
      <w:r/>
    </w:p>
    <w:p>
      <w:pPr>
        <w:ind w:firstLine="480"/>
        <w:keepLines w:val="0"/>
        <w:keepNext w:val="0"/>
        <w:pageBreakBefore w:val="0"/>
        <w:spacing w:line="360" w:lineRule="auto"/>
        <w:rPr>
          <w:rFonts w:ascii="宋体" w:hAnsi="宋体" w:cs="Arial"/>
          <w:sz w:val="24"/>
          <w:highlight w:val="none"/>
        </w:rPr>
      </w:pPr>
      <w:r>
        <w:rPr>
          <w:rFonts w:hint="eastAsia" w:ascii="宋体" w:hAnsi="宋体" w:cs="Arial"/>
          <w:sz w:val="24"/>
          <w:highlight w:val="none"/>
        </w:rPr>
        <w:t xml:space="preserve">       </w:t>
      </w:r>
      <w:r/>
    </w:p>
    <w:p>
      <w:pPr>
        <w:ind w:firstLine="480"/>
        <w:spacing w:line="360" w:lineRule="auto"/>
        <w:rPr>
          <w:rFonts w:ascii="宋体" w:hAnsi="宋体" w:cs="Arial"/>
          <w:sz w:val="24"/>
          <w:highlight w:val="none"/>
        </w:rPr>
      </w:pPr>
      <w:r>
        <w:rPr>
          <w:rFonts w:ascii="宋体" w:hAnsi="宋体" w:cs="Arial"/>
          <w:sz w:val="24"/>
          <w:highlight w:val="none"/>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keepLines/>
        <w:keepNext/>
        <w:spacing w:before="260" w:after="260" w:line="416" w:lineRule="auto"/>
        <w:rPr>
          <w:rFonts w:hint="eastAsia" w:ascii="黑体" w:hAnsi="Arial" w:eastAsia="黑体" w:cs="Arial"/>
          <w:b/>
          <w:bCs/>
          <w:color w:val="000000" w:themeColor="text1"/>
          <w:sz w:val="44"/>
          <w:szCs w:val="44"/>
          <w:highlight w:val="none"/>
          <w14:textFill>
            <w14:solidFill>
              <w14:schemeClr w14:val="tx1"/>
            </w14:solidFill>
          </w14:textFill>
        </w:rPr>
        <w:outlineLvl w:val="1"/>
      </w:pPr>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黑体" w:hAnsi="Arial" w:eastAsia="黑体" w:cs="Arial"/>
          <w:b/>
          <w:bCs/>
          <w:color w:val="000000" w:themeColor="text1"/>
          <w:sz w:val="44"/>
          <w:szCs w:val="44"/>
          <w:highlight w:val="none"/>
          <w14:textFill>
            <w14:solidFill>
              <w14:schemeClr w14:val="tx1"/>
            </w14:solidFill>
          </w14:textFill>
        </w:rPr>
        <w:t xml:space="preserve">第</w:t>
      </w:r>
      <w:bookmarkEnd w:id="161"/>
      <w:r>
        <w:rPr>
          <w:rFonts w:hint="eastAsia" w:ascii="黑体" w:hAnsi="Arial" w:eastAsia="黑体" w:cs="Arial"/>
          <w:b/>
          <w:bCs/>
          <w:color w:val="000000" w:themeColor="text1"/>
          <w:sz w:val="44"/>
          <w:szCs w:val="44"/>
          <w:highlight w:val="none"/>
          <w14:textFill>
            <w14:solidFill>
              <w14:schemeClr w14:val="tx1"/>
            </w14:solidFill>
          </w14:textFill>
        </w:rPr>
        <w:t xml:space="preserve">四章 采购需求</w:t>
      </w:r>
      <w:bookmarkEnd w:id="162"/>
      <w:r/>
      <w:bookmarkEnd w:id="163"/>
      <w:r/>
      <w:bookmarkEnd w:id="164"/>
      <w:r/>
      <w:bookmarkStart w:id="167" w:name="_Toc26554093"/>
      <w:r/>
      <w:bookmarkStart w:id="168" w:name="_Toc49090575"/>
      <w:r/>
      <w:r/>
    </w:p>
    <w:p>
      <w:pPr>
        <w:ind w:firstLine="498"/>
        <w:keepLines/>
        <w:keepNext/>
        <w:spacing w:before="145" w:after="145" w:line="360" w:lineRule="auto"/>
        <w:rPr>
          <w:rFonts w:ascii="Times New Roman" w:hAnsi="Times New Roman"/>
          <w:b/>
          <w:bCs/>
          <w:sz w:val="32"/>
          <w:szCs w:val="32"/>
          <w:highlight w:val="none"/>
        </w:rPr>
        <w:outlineLvl w:val="2"/>
      </w:pPr>
      <w:r/>
      <w:bookmarkStart w:id="169" w:name="_Toc120614281"/>
      <w:r>
        <w:rPr>
          <w:rFonts w:hint="eastAsia" w:ascii="Times New Roman" w:hAnsi="Times New Roman"/>
          <w:b/>
          <w:bCs/>
          <w:sz w:val="32"/>
          <w:szCs w:val="32"/>
          <w:highlight w:val="none"/>
        </w:rPr>
        <w:t xml:space="preserve">一、项目基本情况</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1.项目编号：JSZC-320583-SZYE-D2026-0036</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2.项目名称：昆山市巴城镇有线智慧镇（街道）服务</w:t>
      </w:r>
      <w:r/>
    </w:p>
    <w:p>
      <w:pPr>
        <w:ind w:firstLine="480"/>
        <w:keepLines w:val="0"/>
        <w:keepNext w:val="0"/>
        <w:pageBreakBefore w:val="0"/>
        <w:spacing w:line="360" w:lineRule="auto"/>
        <w:widowControl w:val="off"/>
        <w:rPr>
          <w:rFonts w:ascii="宋体"/>
          <w:sz w:val="24"/>
          <w:szCs w:val="24"/>
          <w:highlight w:val="none"/>
        </w:rPr>
      </w:pPr>
      <w:r>
        <w:rPr>
          <w:rFonts w:hint="eastAsia" w:ascii="宋体" w:hAnsi="宋体"/>
          <w:sz w:val="24"/>
          <w:szCs w:val="24"/>
          <w:highlight w:val="none"/>
        </w:rPr>
        <w:t xml:space="preserve">3.预算金额：</w:t>
      </w:r>
      <w:r>
        <w:rPr>
          <w:rFonts w:hint="eastAsia" w:ascii="宋体"/>
          <w:sz w:val="24"/>
          <w:szCs w:val="24"/>
          <w:highlight w:val="none"/>
          <w:lang w:val="en-US" w:eastAsia="zh-CN"/>
        </w:rPr>
        <w:t xml:space="preserve">108</w:t>
      </w:r>
      <w:r>
        <w:rPr>
          <w:rFonts w:hint="eastAsia" w:ascii="宋体"/>
          <w:sz w:val="24"/>
          <w:szCs w:val="24"/>
          <w:highlight w:val="none"/>
        </w:rPr>
        <w:t xml:space="preserve">0000.00</w:t>
      </w:r>
      <w:r>
        <w:rPr>
          <w:rFonts w:hint="eastAsia" w:ascii="宋体" w:hAnsi="宋体"/>
          <w:sz w:val="24"/>
          <w:szCs w:val="24"/>
          <w:highlight w:val="none"/>
        </w:rPr>
        <w:t xml:space="preserve">元整</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采购需求（简介）：昆山市巴城镇有线智慧镇（街道）服务是以覆盖全市的广电数字化双向化网络以及进入千家万户的高清互动机顶盒智能终端为基础，以宣传发布、社会管理、民生管理、数字小区、智慧家庭五大服务平台为支撑，整合电视、广播、户外大屏、无线WIFI等传播渠道，为基层党委、政府和百姓提供思想政治宣传、政务及民生信息发布、基层综合治理、社区民生服务、居民智慧家庭应用等多功能服务。</w:t>
      </w:r>
      <w:r/>
    </w:p>
    <w:p>
      <w:pPr>
        <w:ind w:firstLine="480"/>
        <w:keepLines w:val="0"/>
        <w:keepNext w:val="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5.合同履行期限：1年</w:t>
      </w:r>
      <w:r/>
    </w:p>
    <w:p>
      <w:pPr>
        <w:spacing w:line="0" w:lineRule="atLeast"/>
        <w:rPr>
          <w:rFonts w:hint="eastAsia" w:ascii="宋体" w:hAnsi="宋体"/>
          <w:sz w:val="24"/>
          <w:szCs w:val="24"/>
          <w:highlight w:val="none"/>
        </w:rPr>
      </w:pPr>
      <w:r>
        <w:rPr>
          <w:rFonts w:hint="eastAsia" w:ascii="宋体" w:hAnsi="宋体"/>
          <w:sz w:val="24"/>
          <w:szCs w:val="24"/>
          <w:highlight w:val="none"/>
        </w:rPr>
      </w:r>
      <w:r/>
    </w:p>
    <w:tbl>
      <w:tblPr>
        <w:tblStyle w:val="681"/>
        <w:tblW w:w="94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9"/>
        <w:gridCol w:w="2875"/>
        <w:gridCol w:w="1750"/>
        <w:gridCol w:w="916"/>
        <w:gridCol w:w="1559"/>
        <w:gridCol w:w="1605"/>
      </w:tblGrid>
      <w:tr>
        <w:trPr>
          <w:trHeight w:val="517"/>
        </w:trPr>
        <w:tc>
          <w:tcPr>
            <w:gridSpan w:val="6"/>
            <w:shd w:val="clear" w:color="auto" w:fill="auto"/>
            <w:tcBorders>
              <w:top w:val="none" w:color="000000" w:sz="4" w:space="0"/>
              <w:left w:val="none" w:color="000000" w:sz="4" w:space="0"/>
              <w:bottom w:val="none" w:color="000000" w:sz="4" w:space="0"/>
              <w:right w:val="none" w:color="000000" w:sz="4" w:space="0"/>
            </w:tcBorders>
            <w:tcW w:w="9464" w:type="dxa"/>
            <w:vAlign w:val="center"/>
            <w:textDirection w:val="lrTb"/>
            <w:noWrap/>
          </w:tcPr>
          <w:p>
            <w:pPr>
              <w:jc w:val="center"/>
              <w:keepLines w:val="0"/>
              <w:keepNext w:val="0"/>
              <w:widowControl/>
              <w:rPr>
                <w:rFonts w:ascii="黑体" w:hAnsi="宋体" w:eastAsia="黑体" w:cs="黑体"/>
                <w:i w:val="0"/>
                <w:iCs w:val="0"/>
                <w:color w:val="000000"/>
                <w:sz w:val="40"/>
                <w:szCs w:val="40"/>
                <w:highlight w:val="none"/>
                <w:u w:val="none"/>
              </w:rPr>
              <w:suppressLineNumbers w:val="0"/>
            </w:pPr>
            <w:r>
              <w:rPr>
                <w:rFonts w:hint="eastAsia" w:ascii="黑体" w:hAnsi="宋体" w:eastAsia="黑体" w:cs="黑体"/>
                <w:i w:val="0"/>
                <w:iCs w:val="0"/>
                <w:color w:val="000000"/>
                <w:sz w:val="40"/>
                <w:szCs w:val="40"/>
                <w:highlight w:val="none"/>
                <w:u w:val="none"/>
                <w:lang w:val="en-US" w:eastAsia="zh-CN" w:bidi="ar"/>
              </w:rPr>
              <w:t xml:space="preserve">昆山巴城有线智慧镇用户明细</w:t>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non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双向用户数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双向用户数</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总数</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中大易墅</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昆阳花园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丰泽园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君子亭花园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阳澄湖庄</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并蒂莲苑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绿城玫瑰园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君子苑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玉山胜境</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银杏苑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世纪花园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林湖别墅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年丰小区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双湖湾</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杨林小区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克拉水城</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天使湾</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金湖银滩</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大上海</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汇智阳澄华庭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檀香园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澄湖壹号院</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鼎园美墅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澄湖颐景园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锦绣蓝湾</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漫栖园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阳澄溢景苑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湖畔水韵</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泰泓花园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湖畔林语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悠然雅居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湖畔香榭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鹿澄天地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湖畔雅居</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晴碧园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兰亭大境</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嘉馨花园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碧水佳园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城际景苑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康桥经典</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仪亭人家</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红杨小区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城际风尚</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城栖印象</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富泽苑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烟雨新村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城际雅苑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湖亭园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阳澄春晓苑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临湖景苑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福泰花苑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江南云锦雅筑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华府庄园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shd w:val="clear" w:color="auto" w:fill="auto"/>
            <w:tcBorders>
              <w:top w:val="none" w:color="000000" w:sz="4" w:space="0"/>
              <w:left w:val="single" w:color="000000" w:sz="4" w:space="0"/>
              <w:bottom w:val="non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澄苑别墅</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品澄雅居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巴城湖村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562</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紫怡花园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龙潭湖村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通澄花园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马料江村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上澄花园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新开河村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湖滨花园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茅沙塘村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279</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新城花园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东阳澄湖村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古澄花园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武神潭村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尚澄佳苑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翠里</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联民村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龙城雅居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华社村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金澄花园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方港村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海佳名邸</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夏东村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向日葵花园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武城村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翡翠湾</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西南村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通澄美墅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龙辰紫园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环湖村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148</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品院</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绰墩山村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215</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瑰丽天阅苑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阳澄湖村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文豪花园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正仪村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玉石花园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荣亭村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环湖佳苑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黄泥山村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东升小区</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驸马新村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北岸春天</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盛宝利花园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凤鸣园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石牌镇区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凤晖园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巴城镇区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630</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凤瑞园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正仪镇区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凤竹园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阳澄湖渡假区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354</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凤祥园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谢乡名邸</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凤和园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水乡花园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凤栖园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邑品庄园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上社苑</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四季花园</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天伦随园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天成丽景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水印兰亭</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西岸水城</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虹祺小区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星溪苑别墅</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8"/>
        </w:trPr>
        <w:tc>
          <w:tcPr>
            <w:gridSpan w:val="2"/>
            <w:shd w:val="clear" w:color="auto" w:fill="auto"/>
            <w:tcBorders>
              <w:top w:val="single" w:color="000000" w:sz="4" w:space="0"/>
              <w:left w:val="single" w:color="000000" w:sz="4" w:space="0"/>
              <w:bottom w:val="single" w:color="000000" w:sz="4" w:space="0"/>
              <w:right w:val="single" w:color="000000" w:sz="4"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19890</w:t>
            </w:r>
            <w:r/>
          </w:p>
        </w:tc>
      </w:tr>
    </w:tbl>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keepLines/>
        <w:keepNext/>
        <w:spacing w:before="260" w:after="260" w:line="416" w:lineRule="auto"/>
        <w:rPr>
          <w:rFonts w:hint="eastAsia" w:ascii="黑体" w:hAnsi="Arial" w:eastAsia="黑体" w:cs="Arial"/>
          <w:b/>
          <w:bCs/>
          <w:color w:val="000000" w:themeColor="text1"/>
          <w:sz w:val="44"/>
          <w:szCs w:val="44"/>
          <w:highlight w:val="none"/>
          <w14:textFill>
            <w14:solidFill>
              <w14:schemeClr w14:val="tx1"/>
            </w14:solidFill>
          </w14:textFill>
        </w:rPr>
        <w:outlineLvl w:val="1"/>
      </w:pPr>
      <w:r>
        <w:rPr>
          <w:rFonts w:ascii="黑体" w:hAnsi="Times New Roman" w:eastAsia="黑体"/>
          <w:bCs/>
          <w:color w:val="000000" w:themeColor="text1"/>
          <w:sz w:val="44"/>
          <w:szCs w:val="28"/>
          <w:highlight w:val="none"/>
          <w14:textFill>
            <w14:solidFill>
              <w14:schemeClr w14:val="tx1"/>
            </w14:solidFill>
          </w14:textFill>
        </w:rPr>
        <w:br w:type="page" w:clear="all"/>
      </w:r>
      <w:r>
        <w:rPr>
          <w:rFonts w:hint="eastAsia" w:ascii="黑体" w:hAnsi="Arial" w:eastAsia="黑体" w:cs="Arial"/>
          <w:b/>
          <w:bCs/>
          <w:color w:val="000000" w:themeColor="text1"/>
          <w:sz w:val="44"/>
          <w:szCs w:val="44"/>
          <w:highlight w:val="none"/>
          <w14:textFill>
            <w14:solidFill>
              <w14:schemeClr w14:val="tx1"/>
            </w14:solidFill>
          </w14:textFill>
        </w:rPr>
        <w:t xml:space="preserve">第五章  </w:t>
      </w:r>
      <w:bookmarkEnd w:id="167"/>
      <w:r/>
      <w:bookmarkEnd w:id="168"/>
      <w:r/>
      <w:bookmarkEnd w:id="169"/>
      <w:r>
        <w:rPr>
          <w:rFonts w:hint="eastAsia" w:ascii="黑体" w:hAnsi="Arial" w:eastAsia="黑体" w:cs="Arial"/>
          <w:b/>
          <w:bCs/>
          <w:color w:val="000000" w:themeColor="text1"/>
          <w:sz w:val="44"/>
          <w:szCs w:val="44"/>
          <w:highlight w:val="none"/>
          <w14:textFill>
            <w14:solidFill>
              <w14:schemeClr w14:val="tx1"/>
            </w14:solidFill>
          </w14:textFill>
        </w:rPr>
        <w:t xml:space="preserve">响应文件格式 </w:t>
      </w:r>
      <w:r/>
    </w:p>
    <w:p>
      <w:pPr>
        <w:jc w:val="center"/>
        <w:rPr>
          <w:rFonts w:hint="eastAsia" w:ascii="宋体" w:hAnsi="宋体"/>
          <w:b/>
          <w:color w:val="000000" w:themeColor="text1"/>
          <w:sz w:val="72"/>
          <w:szCs w:val="21"/>
          <w:highlight w:val="none"/>
          <w14:textFill>
            <w14:solidFill>
              <w14:schemeClr w14:val="tx1"/>
            </w14:solidFill>
          </w14:textFill>
        </w:rPr>
      </w:pPr>
      <w:r/>
      <w:bookmarkStart w:id="170" w:name="_Hlt26955039"/>
      <w:r/>
      <w:bookmarkEnd w:id="170"/>
      <w:r/>
      <w:bookmarkStart w:id="171" w:name="_Hlt26671244"/>
      <w:r/>
      <w:bookmarkEnd w:id="171"/>
      <w:r/>
      <w:bookmarkStart w:id="172" w:name="_Toc26554094"/>
      <w:r/>
      <w:bookmarkStart w:id="173" w:name="_Toc49090576"/>
      <w:r/>
      <w:bookmarkStart w:id="174"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采 购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一、法人或者其他组织的营业执照等证明文件，自然人的身份证明</w:t>
      </w:r>
      <w:r/>
    </w:p>
    <w:p>
      <w:pPr>
        <w:ind w:left="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二、上一年度的财务状况报告（谈判供应商成立不满一年无需提供）</w:t>
      </w:r>
      <w:r/>
    </w:p>
    <w:p>
      <w:pPr>
        <w:ind w:left="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四、具备履行合同所必需的设备和专业技术能力的书面声明</w:t>
      </w:r>
      <w:r/>
    </w:p>
    <w:p>
      <w:pPr>
        <w:ind w:firstLine="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五、参加政府采购活动前 3 年内在经营活动中没有重大违法记录的书面声明</w:t>
      </w:r>
      <w:r/>
    </w:p>
    <w:p>
      <w:pPr>
        <w:ind w:firstLine="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七、法人授权书</w:t>
      </w:r>
      <w:r/>
    </w:p>
    <w:p>
      <w:pPr>
        <w:ind w:firstLine="480"/>
        <w:keepLines w:val="0"/>
        <w:keepNext w:val="0"/>
        <w:pageBreakBefore w:val="0"/>
        <w:spacing w:line="360" w:lineRule="auto"/>
        <w:widowControl w:val="off"/>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i/>
          <w:color w:val="000000" w:themeColor="text1"/>
          <w:sz w:val="24"/>
          <w:szCs w:val="21"/>
          <w:highlight w:val="none"/>
          <w:u w:val="single"/>
          <w14:textFill>
            <w14:solidFill>
              <w14:schemeClr w14:val="tx1"/>
            </w14:solidFill>
          </w14:textFill>
        </w:rPr>
        <w:t xml:space="preserve">八、单一来源响应函</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九、联合体协议（如有），本项目不接受联合体投标</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十、分项报价表</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十一、技术要求响应及偏离表</w:t>
      </w:r>
      <w:r/>
    </w:p>
    <w:p>
      <w:pPr>
        <w:ind w:firstLine="480"/>
        <w:keepLines w:val="0"/>
        <w:keepNext w:val="0"/>
        <w:pageBreakBefore w:val="0"/>
        <w:spacing w:line="360" w:lineRule="auto"/>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十二、商务要求响应及偏离表</w:t>
      </w:r>
      <w:r/>
    </w:p>
    <w:p>
      <w:pPr>
        <w:ind w:firstLine="480"/>
        <w:spacing w:line="440" w:lineRule="exact"/>
        <w:rPr>
          <w:rFonts w:ascii="宋体" w:hAnsi="宋体"/>
          <w:i/>
          <w:color w:val="000000" w:themeColor="text1"/>
          <w:sz w:val="24"/>
          <w:szCs w:val="21"/>
          <w:highlight w:val="none"/>
          <w:u w:val="single"/>
          <w14:textFill>
            <w14:solidFill>
              <w14:schemeClr w14:val="tx1"/>
            </w14:solidFill>
          </w14:textFill>
        </w:rPr>
      </w:pPr>
      <w:r>
        <w:rPr>
          <w:rFonts w:ascii="宋体" w:hAnsi="宋体"/>
          <w:i/>
          <w:color w:val="000000" w:themeColor="text1"/>
          <w:sz w:val="24"/>
          <w:szCs w:val="21"/>
          <w:highlight w:val="none"/>
          <w:u w:val="singl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二、上一年度的财务状况报告</w:t>
      </w:r>
      <w:r/>
    </w:p>
    <w:p>
      <w:pPr>
        <w:ind w:firstLine="480"/>
        <w:spacing w:line="44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供应商成立不满一年无需提供</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三、依法缴纳税收和社会保障资金的相关材料</w:t>
      </w:r>
      <w:r/>
    </w:p>
    <w:p>
      <w:pPr>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四、具备履行合同所必需的设备和专业技术能力的书面声明</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rPr>
          <w:rFonts w:hint="eastAsia" w:ascii="Times New Roman" w:hAnsi="Times New Roman"/>
          <w:color w:val="000000" w:themeColor="text1"/>
          <w:szCs w:val="21"/>
          <w:highlight w:val="none"/>
          <w:lang w:val="en-US" w:eastAsia="en-US"/>
          <w14:textFill>
            <w14:solidFill>
              <w14:schemeClr w14:val="tx1"/>
            </w14:solidFill>
          </w14:textFill>
        </w:rPr>
      </w:pPr>
      <w:r>
        <w:rPr>
          <w:rFonts w:hint="eastAsia" w:ascii="Times New Roman" w:hAnsi="Times New Roman"/>
          <w:color w:val="000000" w:themeColor="text1"/>
          <w:szCs w:val="21"/>
          <w:highlight w:val="none"/>
          <w:lang w:val="en-US" w:eastAsia="en-US"/>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六、特定资格要求的证明文件</w:t>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如果本项目申请人的特定资格要求中要求提供的，必须提供。</w:t>
      </w:r>
      <w:bookmarkEnd w:id="172"/>
      <w:bookmarkEnd w:id="173"/>
      <w:bookmarkEnd w:id="174"/>
      <w:r/>
    </w:p>
    <w:p>
      <w:pPr>
        <w:spacing w:line="460" w:lineRule="exact"/>
        <w:rPr>
          <w:rFonts w:hint="eastAsia" w:ascii="宋体" w:hAnsi="宋体"/>
          <w:bCs/>
          <w:color w:val="000000" w:themeColor="text1"/>
          <w:sz w:val="24"/>
          <w:szCs w:val="21"/>
          <w:highlight w:val="none"/>
          <w14:textFill>
            <w14:solidFill>
              <w14:schemeClr w14:val="tx1"/>
            </w14:solidFill>
          </w14:textFill>
        </w:rPr>
      </w:pPr>
      <w:r/>
      <w:bookmarkStart w:id="175" w:name="_Toc120614284"/>
      <w:r/>
      <w:r/>
    </w:p>
    <w:p>
      <w:pPr>
        <w:jc w:val="cente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七、法人授权书</w:t>
      </w:r>
      <w:r/>
    </w:p>
    <w:p>
      <w:pPr>
        <w:ind w:firstLine="48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本授权书声明：____________（供应商名称）授权________________（被授权人的姓名）为我方就JSZC-</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hint="eastAsia" w:ascii="Times New Roman" w:hAnsi="Times New Roman"/>
          <w:color w:val="000000" w:themeColor="text1"/>
          <w:szCs w:val="21"/>
          <w:highlight w:val="none"/>
          <w:lang w:val="en-US" w:eastAsia="en-US"/>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bookmarkStart w:id="176" w:name="_Hlt26671380"/>
      <w:r/>
      <w:bookmarkEnd w:id="176"/>
      <w:r/>
      <w:bookmarkStart w:id="177" w:name="_格式3__银行出具的资信证明"/>
      <w:r/>
      <w:bookmarkEnd w:id="177"/>
      <w:r/>
      <w:bookmarkStart w:id="178" w:name="_Hlt26955070"/>
      <w:r/>
      <w:bookmarkEnd w:id="178"/>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jc w:val="center"/>
        <w:rPr>
          <w:rFonts w:hint="eastAsia" w:ascii="黑体" w:hAnsi="黑体" w:eastAsia="黑体"/>
          <w:i/>
          <w:color w:val="000000" w:themeColor="text1"/>
          <w:sz w:val="32"/>
          <w:szCs w:val="32"/>
          <w:highlight w:val="none"/>
          <w:u w:val="single"/>
          <w14:textFill>
            <w14:solidFill>
              <w14:schemeClr w14:val="tx1"/>
            </w14:solidFill>
          </w14:textFill>
        </w:rPr>
      </w:pPr>
      <w:r/>
      <w:bookmarkStart w:id="192" w:name="_GoBack"/>
      <w:r/>
      <w:bookmarkEnd w:id="192"/>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黑体" w:hAnsi="黑体" w:eastAsia="黑体"/>
          <w:i/>
          <w:color w:val="000000" w:themeColor="text1"/>
          <w:sz w:val="32"/>
          <w:szCs w:val="32"/>
          <w:highlight w:val="none"/>
          <w:u w:val="single"/>
          <w14:textFill>
            <w14:solidFill>
              <w14:schemeClr w14:val="tx1"/>
            </w14:solidFill>
          </w14:textFill>
        </w:rPr>
        <w:t xml:space="preserve">八、单一来源响应函</w:t>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 </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r>
        <w:rPr>
          <w:rFonts w:hint="eastAsia" w:ascii="宋体" w:hAnsi="宋体"/>
          <w:sz w:val="24"/>
          <w:szCs w:val="24"/>
          <w:highlight w:val="none"/>
          <w:lang w:eastAsia="zh-CN"/>
        </w:rPr>
        <w:t xml:space="preserve">JSZC-320583-SZYE-D2026-0036</w:t>
      </w:r>
      <w:r>
        <w:rPr>
          <w:rFonts w:hint="eastAsia" w:ascii="宋体" w:hAnsi="宋体"/>
          <w:color w:val="000000" w:themeColor="text1"/>
          <w:sz w:val="24"/>
          <w:szCs w:val="21"/>
          <w:highlight w:val="none"/>
          <w14:textFill>
            <w14:solidFill>
              <w14:schemeClr w14:val="tx1"/>
            </w14:solidFill>
          </w14:textFill>
        </w:rPr>
        <w:t xml:space="preserve">号采购文件，正式授权下述签字人______(姓名)代表我方______________（供应商的名称），全权处理本次项目单一来源采购的有关事宜。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.我们已详细审核全部采购文件及其有效补充文件，我们知道必须放弃提出含糊不清或误解问题的权利。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.我方与本次单一来源采购有关的正式通讯地址为：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jc w:val="center"/>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jc w:val="center"/>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十、分项报价表（服务类）</w:t>
      </w:r>
      <w:r/>
    </w:p>
    <w:p>
      <w:pPr>
        <w:pStyle w:val="966"/>
        <w:jc w:val="center"/>
        <w:spacing w:line="360" w:lineRule="auto"/>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 xml:space="preserve">报价</w:t>
      </w:r>
      <w:r>
        <w:rPr>
          <w:rFonts w:hint="eastAsia" w:hAnsi="宋体" w:eastAsia="宋体"/>
          <w:color w:val="000000" w:themeColor="text1"/>
          <w:sz w:val="24"/>
          <w:highlight w:val="none"/>
          <w14:textFill>
            <w14:solidFill>
              <w14:schemeClr w14:val="tx1"/>
            </w14:solidFill>
          </w14:textFill>
        </w:rPr>
        <w:t xml:space="preserve">分析</w:t>
      </w:r>
      <w:r>
        <w:rPr>
          <w:rFonts w:hAnsi="宋体" w:eastAsia="宋体"/>
          <w:color w:val="000000" w:themeColor="text1"/>
          <w:sz w:val="24"/>
          <w:highlight w:val="none"/>
          <w14:textFill>
            <w14:solidFill>
              <w14:schemeClr w14:val="tx1"/>
            </w14:solidFill>
          </w14:textFill>
        </w:rPr>
        <w:t xml:space="preserve">表</w:t>
      </w:r>
      <w:r/>
    </w:p>
    <w:p>
      <w:pPr>
        <w:pStyle w:val="966"/>
        <w:jc w:val="center"/>
        <w:spacing w:line="360" w:lineRule="auto"/>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tbl>
      <w:tblPr>
        <w:tblStyle w:val="681"/>
        <w:tblW w:w="5000"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3103"/>
        <w:gridCol w:w="1377"/>
        <w:gridCol w:w="1651"/>
        <w:gridCol w:w="1655"/>
      </w:tblGrid>
      <w:tr>
        <w:trPr>
          <w:jc w:val="center"/>
          <w:trHeight w:val="1402"/>
        </w:trPr>
        <w:tc>
          <w:tcPr>
            <w:tcBorders>
              <w:top w:val="single" w:color="000000" w:sz="4" w:space="0"/>
              <w:left w:val="single" w:color="000000" w:sz="4" w:space="0"/>
              <w:bottom w:val="single" w:color="000000" w:sz="6" w:space="0"/>
              <w:right w:val="single" w:color="000000" w:sz="6" w:space="0"/>
            </w:tcBorders>
            <w:tcW w:w="754"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6" w:space="0"/>
              <w:bottom w:val="single" w:color="000000" w:sz="6" w:space="0"/>
              <w:right w:val="single" w:color="000000" w:sz="6" w:space="0"/>
            </w:tcBorders>
            <w:tcW w:w="1692"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服务内容</w:t>
            </w:r>
            <w:r/>
          </w:p>
        </w:tc>
        <w:tc>
          <w:tcPr>
            <w:tcBorders>
              <w:top w:val="single" w:color="000000" w:sz="4" w:space="0"/>
              <w:left w:val="single" w:color="000000" w:sz="6" w:space="0"/>
              <w:bottom w:val="single" w:color="000000" w:sz="6" w:space="0"/>
              <w:right w:val="single" w:color="000000" w:sz="4" w:space="0"/>
            </w:tcBorders>
            <w:tcW w:w="751"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数量</w:t>
            </w:r>
            <w:r/>
          </w:p>
        </w:tc>
        <w:tc>
          <w:tcPr>
            <w:tcBorders>
              <w:top w:val="single" w:color="000000" w:sz="4" w:space="0"/>
              <w:left w:val="single" w:color="000000" w:sz="6" w:space="0"/>
              <w:bottom w:val="single" w:color="000000" w:sz="6" w:space="0"/>
              <w:right w:val="single" w:color="000000" w:sz="4" w:space="0"/>
            </w:tcBorders>
            <w:tcW w:w="900"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单价</w:t>
            </w:r>
            <w:r/>
          </w:p>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（元）</w:t>
            </w:r>
            <w:r/>
          </w:p>
        </w:tc>
        <w:tc>
          <w:tcPr>
            <w:tcBorders>
              <w:top w:val="single" w:color="000000" w:sz="4" w:space="0"/>
              <w:left w:val="single" w:color="000000" w:sz="6" w:space="0"/>
              <w:bottom w:val="single" w:color="000000" w:sz="6" w:space="0"/>
              <w:right w:val="single" w:color="000000" w:sz="4" w:space="0"/>
            </w:tcBorders>
            <w:tcW w:w="900"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总价</w:t>
            </w:r>
            <w:r/>
          </w:p>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（元）</w:t>
            </w:r>
            <w:r/>
          </w:p>
        </w:tc>
      </w:tr>
      <w:tr>
        <w:trPr>
          <w:jc w:val="center"/>
          <w:trHeight w:val="468"/>
        </w:trPr>
        <w:tc>
          <w:tcPr>
            <w:tcBorders>
              <w:top w:val="single" w:color="000000" w:sz="6" w:space="0"/>
              <w:left w:val="single" w:color="000000" w:sz="4" w:space="0"/>
              <w:bottom w:val="single" w:color="000000" w:sz="6" w:space="0"/>
              <w:right w:val="single" w:color="000000" w:sz="6" w:space="0"/>
            </w:tcBorders>
            <w:tcW w:w="754"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1692"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751"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r>
      <w:tr>
        <w:trPr>
          <w:jc w:val="center"/>
          <w:trHeight w:val="468"/>
        </w:trPr>
        <w:tc>
          <w:tcPr>
            <w:tcBorders>
              <w:top w:val="single" w:color="000000" w:sz="6" w:space="0"/>
              <w:left w:val="single" w:color="000000" w:sz="4" w:space="0"/>
              <w:bottom w:val="single" w:color="000000" w:sz="6" w:space="0"/>
              <w:right w:val="single" w:color="000000" w:sz="6" w:space="0"/>
            </w:tcBorders>
            <w:tcW w:w="754"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2"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751"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r>
      <w:tr>
        <w:trPr>
          <w:jc w:val="center"/>
          <w:trHeight w:val="468"/>
        </w:trPr>
        <w:tc>
          <w:tcPr>
            <w:tcBorders>
              <w:top w:val="single" w:color="000000" w:sz="6" w:space="0"/>
              <w:left w:val="single" w:color="000000" w:sz="4" w:space="0"/>
              <w:bottom w:val="single" w:color="000000" w:sz="6" w:space="0"/>
              <w:right w:val="single" w:color="000000" w:sz="6" w:space="0"/>
            </w:tcBorders>
            <w:tcW w:w="754"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2"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751"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r>
      <w:tr>
        <w:trPr>
          <w:jc w:val="center"/>
          <w:trHeight w:val="483"/>
        </w:trPr>
        <w:tc>
          <w:tcPr>
            <w:tcBorders>
              <w:top w:val="single" w:color="000000" w:sz="6" w:space="0"/>
              <w:left w:val="single" w:color="000000" w:sz="4" w:space="0"/>
              <w:bottom w:val="single" w:color="000000" w:sz="6" w:space="0"/>
              <w:right w:val="single" w:color="000000" w:sz="6" w:space="0"/>
            </w:tcBorders>
            <w:tcW w:w="754"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2"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751"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900" w:type="pct"/>
            <w:vAlign w:val="top"/>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r>
      <w:tr>
        <w:trPr>
          <w:jc w:val="center"/>
          <w:trHeight w:val="828"/>
        </w:trPr>
        <w:tc>
          <w:tcPr>
            <w:tcBorders>
              <w:top w:val="single" w:color="000000" w:sz="6" w:space="0"/>
              <w:left w:val="single" w:color="000000" w:sz="4" w:space="0"/>
              <w:bottom w:val="single" w:color="000000" w:sz="4" w:space="0"/>
              <w:right w:val="single" w:color="000000" w:sz="6" w:space="0"/>
            </w:tcBorders>
            <w:tcW w:w="754"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最终报价</w:t>
            </w:r>
            <w:r/>
          </w:p>
        </w:tc>
        <w:tc>
          <w:tcPr>
            <w:gridSpan w:val="4"/>
            <w:tcBorders>
              <w:top w:val="single" w:color="000000" w:sz="6" w:space="0"/>
              <w:left w:val="single" w:color="000000" w:sz="6" w:space="0"/>
              <w:bottom w:val="single" w:color="000000" w:sz="4" w:space="0"/>
              <w:right w:val="single" w:color="000000" w:sz="4" w:space="0"/>
            </w:tcBorders>
            <w:tcW w:w="4245" w:type="pct"/>
            <w:vAlign w:val="center"/>
            <w:textDirection w:val="lrTb"/>
            <w:noWrap w:val="false"/>
          </w:tcPr>
          <w:p>
            <w:pPr>
              <w:pStyle w:val="687"/>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tc>
      </w:tr>
    </w:tbl>
    <w:p>
      <w:pPr>
        <w:pStyle w:val="687"/>
        <w:ind w:left="-210" w:right="-210"/>
        <w:jc w:val="left"/>
        <w:spacing w:line="360" w:lineRule="auto"/>
        <w:rPr>
          <w:rFonts w:hAnsi="宋体" w:eastAsia="宋体"/>
          <w:b/>
          <w:color w:val="000000" w:themeColor="text1"/>
          <w:sz w:val="21"/>
          <w:szCs w:val="21"/>
          <w:highlight w:val="none"/>
          <w14:textFill>
            <w14:solidFill>
              <w14:schemeClr w14:val="tx1"/>
            </w14:solidFill>
          </w14:textFill>
        </w:rPr>
      </w:pPr>
      <w:r>
        <w:rPr>
          <w:rFonts w:hAnsi="宋体" w:eastAsia="宋体"/>
          <w:b/>
          <w:color w:val="000000" w:themeColor="text1"/>
          <w:sz w:val="21"/>
          <w:szCs w:val="21"/>
          <w:highlight w:val="none"/>
          <w14:textFill>
            <w14:solidFill>
              <w14:schemeClr w14:val="tx1"/>
            </w14:solidFill>
          </w14:textFill>
        </w:rPr>
        <w:t xml:space="preserve">注：响应人可根据采购内容自行调整</w:t>
      </w:r>
      <w:r/>
    </w:p>
    <w:p>
      <w:pPr>
        <w:pStyle w:val="687"/>
        <w:ind w:left="-210" w:right="-210"/>
        <w:jc w:val="right"/>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响应人：（公章）</w:t>
      </w:r>
      <w:r/>
    </w:p>
    <w:p>
      <w:pPr>
        <w:pStyle w:val="687"/>
        <w:ind w:left="-210" w:right="-210"/>
        <w:jc w:val="right"/>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法定代表人或被授权人：（签字或盖章）</w:t>
      </w:r>
      <w:r/>
    </w:p>
    <w:p>
      <w:pPr>
        <w:pStyle w:val="687"/>
        <w:ind w:left="-210" w:right="-210"/>
        <w:jc w:val="right"/>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日期：     年    月  日</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十一、技术要求响应及偏离表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谈判文件要求</w:t>
            </w:r>
            <w:r/>
          </w:p>
        </w:tc>
        <w:tc>
          <w:tcPr>
            <w:tcW w:w="285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130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Arial" w:eastAsia="黑体"/>
          <w:color w:val="000000" w:themeColor="text1"/>
          <w:sz w:val="32"/>
          <w:szCs w:val="21"/>
          <w:highlight w:val="none"/>
          <w14:textFill>
            <w14:solidFill>
              <w14:schemeClr w14:val="tx1"/>
            </w14:solidFill>
          </w14:textFill>
        </w:rPr>
      </w:pPr>
      <w:r>
        <w:rPr>
          <w:rFonts w:hint="eastAsia" w:ascii="黑体" w:hAnsi="Arial" w:eastAsia="黑体"/>
          <w:color w:val="000000" w:themeColor="text1"/>
          <w:sz w:val="32"/>
          <w:szCs w:val="21"/>
          <w:highlight w:val="none"/>
          <w14:textFill>
            <w14:solidFill>
              <w14:schemeClr w14:val="tx1"/>
            </w14:solidFill>
          </w14:textFill>
        </w:rPr>
      </w:r>
      <w:bookmarkEnd w:id="175"/>
      <w:r/>
    </w:p>
    <w:p>
      <w:pPr>
        <w:jc w:val="center"/>
        <w:rPr>
          <w:rFonts w:hint="eastAsia" w:ascii="黑体" w:hAnsi="黑体" w:eastAsia="黑体"/>
          <w:b/>
          <w:color w:val="000000" w:themeColor="text1"/>
          <w:sz w:val="32"/>
          <w:szCs w:val="32"/>
          <w:highlight w:val="none"/>
          <w14:textFill>
            <w14:solidFill>
              <w14:schemeClr w14:val="tx1"/>
            </w14:solidFill>
          </w14:textFill>
        </w:rPr>
      </w:pPr>
      <w:r/>
      <w:bookmarkStart w:id="179" w:name="_Hlt26955054"/>
      <w:r/>
      <w:bookmarkEnd w:id="179"/>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十二、商务要求响应及偏离表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bookmarkStart w:id="180" w:name="_Hlt26782999"/>
            <w:r/>
            <w:bookmarkEnd w:id="180"/>
            <w:r/>
            <w:bookmarkStart w:id="181" w:name="_Hlt26955064"/>
            <w:r/>
            <w:bookmarkEnd w:id="181"/>
            <w:r/>
            <w:bookmarkStart w:id="182" w:name="_Hlt24879081"/>
            <w:r/>
            <w:bookmarkEnd w:id="182"/>
            <w:r/>
            <w:bookmarkStart w:id="183" w:name="_Hlt26671372"/>
            <w:r/>
            <w:bookmarkEnd w:id="183"/>
            <w:r/>
            <w:bookmarkStart w:id="184" w:name="_Hlt26671343"/>
            <w:r/>
            <w:bookmarkEnd w:id="184"/>
            <w:r/>
            <w:bookmarkStart w:id="185" w:name="_Hlt26955056"/>
            <w:r/>
            <w:bookmarkEnd w:id="185"/>
            <w:r/>
            <w:bookmarkStart w:id="186" w:name="_Hlt26580838"/>
            <w:r/>
            <w:bookmarkEnd w:id="186"/>
            <w:r/>
            <w:bookmarkStart w:id="187" w:name="_Hlt26609391"/>
            <w:r/>
            <w:bookmarkEnd w:id="187"/>
            <w:r>
              <w:rPr>
                <w:rFonts w:hint="eastAsia" w:ascii="宋体" w:hAnsi="宋体"/>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谈判文件要求</w:t>
            </w:r>
            <w:r/>
          </w:p>
        </w:tc>
        <w:tc>
          <w:tcPr>
            <w:tcW w:w="285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130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bookmarkEnd w:id="165"/>
      <w:bookmarkEnd w:id="166"/>
      <w:r/>
    </w:p>
    <w:p>
      <w:pPr>
        <w:jc w:val="both"/>
        <w:rPr>
          <w:rFonts w:hint="eastAsia" w:ascii="黑体" w:hAnsi="黑体" w:eastAsia="黑体"/>
          <w:b/>
          <w:color w:val="000000" w:themeColor="text1"/>
          <w:sz w:val="32"/>
          <w:szCs w:val="32"/>
          <w:highlight w:val="none"/>
          <w14:textFill>
            <w14:solidFill>
              <w14:schemeClr w14:val="tx1"/>
            </w14:solidFill>
          </w14:textFill>
        </w:rPr>
      </w:pPr>
      <w:r/>
      <w:bookmarkStart w:id="188" w:name="_Hlt26671374"/>
      <w:r/>
      <w:bookmarkEnd w:id="188"/>
      <w:r/>
      <w:bookmarkStart w:id="189" w:name="_Hlt26609389"/>
      <w:r/>
      <w:bookmarkEnd w:id="189"/>
      <w:r/>
      <w:bookmarkStart w:id="190" w:name="_Hlt26955066"/>
      <w:r/>
      <w:bookmarkEnd w:id="190"/>
      <w:r/>
      <w:bookmarkStart w:id="191" w:name="_格式2__法定代表人授权书"/>
      <w:r/>
      <w:bookmarkEnd w:id="191"/>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879"/>
        <w:rFonts w:ascii="宋体" w:hAnsi="宋体"/>
      </w:rPr>
      <w:framePr w:wrap="around" w:vAnchor="text" w:hAnchor="margin" w:xAlign="center" w:y="1"/>
    </w:pPr>
    <w:r>
      <w:rPr>
        <w:rFonts w:ascii="宋体" w:hAnsi="宋体"/>
      </w:rPr>
      <w:fldChar w:fldCharType="begin"/>
    </w:r>
    <w:r>
      <w:rPr>
        <w:rStyle w:val="879"/>
        <w:rFonts w:ascii="宋体" w:hAnsi="宋体"/>
      </w:rPr>
      <w:instrText xml:space="preserve">PAGE  </w:instrText>
    </w:r>
    <w:r>
      <w:rPr>
        <w:rFonts w:ascii="宋体" w:hAnsi="宋体"/>
      </w:rPr>
      <w:fldChar w:fldCharType="separate"/>
    </w:r>
    <w:r>
      <w:rPr>
        <w:rStyle w:val="879"/>
        <w:rFonts w:ascii="宋体" w:hAnsi="宋体"/>
      </w:rPr>
      <w:t xml:space="preserve">３</w:t>
    </w:r>
    <w:r>
      <w:rPr>
        <w:rFonts w:ascii="宋体" w:hAnsi="宋体"/>
      </w:rPr>
      <w:fldChar w:fldCharType="end"/>
    </w:r>
    <w:r/>
  </w:p>
  <w:p>
    <w:pPr>
      <w:pStyle w:val="951"/>
      <w:rPr>
        <w:rFonts w:hint="eastAsia"/>
        <w:b/>
        <w:i/>
        <w:lang w:eastAsia="zh-CN"/>
      </w:rPr>
    </w:pPr>
    <w:r>
      <w:rPr>
        <w:rFonts w:hint="eastAsia"/>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ascii="宋体" w:hAnsi="宋体"/>
        <w:lang w:eastAsia="zh-CN"/>
      </w:rPr>
    </w:pPr>
    <w:r>
      <w:rPr>
        <w:rFonts w:hint="eastAsia" w:ascii="宋体" w:hAnsi="宋体"/>
      </w:rPr>
      <w:t xml:space="preserve">编号：JSZC-320583-SZYE-D2026-0036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   </w:t>
    </w:r>
    <w:r>
      <w:rPr>
        <w:rFonts w:hint="eastAsia" w:ascii="宋体" w:hAnsi="宋体"/>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ascii="宋体" w:hAnsi="宋体"/>
      </w:rPr>
    </w:pPr>
    <w:r>
      <w:rPr>
        <w:rFonts w:hint="eastAsia" w:ascii="宋体" w:hAnsi="宋体"/>
      </w:rPr>
      <w:t xml:space="preserve">编号：JSZC-320583-SZYE-D2026-0036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   </w:t>
    </w:r>
    <w:r>
      <w:rPr>
        <w:rFonts w:hint="eastAsia" w:ascii="宋体" w:hAnsi="宋体"/>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8"/>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pStyle w:val="860"/>
      <w:isLgl w:val="false"/>
      <w:suff w:val="nothing"/>
      <w:lvlText w:val=""/>
      <w:lvlJc w:val="left"/>
      <w:pPr>
        <w:ind w:left="0" w:firstLine="0"/>
      </w:pPr>
      <w:rPr>
        <w:rFonts w:hint="eastAsia"/>
      </w:rPr>
    </w:lvl>
    <w:lvl w:ilvl="8">
      <w:start w:val="1"/>
      <w:numFmt w:val="decimal"/>
      <w:pStyle w:val="861"/>
      <w:isLgl w:val="false"/>
      <w:suff w:val="nothing"/>
      <w:lvlText w:val=""/>
      <w:lvlJc w:val="left"/>
      <w:pPr>
        <w:ind w:left="0" w:firstLine="0"/>
      </w:pPr>
      <w:rPr>
        <w:rFonts w:hint="eastAsia"/>
      </w:rPr>
    </w:lvl>
  </w:abstractNum>
  <w:abstractNum w:abstractNumId="3">
    <w:multiLevelType w:val="hybridMultilevel"/>
    <w:lvl w:ilvl="0">
      <w:start w:val="1"/>
      <w:numFmt w:val="decimal"/>
      <w:pStyle w:val="9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879"/>
    <w:uiPriority w:val="0"/>
    <w:qFormat/>
    <w:pPr>
      <w:jc w:val="both"/>
      <w:widowControl w:val="off"/>
    </w:pPr>
    <w:rPr>
      <w:rFonts w:hint="default" w:ascii="Calibri" w:hAnsi="Calibri" w:eastAsia="宋体" w:cs="Times New Roman"/>
      <w:sz w:val="21"/>
      <w:szCs w:val="22"/>
      <w:lang w:val="en-US" w:eastAsia="zh-CN" w:bidi="ar-SA"/>
    </w:rPr>
  </w:style>
  <w:style w:type="paragraph" w:styleId="671">
    <w:name w:val="Heading 1"/>
    <w:basedOn w:val="670"/>
    <w:next w:val="670"/>
    <w:link w:val="705"/>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6"/>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7"/>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8"/>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3"/>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uiPriority w:val="0"/>
    <w:qFormat/>
    <w:rPr>
      <w:rFonts w:ascii="楷体_GB2312" w:hAnsi="Arial" w:eastAsia="楷体_GB2312"/>
      <w:sz w:val="28"/>
      <w:szCs w:val="28"/>
    </w:rPr>
  </w:style>
  <w:style w:type="paragraph" w:styleId="685">
    <w:name w:val="toc 5"/>
    <w:basedOn w:val="670"/>
    <w:next w:val="670"/>
    <w:uiPriority w:val="39"/>
    <w:unhideWhenUsed/>
    <w:qFormat/>
    <w:pPr>
      <w:ind w:left="1134" w:right="0" w:firstLine="0"/>
      <w:spacing w:after="57"/>
    </w:pPr>
  </w:style>
  <w:style w:type="paragraph" w:styleId="686">
    <w:name w:val="toc 3"/>
    <w:basedOn w:val="670"/>
    <w:next w:val="670"/>
    <w:uiPriority w:val="39"/>
    <w:unhideWhenUsed/>
    <w:qFormat/>
    <w:pPr>
      <w:ind w:left="567" w:right="0" w:firstLine="0"/>
      <w:spacing w:after="57"/>
    </w:pPr>
  </w:style>
  <w:style w:type="paragraph" w:styleId="687">
    <w:name w:val="Plain Text"/>
    <w:basedOn w:val="670"/>
    <w:uiPriority w:val="0"/>
    <w:qFormat/>
    <w:rPr>
      <w:rFonts w:hint="eastAsia" w:ascii="宋体" w:hAnsi="Courier New" w:eastAsia="楷体_GB2312"/>
      <w:sz w:val="28"/>
      <w:szCs w:val="20"/>
    </w:rPr>
  </w:style>
  <w:style w:type="paragraph" w:styleId="688">
    <w:name w:val="toc 8"/>
    <w:basedOn w:val="670"/>
    <w:next w:val="670"/>
    <w:uiPriority w:val="39"/>
    <w:unhideWhenUsed/>
    <w:qFormat/>
    <w:pPr>
      <w:ind w:left="1984" w:right="0" w:firstLine="0"/>
      <w:spacing w:after="57"/>
    </w:pPr>
  </w:style>
  <w:style w:type="paragraph" w:styleId="689">
    <w:name w:val="endnote text"/>
    <w:basedOn w:val="670"/>
    <w:link w:val="850"/>
    <w:uiPriority w:val="99"/>
    <w:semiHidden/>
    <w:unhideWhenUsed/>
    <w:qFormat/>
    <w:pPr>
      <w:spacing w:after="0" w:line="240" w:lineRule="auto"/>
    </w:pPr>
    <w:rPr>
      <w:sz w:val="20"/>
    </w:rPr>
  </w:style>
  <w:style w:type="paragraph" w:styleId="690">
    <w:name w:val="Footer"/>
    <w:basedOn w:val="670"/>
    <w:link w:val="723"/>
    <w:uiPriority w:val="99"/>
    <w:unhideWhenUsed/>
    <w:qFormat/>
    <w:pPr>
      <w:spacing w:after="0" w:line="240" w:lineRule="auto"/>
      <w:tabs>
        <w:tab w:val="center" w:pos="7143" w:leader="none"/>
        <w:tab w:val="right" w:pos="14287" w:leader="none"/>
      </w:tabs>
    </w:pPr>
  </w:style>
  <w:style w:type="paragraph" w:styleId="691">
    <w:name w:val="Header"/>
    <w:basedOn w:val="670"/>
    <w:link w:val="721"/>
    <w:uiPriority w:val="99"/>
    <w:unhideWhenUsed/>
    <w:qFormat/>
    <w:pPr>
      <w:spacing w:after="0" w:line="240" w:lineRule="auto"/>
      <w:tabs>
        <w:tab w:val="center" w:pos="7143" w:leader="none"/>
        <w:tab w:val="right" w:pos="14287" w:leader="none"/>
      </w:tabs>
    </w:pPr>
  </w:style>
  <w:style w:type="paragraph" w:styleId="692">
    <w:name w:val="toc 1"/>
    <w:basedOn w:val="670"/>
    <w:next w:val="670"/>
    <w:uiPriority w:val="39"/>
    <w:unhideWhenUsed/>
    <w:qFormat/>
    <w:pPr>
      <w:ind w:left="0" w:right="0" w:firstLine="0"/>
      <w:spacing w:after="57"/>
    </w:pPr>
  </w:style>
  <w:style w:type="paragraph" w:styleId="693">
    <w:name w:val="toc 4"/>
    <w:basedOn w:val="670"/>
    <w:next w:val="670"/>
    <w:uiPriority w:val="39"/>
    <w:unhideWhenUsed/>
    <w:qFormat/>
    <w:pPr>
      <w:ind w:left="850" w:right="0" w:firstLine="0"/>
      <w:spacing w:after="57"/>
    </w:pPr>
  </w:style>
  <w:style w:type="paragraph" w:styleId="694">
    <w:name w:val="Subtitle"/>
    <w:basedOn w:val="670"/>
    <w:next w:val="670"/>
    <w:link w:val="716"/>
    <w:uiPriority w:val="11"/>
    <w:qFormat/>
    <w:pPr>
      <w:spacing w:before="200" w:after="200"/>
    </w:pPr>
    <w:rPr>
      <w:sz w:val="24"/>
      <w:szCs w:val="24"/>
    </w:rPr>
  </w:style>
  <w:style w:type="paragraph" w:styleId="695">
    <w:name w:val="footnote text"/>
    <w:basedOn w:val="670"/>
    <w:link w:val="849"/>
    <w:uiPriority w:val="99"/>
    <w:semiHidden/>
    <w:unhideWhenUsed/>
    <w:qFormat/>
    <w:pPr>
      <w:spacing w:after="40" w:line="240" w:lineRule="auto"/>
    </w:pPr>
    <w:rPr>
      <w:sz w:val="18"/>
    </w:rPr>
  </w:style>
  <w:style w:type="paragraph" w:styleId="696">
    <w:name w:val="toc 6"/>
    <w:basedOn w:val="670"/>
    <w:next w:val="670"/>
    <w:uiPriority w:val="39"/>
    <w:unhideWhenUsed/>
    <w:qFormat/>
    <w:pPr>
      <w:ind w:left="1417" w:right="0" w:firstLine="0"/>
      <w:spacing w:after="57"/>
    </w:pPr>
  </w:style>
  <w:style w:type="paragraph" w:styleId="697">
    <w:name w:val="table of figures"/>
    <w:basedOn w:val="670"/>
    <w:next w:val="670"/>
    <w:uiPriority w:val="99"/>
    <w:unhideWhenUsed/>
    <w:qFormat/>
    <w:pPr>
      <w:spacing w:after="0" w:afterAutospacing="0"/>
    </w:pPr>
  </w:style>
  <w:style w:type="paragraph" w:styleId="698">
    <w:name w:val="toc 2"/>
    <w:basedOn w:val="670"/>
    <w:next w:val="670"/>
    <w:uiPriority w:val="39"/>
    <w:unhideWhenUsed/>
    <w:qFormat/>
    <w:pPr>
      <w:ind w:left="283" w:right="0" w:firstLine="0"/>
      <w:spacing w:after="57"/>
    </w:pPr>
  </w:style>
  <w:style w:type="paragraph" w:styleId="699">
    <w:name w:val="toc 9"/>
    <w:basedOn w:val="670"/>
    <w:next w:val="670"/>
    <w:uiPriority w:val="39"/>
    <w:unhideWhenUsed/>
    <w:qFormat/>
    <w:pPr>
      <w:ind w:left="2268" w:right="0" w:firstLine="0"/>
      <w:spacing w:after="57"/>
    </w:pPr>
  </w:style>
  <w:style w:type="paragraph" w:styleId="700">
    <w:name w:val="Title"/>
    <w:basedOn w:val="670"/>
    <w:next w:val="670"/>
    <w:link w:val="715"/>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71"/>
    <w:uiPriority w:val="9"/>
    <w:qFormat/>
    <w:rPr>
      <w:rFonts w:ascii="Arial" w:hAnsi="Arial" w:eastAsia="Arial" w:cs="Arial"/>
      <w:sz w:val="40"/>
      <w:szCs w:val="40"/>
    </w:rPr>
  </w:style>
  <w:style w:type="character" w:styleId="706" w:customStyle="1">
    <w:name w:val="Heading 2 Char"/>
    <w:link w:val="672"/>
    <w:uiPriority w:val="9"/>
    <w:qFormat/>
    <w:rPr>
      <w:rFonts w:ascii="Arial" w:hAnsi="Arial" w:eastAsia="Arial" w:cs="Arial"/>
      <w:sz w:val="34"/>
    </w:rPr>
  </w:style>
  <w:style w:type="character" w:styleId="707" w:customStyle="1">
    <w:name w:val="Heading 3 Char"/>
    <w:link w:val="673"/>
    <w:uiPriority w:val="9"/>
    <w:qFormat/>
    <w:rPr>
      <w:rFonts w:ascii="Arial" w:hAnsi="Arial" w:eastAsia="Arial" w:cs="Arial"/>
      <w:sz w:val="30"/>
      <w:szCs w:val="30"/>
    </w:rPr>
  </w:style>
  <w:style w:type="character" w:styleId="708" w:customStyle="1">
    <w:name w:val="Heading 4 Char"/>
    <w:link w:val="674"/>
    <w:uiPriority w:val="9"/>
    <w:qFormat/>
    <w:rPr>
      <w:rFonts w:ascii="Arial" w:hAnsi="Arial" w:eastAsia="Arial" w:cs="Arial"/>
      <w:b/>
      <w:bCs/>
      <w:sz w:val="26"/>
      <w:szCs w:val="26"/>
    </w:rPr>
  </w:style>
  <w:style w:type="character" w:styleId="709" w:customStyle="1">
    <w:name w:val="Heading 5 Char"/>
    <w:link w:val="675"/>
    <w:uiPriority w:val="9"/>
    <w:qFormat/>
    <w:rPr>
      <w:rFonts w:ascii="Arial" w:hAnsi="Arial" w:eastAsia="Arial" w:cs="Arial"/>
      <w:b/>
      <w:bCs/>
      <w:sz w:val="24"/>
      <w:szCs w:val="24"/>
    </w:rPr>
  </w:style>
  <w:style w:type="character" w:styleId="710" w:customStyle="1">
    <w:name w:val="Heading 6 Char"/>
    <w:link w:val="676"/>
    <w:uiPriority w:val="9"/>
    <w:qFormat/>
    <w:rPr>
      <w:rFonts w:ascii="Arial" w:hAnsi="Arial" w:eastAsia="Arial" w:cs="Arial"/>
      <w:b/>
      <w:bCs/>
      <w:sz w:val="22"/>
      <w:szCs w:val="22"/>
    </w:rPr>
  </w:style>
  <w:style w:type="character" w:styleId="711" w:customStyle="1">
    <w:name w:val="Heading 7 Char"/>
    <w:link w:val="677"/>
    <w:uiPriority w:val="9"/>
    <w:qFormat/>
    <w:rPr>
      <w:rFonts w:ascii="Arial" w:hAnsi="Arial" w:eastAsia="Arial" w:cs="Arial"/>
      <w:b/>
      <w:bCs/>
      <w:i/>
      <w:iCs/>
      <w:sz w:val="22"/>
      <w:szCs w:val="22"/>
    </w:rPr>
  </w:style>
  <w:style w:type="character" w:styleId="712" w:customStyle="1">
    <w:name w:val="Heading 8 Char"/>
    <w:link w:val="678"/>
    <w:uiPriority w:val="9"/>
    <w:qFormat/>
    <w:rPr>
      <w:rFonts w:ascii="Arial" w:hAnsi="Arial" w:eastAsia="Arial" w:cs="Arial"/>
      <w:i/>
      <w:iCs/>
      <w:sz w:val="22"/>
      <w:szCs w:val="22"/>
    </w:rPr>
  </w:style>
  <w:style w:type="character" w:styleId="713" w:customStyle="1">
    <w:name w:val="Heading 9 Char"/>
    <w:link w:val="679"/>
    <w:uiPriority w:val="9"/>
    <w:qFormat/>
    <w:rPr>
      <w:rFonts w:ascii="Arial" w:hAnsi="Arial" w:eastAsia="Arial" w:cs="Arial"/>
      <w:i/>
      <w:iCs/>
      <w:sz w:val="21"/>
      <w:szCs w:val="21"/>
    </w:rPr>
  </w:style>
  <w:style w:type="paragraph" w:styleId="714">
    <w:name w:val="No Spacing"/>
    <w:uiPriority w:val="1"/>
    <w:qFormat/>
    <w:pPr>
      <w:spacing w:before="0" w:after="0" w:line="240" w:lineRule="auto"/>
    </w:pPr>
    <w:rPr>
      <w:rFonts w:hint="default" w:ascii="Calibri" w:hAnsi="Calibri" w:eastAsia="宋体" w:cs="Times New Roman"/>
    </w:rPr>
  </w:style>
  <w:style w:type="character" w:styleId="715" w:customStyle="1">
    <w:name w:val="Title Char"/>
    <w:link w:val="700"/>
    <w:uiPriority w:val="10"/>
    <w:qFormat/>
    <w:rPr>
      <w:sz w:val="48"/>
      <w:szCs w:val="48"/>
    </w:rPr>
  </w:style>
  <w:style w:type="character" w:styleId="716" w:customStyle="1">
    <w:name w:val="Subtitle Char"/>
    <w:link w:val="694"/>
    <w:uiPriority w:val="11"/>
    <w:qFormat/>
    <w:rPr>
      <w:sz w:val="24"/>
      <w:szCs w:val="24"/>
    </w:rPr>
  </w:style>
  <w:style w:type="paragraph" w:styleId="717">
    <w:name w:val="Quote"/>
    <w:basedOn w:val="670"/>
    <w:next w:val="670"/>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70"/>
    <w:next w:val="670"/>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91"/>
    <w:uiPriority w:val="99"/>
    <w:qFormat/>
  </w:style>
  <w:style w:type="character" w:styleId="722" w:customStyle="1">
    <w:name w:val="Footer Char"/>
    <w:link w:val="690"/>
    <w:uiPriority w:val="99"/>
    <w:qFormat/>
  </w:style>
  <w:style w:type="character" w:styleId="723" w:customStyle="1">
    <w:name w:val="Caption Char"/>
    <w:link w:val="690"/>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5"/>
    <w:uiPriority w:val="99"/>
    <w:qFormat/>
    <w:rPr>
      <w:sz w:val="18"/>
    </w:rPr>
  </w:style>
  <w:style w:type="character" w:styleId="850" w:customStyle="1">
    <w:name w:val="Endnote Text Char"/>
    <w:link w:val="689"/>
    <w:uiPriority w:val="99"/>
    <w:qFormat/>
    <w:rPr>
      <w:sz w:val="20"/>
    </w:rPr>
  </w:style>
  <w:style w:type="paragraph" w:styleId="851" w:customStyle="1">
    <w:name w:val="TOC Heading"/>
    <w:uiPriority w:val="39"/>
    <w:unhideWhenUsed/>
    <w:qFormat/>
    <w:rPr>
      <w:rFonts w:hint="default" w:ascii="Calibri" w:hAnsi="Calibri" w:eastAsia="宋体" w:cs="Times New Roman"/>
    </w:rPr>
  </w:style>
  <w:style w:type="paragraph" w:styleId="852" w:customStyle="1">
    <w:name w:val="标题 11"/>
    <w:basedOn w:val="670"/>
    <w:next w:val="670"/>
    <w:link w:val="864"/>
    <w:uiPriority w:val="0"/>
    <w:qFormat/>
    <w:pPr>
      <w:jc w:val="center"/>
      <w:keepNext/>
      <w:outlineLvl w:val="0"/>
    </w:pPr>
    <w:rPr>
      <w:rFonts w:ascii="楷体_GB2312" w:hAnsi="Times New Roman" w:eastAsia="楷体_GB2312"/>
      <w:sz w:val="28"/>
      <w:szCs w:val="28"/>
      <w:lang w:val="en-US" w:eastAsia="en-US"/>
    </w:rPr>
  </w:style>
  <w:style w:type="paragraph" w:styleId="853" w:customStyle="1">
    <w:name w:val="标题 21"/>
    <w:basedOn w:val="670"/>
    <w:next w:val="854"/>
    <w:link w:val="865"/>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54" w:customStyle="1">
    <w:name w:val="正文缩进1"/>
    <w:basedOn w:val="670"/>
    <w:link w:val="875"/>
    <w:uiPriority w:val="99"/>
    <w:qFormat/>
    <w:pPr>
      <w:ind w:firstLine="420"/>
    </w:pPr>
    <w:rPr>
      <w:sz w:val="20"/>
      <w:szCs w:val="21"/>
      <w:lang w:val="en-US" w:eastAsia="en-US"/>
    </w:rPr>
  </w:style>
  <w:style w:type="paragraph" w:styleId="855" w:customStyle="1">
    <w:name w:val="标题 31"/>
    <w:basedOn w:val="670"/>
    <w:next w:val="854"/>
    <w:link w:val="866"/>
    <w:uiPriority w:val="0"/>
    <w:qFormat/>
    <w:pPr>
      <w:keepLines/>
      <w:keepNext/>
      <w:spacing w:before="260" w:after="260" w:line="416" w:lineRule="auto"/>
      <w:outlineLvl w:val="2"/>
    </w:pPr>
    <w:rPr>
      <w:rFonts w:ascii="Times New Roman" w:hAnsi="Times New Roman"/>
      <w:b/>
      <w:bCs/>
      <w:sz w:val="32"/>
      <w:szCs w:val="32"/>
      <w:lang w:val="en-US" w:eastAsia="en-US"/>
    </w:rPr>
  </w:style>
  <w:style w:type="paragraph" w:styleId="856" w:customStyle="1">
    <w:name w:val="标题 41"/>
    <w:basedOn w:val="670"/>
    <w:next w:val="854"/>
    <w:link w:val="867"/>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7" w:customStyle="1">
    <w:name w:val="标题 51"/>
    <w:basedOn w:val="670"/>
    <w:next w:val="854"/>
    <w:link w:val="868"/>
    <w:uiPriority w:val="0"/>
    <w:qFormat/>
    <w:pPr>
      <w:keepNext/>
      <w:outlineLvl w:val="4"/>
    </w:pPr>
    <w:rPr>
      <w:rFonts w:ascii="宋体" w:hAnsi="Times New Roman"/>
      <w:color w:val="000000"/>
      <w:sz w:val="28"/>
      <w:szCs w:val="28"/>
      <w:lang w:val="en-US" w:eastAsia="en-US"/>
    </w:rPr>
  </w:style>
  <w:style w:type="paragraph" w:styleId="858"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59" w:customStyle="1">
    <w:name w:val="标题 71"/>
    <w:basedOn w:val="670"/>
    <w:next w:val="670"/>
    <w:link w:val="870"/>
    <w:uiPriority w:val="0"/>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60"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61"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62" w:customStyle="1">
    <w:name w:val="默认段落字体1"/>
    <w:link w:val="670"/>
    <w:uiPriority w:val="1"/>
    <w:unhideWhenUsed/>
    <w:qFormat/>
  </w:style>
  <w:style w:type="table" w:styleId="863" w:customStyle="1">
    <w:name w:val="普通表格1"/>
    <w:uiPriority w:val="99"/>
    <w:semiHidden/>
    <w:unhideWhenUsed/>
    <w:qFormat/>
    <w:tblPr/>
  </w:style>
  <w:style w:type="character" w:styleId="864" w:customStyle="1">
    <w:name w:val="标题 1 Char"/>
    <w:link w:val="852"/>
    <w:uiPriority w:val="0"/>
    <w:qFormat/>
    <w:rPr>
      <w:rFonts w:ascii="楷体_GB2312" w:hAnsi="Times New Roman" w:eastAsia="楷体_GB2312" w:cs="Times New Roman"/>
      <w:sz w:val="28"/>
      <w:szCs w:val="28"/>
    </w:rPr>
  </w:style>
  <w:style w:type="character" w:styleId="865" w:customStyle="1">
    <w:name w:val="标题 2 Char"/>
    <w:link w:val="853"/>
    <w:uiPriority w:val="0"/>
    <w:qFormat/>
    <w:rPr>
      <w:rFonts w:ascii="Arial" w:hAnsi="Arial" w:eastAsia="幼圆" w:cs="Arial"/>
      <w:b/>
      <w:bCs/>
      <w:sz w:val="44"/>
      <w:szCs w:val="44"/>
    </w:rPr>
  </w:style>
  <w:style w:type="character" w:styleId="866" w:customStyle="1">
    <w:name w:val="标题 3 Char"/>
    <w:link w:val="855"/>
    <w:uiPriority w:val="0"/>
    <w:qFormat/>
    <w:rPr>
      <w:rFonts w:ascii="Times New Roman" w:hAnsi="Times New Roman" w:eastAsia="宋体" w:cs="Times New Roman"/>
      <w:b/>
      <w:bCs/>
      <w:sz w:val="32"/>
      <w:szCs w:val="32"/>
    </w:rPr>
  </w:style>
  <w:style w:type="character" w:styleId="867" w:customStyle="1">
    <w:name w:val="标题 4 Char"/>
    <w:link w:val="856"/>
    <w:uiPriority w:val="0"/>
    <w:qFormat/>
    <w:rPr>
      <w:rFonts w:ascii="Arial" w:hAnsi="Arial" w:eastAsia="黑体" w:cs="Arial"/>
      <w:b/>
      <w:bCs/>
      <w:sz w:val="28"/>
      <w:szCs w:val="28"/>
    </w:rPr>
  </w:style>
  <w:style w:type="character" w:styleId="868" w:customStyle="1">
    <w:name w:val="标题 5 Char"/>
    <w:link w:val="857"/>
    <w:uiPriority w:val="0"/>
    <w:qFormat/>
    <w:rPr>
      <w:rFonts w:ascii="宋体" w:hAnsi="Times New Roman" w:eastAsia="宋体" w:cs="Times New Roman"/>
      <w:color w:val="000000"/>
      <w:sz w:val="28"/>
      <w:szCs w:val="28"/>
    </w:rPr>
  </w:style>
  <w:style w:type="character" w:styleId="869" w:customStyle="1">
    <w:name w:val="标题 6 Char"/>
    <w:link w:val="858"/>
    <w:uiPriority w:val="0"/>
    <w:qFormat/>
    <w:rPr>
      <w:rFonts w:ascii="Arial" w:hAnsi="Arial" w:eastAsia="黑体" w:cs="Times New Roman"/>
      <w:b/>
      <w:bCs/>
      <w:sz w:val="24"/>
      <w:szCs w:val="24"/>
    </w:rPr>
  </w:style>
  <w:style w:type="character" w:styleId="870" w:customStyle="1">
    <w:name w:val="标题 7 Char"/>
    <w:link w:val="859"/>
    <w:uiPriority w:val="0"/>
    <w:qFormat/>
    <w:rPr>
      <w:rFonts w:ascii="Times New Roman" w:hAnsi="Times New Roman" w:eastAsia="宋体" w:cs="Times New Roman"/>
      <w:b/>
      <w:bCs/>
      <w:sz w:val="24"/>
      <w:szCs w:val="24"/>
    </w:rPr>
  </w:style>
  <w:style w:type="character" w:styleId="871" w:customStyle="1">
    <w:name w:val="标题 8 Char"/>
    <w:link w:val="860"/>
    <w:uiPriority w:val="0"/>
    <w:qFormat/>
    <w:rPr>
      <w:rFonts w:ascii="Arial" w:hAnsi="Arial" w:eastAsia="黑体" w:cs="Times New Roman"/>
      <w:sz w:val="24"/>
      <w:szCs w:val="24"/>
    </w:rPr>
  </w:style>
  <w:style w:type="character" w:styleId="872" w:customStyle="1">
    <w:name w:val="标题 9 Char"/>
    <w:link w:val="861"/>
    <w:uiPriority w:val="0"/>
    <w:qFormat/>
    <w:rPr>
      <w:rFonts w:ascii="Arial" w:hAnsi="Arial" w:eastAsia="黑体" w:cs="Times New Roman"/>
      <w:szCs w:val="21"/>
    </w:rPr>
  </w:style>
  <w:style w:type="character" w:styleId="873" w:customStyle="1">
    <w:name w:val="访问过的超链接"/>
    <w:link w:val="670"/>
    <w:uiPriority w:val="0"/>
    <w:qFormat/>
    <w:rPr>
      <w:color w:val="800080"/>
      <w:u w:val="single"/>
    </w:rPr>
  </w:style>
  <w:style w:type="character" w:styleId="874" w:customStyle="1">
    <w:name w:val="font5 Char"/>
    <w:link w:val="670"/>
    <w:uiPriority w:val="0"/>
    <w:qFormat/>
    <w:rPr>
      <w:rFonts w:ascii="宋体" w:hAnsi="宋体" w:eastAsia="宋体"/>
      <w:sz w:val="28"/>
      <w:szCs w:val="28"/>
      <w:lang w:val="en-US" w:eastAsia="zh-CN" w:bidi="ar-SA"/>
    </w:rPr>
  </w:style>
  <w:style w:type="character" w:styleId="875" w:customStyle="1">
    <w:name w:val="正文缩进 Char"/>
    <w:link w:val="854"/>
    <w:uiPriority w:val="0"/>
    <w:qFormat/>
    <w:rPr>
      <w:szCs w:val="21"/>
    </w:rPr>
  </w:style>
  <w:style w:type="character" w:styleId="876" w:customStyle="1">
    <w:name w:val="批注引用1"/>
    <w:link w:val="670"/>
    <w:uiPriority w:val="0"/>
    <w:semiHidden/>
    <w:qFormat/>
    <w:rPr>
      <w:sz w:val="21"/>
      <w:szCs w:val="21"/>
    </w:rPr>
  </w:style>
  <w:style w:type="character" w:styleId="877" w:customStyle="1">
    <w:name w:val="要点1"/>
    <w:link w:val="670"/>
    <w:uiPriority w:val="0"/>
    <w:qFormat/>
    <w:rPr>
      <w:b/>
      <w:bCs/>
    </w:rPr>
  </w:style>
  <w:style w:type="character" w:styleId="878" w:customStyle="1">
    <w:name w:val="超链接1"/>
    <w:link w:val="670"/>
    <w:uiPriority w:val="0"/>
    <w:qFormat/>
    <w:rPr>
      <w:color w:val="0000ff"/>
      <w:u w:val="single"/>
    </w:rPr>
  </w:style>
  <w:style w:type="character" w:styleId="879" w:customStyle="1">
    <w:name w:val="页码1"/>
    <w:link w:val="670"/>
    <w:uiPriority w:val="0"/>
    <w:qFormat/>
  </w:style>
  <w:style w:type="character" w:styleId="880" w:customStyle="1">
    <w:name w:val="二级目录 Char"/>
    <w:link w:val="881"/>
    <w:uiPriority w:val="0"/>
    <w:qFormat/>
    <w:rPr>
      <w:b/>
      <w:sz w:val="30"/>
      <w:szCs w:val="28"/>
      <w:lang w:val="en-US" w:eastAsia="zh-CN" w:bidi="ar-SA"/>
    </w:rPr>
  </w:style>
  <w:style w:type="paragraph" w:styleId="881" w:customStyle="1">
    <w:name w:val="二级目录"/>
    <w:next w:val="670"/>
    <w:link w:val="88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882" w:customStyle="1">
    <w:name w:val="列出段落 Char"/>
    <w:link w:val="883"/>
    <w:uiPriority w:val="0"/>
    <w:qFormat/>
    <w:rPr>
      <w:rFonts w:ascii="Calibri" w:hAnsi="Calibri"/>
      <w:sz w:val="24"/>
      <w:szCs w:val="24"/>
      <w:lang w:eastAsia="en-US" w:bidi="en-US"/>
    </w:rPr>
  </w:style>
  <w:style w:type="paragraph" w:styleId="883" w:customStyle="1">
    <w:name w:val="列出段落1"/>
    <w:basedOn w:val="670"/>
    <w:link w:val="882"/>
    <w:uiPriority w:val="0"/>
    <w:qFormat/>
    <w:pPr>
      <w:contextualSpacing/>
      <w:ind w:left="720"/>
      <w:jc w:val="left"/>
      <w:widowControl/>
    </w:pPr>
    <w:rPr>
      <w:sz w:val="24"/>
      <w:szCs w:val="24"/>
      <w:lang w:val="en-US" w:eastAsia="en-US" w:bidi="en-US"/>
    </w:rPr>
  </w:style>
  <w:style w:type="paragraph" w:styleId="884" w:customStyle="1">
    <w:name w:val="Body Text(ch)"/>
    <w:basedOn w:val="670"/>
    <w:next w:val="885"/>
    <w:uiPriority w:val="0"/>
    <w:qFormat/>
    <w:pPr>
      <w:spacing w:after="120"/>
    </w:pPr>
    <w:rPr>
      <w:rFonts w:ascii="宋体" w:hAnsi="Arial" w:eastAsia="宋体" w:cs="Times New Roman"/>
      <w:bCs/>
      <w:iCs/>
      <w:szCs w:val="24"/>
    </w:rPr>
  </w:style>
  <w:style w:type="paragraph" w:styleId="885" w:customStyle="1">
    <w:name w:val="正文文本1"/>
    <w:basedOn w:val="670"/>
    <w:link w:val="890"/>
    <w:uiPriority w:val="0"/>
    <w:qFormat/>
    <w:rPr>
      <w:rFonts w:ascii="楷体_GB2312" w:hAnsi="Arial" w:eastAsia="楷体_GB2312"/>
      <w:sz w:val="28"/>
      <w:szCs w:val="28"/>
      <w:lang w:val="en-US" w:eastAsia="en-US"/>
    </w:rPr>
  </w:style>
  <w:style w:type="paragraph" w:styleId="886" w:customStyle="1">
    <w:name w:val="目录 91"/>
    <w:basedOn w:val="670"/>
    <w:next w:val="670"/>
    <w:uiPriority w:val="0"/>
    <w:semiHidden/>
    <w:qFormat/>
    <w:pPr>
      <w:ind w:left="1680"/>
      <w:jc w:val="left"/>
    </w:pPr>
    <w:rPr>
      <w:rFonts w:ascii="Times New Roman" w:hAnsi="Times New Roman" w:eastAsia="宋体" w:cs="Times New Roman"/>
      <w:szCs w:val="21"/>
    </w:rPr>
  </w:style>
  <w:style w:type="paragraph" w:styleId="887"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8" w:customStyle="1">
    <w:name w:val="正文文本缩进 21"/>
    <w:basedOn w:val="670"/>
    <w:link w:val="889"/>
    <w:uiPriority w:val="0"/>
    <w:qFormat/>
    <w:pPr>
      <w:ind w:left="630" w:firstLine="645"/>
    </w:pPr>
    <w:rPr>
      <w:rFonts w:ascii="Arial" w:hAnsi="Arial" w:eastAsia="仿宋_GB2312"/>
      <w:sz w:val="32"/>
      <w:szCs w:val="32"/>
      <w:lang w:val="en-US" w:eastAsia="en-US"/>
    </w:rPr>
  </w:style>
  <w:style w:type="character" w:styleId="889" w:customStyle="1">
    <w:name w:val="正文文本缩进 2 Char"/>
    <w:link w:val="888"/>
    <w:uiPriority w:val="0"/>
    <w:qFormat/>
    <w:rPr>
      <w:rFonts w:ascii="Arial" w:hAnsi="Arial" w:eastAsia="仿宋_GB2312" w:cs="Arial"/>
      <w:sz w:val="32"/>
      <w:szCs w:val="32"/>
    </w:rPr>
  </w:style>
  <w:style w:type="character" w:styleId="890" w:customStyle="1">
    <w:name w:val="正文文本 Char"/>
    <w:link w:val="885"/>
    <w:uiPriority w:val="0"/>
    <w:qFormat/>
    <w:rPr>
      <w:rFonts w:ascii="楷体_GB2312" w:hAnsi="Arial" w:eastAsia="楷体_GB2312" w:cs="Times New Roman"/>
      <w:sz w:val="28"/>
      <w:szCs w:val="28"/>
    </w:rPr>
  </w:style>
  <w:style w:type="paragraph" w:styleId="891" w:customStyle="1">
    <w:name w:val="图表目录1"/>
    <w:basedOn w:val="670"/>
    <w:next w:val="670"/>
    <w:uiPriority w:val="0"/>
    <w:semiHidden/>
    <w:qFormat/>
    <w:pPr>
      <w:ind w:left="840" w:hanging="420"/>
    </w:pPr>
    <w:rPr>
      <w:rFonts w:ascii="Times New Roman" w:hAnsi="Times New Roman" w:eastAsia="宋体" w:cs="Times New Roman"/>
      <w:szCs w:val="21"/>
    </w:rPr>
  </w:style>
  <w:style w:type="paragraph" w:styleId="892"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3" w:customStyle="1">
    <w:name w:val="Char"/>
    <w:basedOn w:val="670"/>
    <w:uiPriority w:val="0"/>
    <w:qFormat/>
    <w:pPr>
      <w:ind w:firstLine="200"/>
      <w:tabs>
        <w:tab w:val="left" w:pos="360" w:leader="none"/>
      </w:tabs>
    </w:pPr>
    <w:rPr>
      <w:rFonts w:ascii="Times New Roman" w:hAnsi="Times New Roman" w:eastAsia="宋体" w:cs="Times New Roman"/>
      <w:sz w:val="28"/>
      <w:szCs w:val="30"/>
    </w:rPr>
  </w:style>
  <w:style w:type="paragraph" w:styleId="894" w:customStyle="1">
    <w:name w:val=" Char"/>
    <w:basedOn w:val="895"/>
    <w:uiPriority w:val="0"/>
    <w:qFormat/>
    <w:rPr>
      <w:rFonts w:ascii="Tahoma" w:hAnsi="Tahoma"/>
      <w:sz w:val="24"/>
      <w:szCs w:val="24"/>
    </w:rPr>
  </w:style>
  <w:style w:type="paragraph" w:styleId="895" w:customStyle="1">
    <w:name w:val="文档结构图1"/>
    <w:basedOn w:val="670"/>
    <w:link w:val="919"/>
    <w:uiPriority w:val="0"/>
    <w:semiHidden/>
    <w:qFormat/>
    <w:pPr>
      <w:shd w:val="clear" w:color="auto" w:fill="000080"/>
    </w:pPr>
    <w:rPr>
      <w:rFonts w:ascii="Times New Roman" w:hAnsi="Times New Roman"/>
      <w:sz w:val="20"/>
      <w:szCs w:val="21"/>
      <w:lang w:val="en-US" w:eastAsia="en-US"/>
    </w:rPr>
  </w:style>
  <w:style w:type="paragraph" w:styleId="896" w:customStyle="1">
    <w:name w:val="批注文字1"/>
    <w:basedOn w:val="670"/>
    <w:link w:val="897"/>
    <w:uiPriority w:val="0"/>
    <w:semiHidden/>
    <w:unhideWhenUsed/>
    <w:qFormat/>
    <w:pPr>
      <w:jc w:val="left"/>
    </w:pPr>
  </w:style>
  <w:style w:type="character" w:styleId="897" w:customStyle="1">
    <w:name w:val="批注文字 Char"/>
    <w:basedOn w:val="862"/>
    <w:link w:val="896"/>
    <w:uiPriority w:val="99"/>
    <w:semiHidden/>
    <w:qFormat/>
  </w:style>
  <w:style w:type="paragraph" w:styleId="898" w:customStyle="1">
    <w:name w:val="批注主题1"/>
    <w:basedOn w:val="896"/>
    <w:next w:val="896"/>
    <w:link w:val="899"/>
    <w:uiPriority w:val="0"/>
    <w:semiHidden/>
    <w:qFormat/>
    <w:rPr>
      <w:rFonts w:ascii="Times New Roman" w:hAnsi="Times New Roman"/>
      <w:b/>
      <w:bCs/>
      <w:sz w:val="20"/>
      <w:szCs w:val="21"/>
      <w:lang w:val="en-US" w:eastAsia="en-US"/>
    </w:rPr>
  </w:style>
  <w:style w:type="character" w:styleId="899" w:customStyle="1">
    <w:name w:val="批注主题 Char"/>
    <w:link w:val="898"/>
    <w:uiPriority w:val="0"/>
    <w:semiHidden/>
    <w:qFormat/>
    <w:rPr>
      <w:rFonts w:ascii="Times New Roman" w:hAnsi="Times New Roman" w:eastAsia="宋体" w:cs="Times New Roman"/>
      <w:b/>
      <w:bCs/>
      <w:szCs w:val="21"/>
    </w:rPr>
  </w:style>
  <w:style w:type="paragraph" w:styleId="900" w:customStyle="1">
    <w:name w:val="索引 11"/>
    <w:basedOn w:val="670"/>
    <w:next w:val="670"/>
    <w:uiPriority w:val="0"/>
    <w:semiHidden/>
    <w:qFormat/>
    <w:pPr>
      <w:spacing w:line="240" w:lineRule="atLeast"/>
    </w:pPr>
    <w:rPr>
      <w:rFonts w:ascii="Times New Roman" w:hAnsi="Times New Roman" w:eastAsia="宋体" w:cs="Times New Roman"/>
      <w:b/>
      <w:bCs/>
      <w:szCs w:val="21"/>
    </w:rPr>
  </w:style>
  <w:style w:type="paragraph" w:styleId="901" w:customStyle="1">
    <w:name w:val="普通正文"/>
    <w:basedOn w:val="670"/>
    <w:uiPriority w:val="0"/>
    <w:qFormat/>
    <w:pPr>
      <w:ind w:firstLine="480"/>
      <w:jc w:val="left"/>
      <w:spacing w:before="120" w:after="120" w:line="360" w:lineRule="auto"/>
    </w:pPr>
    <w:rPr>
      <w:rFonts w:ascii="Arial" w:hAnsi="Arial" w:eastAsia="宋体" w:cs="Times New Roman"/>
      <w:sz w:val="24"/>
      <w:szCs w:val="24"/>
    </w:rPr>
  </w:style>
  <w:style w:type="paragraph" w:styleId="902" w:customStyle="1">
    <w:name w:val="table_lines"/>
    <w:basedOn w:val="670"/>
    <w:uiPriority w:val="0"/>
    <w:qFormat/>
    <w:pPr>
      <w:jc w:val="left"/>
      <w:widowControl/>
    </w:pPr>
    <w:rPr>
      <w:rFonts w:ascii="Times New Roman" w:hAnsi="Times New Roman" w:eastAsia="宋体" w:cs="Times New Roman"/>
      <w:sz w:val="20"/>
      <w:szCs w:val="20"/>
      <w:lang w:val="de-DE" w:eastAsia="de-DE"/>
    </w:rPr>
  </w:style>
  <w:style w:type="paragraph" w:styleId="9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4" w:customStyle="1">
    <w:name w:val="目录 31"/>
    <w:basedOn w:val="670"/>
    <w:next w:val="670"/>
    <w:uiPriority w:val="0"/>
    <w:semiHidden/>
    <w:qFormat/>
    <w:pPr>
      <w:ind w:left="420"/>
      <w:jc w:val="left"/>
    </w:pPr>
    <w:rPr>
      <w:rFonts w:ascii="Times New Roman" w:hAnsi="Times New Roman" w:eastAsia="宋体" w:cs="Times New Roman"/>
      <w:i/>
      <w:iCs/>
      <w:szCs w:val="24"/>
    </w:rPr>
  </w:style>
  <w:style w:type="paragraph" w:styleId="905" w:customStyle="1">
    <w:name w:val="正文文本缩进1"/>
    <w:basedOn w:val="670"/>
    <w:link w:val="906"/>
    <w:uiPriority w:val="0"/>
    <w:unhideWhenUsed/>
    <w:qFormat/>
    <w:pPr>
      <w:ind w:left="420"/>
      <w:spacing w:after="120"/>
    </w:pPr>
  </w:style>
  <w:style w:type="character" w:styleId="906" w:customStyle="1">
    <w:name w:val="正文文本缩进 Char"/>
    <w:basedOn w:val="862"/>
    <w:link w:val="905"/>
    <w:uiPriority w:val="99"/>
    <w:semiHidden/>
    <w:qFormat/>
  </w:style>
  <w:style w:type="paragraph" w:styleId="907" w:customStyle="1">
    <w:name w:val="正文首行缩进 21"/>
    <w:basedOn w:val="905"/>
    <w:link w:val="908"/>
    <w:uiPriority w:val="0"/>
    <w:qFormat/>
    <w:pPr>
      <w:ind w:left="0" w:firstLine="420"/>
      <w:spacing w:after="0" w:line="360" w:lineRule="auto"/>
    </w:pPr>
    <w:rPr>
      <w:rFonts w:ascii="宋体" w:hAnsi="宋体"/>
      <w:sz w:val="20"/>
      <w:szCs w:val="20"/>
      <w:lang w:val="en-US" w:eastAsia="en-US"/>
    </w:rPr>
  </w:style>
  <w:style w:type="character" w:styleId="908" w:customStyle="1">
    <w:name w:val="正文首行缩进 2 Char"/>
    <w:link w:val="907"/>
    <w:uiPriority w:val="0"/>
    <w:qFormat/>
    <w:rPr>
      <w:rFonts w:ascii="宋体" w:hAnsi="宋体" w:eastAsia="宋体" w:cs="Times New Roman"/>
      <w:szCs w:val="20"/>
    </w:rPr>
  </w:style>
  <w:style w:type="paragraph" w:styleId="909" w:customStyle="1">
    <w:name w:val="正文文本缩进 31"/>
    <w:basedOn w:val="670"/>
    <w:link w:val="910"/>
    <w:uiPriority w:val="0"/>
    <w:qFormat/>
    <w:pPr>
      <w:ind w:left="645" w:firstLine="645"/>
    </w:pPr>
    <w:rPr>
      <w:rFonts w:ascii="Arial" w:hAnsi="Arial" w:eastAsia="仿宋_GB2312"/>
      <w:color w:val="ffff00"/>
      <w:sz w:val="32"/>
      <w:szCs w:val="32"/>
      <w:lang w:val="en-US" w:eastAsia="en-US"/>
    </w:rPr>
  </w:style>
  <w:style w:type="character" w:styleId="910" w:customStyle="1">
    <w:name w:val="正文文本缩进 3 Char"/>
    <w:link w:val="909"/>
    <w:uiPriority w:val="0"/>
    <w:qFormat/>
    <w:rPr>
      <w:rFonts w:ascii="Arial" w:hAnsi="Arial" w:eastAsia="仿宋_GB2312" w:cs="Arial"/>
      <w:color w:val="ffff00"/>
      <w:sz w:val="32"/>
      <w:szCs w:val="32"/>
    </w:rPr>
  </w:style>
  <w:style w:type="paragraph" w:styleId="911" w:customStyle="1">
    <w:name w:val="目录 61"/>
    <w:basedOn w:val="670"/>
    <w:next w:val="670"/>
    <w:uiPriority w:val="0"/>
    <w:semiHidden/>
    <w:qFormat/>
    <w:pPr>
      <w:ind w:left="1050"/>
      <w:jc w:val="left"/>
    </w:pPr>
    <w:rPr>
      <w:rFonts w:ascii="Times New Roman" w:hAnsi="Times New Roman" w:eastAsia="宋体" w:cs="Times New Roman"/>
      <w:szCs w:val="21"/>
    </w:rPr>
  </w:style>
  <w:style w:type="paragraph" w:styleId="912" w:customStyle="1">
    <w:name w:val="font7"/>
    <w:basedOn w:val="67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13" w:customStyle="1">
    <w:name w:val=" Char Char Char Char"/>
    <w:basedOn w:val="895"/>
    <w:uiPriority w:val="0"/>
    <w:qFormat/>
    <w:pPr>
      <w:spacing w:line="360" w:lineRule="auto"/>
    </w:pPr>
    <w:rPr>
      <w:rFonts w:ascii="Tahoma" w:hAnsi="Tahoma"/>
      <w:sz w:val="24"/>
      <w:szCs w:val="24"/>
    </w:rPr>
  </w:style>
  <w:style w:type="paragraph" w:styleId="914" w:customStyle="1">
    <w:name w:val="正文文本 31"/>
    <w:basedOn w:val="670"/>
    <w:link w:val="915"/>
    <w:uiPriority w:val="0"/>
    <w:qFormat/>
    <w:rPr>
      <w:rFonts w:ascii="仿宋_GB2312" w:hAnsi="Arial" w:eastAsia="仿宋_GB2312"/>
      <w:sz w:val="32"/>
      <w:szCs w:val="32"/>
      <w:lang w:val="en-US" w:eastAsia="en-US"/>
    </w:rPr>
  </w:style>
  <w:style w:type="character" w:styleId="915" w:customStyle="1">
    <w:name w:val="正文文本 3 Char"/>
    <w:link w:val="914"/>
    <w:uiPriority w:val="0"/>
    <w:qFormat/>
    <w:rPr>
      <w:rFonts w:ascii="仿宋_GB2312" w:hAnsi="Arial" w:eastAsia="仿宋_GB2312" w:cs="Times New Roman"/>
      <w:sz w:val="32"/>
      <w:szCs w:val="32"/>
    </w:rPr>
  </w:style>
  <w:style w:type="paragraph" w:styleId="916" w:customStyle="1">
    <w:name w:val="普通(网站)1"/>
    <w:basedOn w:val="670"/>
    <w:uiPriority w:val="99"/>
    <w:qFormat/>
    <w:pPr>
      <w:jc w:val="left"/>
      <w:spacing w:before="100" w:beforeAutospacing="1" w:after="100" w:afterAutospacing="1"/>
      <w:widowControl/>
    </w:pPr>
    <w:rPr>
      <w:rFonts w:ascii="宋体" w:hAnsi="宋体" w:eastAsia="宋体" w:cs="宋体"/>
      <w:sz w:val="24"/>
      <w:szCs w:val="24"/>
    </w:rPr>
  </w:style>
  <w:style w:type="paragraph" w:styleId="917" w:customStyle="1">
    <w:name w:val="目录 41"/>
    <w:basedOn w:val="670"/>
    <w:next w:val="670"/>
    <w:uiPriority w:val="0"/>
    <w:semiHidden/>
    <w:qFormat/>
    <w:pPr>
      <w:ind w:left="630"/>
      <w:jc w:val="left"/>
    </w:pPr>
    <w:rPr>
      <w:rFonts w:ascii="Times New Roman" w:hAnsi="Times New Roman" w:eastAsia="宋体" w:cs="Times New Roman"/>
      <w:szCs w:val="21"/>
    </w:rPr>
  </w:style>
  <w:style w:type="paragraph" w:styleId="918" w:customStyle="1">
    <w:name w:val="列出段落"/>
    <w:basedOn w:val="670"/>
    <w:uiPriority w:val="34"/>
    <w:qFormat/>
    <w:pPr>
      <w:contextualSpacing/>
      <w:ind w:left="720"/>
      <w:jc w:val="left"/>
      <w:widowControl/>
    </w:pPr>
    <w:rPr>
      <w:rFonts w:ascii="Calibri" w:hAnsi="Calibri" w:eastAsia="宋体" w:cs="Times New Roman"/>
      <w:sz w:val="24"/>
      <w:szCs w:val="24"/>
      <w:lang w:eastAsia="en-US" w:bidi="en-US"/>
    </w:rPr>
  </w:style>
  <w:style w:type="character" w:styleId="919" w:customStyle="1">
    <w:name w:val="文档结构图 Char"/>
    <w:link w:val="895"/>
    <w:uiPriority w:val="0"/>
    <w:semiHidden/>
    <w:qFormat/>
    <w:rPr>
      <w:rFonts w:ascii="Times New Roman" w:hAnsi="Times New Roman" w:eastAsia="宋体" w:cs="Times New Roman"/>
      <w:szCs w:val="21"/>
      <w:shd w:val="clear" w:color="auto" w:fill="000080"/>
    </w:rPr>
  </w:style>
  <w:style w:type="paragraph" w:styleId="920" w:customStyle="1">
    <w:name w:val="4"/>
    <w:basedOn w:val="670"/>
    <w:next w:val="909"/>
    <w:uiPriority w:val="0"/>
    <w:qFormat/>
    <w:pPr>
      <w:ind w:firstLine="420"/>
      <w:spacing w:line="360" w:lineRule="auto"/>
    </w:pPr>
    <w:rPr>
      <w:rFonts w:ascii="Times New Roman" w:hAnsi="Times New Roman" w:eastAsia="宋体" w:cs="Times New Roman"/>
      <w:color w:val="ff0000"/>
      <w:sz w:val="24"/>
      <w:szCs w:val="24"/>
    </w:rPr>
  </w:style>
  <w:style w:type="paragraph" w:styleId="921" w:customStyle="1">
    <w:name w:val="普通 (Web)"/>
    <w:basedOn w:val="670"/>
    <w:uiPriority w:val="0"/>
    <w:qFormat/>
    <w:pPr>
      <w:jc w:val="left"/>
      <w:spacing w:before="100" w:beforeAutospacing="1" w:after="100" w:afterAutospacing="1"/>
      <w:widowControl/>
    </w:pPr>
    <w:rPr>
      <w:rFonts w:ascii="宋体" w:hAnsi="宋体" w:eastAsia="宋体" w:cs="Times New Roman"/>
      <w:sz w:val="24"/>
      <w:szCs w:val="24"/>
    </w:rPr>
  </w:style>
  <w:style w:type="paragraph" w:styleId="922" w:customStyle="1">
    <w:name w:val=" Char Char Char Char Char Char Char Char Char Char"/>
    <w:basedOn w:val="670"/>
    <w:uiPriority w:val="0"/>
    <w:qFormat/>
    <w:pPr>
      <w:spacing w:line="360" w:lineRule="auto"/>
    </w:pPr>
    <w:rPr>
      <w:rFonts w:ascii="Times New Roman" w:hAnsi="Times New Roman" w:eastAsia="宋体" w:cs="Times New Roman"/>
      <w:sz w:val="24"/>
      <w:szCs w:val="20"/>
    </w:rPr>
  </w:style>
  <w:style w:type="paragraph" w:styleId="923" w:customStyle="1">
    <w:name w:val="列表 21"/>
    <w:basedOn w:val="670"/>
    <w:uiPriority w:val="0"/>
    <w:qFormat/>
    <w:pPr>
      <w:ind w:left="100" w:hanging="200"/>
    </w:pPr>
    <w:rPr>
      <w:rFonts w:ascii="Times New Roman" w:hAnsi="Times New Roman" w:eastAsia="宋体" w:cs="Times New Roman"/>
      <w:szCs w:val="21"/>
    </w:rPr>
  </w:style>
  <w:style w:type="paragraph" w:styleId="924" w:customStyle="1">
    <w:name w:val="正文首行缩进1"/>
    <w:basedOn w:val="670"/>
    <w:link w:val="925"/>
    <w:uiPriority w:val="0"/>
    <w:qFormat/>
    <w:pPr>
      <w:ind w:firstLine="200"/>
      <w:spacing w:line="360" w:lineRule="auto"/>
    </w:pPr>
    <w:rPr>
      <w:rFonts w:ascii="仿宋_GB2312" w:hAnsi="Times New Roman" w:eastAsia="仿宋_GB2312"/>
      <w:sz w:val="30"/>
      <w:szCs w:val="30"/>
      <w:lang w:val="en-US" w:eastAsia="en-US"/>
    </w:rPr>
  </w:style>
  <w:style w:type="character" w:styleId="925" w:customStyle="1">
    <w:name w:val="正文首行缩进 Char"/>
    <w:link w:val="924"/>
    <w:uiPriority w:val="0"/>
    <w:qFormat/>
    <w:rPr>
      <w:rFonts w:ascii="仿宋_GB2312" w:hAnsi="Times New Roman" w:eastAsia="仿宋_GB2312" w:cs="Times New Roman"/>
      <w:sz w:val="30"/>
      <w:szCs w:val="30"/>
    </w:rPr>
  </w:style>
  <w:style w:type="paragraph" w:styleId="926" w:customStyle="1">
    <w:name w:val="样式1"/>
    <w:basedOn w:val="670"/>
    <w:uiPriority w:val="0"/>
    <w:qFormat/>
    <w:pPr>
      <w:numPr>
        <w:ilvl w:val="0"/>
        <w:numId w:val="3"/>
      </w:numPr>
    </w:pPr>
    <w:rPr>
      <w:rFonts w:ascii="宋体" w:hAnsi="宋体" w:eastAsia="宋体" w:cs="Times New Roman"/>
      <w:szCs w:val="21"/>
    </w:rPr>
  </w:style>
  <w:style w:type="paragraph" w:styleId="927" w:customStyle="1">
    <w:name w:val="font6"/>
    <w:basedOn w:val="67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28" w:customStyle="1">
    <w:name w:val="目录 51"/>
    <w:basedOn w:val="670"/>
    <w:next w:val="670"/>
    <w:uiPriority w:val="0"/>
    <w:semiHidden/>
    <w:qFormat/>
    <w:pPr>
      <w:ind w:left="840"/>
      <w:jc w:val="left"/>
    </w:pPr>
    <w:rPr>
      <w:rFonts w:ascii="Times New Roman" w:hAnsi="Times New Roman" w:eastAsia="宋体" w:cs="Times New Roman"/>
      <w:szCs w:val="21"/>
    </w:rPr>
  </w:style>
  <w:style w:type="paragraph" w:styleId="929" w:customStyle="1">
    <w:name w:val="目录 11"/>
    <w:basedOn w:val="670"/>
    <w:next w:val="67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纯文本11"/>
    <w:basedOn w:val="670"/>
    <w:link w:val="931"/>
    <w:uiPriority w:val="0"/>
    <w:qFormat/>
    <w:rPr>
      <w:rFonts w:ascii="宋体" w:hAnsi="Courier New"/>
      <w:sz w:val="20"/>
      <w:szCs w:val="21"/>
      <w:lang w:val="en-US" w:eastAsia="en-US"/>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批注框文本1"/>
    <w:basedOn w:val="670"/>
    <w:link w:val="933"/>
    <w:uiPriority w:val="0"/>
    <w:semiHidden/>
    <w:qFormat/>
    <w:rPr>
      <w:rFonts w:ascii="Times New Roman" w:hAnsi="Times New Roman"/>
      <w:sz w:val="18"/>
      <w:szCs w:val="18"/>
      <w:lang w:val="en-US" w:eastAsia="en-US"/>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列表1"/>
    <w:basedOn w:val="670"/>
    <w:uiPriority w:val="0"/>
    <w:qFormat/>
    <w:pPr>
      <w:ind w:left="200" w:hanging="200"/>
    </w:pPr>
    <w:rPr>
      <w:rFonts w:ascii="Times New Roman" w:hAnsi="Times New Roman" w:eastAsia="宋体" w:cs="Times New Roman"/>
      <w:szCs w:val="21"/>
    </w:rPr>
  </w:style>
  <w:style w:type="paragraph" w:styleId="936"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7" w:customStyle="1">
    <w:name w:val="日期1"/>
    <w:basedOn w:val="670"/>
    <w:next w:val="670"/>
    <w:link w:val="938"/>
    <w:uiPriority w:val="0"/>
    <w:qFormat/>
    <w:rPr>
      <w:rFonts w:ascii="Times New Roman" w:hAnsi="Times New Roman"/>
      <w:sz w:val="24"/>
      <w:szCs w:val="24"/>
      <w:lang w:val="en-US" w:eastAsia="en-US"/>
    </w:rPr>
  </w:style>
  <w:style w:type="character" w:styleId="938" w:customStyle="1">
    <w:name w:val="日期 Char"/>
    <w:link w:val="937"/>
    <w:uiPriority w:val="0"/>
    <w:qFormat/>
    <w:rPr>
      <w:rFonts w:ascii="Times New Roman" w:hAnsi="Times New Roman" w:eastAsia="宋体" w:cs="Times New Roman"/>
      <w:sz w:val="24"/>
      <w:szCs w:val="24"/>
    </w:rPr>
  </w:style>
  <w:style w:type="paragraph" w:styleId="939" w:customStyle="1">
    <w:name w:val="标题3"/>
    <w:basedOn w:val="670"/>
    <w:next w:val="670"/>
    <w:uiPriority w:val="0"/>
    <w:qFormat/>
    <w:pPr>
      <w:ind w:firstLine="624"/>
      <w:spacing w:line="590" w:lineRule="atLeast"/>
    </w:pPr>
    <w:rPr>
      <w:rFonts w:ascii="方正黑体_GBK" w:hAnsi="Times New Roman" w:eastAsia="方正黑体_GBK" w:cs="Times New Roman"/>
      <w:sz w:val="32"/>
      <w:szCs w:val="32"/>
    </w:rPr>
  </w:style>
  <w:style w:type="paragraph" w:styleId="940"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2" w:customStyle="1">
    <w:name w:val="Char Char Char Char Char Char Char Char"/>
    <w:basedOn w:val="670"/>
    <w:uiPriority w:val="0"/>
    <w:qFormat/>
    <w:pPr>
      <w:jc w:val="left"/>
      <w:spacing w:after="160" w:line="240" w:lineRule="exact"/>
      <w:widowControl/>
    </w:pPr>
    <w:rPr>
      <w:rFonts w:ascii="Verdana" w:hAnsi="Verdana" w:eastAsia="宋体" w:cs="Times New Roman"/>
      <w:sz w:val="20"/>
      <w:szCs w:val="20"/>
      <w:lang w:eastAsia="en-US"/>
    </w:rPr>
  </w:style>
  <w:style w:type="paragraph" w:styleId="943" w:customStyle="1">
    <w:name w:val="正文文本 21"/>
    <w:basedOn w:val="670"/>
    <w:link w:val="944"/>
    <w:uiPriority w:val="0"/>
    <w:qFormat/>
    <w:pPr>
      <w:jc w:val="center"/>
      <w:widowControl/>
    </w:pPr>
    <w:rPr>
      <w:rFonts w:ascii="楷体_GB2312" w:hAnsi="Times New Roman" w:eastAsia="楷体_GB2312"/>
      <w:sz w:val="28"/>
      <w:szCs w:val="28"/>
      <w:lang w:val="en-US" w:eastAsia="en-US"/>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列表 31"/>
    <w:basedOn w:val="670"/>
    <w:uiPriority w:val="0"/>
    <w:qFormat/>
    <w:pPr>
      <w:ind w:left="100" w:hanging="200"/>
    </w:pPr>
    <w:rPr>
      <w:rFonts w:ascii="Times New Roman" w:hAnsi="Times New Roman" w:eastAsia="宋体" w:cs="Times New Roman"/>
      <w:szCs w:val="21"/>
    </w:rPr>
  </w:style>
  <w:style w:type="paragraph" w:styleId="946" w:customStyle="1">
    <w:name w:val="目录 71"/>
    <w:basedOn w:val="670"/>
    <w:next w:val="670"/>
    <w:uiPriority w:val="0"/>
    <w:semiHidden/>
    <w:qFormat/>
    <w:pPr>
      <w:ind w:left="1260"/>
      <w:jc w:val="left"/>
    </w:pPr>
    <w:rPr>
      <w:rFonts w:ascii="Times New Roman" w:hAnsi="Times New Roman" w:eastAsia="宋体" w:cs="Times New Roman"/>
      <w:szCs w:val="21"/>
    </w:rPr>
  </w:style>
  <w:style w:type="paragraph" w:styleId="947" w:customStyle="1">
    <w:name w:val="目录 21"/>
    <w:basedOn w:val="670"/>
    <w:next w:val="670"/>
    <w:uiPriority w:val="0"/>
    <w:semiHidden/>
    <w:qFormat/>
    <w:pPr>
      <w:ind w:left="210"/>
      <w:jc w:val="left"/>
    </w:pPr>
    <w:rPr>
      <w:rFonts w:ascii="Times New Roman" w:hAnsi="Times New Roman" w:eastAsia="宋体" w:cs="Times New Roman"/>
      <w:smallCaps/>
      <w:szCs w:val="24"/>
    </w:rPr>
  </w:style>
  <w:style w:type="paragraph" w:styleId="948"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9" w:customStyle="1">
    <w:name w:val="页眉1"/>
    <w:basedOn w:val="670"/>
    <w:link w:val="950"/>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50" w:customStyle="1">
    <w:name w:val="页眉 Char"/>
    <w:link w:val="949"/>
    <w:uiPriority w:val="99"/>
    <w:qFormat/>
    <w:rPr>
      <w:rFonts w:ascii="Times New Roman" w:hAnsi="Times New Roman" w:eastAsia="宋体" w:cs="Times New Roman"/>
      <w:sz w:val="18"/>
      <w:szCs w:val="18"/>
    </w:rPr>
  </w:style>
  <w:style w:type="paragraph" w:styleId="951" w:customStyle="1">
    <w:name w:val="页脚1"/>
    <w:basedOn w:val="670"/>
    <w:link w:val="952"/>
    <w:uiPriority w:val="0"/>
    <w:qFormat/>
    <w:pPr>
      <w:jc w:val="left"/>
      <w:tabs>
        <w:tab w:val="center" w:pos="4153" w:leader="none"/>
        <w:tab w:val="right" w:pos="8306" w:leader="none"/>
      </w:tabs>
    </w:pPr>
    <w:rPr>
      <w:rFonts w:ascii="Times New Roman" w:hAnsi="Times New Roman"/>
      <w:sz w:val="18"/>
      <w:szCs w:val="18"/>
      <w:lang w:val="en-US" w:eastAsia="en-US"/>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 Char Char Char Char Char Char Char Char"/>
    <w:basedOn w:val="670"/>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目录 81"/>
    <w:basedOn w:val="670"/>
    <w:next w:val="670"/>
    <w:uiPriority w:val="0"/>
    <w:semiHidden/>
    <w:qFormat/>
    <w:pPr>
      <w:ind w:left="1470"/>
      <w:jc w:val="left"/>
    </w:pPr>
    <w:rPr>
      <w:rFonts w:ascii="Times New Roman" w:hAnsi="Times New Roman" w:eastAsia="宋体" w:cs="Times New Roman"/>
      <w:szCs w:val="21"/>
    </w:rPr>
  </w:style>
  <w:style w:type="paragraph" w:styleId="955" w:customStyle="1">
    <w:name w:val="xl30"/>
    <w:basedOn w:val="67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6" w:customStyle="1">
    <w:name w:val="Char Char Char Char"/>
    <w:basedOn w:val="895"/>
    <w:uiPriority w:val="0"/>
    <w:qFormat/>
    <w:pPr>
      <w:spacing w:line="360" w:lineRule="auto"/>
    </w:pPr>
    <w:rPr>
      <w:rFonts w:ascii="Tahoma" w:hAnsi="Tahoma"/>
      <w:sz w:val="24"/>
      <w:szCs w:val="24"/>
    </w:rPr>
  </w:style>
  <w:style w:type="paragraph" w:styleId="957" w:customStyle="1">
    <w:name w:val="table_1stline"/>
    <w:basedOn w:val="67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8" w:customStyle="1">
    <w:name w:val="font5"/>
    <w:basedOn w:val="67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9" w:customStyle="1">
    <w:name w:val="标题1"/>
    <w:basedOn w:val="670"/>
    <w:next w:val="67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table" w:styleId="961" w:customStyle="1">
    <w:name w:val="网格型1"/>
    <w:basedOn w:val="863"/>
    <w:uiPriority w:val="0"/>
    <w:qFormat/>
    <w:pPr>
      <w:jc w:val="both"/>
      <w:widowControl w:val="off"/>
    </w:pPr>
    <w:rPr>
      <w:rFonts w:ascii="Times New Roman" w:hAnsi="Times New Roman" w:eastAsia="宋体" w:cs="Times New Roman"/>
      <w:sz w:val="20"/>
      <w:szCs w:val="20"/>
    </w:rPr>
    <w:tblPr/>
  </w:style>
  <w:style w:type="paragraph" w:styleId="9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3">
    <w:name w:val="List Paragraph"/>
    <w:basedOn w:val="670"/>
    <w:uiPriority w:val="99"/>
    <w:qFormat/>
    <w:pPr>
      <w:ind w:firstLine="420"/>
      <w:spacing w:line="360" w:lineRule="exact"/>
    </w:pPr>
  </w:style>
  <w:style w:type="character" w:styleId="964" w:customStyle="1">
    <w:name w:val="+正文 Char3"/>
    <w:link w:val="965"/>
    <w:uiPriority w:val="0"/>
    <w:qFormat/>
    <w:rPr>
      <w:rFonts w:ascii="Tahoma" w:hAnsi="Tahoma"/>
      <w:sz w:val="24"/>
      <w:szCs w:val="28"/>
    </w:rPr>
  </w:style>
  <w:style w:type="paragraph" w:styleId="965" w:customStyle="1">
    <w:name w:val="+正文"/>
    <w:basedOn w:val="670"/>
    <w:link w:val="964"/>
    <w:uiPriority w:val="0"/>
    <w:qFormat/>
    <w:pPr>
      <w:ind w:firstLine="200"/>
      <w:spacing w:line="360" w:lineRule="auto"/>
    </w:pPr>
    <w:rPr>
      <w:rFonts w:ascii="Tahoma" w:hAnsi="Tahoma"/>
      <w:sz w:val="24"/>
      <w:szCs w:val="28"/>
    </w:rPr>
  </w:style>
  <w:style w:type="paragraph" w:styleId="966" w:customStyle="1">
    <w:name w:val="纯文本1"/>
    <w:basedOn w:val="670"/>
    <w:uiPriority w:val="0"/>
    <w:qFormat/>
    <w:rPr>
      <w:rFonts w:ascii="宋体" w:hAnsi="Courier New" w:eastAsia="楷体_GB2312"/>
      <w:sz w:val="28"/>
      <w:szCs w:val="20"/>
    </w:rPr>
  </w:style>
  <w:style w:type="numbering" w:styleId="8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经办</cp:lastModifiedBy>
  <cp:revision>9</cp:revision>
  <dcterms:created xsi:type="dcterms:W3CDTF">2024-07-19T06:16:00Z</dcterms:created>
  <dcterms:modified xsi:type="dcterms:W3CDTF">2026-09-29T07:03:51Z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eyJoZGlkIjoiNDBkYTA0MjYxMGY3Y2NjOWY3ODc3ODNmM2E1NTM1MDkiLCJ1c2VySWQiOiI2ODgxMzEwNzgifQ==</vt:lpwstr>
  </property>
  <property fmtid="{D5CDD505-2E9C-101B-9397-08002B2CF9AE}" pid="3" name="KSOProductBuildVer">
    <vt:lpwstr>2052-12.1.0.28505</vt:lpwstr>
  </property>
  <property fmtid="{D5CDD505-2E9C-101B-9397-08002B2CF9AE}" pid="4" name="ICV">
    <vt:lpwstr>65CAD9D0B4B64D18847028C919ACA127_13</vt:lpwstr>
  </property>
</Properties>
</file>