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ab/>
      </w:r>
      <w:r/>
    </w:p>
    <w:p>
      <w:pPr>
        <w:jc w:val="both"/>
        <w:spacing w:line="360" w:lineRule="auto"/>
        <w:rPr>
          <w:rFonts w:hint="eastAsia" w:ascii="宋体" w:hAnsi="宋体" w:eastAsia="宋体" w:cs="宋体"/>
          <w:b/>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pacing w:val="20"/>
          <w:sz w:val="52"/>
          <w:szCs w:val="5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000000" w:themeColor="text1"/>
          <w:spacing w:val="20"/>
          <w:sz w:val="52"/>
          <w:szCs w:val="52"/>
          <w:highlight w:val="none"/>
          <w14:textFill>
            <w14:solidFill>
              <w14:schemeClr w14:val="tx1"/>
            </w14:solidFill>
          </w14:textFill>
        </w:rPr>
        <w:t xml:space="preserve">招标文件</w:t>
      </w:r>
      <w:r/>
    </w:p>
    <w:p>
      <w:pPr>
        <w:jc w:val="center"/>
        <w:spacing w:line="360" w:lineRule="auto"/>
        <w:rPr>
          <w:rFonts w:hint="eastAsia" w:ascii="宋体" w:hAnsi="宋体" w:eastAsia="宋体" w:cs="宋体"/>
          <w:b/>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z w:val="30"/>
          <w:highlight w:val="none"/>
          <w14:textFill>
            <w14:solidFill>
              <w14:schemeClr w14:val="tx1"/>
            </w14:solidFill>
          </w14:textFill>
        </w:rPr>
        <w:t xml:space="preserve">（全流程电子化不见面开标）</w:t>
      </w:r>
      <w:r/>
    </w:p>
    <w:p>
      <w:pPr>
        <w:jc w:val="center"/>
        <w:spacing w:line="360" w:lineRule="auto"/>
        <w:rPr>
          <w:rFonts w:hint="eastAsia" w:ascii="宋体" w:hAnsi="宋体" w:eastAsia="宋体" w:cs="宋体"/>
          <w:b/>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pacing w:val="20"/>
          <w:sz w:val="52"/>
          <w:szCs w:val="52"/>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pacing w:val="20"/>
          <w:sz w:val="52"/>
          <w:szCs w:val="52"/>
          <w:highlight w:val="none"/>
          <w14:textFill>
            <w14:solidFill>
              <w14:schemeClr w14:val="tx1"/>
            </w14:solidFill>
          </w14:textFill>
        </w:rPr>
      </w:pPr>
      <w:r>
        <w:rPr>
          <w:rFonts w:hint="eastAsia" w:ascii="宋体" w:hAnsi="宋体" w:eastAsia="宋体" w:cs="宋体"/>
          <w:b/>
          <w:color w:val="000000" w:themeColor="text1"/>
          <w:spacing w:val="20"/>
          <w:sz w:val="52"/>
          <w:szCs w:val="52"/>
          <w:highlight w:val="none"/>
          <w14:textFill>
            <w14:solidFill>
              <w14:schemeClr w14:val="tx1"/>
            </w14:solidFill>
          </w14:textFill>
        </w:rPr>
      </w:r>
      <w:r/>
    </w:p>
    <w:p>
      <w:pPr>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pStyle w:val="1110"/>
        <w:ind w:firstLine="56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10"/>
        <w:ind w:firstLine="56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19"/>
        <w:jc w:val="both"/>
        <w:spacing w:line="360" w:lineRule="auto"/>
        <w:rPr>
          <w:rFonts w:hint="eastAsia" w:ascii="宋体" w:hAnsi="宋体" w:eastAsia="宋体" w:cs="宋体"/>
          <w:b/>
          <w:bCs/>
          <w:color w:val="000000" w:themeColor="text1"/>
          <w:sz w:val="32"/>
          <w:szCs w:val="32"/>
          <w:highlight w:val="none"/>
          <w14:textFill>
            <w14:solidFill>
              <w14:schemeClr w14:val="tx1"/>
            </w14:solidFill>
          </w14:textFill>
        </w:rPr>
        <w:outlineLvl w:val="9"/>
      </w:pPr>
      <w:r/>
      <w:bookmarkStart w:id="0" w:name="_Toc4727"/>
      <w:r>
        <w:rPr>
          <w:rFonts w:hint="eastAsia" w:ascii="宋体" w:hAnsi="宋体" w:eastAsia="宋体" w:cs="宋体"/>
          <w:b/>
          <w:bCs/>
          <w:color w:val="000000" w:themeColor="text1"/>
          <w:sz w:val="32"/>
          <w:szCs w:val="32"/>
          <w:highlight w:val="none"/>
          <w14:textFill>
            <w14:solidFill>
              <w14:schemeClr w14:val="tx1"/>
            </w14:solidFill>
          </w14:textFill>
        </w:rPr>
        <w:t xml:space="preserve">项目编号：</w:t>
      </w:r>
      <w:bookmarkEnd w:id="0"/>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JSZC-320000-JSCW-G2026-0052</w:t>
      </w:r>
      <w:r/>
    </w:p>
    <w:p>
      <w:pPr>
        <w:ind w:left="1960" w:hanging="1541"/>
        <w:jc w:val="both"/>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实训基地升级改造项目（水禽性能测定中心水禽养殖笼具采购）</w:t>
      </w:r>
      <w:r/>
    </w:p>
    <w:p>
      <w:pPr>
        <w:ind w:firstLine="41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1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1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1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1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19"/>
        <w:jc w:val="both"/>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采购人：江苏农牧科技职业学院</w:t>
      </w:r>
      <w:r/>
    </w:p>
    <w:p>
      <w:pPr>
        <w:ind w:firstLine="419"/>
        <w:jc w:val="both"/>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江苏春为全过程工程咨询有限公司</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2026年</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ind w:right="840"/>
        <w:jc w:val="center"/>
        <w:spacing w:line="360" w:lineRule="auto"/>
        <w:widowControl/>
        <w:rPr>
          <w:rFonts w:hint="eastAsia" w:ascii="宋体" w:hAnsi="宋体" w:eastAsia="宋体" w:cs="宋体"/>
          <w:b/>
          <w:color w:val="000000" w:themeColor="text1"/>
          <w:sz w:val="36"/>
          <w:szCs w:val="36"/>
          <w:highlight w:val="none"/>
          <w:lang w:val="en-US" w:eastAsia="zh-CN"/>
          <w14:textFill>
            <w14:solidFill>
              <w14:schemeClr w14:val="tx1"/>
            </w14:solidFill>
          </w14:textFill>
        </w:rPr>
        <w:sectPr>
          <w:footnotePr/>
          <w:endnotePr/>
          <w:type w:val="nextPage"/>
          <w:pgSz w:w="11907" w:h="16840" w:orient="portrait"/>
          <w:pgMar w:top="1134" w:right="1134" w:bottom="1134" w:left="1418" w:header="851" w:footer="907" w:gutter="0"/>
          <w:pgNumType w:start="1"/>
          <w:cols w:num="1" w:sep="0" w:space="1701" w:equalWidth="1"/>
          <w:docGrid w:linePitch="360"/>
          <w:titlePg/>
        </w:sectPr>
      </w:pPr>
      <w:r/>
      <w:bookmarkStart w:id="1" w:name="_Toc409438817"/>
      <w:r/>
      <w:bookmarkStart w:id="2" w:name="_Toc388026584"/>
      <w:r/>
      <w:r/>
    </w:p>
    <w:sdt>
      <w:sdtPr>
        <w15:appearance w15:val="boundingBox"/>
        <w15:color w:val="dbdbdb"/>
        <w:id w:val="147483435"/>
        <w:docPartObj>
          <w:docPartGallery w:val="Table of Contents"/>
          <w:docPartUnique w:val="true"/>
        </w:docPartObj>
        <w:rPr>
          <w:rFonts w:hint="eastAsia" w:ascii="宋体" w:hAnsi="宋体" w:eastAsia="宋体" w:cs="宋体"/>
          <w:b/>
          <w:color w:val="000000" w:themeColor="text1"/>
          <w:sz w:val="36"/>
          <w:szCs w:val="36"/>
          <w:highlight w:val="none"/>
          <w:lang w:val="en-US" w:eastAsia="zh-CN"/>
          <w14:textFill>
            <w14:solidFill>
              <w14:schemeClr w14:val="tx1"/>
            </w14:solidFill>
          </w14:textFill>
        </w:rPr>
      </w:sdtPr>
      <w:sdtContent>
        <w:p>
          <w:pPr>
            <w:ind w:right="840"/>
            <w:jc w:val="center"/>
            <w:spacing w:line="360" w:lineRule="auto"/>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目</w:t>
          </w: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 xml:space="preserve">录</w:t>
          </w:r>
          <w:r/>
        </w:p>
        <w:p>
          <w:pPr>
            <w:pStyle w:val="836"/>
            <w:keepLines w:val="0"/>
            <w:keepNext w:val="0"/>
            <w:pageBreakBefore w:val="0"/>
            <w:spacing w:line="480" w:lineRule="auto"/>
            <w:widowControl w:val="off"/>
            <w:tabs>
              <w:tab w:val="right" w:pos="9355" w:leader="dot"/>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TOC \o "1-1" \h \u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_Toc1628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第一章  招标公告</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_Toc1628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p>
        <w:p>
          <w:pPr>
            <w:pStyle w:val="836"/>
            <w:keepLines w:val="0"/>
            <w:keepNext w:val="0"/>
            <w:pageBreakBefore w:val="0"/>
            <w:spacing w:line="480" w:lineRule="auto"/>
            <w:widowControl w:val="off"/>
            <w:tabs>
              <w:tab w:val="right" w:pos="9355" w:leader="dot"/>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_Toc16399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第二章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投标人须知</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_Toc16399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p>
        <w:p>
          <w:pPr>
            <w:pStyle w:val="836"/>
            <w:keepLines w:val="0"/>
            <w:keepNext w:val="0"/>
            <w:pageBreakBefore w:val="0"/>
            <w:spacing w:line="480" w:lineRule="auto"/>
            <w:widowControl w:val="off"/>
            <w:tabs>
              <w:tab w:val="right" w:pos="9355" w:leader="dot"/>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_Toc2530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第三章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采购需求</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_Toc2530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21</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p>
        <w:p>
          <w:pPr>
            <w:pStyle w:val="836"/>
            <w:keepLines w:val="0"/>
            <w:keepNext w:val="0"/>
            <w:pageBreakBefore w:val="0"/>
            <w:spacing w:line="480" w:lineRule="auto"/>
            <w:widowControl w:val="off"/>
            <w:tabs>
              <w:tab w:val="right" w:pos="9355" w:leader="dot"/>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_Toc24598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第四章  评标办法及标准</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_Toc24598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34</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p>
        <w:p>
          <w:pPr>
            <w:pStyle w:val="836"/>
            <w:keepLines w:val="0"/>
            <w:keepNext w:val="0"/>
            <w:pageBreakBefore w:val="0"/>
            <w:spacing w:line="480" w:lineRule="auto"/>
            <w:widowControl w:val="off"/>
            <w:tabs>
              <w:tab w:val="right" w:pos="9355" w:leader="dot"/>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_Toc14625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第五章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合同条款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及格式</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_Toc14625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38</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p>
        <w:p>
          <w:pPr>
            <w:pStyle w:val="836"/>
            <w:keepLines w:val="0"/>
            <w:keepNext w:val="0"/>
            <w:pageBreakBefore w:val="0"/>
            <w:spacing w:line="480" w:lineRule="auto"/>
            <w:widowControl w:val="off"/>
            <w:tabs>
              <w:tab w:val="right" w:pos="9355"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_Toc30462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第六章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投标文件格式</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_Toc30462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xml:space="preserve">42</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r/>
        </w:p>
      </w:sdtContent>
    </w:sdt>
    <w:p>
      <w:pPr>
        <w:pStyle w:val="1057"/>
        <w:jc w:val="center"/>
        <w:spacing w:before="0" w:after="0" w:line="360" w:lineRule="auto"/>
        <w:rPr>
          <w:rFonts w:hint="eastAsia" w:ascii="宋体" w:hAnsi="宋体" w:eastAsia="宋体" w:cs="宋体"/>
          <w:color w:val="000000" w:themeColor="text1"/>
          <w:sz w:val="32"/>
          <w:szCs w:val="32"/>
          <w:highlight w:val="none"/>
          <w:lang w:val="en-US" w:eastAsia="zh-CN"/>
          <w14:textFill>
            <w14:solidFill>
              <w14:schemeClr w14:val="tx1"/>
            </w14:solidFill>
          </w14:textFill>
        </w:rPr>
        <w:sectPr>
          <w:footerReference w:type="default" r:id="rId10"/>
          <w:footerReference w:type="first" r:id="rId11"/>
          <w:footnotePr/>
          <w:endnotePr/>
          <w:type w:val="nextPage"/>
          <w:pgSz w:w="11907" w:h="16840" w:orient="portrait"/>
          <w:pgMar w:top="1134" w:right="1134" w:bottom="1134" w:left="1418" w:header="851" w:footer="907" w:gutter="0"/>
          <w:pgNumType w:start="1"/>
          <w:cols w:num="1" w:sep="0" w:space="1701" w:equalWidth="1"/>
          <w:docGrid w:linePitch="360"/>
          <w:titlePg/>
        </w:sectPr>
      </w:pPr>
      <w:r/>
      <w:bookmarkStart w:id="3" w:name="_Toc1628"/>
      <w:r/>
      <w:r/>
    </w:p>
    <w:p>
      <w:pPr>
        <w:pStyle w:val="1057"/>
        <w:jc w:val="center"/>
        <w:spacing w:before="0" w:after="0"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第一章</w:t>
      </w:r>
      <w:bookmarkStart w:id="4" w:name="_Toc228679947"/>
      <w:r/>
      <w:bookmarkEnd w:id="4"/>
      <w:r/>
      <w:bookmarkStart w:id="5" w:name="_Toc258329824"/>
      <w:r/>
      <w:bookmarkEnd w:id="5"/>
      <w:r/>
      <w:bookmarkStart w:id="6" w:name="_Toc417477665"/>
      <w:r/>
      <w:bookmarkEnd w:id="6"/>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招标公告</w:t>
      </w:r>
      <w:bookmarkEnd w:id="3"/>
      <w:r/>
      <w:r/>
    </w:p>
    <w:p>
      <w:pPr>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实训基地升级改造项目（水禽性能测定中心水禽养殖笼具采购）JSZC-320000-JSCW-G2026-0052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的潜</w:t>
      </w:r>
      <w:r>
        <w:rPr>
          <w:rFonts w:hint="eastAsia" w:ascii="宋体" w:hAnsi="宋体" w:eastAsia="宋体" w:cs="宋体"/>
          <w:color w:val="000000" w:themeColor="text1"/>
          <w:sz w:val="24"/>
          <w:szCs w:val="24"/>
          <w:highlight w:val="none"/>
          <w14:textFill>
            <w14:solidFill>
              <w14:schemeClr w14:val="tx1"/>
            </w14:solidFill>
          </w14:textFill>
        </w:rPr>
        <w:t xml:space="preserve">在投标人应在“苏采云”系统获取招标文件，并于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2026年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日09</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bookmarkStart w:id="7" w:name="_Toc35393790"/>
      <w:r/>
      <w:bookmarkStart w:id="8" w:name="_Toc35393621"/>
      <w:r/>
      <w:bookmarkStart w:id="9" w:name="_Toc28359079"/>
      <w:r/>
      <w:bookmarkStart w:id="10" w:name="_Toc28359002"/>
      <w:r/>
      <w:bookmarkStart w:id="11" w:name="_Hlk24379207"/>
      <w:r>
        <w:rPr>
          <w:rFonts w:hint="eastAsia" w:ascii="宋体" w:hAnsi="宋体" w:eastAsia="宋体" w:cs="宋体"/>
          <w:b w:val="0"/>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JSZC-320000-JSCW-G2026-0052</w:t>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bookmarkEnd w:id="1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实训基地升级改造项目（水禽性能测定中心水禽养殖笼具采购）</w:t>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165</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165</w:t>
      </w:r>
      <w:r>
        <w:rPr>
          <w:rFonts w:hint="eastAsia" w:ascii="宋体" w:hAnsi="宋体" w:eastAsia="宋体" w:cs="宋体"/>
          <w:color w:val="000000" w:themeColor="text1"/>
          <w:sz w:val="24"/>
          <w:szCs w:val="24"/>
          <w:highlight w:val="none"/>
          <w14:textFill>
            <w14:solidFill>
              <w14:schemeClr w14:val="tx1"/>
            </w14:solidFill>
          </w14:textFill>
        </w:rPr>
        <w:t xml:space="preserve">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元，投标报价超过最高限价的为无效投标。</w:t>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采购需求：</w:t>
      </w:r>
      <w:bookmarkStart w:id="12" w:name="OLE_LINK3"/>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公禽养殖笼具2列，单笼尺寸500mm×600mm×700mm；母禽养殖笼具6列，单笼尺寸350mm×500mm</w:t>
      </w:r>
      <w:r>
        <w:rPr>
          <w:rFonts w:hint="eastAsia" w:ascii="宋体" w:hAnsi="宋体" w:eastAsia="宋体" w:cs="宋体"/>
          <w:color w:val="000000" w:themeColor="text1"/>
          <w:sz w:val="24"/>
          <w:szCs w:val="24"/>
          <w:highlight w:val="none"/>
          <w:lang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700mm。具体详见招标文件第三章采购需求。</w:t>
      </w:r>
      <w:bookmarkEnd w:id="12"/>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合同履行期限：合同签订后45个日历天完成供货、安装调试、交付工作。</w:t>
      </w:r>
      <w:r/>
    </w:p>
    <w:p>
      <w:pPr>
        <w:ind w:firstLine="24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本项目（是/否）接受联合体投标：否</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bookmarkStart w:id="13" w:name="_Toc28359080"/>
      <w:r/>
      <w:bookmarkStart w:id="14" w:name="_Toc28359003"/>
      <w:r/>
      <w:bookmarkStart w:id="15" w:name="_Toc35393622"/>
      <w:r/>
      <w:bookmarkStart w:id="16" w:name="_Toc35393791"/>
      <w:r>
        <w:rPr>
          <w:rFonts w:hint="eastAsia" w:ascii="宋体" w:hAnsi="宋体" w:eastAsia="宋体" w:cs="宋体"/>
          <w:b w:val="0"/>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7" w:name="_Hlk227768296"/>
      <w:r>
        <w:rPr>
          <w:rFonts w:hint="eastAsia" w:ascii="宋体" w:hAnsi="宋体" w:eastAsia="宋体" w:cs="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8" w:name="_Toc28359004"/>
      <w:r/>
      <w:bookmarkStart w:id="19" w:name="_Toc2835908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本项目专门面向中小企业采购。投标人所投全部货物均由中小微企业制造；监狱企业、残疾人福利性单位视同小型、微型企业。</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（三）本项目的特定资格要求：</w:t>
      </w:r>
      <w:bookmarkEnd w:id="17"/>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0" w:name="_Toc35393623"/>
      <w:r/>
      <w:bookmarkStart w:id="21" w:name="_Toc3539379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未被“信用中国”网站（www.creditchina.gov.cn）列入失信被执行人名单、政府采购严重违法失信行为记录名单、重大税收违法失信主体名单。</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单位法定代表人/负责人为同一人或者存在直接控股、管理关系的不同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凡为本采购项目提供整体设计、规范编制或者项目管理、监理、检测等服务的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，不得再参加本采购项目的其他采购活动。</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三、获取招标文件</w:t>
      </w:r>
      <w:bookmarkEnd w:id="18"/>
      <w:r/>
      <w:bookmarkEnd w:id="19"/>
      <w:r/>
      <w:bookmarkEnd w:id="20"/>
      <w:r/>
      <w:bookmarkEnd w:id="21"/>
      <w:r>
        <w:rPr>
          <w:rFonts w:hint="eastAsia" w:ascii="宋体" w:hAnsi="宋体" w:eastAsia="宋体" w:cs="宋体"/>
          <w:b w:val="0"/>
          <w:color w:val="000000" w:themeColor="text1"/>
          <w:sz w:val="24"/>
          <w:szCs w:val="24"/>
          <w:highlight w:val="none"/>
          <w14:textFill>
            <w14:solidFill>
              <w14:schemeClr w14:val="tx1"/>
            </w14:solidFill>
          </w14:textFill>
        </w:rPr>
        <w:t xml:space="preserve">：</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：自招标文件公告发布之日起5个工作日</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624"/>
      <w:r/>
      <w:bookmarkStart w:id="25" w:name="_Toc35393793"/>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完成注册并办理CA证书后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“苏采云”系统下载本项目招标文件</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售价：0.00元</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四、提交投标文件</w:t>
      </w:r>
      <w:bookmarkEnd w:id="22"/>
      <w:r/>
      <w:bookmarkEnd w:id="23"/>
      <w:r>
        <w:rPr>
          <w:rFonts w:hint="eastAsia" w:ascii="宋体" w:hAnsi="宋体" w:eastAsia="宋体" w:cs="宋体"/>
          <w:b w:val="0"/>
          <w:color w:val="000000" w:themeColor="text1"/>
          <w:sz w:val="24"/>
          <w:szCs w:val="24"/>
          <w:highlight w:val="none"/>
          <w14:textFill>
            <w14:solidFill>
              <w14:schemeClr w14:val="tx1"/>
            </w14:solidFill>
          </w14:textFill>
        </w:rPr>
        <w:t xml:space="preserve">截止时间、开标时间和地点</w:t>
      </w:r>
      <w:bookmarkEnd w:id="24"/>
      <w:r/>
      <w:bookmarkEnd w:id="25"/>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日9点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14:textFill>
            <w14:solidFill>
              <w14:schemeClr w14:val="tx1"/>
            </w14:solidFill>
          </w14:textFill>
        </w:rPr>
        <w:t xml:space="preserve">分（北京时间）</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地点：“苏采云”政府采购交易系统网上开标大厅</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bookmarkStart w:id="26" w:name="_Toc35393625"/>
      <w:r/>
      <w:bookmarkStart w:id="27" w:name="_Toc28359007"/>
      <w:r/>
      <w:bookmarkStart w:id="28" w:name="_Toc28359084"/>
      <w:r/>
      <w:bookmarkStart w:id="29" w:name="_Toc35393794"/>
      <w:r>
        <w:rPr>
          <w:rFonts w:hint="eastAsia" w:ascii="宋体" w:hAnsi="宋体" w:eastAsia="宋体" w:cs="宋体"/>
          <w:b w:val="0"/>
          <w:color w:val="000000" w:themeColor="text1"/>
          <w:sz w:val="24"/>
          <w:szCs w:val="24"/>
          <w:highlight w:val="none"/>
          <w14:textFill>
            <w14:solidFill>
              <w14:schemeClr w14:val="tx1"/>
            </w14:solidFill>
          </w14:textFill>
        </w:rPr>
        <w:t xml:space="preserve">五、公告期限</w:t>
      </w:r>
      <w:bookmarkEnd w:id="26"/>
      <w:r/>
      <w:bookmarkEnd w:id="27"/>
      <w:r/>
      <w:bookmarkEnd w:id="28"/>
      <w:r/>
      <w:bookmarkEnd w:id="29"/>
      <w:r/>
      <w:r/>
    </w:p>
    <w:p>
      <w:pPr>
        <w:ind w:firstLine="488"/>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bookmarkStart w:id="30" w:name="_Toc35393795"/>
      <w:r/>
      <w:bookmarkStart w:id="31" w:name="_Toc35393626"/>
      <w:r>
        <w:rPr>
          <w:rFonts w:hint="eastAsia" w:ascii="宋体" w:hAnsi="宋体" w:eastAsia="宋体" w:cs="宋体"/>
          <w:b w:val="0"/>
          <w:color w:val="000000" w:themeColor="text1"/>
          <w:sz w:val="24"/>
          <w:szCs w:val="24"/>
          <w:highlight w:val="none"/>
          <w14:textFill>
            <w14:solidFill>
              <w14:schemeClr w14:val="tx1"/>
            </w14:solidFill>
          </w14:textFill>
        </w:rPr>
        <w:t xml:space="preserve">六、其他补充事宜</w:t>
      </w:r>
      <w:bookmarkEnd w:id="30"/>
      <w:r/>
      <w:bookmarkEnd w:id="31"/>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2" w:name="_Toc35393627"/>
      <w:r/>
      <w:bookmarkStart w:id="33" w:name="_Toc28359085"/>
      <w:r/>
      <w:bookmarkStart w:id="34" w:name="_Toc35393796"/>
      <w:r/>
      <w:bookmarkStart w:id="35" w:name="_Toc28359008"/>
      <w:r>
        <w:rPr>
          <w:rFonts w:hint="eastAsia" w:ascii="宋体" w:hAnsi="宋体" w:eastAsia="宋体" w:cs="宋体"/>
          <w:color w:val="000000" w:themeColor="text1"/>
          <w:sz w:val="24"/>
          <w:szCs w:val="24"/>
          <w:highlight w:val="none"/>
          <w14:textFill>
            <w14:solidFill>
              <w14:schemeClr w14:val="tx1"/>
            </w14:solidFill>
          </w14:textFill>
        </w:rPr>
        <w:t xml:space="preserve">1.本项目采用网上注册登记方式。潜在投标人访问电子招标投标交易平台的网络地址和方法如下：</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（1）登录http</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//jszfcg.jsczt.cn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点击“苏采云”进入系统。</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（2）“CA数字证书”的获取：投标人需办理CA锁（原国信CA</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更换新CA，详见http</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//jsxcmm.com/help/gys.html）。投标客户端工具及投标人操作手册可访问江苏省政府采购网，“资料下载”进行下载《江苏省政府采购管理交易系统（苏采云）供应商操作手册及政府采购客户端》。</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2.采购代理机构将数据电文形式的招标文件加载至电子招标投标交易平台，供潜在投标人下载或者查阅。</w:t>
      </w:r>
      <w:r/>
    </w:p>
    <w:p>
      <w:pPr>
        <w:ind w:firstLine="480"/>
        <w:pageBreakBefore w:val="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3.有关本次招标的事项若存在变动或修改，敬请及时关注“江苏政府采购网”发布的更正公告。</w:t>
      </w:r>
      <w:r/>
    </w:p>
    <w:p>
      <w:pPr>
        <w:pStyle w:val="1058"/>
        <w:ind w:firstLine="480"/>
        <w:keepLines w:val="0"/>
        <w:keepNext w:val="0"/>
        <w:pageBreakBefore w:val="0"/>
        <w:spacing w:before="0" w:after="0"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在评标结束前，各投标人授权代表应保持手机畅通，以便及时澄清答疑。</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5.如潜在投标人未按上述要求操作，将自行承担所产生的风险。</w:t>
      </w:r>
      <w:r/>
    </w:p>
    <w:p>
      <w:pPr>
        <w:pStyle w:val="1058"/>
        <w:pageBreakBefore w:val="0"/>
        <w:spacing w:before="0" w:after="0" w:line="520" w:lineRule="exact"/>
        <w:rPr>
          <w:rFonts w:hint="eastAsia" w:ascii="宋体" w:hAnsi="宋体" w:eastAsia="宋体" w:cs="宋体"/>
          <w:b w:val="0"/>
          <w:color w:val="000000" w:themeColor="text1"/>
          <w:sz w:val="24"/>
          <w:szCs w:val="24"/>
          <w:highlight w:val="none"/>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七、对本次招标</w:t>
      </w:r>
      <w:r>
        <w:rPr>
          <w:rFonts w:hint="eastAsia" w:ascii="宋体" w:hAnsi="宋体" w:eastAsia="宋体" w:cs="宋体"/>
          <w:b w:val="0"/>
          <w:color w:val="000000" w:themeColor="text1"/>
          <w:sz w:val="24"/>
          <w:szCs w:val="24"/>
          <w:highlight w:val="none"/>
          <w14:textFill>
            <w14:solidFill>
              <w14:schemeClr w14:val="tx1"/>
            </w14:solidFill>
          </w14:textFill>
        </w:rPr>
        <w:t xml:space="preserve">提出询问，请按以下方式联系。</w:t>
      </w:r>
      <w:bookmarkEnd w:id="32"/>
      <w:r/>
      <w:bookmarkEnd w:id="33"/>
      <w:r/>
      <w:bookmarkEnd w:id="34"/>
      <w:r/>
      <w:bookmarkEnd w:id="35"/>
      <w:r/>
      <w:r/>
    </w:p>
    <w:p>
      <w:pPr>
        <w:ind w:firstLine="48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pageBreakBefore w:val="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江苏农牧科技职业学院</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单位地址：江苏省泰州市凤凰东路8号</w:t>
      </w:r>
      <w:r/>
    </w:p>
    <w:p>
      <w:pPr>
        <w:ind w:firstLine="480"/>
        <w:pageBreakBefore w:val="0"/>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bookmarkStart w:id="36" w:name="_Toc28359009"/>
      <w:r/>
      <w:bookmarkStart w:id="37" w:name="_Toc28359086"/>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王老师</w:t>
      </w:r>
      <w:r/>
    </w:p>
    <w:p>
      <w:pPr>
        <w:ind w:firstLine="480"/>
        <w:pageBreakBefore w:val="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0523-86158045</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bookmarkEnd w:id="36"/>
      <w:r/>
      <w:bookmarkEnd w:id="37"/>
      <w:r/>
      <w:r/>
    </w:p>
    <w:p>
      <w:pPr>
        <w:ind w:firstLine="480"/>
        <w:pageBreakBefore w:val="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江苏春为全过程工程咨询有限公司</w:t>
      </w:r>
      <w:r/>
    </w:p>
    <w:p>
      <w:pPr>
        <w:ind w:firstLine="480"/>
        <w:pageBreakBefore w:val="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江苏省泰州市高港区吉祥园12栋418室</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联系人：周女士</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bookmarkStart w:id="38" w:name="_Toc28359087"/>
      <w:r/>
      <w:bookmarkStart w:id="39" w:name="_Toc28359010"/>
      <w:r>
        <w:rPr>
          <w:rFonts w:hint="eastAsia" w:ascii="宋体" w:hAnsi="宋体" w:eastAsia="宋体" w:cs="宋体"/>
          <w:color w:val="000000" w:themeColor="text1"/>
          <w:sz w:val="24"/>
          <w:szCs w:val="24"/>
          <w:highlight w:val="none"/>
          <w14:textFill>
            <w14:solidFill>
              <w14:schemeClr w14:val="tx1"/>
            </w14:solidFill>
          </w14:textFill>
        </w:rPr>
        <w:t xml:space="preserve">15061006094</w:t>
      </w:r>
      <w:r/>
    </w:p>
    <w:p>
      <w:pPr>
        <w:ind w:firstLine="48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bookmarkEnd w:id="38"/>
      <w:r/>
      <w:bookmarkEnd w:id="39"/>
      <w:r/>
      <w:r/>
    </w:p>
    <w:p>
      <w:pPr>
        <w:ind w:firstLine="480"/>
        <w:pageBreakBefore w:val="0"/>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卞老师</w:t>
      </w:r>
      <w:r/>
    </w:p>
    <w:p>
      <w:pPr>
        <w:pStyle w:val="1081"/>
        <w:ind w:firstLine="480"/>
        <w:pageBreakBefore w:val="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话：17714954732</w:t>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bookmarkStart w:id="78" w:name="_GoBack"/>
      <w:r/>
      <w:bookmarkEnd w:id="78"/>
      <w:r/>
      <w:r/>
    </w:p>
    <w:p>
      <w:pPr>
        <w:pStyle w:val="1057"/>
        <w:jc w:val="center"/>
        <w:spacing w:before="0" w:after="0" w:line="360" w:lineRule="auto"/>
        <w:rPr>
          <w:rFonts w:hint="eastAsia" w:ascii="宋体" w:hAnsi="宋体" w:eastAsia="宋体" w:cs="宋体"/>
          <w:color w:val="000000" w:themeColor="text1"/>
          <w:sz w:val="32"/>
          <w:szCs w:val="32"/>
          <w:highlight w:val="none"/>
          <w14:textFill>
            <w14:solidFill>
              <w14:schemeClr w14:val="tx1"/>
            </w14:solidFill>
          </w14:textFill>
        </w:rPr>
      </w:pPr>
      <w:r/>
      <w:bookmarkStart w:id="40" w:name="_Toc16399"/>
      <w:r>
        <w:rPr>
          <w:rFonts w:hint="eastAsia" w:ascii="宋体" w:hAnsi="宋体" w:eastAsia="宋体" w:cs="宋体"/>
          <w:color w:val="000000" w:themeColor="text1"/>
          <w:sz w:val="32"/>
          <w:szCs w:val="32"/>
          <w:highlight w:val="none"/>
          <w14:textFill>
            <w14:solidFill>
              <w14:schemeClr w14:val="tx1"/>
            </w14:solidFill>
          </w14:textFill>
        </w:rPr>
        <w:t xml:space="preserve">第二章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 xml:space="preserve">投标人须知</w:t>
      </w:r>
      <w:bookmarkEnd w:id="1"/>
      <w:r/>
      <w:bookmarkEnd w:id="2"/>
      <w:r/>
      <w:bookmarkEnd w:id="40"/>
      <w:r/>
      <w:r/>
    </w:p>
    <w:p>
      <w:pPr>
        <w:ind w:firstLine="3534"/>
        <w:spacing w:line="480" w:lineRule="auto"/>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 xml:space="preserve">投标人须知前附表</w:t>
      </w:r>
      <w:r/>
    </w:p>
    <w:tbl>
      <w:tblPr>
        <w:tblStyle w:val="817"/>
        <w:tblW w:w="9796" w:type="dxa"/>
        <w:tblInd w:w="-266" w:type="dxa"/>
        <w:tblLayout w:type="fixed"/>
        <w:tblCellMar>
          <w:left w:w="108" w:type="dxa"/>
          <w:top w:w="0" w:type="dxa"/>
          <w:right w:w="108" w:type="dxa"/>
          <w:bottom w:w="0" w:type="dxa"/>
        </w:tblCellMar>
        <w:tblLook w:val="04A0" w:firstRow="1" w:lastRow="0" w:firstColumn="1" w:lastColumn="0" w:noHBand="0" w:noVBand="1"/>
      </w:tblPr>
      <w:tblGrid>
        <w:gridCol w:w="723"/>
        <w:gridCol w:w="9073"/>
      </w:tblGrid>
      <w:tr>
        <w:trPr>
          <w:trHeight w:val="532"/>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center"/>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 xml:space="preserve">内    容</w:t>
            </w:r>
            <w:r/>
          </w:p>
        </w:tc>
      </w:tr>
      <w:tr>
        <w:trPr>
          <w:trHeight w:val="665"/>
        </w:trPr>
        <w:tc>
          <w:tcPr>
            <w:tcBorders>
              <w:top w:val="single" w:color="000000" w:sz="6" w:space="0"/>
              <w:left w:val="single" w:color="000000" w:sz="6" w:space="0"/>
              <w:bottom w:val="none" w:color="000000" w:sz="4" w:space="0"/>
              <w:right w:val="single" w:color="000000" w:sz="6" w:space="0"/>
            </w:tcBorders>
            <w:tcW w:w="723" w:type="dxa"/>
            <w:vAlign w:val="center"/>
            <w:textDirection w:val="lrTb"/>
            <w:noWrap w:val="false"/>
          </w:tcPr>
          <w:p>
            <w:pPr>
              <w:pStyle w:val="1102"/>
              <w:jc w:val="center"/>
              <w:spacing w:line="480" w:lineRule="exact"/>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w:t>
            </w:r>
            <w:r/>
          </w:p>
        </w:tc>
        <w:tc>
          <w:tcPr>
            <w:tcBorders>
              <w:top w:val="single" w:color="000000" w:sz="6" w:space="0"/>
              <w:left w:val="single" w:color="000000" w:sz="6" w:space="0"/>
              <w:bottom w:val="none" w:color="000000" w:sz="4" w:space="0"/>
              <w:right w:val="single" w:color="000000" w:sz="6" w:space="0"/>
            </w:tcBorders>
            <w:tcW w:w="9073" w:type="dxa"/>
            <w:vAlign w:val="center"/>
            <w:textDirection w:val="lrTb"/>
            <w:noWrap w:val="false"/>
          </w:tcPr>
          <w:p>
            <w:pPr>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bookmarkStart w:id="41" w:name="_Toc296357331"/>
            <w:r>
              <w:rPr>
                <w:rFonts w:hint="eastAsia" w:ascii="宋体" w:hAnsi="宋体" w:eastAsia="宋体" w:cs="宋体"/>
                <w:color w:val="000000" w:themeColor="text1"/>
                <w:sz w:val="24"/>
                <w:highlight w:val="none"/>
                <w:lang w:val="zh-CN" w:eastAsia="zh-CN"/>
                <w14:textFill>
                  <w14:solidFill>
                    <w14:schemeClr w14:val="tx1"/>
                  </w14:solidFill>
                </w14:textFill>
              </w:rPr>
              <w:t xml:space="preserve">项目名称</w:t>
            </w:r>
            <w:bookmarkEnd w:id="41"/>
            <w:r>
              <w:rPr>
                <w:rFonts w:hint="eastAsia" w:ascii="宋体" w:hAnsi="宋体" w:eastAsia="宋体" w:cs="宋体"/>
                <w:color w:val="000000" w:themeColor="text1"/>
                <w:sz w:val="24"/>
                <w:highlight w:val="none"/>
                <w:lang w:val="zh-CN" w:eastAsia="zh-CN"/>
                <w14:textFill>
                  <w14:solidFill>
                    <w14:schemeClr w14:val="tx1"/>
                  </w14:solidFill>
                </w14:textFill>
              </w:rPr>
              <w:t xml:space="preserve">：实训基地升级改造项目（水禽性能测定中心水禽养殖笼具采购）</w:t>
            </w:r>
            <w:r/>
          </w:p>
          <w:p>
            <w:pPr>
              <w:spacing w:line="480" w:lineRule="exact"/>
              <w:rPr>
                <w:rFonts w:hint="eastAsia"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项目编号：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JSZC-320000-JSCW-G2026-0052</w:t>
            </w:r>
            <w:r/>
          </w:p>
        </w:tc>
      </w:tr>
      <w:tr>
        <w:trPr>
          <w:trHeight w:val="719"/>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spacing w:line="480" w:lineRule="exac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采   购   人：江苏农牧科技职业学院</w:t>
            </w:r>
            <w:r/>
          </w:p>
          <w:p>
            <w:pPr>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江苏春为全过程工程咨询有限公司</w:t>
            </w:r>
            <w:r/>
          </w:p>
        </w:tc>
      </w:tr>
      <w:tr>
        <w:trPr>
          <w:trHeight w:val="707"/>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方</w:t>
            </w:r>
            <w:r>
              <w:rPr>
                <w:rFonts w:hint="eastAsia" w:ascii="宋体" w:hAnsi="宋体" w:eastAsia="宋体" w:cs="宋体"/>
                <w:color w:val="000000" w:themeColor="text1"/>
                <w:sz w:val="24"/>
                <w:highlight w:val="none"/>
                <w:lang w:val="zh-CN"/>
                <w14:textFill>
                  <w14:solidFill>
                    <w14:schemeClr w14:val="tx1"/>
                  </w14:solidFill>
                </w14:textFill>
              </w:rPr>
              <w:t xml:space="preserve">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公开招标</w:t>
            </w:r>
            <w:r/>
          </w:p>
        </w:tc>
      </w:tr>
      <w:tr>
        <w:trPr>
          <w:trHeight w:val="1049"/>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预算金额：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165</w:t>
            </w:r>
            <w:r>
              <w:rPr>
                <w:rFonts w:hint="eastAsia" w:ascii="宋体" w:hAnsi="宋体" w:eastAsia="宋体" w:cs="宋体"/>
                <w:color w:val="000000" w:themeColor="text1"/>
                <w:sz w:val="24"/>
                <w:highlight w:val="none"/>
                <w:lang w:val="zh-CN"/>
                <w14:textFill>
                  <w14:solidFill>
                    <w14:schemeClr w14:val="tx1"/>
                  </w14:solidFill>
                </w14:textFill>
              </w:rPr>
              <w:t xml:space="preserve">万元</w:t>
            </w:r>
            <w:r/>
          </w:p>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165</w:t>
            </w:r>
            <w:r>
              <w:rPr>
                <w:rFonts w:hint="eastAsia" w:ascii="宋体" w:hAnsi="宋体" w:eastAsia="宋体" w:cs="宋体"/>
                <w:color w:val="000000" w:themeColor="text1"/>
                <w:sz w:val="24"/>
                <w:highlight w:val="none"/>
                <w:lang w:val="zh-CN"/>
                <w14:textFill>
                  <w14:solidFill>
                    <w14:schemeClr w14:val="tx1"/>
                  </w14:solidFill>
                </w14:textFill>
              </w:rPr>
              <w:t xml:space="preserve">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元，投标报价超过最高限价的为无效投标。</w:t>
            </w:r>
            <w:r/>
          </w:p>
        </w:tc>
      </w:tr>
      <w:tr>
        <w:trPr>
          <w:trHeight w:val="1035"/>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合同履行期限：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合同签订后45个日历天完成供货、安装调试、交付工作。</w:t>
            </w:r>
            <w:r/>
          </w:p>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合同履行地点：</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江苏省泰州市</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苏红路</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68号（江苏农牧科技职业学院红旗大道校区）</w:t>
            </w:r>
            <w:r/>
          </w:p>
        </w:tc>
      </w:tr>
      <w:tr>
        <w:trPr>
          <w:trHeight w:val="698"/>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lang w:val="zh-CN"/>
                <w14:textFill>
                  <w14:solidFill>
                    <w14:schemeClr w14:val="tx1"/>
                  </w14:solidFill>
                </w14:textFill>
              </w:rPr>
              <w:t xml:space="preserve">有效期：</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0天</w:t>
            </w:r>
            <w:r/>
          </w:p>
        </w:tc>
      </w:tr>
      <w:tr>
        <w:trPr>
          <w:trHeight w:val="647"/>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投标货币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人民币</w:t>
            </w:r>
            <w:r/>
          </w:p>
        </w:tc>
      </w:tr>
      <w:tr>
        <w:trPr>
          <w:trHeight w:val="647"/>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lang w:val="zh-CN"/>
                <w14:textFill>
                  <w14:solidFill>
                    <w14:schemeClr w14:val="tx1"/>
                  </w14:solidFill>
                </w14:textFill>
              </w:rPr>
              <w:t xml:space="preserve">文件提交：详见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lang w:val="zh-CN"/>
                <w14:textFill>
                  <w14:solidFill>
                    <w14:schemeClr w14:val="tx1"/>
                  </w14:solidFill>
                </w14:textFill>
              </w:rPr>
              <w:t xml:space="preserve">公告</w:t>
            </w:r>
            <w:r/>
          </w:p>
        </w:tc>
      </w:tr>
      <w:tr>
        <w:trPr>
          <w:trHeight w:val="679"/>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zh-CN"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开启时间：详见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lang w:val="zh-CN"/>
                <w14:textFill>
                  <w14:solidFill>
                    <w14:schemeClr w14:val="tx1"/>
                  </w14:solidFill>
                </w14:textFill>
              </w:rPr>
              <w:t xml:space="preserve">公告</w:t>
            </w:r>
            <w:r/>
          </w:p>
        </w:tc>
      </w:tr>
      <w:tr>
        <w:trPr>
          <w:trHeight w:val="746"/>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zh-CN"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spacing w:line="4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签订合同地点：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采购人指定地点</w:t>
            </w:r>
            <w:r/>
          </w:p>
          <w:p>
            <w:pPr>
              <w:spacing w:line="480" w:lineRule="exact"/>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lang w:val="zh-CN" w:eastAsia="zh-CN"/>
                <w14:textFill>
                  <w14:solidFill>
                    <w14:schemeClr w14:val="tx1"/>
                  </w14:solidFill>
                </w14:textFill>
              </w:rPr>
              <w:t xml:space="preserve">合同形式：</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固定单价合同</w:t>
            </w:r>
            <w:r/>
          </w:p>
        </w:tc>
      </w:tr>
      <w:tr>
        <w:trPr>
          <w:trHeight w:val="462"/>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履约保证金：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在收到中标通知书后合同签订前，须将合同总价款10%的履约保证金，以保函、电汇、转账、支票、汇票、保证保险等非现金形式足额缴至采购人指定账户。待合同价款全部结清后，该履约保证金予以无息退还。</w:t>
            </w:r>
            <w:r/>
          </w:p>
        </w:tc>
      </w:tr>
      <w:tr>
        <w:trPr>
          <w:trHeight w:val="1905"/>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zh-CN" w:eastAsia="zh-CN" w:bidi="ar-SA"/>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spacing w:line="48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付款方式：货到清点无误后支付合同总价款的80%，设备安装、调试并经采购人验收合格后（验收由双方共同验收并出具验收报告）付清余款。</w:t>
            </w:r>
            <w:r/>
          </w:p>
          <w:p>
            <w:pPr>
              <w:spacing w:line="48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发票要求：采购人支付每笔款项前，中标人须先行提供符合财税管理规定的增值税发票。</w:t>
            </w:r>
            <w:r/>
          </w:p>
        </w:tc>
      </w:tr>
      <w:tr>
        <w:trPr>
          <w:trHeight w:val="829"/>
        </w:trPr>
        <w:tc>
          <w:tcPr>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p>
        </w:tc>
        <w:tc>
          <w:tcPr>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行业类别：本项目中小企业划分标准所属行业为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工业</w:t>
            </w:r>
            <w:r>
              <w:rPr>
                <w:rFonts w:hint="eastAsia" w:ascii="宋体" w:hAnsi="宋体" w:eastAsia="宋体" w:cs="宋体"/>
                <w:color w:val="000000" w:themeColor="text1"/>
                <w:sz w:val="24"/>
                <w:highlight w:val="none"/>
                <w:u w:val="none"/>
                <w:lang w:val="zh-CN"/>
                <w14:textFill>
                  <w14:solidFill>
                    <w14:schemeClr w14:val="tx1"/>
                  </w14:solidFill>
                </w14:textFill>
              </w:rPr>
              <w:t xml:space="preserve">。</w:t>
            </w:r>
            <w:r/>
          </w:p>
          <w:p>
            <w:pPr>
              <w:jc w:val="left"/>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中小企业划分标准参照：工信部联企业〔2011〕300号文件规定。</w:t>
            </w:r>
            <w:r/>
          </w:p>
        </w:tc>
      </w:tr>
      <w:tr>
        <w:trPr>
          <w:trHeight w:val="829"/>
        </w:trPr>
        <w:tc>
          <w:tcPr>
            <w:shd w:val="clear" w:color="auto" w:fill="auto"/>
            <w:tcBorders>
              <w:top w:val="single" w:color="000000" w:sz="6" w:space="0"/>
              <w:left w:val="single" w:color="000000" w:sz="6" w:space="0"/>
              <w:bottom w:val="single" w:color="000000" w:sz="6" w:space="0"/>
              <w:right w:val="single" w:color="000000" w:sz="6" w:space="0"/>
            </w:tcBorders>
            <w:tcW w:w="723" w:type="dxa"/>
            <w:vAlign w:val="center"/>
            <w:textDirection w:val="lrTb"/>
            <w:noWrap w:val="false"/>
          </w:tcPr>
          <w:p>
            <w:pPr>
              <w:jc w:val="center"/>
              <w:spacing w:line="480" w:lineRule="exact"/>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w:t>
            </w:r>
            <w:r/>
          </w:p>
        </w:tc>
        <w:tc>
          <w:tcPr>
            <w:shd w:val="clear" w:color="auto" w:fill="auto"/>
            <w:tcBorders>
              <w:top w:val="single" w:color="000000" w:sz="6" w:space="0"/>
              <w:left w:val="single" w:color="000000" w:sz="6" w:space="0"/>
              <w:bottom w:val="single" w:color="000000" w:sz="6" w:space="0"/>
              <w:right w:val="single" w:color="000000" w:sz="6" w:space="0"/>
            </w:tcBorders>
            <w:tcW w:w="9073" w:type="dxa"/>
            <w:vAlign w:val="center"/>
            <w:textDirection w:val="lrTb"/>
            <w:noWrap w:val="false"/>
          </w:tcPr>
          <w:p>
            <w:pPr>
              <w:jc w:val="left"/>
              <w:spacing w:line="480" w:lineRule="exact"/>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highlight w:val="none"/>
                <w:lang w:val="zh-CN"/>
                <w14:textFill>
                  <w14:solidFill>
                    <w14:schemeClr w14:val="tx1"/>
                  </w14:solidFill>
                </w14:textFill>
              </w:rPr>
              <w:t xml:space="preserve">单位</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highlight w:val="none"/>
                <w:lang w:val="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完整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电子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highlight w:val="none"/>
                <w:lang w:val="zh-CN"/>
                <w14:textFill>
                  <w14:solidFill>
                    <w14:schemeClr w14:val="tx1"/>
                  </w14:solidFill>
                </w14:textFill>
              </w:rPr>
              <w:t xml:space="preserve">纸质版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lang w:val="zh-CN"/>
                <w14:textFill>
                  <w14:solidFill>
                    <w14:schemeClr w14:val="tx1"/>
                  </w14:solidFill>
                </w14:textFill>
              </w:rPr>
              <w:t xml:space="preserve">文件一正三副，送至代理现场或邮寄至</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江苏春为全过程工程咨询有限公司。</w:t>
            </w:r>
            <w:r/>
          </w:p>
        </w:tc>
      </w:tr>
    </w:tbl>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一、说明和释义</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1.说明</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1.1本招标文件仅适用于</w:t>
      </w:r>
      <w:r>
        <w:rPr>
          <w:rFonts w:hint="eastAsia" w:ascii="宋体" w:hAnsi="宋体" w:eastAsia="宋体" w:cs="宋体"/>
          <w:color w:val="000000" w:themeColor="text1"/>
          <w:szCs w:val="24"/>
          <w:highlight w:val="none"/>
          <w:lang w:eastAsia="zh-CN"/>
          <w14:textFill>
            <w14:solidFill>
              <w14:schemeClr w14:val="tx1"/>
            </w14:solidFill>
          </w14:textFill>
        </w:rPr>
        <w:t xml:space="preserve">江苏春为全过程工程咨询有限公司</w:t>
      </w:r>
      <w:r>
        <w:rPr>
          <w:rFonts w:hint="eastAsia" w:ascii="宋体" w:hAnsi="宋体" w:eastAsia="宋体" w:cs="宋体"/>
          <w:color w:val="000000" w:themeColor="text1"/>
          <w:szCs w:val="24"/>
          <w:highlight w:val="none"/>
          <w14:textFill>
            <w14:solidFill>
              <w14:schemeClr w14:val="tx1"/>
            </w14:solidFill>
          </w14:textFill>
        </w:rPr>
        <w:t xml:space="preserve">组织的招标活动。</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1.2本次招标活动及因本次招标产生的合同受中国法律制约和保护。</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1.3本招标文件的解释权属于采购人（或代理机构）。</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2.词语释义</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2.1采购人：指依法进行采购的国家机关、事业单位、团体组织。</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2.2供应商、投标人：指向采购人提供货物、工程或服务的法人、其他组织或者自然人，不包括其分公司。</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2.3采购代理机构：指依法接受采购人委托，从事货物、工程和服务等采购招标代理业务的社会中介机构。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2.4招标采购单位：采购人及采购代理机构的统称。</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2.6响应：投标人根据采购人或采购代理机构发售的招标文件，编制投标文件并按规定投标的行为。</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2.7知识产权：指专利权、商标权、著作权等无形财产专有权的统称。</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2.8天：日历天。</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2.9服务地点：合同中明确约定的乙方履行服务的最终地点。</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2.10不可抗力：不能预见、不能避免并且不能克服的客观情况。</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2.11实质性响应：满足有关本次采购标的、数量、质量、价款或者报酬、履行期限、履行地点和方式、违约责任和解决争议方法等要求。</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2.12书面形式：指书面文字、合同书、信件等可以有形地表现所载内容的形式。</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二、投标人</w:t>
      </w:r>
      <w:r/>
    </w:p>
    <w:p>
      <w:pPr>
        <w:ind w:firstLine="482"/>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3.合格投标人资格要求</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满足《中华人民共和国政府采购法》第二十二条规定：</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88"/>
        <w:keepLines w:val="0"/>
        <w:keepNext w:val="0"/>
        <w:pageBreakBefore w:val="0"/>
        <w:spacing w:line="520" w:lineRule="exact"/>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具有履行合同所必需的设备和专业技术能力；</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有依法缴纳税收和社会保障资金的良好记录；</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参加政府采购活动前三年内，在经营活动中没有重大违法记录；</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本项目专门面向中小企业采购。投标人所投全部货物均由中小微企业制造；监狱企业、残疾人福利性单位视同小型、微型企业。</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w:t>
      </w:r>
      <w:r>
        <w:rPr>
          <w:rFonts w:hint="eastAsia" w:ascii="宋体" w:hAnsi="宋体" w:eastAsia="宋体" w:cs="宋体"/>
          <w:color w:val="000000" w:themeColor="text1"/>
          <w:sz w:val="24"/>
          <w:szCs w:val="24"/>
          <w:highlight w:val="none"/>
          <w14:textFill>
            <w14:solidFill>
              <w14:schemeClr w14:val="tx1"/>
            </w14:solidFill>
          </w14:textFill>
        </w:rPr>
        <w:t xml:space="preserve">未被“信用中国”网站（www.creditchina.gov.cn）列入失信被执行人名单、政府采购严重违法失信行为记录名单、重大税收违法失信主体名单。</w:t>
      </w:r>
      <w:r/>
    </w:p>
    <w:p>
      <w:pPr>
        <w:ind w:firstLine="48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w:t>
      </w:r>
      <w:r>
        <w:rPr>
          <w:rFonts w:hint="eastAsia" w:ascii="宋体" w:hAnsi="宋体" w:eastAsia="宋体" w:cs="宋体"/>
          <w:color w:val="000000" w:themeColor="text1"/>
          <w:sz w:val="24"/>
          <w:szCs w:val="24"/>
          <w:highlight w:val="none"/>
          <w14:textFill>
            <w14:solidFill>
              <w14:schemeClr w14:val="tx1"/>
            </w14:solidFill>
          </w14:textFill>
        </w:rPr>
        <w:t xml:space="preserve">单位法定代表人/负责人为同一人或者存在直接控股、管理关系的不同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凡为本采购项目提供整体设计、规范编制或者项目管理、监理、检测等服务的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，不得再参加本采购项目的其他采购活动。</w:t>
      </w:r>
      <w:r/>
    </w:p>
    <w:p>
      <w:pPr>
        <w:ind w:firstLine="482"/>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4.投标人应在江苏政府采购“苏采云”系统（http</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//jszfcg.jsczt.cn/下同）下载招标文件及有关资料，按招标文件要求提交全部资料并对招标文件各项内容做出实质性响应。</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5.投标人代表</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指全权代表投标人参加投标活动并签署投标文件的人，如果投标人代表不是法人代表，须持有《法定代表人授权委托书》（详见统一格式）。</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6.不接受联合体投标。</w:t>
      </w:r>
      <w:r/>
    </w:p>
    <w:p>
      <w:pPr>
        <w:ind w:firstLine="482"/>
        <w:keepLines w:val="0"/>
        <w:keepNext w:val="0"/>
        <w:pageBreakBefore w:val="0"/>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7.投标人有下列情形之一的不能参加本次投标：</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因重大经济问题正在接受国家有关部门审查的；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7.2</w:t>
      </w:r>
      <w:r>
        <w:rPr>
          <w:rFonts w:hint="eastAsia" w:ascii="宋体" w:hAnsi="宋体" w:eastAsia="宋体" w:cs="宋体"/>
          <w:color w:val="000000" w:themeColor="text1"/>
          <w:sz w:val="24"/>
          <w:szCs w:val="24"/>
          <w:highlight w:val="none"/>
          <w14:textFill>
            <w14:solidFill>
              <w14:schemeClr w14:val="tx1"/>
            </w14:solidFill>
          </w14:textFill>
        </w:rPr>
        <w:t xml:space="preserve">正在被其他企业兼并（或收购）或因重大经济纠纷正在进行诉讼或仲裁的；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7.3</w:t>
      </w:r>
      <w:r>
        <w:rPr>
          <w:rFonts w:hint="eastAsia" w:ascii="宋体" w:hAnsi="宋体" w:eastAsia="宋体" w:cs="宋体"/>
          <w:color w:val="000000" w:themeColor="text1"/>
          <w:sz w:val="24"/>
          <w:szCs w:val="24"/>
          <w:highlight w:val="none"/>
          <w14:textFill>
            <w14:solidFill>
              <w14:schemeClr w14:val="tx1"/>
            </w14:solidFill>
          </w14:textFill>
        </w:rPr>
        <w:t xml:space="preserve">因腐败和欺诈行为而被有关部门处理的。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7.4</w:t>
      </w:r>
      <w:r>
        <w:rPr>
          <w:rFonts w:hint="eastAsia" w:ascii="宋体" w:hAnsi="宋体" w:eastAsia="宋体" w:cs="宋体"/>
          <w:color w:val="000000" w:themeColor="text1"/>
          <w:sz w:val="24"/>
          <w:szCs w:val="24"/>
          <w:highlight w:val="none"/>
          <w14:textFill>
            <w14:solidFill>
              <w14:schemeClr w14:val="tx1"/>
            </w14:solidFill>
          </w14:textFill>
        </w:rPr>
        <w:t xml:space="preserve">被责令停业的；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color w:val="000000" w:themeColor="text1"/>
          <w:sz w:val="24"/>
          <w:szCs w:val="24"/>
          <w:highlight w:val="none"/>
          <w14:textFill>
            <w14:solidFill>
              <w14:schemeClr w14:val="tx1"/>
            </w14:solidFill>
          </w14:textFill>
        </w:rPr>
        <w:t xml:space="preserve">被暂停或取消投标资格的；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7.6</w:t>
      </w:r>
      <w:r>
        <w:rPr>
          <w:rFonts w:hint="eastAsia" w:ascii="宋体" w:hAnsi="宋体" w:eastAsia="宋体" w:cs="宋体"/>
          <w:color w:val="000000" w:themeColor="text1"/>
          <w:sz w:val="24"/>
          <w:szCs w:val="24"/>
          <w:highlight w:val="none"/>
          <w14:textFill>
            <w14:solidFill>
              <w14:schemeClr w14:val="tx1"/>
            </w14:solidFill>
          </w14:textFill>
        </w:rPr>
        <w:t xml:space="preserve">财产被接管或冻结的；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14:textFill>
            <w14:solidFill>
              <w14:schemeClr w14:val="tx1"/>
            </w14:solidFill>
          </w14:textFill>
        </w:rPr>
        <w:t xml:space="preserve">在最近三年内有骗取中标或严重违约或重大工程质量问题的；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7.8</w:t>
      </w:r>
      <w:r>
        <w:rPr>
          <w:rFonts w:hint="eastAsia" w:ascii="宋体" w:hAnsi="宋体" w:eastAsia="宋体" w:cs="宋体"/>
          <w:color w:val="000000" w:themeColor="text1"/>
          <w:sz w:val="24"/>
          <w:szCs w:val="24"/>
          <w:highlight w:val="none"/>
          <w14:textFill>
            <w14:solidFill>
              <w14:schemeClr w14:val="tx1"/>
            </w14:solidFill>
          </w14:textFill>
        </w:rPr>
        <w:t xml:space="preserve">在投标过程中弄虚作假、行贿或有其他违法违规行为的；</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7.9</w:t>
      </w:r>
      <w:r>
        <w:rPr>
          <w:rFonts w:hint="eastAsia" w:ascii="宋体" w:hAnsi="宋体" w:eastAsia="宋体" w:cs="宋体"/>
          <w:color w:val="000000" w:themeColor="text1"/>
          <w:sz w:val="24"/>
          <w:szCs w:val="24"/>
          <w:highlight w:val="none"/>
          <w14:textFill>
            <w14:solidFill>
              <w14:schemeClr w14:val="tx1"/>
            </w14:solidFill>
          </w14:textFill>
        </w:rPr>
        <w:t xml:space="preserve">违反法律法规相关规定的。</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三、招标文件说明</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8.招标文件</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9.现场考察</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9.1投标人应按</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招标文件中所述时间</w:t>
      </w:r>
      <w:r>
        <w:rPr>
          <w:rFonts w:hint="eastAsia" w:ascii="宋体" w:hAnsi="宋体" w:eastAsia="宋体" w:cs="宋体"/>
          <w:color w:val="000000" w:themeColor="text1"/>
          <w:sz w:val="24"/>
          <w:szCs w:val="24"/>
          <w:highlight w:val="none"/>
          <w14:textFill>
            <w14:solidFill>
              <w14:schemeClr w14:val="tx1"/>
            </w14:solidFill>
          </w14:textFill>
        </w:rPr>
        <w:t xml:space="preserve">对有关现场和周围环境进行认真充分的考察，以获取编制投标文件和签署合同所需的信息。考察现场所发生的费用由投标人自己承担。</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10.招标文件的澄清和修改</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10.1投标人在购买招标文件后，若有问题需要询问和澄清，</w:t>
      </w:r>
      <w:r>
        <w:rPr>
          <w:rFonts w:ascii="宋体" w:hAnsi="宋体" w:eastAsia="宋体" w:cs="宋体"/>
          <w:color w:val="000000" w:themeColor="text1"/>
          <w:sz w:val="24"/>
          <w:szCs w:val="24"/>
          <w:highlight w:val="none"/>
          <w14:textFill>
            <w14:solidFill>
              <w14:schemeClr w14:val="tx1"/>
            </w14:solidFill>
          </w14:textFill>
        </w:rPr>
        <w:t xml:space="preserve">应于投标截止时间15日前</w:t>
      </w:r>
      <w:r>
        <w:rPr>
          <w:rFonts w:hint="eastAsia" w:ascii="宋体" w:hAnsi="宋体" w:eastAsia="宋体" w:cs="宋体"/>
          <w:bCs/>
          <w:color w:val="000000" w:themeColor="text1"/>
          <w:sz w:val="24"/>
          <w:szCs w:val="24"/>
          <w:highlight w:val="none"/>
          <w14:textFill>
            <w14:solidFill>
              <w14:schemeClr w14:val="tx1"/>
            </w14:solidFill>
          </w14:textFill>
        </w:rPr>
        <w:t xml:space="preserve">提出。</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迟于规定时间的询问和提交的疑问，采购人和采购代理机构有权拒绝回答，也不承担由此带来的对投标人投标结果的影响。</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要求，而造成的损失及风险（包括但不限于未中标）由投标人自行承担。</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为使投标人有足够的时间按招标文件的修改要求考虑修正投标文件，或出于其他原因，招标采购单位有权推迟投标截止日期和开标日期，并将此变更通知所有招标文件的接收人。</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招标文件的更正（含澄清、修改等）内容与原招标文件在同一内容上表述不一致时，以发出日期最接近开标时间的公告为准。</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招标文件的更正（含澄清、修改等）内容将作为招标文件的组成部分，对投标人起约束作用。</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四、投标文件说明</w:t>
      </w:r>
      <w:r/>
    </w:p>
    <w:p>
      <w:pPr>
        <w:ind w:firstLine="482"/>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11.投标文件计量单位和使用文字</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11.1投标文件中所使用的计量单位，除招标文件中有特殊要求外，均应使用中华人民共和国法定计量单位。</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81"/>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11.3投标人应当同时凭CA数字证书登录江苏政府采购“苏采云”系统，并在投标截止时间前上传电子投标文件。</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w:t>
      </w:r>
      <w:bookmarkStart w:id="42" w:name="_Toc217446047"/>
      <w:r>
        <w:rPr>
          <w:rFonts w:hint="eastAsia" w:ascii="宋体" w:hAnsi="宋体" w:eastAsia="宋体" w:cs="宋体"/>
          <w:b/>
          <w:color w:val="000000" w:themeColor="text1"/>
          <w:sz w:val="24"/>
          <w:szCs w:val="24"/>
          <w:highlight w:val="none"/>
          <w14:textFill>
            <w14:solidFill>
              <w14:schemeClr w14:val="tx1"/>
            </w14:solidFill>
          </w14:textFill>
        </w:rPr>
        <w:t xml:space="preserve">2.知识产权</w:t>
      </w:r>
      <w:bookmarkEnd w:id="42"/>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13.投标文件的组成</w:t>
      </w:r>
      <w:r/>
    </w:p>
    <w:p>
      <w:pPr>
        <w:ind w:firstLine="480"/>
        <w:keepLines w:val="0"/>
        <w:keepNext w:val="0"/>
        <w:pageBreakBefore w:val="0"/>
        <w:spacing w:line="520" w:lineRule="exact"/>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1投标函</w:t>
      </w:r>
      <w:r>
        <w:rPr>
          <w:rFonts w:hint="eastAsia" w:ascii="宋体" w:hAnsi="宋体" w:eastAsia="宋体" w:cs="宋体"/>
          <w:b/>
          <w:bCs/>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13.2</w:t>
      </w:r>
      <w:r>
        <w:rPr>
          <w:rFonts w:hint="eastAsia" w:ascii="宋体" w:hAnsi="宋体" w:eastAsia="宋体" w:cs="宋体"/>
          <w:color w:val="000000" w:themeColor="text1"/>
          <w:sz w:val="24"/>
          <w:szCs w:val="24"/>
          <w:highlight w:val="none"/>
          <w14:textFill>
            <w14:solidFill>
              <w14:schemeClr w14:val="tx1"/>
            </w14:solidFill>
          </w14:textFill>
        </w:rPr>
        <w:t xml:space="preserve">资格、资信等证明文件：</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（1）法定代表人身份证明书及法定代表人身份证复印件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（格式见附件）；</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（2）法定代表人授权委托书及授权代表身份证复印件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（格式见附件，法定代表人亲自参加投标的除外）；</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具有独立承担民事责任的能力：</w:t>
      </w:r>
      <w:r>
        <w:rPr>
          <w:rFonts w:hint="eastAsia" w:ascii="宋体" w:hAnsi="宋体" w:eastAsia="宋体" w:cs="宋体"/>
          <w:color w:val="000000" w:themeColor="text1"/>
          <w:sz w:val="24"/>
          <w:szCs w:val="24"/>
          <w:highlight w:val="none"/>
          <w14:textFill>
            <w14:solidFill>
              <w14:schemeClr w14:val="tx1"/>
            </w14:solidFill>
          </w14:textFill>
        </w:rPr>
        <w:t xml:space="preserve">法人或其他组织的营业执照或相关部门的登记证明文件扫描件；</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4"/>
          <w:szCs w:val="24"/>
          <w:highlight w:val="none"/>
          <w14:textFill>
            <w14:solidFill>
              <w14:schemeClr w14:val="tx1"/>
            </w14:solidFill>
          </w14:textFill>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有依法缴纳税收和社会保障资金的良好记录：</w:t>
      </w:r>
      <w:r>
        <w:rPr>
          <w:rFonts w:hint="eastAsia" w:ascii="宋体" w:hAnsi="宋体" w:eastAsia="宋体" w:cs="宋体"/>
          <w:color w:val="000000" w:themeColor="text1"/>
          <w:sz w:val="24"/>
          <w:szCs w:val="24"/>
          <w:highlight w:val="none"/>
          <w14:textFill>
            <w14:solidFill>
              <w14:schemeClr w14:val="tx1"/>
            </w14:solidFill>
          </w14:textFill>
        </w:rPr>
        <w:t xml:space="preserve">提供投标人近六个月中任意一个月份（不含投标响应文件递交当月）依法缴纳税收及缴纳社会保障资金的证明材料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投标人依法享受缓缴、免缴税收、社会保障资金的提供证明材料，企业成立不满一个月的可不提供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rPr>
          <w:rFonts w:hint="eastAsia" w:ascii="宋体" w:hAnsi="宋体" w:eastAsia="宋体" w:cs="宋体"/>
          <w:b/>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）参加政府采购活动前3年内在经营活动中没有重大违法记录的书面声明</w:t>
      </w:r>
      <w:r>
        <w:rPr>
          <w:rFonts w:hint="eastAsia" w:ascii="宋体" w:hAnsi="宋体" w:eastAsia="宋体" w:cs="宋体"/>
          <w:b/>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中小企业声明函或残疾人福利性单位声明函或监狱企业的证明资料</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）承诺书（格式见附件）。</w:t>
      </w:r>
      <w:r/>
    </w:p>
    <w:p>
      <w:pPr>
        <w:pStyle w:val="1177"/>
        <w:numPr>
          <w:ilvl w:val="1"/>
          <w:numId w:val="0"/>
        </w:numPr>
        <w:ind w:firstLine="480"/>
        <w:keepLines w:val="0"/>
        <w:keepNext w:val="0"/>
        <w:pageBreakBefore w:val="0"/>
        <w:spacing w:line="520" w:lineRule="exact"/>
        <w:tabs>
          <w:tab w:val="left" w:pos="127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3开标一览表（格式见附件）</w:t>
      </w:r>
      <w:r/>
    </w:p>
    <w:p>
      <w:pPr>
        <w:pStyle w:val="1177"/>
        <w:numPr>
          <w:ilvl w:val="1"/>
          <w:numId w:val="0"/>
        </w:numPr>
        <w:ind w:firstLine="480"/>
        <w:keepLines w:val="0"/>
        <w:keepNext w:val="0"/>
        <w:pageBreakBefore w:val="0"/>
        <w:spacing w:line="520" w:lineRule="exact"/>
        <w:tabs>
          <w:tab w:val="left" w:pos="1276"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13.4分项报价明细表</w:t>
      </w: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p>
      <w:pPr>
        <w:ind w:firstLine="480"/>
        <w:keepLines w:val="0"/>
        <w:keepNext w:val="0"/>
        <w:pageBreakBefore w:val="0"/>
        <w:spacing w:line="520" w:lineRule="exact"/>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13.5</w:t>
      </w:r>
      <w:r>
        <w:rPr>
          <w:rFonts w:hint="eastAsia" w:ascii="宋体" w:hAnsi="宋体" w:eastAsia="宋体" w:cs="宋体"/>
          <w:color w:val="000000" w:themeColor="text1"/>
          <w:sz w:val="24"/>
          <w:szCs w:val="24"/>
          <w:highlight w:val="none"/>
          <w14:textFill>
            <w14:solidFill>
              <w14:schemeClr w14:val="tx1"/>
            </w14:solidFill>
          </w14:textFill>
        </w:rPr>
        <w:t xml:space="preserve">商务偏离表（格式见附件）</w:t>
      </w:r>
      <w:r/>
    </w:p>
    <w:p>
      <w:pPr>
        <w:ind w:firstLine="480"/>
        <w:keepLines w:val="0"/>
        <w:keepNext w:val="0"/>
        <w:pageBreakBefore w:val="0"/>
        <w:spacing w:line="520" w:lineRule="exact"/>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13.6</w:t>
      </w:r>
      <w:r>
        <w:rPr>
          <w:rFonts w:hint="eastAsia" w:ascii="宋体" w:hAnsi="宋体" w:eastAsia="宋体" w:cs="宋体"/>
          <w:color w:val="000000" w:themeColor="text1"/>
          <w:sz w:val="24"/>
          <w:szCs w:val="24"/>
          <w:highlight w:val="none"/>
          <w14:textFill>
            <w14:solidFill>
              <w14:schemeClr w14:val="tx1"/>
            </w14:solidFill>
          </w14:textFill>
        </w:rPr>
        <w:t xml:space="preserve">技术偏离表（格式见附件）</w:t>
      </w:r>
      <w:r/>
    </w:p>
    <w:p>
      <w:pPr>
        <w:ind w:firstLine="480"/>
        <w:keepLines w:val="0"/>
        <w:keepNext w:val="0"/>
        <w:pageBreakBefore w:val="0"/>
        <w:spacing w:line="520" w:lineRule="exact"/>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13.7</w:t>
      </w:r>
      <w:r>
        <w:rPr>
          <w:rFonts w:hint="eastAsia" w:ascii="宋体" w:hAnsi="宋体" w:eastAsia="宋体" w:cs="宋体"/>
          <w:color w:val="000000" w:themeColor="text1"/>
          <w:sz w:val="24"/>
          <w:szCs w:val="24"/>
          <w:highlight w:val="none"/>
          <w14:textFill>
            <w14:solidFill>
              <w14:schemeClr w14:val="tx1"/>
            </w14:solidFill>
          </w14:textFill>
        </w:rPr>
        <w:t xml:space="preserve">评分标准中对应的其他所需证明材料（如有自行添加）</w:t>
      </w:r>
      <w:r/>
    </w:p>
    <w:p>
      <w:pPr>
        <w:ind w:firstLine="480"/>
        <w:keepLines w:val="0"/>
        <w:keepNext w:val="0"/>
        <w:pageBreakBefore w:val="0"/>
        <w:spacing w:line="520" w:lineRule="exact"/>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13.8</w:t>
      </w:r>
      <w:r>
        <w:rPr>
          <w:rFonts w:hint="eastAsia" w:ascii="宋体" w:hAnsi="宋体" w:eastAsia="宋体" w:cs="宋体"/>
          <w:color w:val="000000" w:themeColor="text1"/>
          <w:sz w:val="24"/>
          <w:szCs w:val="24"/>
          <w:highlight w:val="none"/>
          <w14:textFill>
            <w14:solidFill>
              <w14:schemeClr w14:val="tx1"/>
            </w14:solidFill>
          </w14:textFill>
        </w:rPr>
        <w:t xml:space="preserve">其他（投标人认为有必要提供的声明和文件，如有自拟并自行添加）</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13.6</w:t>
      </w:r>
      <w:r>
        <w:rPr>
          <w:rFonts w:hint="eastAsia" w:ascii="宋体" w:hAnsi="宋体" w:eastAsia="宋体" w:cs="宋体"/>
          <w:color w:val="000000" w:themeColor="text1"/>
          <w:sz w:val="24"/>
          <w:szCs w:val="24"/>
          <w:highlight w:val="none"/>
          <w14:textFill>
            <w14:solidFill>
              <w14:schemeClr w14:val="tx1"/>
            </w14:solidFill>
          </w14:textFill>
        </w:rPr>
        <w:t xml:space="preserve">项投标人必须按要求全部提供，否则投标文件无效。如上述资格证明文件遇年检、换证，则必须提供法定年检、换证单位出具的有效证明扫描件。如上述资格证明文件第（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14.投标文件编制及递交要求</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14.1所有文件、往来函件均应使用简体中文（规格、型号辅助符号例外）。</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14.3如无特别说明，投标人报价一律以人民币为投标结算货币，结算单位为“元”。</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lang w:val="zh-TW"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14.4投标文件不应有涂改、增删和潦草之处，如有必须修改时，修改处必须有投标人盖章、法定代表人或法定代表人授权代表的签字。</w:t>
      </w:r>
      <w:r/>
    </w:p>
    <w:p>
      <w:pPr>
        <w:pStyle w:val="1260"/>
        <w:ind w:firstLine="480"/>
        <w:keepLines w:val="0"/>
        <w:keepNext w:val="0"/>
        <w:pageBreakBefore w:val="0"/>
        <w:spacing w:line="520" w:lineRule="exact"/>
        <w:rPr>
          <w:rFonts w:hint="eastAsia" w:ascii="宋体" w:hAnsi="宋体" w:eastAsia="宋体" w:cs="宋体"/>
          <w:color w:val="000000" w:themeColor="text1"/>
          <w:sz w:val="24"/>
          <w:szCs w:val="24"/>
          <w:highlight w:val="none"/>
          <w:lang w:val="zh-TW"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14.5投标费用：</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投标人应承担所有与准备和参加投标有关的费用，无论采购结果如何，代理机构和采购人在任何情况下均无义务和责任承担这些费用。</w:t>
      </w:r>
      <w:r/>
    </w:p>
    <w:p>
      <w:pPr>
        <w:pStyle w:val="1260"/>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14.6</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本次招标，招标代理服务费由中标人支付。请各投标人在报价时考虑，确定中标人后领取中标通知书前一次性缴纳给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代理服务机构。</w:t>
      </w:r>
      <w:r/>
    </w:p>
    <w:p>
      <w:pPr>
        <w:pStyle w:val="1260"/>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招标代理费计算方式如下：</w:t>
      </w:r>
      <w:r/>
    </w:p>
    <w:p>
      <w:pPr>
        <w:pStyle w:val="1260"/>
        <w:ind w:firstLine="480"/>
        <w:keepLines w:val="0"/>
        <w:keepNext w:val="0"/>
        <w:pageBreakBefore w:val="0"/>
        <w:spacing w:line="52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招标代理服务费参照苏政采协〔2024〕20号标准，以中标人的中标金额作为收费基数标准，按差额定率分档累进法计算后（见下表）*42.65%向代理机构缴纳中标服务费。单个项目招标代理服务费上限壹万捌仟元，下限叁仟元，按约定计费方式计取后，超出上限按上限执行，低于下限按下限执行。</w:t>
      </w:r>
      <w:r/>
    </w:p>
    <w:tbl>
      <w:tblPr>
        <w:tblStyle w:val="850"/>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09"/>
        <w:gridCol w:w="2862"/>
      </w:tblGrid>
      <w:tr>
        <w:trPr>
          <w:jc w:val="center"/>
          <w:trHeight w:val="454"/>
          <w:tblHeader/>
        </w:trPr>
        <w:tc>
          <w:tcPr>
            <w:tcW w:w="5409"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中标或者成交金额</w:t>
            </w:r>
            <w:r/>
          </w:p>
        </w:tc>
        <w:tc>
          <w:tcPr>
            <w:tcW w:w="2862"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费率</w:t>
            </w:r>
            <w:r/>
          </w:p>
        </w:tc>
      </w:tr>
      <w:tr>
        <w:trPr>
          <w:jc w:val="center"/>
          <w:trHeight w:val="454"/>
        </w:trPr>
        <w:tc>
          <w:tcPr>
            <w:tcW w:w="5409"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Style w:val="1137"/>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最低收费金额</w:t>
            </w:r>
            <w:r>
              <w:rPr>
                <w:rStyle w:val="1137"/>
                <w:rFonts w:hint="eastAsia" w:ascii="宋体" w:hAnsi="宋体" w:eastAsia="宋体" w:cs="宋体"/>
                <w:b w:val="0"/>
                <w:bCs/>
                <w:color w:val="000000" w:themeColor="text1"/>
                <w:sz w:val="24"/>
                <w:szCs w:val="24"/>
                <w:highlight w:val="none"/>
                <w:lang w:eastAsia="zh-CN" w:bidi="ar"/>
                <w14:textFill>
                  <w14:solidFill>
                    <w14:schemeClr w14:val="tx1"/>
                  </w14:solidFill>
                </w14:textFill>
              </w:rPr>
              <w:t xml:space="preserve">（</w:t>
            </w:r>
            <w:r>
              <w:rPr>
                <w:rStyle w:val="1137"/>
                <w:rFonts w:hint="eastAsia" w:ascii="宋体" w:hAnsi="宋体" w:eastAsia="宋体" w:cs="宋体"/>
                <w:b w:val="0"/>
                <w:bCs/>
                <w:color w:val="000000" w:themeColor="text1"/>
                <w:sz w:val="24"/>
                <w:szCs w:val="24"/>
                <w:highlight w:val="none"/>
                <w:lang w:bidi="ar"/>
                <w14:textFill>
                  <w14:solidFill>
                    <w14:schemeClr w14:val="tx1"/>
                  </w14:solidFill>
                </w14:textFill>
              </w:rPr>
              <w:t xml:space="preserve">100万元（不含）以下项目</w:t>
            </w:r>
            <w:r>
              <w:rPr>
                <w:rStyle w:val="1137"/>
                <w:rFonts w:hint="eastAsia" w:ascii="宋体" w:hAnsi="宋体" w:eastAsia="宋体" w:cs="宋体"/>
                <w:b w:val="0"/>
                <w:bCs/>
                <w:color w:val="000000" w:themeColor="text1"/>
                <w:sz w:val="24"/>
                <w:szCs w:val="24"/>
                <w:highlight w:val="none"/>
                <w:lang w:eastAsia="zh-CN" w:bidi="ar"/>
                <w14:textFill>
                  <w14:solidFill>
                    <w14:schemeClr w14:val="tx1"/>
                  </w14:solidFill>
                </w14:textFill>
              </w:rPr>
              <w:t xml:space="preserve">）</w:t>
            </w:r>
            <w:r/>
          </w:p>
        </w:tc>
        <w:tc>
          <w:tcPr>
            <w:tcW w:w="2862"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5000元</w:t>
            </w:r>
            <w:r/>
          </w:p>
        </w:tc>
      </w:tr>
      <w:tr>
        <w:trPr>
          <w:jc w:val="center"/>
          <w:trHeight w:val="454"/>
        </w:trPr>
        <w:tc>
          <w:tcPr>
            <w:tcW w:w="5409"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100万—400万元（含400万元）</w:t>
            </w:r>
            <w:r/>
          </w:p>
        </w:tc>
        <w:tc>
          <w:tcPr>
            <w:tcW w:w="2862"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1.5%</w:t>
            </w:r>
            <w:r/>
          </w:p>
        </w:tc>
      </w:tr>
      <w:tr>
        <w:trPr>
          <w:jc w:val="center"/>
          <w:trHeight w:val="454"/>
        </w:trPr>
        <w:tc>
          <w:tcPr>
            <w:tcW w:w="5409"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400万元—1000万元（含1000万元）</w:t>
            </w:r>
            <w:r/>
          </w:p>
        </w:tc>
        <w:tc>
          <w:tcPr>
            <w:tcW w:w="2862"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1.1%</w:t>
            </w:r>
            <w:r/>
          </w:p>
        </w:tc>
      </w:tr>
      <w:tr>
        <w:trPr>
          <w:jc w:val="center"/>
          <w:trHeight w:val="454"/>
        </w:trPr>
        <w:tc>
          <w:tcPr>
            <w:tcW w:w="5409"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1000万元—5000万元（含5000万元）</w:t>
            </w:r>
            <w:r/>
          </w:p>
        </w:tc>
        <w:tc>
          <w:tcPr>
            <w:tcW w:w="2862" w:type="dxa"/>
            <w:vAlign w:val="center"/>
            <w:textDirection w:val="lrTb"/>
            <w:noWrap w:val="false"/>
          </w:tcPr>
          <w:p>
            <w:pPr>
              <w:pStyle w:val="889"/>
              <w:ind w:left="0" w:right="0" w:firstLine="0"/>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 xml:space="preserve">0.8%</w:t>
            </w:r>
            <w:r/>
          </w:p>
        </w:tc>
      </w:tr>
    </w:tbl>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投标人应当同时凭CA数字证书登录江苏政府采购“苏采云”系统，并在投标截止时间前上传电子投标文件。</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15.投标报价（编制）要求的说明</w:t>
      </w:r>
      <w:r/>
    </w:p>
    <w:p>
      <w:pPr>
        <w:pStyle w:val="1070"/>
        <w:ind w:firstLine="480"/>
        <w:jc w:val="both"/>
        <w:keepLines w:val="0"/>
        <w:keepNext w:val="0"/>
        <w:pageBreakBefore w:val="0"/>
        <w:spacing w:line="52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他</w:t>
      </w:r>
      <w:r>
        <w:rPr>
          <w:rFonts w:hint="eastAsia" w:ascii="宋体" w:hAnsi="宋体" w:eastAsia="宋体" w:cs="宋体"/>
          <w:color w:val="000000" w:themeColor="text1"/>
          <w:szCs w:val="24"/>
          <w:highlight w:val="none"/>
          <w14:textFill>
            <w14:solidFill>
              <w14:schemeClr w14:val="tx1"/>
            </w14:solidFill>
          </w14:textFill>
        </w:rPr>
        <w:t xml:space="preserve">项目费、规费、税金、有关文件规定的政策性调价等以及各种可能发生的风险费用以及招标文件约定的</w:t>
      </w:r>
      <w:r>
        <w:rPr>
          <w:rFonts w:hint="eastAsia" w:ascii="宋体" w:hAnsi="宋体" w:eastAsia="宋体" w:cs="宋体"/>
          <w:color w:val="000000" w:themeColor="text1"/>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Cs w:val="24"/>
          <w:highlight w:val="none"/>
          <w14:textFill>
            <w14:solidFill>
              <w14:schemeClr w14:val="tx1"/>
            </w14:solidFill>
          </w14:textFill>
        </w:rPr>
        <w:t xml:space="preserve">各项费用。</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15.2投标人应对招标文件内所要采购的全部内容进行报价，只投其中部分内容者，其标书将被拒绝。</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15.3一项投标内容只允许一个报价，采购单位不接受任何有选择性的投标报价。</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15.4投标文件报价中的单价和总价全部采用人民币表示，除非合同的特殊条款另有规定。</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16.投标保证金</w:t>
      </w:r>
      <w:r/>
    </w:p>
    <w:p>
      <w:pPr>
        <w:pStyle w:val="1059"/>
        <w:ind w:firstLine="480"/>
        <w:keepLines w:val="0"/>
        <w:keepNext w:val="0"/>
        <w:pageBreakBefore w:val="0"/>
        <w:spacing w:before="0" w:after="0"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依据苏财购〔2020〕52号文件精神，本项目免收投标保证金。</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17.投标文件的有效期</w:t>
      </w:r>
      <w:r/>
    </w:p>
    <w:p>
      <w:pPr>
        <w:ind w:firstLine="480"/>
        <w:keepLines w:val="0"/>
        <w:keepNext w:val="0"/>
        <w:pageBreakBefore w:val="0"/>
        <w:spacing w:line="5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17.1在本招标文件前附表规定的投标文件有效期内，投标人所提交的投标文件应保持有效。有效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期短于这个规定期限的投标文件，将被认定为未实质性响应招标文件要求。</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18.投标文件的拒收</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18.1</w:t>
      </w:r>
      <w:r>
        <w:rPr>
          <w:rFonts w:hint="eastAsia" w:ascii="宋体" w:hAnsi="宋体" w:eastAsia="宋体" w:cs="宋体"/>
          <w:color w:val="000000" w:themeColor="text1"/>
          <w:szCs w:val="24"/>
          <w:highlight w:val="none"/>
          <w14:textFill>
            <w14:solidFill>
              <w14:schemeClr w14:val="tx1"/>
            </w14:solidFill>
          </w14:textFill>
        </w:rPr>
        <w:t xml:space="preserve">采购人拒绝接收在其规定的投标截止时间后上传的任何投标文件。</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五、投标文件的递交</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19.投标文件的递交</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19.1电子投标文件的递交</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20.投标截止日期</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21.投标文件的修改和撤回</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21.1投标文件的撤回</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21.2投标文件的修改</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21.3在投标截止时间之后，投标人不得对其电子投标文件作任何修改。</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六、开标和评标</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22.开标</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22.2开标仪式由采购代理机构组织。江苏政府采购“苏采云”系统将自动对项目进行开标，并宣读各投标人的《开标一览表》。</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22.5开标时，投标文件中开标一览表内容与投标文件中明细表内容不一致的，以开标一览表为准。</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keepLines w:val="0"/>
        <w:keepNext w:val="0"/>
        <w:pageBreakBefore w:val="0"/>
        <w:spacing w:line="520" w:lineRule="exact"/>
        <w:tabs>
          <w:tab w:val="center" w:pos="44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22.6投标人未参加开标的，视同认可开标结果。</w:t>
      </w:r>
      <w:r/>
    </w:p>
    <w:p>
      <w:pPr>
        <w:ind w:firstLine="482"/>
        <w:keepLines w:val="0"/>
        <w:keepNext w:val="0"/>
        <w:pageBreakBefore w:val="0"/>
        <w:spacing w:line="520" w:lineRule="exact"/>
        <w:tabs>
          <w:tab w:val="center" w:pos="4479" w:leader="none"/>
        </w:tabs>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23.评标委员会</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23.1评标委员会由招标采购单位依法组建，负责本项目的评标事务。</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23.2评标委员会应当独立履行下列职责：</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14:textFill>
            <w14:solidFill>
              <w14:schemeClr w14:val="tx1"/>
            </w14:solidFill>
          </w14:textFill>
        </w:rPr>
        <w:t xml:space="preserve">审查投标文件是否符合招标文件的要求，并作出评价；</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可以要求投标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对投标文件有关事项作出解释或澄清；</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推荐中标候选</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名单，或者受采购人委托按照事先确定的办法直接确定中标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向招标采购单位或者有关部门报告非法干预评标工作的行为。</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23.3评标委员会成员应当履行下列义务：</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遵纪守法，客观、公正、廉洁地履行职责；</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按照招标文件规定的评标办法和评标标准进行评标，对评审意见承担个人责任；</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对评标过程和结果，以及投标人的商业秘密保密；</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参与评标报告的起草；</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5</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配合相关部门的投诉处理工作；</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6</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配合招标采购单位答复投标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提出的质疑。</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24.评标内容的保密</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24.2在投标文件的审查、澄清、评价和比较以及授予合同的过程中，投标人对招标采购单位和评标委员会成员施加影响的任何行为，都将取消其投标资格。</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24.3在评标期间，招标采购单位将通过指定联络人与投标人进行联系。</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25.对投标文件进行初审</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25.1投标文件初审分为资格性检查和符合性检查。</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14:textFill>
            <w14:solidFill>
              <w14:schemeClr w14:val="tx1"/>
            </w14:solidFill>
          </w14:textFill>
        </w:rPr>
        <w:t xml:space="preserve">资格性检查。依据法律法规和招标文件的规定，对投标文件中的资格证明、投标保证金等进行审查，以确定投标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是否具备投标资格。</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符合性检查。依据招标文件的规定，从投标文件的有效性、完整性和对招标文件的响应程度进行审查，以确定是否对招标文件的实质性要求作出响应。</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开标后，评标委员会将审查投标文件是否实质性响应招标文件的要求、内容是否完整、价格构成有无计算错误、文件签署是否齐全等。</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25.3</w:t>
      </w:r>
      <w:r>
        <w:rPr>
          <w:rFonts w:ascii="宋体" w:hAnsi="宋体" w:eastAsia="宋体" w:cs="宋体"/>
          <w:color w:val="000000" w:themeColor="text1"/>
          <w:sz w:val="24"/>
          <w:szCs w:val="24"/>
          <w:highlight w:val="none"/>
          <w14:textFill>
            <w14:solidFill>
              <w14:schemeClr w14:val="tx1"/>
            </w14:solidFill>
          </w14:textFill>
        </w:rPr>
        <w:t xml:space="preserve">依据财政部令第87号第三十一条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本项目</w:t>
      </w:r>
      <w:r>
        <w:rPr>
          <w:rStyle w:val="851"/>
          <w:rFonts w:ascii="宋体" w:hAnsi="宋体" w:eastAsia="宋体" w:cs="宋体"/>
          <w:color w:val="000000" w:themeColor="text1"/>
          <w:sz w:val="24"/>
          <w:szCs w:val="24"/>
          <w:highlight w:val="none"/>
          <w14:textFill>
            <w14:solidFill>
              <w14:schemeClr w14:val="tx1"/>
            </w14:solidFill>
          </w14:textFill>
        </w:rPr>
        <w:t xml:space="preserve">核心产品为</w:t>
      </w:r>
      <w:r>
        <w:rPr>
          <w:rFonts w:ascii="宋体" w:hAnsi="宋体" w:eastAsia="宋体" w:cs="宋体"/>
          <w:color w:val="000000" w:themeColor="text1"/>
          <w:sz w:val="24"/>
          <w:szCs w:val="24"/>
          <w:highlight w:val="none"/>
          <w14:textFill>
            <w14:solidFill>
              <w14:schemeClr w14:val="tx1"/>
            </w14:solidFill>
          </w14:textFill>
        </w:rPr>
        <w:t xml:space="preserve">种母鸭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鹅（两用）测定舍中精准喂料系统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笼具系统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公鸭舍测定舍中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笼具系统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采购文件仅约定技术参数，不指定品牌，投标人须在分项报价表填报精准喂料系统品牌型号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本项目采用综合评分法，多家投标人核心产品品牌相同且通过初审的，按一家投标人计算；得分最高的同品牌投标人方可参与中标候选人推荐，其余同品牌投标人不作为中标候选人。全部投标人核心产品品牌互不相同的，本条不触发，合格投标人正常评审。合并统计有效投标人数量，合并后不足三家的，项目废标。仅核心产品适用本条规则，其余产品品牌相同不做处理。投标人未填报精准喂料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笼具系统</w:t>
      </w:r>
      <w:r>
        <w:rPr>
          <w:rFonts w:ascii="宋体" w:hAnsi="宋体" w:eastAsia="宋体" w:cs="宋体"/>
          <w:color w:val="000000" w:themeColor="text1"/>
          <w:sz w:val="24"/>
          <w:szCs w:val="24"/>
          <w:highlight w:val="none"/>
          <w14:textFill>
            <w14:solidFill>
              <w14:schemeClr w14:val="tx1"/>
            </w14:solidFill>
          </w14:textFill>
        </w:rPr>
        <w:t xml:space="preserve">品牌型号的，投标无效。</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投标文件属下列情况之一的，投标文件无效：</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1）投标人未在规定时间内成功解密电子投标文件的；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2）投标人未按照招标文件要求上传电子投标文件的；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3）投标文件未按照招标文件要求加盖电子签章或签署的；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4）投标人的法定代表人授权代表，无法定代表人授权委托书的；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5）不具备招标文件中规定的资格要求或未按招标文件规定的要求提供资格、资信证明文件的；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6）被“信用中国”网站（www.creditchina.gov.cn）列入失信被执行人名单、政府采购严重违法失信行为记录名单、重大税收违法失信主体名单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）投标文件中有招标文件未允许提供的选择性内容的；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）不同投标人的投标文件由同一单位或者个人编制的；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bookmarkStart w:id="43" w:name="_Hlk193034237"/>
      <w:r>
        <w:rPr>
          <w:rFonts w:hint="eastAsia" w:ascii="宋体" w:hAnsi="宋体" w:eastAsia="宋体" w:cs="宋体"/>
          <w:color w:val="000000" w:themeColor="text1"/>
          <w:sz w:val="24"/>
          <w:szCs w:val="24"/>
          <w:highlight w:val="none"/>
          <w14:textFill>
            <w14:solidFill>
              <w14:schemeClr w14:val="tx1"/>
            </w14:solidFill>
          </w14:textFill>
        </w:rPr>
        <w:t xml:space="preserve">不同投标人委托同一单位或者个人办理投标事宜的（包含使用同一MAC地址的计算机提交或者解密电子响应文件的情形）；</w:t>
      </w:r>
      <w:bookmarkEnd w:id="43"/>
      <w:r/>
      <w:bookmarkStart w:id="44" w:name="OLE_LINK8"/>
      <w:r/>
      <w:bookmarkEnd w:id="44"/>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bookmarkStart w:id="45" w:name="OLE_LINK10"/>
      <w:r>
        <w:rPr>
          <w:rFonts w:hint="eastAsia" w:ascii="宋体" w:hAnsi="宋体" w:eastAsia="宋体" w:cs="宋体"/>
          <w:color w:val="000000" w:themeColor="text1"/>
          <w:sz w:val="24"/>
          <w:szCs w:val="24"/>
          <w:highlight w:val="none"/>
          <w14:textFill>
            <w14:solidFill>
              <w14:schemeClr w14:val="tx1"/>
            </w14:solidFill>
          </w14:textFill>
        </w:rPr>
        <w:t xml:space="preserve">不同的投标人响应文件制作的MAC地址一致的；</w:t>
      </w:r>
      <w:bookmarkEnd w:id="45"/>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）不同投标人的投标文件载明的项目管理成员或者联系人员为同一人的；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）不同投标人的投标文件异常一致或者投标报价呈规律性差异的；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）项目（标段）投标总价或单价超过本项目（标段）预算金额或最高限价的；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）投标文件内容不全或不符合招标文件中规定的其他实质性要求的；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）提供虚假材料的；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）法律法规和招标文件规定的其他无效情形。</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keepLines w:val="0"/>
        <w:keepNext w:val="0"/>
        <w:pageBreakBefore w:val="0"/>
        <w:spacing w:line="52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招标采购单位对投标文件的判定，只依据投标内容本身，不依靠开标后的任何外来证明。</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招标采购单位将拒绝被确定为非实质性响应的投标，投标人不能通过修正或撤销不符之处而使其投标成为实质性响应的投标。</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26.投标文件的澄清</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26.1对投标文件中含义不明</w:t>
      </w:r>
      <w:r>
        <w:rPr>
          <w:rFonts w:hint="eastAsia" w:ascii="宋体" w:hAnsi="宋体" w:eastAsia="宋体" w:cs="宋体"/>
          <w:color w:val="000000" w:themeColor="text1"/>
          <w:szCs w:val="24"/>
          <w:highlight w:val="none"/>
          <w14:textFill>
            <w14:solidFill>
              <w14:schemeClr w14:val="tx1"/>
            </w14:solidFill>
          </w14:textFill>
        </w:rPr>
        <w:t xml:space="preserve">确、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27.废标</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27.1在招标采购中，出现下列情形之一的，应予废标：</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符合专业条件的投标人或者对招标文件作出实质性响应的投标人不足三家；</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出现影响采购公正的违法、违规行为；</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投标人的报价均超过采购预算，采购人不能支付的；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因重大变故，采购任务取消；</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因江苏政府采购“苏采云”系统重大故障原因无法继续开评标的。</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28.投标文件的评价和比较</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28.2最低的投标报价或最高的折扣比例是中标的重要条件，但不是唯一条件。</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29.质疑处理</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29.1提出质疑的投标人应当是参与所质疑项目采购活动的</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。潜在</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依法获取其可质疑的</w:t>
      </w:r>
      <w:r>
        <w:rPr>
          <w:rFonts w:hint="eastAsia" w:ascii="宋体" w:hAnsi="宋体" w:eastAsia="宋体" w:cs="宋体"/>
          <w:color w:val="000000" w:themeColor="text1"/>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4"/>
          <w:highlight w:val="none"/>
          <w14:textFill>
            <w14:solidFill>
              <w14:schemeClr w14:val="tx1"/>
            </w14:solidFill>
          </w14:textFill>
        </w:rPr>
        <w:t xml:space="preserve">的，可以对</w:t>
      </w:r>
      <w:r>
        <w:rPr>
          <w:rFonts w:hint="eastAsia" w:ascii="宋体" w:hAnsi="宋体" w:eastAsia="宋体" w:cs="宋体"/>
          <w:color w:val="000000" w:themeColor="text1"/>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4"/>
          <w:highlight w:val="none"/>
          <w14:textFill>
            <w14:solidFill>
              <w14:schemeClr w14:val="tx1"/>
            </w14:solidFill>
          </w14:textFill>
        </w:rPr>
        <w:t xml:space="preserve">提出质疑。</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29.2</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认为</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4"/>
          <w:highlight w:val="none"/>
          <w14:textFill>
            <w14:solidFill>
              <w14:schemeClr w14:val="tx1"/>
            </w14:solidFill>
          </w14:textFill>
        </w:rPr>
        <w:t xml:space="preserve">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14:textFill>
            <w14:solidFill>
              <w14:schemeClr w14:val="tx1"/>
            </w14:solidFill>
          </w14:textFill>
        </w:rPr>
        <w:t xml:space="preserve">对可以质疑的</w:t>
      </w:r>
      <w:r>
        <w:rPr>
          <w:rFonts w:hint="eastAsia" w:ascii="宋体" w:hAnsi="宋体" w:eastAsia="宋体" w:cs="宋体"/>
          <w:color w:val="000000" w:themeColor="text1"/>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4"/>
          <w:highlight w:val="none"/>
          <w14:textFill>
            <w14:solidFill>
              <w14:schemeClr w14:val="tx1"/>
            </w14:solidFill>
          </w14:textFill>
        </w:rPr>
        <w:t xml:space="preserve">提出质疑的，为收到</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4"/>
          <w:highlight w:val="none"/>
          <w14:textFill>
            <w14:solidFill>
              <w14:schemeClr w14:val="tx1"/>
            </w14:solidFill>
          </w14:textFill>
        </w:rPr>
        <w:t xml:space="preserve">文件之日或者</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4"/>
          <w:highlight w:val="none"/>
          <w14:textFill>
            <w14:solidFill>
              <w14:schemeClr w14:val="tx1"/>
            </w14:solidFill>
          </w14:textFill>
        </w:rPr>
        <w:t xml:space="preserve">文件公告期限届满之日；</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对</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4"/>
          <w:highlight w:val="none"/>
          <w14:textFill>
            <w14:solidFill>
              <w14:schemeClr w14:val="tx1"/>
            </w14:solidFill>
          </w14:textFill>
        </w:rPr>
        <w:t xml:space="preserve">过程提出质疑的，为各</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4"/>
          <w:highlight w:val="none"/>
          <w14:textFill>
            <w14:solidFill>
              <w14:schemeClr w14:val="tx1"/>
            </w14:solidFill>
          </w14:textFill>
        </w:rPr>
        <w:t xml:space="preserve">程序环节结束之日；</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对中标结果提出质疑的，为中标结果公告期限届满之日。</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应当在法定质疑期内一次性提出针对同一采购程序环节的质疑。</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如在法定期限内对同一采购程序环节提出多次质疑的，采购人、采购代理机构将只对</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第一次质疑作出答复。</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29.3质疑函必须按照本招标文件中《质疑函范本》要求的格式和内容进行填写。</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如组成联合体参加投标，在《质疑函范本》中要求签字</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Cs w:val="24"/>
          <w:highlight w:val="none"/>
          <w14:textFill>
            <w14:solidFill>
              <w14:schemeClr w14:val="tx1"/>
            </w14:solidFill>
          </w14:textFill>
        </w:rPr>
        <w:t xml:space="preserve">加盖公章之处，联合体各方均须按要求签字</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Cs w:val="24"/>
          <w:highlight w:val="none"/>
          <w14:textFill>
            <w14:solidFill>
              <w14:schemeClr w14:val="tx1"/>
            </w14:solidFill>
          </w14:textFill>
        </w:rPr>
        <w:t xml:space="preserve">加盖公章。</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29.4采购人及采购代理机构只接受以纸质原件形式送达的质疑。质疑接收人及联系方式见招标文件第一章。</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29.5以下情形的质疑不予受理</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内容不符合《政府采购质疑和投诉办法》第十二条规定的质疑。</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超出政府采购法定期限的质疑。</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以传真、电子邮件等方式递交的非原件形式的质疑。</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未参加投标活动的</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或在投标活动中自身权益未受到损害的</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所提出的质疑。</w:t>
      </w:r>
      <w:r/>
    </w:p>
    <w:p>
      <w:pPr>
        <w:pStyle w:val="1070"/>
        <w:ind w:firstLine="480"/>
        <w:jc w:val="both"/>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5</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组成联合体参加投标，联合体中任何一方或多方未按要求签字</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Cs w:val="24"/>
          <w:highlight w:val="none"/>
          <w14:textFill>
            <w14:solidFill>
              <w14:schemeClr w14:val="tx1"/>
            </w14:solidFill>
          </w14:textFill>
        </w:rPr>
        <w:t xml:space="preserve">加盖公章的质疑。</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29.6</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进行相应的行政处罚和记录该</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的失信信息。</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30.中标人的确认</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30.1评标委员会按招标文件规定的评标方法和标准进行详细评审后，按招标采购单位的委托向招标采购单位推荐中标候选</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或根据采购人授权直接确定中标</w:t>
      </w:r>
      <w:r>
        <w:rPr>
          <w:rFonts w:hint="eastAsia" w:ascii="宋体" w:hAnsi="宋体" w:eastAsia="宋体" w:cs="宋体"/>
          <w:color w:val="000000" w:themeColor="text1"/>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30.2中标无效的确认：</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（1）提供虚假材料谋取中标的；</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（2）采取不正当手段诋毁、排挤其他投标人的；</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（3）与招标采购单位、其他投标人恶意串通的；</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（4）向招标采购单位行贿或者提供其他不正当利益的；</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（5）在招标过程中与招标采购单位进行协商谈判、不按照招标文件和中标</w:t>
      </w:r>
      <w:r>
        <w:rPr>
          <w:rFonts w:hint="eastAsia" w:ascii="宋体" w:hAnsi="宋体" w:eastAsia="宋体" w:cs="宋体"/>
          <w:color w:val="000000" w:themeColor="text1"/>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的投标文件订立合同，或者与采购人另行订立背离合同实质性内容的协议的；</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outlineLvl w:val="3"/>
      </w:pPr>
      <w:r>
        <w:rPr>
          <w:rFonts w:hint="eastAsia" w:ascii="宋体" w:hAnsi="宋体" w:eastAsia="宋体" w:cs="宋体"/>
          <w:color w:val="000000" w:themeColor="text1"/>
          <w:szCs w:val="24"/>
          <w:highlight w:val="none"/>
          <w14:textFill>
            <w14:solidFill>
              <w14:schemeClr w14:val="tx1"/>
            </w14:solidFill>
          </w14:textFill>
        </w:rPr>
        <w:t xml:space="preserve">（6）拒绝有关部门监督检查或者提供虚假情况的。</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30.3经评标委员会评审并确定中标</w:t>
      </w:r>
      <w:r>
        <w:rPr>
          <w:rFonts w:hint="eastAsia" w:ascii="宋体" w:hAnsi="宋体" w:eastAsia="宋体" w:cs="宋体"/>
          <w:color w:val="000000" w:themeColor="text1"/>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31.合同授予标准</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31.1招标采购单位将把合同授予其投标文件在实质上响应招标文件要求且综合评分得分最高的投标人。</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32.中标通知书</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32.1确定中标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后投标文件有效期截止前，招标采购单位应当向中标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发出中标通知书，中标通知书对采购人和中标</w:t>
      </w:r>
      <w:r>
        <w:rPr>
          <w:rFonts w:hint="eastAsia" w:ascii="宋体" w:hAnsi="宋体" w:eastAsia="宋体" w:cs="宋体"/>
          <w:color w:val="000000" w:themeColor="text1"/>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具有同等法律效力。中标通知书发出后，采购人改变中标结果，或者中标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放弃中标，应当承担相应的法律责任。</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32.2中标通知书将成为合同的组成部分。</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32.3招标采购单位对未中标</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4"/>
          <w:highlight w:val="none"/>
          <w14:textFill>
            <w14:solidFill>
              <w14:schemeClr w14:val="tx1"/>
            </w14:solidFill>
          </w14:textFill>
        </w:rPr>
        <w:t xml:space="preserve">不承担解释未中标原因的义务。</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lang w:eastAsia="zh-CN"/>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33.履约保证金</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33.1中标人应按规定提交履约保证金。</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33.2中标人必须在合同签订前按规定向采购人缴纳履约保证金。中标人未按招标文件要求提交履约保证金的，采购人可取消其中标资格。</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33.3履约保证金将在验收合格后无息退还给中标单位。</w:t>
      </w:r>
      <w:r/>
    </w:p>
    <w:p>
      <w:pPr>
        <w:ind w:firstLine="480"/>
        <w:keepLines w:val="0"/>
        <w:keepNext w:val="0"/>
        <w:pageBreakBefore w:val="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履约保证金用以约束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在合同履行中的行为，弥补合同执行中由于自身行为可能给采购人带来的各种损失。</w:t>
      </w:r>
      <w:r/>
    </w:p>
    <w:p>
      <w:pPr>
        <w:pStyle w:val="1070"/>
        <w:ind w:firstLine="480"/>
        <w:jc w:val="both"/>
        <w:spacing w:line="5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33.5</w:t>
      </w:r>
      <w:r>
        <w:rPr>
          <w:rFonts w:hint="eastAsia" w:ascii="宋体" w:hAnsi="宋体" w:eastAsia="宋体" w:cs="宋体"/>
          <w:color w:val="000000" w:themeColor="text1"/>
          <w:szCs w:val="24"/>
          <w:highlight w:val="none"/>
          <w14:textFill>
            <w14:solidFill>
              <w14:schemeClr w14:val="tx1"/>
            </w14:solidFill>
          </w14:textFill>
        </w:rPr>
        <w:t xml:space="preserve">根据《市财政局</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国家金融监督管理总局泰州监管分局</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市地方金融监督管理局转发〈江苏省财政厅</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国家金融监督管理总局江苏监管局</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江苏省地方金融监督管理局关于在全省政府采购领域推行电子履约保函（保险）的通知〉》（泰财购〔2023〕33号）文件精神，采购人接受供应商提交电子履约保函（保险），电子履约保函（保险）与其他形式履约保证金具有同等法律效力。</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34.合同的签订</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34.1中标人应按中标通知书中规定的时间和地点，由法定代表人或委托代理人与采购人代表签订合同。</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34.2签订合同及合同条款应以招标文件和中标人的投标文件及其澄清文件为依据。</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34.3中标人无正当理由拒签合同的，或在签订合同时向采购人提出附加条件或者更改合同实质性内容的，采购人可取消其中标资格，同时由中标人承担相应的法律责任。</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35.政府采购政策</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35.1</w:t>
      </w:r>
      <w:r>
        <w:rPr>
          <w:rFonts w:hint="eastAsia" w:ascii="宋体" w:hAnsi="宋体" w:eastAsia="宋体" w:cs="宋体"/>
          <w:color w:val="000000" w:themeColor="text1"/>
          <w:sz w:val="24"/>
          <w:highlight w:val="none"/>
          <w:lang w:bidi="ar"/>
          <w14:textFill>
            <w14:solidFill>
              <w14:schemeClr w14:val="tx1"/>
            </w14:solidFill>
          </w14:textFill>
        </w:rPr>
        <w:t xml:space="preserve">小微型企业价格扣除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投标人</w:t>
      </w:r>
      <w:r>
        <w:rPr>
          <w:rFonts w:hint="eastAsia" w:ascii="宋体" w:hAnsi="宋体" w:eastAsia="宋体" w:cs="宋体"/>
          <w:color w:val="000000" w:themeColor="text1"/>
          <w:sz w:val="24"/>
          <w:highlight w:val="none"/>
          <w:lang w:bidi="ar"/>
          <w14:textFill>
            <w14:solidFill>
              <w14:schemeClr w14:val="tx1"/>
            </w14:solidFill>
          </w14:textFill>
        </w:rPr>
        <w:t xml:space="preserve">需按照</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sz w:val="24"/>
          <w:highlight w:val="none"/>
          <w:lang w:bidi="ar"/>
          <w14:textFill>
            <w14:solidFill>
              <w14:schemeClr w14:val="tx1"/>
            </w14:solidFill>
          </w14:textFill>
        </w:rPr>
        <w:t xml:space="preserve">的要求提供相应的《中小企业声明函》。</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highlight w:val="none"/>
          <w:lang w:bidi="ar"/>
          <w14:textFill>
            <w14:solidFill>
              <w14:schemeClr w14:val="tx1"/>
            </w14:solidFill>
          </w14:textFill>
        </w:rPr>
        <w:t xml:space="preserve">在货物采购项目中，</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投标人</w:t>
      </w:r>
      <w:r>
        <w:rPr>
          <w:rFonts w:hint="eastAsia" w:ascii="宋体" w:hAnsi="宋体" w:eastAsia="宋体" w:cs="宋体"/>
          <w:color w:val="000000" w:themeColor="text1"/>
          <w:sz w:val="24"/>
          <w:highlight w:val="none"/>
          <w:lang w:bidi="ar"/>
          <w14:textFill>
            <w14:solidFill>
              <w14:schemeClr w14:val="tx1"/>
            </w14:solidFill>
          </w14:textFill>
        </w:rPr>
        <w:t xml:space="preserve">提供的货物既有中小企业制造货物，也有大型企业制造货物的，不享受本办法规定的中小企业扶持政策。</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35.2</w:t>
      </w:r>
      <w:r>
        <w:rPr>
          <w:rFonts w:hint="eastAsia" w:ascii="宋体" w:hAnsi="宋体" w:eastAsia="宋体" w:cs="宋体"/>
          <w:color w:val="000000" w:themeColor="text1"/>
          <w:sz w:val="24"/>
          <w:highlight w:val="none"/>
          <w:lang w:bidi="ar"/>
          <w14:textFill>
            <w14:solidFill>
              <w14:schemeClr w14:val="tx1"/>
            </w14:solidFill>
          </w14:textFill>
        </w:rPr>
        <w:t xml:space="preserve">残疾人福利单位价格扣除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bidi="ar"/>
          <w14:textFill>
            <w14:solidFill>
              <w14:schemeClr w14:val="tx1"/>
            </w14:solidFill>
          </w14:textFill>
        </w:rPr>
        <w:t xml:space="preserve">残疾人福利单位需按照</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招标文件</w:t>
      </w:r>
      <w:r>
        <w:rPr>
          <w:rFonts w:hint="eastAsia" w:ascii="宋体" w:hAnsi="宋体" w:eastAsia="宋体" w:cs="宋体"/>
          <w:color w:val="000000" w:themeColor="text1"/>
          <w:sz w:val="24"/>
          <w:highlight w:val="none"/>
          <w:lang w:bidi="ar"/>
          <w14:textFill>
            <w14:solidFill>
              <w14:schemeClr w14:val="tx1"/>
            </w14:solidFill>
          </w14:textFill>
        </w:rPr>
        <w:t xml:space="preserve">的要求提供《残疾人福利性单位声明函》。</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highlight w:val="none"/>
          <w:lang w:bidi="ar"/>
          <w14:textFill>
            <w14:solidFill>
              <w14:schemeClr w14:val="tx1"/>
            </w14:solidFill>
          </w14:textFill>
        </w:rPr>
        <w:t xml:space="preserve">残疾人福利单位标准请参照《关于促进残疾人就业政府采购政策的通知》（财库〔2017〕141号）。</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35.3</w:t>
      </w:r>
      <w:r>
        <w:rPr>
          <w:rFonts w:hint="eastAsia" w:ascii="宋体" w:hAnsi="宋体" w:eastAsia="宋体" w:cs="宋体"/>
          <w:color w:val="000000" w:themeColor="text1"/>
          <w:sz w:val="24"/>
          <w:highlight w:val="none"/>
          <w:lang w:bidi="ar"/>
          <w14:textFill>
            <w14:solidFill>
              <w14:schemeClr w14:val="tx1"/>
            </w14:solidFill>
          </w14:textFill>
        </w:rPr>
        <w:t xml:space="preserve">监狱和戒毒企业价格扣除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bidi="ar"/>
          <w14:textFill>
            <w14:solidFill>
              <w14:schemeClr w14:val="tx1"/>
            </w14:solidFill>
          </w14:textFill>
        </w:rPr>
        <w:t xml:space="preserve">监狱企业参加政府采购活动时，需提供由省级以上监狱管理局、戒毒管理局（含新疆生产建设兵团）出具的属于监狱企业的证明文件。</w:t>
      </w:r>
      <w:r>
        <w:rPr>
          <w:rFonts w:hint="eastAsia" w:ascii="宋体" w:hAnsi="宋体" w:eastAsia="宋体" w:cs="宋体"/>
          <w:color w:val="000000" w:themeColor="text1"/>
          <w:sz w:val="24"/>
          <w:highlight w:val="none"/>
          <w:lang w:eastAsia="zh-CN" w:bidi="ar"/>
          <w14:textFill>
            <w14:solidFill>
              <w14:schemeClr w14:val="tx1"/>
            </w14:solidFill>
          </w14:textFill>
        </w:rPr>
        <w:t xml:space="preserve">投标人</w:t>
      </w:r>
      <w:r>
        <w:rPr>
          <w:rFonts w:hint="eastAsia" w:ascii="宋体" w:hAnsi="宋体" w:eastAsia="宋体" w:cs="宋体"/>
          <w:color w:val="000000" w:themeColor="text1"/>
          <w:sz w:val="24"/>
          <w:highlight w:val="none"/>
          <w:lang w:bidi="ar"/>
          <w14:textFill>
            <w14:solidFill>
              <w14:schemeClr w14:val="tx1"/>
            </w14:solidFill>
          </w14:textFill>
        </w:rPr>
        <w:t xml:space="preserve">如不提供上述证明文件，价格将不做相应扣除。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highlight w:val="none"/>
          <w:lang w:bidi="ar"/>
          <w14:textFill>
            <w14:solidFill>
              <w14:schemeClr w14:val="tx1"/>
            </w14:solidFill>
          </w14:textFill>
        </w:rPr>
        <w:t xml:space="preserve">监狱企业标准请参照《关于政府采购支持监狱企业发展有关问题的通知》（财库〔2014〕68号）。</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35.4</w:t>
      </w:r>
      <w:r>
        <w:rPr>
          <w:rFonts w:hint="eastAsia" w:ascii="宋体" w:hAnsi="宋体" w:eastAsia="宋体" w:cs="宋体"/>
          <w:color w:val="000000" w:themeColor="text1"/>
          <w:sz w:val="24"/>
          <w:highlight w:val="none"/>
          <w:lang w:bidi="ar"/>
          <w14:textFill>
            <w14:solidFill>
              <w14:schemeClr w14:val="tx1"/>
            </w14:solidFill>
          </w14:textFill>
        </w:rPr>
        <w:t xml:space="preserve">残疾人福利单位、监狱企业属于小型、微型企业的，不重复享受政策。</w:t>
      </w:r>
      <w:r/>
    </w:p>
    <w:p>
      <w:pPr>
        <w:pStyle w:val="1070"/>
        <w:ind w:firstLine="482"/>
        <w:jc w:val="both"/>
        <w:keepLines w:val="0"/>
        <w:keepNext w:val="0"/>
        <w:pageBreakBefore w:val="0"/>
        <w:spacing w:line="520" w:lineRule="exact"/>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Cs w:val="24"/>
          <w:highlight w:val="none"/>
          <w:lang w:val="en-US" w:eastAsia="zh-CN"/>
          <w14:textFill>
            <w14:solidFill>
              <w14:schemeClr w14:val="tx1"/>
            </w14:solidFill>
          </w14:textFill>
        </w:rPr>
        <w:t xml:space="preserve">35.5</w:t>
      </w:r>
      <w:r>
        <w:rPr>
          <w:rFonts w:hint="eastAsia" w:ascii="宋体" w:hAnsi="宋体" w:eastAsia="宋体" w:cs="宋体"/>
          <w:b w:val="0"/>
          <w:bCs w:val="0"/>
          <w:color w:val="000000" w:themeColor="text1"/>
          <w:szCs w:val="24"/>
          <w:highlight w:val="none"/>
          <w14:textFill>
            <w14:solidFill>
              <w14:schemeClr w14:val="tx1"/>
            </w14:solidFill>
          </w14:textFill>
        </w:rPr>
        <w:t xml:space="preserve">本项目所属行业为</w:t>
      </w:r>
      <w:r>
        <w:rPr>
          <w:rFonts w:hint="eastAsia" w:ascii="宋体" w:hAnsi="宋体" w:eastAsia="宋体" w:cs="宋体"/>
          <w:b w:val="0"/>
          <w:bCs w:val="0"/>
          <w:color w:val="000000" w:themeColor="text1"/>
          <w:szCs w:val="24"/>
          <w:highlight w:val="none"/>
          <w:u w:val="single"/>
          <w:lang w:val="en-US" w:eastAsia="zh-CN"/>
          <w14:textFill>
            <w14:solidFill>
              <w14:schemeClr w14:val="tx1"/>
            </w14:solidFill>
          </w14:textFill>
        </w:rPr>
        <w:t xml:space="preserve">工业</w:t>
      </w:r>
      <w:r>
        <w:rPr>
          <w:rFonts w:hint="eastAsia" w:ascii="宋体" w:hAnsi="宋体" w:eastAsia="宋体" w:cs="宋体"/>
          <w:b w:val="0"/>
          <w:bCs w:val="0"/>
          <w:color w:val="000000" w:themeColor="text1"/>
          <w:szCs w:val="24"/>
          <w:highlight w:val="none"/>
          <w14:textFill>
            <w14:solidFill>
              <w14:schemeClr w14:val="tx1"/>
            </w14:solidFill>
          </w14:textFill>
        </w:rPr>
        <w:t xml:space="preserve">。</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35.6</w:t>
      </w:r>
      <w:r>
        <w:rPr>
          <w:rFonts w:hint="eastAsia" w:ascii="宋体" w:hAnsi="宋体" w:eastAsia="宋体" w:cs="宋体"/>
          <w:color w:val="000000" w:themeColor="text1"/>
          <w:sz w:val="24"/>
          <w:highlight w:val="none"/>
          <w:lang w:bidi="ar"/>
          <w14:textFill>
            <w14:solidFill>
              <w14:schemeClr w14:val="tx1"/>
            </w14:solidFill>
          </w14:textFill>
        </w:rPr>
        <w:t xml:space="preserve">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35.7</w:t>
      </w:r>
      <w:r>
        <w:rPr>
          <w:rFonts w:hint="eastAsia" w:ascii="宋体" w:hAnsi="宋体" w:eastAsia="宋体" w:cs="宋体"/>
          <w:color w:val="000000" w:themeColor="text1"/>
          <w:szCs w:val="24"/>
          <w:highlight w:val="none"/>
          <w14:textFill>
            <w14:solidFill>
              <w14:schemeClr w14:val="tx1"/>
            </w14:solidFill>
          </w14:textFill>
        </w:rPr>
        <w:t xml:space="preserve">若</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提供的《中小企业声明函》《残疾人福利性单位声明函》及监狱企业认定证明等材料为虚假材料，按《中华人民共和国政府采购法》相关规定处理并报请政府采购监管部门给予行政处罚。</w:t>
      </w:r>
      <w:r/>
    </w:p>
    <w:p>
      <w:pPr>
        <w:pStyle w:val="1070"/>
        <w:ind w:firstLine="480"/>
        <w:jc w:val="both"/>
        <w:spacing w:line="50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备注：本项目专门面向中小企业，不享受价格扣除优惠政策。</w:t>
      </w:r>
      <w:r/>
    </w:p>
    <w:p>
      <w:pPr>
        <w:ind w:firstLine="482"/>
        <w:keepLines w:val="0"/>
        <w:keepNext w:val="0"/>
        <w:pageBreakBefore w:val="0"/>
        <w:spacing w:line="520" w:lineRule="exact"/>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36.特别提醒</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36.1投标单位如有提供不实评审材料，弄虚作假者，一律作废标处理，该不良行为将予以公示。</w:t>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36.2在本项目评审结束前，各</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授权代表应保持手机畅通，如有必要需</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针对自身投标文件进行澄清的，</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需在第一时间配合评委会的询问进行澄清。接到评委会澄清要求的投标人如未按规定作出澄清，其风险由投标人自行承担。</w:t>
      </w:r>
      <w:bookmarkStart w:id="46" w:name="_Toc409438818"/>
      <w:r/>
      <w:r/>
    </w:p>
    <w:p>
      <w:pPr>
        <w:pStyle w:val="1070"/>
        <w:ind w:firstLine="480"/>
        <w:jc w:val="both"/>
        <w:keepLines w:val="0"/>
        <w:keepNext w:val="0"/>
        <w:pageBreakBefore w:val="0"/>
        <w:spacing w:line="52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36.3投标文件中需签字或盖章处均可以用电子签名或电子章代替。</w:t>
      </w:r>
      <w:r/>
    </w:p>
    <w:p>
      <w:pPr>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clear="all"/>
      </w:r>
      <w:bookmarkEnd w:id="46"/>
      <w:r/>
      <w:r/>
    </w:p>
    <w:p>
      <w:pPr>
        <w:pStyle w:val="1057"/>
        <w:numPr>
          <w:ilvl w:val="0"/>
          <w:numId w:val="1"/>
        </w:numPr>
        <w:jc w:val="center"/>
        <w:spacing w:before="0" w:after="0" w:line="360" w:lineRule="auto"/>
        <w:rPr>
          <w:rFonts w:hint="eastAsia" w:ascii="宋体" w:hAnsi="宋体" w:eastAsia="宋体" w:cs="宋体"/>
          <w:color w:val="000000" w:themeColor="text1"/>
          <w:sz w:val="32"/>
          <w:szCs w:val="32"/>
          <w:highlight w:val="none"/>
          <w14:textFill>
            <w14:solidFill>
              <w14:schemeClr w14:val="tx1"/>
            </w14:solidFill>
          </w14:textFill>
        </w:rPr>
      </w:pPr>
      <w:r/>
      <w:bookmarkStart w:id="47" w:name="_Toc2530"/>
      <w:r/>
      <w:bookmarkStart w:id="48" w:name="_Toc388026586"/>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 xml:space="preserve">采购需求</w:t>
      </w:r>
      <w:bookmarkEnd w:id="47"/>
      <w:r/>
      <w:r/>
    </w:p>
    <w:p>
      <w:pPr>
        <w:numPr>
          <w:ilvl w:val="0"/>
          <w:numId w:val="0"/>
        </w:numPr>
        <w:ind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一、采购清单及技术参数要求</w:t>
      </w:r>
      <w:bookmarkEnd w:id="48"/>
      <w:r/>
      <w:r/>
    </w:p>
    <w:p>
      <w:pPr>
        <w:ind w:left="0"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1.种母鸭/鹅（两用）测定舍配置、参数要求</w:t>
      </w:r>
      <w:r/>
    </w:p>
    <w:tbl>
      <w:tblPr>
        <w:tblStyle w:val="817"/>
        <w:tblW w:w="558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34"/>
        <w:gridCol w:w="6256"/>
        <w:gridCol w:w="648"/>
        <w:gridCol w:w="15"/>
        <w:gridCol w:w="623"/>
        <w:gridCol w:w="15"/>
        <w:gridCol w:w="1192"/>
      </w:tblGrid>
      <w:tr>
        <w:trPr>
          <w:jc w:val="center"/>
          <w:trHeight w:val="454"/>
        </w:trPr>
        <w:tc>
          <w:tcPr>
            <w:gridSpan w:val="7"/>
            <w:tcBorders>
              <w:top w:val="single" w:color="auto" w:sz="12"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种母鸭/鹅（两用）测定舍配置、参数要求</w:t>
            </w:r>
            <w:r/>
          </w:p>
        </w:tc>
      </w:tr>
      <w:tr>
        <w:trPr>
          <w:jc w:val="center"/>
          <w:trHeight w:val="454"/>
        </w:trPr>
        <w:tc>
          <w:tcPr>
            <w:gridSpan w:val="7"/>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棚舍尺寸（净内）：长50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*宽14.7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*檐高2.7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r>
      <w:tr>
        <w:trPr>
          <w:jc w:val="center"/>
          <w:trHeight w:val="454"/>
        </w:trPr>
        <w:tc>
          <w:tcPr>
            <w:gridSpan w:val="7"/>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笼具排列方案：2层（20位）*25组/*6列=3000个单元格（位）；存栏量（1只/位）：3000只。</w:t>
            </w:r>
            <w:r/>
          </w:p>
        </w:tc>
      </w:tr>
      <w:tr>
        <w:trPr>
          <w:jc w:val="center"/>
          <w:trHeight w:val="454"/>
        </w:trPr>
        <w:tc>
          <w:tcPr>
            <w:gridSpan w:val="7"/>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单笼规格：长350</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mm</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×深500</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mm</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×笼高700mm。</w:t>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喂料系统</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单位</w:t>
            </w:r>
            <w:r/>
          </w:p>
        </w:tc>
        <w:tc>
          <w:tcPr>
            <w:gridSpan w:val="2"/>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65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料塔</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容积</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4.5m³；国标热镀锌（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275g/㎡）钣金件，具备抗台风强度配置；密封等级IP65；配置缓冲（软连接）装置。</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350000.00</w:t>
            </w:r>
            <w:r/>
          </w:p>
        </w:tc>
      </w:tr>
      <w:tr>
        <w:trPr>
          <w:jc w:val="center"/>
          <w:trHeight w:val="40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辅助料箱</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w:t>
            </w:r>
            <w:r>
              <w:rPr>
                <w:rFonts w:ascii="宋体" w:hAnsi="宋体" w:eastAsia="宋体" w:cs="宋体"/>
                <w:b w:val="0"/>
                <w:bCs w:val="0"/>
                <w:color w:val="000000" w:themeColor="text1"/>
                <w:sz w:val="21"/>
                <w:szCs w:val="21"/>
                <w:highlight w:val="none"/>
                <w:u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密封指数</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IP55。</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个</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r>
            <w:r/>
          </w:p>
        </w:tc>
      </w:tr>
      <w:tr>
        <w:trPr>
          <w:jc w:val="center"/>
          <w:trHeight w:val="57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料塔</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称重系统</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信号传输模式（数字或模拟）根据控制器要求配置；可以实时显示饲料重量；传感器精度C3，系统精度</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r>
            <w:r/>
          </w:p>
        </w:tc>
      </w:tr>
      <w:tr>
        <w:trPr>
          <w:jc w:val="center"/>
          <w:trHeight w:val="76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主料线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M63/PVC/国标380V/1.1</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减速电机。所有固定、吊装件使用国标防腐材料；所有线缆、线材、耗材使用适配的国标、阻燃材料。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r>
            <w:r/>
          </w:p>
        </w:tc>
      </w:tr>
      <w:tr>
        <w:trPr>
          <w:jc w:val="center"/>
          <w:trHeight w:val="9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★精准喂料系统</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轨道式行走布料机，框架部分使用≥275g热镀锌钣金件。</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布料电机：380V/1.5KW减速电机，速比1/20。</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行走电机：380V0.75/KW减速电机，速比速比1/59：。</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定点精准饲喂装置：饲喂误差≤1.5g/堆。</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精准下料装置：采用气动泵装置+小料斗组合下料。</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自停机构：两端均需安装自停（触碰式）行程开关。</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精准喂料控制器</w:t>
            </w:r>
            <w:r>
              <w:rPr>
                <w:rFonts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主机</w:t>
            </w:r>
            <w:r>
              <w:rPr>
                <w:rFonts w:ascii="宋体" w:hAnsi="宋体" w:eastAsia="宋体" w:cs="宋体"/>
                <w:b w:val="0"/>
                <w:bCs w:val="0"/>
                <w:color w:val="000000" w:themeColor="text1"/>
                <w:sz w:val="21"/>
                <w:szCs w:val="21"/>
                <w:highlight w:val="none"/>
                <w14:textFill>
                  <w14:solidFill>
                    <w14:schemeClr w14:val="tx1"/>
                  </w14:solidFill>
                </w14:textFill>
              </w:rPr>
              <w:t xml:space="preserve">）配置</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7吋</w:t>
            </w:r>
            <w:r>
              <w:rPr>
                <w:rFonts w:ascii="宋体" w:hAnsi="宋体" w:eastAsia="宋体" w:cs="宋体"/>
                <w:b w:val="0"/>
                <w:bCs w:val="0"/>
                <w:color w:val="000000" w:themeColor="text1"/>
                <w:sz w:val="21"/>
                <w:szCs w:val="21"/>
                <w:highlight w:val="none"/>
                <w14:textFill>
                  <w14:solidFill>
                    <w14:schemeClr w14:val="tx1"/>
                  </w14:solidFill>
                </w14:textFill>
              </w:rPr>
              <w:t xml:space="preserve">高清</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液晶触摸屏。</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控制箱：喷塑箱</w:t>
            </w:r>
            <w:r>
              <w:rPr>
                <w:rFonts w:ascii="宋体" w:hAnsi="宋体" w:eastAsia="宋体" w:cs="宋体"/>
                <w:b w:val="0"/>
                <w:bCs w:val="0"/>
                <w:color w:val="000000" w:themeColor="text1"/>
                <w:sz w:val="21"/>
                <w:szCs w:val="21"/>
                <w:highlight w:val="none"/>
                <w14:textFill>
                  <w14:solidFill>
                    <w14:schemeClr w14:val="tx1"/>
                  </w14:solidFill>
                </w14:textFill>
              </w:rPr>
              <w:t xml:space="preserve">，一线品牌电器元件，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防护等级≥IP55。</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适配的信号线、电源线、线材。</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电缆悬挂装置：M3mm</w:t>
            </w:r>
            <w:r>
              <w:rPr>
                <w:rFonts w:ascii="宋体" w:hAnsi="宋体" w:eastAsia="宋体" w:cs="宋体"/>
                <w:b w:val="0"/>
                <w:bCs w:val="0"/>
                <w:color w:val="000000" w:themeColor="text1"/>
                <w:sz w:val="21"/>
                <w:szCs w:val="21"/>
                <w:highlight w:val="none"/>
                <w14:textFill>
                  <w14:solidFill>
                    <w14:schemeClr w14:val="tx1"/>
                  </w14:solidFill>
                </w14:textFill>
              </w:rPr>
              <w:t xml:space="preserve">/275g</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热镀锌</w:t>
            </w:r>
            <w:r>
              <w:rPr>
                <w:rFonts w:ascii="宋体" w:hAnsi="宋体" w:eastAsia="宋体" w:cs="宋体"/>
                <w:b w:val="0"/>
                <w:bCs w:val="0"/>
                <w:color w:val="000000" w:themeColor="text1"/>
                <w:sz w:val="21"/>
                <w:szCs w:val="21"/>
                <w:highlight w:val="none"/>
                <w14:textFill>
                  <w14:solidFill>
                    <w14:schemeClr w14:val="tx1"/>
                  </w14:solidFill>
                </w14:textFill>
              </w:rPr>
              <w:t xml:space="preserve">钢丝及防腐</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固定材料等。</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11.笼具数量共计6列，层数为2层，需要24个出料口。</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left w:val="single" w:color="auto" w:sz="6" w:space="0"/>
              <w:bottom w:val="single" w:color="auto" w:sz="6" w:space="0"/>
              <w:right w:val="single" w:color="auto" w:sz="12" w:space="0"/>
            </w:tcBorders>
            <w:tcW w:w="1192" w:type="dxa"/>
            <w:vAlign w:val="center"/>
            <w:vMerge w:val="continue"/>
            <w:textDirection w:val="lrTb"/>
            <w:noWrap/>
          </w:tcPr>
          <w:p>
            <w:pPr>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饮水系统</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1906"/>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★主供水系统+水线前/后端</w:t>
            </w:r>
            <w:r/>
          </w:p>
        </w:tc>
        <w:tc>
          <w:tcPr>
            <w:tcBorders>
              <w:top w:val="single" w:color="auto" w:sz="6" w:space="0"/>
              <w:left w:val="single" w:color="auto" w:sz="6" w:space="0"/>
              <w:bottom w:val="single" w:color="auto" w:sz="6" w:space="0"/>
              <w:right w:val="single" w:color="auto" w:sz="12"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含水表、减压阀、加药器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(使用适配的大流量(2.5m</w:t>
            </w:r>
            <w:r>
              <w:rPr>
                <w:rFonts w:hint="eastAsia" w:ascii="宋体" w:hAnsi="宋体" w:eastAsia="宋体" w:cs="宋体"/>
                <w:color w:val="000000" w:themeColor="text1"/>
                <w:sz w:val="21"/>
                <w:szCs w:val="21"/>
                <w:highlight w:val="none"/>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/h)自动配比比例加药器，外壳及配件要求使用耐腐蚀材料，包含适配的进出水配件)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、过滤器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(25目/防爆，密闭指数IP67，外壳及配件要求使用耐腐蚀材料，包含适配的进出水配件)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、调压器</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（耐压3MPa，铰接旋钮精准度高，密闭指数IP67，外壳及配件要求使用耐腐蚀材料，包含适配的进出水配件）、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球阀等。</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配套主水管缺水报警、水线自动反冲清洗、消毒等辅助装置。</w:t>
            </w:r>
            <w:r/>
          </w:p>
        </w:tc>
        <w:tc>
          <w:tcPr>
            <w:tcBorders>
              <w:top w:val="single" w:color="auto" w:sz="6" w:space="0"/>
              <w:left w:val="single" w:color="auto" w:sz="12" w:space="0"/>
              <w:bottom w:val="single" w:color="auto" w:sz="6" w:space="0"/>
              <w:right w:val="single" w:color="auto" w:sz="12"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tcBorders>
              <w:top w:val="single" w:color="auto" w:sz="6" w:space="0"/>
              <w:left w:val="single" w:color="auto" w:sz="12" w:space="0"/>
              <w:bottom w:val="single" w:color="auto" w:sz="6" w:space="0"/>
              <w:right w:val="single" w:color="auto" w:sz="12"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2"/>
            <w:tcBorders>
              <w:top w:val="single" w:color="auto" w:sz="6" w:space="0"/>
              <w:left w:val="single" w:color="auto" w:sz="12" w:space="0"/>
              <w:bottom w:val="single" w:color="auto" w:sz="6" w:space="0"/>
              <w:right w:val="single" w:color="auto" w:sz="12" w:space="0"/>
            </w:tcBorders>
            <w:tcW w:w="1207"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40000.00</w:t>
            </w:r>
            <w:r/>
          </w:p>
        </w:tc>
      </w:tr>
      <w:tr>
        <w:trPr>
          <w:jc w:val="center"/>
          <w:trHeight w:val="108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★笼内饮水系统</w:t>
            </w:r>
            <w:r/>
          </w:p>
        </w:tc>
        <w:tc>
          <w:tcPr>
            <w:tcBorders>
              <w:top w:val="single" w:color="auto" w:sz="6" w:space="0"/>
              <w:left w:val="single" w:color="auto" w:sz="6" w:space="0"/>
              <w:bottom w:val="single" w:color="auto" w:sz="6" w:space="0"/>
              <w:right w:val="single" w:color="auto" w:sz="12"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22*22*壁厚2mmPVC方水管/带加强筋，双水线。</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种鸭专用小流量饮水器，360度侧击出水，</w:t>
            </w:r>
            <w:r>
              <w:rPr>
                <w:rFonts w:ascii="宋体" w:hAnsi="宋体" w:eastAsia="宋体" w:cs="宋体"/>
                <w:color w:val="000000" w:themeColor="text1"/>
                <w:sz w:val="21"/>
                <w:szCs w:val="21"/>
                <w:highlight w:val="none"/>
                <w:lang w:bidi="ar-SA"/>
                <w14:textFill>
                  <w14:solidFill>
                    <w14:schemeClr w14:val="tx1"/>
                  </w14:solidFill>
                </w14:textFill>
              </w:rPr>
              <w:t xml:space="preserve">不触碰不漏水。</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1个/笼。</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不锈钢吊绳；M3mmQ235热镀锌钢丝主吊绳。</w:t>
            </w:r>
            <w:r/>
          </w:p>
        </w:tc>
        <w:tc>
          <w:tcPr>
            <w:tcBorders>
              <w:top w:val="single" w:color="auto" w:sz="6" w:space="0"/>
              <w:left w:val="single" w:color="auto" w:sz="12" w:space="0"/>
              <w:bottom w:val="single" w:color="auto" w:sz="6" w:space="0"/>
              <w:right w:val="single" w:color="auto" w:sz="12" w:space="0"/>
            </w:tcBorders>
            <w:tcW w:w="648" w:type="dxa"/>
            <w:vAlign w:val="center"/>
            <w:textDirection w:val="lrTb"/>
            <w:noWrap/>
          </w:tcPr>
          <w:p>
            <w:pPr>
              <w:jc w:val="center"/>
              <w:keepLines w:val="0"/>
              <w:keepNext w:val="0"/>
              <w:pageBreakBefore w:val="0"/>
              <w:spacing w:line="0" w:lineRule="atLeast"/>
              <w:widowControl/>
              <w:rPr>
                <w:rFonts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条</w:t>
            </w:r>
            <w:r/>
          </w:p>
        </w:tc>
        <w:tc>
          <w:tcPr>
            <w:gridSpan w:val="2"/>
            <w:tcBorders>
              <w:top w:val="single" w:color="auto" w:sz="6" w:space="0"/>
              <w:left w:val="single" w:color="auto" w:sz="12" w:space="0"/>
              <w:bottom w:val="single" w:color="auto" w:sz="6" w:space="0"/>
              <w:right w:val="single" w:color="auto" w:sz="12" w:space="0"/>
            </w:tcBorders>
            <w:tcW w:w="638" w:type="dxa"/>
            <w:vAlign w:val="center"/>
            <w:textDirection w:val="lrTb"/>
            <w:noWrap/>
          </w:tcPr>
          <w:p>
            <w:pPr>
              <w:jc w:val="center"/>
              <w:keepLines w:val="0"/>
              <w:keepNext w:val="0"/>
              <w:pageBreakBefore w:val="0"/>
              <w:spacing w:line="0" w:lineRule="atLeast"/>
              <w:widowControl/>
              <w:rPr>
                <w:rFonts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24</w:t>
            </w:r>
            <w:r/>
          </w:p>
        </w:tc>
        <w:tc>
          <w:tcPr>
            <w:gridSpan w:val="2"/>
            <w:tcBorders>
              <w:top w:val="single" w:color="auto" w:sz="6" w:space="0"/>
              <w:left w:val="single" w:color="auto" w:sz="12" w:space="0"/>
              <w:bottom w:val="single" w:color="auto" w:sz="6" w:space="0"/>
              <w:right w:val="single" w:color="auto" w:sz="12" w:space="0"/>
            </w:tcBorders>
            <w:tcW w:w="1207"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笼具系统</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56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★立柱</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275g）U型结构，</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w:t>
            </w:r>
            <w:r/>
          </w:p>
        </w:tc>
        <w:tc>
          <w:tcPr>
            <w:gridSpan w:val="2"/>
            <w:tcBorders>
              <w:top w:val="single" w:color="auto" w:sz="6" w:space="0"/>
              <w:left w:val="single" w:color="auto" w:sz="6" w:space="0"/>
              <w:bottom w:val="none" w:color="000000" w:sz="4" w:space="0"/>
              <w:right w:val="single" w:color="auto" w:sz="6" w:space="0"/>
            </w:tcBorders>
            <w:tcW w:w="663"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组</w:t>
            </w:r>
            <w:r/>
          </w:p>
        </w:tc>
        <w:tc>
          <w:tcPr>
            <w:gridSpan w:val="2"/>
            <w:tcBorders>
              <w:top w:val="single" w:color="auto" w:sz="6" w:space="0"/>
              <w:left w:val="single" w:color="auto" w:sz="6" w:space="0"/>
              <w:bottom w:val="none" w:color="000000" w:sz="4" w:space="0"/>
              <w:right w:val="single" w:color="auto" w:sz="6" w:space="0"/>
            </w:tcBorders>
            <w:tcW w:w="638"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150</w:t>
            </w:r>
            <w:r/>
          </w:p>
        </w:tc>
        <w:tc>
          <w:tcPr>
            <w:tcBorders>
              <w:top w:val="single" w:color="auto" w:sz="6" w:space="0"/>
              <w:left w:val="single" w:color="auto" w:sz="6" w:space="0"/>
              <w:bottom w:val="none" w:color="000000" w:sz="4"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360000.00</w:t>
            </w:r>
            <w:r/>
          </w:p>
        </w:tc>
      </w:tr>
      <w:tr>
        <w:trPr>
          <w:jc w:val="center"/>
          <w:trHeight w:val="56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★横向连接梁</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1.0mm，与立柱无间隙连接，</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4道弯。</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8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★纵向连接梁</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3道折弯。</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1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行车导轨</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275g）矩形管；30×60×2mm。</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3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粪带托梁</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板材厚0.8mm/U型结构/3道折弯/SUS304不锈钢。</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食槽托架</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1.5/2.0mm。</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66"/>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★鹅鸭互换调节件</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用于调节鹅蛋和鸭蛋漏蛋间隙</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0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PVC/小平/外沿加高；食槽内增加隔板：防止鸭只跨笼位采食。</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259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★笼网总成</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顶网丝径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2.0mm；横向隔网丝径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保证</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不卡鸭头。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纵向间隔网丝径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2.5mm；网格做加密处置，保证伸不出鸭头。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底网：丝径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2.0mm；网格做加密处置。</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笼门：丝径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5.0/4.0mm；网格做加密处置；一处采食口；笼门防伤鸭设计，避免伤鸭；采用左右推拉式大开门，配置笼门开关固定卡。</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全部采用镀锌铝镁Q235钢丝；要求丝径、交叉点、焊接点光滑无麻点。</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PVC</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挡粪板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S型/厚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3.5mm，2道加强筋（高15mm），与食槽无间隙搭接。</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6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防漏粪装置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both"/>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PVC/L型挡粪板+尼龙卡扣（或螺丝）。</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0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防护管</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both"/>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下层配置（</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热镀锌管</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规格</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φ32×1.3mm。</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标准件</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both"/>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紧固标准件</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：强力螺栓、防褪螺母、卡簧、卡</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钩</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等，均需</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采用SUS304不锈钢材质。</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厂家根据笼具框架配套方案，自行适配标准件的型号。</w:t>
            </w:r>
            <w:r/>
          </w:p>
        </w:tc>
        <w:tc>
          <w:tcPr>
            <w:gridSpan w:val="2"/>
            <w:tcBorders>
              <w:top w:val="none" w:color="000000" w:sz="4"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清粪系统</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423"/>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★机头+机尾</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机头框架要求使用厚度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热镀锌板材；机尾框架要求使用厚度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热镀锌板材；电机功率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ascii="宋体" w:hAnsi="宋体" w:eastAsia="宋体" w:cs="宋体"/>
                <w:color w:val="000000" w:themeColor="text1"/>
                <w:sz w:val="21"/>
                <w:szCs w:val="21"/>
                <w:highlight w:val="none"/>
                <w:lang w:bidi="ar-SA"/>
                <w14:textFill>
                  <w14:solidFill>
                    <w14:schemeClr w14:val="tx1"/>
                  </w14:solidFill>
                </w14:textFill>
              </w:rPr>
              <w:t xml:space="preserve">。要求配套安全防护装置（如防夹手装置）。机头配置防粪带跑偏装置</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包含：螺旋驱动辊（机头）、机尾从动辊+双向张紧丝杆、侧边限位导轮】</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6</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150000.00</w:t>
            </w:r>
            <w:r/>
          </w:p>
        </w:tc>
      </w:tr>
      <w:tr>
        <w:trPr>
          <w:jc w:val="center"/>
          <w:trHeight w:val="33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材料为PP原生料</w:t>
            </w:r>
            <w:r>
              <w:rPr>
                <w:rFonts w:ascii="宋体" w:hAnsi="宋体" w:eastAsia="宋体" w:cs="宋体"/>
                <w:color w:val="000000" w:themeColor="text1"/>
                <w:sz w:val="21"/>
                <w:szCs w:val="21"/>
                <w:highlight w:val="none"/>
                <w:lang w:bidi="ar-SA"/>
                <w14:textFill>
                  <w14:solidFill>
                    <w14:schemeClr w14:val="tx1"/>
                  </w14:solidFill>
                </w14:textFill>
              </w:rPr>
              <w:t xml:space="preserve">（无再生料添加），厚度不小于1.0mm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条</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3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减速电机（380V/3KW）、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控制箱、电源线、固定件、线材耗材等。</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0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斜向清粪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减速电机（380V/3KW）、PE输送管、</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控制箱、电源线、固定件、线材耗材等。</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0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粪沟盖板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275g）碳钢板，长14.5m*宽0.8m*厚度2.5mm。</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★控制系统总成</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喷塑电箱/8路输出（用于控制5路纵向+2路横斜向）</w:t>
            </w:r>
            <w:r>
              <w:rPr>
                <w:rFonts w:ascii="宋体" w:hAnsi="宋体" w:eastAsia="宋体" w:cs="宋体"/>
                <w:color w:val="000000" w:themeColor="text1"/>
                <w:sz w:val="21"/>
                <w:szCs w:val="21"/>
                <w:highlight w:val="none"/>
                <w:lang w:bidi="ar-SA"/>
                <w14:textFill>
                  <w14:solidFill>
                    <w14:schemeClr w14:val="tx1"/>
                  </w14:solidFill>
                </w14:textFill>
              </w:rPr>
              <w:t xml:space="preserve">；要求配备</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遥控器（远程）+按钮</w:t>
            </w:r>
            <w:r>
              <w:rPr>
                <w:rFonts w:ascii="宋体" w:hAnsi="宋体" w:eastAsia="宋体" w:cs="宋体"/>
                <w:color w:val="000000" w:themeColor="text1"/>
                <w:sz w:val="21"/>
                <w:szCs w:val="21"/>
                <w:highlight w:val="none"/>
                <w:lang w:bidi="ar-SA"/>
                <w14:textFill>
                  <w14:solidFill>
                    <w14:schemeClr w14:val="tx1"/>
                  </w14:solidFill>
                </w14:textFill>
              </w:rPr>
              <w:t xml:space="preserve">式开关</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，配总急停开关。</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33"/>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纵向带电源线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w:t>
            </w:r>
            <w:r>
              <w:rPr>
                <w:rFonts w:ascii="宋体" w:hAnsi="宋体" w:eastAsia="宋体" w:cs="宋体"/>
                <w:color w:val="000000" w:themeColor="text1"/>
                <w:sz w:val="21"/>
                <w:szCs w:val="21"/>
                <w:highlight w:val="none"/>
                <w:lang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RVV。</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200</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7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横/斜向电源线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风机总成</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0"/>
                <w:highlight w:val="none"/>
                <w:lang w:val="en-US" w:eastAsia="zh-CN" w:bidi="ar-SA"/>
                <w14:textFill>
                  <w14:solidFill>
                    <w14:schemeClr w14:val="tx1"/>
                  </w14:solidFill>
                </w14:textFill>
              </w:rPr>
              <w:t xml:space="preserve">预算合计（元）</w:t>
            </w:r>
            <w:r/>
          </w:p>
        </w:tc>
      </w:tr>
      <w:tr>
        <w:trPr>
          <w:jc w:val="center"/>
          <w:trHeight w:val="27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★高负压风机</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50吋</w:t>
            </w:r>
            <w:r>
              <w:rPr>
                <w:rFonts w:ascii="宋体" w:hAnsi="宋体" w:eastAsia="宋体" w:cs="宋体"/>
                <w:color w:val="000000" w:themeColor="text1"/>
                <w:sz w:val="21"/>
                <w:szCs w:val="21"/>
                <w:highlight w:val="none"/>
                <w:lang w:bidi="ar-SA"/>
                <w14:textFill>
                  <w14:solidFill>
                    <w14:schemeClr w14:val="tx1"/>
                  </w14:solidFill>
                </w14:textFill>
              </w:rPr>
              <w:t xml:space="preserve">（1380*1380mm）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/304不锈钢扇叶/275热镀锌镀锌板/百叶窗。</w:t>
            </w:r>
            <w:r>
              <w:rPr>
                <w:rFonts w:ascii="宋体" w:hAnsi="宋体" w:eastAsia="宋体" w:cs="宋体"/>
                <w:color w:val="000000" w:themeColor="text1"/>
                <w:sz w:val="21"/>
                <w:szCs w:val="21"/>
                <w:highlight w:val="none"/>
                <w:lang w:bidi="ar-SA"/>
                <w14:textFill>
                  <w14:solidFill>
                    <w14:schemeClr w14:val="tx1"/>
                  </w14:solidFill>
                </w14:textFill>
              </w:rPr>
              <w:t xml:space="preserve">要求0Pa时排风量</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36000m³/</w:t>
            </w:r>
            <w:r>
              <w:rPr>
                <w:rFonts w:ascii="宋体" w:hAnsi="宋体" w:eastAsia="宋体" w:cs="宋体"/>
                <w:color w:val="000000" w:themeColor="text1"/>
                <w:sz w:val="21"/>
                <w:szCs w:val="21"/>
                <w:highlight w:val="none"/>
                <w:lang w:bidi="ar-SA"/>
                <w14:textFill>
                  <w14:solidFill>
                    <w14:schemeClr w14:val="tx1"/>
                  </w14:solidFill>
                </w14:textFill>
              </w:rPr>
              <w:t xml:space="preserve">h。</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8</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15000.00</w:t>
            </w:r>
            <w:r/>
          </w:p>
        </w:tc>
      </w:tr>
      <w:tr>
        <w:trPr>
          <w:jc w:val="center"/>
          <w:trHeight w:val="43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遮光罩</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每台风机配置一台适配的风机遮光罩。</w:t>
            </w:r>
            <w:r>
              <w:rPr>
                <w:rFonts w:ascii="宋体" w:hAnsi="宋体" w:eastAsia="宋体" w:cs="宋体"/>
                <w:color w:val="000000" w:themeColor="text1"/>
                <w:sz w:val="21"/>
                <w:szCs w:val="21"/>
                <w:highlight w:val="none"/>
                <w:lang w:bidi="ar-SA"/>
                <w14:textFill>
                  <w14:solidFill>
                    <w14:schemeClr w14:val="tx1"/>
                  </w14:solidFill>
                </w14:textFill>
              </w:rPr>
              <w:t xml:space="preserve">要求遮光率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95％。</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8</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6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国标3*-1.0RVV。</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米</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200</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聚氨酯发泡胶/阻燃。</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箱</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湿帘总成</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★外挂降温湿帘</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PVC深水槽；7090波/150mm厚/铝合金边框/双面304不锈钢防鼠网。每间隔3米增加一根竖支撑。</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45</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16000.00</w:t>
            </w:r>
            <w:r/>
          </w:p>
        </w:tc>
      </w:tr>
      <w:tr>
        <w:trPr>
          <w:jc w:val="center"/>
          <w:trHeight w:val="431"/>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潜水泵</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220V/550W，含进出水配件、软连接等</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5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国标2*1护套。</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100</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外循环</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含水帘用过滤器、固定件等配件。</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45</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导风板总成</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149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双面纳米膜（铁板厚度≥0.3mm，纳米膜厚度≥74um</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，厚</w:t>
            </w:r>
            <w:r>
              <w:rPr>
                <w:rFonts w:ascii="宋体" w:hAnsi="宋体" w:eastAsia="宋体" w:cs="宋体"/>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50mmEPS夹芯（耐火等级≥B2级）。</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铝合金包边，插槽式EPDM发泡/发泡/中空密封条。</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导风板联动拉杆为M4mm热镀锌钢丝。</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框架为热浸锌方管，</w:t>
            </w: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中间宽度不</w:t>
            </w:r>
            <w:r>
              <w:rPr>
                <w:rFonts w:hint="eastAsia" w:ascii="宋体" w:hAnsi="宋体" w:eastAsia="宋体" w:cs="宋体"/>
                <w:color w:val="000000" w:themeColor="text1"/>
                <w:sz w:val="21"/>
                <w:szCs w:val="21"/>
                <w:highlight w:val="none"/>
                <w:u w:val="none"/>
                <w:lang w:eastAsia="zh-CN" w:bidi="ar-SA"/>
                <w14:textFill>
                  <w14:solidFill>
                    <w14:schemeClr w14:val="tx1"/>
                  </w14:solidFill>
                </w14:textFill>
              </w:rPr>
              <w:t xml:space="preserve">低于</w:t>
            </w: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120mm。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42</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18000.00</w:t>
            </w:r>
            <w:r/>
          </w:p>
        </w:tc>
      </w:tr>
      <w:tr>
        <w:trPr>
          <w:jc w:val="center"/>
          <w:trHeight w:val="85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72"/>
        </w:trPr>
        <w:tc>
          <w:tcPr>
            <w:tcBorders>
              <w:top w:val="single" w:color="auto" w:sz="6" w:space="0"/>
              <w:left w:val="single" w:color="auto" w:sz="12" w:space="0"/>
              <w:bottom w:val="single" w:color="auto" w:sz="6" w:space="0"/>
              <w:right w:val="single" w:color="auto" w:sz="12"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Borders>
              <w:top w:val="single" w:color="auto" w:sz="6" w:space="0"/>
              <w:left w:val="single" w:color="auto" w:sz="12"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进风窗总成</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25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★通风小窗</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规格：550*260mm，配导风板、防鸟网；配遮光罩（小）</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耗材：</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44</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10000.00</w:t>
            </w:r>
            <w:r/>
          </w:p>
        </w:tc>
      </w:tr>
      <w:tr>
        <w:trPr>
          <w:jc w:val="center"/>
          <w:trHeight w:val="85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9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9</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照明系统</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★养殖专用灯管</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DC/48V/4-5W/3000K/IP67。</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根</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126</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10000.00</w:t>
            </w:r>
            <w:r/>
          </w:p>
        </w:tc>
      </w:tr>
      <w:tr>
        <w:trPr>
          <w:jc w:val="center"/>
          <w:trHeight w:val="429"/>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调光箱</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可实现0-100％手、自动</w:t>
            </w:r>
            <w:r>
              <w:rPr>
                <w:rFonts w:hint="eastAsia" w:ascii="宋体" w:hAnsi="宋体" w:eastAsia="宋体" w:cs="宋体"/>
                <w:b/>
                <w:bCs/>
                <w:color w:val="000000" w:themeColor="text1"/>
                <w:sz w:val="21"/>
                <w:szCs w:val="21"/>
                <w:highlight w:val="none"/>
                <w:lang w:eastAsia="zh-CN" w:bidi="ar-SA"/>
                <w14:textFill>
                  <w14:solidFill>
                    <w14:schemeClr w14:val="tx1"/>
                  </w14:solidFill>
                </w14:textFill>
              </w:rPr>
              <w:t xml:space="preserve">线性</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控光。</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国标2*1.5护套</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200</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吊装器材、线材</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M45mm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w:t>
            </w:r>
            <w:r>
              <w:rPr>
                <w:rFonts w:ascii="宋体" w:hAnsi="宋体" w:eastAsia="宋体" w:cs="宋体"/>
                <w:color w:val="000000" w:themeColor="text1"/>
                <w:sz w:val="21"/>
                <w:szCs w:val="21"/>
                <w:highlight w:val="none"/>
                <w:lang w:bidi="ar-SA"/>
                <w14:textFill>
                  <w14:solidFill>
                    <w14:schemeClr w14:val="tx1"/>
                  </w14:solidFill>
                </w14:textFill>
              </w:rPr>
              <w:t xml:space="preserve">尼龙</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扎带、丝杆、管卡、水泥钉等耗材。</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350</w:t>
            </w:r>
            <w:r/>
          </w:p>
        </w:tc>
        <w:tc>
          <w:tcPr>
            <w:tcBorders>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10</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智能环控系统</w:t>
            </w:r>
            <w:r/>
          </w:p>
        </w:tc>
      </w:tr>
      <w:tr>
        <w:trPr>
          <w:jc w:val="center"/>
          <w:trHeight w:val="493"/>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454"/>
        </w:trPr>
        <w:tc>
          <w:tcPr>
            <w:tcBorders>
              <w:top w:val="single" w:color="auto" w:sz="6" w:space="0"/>
              <w:left w:val="single" w:color="auto" w:sz="12" w:space="0"/>
              <w:bottom w:val="none" w:color="000000" w:sz="4" w:space="0"/>
              <w:right w:val="single" w:color="auto" w:sz="6" w:space="0"/>
            </w:tcBorders>
            <w:tcW w:w="1934"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★环境控制器主机+主箱+风机控制箱</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ascii="宋体" w:hAnsi="宋体" w:eastAsia="宋体" w:cs="宋体"/>
                <w:color w:val="000000" w:themeColor="text1"/>
                <w:sz w:val="21"/>
                <w:szCs w:val="21"/>
                <w:highlight w:val="none"/>
                <w:lang w:val="en-US"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不少于20</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个继电器输出，10</w:t>
            </w:r>
            <w:r>
              <w:rPr>
                <w:rFonts w:ascii="宋体" w:hAnsi="宋体" w:eastAsia="宋体" w:cs="宋体"/>
                <w:color w:val="000000" w:themeColor="text1"/>
                <w:sz w:val="21"/>
                <w:szCs w:val="21"/>
                <w:highlight w:val="none"/>
                <w:lang w:bidi="ar-SA"/>
                <w14:textFill>
                  <w14:solidFill>
                    <w14:schemeClr w14:val="tx1"/>
                  </w14:solidFill>
                </w14:textFill>
              </w:rPr>
              <w:t xml:space="preserve">英寸液晶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显示屏，页面要求：风机位置与开关状态一目了然。</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含物联网种鸭养殖管理系统。含终端显示器一台。</w:t>
            </w:r>
            <w:r/>
          </w:p>
        </w:tc>
        <w:tc>
          <w:tcPr>
            <w:gridSpan w:val="2"/>
            <w:tcBorders>
              <w:top w:val="single" w:color="auto" w:sz="6" w:space="0"/>
              <w:left w:val="single" w:color="auto" w:sz="6" w:space="0"/>
              <w:bottom w:val="none" w:color="000000" w:sz="4" w:space="0"/>
              <w:right w:val="single" w:color="auto" w:sz="6" w:space="0"/>
            </w:tcBorders>
            <w:tcW w:w="663"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none" w:color="000000" w:sz="4" w:space="0"/>
              <w:right w:val="single" w:color="auto" w:sz="6" w:space="0"/>
            </w:tcBorders>
            <w:tcW w:w="638"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bottom w:val="none" w:color="000000" w:sz="4"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65000.00</w:t>
            </w:r>
            <w:r/>
          </w:p>
        </w:tc>
      </w:tr>
      <w:tr>
        <w:trPr>
          <w:jc w:val="center"/>
          <w:trHeight w:val="469"/>
        </w:trPr>
        <w:tc>
          <w:tcPr>
            <w:tcBorders>
              <w:top w:val="none" w:color="000000" w:sz="4" w:space="0"/>
              <w:left w:val="single" w:color="auto" w:sz="12" w:space="0"/>
              <w:bottom w:val="none" w:color="000000" w:sz="4" w:space="0"/>
              <w:right w:val="single" w:color="auto" w:sz="6" w:space="0"/>
            </w:tcBorders>
            <w:tcW w:w="193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配置4个温度传感器、1个湿度传感器、1套负压变送器。</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tcBorders>
              <w:top w:val="none" w:color="000000" w:sz="4" w:space="0"/>
              <w:left w:val="single" w:color="auto" w:sz="12" w:space="0"/>
              <w:bottom w:val="none" w:color="000000" w:sz="4" w:space="0"/>
              <w:right w:val="single" w:color="auto" w:sz="6" w:space="0"/>
            </w:tcBorders>
            <w:tcW w:w="193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6" w:type="dxa"/>
            <w:vAlign w:val="bottom"/>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实现湿热补偿自由设置或智能算法；支持连接局域网、互联网。</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tcBorders>
              <w:top w:val="none" w:color="000000" w:sz="4" w:space="0"/>
              <w:left w:val="single" w:color="auto" w:sz="12" w:space="0"/>
              <w:bottom w:val="none" w:color="000000" w:sz="4" w:space="0"/>
              <w:right w:val="single" w:color="auto" w:sz="6" w:space="0"/>
            </w:tcBorders>
            <w:tcW w:w="193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不少于40个通风级别，可通过手动、时控、温控等途径，自由选择风机位置和每一级别风机数量。</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tcBorders>
              <w:top w:val="none" w:color="000000" w:sz="4" w:space="0"/>
              <w:left w:val="single" w:color="auto" w:sz="12" w:space="0"/>
              <w:bottom w:val="none" w:color="000000" w:sz="4" w:space="0"/>
              <w:right w:val="single" w:color="auto" w:sz="6" w:space="0"/>
            </w:tcBorders>
            <w:tcW w:w="193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可手、自动控制供暖、降温、通风、照明、喷雾等相关环控设备。</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31"/>
        </w:trPr>
        <w:tc>
          <w:tcPr>
            <w:tcBorders>
              <w:top w:val="none" w:color="000000" w:sz="4" w:space="0"/>
              <w:left w:val="single" w:color="auto" w:sz="12" w:space="0"/>
              <w:bottom w:val="none" w:color="000000" w:sz="4" w:space="0"/>
              <w:right w:val="single" w:color="auto" w:sz="6" w:space="0"/>
            </w:tcBorders>
            <w:tcW w:w="193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配置避雷装置，抗6000V瞬间（雷击）电压。</w:t>
            </w:r>
            <w:r/>
          </w:p>
        </w:tc>
        <w:tc>
          <w:tcPr>
            <w:gridSpan w:val="2"/>
            <w:tcBorders>
              <w:top w:val="none" w:color="000000" w:sz="4" w:space="0"/>
              <w:left w:val="single" w:color="auto" w:sz="6" w:space="0"/>
              <w:bottom w:val="none" w:color="000000" w:sz="4"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none" w:color="000000" w:sz="4"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15"/>
        </w:trPr>
        <w:tc>
          <w:tcPr>
            <w:tcBorders>
              <w:top w:val="none" w:color="000000" w:sz="4" w:space="0"/>
              <w:left w:val="single" w:color="auto" w:sz="12" w:space="0"/>
              <w:bottom w:val="single" w:color="auto" w:sz="6" w:space="0"/>
              <w:right w:val="single" w:color="auto" w:sz="6" w:space="0"/>
            </w:tcBorders>
            <w:tcW w:w="193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喷塑或304不锈钢电箱</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tcBorders>
              <w:top w:val="none" w:color="000000" w:sz="4"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none" w:color="000000" w:sz="4"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41"/>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综合布局线</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39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主电缆</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3*10+1RVV。</w:t>
            </w:r>
            <w:r/>
          </w:p>
        </w:tc>
        <w:tc>
          <w:tcPr>
            <w:gridSpan w:val="2"/>
            <w:tcBorders>
              <w:top w:val="single" w:color="auto" w:sz="6" w:space="0"/>
              <w:left w:val="single" w:color="auto" w:sz="6" w:space="0"/>
              <w:bottom w:val="single" w:color="auto" w:sz="6" w:space="0"/>
              <w:right w:val="single" w:color="auto" w:sz="6" w:space="0"/>
            </w:tcBorders>
            <w:tcW w:w="663"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shd w:val="clear" w:color="auto" w:fill="auto"/>
            <w:tcBorders>
              <w:top w:val="single" w:color="auto" w:sz="6" w:space="0"/>
              <w:left w:val="single" w:color="auto" w:sz="6" w:space="0"/>
              <w:bottom w:val="none" w:color="000000" w:sz="4" w:space="0"/>
              <w:right w:val="single" w:color="auto" w:sz="6" w:space="0"/>
            </w:tcBorders>
            <w:tcW w:w="638"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10000.00</w:t>
            </w:r>
            <w:r/>
          </w:p>
        </w:tc>
      </w:tr>
      <w:tr>
        <w:trPr>
          <w:jc w:val="center"/>
          <w:trHeight w:val="39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信号电缆线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国标2*0.3双绞屏蔽</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9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控制电缆线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*0.3RVV</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9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接地电缆线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国标BVR4。</w:t>
            </w:r>
            <w:r/>
          </w:p>
        </w:tc>
        <w:tc>
          <w:tcPr>
            <w:gridSpan w:val="2"/>
            <w:tcBorders>
              <w:top w:val="single" w:color="auto" w:sz="6"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9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联箱电缆线</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3*10+1RVV。</w:t>
            </w:r>
            <w:r/>
          </w:p>
        </w:tc>
        <w:tc>
          <w:tcPr>
            <w:gridSpan w:val="2"/>
            <w:tcBorders>
              <w:top w:val="single" w:color="auto" w:sz="6"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97"/>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线材、耗材</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2"/>
            <w:tcBorders>
              <w:top w:val="single" w:color="auto" w:sz="6" w:space="0"/>
              <w:left w:val="single" w:color="auto" w:sz="6" w:space="0"/>
              <w:bottom w:val="single" w:color="auto" w:sz="6" w:space="0"/>
              <w:right w:val="single" w:color="auto" w:sz="6" w:space="0"/>
            </w:tcBorders>
            <w:tcW w:w="663"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none" w:color="000000" w:sz="4" w:space="0"/>
              <w:left w:val="single" w:color="auto" w:sz="6" w:space="0"/>
              <w:bottom w:val="none" w:color="000000" w:sz="4" w:space="0"/>
              <w:right w:val="single" w:color="auto" w:sz="6" w:space="0"/>
            </w:tcBorders>
            <w:tcW w:w="63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喷雾系统</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375"/>
        </w:trPr>
        <w:tc>
          <w:tcPr>
            <w:shd w:val="clear" w:color="auto" w:fill="ffffff"/>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前端供水</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M25/PVC给水管、过滤器、管件、阀门、软连接等。</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right w:val="single" w:color="auto" w:sz="12" w:space="0"/>
            </w:tcBorders>
            <w:tcW w:w="1192"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9000.00</w:t>
            </w:r>
            <w:r/>
          </w:p>
        </w:tc>
      </w:tr>
      <w:tr>
        <w:trPr>
          <w:jc w:val="center"/>
          <w:trHeight w:val="40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rPr>
                <w:rFonts w:ascii="宋体" w:hAnsi="宋体" w:eastAsia="宋体" w:cs="宋体"/>
                <w:color w:val="000000" w:themeColor="text1"/>
                <w:sz w:val="21"/>
                <w:szCs w:val="21"/>
                <w:highlight w:val="none"/>
                <w:lang w:bidi="ar-SA"/>
                <w14:textFill>
                  <w14:solidFill>
                    <w14:schemeClr w14:val="tx1"/>
                  </w14:solidFill>
                </w14:textFill>
              </w:rPr>
              <w:t xml:space="preserve">，含</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防水明盒、线材耗材</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9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★主机</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380V/3</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雾线主机（时控+手动），含出水配件</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4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★高压雾管</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PE/DN9.52高压胶管（耐压100KG）（4列/栋）</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260</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1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铜镀镍四通+5030喷嘴（株距3m）</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68</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6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喷雾线配件</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铜镀镍弯头、堵头等</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00"/>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吊装材料</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塑钢线、扎带、丝杆、绞盘等</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bottom w:val="single" w:color="auto" w:sz="6" w:space="0"/>
              <w:right w:val="single" w:color="auto" w:sz="12" w:space="0"/>
            </w:tcBorders>
            <w:tcW w:w="1192"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其他</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操作车</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w:t>
            </w:r>
            <w:r>
              <w:rPr>
                <w:rFonts w:ascii="宋体" w:hAnsi="宋体" w:eastAsia="宋体" w:cs="宋体"/>
                <w:color w:val="000000" w:themeColor="text1"/>
                <w:sz w:val="21"/>
                <w:szCs w:val="21"/>
                <w:highlight w:val="none"/>
                <w:lang w:bidi="ar-SA"/>
                <w14:textFill>
                  <w14:solidFill>
                    <w14:schemeClr w14:val="tx1"/>
                  </w14:solidFill>
                </w14:textFill>
              </w:rPr>
              <w:t xml:space="preserve">瓶功率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400W</w:t>
            </w:r>
            <w:r>
              <w:rPr>
                <w:rFonts w:ascii="宋体" w:hAnsi="宋体" w:eastAsia="宋体" w:cs="宋体"/>
                <w:color w:val="000000" w:themeColor="text1"/>
                <w:sz w:val="21"/>
                <w:szCs w:val="21"/>
                <w:highlight w:val="none"/>
                <w:lang w:bidi="ar-SA"/>
                <w14:textFill>
                  <w14:solidFill>
                    <w14:schemeClr w14:val="tx1"/>
                  </w14:solidFill>
                </w14:textFill>
              </w:rPr>
              <w:t xml:space="preserve">、留充电口或充电线</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4轮直驱，前后端均可进行转向操作，操作立面（台阶）3层/最高处台阶高900mm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长1200 *宽600 mm；车架总承重</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00KG</w:t>
            </w:r>
            <w:r>
              <w:rPr>
                <w:rFonts w:ascii="宋体" w:hAnsi="宋体" w:eastAsia="宋体" w:cs="宋体"/>
                <w:color w:val="000000" w:themeColor="text1"/>
                <w:sz w:val="21"/>
                <w:szCs w:val="21"/>
                <w:highlight w:val="none"/>
                <w:lang w:bidi="ar-SA"/>
                <w14:textFill>
                  <w14:solidFill>
                    <w14:schemeClr w14:val="tx1"/>
                  </w14:solidFill>
                </w14:textFill>
              </w:rPr>
              <w:t xml:space="preserve">，车架做防腐处理（镀锌或喷塑）</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2500</w:t>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14.运费及安装费</w:t>
            </w:r>
            <w:r/>
          </w:p>
        </w:tc>
      </w:tr>
      <w:tr>
        <w:trPr>
          <w:jc w:val="center"/>
          <w:trHeight w:val="56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运费</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运费包含备料、库管、运输、搬运、装卸等所有项目</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left"/>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22000.00</w:t>
            </w:r>
            <w:r/>
          </w:p>
        </w:tc>
      </w:tr>
      <w:tr>
        <w:trPr>
          <w:jc w:val="center"/>
          <w:trHeight w:val="565"/>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安装费</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安装费包含勘测、设计、测试、量产、安装、调试、售后等所有项目</w:t>
            </w:r>
            <w:r/>
          </w:p>
        </w:tc>
        <w:tc>
          <w:tcPr>
            <w:gridSpan w:val="2"/>
            <w:tcBorders>
              <w:top w:val="single" w:color="auto" w:sz="6" w:space="0"/>
              <w:left w:val="single" w:color="auto" w:sz="6" w:space="0"/>
              <w:bottom w:val="single" w:color="auto" w:sz="6" w:space="0"/>
              <w:right w:val="single" w:color="auto" w:sz="6" w:space="0"/>
            </w:tcBorders>
            <w:tcW w:w="663"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gridSpan w:val="2"/>
            <w:shd w:val="clear" w:color="auto" w:fill="auto"/>
            <w:tcBorders>
              <w:top w:val="single" w:color="auto" w:sz="6" w:space="0"/>
              <w:left w:val="single" w:color="auto" w:sz="6" w:space="0"/>
              <w:bottom w:val="single" w:color="auto" w:sz="6" w:space="0"/>
              <w:right w:val="single" w:color="auto" w:sz="6" w:space="0"/>
            </w:tcBorders>
            <w:tcW w:w="63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19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125500.00</w:t>
            </w:r>
            <w:r/>
          </w:p>
        </w:tc>
      </w:tr>
      <w:tr>
        <w:trPr>
          <w:jc w:val="center"/>
          <w:trHeight w:val="454"/>
        </w:trPr>
        <w:tc>
          <w:tcPr>
            <w:gridSpan w:val="7"/>
            <w:shd w:val="clear" w:color="auto" w:fill="eeece1"/>
            <w:tcBorders>
              <w:top w:val="single" w:color="auto" w:sz="6" w:space="0"/>
              <w:left w:val="single" w:color="auto" w:sz="12" w:space="0"/>
              <w:bottom w:val="single" w:color="auto" w:sz="6" w:space="0"/>
              <w:right w:val="single" w:color="auto" w:sz="12" w:space="0"/>
            </w:tcBorders>
            <w:tcW w:w="10683"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预算合计</w:t>
            </w:r>
            <w:r/>
          </w:p>
        </w:tc>
      </w:tr>
      <w:tr>
        <w:trPr>
          <w:jc w:val="center"/>
          <w:trHeight w:val="454"/>
        </w:trPr>
        <w:tc>
          <w:tcPr>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center"/>
              <w:keepLines w:val="0"/>
              <w:keepNext w:val="0"/>
              <w:pageBreakBefore w:val="0"/>
              <w:spacing w:after="0" w:line="0" w:lineRule="atLeast"/>
              <w:widowControl/>
              <w:tabs>
                <w:tab w:val="left" w:pos="1644" w:leader="none"/>
              </w:tabs>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c>
          <w:tcPr>
            <w:gridSpan w:val="5"/>
            <w:tcBorders>
              <w:top w:val="single" w:color="auto" w:sz="6" w:space="0"/>
              <w:left w:val="single" w:color="auto" w:sz="6" w:space="0"/>
              <w:bottom w:val="single" w:color="auto" w:sz="6" w:space="0"/>
              <w:right w:val="single" w:color="auto" w:sz="12" w:space="0"/>
            </w:tcBorders>
            <w:tcW w:w="249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454"/>
        </w:trPr>
        <w:tc>
          <w:tcPr>
            <w:shd w:val="clear" w:color="auto" w:fill="auto"/>
            <w:tcBorders>
              <w:top w:val="single" w:color="auto" w:sz="6" w:space="0"/>
              <w:left w:val="single" w:color="auto" w:sz="12" w:space="0"/>
              <w:bottom w:val="single" w:color="auto" w:sz="6" w:space="0"/>
              <w:right w:val="single" w:color="auto" w:sz="6" w:space="0"/>
            </w:tcBorders>
            <w:tcW w:w="193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以上合计</w:t>
            </w:r>
            <w:r/>
          </w:p>
        </w:tc>
        <w:tc>
          <w:tcPr>
            <w:shd w:val="clear" w:color="auto" w:fill="auto"/>
            <w:tcBorders>
              <w:top w:val="single" w:color="auto" w:sz="6" w:space="0"/>
              <w:left w:val="single" w:color="auto" w:sz="6" w:space="0"/>
              <w:bottom w:val="single" w:color="auto" w:sz="6" w:space="0"/>
              <w:right w:val="single" w:color="auto" w:sz="6" w:space="0"/>
            </w:tcBorders>
            <w:tcW w:w="6256"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含增值税发票</w:t>
            </w:r>
            <w:r/>
          </w:p>
        </w:tc>
        <w:tc>
          <w:tcPr>
            <w:gridSpan w:val="5"/>
            <w:shd w:val="clear" w:color="auto" w:fill="auto"/>
            <w:tcBorders>
              <w:top w:val="single" w:color="auto" w:sz="6" w:space="0"/>
              <w:left w:val="single" w:color="auto" w:sz="6" w:space="0"/>
              <w:bottom w:val="single" w:color="auto" w:sz="6" w:space="0"/>
              <w:right w:val="single" w:color="auto" w:sz="12" w:space="0"/>
            </w:tcBorders>
            <w:tcW w:w="2493"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1203000.00</w:t>
            </w:r>
            <w:r/>
          </w:p>
        </w:tc>
      </w:tr>
    </w:tbl>
    <w:p>
      <w:pP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br w:type="page" w:clear="all"/>
      </w:r>
      <w:r/>
    </w:p>
    <w:p>
      <w:pPr>
        <w:ind w:left="0"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2.公鸭舍测定舍配置、参数要求</w:t>
      </w:r>
      <w:r/>
    </w:p>
    <w:tbl>
      <w:tblPr>
        <w:tblStyle w:val="817"/>
        <w:tblW w:w="545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61"/>
        <w:gridCol w:w="29"/>
        <w:gridCol w:w="6116"/>
        <w:gridCol w:w="6"/>
        <w:gridCol w:w="642"/>
        <w:gridCol w:w="69"/>
        <w:gridCol w:w="15"/>
        <w:gridCol w:w="540"/>
        <w:gridCol w:w="100"/>
        <w:gridCol w:w="15"/>
        <w:gridCol w:w="1049"/>
        <w:gridCol w:w="2"/>
      </w:tblGrid>
      <w:tr>
        <w:trPr>
          <w:gridAfter w:val="1"/>
          <w:jc w:val="center"/>
          <w:trHeight w:val="454"/>
        </w:trPr>
        <w:tc>
          <w:tcPr>
            <w:gridSpan w:val="11"/>
            <w:tcBorders>
              <w:top w:val="single" w:color="auto" w:sz="12"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公鸭舍测定舍配置、参数要求</w:t>
            </w:r>
            <w:r/>
          </w:p>
        </w:tc>
      </w:tr>
      <w:tr>
        <w:trPr>
          <w:gridAfter w:val="1"/>
          <w:jc w:val="center"/>
          <w:trHeight w:val="454"/>
        </w:trPr>
        <w:tc>
          <w:tcPr>
            <w:gridSpan w:val="1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棚舍尺寸（净内）：长50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含5m棚头操作间，养殖区长45m）*宽7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*檐高2.7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r>
      <w:tr>
        <w:trPr>
          <w:gridAfter w:val="1"/>
          <w:jc w:val="center"/>
          <w:trHeight w:val="454"/>
        </w:trPr>
        <w:tc>
          <w:tcPr>
            <w:gridSpan w:val="1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笼具排列方案：2层（12个单元格）/组*25组/列*2列/栋=600个单元格。</w:t>
            </w:r>
            <w:r/>
          </w:p>
        </w:tc>
      </w:tr>
      <w:tr>
        <w:trPr>
          <w:gridAfter w:val="1"/>
          <w:jc w:val="center"/>
          <w:trHeight w:val="454"/>
        </w:trPr>
        <w:tc>
          <w:tcPr>
            <w:gridSpan w:val="1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存栏量（按照1只/单元格）：600只。</w:t>
            </w:r>
            <w:r/>
          </w:p>
        </w:tc>
      </w:tr>
      <w:tr>
        <w:trPr>
          <w:gridAfter w:val="1"/>
          <w:jc w:val="center"/>
          <w:trHeight w:val="454"/>
        </w:trPr>
        <w:tc>
          <w:tcPr>
            <w:gridSpan w:val="1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单笼尺寸：长500mm×深600mm×笼高700mm；单组尺寸：长1500mm×宽1200mm×高2100mm；笼架高2.1</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±0.05</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m。</w:t>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喂料系统</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616"/>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料塔</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容积</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4.5m³；国标热镀锌（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275g/㎡）钣金件，具备抗台风强度配置；密封等级IP65；配置缓冲（软连接）装置。</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beforeAutospacing="0" w:after="0" w:afterAutospacing="0" w:line="0" w:lineRule="atLeast"/>
              <w:widowControl/>
              <w:rPr>
                <w:rFonts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50000.00</w:t>
            </w:r>
            <w:r/>
          </w:p>
        </w:tc>
      </w:tr>
      <w:tr>
        <w:trPr>
          <w:gridAfter w:val="1"/>
          <w:jc w:val="center"/>
          <w:trHeight w:val="419"/>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辅助料箱</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w:t>
            </w:r>
            <w:r>
              <w:rPr>
                <w:rFonts w:ascii="宋体" w:hAnsi="宋体" w:eastAsia="宋体" w:cs="宋体"/>
                <w:b w:val="0"/>
                <w:bCs w:val="0"/>
                <w:color w:val="000000" w:themeColor="text1"/>
                <w:sz w:val="21"/>
                <w:szCs w:val="21"/>
                <w:highlight w:val="none"/>
                <w:u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密封指数</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IP55。</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个</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r>
            <w:r/>
          </w:p>
        </w:tc>
      </w:tr>
      <w:tr>
        <w:trPr>
          <w:gridAfter w:val="1"/>
          <w:jc w:val="center"/>
          <w:trHeight w:val="64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★称重系统</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信号传输模式（数字或模拟）根据控制器要求配置；可以实时显示饲料重量；传感器精度C3，系统精度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6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主料线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M63/PVC/国标380V/1.1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减速电机。所有固定、吊装件使用国标防腐材料；所有线缆、线材、耗材使用适配的国标、阻燃材料。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2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喂料行车</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beforeAutospacing="0" w:after="0" w:afterAutospacing="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轨道式行走布料机</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275g），</w:t>
            </w:r>
            <w:r>
              <w:rPr>
                <w:rFonts w:ascii="宋体" w:hAnsi="宋体" w:eastAsia="宋体" w:cs="宋体"/>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2.0mm。</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bottom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饮水系统</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tcBorders>
            <w:tcW w:w="1049"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1906"/>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★主供水系统+水线前后端</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含水表、减压阀、加药器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(使用适配的大流量(2.5m</w:t>
            </w:r>
            <w:r>
              <w:rPr>
                <w:rFonts w:hint="eastAsia" w:ascii="宋体" w:hAnsi="宋体" w:eastAsia="宋体" w:cs="宋体"/>
                <w:color w:val="000000" w:themeColor="text1"/>
                <w:sz w:val="21"/>
                <w:szCs w:val="21"/>
                <w:highlight w:val="none"/>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/h)自动配比比例加药器，外壳及配件要求使用耐腐蚀材料，包含适配的进出水配件)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、过滤器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(25目/防爆，密闭指数IP67，外壳及配件要求使用耐腐蚀材料，包含适配的进出水配件)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、调压器</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（耐压3MPa，铰接旋钮精准度高，密闭指数IP67，外壳及配件要求使用耐腐蚀材料，包含适配的进出水配件）、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球阀等。</w:t>
            </w:r>
            <w:r/>
          </w:p>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配套主水管缺水报警、水线自动反冲清洗、消毒等辅助装置。</w:t>
            </w:r>
            <w:r/>
          </w:p>
        </w:tc>
        <w:tc>
          <w:tcPr>
            <w:gridSpan w:val="2"/>
            <w:tcBorders>
              <w:top w:val="single" w:color="auto" w:sz="6" w:space="0"/>
              <w:left w:val="single" w:color="auto" w:sz="6" w:space="0"/>
              <w:bottom w:val="single" w:color="auto" w:sz="6" w:space="0"/>
              <w:right w:val="single" w:color="auto" w:sz="12" w:space="0"/>
            </w:tcBorders>
            <w:tcW w:w="71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tcBorders>
              <w:top w:val="single" w:color="auto" w:sz="6" w:space="0"/>
              <w:left w:val="single" w:color="auto" w:sz="6" w:space="0"/>
              <w:bottom w:val="single" w:color="auto" w:sz="6" w:space="0"/>
              <w:right w:val="single" w:color="auto" w:sz="12"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2"/>
            <w:tcBorders>
              <w:top w:val="single" w:color="auto" w:sz="6" w:space="0"/>
              <w:left w:val="single" w:color="auto" w:sz="6" w:space="0"/>
              <w:bottom w:val="single" w:color="auto" w:sz="6" w:space="0"/>
              <w:right w:val="single" w:color="auto" w:sz="12" w:space="0"/>
            </w:tcBorders>
            <w:tcW w:w="1064"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12000.00</w:t>
            </w:r>
            <w:r/>
          </w:p>
        </w:tc>
      </w:tr>
      <w:tr>
        <w:trPr>
          <w:gridAfter w:val="1"/>
          <w:jc w:val="center"/>
          <w:trHeight w:val="1089"/>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★笼内饮水系统</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22*22*壁厚2mmPVC方水管/带加强筋，双水线。</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种鸭专用小流量饮水器，360度侧击出水，</w:t>
            </w:r>
            <w:r>
              <w:rPr>
                <w:rFonts w:ascii="宋体" w:hAnsi="宋体" w:eastAsia="宋体" w:cs="宋体"/>
                <w:color w:val="000000" w:themeColor="text1"/>
                <w:sz w:val="21"/>
                <w:szCs w:val="21"/>
                <w:highlight w:val="none"/>
                <w:lang w:bidi="ar-SA"/>
                <w14:textFill>
                  <w14:solidFill>
                    <w14:schemeClr w14:val="tx1"/>
                  </w14:solidFill>
                </w14:textFill>
              </w:rPr>
              <w:t xml:space="preserve">不触碰不漏水。</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1个/笼。</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不锈钢吊绳；M3mmQ235热镀锌钢丝主吊绳。</w:t>
            </w:r>
            <w:r/>
          </w:p>
        </w:tc>
        <w:tc>
          <w:tcPr>
            <w:gridSpan w:val="2"/>
            <w:tcBorders>
              <w:top w:val="single" w:color="auto" w:sz="6" w:space="0"/>
              <w:left w:val="single" w:color="auto" w:sz="6" w:space="0"/>
              <w:bottom w:val="single" w:color="auto" w:sz="6" w:space="0"/>
              <w:right w:val="single" w:color="auto" w:sz="12" w:space="0"/>
            </w:tcBorders>
            <w:tcW w:w="711" w:type="dxa"/>
            <w:vAlign w:val="center"/>
            <w:textDirection w:val="lrTb"/>
            <w:noWrap/>
          </w:tcPr>
          <w:p>
            <w:pPr>
              <w:jc w:val="center"/>
              <w:keepLines w:val="0"/>
              <w:keepNext w:val="0"/>
              <w:pageBreakBefore w:val="0"/>
              <w:spacing w:line="0" w:lineRule="atLeast"/>
              <w:widowControl/>
              <w:rPr>
                <w:rFonts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条</w:t>
            </w:r>
            <w:r/>
          </w:p>
        </w:tc>
        <w:tc>
          <w:tcPr>
            <w:gridSpan w:val="3"/>
            <w:tcBorders>
              <w:top w:val="single" w:color="auto" w:sz="6" w:space="0"/>
              <w:left w:val="single" w:color="auto" w:sz="6" w:space="0"/>
              <w:bottom w:val="single" w:color="auto" w:sz="6" w:space="0"/>
              <w:right w:val="single" w:color="auto" w:sz="12" w:space="0"/>
            </w:tcBorders>
            <w:tcW w:w="654" w:type="dxa"/>
            <w:vAlign w:val="center"/>
            <w:textDirection w:val="lrTb"/>
            <w:noWrap/>
          </w:tcPr>
          <w:p>
            <w:pPr>
              <w:jc w:val="center"/>
              <w:keepLines w:val="0"/>
              <w:keepNext w:val="0"/>
              <w:pageBreakBefore w:val="0"/>
              <w:spacing w:line="0" w:lineRule="atLeast"/>
              <w:widowControl/>
              <w:rPr>
                <w:rFonts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8</w:t>
            </w:r>
            <w:r/>
          </w:p>
        </w:tc>
        <w:tc>
          <w:tcPr>
            <w:gridSpan w:val="2"/>
            <w:tcBorders>
              <w:top w:val="single" w:color="auto" w:sz="6" w:space="0"/>
              <w:left w:val="single" w:color="auto" w:sz="6" w:space="0"/>
              <w:bottom w:val="single" w:color="auto" w:sz="6" w:space="0"/>
              <w:right w:val="single" w:color="auto" w:sz="12" w:space="0"/>
            </w:tcBorders>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笼具系统</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291"/>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★立柱</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275g）U型结构，</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组</w:t>
            </w:r>
            <w:r/>
          </w:p>
        </w:tc>
        <w:tc>
          <w:tcPr>
            <w:gridSpan w:val="3"/>
            <w:tcBorders>
              <w:top w:val="single" w:color="auto" w:sz="6" w:space="0"/>
              <w:left w:val="single" w:color="auto" w:sz="6" w:space="0"/>
              <w:bottom w:val="single" w:color="auto" w:sz="6" w:space="0"/>
              <w:right w:val="single" w:color="auto" w:sz="6" w:space="0"/>
            </w:tcBorders>
            <w:tcW w:w="654"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90000.00</w:t>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★横向连接梁</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1.0mm，与立柱无间隙连接，≥4道弯。</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★纵向连接梁</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1.0mm，≥3道折弯。</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行车导轨</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275g）矩形管；30×60×2mm。</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粪带托梁</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板材厚0.8mm/U型结构/3道折弯/SUS304不锈钢。</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食槽托架</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1.5/2.0mm。</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PVC/小平/外沿加高；食槽内增加隔板：防止鸭只跨笼位采食。</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2326"/>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★笼网总成</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顶网丝径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2.0mm；横向隔网丝径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保证</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不卡鸭头。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纵向间隔网丝径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2.5mm；网格做加密处置，保证伸不出鸭头。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底网：</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使用PE漏粪板</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笼门：丝径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5.0/4.0mm；网格做加密处置；一处采食口；笼门防伤鸭设计，避免伤鸭；采用推拉式大开门，配置笼门开关固定卡。</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全部采用镀锌铝镁Q235钢丝；要求丝径、交叉点、焊接点光滑无麻点。</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1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PVC</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挡粪板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S型/厚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3.5mm，2道加强筋（高15mm），与食槽无间隙搭接。</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防漏粪装置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PVC/L型挡粪板+尼龙卡扣（或螺丝）。</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3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★防护管</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下层配置（</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热镀锌管</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规格</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φ32×1.3mm。</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标准件</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紧固标准件</w:t>
            </w:r>
            <w:r>
              <w:rPr>
                <w:rFonts w:ascii="宋体" w:hAnsi="宋体" w:eastAsia="宋体" w:cs="宋体"/>
                <w:color w:val="000000" w:themeColor="text1"/>
                <w:sz w:val="21"/>
                <w:szCs w:val="21"/>
                <w:highlight w:val="none"/>
                <w:lang w:bidi="ar-SA"/>
                <w14:textFill>
                  <w14:solidFill>
                    <w14:schemeClr w14:val="tx1"/>
                  </w14:solidFill>
                </w14:textFill>
              </w:rPr>
              <w:t xml:space="preserve">：强力螺栓、防褪螺母、卡簧、卡</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钩</w:t>
            </w:r>
            <w:r>
              <w:rPr>
                <w:rFonts w:ascii="宋体" w:hAnsi="宋体" w:eastAsia="宋体" w:cs="宋体"/>
                <w:color w:val="000000" w:themeColor="text1"/>
                <w:sz w:val="21"/>
                <w:szCs w:val="21"/>
                <w:highlight w:val="none"/>
                <w:lang w:bidi="ar-SA"/>
                <w14:textFill>
                  <w14:solidFill>
                    <w14:schemeClr w14:val="tx1"/>
                  </w14:solidFill>
                </w14:textFill>
              </w:rPr>
              <w:t xml:space="preserve">等，均需</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采用SUS304不锈钢材质。</w:t>
            </w:r>
            <w:r>
              <w:rPr>
                <w:rFonts w:ascii="宋体" w:hAnsi="宋体" w:eastAsia="宋体" w:cs="宋体"/>
                <w:color w:val="000000" w:themeColor="text1"/>
                <w:sz w:val="21"/>
                <w:szCs w:val="21"/>
                <w:highlight w:val="none"/>
                <w:lang w:bidi="ar-SA"/>
                <w14:textFill>
                  <w14:solidFill>
                    <w14:schemeClr w14:val="tx1"/>
                  </w14:solidFill>
                </w14:textFill>
              </w:rPr>
              <w:t xml:space="preserve">厂家根据笼具框架配套方案，自行适配标准件的型号。</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bottom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清粪系统</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★机头+机尾</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机头框架要求使用厚度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热镀锌板材；机尾框架要求使用厚度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热镀锌板材；电机功率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ascii="宋体" w:hAnsi="宋体" w:eastAsia="宋体" w:cs="宋体"/>
                <w:color w:val="000000" w:themeColor="text1"/>
                <w:sz w:val="21"/>
                <w:szCs w:val="21"/>
                <w:highlight w:val="none"/>
                <w:lang w:bidi="ar-SA"/>
                <w14:textFill>
                  <w14:solidFill>
                    <w14:schemeClr w14:val="tx1"/>
                  </w14:solidFill>
                </w14:textFill>
              </w:rPr>
              <w:t xml:space="preserve">。要求配套安全防护装置（如防夹手装置）。机头配置防粪带跑偏装置</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包含：螺旋驱动辊（机头）、机尾从动辊+双向张紧丝杆、侧边限位导轮】</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90000.00</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材料为PP原生料</w:t>
            </w:r>
            <w:r>
              <w:rPr>
                <w:rFonts w:ascii="宋体" w:hAnsi="宋体" w:eastAsia="宋体" w:cs="宋体"/>
                <w:color w:val="000000" w:themeColor="text1"/>
                <w:sz w:val="21"/>
                <w:szCs w:val="21"/>
                <w:highlight w:val="none"/>
                <w:lang w:bidi="ar-SA"/>
                <w14:textFill>
                  <w14:solidFill>
                    <w14:schemeClr w14:val="tx1"/>
                  </w14:solidFill>
                </w14:textFill>
              </w:rPr>
              <w:t xml:space="preserve">（无再生料添加），厚度不小于1.0mm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条</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33"/>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含控制箱、电源线、固定件、线材耗材等。</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line="0" w:lineRule="atLeast"/>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29"/>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斜向清粪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line="0" w:lineRule="atLeast"/>
              <w:widowControl/>
              <w:rPr>
                <w:rFonts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减速电机（380V/3KW）、PE输送管、</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控制箱、电源线、固定件、线材耗材等。</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3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粪沟盖板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275g）碳钢板，长14.5m*宽0.8m*厚度2.5mm。</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★控制系统总成</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喷塑电箱/</w:t>
            </w:r>
            <w:r>
              <w:rPr>
                <w:rFonts w:ascii="宋体" w:hAnsi="宋体" w:eastAsia="宋体" w:cs="宋体"/>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路输出（用于控制</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路纵向+2路横斜向）</w:t>
            </w:r>
            <w:r>
              <w:rPr>
                <w:rFonts w:ascii="宋体" w:hAnsi="宋体" w:eastAsia="宋体" w:cs="宋体"/>
                <w:color w:val="000000" w:themeColor="text1"/>
                <w:sz w:val="21"/>
                <w:szCs w:val="21"/>
                <w:highlight w:val="none"/>
                <w:lang w:bidi="ar-SA"/>
                <w14:textFill>
                  <w14:solidFill>
                    <w14:schemeClr w14:val="tx1"/>
                  </w14:solidFill>
                </w14:textFill>
              </w:rPr>
              <w:t xml:space="preserve">；要求配备</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遥控器（远程）+按钮</w:t>
            </w:r>
            <w:r>
              <w:rPr>
                <w:rFonts w:ascii="宋体" w:hAnsi="宋体" w:eastAsia="宋体" w:cs="宋体"/>
                <w:color w:val="000000" w:themeColor="text1"/>
                <w:sz w:val="21"/>
                <w:szCs w:val="21"/>
                <w:highlight w:val="none"/>
                <w:lang w:bidi="ar-SA"/>
                <w14:textFill>
                  <w14:solidFill>
                    <w14:schemeClr w14:val="tx1"/>
                  </w14:solidFill>
                </w14:textFill>
              </w:rPr>
              <w:t xml:space="preserve">式开关</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，配总急停开关。</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纵向带电源线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w:t>
            </w:r>
            <w:r>
              <w:rPr>
                <w:rFonts w:ascii="宋体" w:hAnsi="宋体" w:eastAsia="宋体" w:cs="宋体"/>
                <w:color w:val="000000" w:themeColor="text1"/>
                <w:sz w:val="21"/>
                <w:szCs w:val="21"/>
                <w:highlight w:val="none"/>
                <w:lang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RVV。</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横/斜向电源线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风机总成</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★高负压风机</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50吋/304不锈钢扇叶/275热镀锌镀锌板/百叶窗。</w:t>
            </w:r>
            <w:r>
              <w:rPr>
                <w:rFonts w:ascii="宋体" w:hAnsi="宋体" w:eastAsia="宋体" w:cs="宋体"/>
                <w:color w:val="000000" w:themeColor="text1"/>
                <w:sz w:val="21"/>
                <w:szCs w:val="21"/>
                <w:highlight w:val="none"/>
                <w:lang w:bidi="ar-SA"/>
                <w14:textFill>
                  <w14:solidFill>
                    <w14:schemeClr w14:val="tx1"/>
                  </w14:solidFill>
                </w14:textFill>
              </w:rPr>
              <w:t xml:space="preserve">要求0Pa时排风量</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36000m³/</w:t>
            </w:r>
            <w:r>
              <w:rPr>
                <w:rFonts w:ascii="宋体" w:hAnsi="宋体" w:eastAsia="宋体" w:cs="宋体"/>
                <w:color w:val="000000" w:themeColor="text1"/>
                <w:sz w:val="21"/>
                <w:szCs w:val="21"/>
                <w:highlight w:val="none"/>
                <w:lang w:bidi="ar-SA"/>
                <w14:textFill>
                  <w14:solidFill>
                    <w14:schemeClr w14:val="tx1"/>
                  </w14:solidFill>
                </w14:textFill>
              </w:rPr>
              <w:t xml:space="preserve">h。</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13000.00</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遮光罩</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每台风机配置一台适配的风机遮光罩。</w:t>
            </w:r>
            <w:r>
              <w:rPr>
                <w:rFonts w:ascii="宋体" w:hAnsi="宋体" w:eastAsia="宋体" w:cs="宋体"/>
                <w:color w:val="000000" w:themeColor="text1"/>
                <w:sz w:val="21"/>
                <w:szCs w:val="21"/>
                <w:highlight w:val="none"/>
                <w:lang w:bidi="ar-SA"/>
                <w14:textFill>
                  <w14:solidFill>
                    <w14:schemeClr w14:val="tx1"/>
                  </w14:solidFill>
                </w14:textFill>
              </w:rPr>
              <w:t xml:space="preserve">要求遮光率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95％。</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国标3*-1.0RVV。</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米</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80</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聚氨酯发泡胶/阻燃。</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箱</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89"/>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湿帘总成</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70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★降温湿帘</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PVC深水槽；7090波/150mm厚/铝合金边框/双面304不锈钢防鼠网。每间隔3米增加一根竖支撑。</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45</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15000.00</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潜水泵</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220V/550W，含进出水配件、软连接等</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国标2*1护套。</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100</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6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外循环</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含水帘用过滤器、固定件等配件。</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76"/>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导风板总成</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143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双面纳米膜（铁板厚度≥0.3mm，纳米膜厚度≥74um</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，厚</w:t>
            </w:r>
            <w:r>
              <w:rPr>
                <w:rFonts w:ascii="宋体" w:hAnsi="宋体" w:eastAsia="宋体" w:cs="宋体"/>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50mmEPS夹芯（耐火等级≥B2级）。</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铝合金包边，插槽式EPDM发泡/发泡/中空密封条。</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导风板联动拉杆为M4mm热镀锌钢丝。</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框架为热浸锌方管，中间宽度不</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低于</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120mm。</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42</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18000.00</w:t>
            </w:r>
            <w:r/>
          </w:p>
        </w:tc>
      </w:tr>
      <w:tr>
        <w:trPr>
          <w:gridAfter w:val="1"/>
          <w:jc w:val="center"/>
          <w:trHeight w:val="722"/>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42</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0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进风窗总成</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★通风小窗</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规格：550*260mm，配导风板、防鸟网；配遮光罩（小）</w:t>
            </w:r>
            <w:r/>
          </w:p>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32</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10000.00</w:t>
            </w:r>
            <w:r/>
          </w:p>
        </w:tc>
      </w:tr>
      <w:tr>
        <w:trPr>
          <w:gridAfter w:val="1"/>
          <w:jc w:val="center"/>
          <w:trHeight w:val="69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9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90"/>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9</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照明系统</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★养殖专用灯管</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DC/48V/4-5W/3000K/IP67。</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根</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57</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4000.00</w:t>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调光箱</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可实现0-100％手、自动</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线性</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控光。</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0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国标2*1.5护套</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60</w:t>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73"/>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吊装器材、线材</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M45mm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w:t>
            </w:r>
            <w:r>
              <w:rPr>
                <w:rFonts w:ascii="宋体" w:hAnsi="宋体" w:eastAsia="宋体" w:cs="宋体"/>
                <w:color w:val="000000" w:themeColor="text1"/>
                <w:sz w:val="21"/>
                <w:szCs w:val="21"/>
                <w:highlight w:val="none"/>
                <w:lang w:bidi="ar-SA"/>
                <w14:textFill>
                  <w14:solidFill>
                    <w14:schemeClr w14:val="tx1"/>
                  </w14:solidFill>
                </w14:textFill>
              </w:rPr>
              <w:t xml:space="preserve">尼龙</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扎带、丝杆、管卡、水泥钉等耗材。</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150</w:t>
            </w:r>
            <w:r/>
          </w:p>
        </w:tc>
        <w:tc>
          <w:tcPr>
            <w:tcBorders>
              <w:left w:val="single" w:color="auto" w:sz="6" w:space="0"/>
              <w:bottom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2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10</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智能环控系统</w:t>
            </w:r>
            <w:r/>
          </w:p>
        </w:tc>
      </w:tr>
      <w:tr>
        <w:trPr>
          <w:gridAfter w:val="1"/>
          <w:jc w:val="center"/>
          <w:trHeight w:val="479"/>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★环境控制器主机+主箱+风机控制箱</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不少于20</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个继电器输出，10</w:t>
            </w:r>
            <w:r>
              <w:rPr>
                <w:rFonts w:ascii="宋体" w:hAnsi="宋体" w:eastAsia="宋体" w:cs="宋体"/>
                <w:color w:val="000000" w:themeColor="text1"/>
                <w:sz w:val="21"/>
                <w:szCs w:val="21"/>
                <w:highlight w:val="none"/>
                <w:lang w:bidi="ar-SA"/>
                <w14:textFill>
                  <w14:solidFill>
                    <w14:schemeClr w14:val="tx1"/>
                  </w14:solidFill>
                </w14:textFill>
              </w:rPr>
              <w:t xml:space="preserve">英寸液晶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显示屏，页面要求：风机位置与开关状态一目了然。</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含物联网种鸭养殖管理系统。含终端显示器一台。</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65000.00</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配置4个温度传感器、1个湿度传感器、1套负压变送器。</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152" w:type="dxa"/>
            <w:vAlign w:val="bottom"/>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实现湿热补偿自由设置或智能算法；支持连接局域网、互联网。</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90"/>
        </w:trPr>
        <w:tc>
          <w:tcPr>
            <w:tcBorders>
              <w:top w:val="single" w:color="auto" w:sz="6" w:space="0"/>
              <w:left w:val="single" w:color="auto" w:sz="12" w:space="0"/>
              <w:bottom w:val="single" w:color="auto" w:sz="6" w:space="0"/>
              <w:right w:val="single" w:color="auto" w:sz="6" w:space="0"/>
            </w:tcBorders>
            <w:tcW w:w="1861"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不少于40个通风级别，可通过手动、时控、温控等途径，自由选择风机位置和每一级别风机数量。</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可手、自动控制供暖、降温、通风、照明、喷雾等相关环控设备。</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配置避雷装置，抗6000V瞬间（雷击）电压。</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45"/>
        </w:trPr>
        <w:tc>
          <w:tcPr>
            <w:tcBorders>
              <w:top w:val="single" w:color="auto" w:sz="6" w:space="0"/>
              <w:left w:val="single" w:color="auto" w:sz="12" w:space="0"/>
              <w:bottom w:val="single" w:color="auto" w:sz="6" w:space="0"/>
              <w:right w:val="single" w:color="auto" w:sz="6" w:space="0"/>
            </w:tcBorders>
            <w:tcW w:w="1861"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喷塑或304不锈钢电箱</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bottom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323"/>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综合布局线</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主电缆</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3*6+1RVV。</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tcBorders>
              <w:top w:val="single" w:color="auto" w:sz="6" w:space="0"/>
              <w:left w:val="single" w:color="auto" w:sz="6" w:space="0"/>
              <w:bottom w:val="single" w:color="auto" w:sz="6" w:space="0"/>
              <w:right w:val="single" w:color="auto" w:sz="6" w:space="0"/>
            </w:tcBorders>
            <w:tcW w:w="654"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right w:val="single" w:color="auto" w:sz="12" w:space="0"/>
            </w:tcBorders>
            <w:tcW w:w="1049"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10000.00</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信号电缆线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国标2*0.3双绞屏蔽</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控制电缆线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*0.3RVV</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接地电缆线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国标BVR4。</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联箱电缆线</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3*6+1RVV。</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线材、耗材</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gridSpan w:val="3"/>
            <w:tcBorders>
              <w:top w:val="single" w:color="auto" w:sz="6" w:space="0"/>
              <w:left w:val="single" w:color="auto" w:sz="6" w:space="0"/>
              <w:bottom w:val="single" w:color="auto" w:sz="6" w:space="0"/>
              <w:right w:val="single" w:color="auto" w:sz="6" w:space="0"/>
            </w:tcBorders>
            <w:tcW w:w="726"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65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left w:val="single" w:color="auto" w:sz="6" w:space="0"/>
              <w:bottom w:val="single" w:color="auto" w:sz="6" w:space="0"/>
              <w:right w:val="single" w:color="auto" w:sz="12" w:space="0"/>
            </w:tcBorders>
            <w:tcW w:w="1049"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54"/>
        </w:trPr>
        <w:tc>
          <w:tcPr>
            <w:gridSpan w:val="12"/>
            <w:shd w:val="clear" w:color="auto" w:fill="eeece1"/>
            <w:tcBorders>
              <w:top w:val="single" w:color="auto" w:sz="6" w:space="0"/>
              <w:left w:val="single" w:color="auto" w:sz="12" w:space="0"/>
              <w:bottom w:val="single" w:color="auto" w:sz="6" w:space="0"/>
              <w:right w:val="single" w:color="auto" w:sz="12" w:space="0"/>
            </w:tcBorders>
            <w:tcW w:w="104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喷雾系统</w:t>
            </w:r>
            <w:r/>
          </w:p>
        </w:tc>
      </w:tr>
      <w:tr>
        <w:trPr>
          <w:jc w:val="center"/>
          <w:trHeight w:val="454"/>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gridSpan w:val="4"/>
            <w:tcBorders>
              <w:top w:val="single" w:color="auto" w:sz="6" w:space="0"/>
              <w:left w:val="single" w:color="auto" w:sz="6" w:space="0"/>
              <w:bottom w:val="single" w:color="auto" w:sz="6" w:space="0"/>
              <w:right w:val="single" w:color="auto" w:sz="12" w:space="0"/>
            </w:tcBorders>
            <w:tcW w:w="116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jc w:val="center"/>
          <w:trHeight w:val="375"/>
        </w:trPr>
        <w:tc>
          <w:tcPr>
            <w:gridSpan w:val="2"/>
            <w:shd w:val="clear" w:color="auto" w:fill="ffffff"/>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前端供水</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M25/PVC给水管、过滤器、管件、阀门、软连接等。</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4"/>
            <w:tcBorders>
              <w:top w:val="single" w:color="auto" w:sz="6" w:space="0"/>
              <w:left w:val="single" w:color="auto" w:sz="6" w:space="0"/>
              <w:right w:val="single" w:color="auto" w:sz="12" w:space="0"/>
            </w:tcBorders>
            <w:tcW w:w="1165" w:type="dxa"/>
            <w:vAlign w:val="center"/>
            <w:vMerge w:val="restart"/>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7500.00</w:t>
            </w:r>
            <w:r/>
          </w:p>
        </w:tc>
      </w:tr>
      <w:tr>
        <w:trPr>
          <w:jc w:val="center"/>
          <w:trHeight w:val="404"/>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rPr>
                <w:rFonts w:ascii="宋体" w:hAnsi="宋体" w:eastAsia="宋体" w:cs="宋体"/>
                <w:color w:val="000000" w:themeColor="text1"/>
                <w:sz w:val="21"/>
                <w:szCs w:val="21"/>
                <w:highlight w:val="none"/>
                <w:lang w:bidi="ar-SA"/>
                <w14:textFill>
                  <w14:solidFill>
                    <w14:schemeClr w14:val="tx1"/>
                  </w14:solidFill>
                </w14:textFill>
              </w:rPr>
              <w:t xml:space="preserve">，含</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防水明盒、线材耗材</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4"/>
            <w:tcBorders>
              <w:left w:val="single" w:color="auto" w:sz="6" w:space="0"/>
              <w:right w:val="single" w:color="auto" w:sz="12" w:space="0"/>
            </w:tcBorders>
            <w:tcW w:w="116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90"/>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★主机</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380V/3</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雾线主机（时控+手动），含出水配件</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4"/>
            <w:tcBorders>
              <w:left w:val="single" w:color="auto" w:sz="6" w:space="0"/>
              <w:right w:val="single" w:color="auto" w:sz="12" w:space="0"/>
            </w:tcBorders>
            <w:tcW w:w="116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45"/>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★高压雾管</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PE/DN9.52高压胶管（耐压100KG）（</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列/栋）</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130</w:t>
            </w:r>
            <w:r/>
          </w:p>
        </w:tc>
        <w:tc>
          <w:tcPr>
            <w:gridSpan w:val="4"/>
            <w:tcBorders>
              <w:left w:val="single" w:color="auto" w:sz="6" w:space="0"/>
              <w:right w:val="single" w:color="auto" w:sz="12" w:space="0"/>
            </w:tcBorders>
            <w:tcW w:w="116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15"/>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铜镀镍四通+5030喷嘴（株距3m）</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34</w:t>
            </w:r>
            <w:r/>
          </w:p>
        </w:tc>
        <w:tc>
          <w:tcPr>
            <w:gridSpan w:val="4"/>
            <w:tcBorders>
              <w:left w:val="single" w:color="auto" w:sz="6" w:space="0"/>
              <w:right w:val="single" w:color="auto" w:sz="12" w:space="0"/>
            </w:tcBorders>
            <w:tcW w:w="116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60"/>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喷雾线配件</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铜镀镍弯头、堵头等</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4"/>
            <w:tcBorders>
              <w:left w:val="single" w:color="auto" w:sz="6" w:space="0"/>
              <w:right w:val="single" w:color="auto" w:sz="12" w:space="0"/>
            </w:tcBorders>
            <w:tcW w:w="116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300"/>
        </w:trPr>
        <w:tc>
          <w:tcPr>
            <w:gridSpan w:val="2"/>
            <w:tcBorders>
              <w:top w:val="single" w:color="auto" w:sz="6" w:space="0"/>
              <w:left w:val="single" w:color="auto" w:sz="12" w:space="0"/>
              <w:bottom w:val="single" w:color="auto" w:sz="6" w:space="0"/>
              <w:right w:val="single" w:color="auto" w:sz="6" w:space="0"/>
            </w:tcBorders>
            <w:tcW w:w="1890"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吊装材料</w:t>
            </w:r>
            <w:r/>
          </w:p>
        </w:tc>
        <w:tc>
          <w:tcPr>
            <w:tcBorders>
              <w:top w:val="single" w:color="auto" w:sz="6" w:space="0"/>
              <w:left w:val="single" w:color="auto" w:sz="6" w:space="0"/>
              <w:bottom w:val="single" w:color="auto" w:sz="6" w:space="0"/>
              <w:right w:val="single" w:color="auto" w:sz="6" w:space="0"/>
            </w:tcBorders>
            <w:tcW w:w="6117"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塑钢线、扎带、丝杆、绞盘等</w:t>
            </w:r>
            <w:r/>
          </w:p>
        </w:tc>
        <w:tc>
          <w:tcPr>
            <w:gridSpan w:val="2"/>
            <w:tcBorders>
              <w:top w:val="single" w:color="auto" w:sz="6" w:space="0"/>
              <w:left w:val="single" w:color="auto" w:sz="6" w:space="0"/>
              <w:bottom w:val="single" w:color="auto" w:sz="6" w:space="0"/>
              <w:right w:val="single" w:color="auto" w:sz="6" w:space="0"/>
            </w:tcBorders>
            <w:tcW w:w="64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gridSpan w:val="3"/>
            <w:shd w:val="clear" w:color="auto" w:fill="auto"/>
            <w:tcBorders>
              <w:top w:val="single" w:color="auto" w:sz="6" w:space="0"/>
              <w:left w:val="single" w:color="auto" w:sz="6" w:space="0"/>
              <w:bottom w:val="single" w:color="auto" w:sz="6" w:space="0"/>
              <w:right w:val="single" w:color="auto" w:sz="6" w:space="0"/>
            </w:tcBorders>
            <w:tcW w:w="6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gridSpan w:val="4"/>
            <w:tcBorders>
              <w:left w:val="single" w:color="auto" w:sz="6" w:space="0"/>
              <w:bottom w:val="single" w:color="auto" w:sz="6" w:space="0"/>
              <w:right w:val="single" w:color="auto" w:sz="12" w:space="0"/>
            </w:tcBorders>
            <w:tcW w:w="116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其他</w:t>
            </w:r>
            <w:r/>
          </w:p>
        </w:tc>
      </w:tr>
      <w:tr>
        <w:trPr>
          <w:gridAfter w:val="1"/>
          <w:jc w:val="center"/>
          <w:trHeight w:val="429"/>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454"/>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操作车</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w:t>
            </w:r>
            <w:r>
              <w:rPr>
                <w:rFonts w:ascii="宋体" w:hAnsi="宋体" w:eastAsia="宋体" w:cs="宋体"/>
                <w:color w:val="000000" w:themeColor="text1"/>
                <w:sz w:val="21"/>
                <w:szCs w:val="21"/>
                <w:highlight w:val="none"/>
                <w:lang w:bidi="ar-SA"/>
                <w14:textFill>
                  <w14:solidFill>
                    <w14:schemeClr w14:val="tx1"/>
                  </w14:solidFill>
                </w14:textFill>
              </w:rPr>
              <w:t xml:space="preserve">瓶功率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400W</w:t>
            </w:r>
            <w:r>
              <w:rPr>
                <w:rFonts w:ascii="宋体" w:hAnsi="宋体" w:eastAsia="宋体" w:cs="宋体"/>
                <w:color w:val="000000" w:themeColor="text1"/>
                <w:sz w:val="21"/>
                <w:szCs w:val="21"/>
                <w:highlight w:val="none"/>
                <w:lang w:bidi="ar-SA"/>
                <w14:textFill>
                  <w14:solidFill>
                    <w14:schemeClr w14:val="tx1"/>
                  </w14:solidFill>
                </w14:textFill>
              </w:rPr>
              <w:t xml:space="preserve">、留充电口或充电线</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4轮直驱，前后端均可进行转向操作，操作立面（台阶）3层/最高处台阶高900mm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长1200 *宽600 mm；车架总承重</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00KG</w:t>
            </w:r>
            <w:r>
              <w:rPr>
                <w:rFonts w:ascii="宋体" w:hAnsi="宋体" w:eastAsia="宋体" w:cs="宋体"/>
                <w:color w:val="000000" w:themeColor="text1"/>
                <w:sz w:val="21"/>
                <w:szCs w:val="21"/>
                <w:highlight w:val="none"/>
                <w:lang w:bidi="ar-SA"/>
                <w14:textFill>
                  <w14:solidFill>
                    <w14:schemeClr w14:val="tx1"/>
                  </w14:solidFill>
                </w14:textFill>
              </w:rPr>
              <w:t xml:space="preserve">，车架做防腐处理（镀锌或喷塑）</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2500.00</w:t>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4.运费及安装费</w:t>
            </w:r>
            <w:r/>
          </w:p>
        </w:tc>
      </w:tr>
      <w:tr>
        <w:trPr>
          <w:gridAfter w:val="1"/>
          <w:jc w:val="center"/>
          <w:trHeight w:val="42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运费</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运费包含备料、库管、运输、搬运、装卸等所有项目</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10000.00</w:t>
            </w:r>
            <w:r/>
          </w:p>
        </w:tc>
      </w:tr>
      <w:tr>
        <w:trPr>
          <w:gridAfter w:val="1"/>
          <w:jc w:val="center"/>
          <w:trHeight w:val="420"/>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安装费</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安装费包含勘测、设计、测试、量产、安装、调试、售后等所有项目</w:t>
            </w:r>
            <w:r/>
          </w:p>
        </w:tc>
        <w:tc>
          <w:tcPr>
            <w:gridSpan w:val="3"/>
            <w:tcBorders>
              <w:top w:val="single" w:color="auto" w:sz="6" w:space="0"/>
              <w:left w:val="single" w:color="auto" w:sz="6" w:space="0"/>
              <w:bottom w:val="single" w:color="auto" w:sz="6" w:space="0"/>
              <w:right w:val="single" w:color="auto" w:sz="6" w:space="0"/>
            </w:tcBorders>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gridSpan w:val="3"/>
            <w:tcBorders>
              <w:top w:val="single" w:color="auto" w:sz="6" w:space="0"/>
              <w:left w:val="single" w:color="auto" w:sz="6" w:space="0"/>
              <w:bottom w:val="single" w:color="auto" w:sz="6" w:space="0"/>
              <w:right w:val="single" w:color="auto" w:sz="6" w:space="0"/>
            </w:tcBorders>
            <w:tcW w:w="65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12" w:space="0"/>
            </w:tcBorders>
            <w:tcW w:w="1049"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50000.00</w:t>
            </w:r>
            <w:r/>
          </w:p>
        </w:tc>
      </w:tr>
      <w:tr>
        <w:trPr>
          <w:gridAfter w:val="1"/>
          <w:jc w:val="center"/>
          <w:trHeight w:val="454"/>
        </w:trPr>
        <w:tc>
          <w:tcPr>
            <w:gridSpan w:val="11"/>
            <w:shd w:val="clear" w:color="auto" w:fill="eeece1"/>
            <w:tcBorders>
              <w:top w:val="single" w:color="auto" w:sz="6" w:space="0"/>
              <w:left w:val="single" w:color="auto" w:sz="12" w:space="0"/>
              <w:bottom w:val="single" w:color="auto" w:sz="6" w:space="0"/>
              <w:right w:val="single" w:color="auto" w:sz="12" w:space="0"/>
            </w:tcBorders>
            <w:tcW w:w="10442"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15.预算合计</w:t>
            </w:r>
            <w:r/>
          </w:p>
        </w:tc>
      </w:tr>
      <w:tr>
        <w:trPr>
          <w:gridAfter w:val="1"/>
          <w:jc w:val="center"/>
          <w:trHeight w:val="365"/>
        </w:trPr>
        <w:tc>
          <w:tcPr>
            <w:tcBorders>
              <w:top w:val="single" w:color="auto" w:sz="6" w:space="0"/>
              <w:left w:val="single" w:color="auto" w:sz="12" w:space="0"/>
              <w:bottom w:val="single" w:color="auto" w:sz="6"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项目</w:t>
            </w:r>
            <w:r/>
          </w:p>
        </w:tc>
        <w:tc>
          <w:tcPr>
            <w:gridSpan w:val="3"/>
            <w:tcBorders>
              <w:top w:val="single" w:color="auto" w:sz="6" w:space="0"/>
              <w:left w:val="single" w:color="auto" w:sz="6" w:space="0"/>
              <w:bottom w:val="single" w:color="auto" w:sz="6" w:space="0"/>
              <w:right w:val="single" w:color="auto" w:sz="6" w:space="0"/>
            </w:tcBorders>
            <w:tcW w:w="615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c>
          <w:tcPr>
            <w:gridSpan w:val="7"/>
            <w:tcBorders>
              <w:top w:val="single" w:color="auto" w:sz="6" w:space="0"/>
              <w:left w:val="single" w:color="auto" w:sz="6" w:space="0"/>
              <w:bottom w:val="single" w:color="auto" w:sz="6" w:space="0"/>
              <w:right w:val="single" w:color="auto" w:sz="12" w:space="0"/>
            </w:tcBorders>
            <w:tcW w:w="242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预算合计（元）</w:t>
            </w:r>
            <w:r/>
          </w:p>
        </w:tc>
      </w:tr>
      <w:tr>
        <w:trPr>
          <w:gridAfter w:val="1"/>
          <w:jc w:val="center"/>
          <w:trHeight w:val="454"/>
        </w:trPr>
        <w:tc>
          <w:tcPr>
            <w:tcBorders>
              <w:top w:val="single" w:color="auto" w:sz="6" w:space="0"/>
              <w:left w:val="single" w:color="auto" w:sz="12" w:space="0"/>
              <w:bottom w:val="single" w:color="auto" w:sz="12" w:space="0"/>
              <w:right w:val="single" w:color="auto" w:sz="6" w:space="0"/>
            </w:tcBorders>
            <w:tcW w:w="1861"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以上合计</w:t>
            </w:r>
            <w:r/>
          </w:p>
        </w:tc>
        <w:tc>
          <w:tcPr>
            <w:gridSpan w:val="3"/>
            <w:tcBorders>
              <w:top w:val="single" w:color="auto" w:sz="6" w:space="0"/>
              <w:left w:val="single" w:color="auto" w:sz="6" w:space="0"/>
              <w:bottom w:val="single" w:color="auto" w:sz="12" w:space="0"/>
              <w:right w:val="single" w:color="auto" w:sz="6" w:space="0"/>
            </w:tcBorders>
            <w:tcW w:w="615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含增值税发票</w:t>
            </w:r>
            <w:r/>
          </w:p>
        </w:tc>
        <w:tc>
          <w:tcPr>
            <w:gridSpan w:val="7"/>
            <w:tcBorders>
              <w:top w:val="single" w:color="auto" w:sz="6" w:space="0"/>
              <w:left w:val="single" w:color="auto" w:sz="6" w:space="0"/>
              <w:bottom w:val="single" w:color="auto" w:sz="12" w:space="0"/>
              <w:right w:val="single" w:color="auto" w:sz="12" w:space="0"/>
            </w:tcBorders>
            <w:tcW w:w="2429"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447000.00</w:t>
            </w:r>
            <w:r/>
          </w:p>
        </w:tc>
      </w:tr>
    </w:tbl>
    <w:p>
      <w:pPr>
        <w:keepLines w:val="0"/>
        <w:keepNext w:val="0"/>
        <w:pageBreakBefore w:val="0"/>
        <w:spacing w:line="30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备注：1.标注星号的配置、参数，不允许负偏离。</w:t>
      </w:r>
      <w:r/>
    </w:p>
    <w:p>
      <w:pPr>
        <w:ind w:firstLine="723"/>
        <w:keepLines w:val="0"/>
        <w:keepNext w:val="0"/>
        <w:pageBreakBefore w:val="0"/>
        <w:spacing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2.各分项的投标报价，均不得超过本表中该行对应的【预算合计（元）】金额；任意分项报价超出对应分项预算的，视为投标无效。</w:t>
      </w:r>
      <w:r/>
    </w:p>
    <w:p>
      <w:pPr>
        <w:numPr>
          <w:ilvl w:val="0"/>
          <w:numId w:val="0"/>
        </w:numPr>
        <w:ind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二、质量保证及售后服务</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1.质保期：自项目竣工验收合格之日起12个月，提供免费维修及备件更换。</w:t>
      </w:r>
      <w:r/>
    </w:p>
    <w:p>
      <w:pPr>
        <w:numPr>
          <w:ilvl w:val="0"/>
          <w:numId w:val="0"/>
        </w:numPr>
        <w:ind w:firstLine="480"/>
        <w:jc w:val="left"/>
        <w:keepLines w:val="0"/>
        <w:keepNext w:val="0"/>
        <w:pageBreakBefore w:val="0"/>
        <w:spacing w:after="0" w:line="360" w:lineRule="auto"/>
        <w:widowControl/>
        <w:rPr>
          <w:rFonts w:hint="default"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2.响应时间：故障报修后1小时内响应，24小时内到场解决。</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3.在质保期内，乙方应对货物出现的质量及安全问题负责处理解决并承担一切费用。</w:t>
      </w:r>
      <w:r/>
    </w:p>
    <w:p>
      <w:pPr>
        <w:numPr>
          <w:ilvl w:val="0"/>
          <w:numId w:val="0"/>
        </w:numPr>
        <w:ind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三、核心产品说明 </w:t>
      </w:r>
      <w:r/>
    </w:p>
    <w:p>
      <w:pPr>
        <w:numPr>
          <w:ilvl w:val="0"/>
          <w:numId w:val="0"/>
        </w:numPr>
        <w:ind w:firstLine="480"/>
        <w:jc w:val="left"/>
        <w:keepLines w:val="0"/>
        <w:keepNext w:val="0"/>
        <w:pageBreakBefore w:val="0"/>
        <w:spacing w:after="0" w:line="360" w:lineRule="auto"/>
        <w:widowControl/>
        <w:rPr>
          <w:rFonts w:hint="default"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依据财政部令第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87</w:t>
      </w:r>
      <w:r>
        <w:rPr>
          <w:rFonts w:ascii="宋体" w:hAnsi="宋体" w:eastAsia="宋体" w:cs="宋体"/>
          <w:color w:val="000000" w:themeColor="text1"/>
          <w:sz w:val="24"/>
          <w:szCs w:val="24"/>
          <w:highlight w:val="none"/>
          <w14:textFill>
            <w14:solidFill>
              <w14:schemeClr w14:val="tx1"/>
            </w14:solidFill>
          </w14:textFill>
        </w:rPr>
        <w:t xml:space="preserve">号第三十一条第三款，本项目</w:t>
      </w:r>
      <w:r>
        <w:rPr>
          <w:rStyle w:val="851"/>
          <w:rFonts w:ascii="宋体" w:hAnsi="宋体" w:eastAsia="宋体" w:cs="宋体"/>
          <w:color w:val="000000" w:themeColor="text1"/>
          <w:sz w:val="24"/>
          <w:szCs w:val="24"/>
          <w:highlight w:val="none"/>
          <w14:textFill>
            <w14:solidFill>
              <w14:schemeClr w14:val="tx1"/>
            </w14:solidFill>
          </w14:textFill>
        </w:rPr>
        <w:t xml:space="preserve">核心产品为</w:t>
      </w:r>
      <w:r>
        <w:rPr>
          <w:rFonts w:ascii="宋体" w:hAnsi="宋体" w:eastAsia="宋体" w:cs="宋体"/>
          <w:color w:val="000000" w:themeColor="text1"/>
          <w:sz w:val="24"/>
          <w:szCs w:val="24"/>
          <w:highlight w:val="none"/>
          <w14:textFill>
            <w14:solidFill>
              <w14:schemeClr w14:val="tx1"/>
            </w14:solidFill>
          </w14:textFill>
        </w:rPr>
        <w:t xml:space="preserve">种母鸭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鹅（两用）测定舍中精准喂料系统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笼具系统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公鸭舍测定舍中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笼具系统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ind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四、实施方案</w:t>
      </w:r>
      <w:r/>
    </w:p>
    <w:p>
      <w:pPr>
        <w:numPr>
          <w:ilvl w:val="0"/>
          <w:numId w:val="0"/>
        </w:numPr>
        <w:ind w:firstLine="0"/>
        <w:jc w:val="left"/>
        <w:keepLines w:val="0"/>
        <w:keepNext w:val="0"/>
        <w:pageBreakBefore w:val="0"/>
        <w:spacing w:after="0" w:line="360" w:lineRule="auto"/>
        <w:widowControl w:val="off"/>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（一）整体设计与施工组织综合方案要求</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投标人须编制本项目专项整体设计与施工组织综合方案，方案须结合种母鸭/鹅（两用）测定舍、公鸭舍测定舍两套舍区全部设备清单开展编制。方案应当包含鸭/鹅两用测定舍整体布局、笼具排布、互换结构、系统匹配、设备联动等系统设计内容；涵盖供货计划、现场安装、施工工艺、安全保障、进度管控、设备调试等施工内容，综合考核方案设计合理性与施工落地性。</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1.系统设计：</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投标人结合本项目两套测定舍棚舍净内尺寸、笼具单元数量，完成鸭/鹅两用测定舍、公鸭舍测定舍整体布局规划；依据母禽、公禽笼具排列方案完成笼具排布设计，做好笼体互换结构设计；统筹喂料、饮水、笼具、清粪、通风湿帘、进风导风、照明、智能环控、电气布线、喷雾系统、操作车等全套设备，做好各子系统之间系统匹配与设备联动设计。布局排布需适配棚舍建筑边界，设备管线走向合理，环控与喂料清粪设备联动逻辑清晰，满足种鸭鹅测定养殖工艺使用要求。</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2.供货计划：</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投标人结合项目总工期，制定完整供货计划。针对热镀锌笼具构件、料塔、喂料行车、饮水部件、风机湿帘、环控主机、各类电气线缆等设备，明确生产、备货、分批次发货、到货时间节点；列明各批次货物清单、数量，匹配现场安装工序顺序。充分考虑定制设备生产周期、大件物流、配件供货延误风险，制定供货受阻应急保障预案，保障设备分批有序到场，不耽误现场安装施工进度。</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3.现场安装：</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明确现场完整安装作业流程，包含进场条件复核、棚舍现场实际尺寸复测、设备构件到货开箱检验、笼具框架立柱/横梁组装就位、喂料系统、饮水管路、喷雾系统供水主机、高压雾管、喷雾总成吊装布设、清粪设备、风机湿帘、导风板进风窗、照明灯具、环控设备、综合布线电气安装、部件调平紧固、成品保护等工序；做好热镀锌构件、不锈钢件、电气元器件进场防护，防止磕碰、锈蚀、损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bidi="ar-SA"/>
          <w14:textFill>
            <w14:solidFill>
              <w14:schemeClr w14:val="tx1"/>
            </w14:solidFill>
          </w14:textFill>
        </w:rPr>
        <w:t xml:space="preserve">4.</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施工工艺：</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明确各系统专项安装工艺。笼具系统立柱、连接梁、行车导轨、粪带托梁严格按照技术参数完成组装连接；喂料系统做好料塔吊装、主料线、称重系统、喂料行车安装校准；饮水系统管路排布、水压调试；喷雾系统做好主机就位、高压胶管吊装固定、喷嘴总成安装，做好管路耐压防护；清粪系统机头机尾、纵向横向清粪总成装配；通风降温系统风机、湿帘、导风板、进风窗装配；电气布线线缆敷设、接线接地严格执行规范；各设备安装牢固，运行无卡滞，管线排布整齐规范。</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5.安全保障：</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落实现场施工安全保障管理，明确现场安全管理人员。针对大件吊装、电气接线、高空作业、设备调试制定安全防护措施；落实用电安全、机械作业安全，做好棚舍内成品保护；防范构件坠落、触电等施工风险；建立现场安全检查机制。</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6.进度管控：</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建立全过程进度管控措施，明确项目总负责人、现场实施班组人员及24小时联系电话。对照整套设备安装工序分解关键节点，识别工期滞后风险，制定纠偏保障措施，通过人员调配、工序穿插等方式，保障供货、安装、布线工作按期完成。</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7.设备调试：</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完成各子系统单机调试：喂料系统、称重系统、饮水系统、笼具互换机构、清粪系统、风机湿帘、手动/电动导风板、进风窗、喷雾系统主机、高压管路、喷雾喷嘴、照明；完成智能环控主机调试，实现通风、喷雾降温、光照与养殖设备联动；整套系统开展联合试运行调试，逐项校验设备功能、传感器采集、自动联动逻辑，排查故障缺陷，自检合格后方可交付。</w:t>
      </w:r>
      <w:r/>
    </w:p>
    <w:p>
      <w:pPr>
        <w:numPr>
          <w:ilvl w:val="0"/>
          <w:numId w:val="0"/>
        </w:numPr>
        <w:ind w:firstLine="0"/>
        <w:jc w:val="left"/>
        <w:keepLines w:val="0"/>
        <w:keepNext w:val="0"/>
        <w:pageBreakBefore w:val="0"/>
        <w:spacing w:after="0" w:line="360" w:lineRule="auto"/>
        <w:widowControl w:val="off"/>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（二）售后质保与培训服务方案要求</w:t>
      </w:r>
      <w:r/>
    </w:p>
    <w:p>
      <w:pPr>
        <w:ind w:firstLine="480"/>
        <w:jc w:val="left"/>
        <w:keepLines w:val="0"/>
        <w:keepNext w:val="0"/>
        <w:pageBreakBefore w:val="0"/>
        <w:spacing w:after="0" w:line="360" w:lineRule="auto"/>
        <w:widowControl w:val="off"/>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投标人须编制贴合本项目两套测定舍全部设备的专项售后质保与培训服务方案，方案应当包含质保服务、故障响应、维保计划、操作培训、试运行保障、应急方案、售后服务等内容。</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1.质保服务：</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明确本项目笼具、喂料、饮水、清粪、通风湿帘、智能环控、电气线缆全套设备的质保服务细则。质保期内因产品材质、生产工艺、安装质量产生故障，提供免费上门维修、免费配件更换、技术巡检服务，免收人工、材料、差旅费用；投标人可自主承诺延长质保年限，延保周期服务标准不得低于基础质保要求。</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2.故障响应：</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建立7×24小时售后报修渠道，明确专属售后负责人、维修技术人员及24小时联系电话。区分笼具机械故障、喂料行车故障、清粪设备故障、供水故障、风机湿帘通风故障、环控电气故障等不同故障类型，实行分级故障响应，明确接报、技术对接、人员到场、故障处置时限。</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3.维保计划：</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制定质保期内定期维保工作计划，明确维保频次与检查内容。对笼具框架、连接件、互换机构、喂料传动部件、清粪机头、风机电机、湿帘、喷雾主机、高压管路、喷嘴、传感器、环控控制器、电气线路接地开展定期巡检维护，排查松动、磨损、锈蚀、堵塞、电气隐患。</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4.操作培训：</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制定专项操作培训方案，针对本项目种母鸭鹅测定舍、公鸭测定舍全套设备，面向采购人运维管理人员开展培训；培训内容包含笼具日常使用、喂料称重系统操作、饮水维护、清粪设备操作、通风湿帘、智能环控参数设置、简单故障识别与基础处置，确保人员能够独立操作整套养殖设备。</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5.试运行保障：</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项目安装调试完成后，落实试运行阶段技术保障。试运行期间跟踪两套舍区全部设备运行状态，及时处置试运行暴露的机械、电气、联动逻辑问题，保障测定舍设备稳定运行。</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6.应急方案：</w:t>
      </w:r>
      <w:r>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t xml:space="preserve">制定设备突发故障应急处置方案。针对喂料中断、供水故障、清粪停机、通风系统失效、环控系统故障等会直接影响水禽养殖测定工作的突发状况，明确应急处置流程、临时替代保障措施，最大限度降低故障对养殖生产的影响。</w:t>
      </w:r>
      <w:r/>
    </w:p>
    <w:p>
      <w:pPr>
        <w:numPr>
          <w:ilvl w:val="0"/>
          <w:numId w:val="0"/>
        </w:numPr>
        <w:ind w:firstLine="482"/>
        <w:jc w:val="left"/>
        <w:keepLines w:val="0"/>
        <w:keepNext w:val="0"/>
        <w:pageBreakBefore w:val="0"/>
        <w:spacing w:after="0" w:line="360" w:lineRule="auto"/>
        <w:widowControl/>
        <w:rPr>
          <w:rFonts w:hint="eastAsia" w:ascii="宋体" w:hAnsi="宋体" w:eastAsia="宋体" w:cs="宋体"/>
          <w:b w:val="0"/>
          <w:b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7.售后服务：</w:t>
      </w:r>
      <w:r>
        <w:rPr>
          <w:rFonts w:ascii="宋体" w:hAnsi="宋体" w:eastAsia="宋体" w:cs="宋体"/>
          <w:color w:val="000000" w:themeColor="text1"/>
          <w:sz w:val="24"/>
          <w:szCs w:val="24"/>
          <w:highlight w:val="none"/>
          <w14:textFill>
            <w14:solidFill>
              <w14:schemeClr w14:val="tx1"/>
            </w14:solidFill>
          </w14:textFill>
        </w:rPr>
        <w:t xml:space="preserve">建立长期售后技术支持体系，质保期内提供常态化技术咨询服务，定期开展售后回访，了解设备运行情况；设立备品备件库，优先保障本项目配件供应。质保期满后，可提供优惠的年度维保方案，持续提供技术指导、故障维修、配件供应等增值服务，保障设备长期稳定运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32"/>
          <w:szCs w:val="32"/>
          <w:highlight w:val="none"/>
          <w14:textFill>
            <w14:solidFill>
              <w14:schemeClr w14:val="tx1"/>
            </w14:solidFill>
          </w14:textFill>
        </w:rPr>
      </w:pPr>
      <w:r/>
      <w:bookmarkStart w:id="49" w:name="_Toc409438821"/>
      <w:r/>
      <w:bookmarkStart w:id="50" w:name="OLE_LINK32"/>
      <w:r/>
      <w:bookmarkStart w:id="51" w:name="_Toc388026588"/>
      <w:r>
        <w:rPr>
          <w:rFonts w:hint="eastAsia" w:ascii="宋体" w:hAnsi="宋体" w:eastAsia="宋体" w:cs="宋体"/>
          <w:color w:val="000000" w:themeColor="text1"/>
          <w:sz w:val="32"/>
          <w:szCs w:val="32"/>
          <w:highlight w:val="none"/>
          <w14:textFill>
            <w14:solidFill>
              <w14:schemeClr w14:val="tx1"/>
            </w14:solidFill>
          </w14:textFill>
        </w:rPr>
        <w:br w:type="page" w:clear="all"/>
      </w:r>
      <w:r/>
    </w:p>
    <w:p>
      <w:pPr>
        <w:pStyle w:val="1057"/>
        <w:jc w:val="center"/>
        <w:spacing w:before="0" w:after="0" w:line="360" w:lineRule="auto"/>
        <w:rPr>
          <w:rFonts w:hint="eastAsia" w:ascii="宋体" w:hAnsi="宋体" w:eastAsia="宋体" w:cs="宋体"/>
          <w:color w:val="000000" w:themeColor="text1"/>
          <w:sz w:val="32"/>
          <w:szCs w:val="32"/>
          <w:highlight w:val="none"/>
          <w14:textFill>
            <w14:solidFill>
              <w14:schemeClr w14:val="tx1"/>
            </w14:solidFill>
          </w14:textFill>
        </w:rPr>
      </w:pPr>
      <w:r/>
      <w:bookmarkStart w:id="52" w:name="_Toc24598"/>
      <w:r>
        <w:rPr>
          <w:rFonts w:hint="eastAsia" w:ascii="宋体" w:hAnsi="宋体" w:eastAsia="宋体" w:cs="宋体"/>
          <w:color w:val="000000" w:themeColor="text1"/>
          <w:sz w:val="32"/>
          <w:szCs w:val="32"/>
          <w:highlight w:val="none"/>
          <w14:textFill>
            <w14:solidFill>
              <w14:schemeClr w14:val="tx1"/>
            </w14:solidFill>
          </w14:textFill>
        </w:rPr>
        <w:t xml:space="preserve">第四章  评标办法及标准</w:t>
      </w:r>
      <w:bookmarkEnd w:id="49"/>
      <w:r/>
      <w:bookmarkEnd w:id="50"/>
      <w:r/>
      <w:bookmarkEnd w:id="51"/>
      <w:r/>
      <w:bookmarkEnd w:id="52"/>
      <w:r/>
      <w:r/>
    </w:p>
    <w:p>
      <w:pPr>
        <w:pStyle w:val="830"/>
        <w:ind w:firstLine="482"/>
        <w:keepLines w:val="0"/>
        <w:keepNext w:val="0"/>
        <w:pageBreakBefore w:val="0"/>
        <w:spacing w:line="52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本次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采用百分制综合评分法，</w:t>
      </w:r>
      <w:r>
        <w:rPr>
          <w:rFonts w:hint="eastAsia" w:ascii="宋体" w:hAnsi="宋体" w:eastAsia="宋体" w:cs="宋体"/>
          <w:color w:val="000000" w:themeColor="text1"/>
          <w:sz w:val="24"/>
          <w:highlight w:val="none"/>
          <w:lang w:eastAsia="zh-CN"/>
          <w14:textFill>
            <w14:solidFill>
              <w14:schemeClr w14:val="tx1"/>
            </w14:solidFill>
          </w14:textFill>
        </w:rPr>
        <w:t xml:space="preserve">即在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最大限度地满足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文件实质性要求的基础上，按照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文件的各项因素进行综合评审后，总分设定为100分。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highlight w:val="none"/>
          <w14:textFill>
            <w14:solidFill>
              <w14:schemeClr w14:val="tx1"/>
            </w14:solidFill>
          </w14:textFill>
        </w:rPr>
        <w:t xml:space="preserve">遵循公平、公正、择优原则，独立按照评分标准分别评定</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的分值；各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的最终得分为各评委所评定分值的平均值，并按从高到低顺序排列，确定</w:t>
      </w:r>
      <w:r>
        <w:rPr>
          <w:rFonts w:hint="eastAsia"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highlight w:val="none"/>
          <w14:textFill>
            <w14:solidFill>
              <w14:schemeClr w14:val="tx1"/>
            </w14:solidFill>
          </w14:textFill>
        </w:rPr>
        <w:t xml:space="preserve">候选</w:t>
      </w:r>
      <w:r>
        <w:rPr>
          <w:rFonts w:hint="eastAsia"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。评审得分相同的，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按照商务部分</w:t>
      </w:r>
      <w:r>
        <w:rPr>
          <w:rFonts w:hint="eastAsia" w:ascii="宋体" w:hAnsi="宋体" w:eastAsia="宋体" w:cs="宋体"/>
          <w:color w:val="000000" w:themeColor="text1"/>
          <w:sz w:val="24"/>
          <w:highlight w:val="none"/>
          <w14:textFill>
            <w14:solidFill>
              <w14:schemeClr w14:val="tx1"/>
            </w14:solidFill>
          </w14:textFill>
        </w:rPr>
        <w:t xml:space="preserve">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highlight w:val="none"/>
          <w14:textFill>
            <w14:solidFill>
              <w14:schemeClr w14:val="tx1"/>
            </w14:solidFill>
          </w14:textFill>
        </w:rPr>
        <w:t xml:space="preserve">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4"/>
          <w:highlight w:val="none"/>
          <w14:textFill>
            <w14:solidFill>
              <w14:schemeClr w14:val="tx1"/>
            </w14:solidFill>
          </w14:textFill>
        </w:rPr>
        <w:t xml:space="preserve">的顺序推荐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评审得分且</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商务部分得分也</w:t>
      </w:r>
      <w:r>
        <w:rPr>
          <w:rFonts w:hint="eastAsia" w:ascii="宋体" w:hAnsi="宋体" w:eastAsia="宋体" w:cs="宋体"/>
          <w:color w:val="000000" w:themeColor="text1"/>
          <w:sz w:val="24"/>
          <w:highlight w:val="none"/>
          <w14:textFill>
            <w14:solidFill>
              <w14:schemeClr w14:val="tx1"/>
            </w14:solidFill>
          </w14:textFill>
        </w:rPr>
        <w:t xml:space="preserve">相同的，按照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highlight w:val="none"/>
          <w14:textFill>
            <w14:solidFill>
              <w14:schemeClr w14:val="tx1"/>
            </w14:solidFill>
          </w14:textFill>
        </w:rPr>
        <w:t xml:space="preserve">得分由高到低顺序推荐；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highlight w:val="none"/>
          <w14:textFill>
            <w14:solidFill>
              <w14:schemeClr w14:val="tx1"/>
            </w14:solidFill>
          </w14:textFill>
        </w:rPr>
        <w:t xml:space="preserve">得分仍相同的，按照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价格分</w:t>
      </w:r>
      <w:r>
        <w:rPr>
          <w:rFonts w:hint="eastAsia" w:ascii="宋体" w:hAnsi="宋体" w:eastAsia="宋体" w:cs="宋体"/>
          <w:color w:val="000000" w:themeColor="text1"/>
          <w:sz w:val="24"/>
          <w:highlight w:val="none"/>
          <w14:textFill>
            <w14:solidFill>
              <w14:schemeClr w14:val="tx1"/>
            </w14:solidFill>
          </w14:textFill>
        </w:rPr>
        <w:t xml:space="preserve">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highlight w:val="none"/>
          <w14:textFill>
            <w14:solidFill>
              <w14:schemeClr w14:val="tx1"/>
            </w14:solidFill>
          </w14:textFill>
        </w:rPr>
        <w:t xml:space="preserve">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4"/>
          <w:highlight w:val="none"/>
          <w14:textFill>
            <w14:solidFill>
              <w14:schemeClr w14:val="tx1"/>
            </w14:solidFill>
          </w14:textFill>
        </w:rPr>
        <w:t xml:space="preserve">的顺序推荐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highlight w:val="none"/>
          <w14:textFill>
            <w14:solidFill>
              <w14:schemeClr w14:val="tx1"/>
            </w14:solidFill>
          </w14:textFill>
        </w:rPr>
        <w:t xml:space="preserve">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低</w:t>
      </w:r>
      <w:r>
        <w:rPr>
          <w:rFonts w:hint="eastAsia" w:ascii="宋体" w:hAnsi="宋体" w:eastAsia="宋体" w:cs="宋体"/>
          <w:color w:val="000000" w:themeColor="text1"/>
          <w:sz w:val="24"/>
          <w:highlight w:val="none"/>
          <w14:textFill>
            <w14:solidFill>
              <w14:schemeClr w14:val="tx1"/>
            </w14:solidFill>
          </w14:textFill>
        </w:rPr>
        <w:t xml:space="preserve">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4"/>
          <w:highlight w:val="none"/>
          <w14:textFill>
            <w14:solidFill>
              <w14:schemeClr w14:val="tx1"/>
            </w14:solidFill>
          </w14:textFill>
        </w:rPr>
        <w:t xml:space="preserve">的顺序推荐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价格分</w:t>
      </w:r>
      <w:r>
        <w:rPr>
          <w:rFonts w:hint="eastAsia" w:ascii="宋体" w:hAnsi="宋体" w:eastAsia="宋体" w:cs="宋体"/>
          <w:color w:val="000000" w:themeColor="text1"/>
          <w:sz w:val="24"/>
          <w:highlight w:val="none"/>
          <w14:textFill>
            <w14:solidFill>
              <w14:schemeClr w14:val="tx1"/>
            </w14:solidFill>
          </w14:textFill>
        </w:rPr>
        <w:t xml:space="preserve">得分仍相同的，通过抽签方式确定排序。因</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自身原因，在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highlight w:val="none"/>
          <w14:textFill>
            <w14:solidFill>
              <w14:schemeClr w14:val="tx1"/>
            </w14:solidFill>
          </w14:textFill>
        </w:rPr>
        <w:t xml:space="preserve">期间，不能及时、完整、有效提供相关原件以供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highlight w:val="none"/>
          <w14:textFill>
            <w14:solidFill>
              <w14:schemeClr w14:val="tx1"/>
            </w14:solidFill>
          </w14:textFill>
        </w:rPr>
        <w:t xml:space="preserve">查询，由此导致不利于响应文件的后果由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承担。如</w:t>
      </w:r>
      <w:r>
        <w:rPr>
          <w:rFonts w:hint="eastAsia" w:hAnsi="宋体" w:eastAsia="宋体" w:cs="宋体"/>
          <w:color w:val="000000" w:themeColor="text1"/>
          <w:sz w:val="24"/>
          <w:highlight w:val="none"/>
          <w:lang w:val="en-US" w:eastAsia="zh-CN"/>
          <w14:textFill>
            <w14:solidFill>
              <w14:schemeClr w14:val="tx1"/>
            </w14:solidFill>
          </w14:textFill>
        </w:rPr>
        <w:t xml:space="preserve">第一中标候选人</w:t>
      </w:r>
      <w:r>
        <w:rPr>
          <w:rFonts w:hint="eastAsia" w:ascii="宋体" w:hAnsi="宋体" w:eastAsia="宋体" w:cs="宋体"/>
          <w:color w:val="000000" w:themeColor="text1"/>
          <w:sz w:val="24"/>
          <w:highlight w:val="none"/>
          <w14:textFill>
            <w14:solidFill>
              <w14:schemeClr w14:val="tx1"/>
            </w14:solidFill>
          </w14:textFill>
        </w:rPr>
        <w:t xml:space="preserve">放弃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highlight w:val="none"/>
          <w14:textFill>
            <w14:solidFill>
              <w14:schemeClr w14:val="tx1"/>
            </w14:solidFill>
          </w14:textFill>
        </w:rPr>
        <w:t xml:space="preserve">或被取消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highlight w:val="none"/>
          <w14:textFill>
            <w14:solidFill>
              <w14:schemeClr w14:val="tx1"/>
            </w14:solidFill>
          </w14:textFill>
        </w:rPr>
        <w:t xml:space="preserve">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highlight w:val="none"/>
          <w14:textFill>
            <w14:solidFill>
              <w14:schemeClr w14:val="tx1"/>
            </w14:solidFill>
          </w14:textFill>
        </w:rPr>
        <w:t xml:space="preserve">后考核不合格，采购人可以确定排序紧跟该</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，以此类推，或者重新组织公开招标活动。</w:t>
      </w:r>
      <w:r/>
    </w:p>
    <w:p>
      <w:pPr>
        <w:pStyle w:val="830"/>
        <w:ind w:firstLine="482"/>
        <w:keepLines w:val="0"/>
        <w:keepNext w:val="0"/>
        <w:pageBreakBefore w:val="0"/>
        <w:spacing w:line="52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outlineLvl w:val="1"/>
      </w:pPr>
      <w:r>
        <w:rPr>
          <w:rFonts w:hint="eastAsia"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异常低价的处理</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根据财库〔2026〕2号文《财政部关于推动解决政府采购异常低价问题的通知》：</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（1）政府采购评审中出现下列情形之一的，评审委员会应当启动异常低价投标（响应）审查程序：</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①投标（响应）报价低于全部通过符合性审查</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投标（响应）报价平均值50%的，即投标（响应）报价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全部通过符合性审查供应商投标（响应）报价平均值×50%；</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通过符合性审查的次低报价供应商投标（响应）报价×50%；</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③投标（响应）报价低于采购项目最高限价45%的，即投标（响应）报价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采购项目最高限价×45%；</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④评审委员会基于专业判断，认为供应商报价过低，有可能影响产品质量或者不能诚信履约的其他情形。</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（2）评审委员会启动异常低价投标（响应）审查后，属于前述第①项至第④项情形的，应当要求相关供应商在评审现场合理的时间内对投标（响应）价格作出解释</w:t>
      </w:r>
      <w:r>
        <w:rPr>
          <w:rFonts w:hint="eastAsia" w:ascii="宋体" w:hAnsi="宋体" w:eastAsia="宋体" w:cs="宋体"/>
          <w:color w:val="000000" w:themeColor="text1"/>
          <w:sz w:val="24"/>
          <w:highlight w:val="none"/>
          <w:lang w:eastAsia="zh-CN"/>
          <w14:textFill>
            <w14:solidFill>
              <w14:schemeClr w14:val="tx1"/>
            </w14:solidFill>
          </w14:textFill>
        </w:rPr>
        <w:t xml:space="preserve">，并</w:t>
      </w:r>
      <w:r>
        <w:rPr>
          <w:rFonts w:hint="eastAsia" w:ascii="宋体" w:hAnsi="宋体" w:eastAsia="宋体" w:cs="宋体"/>
          <w:color w:val="000000" w:themeColor="text1"/>
          <w:sz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520" w:lineRule="exact"/>
        <w:widowControl w:val="off"/>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0"/>
        <w:ind w:firstLine="482"/>
        <w:keepLines w:val="0"/>
        <w:keepNext w:val="0"/>
        <w:pageBreakBefore w:val="0"/>
        <w:spacing w:line="52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b w:val="0"/>
          <w:bCs/>
          <w:color w:val="000000" w:themeColor="text1"/>
          <w:sz w:val="24"/>
          <w:szCs w:val="28"/>
          <w:highlight w:val="none"/>
          <w14:textFill>
            <w14:solidFill>
              <w14:schemeClr w14:val="tx1"/>
            </w14:solidFill>
          </w14:textFill>
        </w:rPr>
      </w:pPr>
      <w:r>
        <w:rPr>
          <w:rFonts w:hint="eastAsia" w:ascii="宋体" w:hAnsi="宋体" w:eastAsia="宋体" w:cs="宋体"/>
          <w:b w:val="0"/>
          <w:bCs/>
          <w:color w:val="000000" w:themeColor="text1"/>
          <w:sz w:val="24"/>
          <w:szCs w:val="28"/>
          <w:highlight w:val="none"/>
          <w14:textFill>
            <w14:solidFill>
              <w14:schemeClr w14:val="tx1"/>
            </w14:solidFill>
          </w14:textFill>
        </w:rPr>
        <w:br w:type="page" w:clear="all"/>
      </w:r>
      <w:r/>
    </w:p>
    <w:p>
      <w:pPr>
        <w:pStyle w:val="830"/>
        <w:ind w:firstLine="480"/>
        <w:keepLines w:val="0"/>
        <w:keepNext w:val="0"/>
        <w:pageBreakBefore w:val="0"/>
        <w:spacing w:line="520" w:lineRule="exact"/>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1"/>
      </w:pPr>
      <w:r/>
      <w:bookmarkStart w:id="53" w:name="_Toc23828480"/>
      <w:r/>
      <w:bookmarkStart w:id="54" w:name="_Toc26554097"/>
      <w:r/>
      <w:bookmarkStart w:id="55" w:name="_Toc61149622"/>
      <w:r>
        <w:rPr>
          <w:rFonts w:hint="eastAsia"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.评审标准（总分100分）</w:t>
      </w:r>
      <w:r/>
    </w:p>
    <w:tbl>
      <w:tblPr>
        <w:tblStyle w:val="850"/>
        <w:tblW w:w="9338"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832"/>
        <w:gridCol w:w="681"/>
        <w:gridCol w:w="7046"/>
      </w:tblGrid>
      <w:tr>
        <w:trPr>
          <w:trHeight w:val="321"/>
        </w:trPr>
        <w:tc>
          <w:tcPr>
            <w:tcW w:w="77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序号</w:t>
            </w:r>
            <w:r/>
          </w:p>
        </w:tc>
        <w:tc>
          <w:tcPr>
            <w:tcW w:w="83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评审项目</w:t>
            </w:r>
            <w:r/>
          </w:p>
        </w:tc>
        <w:tc>
          <w:tcPr>
            <w:tcW w:w="68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分值</w:t>
            </w:r>
            <w:r/>
          </w:p>
        </w:tc>
        <w:tc>
          <w:tcPr>
            <w:tcW w:w="7046"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评审标准</w:t>
            </w:r>
            <w:r/>
          </w:p>
        </w:tc>
      </w:tr>
      <w:tr>
        <w:trPr>
          <w:trHeight w:val="765"/>
        </w:trPr>
        <w:tc>
          <w:tcPr>
            <w:tcW w:w="77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w:t>
            </w:r>
            <w:r/>
          </w:p>
        </w:tc>
        <w:tc>
          <w:tcPr>
            <w:tcW w:w="83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报价</w:t>
            </w:r>
            <w:r/>
          </w:p>
        </w:tc>
        <w:tc>
          <w:tcPr>
            <w:shd w:val="clear" w:color="auto" w:fill="auto"/>
            <w:tcW w:w="681"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45</w:t>
            </w:r>
            <w:r/>
          </w:p>
        </w:tc>
        <w:tc>
          <w:tcPr>
            <w:shd w:val="clear" w:color="auto" w:fill="auto"/>
            <w:tcW w:w="7046" w:type="dxa"/>
            <w:vAlign w:val="center"/>
            <w:textDirection w:val="lrTb"/>
            <w:noWrap w:val="false"/>
          </w:tcPr>
          <w:p>
            <w:pPr>
              <w:ind w:firstLine="480"/>
              <w:jc w:val="left"/>
              <w:keepLines w:val="0"/>
              <w:keepNext w:val="0"/>
              <w:pageBreakBefore w:val="0"/>
              <w:spacing w:after="0" w:line="380" w:lineRule="exact"/>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满足投标文件要求且投标价格最低的投标报价为评审基准价，其价格分为45分。其他投标人的价格分统一按照下列公式计算：投标报价得分=（评审基准价/投标报价）×45（四舍五入保留两位小数）。</w:t>
            </w:r>
            <w:r/>
          </w:p>
        </w:tc>
      </w:tr>
      <w:tr>
        <w:trPr>
          <w:trHeight w:val="674"/>
        </w:trPr>
        <w:tc>
          <w:tcPr>
            <w:shd w:val="clear" w:color="auto" w:fill="auto"/>
            <w:tcW w:w="779"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2</w:t>
            </w:r>
            <w:r/>
          </w:p>
        </w:tc>
        <w:tc>
          <w:tcPr>
            <w:shd w:val="clear" w:color="auto" w:fill="auto"/>
            <w:tcW w:w="83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业绩</w:t>
            </w:r>
            <w:r/>
          </w:p>
        </w:tc>
        <w:tc>
          <w:tcPr>
            <w:shd w:val="clear" w:color="auto" w:fill="auto"/>
            <w:tcW w:w="681"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6</w:t>
            </w:r>
            <w:r/>
          </w:p>
        </w:tc>
        <w:tc>
          <w:tcPr>
            <w:shd w:val="clear" w:color="auto" w:fill="auto"/>
            <w:tcW w:w="7046" w:type="dxa"/>
            <w:vAlign w:val="center"/>
            <w:textDirection w:val="lrTb"/>
            <w:noWrap w:val="false"/>
          </w:tcPr>
          <w:p>
            <w:pPr>
              <w:ind w:firstLine="480"/>
              <w:jc w:val="left"/>
              <w:keepLines w:val="0"/>
              <w:keepNext w:val="0"/>
              <w:pageBreakBefore w:val="0"/>
              <w:spacing w:after="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供应商自2023年1月1日以来承担过同类的项目（种鸭/鹅项目、公鸭/鹅项目）业绩。每提供一个得2分，最高得6分。</w:t>
            </w:r>
            <w:r/>
          </w:p>
          <w:p>
            <w:pPr>
              <w:ind w:firstLine="480"/>
              <w:jc w:val="left"/>
              <w:keepLines w:val="0"/>
              <w:keepNext w:val="0"/>
              <w:pageBreakBefore w:val="0"/>
              <w:spacing w:after="0" w:line="380" w:lineRule="exact"/>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注：须提供合同复印件及对应发票复印件并加盖公章，业绩时间以合同签订日期为准。若合同无法体现服务内容须提供相关证明材料。</w:t>
            </w:r>
            <w:r/>
          </w:p>
        </w:tc>
      </w:tr>
      <w:tr>
        <w:trPr>
          <w:trHeight w:val="557"/>
        </w:trPr>
        <w:tc>
          <w:tcPr>
            <w:shd w:val="clear" w:color="auto" w:fill="auto"/>
            <w:tcW w:w="779"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3</w:t>
            </w:r>
            <w:r/>
          </w:p>
        </w:tc>
        <w:tc>
          <w:tcPr>
            <w:shd w:val="clear" w:color="auto" w:fill="auto"/>
            <w:tcW w:w="832"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技术参数</w:t>
            </w:r>
            <w:r/>
          </w:p>
        </w:tc>
        <w:tc>
          <w:tcPr>
            <w:shd w:val="clear" w:color="auto" w:fill="auto"/>
            <w:tcW w:w="681"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t xml:space="preserve">24</w:t>
            </w:r>
            <w:r/>
          </w:p>
        </w:tc>
        <w:tc>
          <w:tcPr>
            <w:shd w:val="clear" w:color="auto" w:fill="auto"/>
            <w:tcW w:w="7046" w:type="dxa"/>
            <w:vAlign w:val="center"/>
            <w:textDirection w:val="lrTb"/>
            <w:noWrap w:val="false"/>
          </w:tcPr>
          <w:p>
            <w:pPr>
              <w:ind w:firstLine="480"/>
              <w:jc w:val="left"/>
              <w:keepLines w:val="0"/>
              <w:keepNext w:val="0"/>
              <w:pageBreakBefore w:val="0"/>
              <w:spacing w:after="0" w:line="380" w:lineRule="exact"/>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标委员会根据“第三章采购需求”中技术参数要求，技术参数全部满足招标文件的得满分24分，打★号的货物名称中所有指标为必须满足项，如有负偏离将作为无效投标文件处理；其他未标注★号的每有一项负偏离扣0.5分，满分24分扣完为止。投标单位须如实详细填写“技术部分偏离表”，并逐条列明响应情况，未逐条说明或未明确标注参数内容，视为负偏离扣分。</w:t>
            </w:r>
            <w:r/>
          </w:p>
        </w:tc>
      </w:tr>
      <w:tr>
        <w:trPr>
          <w:trHeight w:val="3343"/>
        </w:trPr>
        <w:tc>
          <w:tcPr>
            <w:tcW w:w="779"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4</w:t>
            </w:r>
            <w:r/>
          </w:p>
        </w:tc>
        <w:tc>
          <w:tcPr>
            <w:tcW w:w="832" w:type="dxa"/>
            <w:vAlign w:val="center"/>
            <w:textDirection w:val="lrTb"/>
            <w:noWrap w:val="false"/>
          </w:tcPr>
          <w:p>
            <w:pPr>
              <w:jc w:val="left"/>
              <w:keepLines w:val="0"/>
              <w:keepNext w:val="0"/>
              <w:widowControl/>
              <w:rPr>
                <w:color w:val="000000" w:themeColor="text1"/>
                <w:sz w:val="24"/>
                <w:szCs w:val="24"/>
                <w:highlight w:val="none"/>
                <w14:textFill>
                  <w14:solidFill>
                    <w14:schemeClr w14:val="tx1"/>
                  </w14:solidFill>
                </w14:textFill>
              </w:rPr>
              <w:suppressLineNumbers w:val="0"/>
            </w:pP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整体设计与施工组织综合方案</w:t>
            </w:r>
            <w:r/>
          </w:p>
          <w:p>
            <w:pPr>
              <w:jc w:val="center"/>
              <w:spacing w:after="0" w:line="24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tc>
        <w:tc>
          <w:tcPr>
            <w:tcW w:w="681"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9</w:t>
            </w:r>
            <w:r/>
          </w:p>
        </w:tc>
        <w:tc>
          <w:tcPr>
            <w:tcW w:w="7046" w:type="dxa"/>
            <w:vAlign w:val="center"/>
            <w:textDirection w:val="lrTb"/>
            <w:noWrap w:val="false"/>
          </w:tcPr>
          <w:p>
            <w:pPr>
              <w:ind w:firstLine="480"/>
              <w:jc w:val="left"/>
              <w:keepLines w:val="0"/>
              <w:keepNext w:val="0"/>
              <w:pageBreakBefore w:val="0"/>
              <w:spacing w:after="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评委根据投标文件对招标文件中“整体设计与施工组织综合方案要求”的响应情况进行评审：</w:t>
            </w:r>
            <w:r/>
          </w:p>
          <w:p>
            <w:pPr>
              <w:ind w:firstLine="480"/>
              <w:jc w:val="left"/>
              <w:keepLines w:val="0"/>
              <w:keepNext w:val="0"/>
              <w:pageBreakBefore w:val="0"/>
              <w:spacing w:after="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投标文件未符合“整体设计与施工组织综合方案要求”中全部条款要求的，视为不符合招标文件，本项得0分。</w:t>
            </w:r>
            <w:r/>
          </w:p>
          <w:p>
            <w:pPr>
              <w:ind w:firstLine="480"/>
              <w:jc w:val="left"/>
              <w:keepLines w:val="0"/>
              <w:keepNext w:val="0"/>
              <w:pageBreakBefore w:val="0"/>
              <w:spacing w:after="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（2）投标文件符合“整体设计与施工组织综合方案要求”中全部条款要求的，视为符合招标文件，本项得4分。</w:t>
            </w:r>
            <w:r/>
          </w:p>
          <w:p>
            <w:pPr>
              <w:ind w:firstLine="480"/>
              <w:jc w:val="left"/>
              <w:keepLines w:val="0"/>
              <w:keepNext w:val="0"/>
              <w:pageBreakBefore w:val="0"/>
              <w:spacing w:after="0" w:line="380" w:lineRule="exact"/>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（3）投标文件符合“整体设计与施工组织综合方案要求” 中全部条款要求，且笼具排布及系统匹配、施工工艺、进度管控三项核心内容均优于招标文件条款要求的，本项得9分。</w:t>
            </w:r>
            <w:r/>
          </w:p>
        </w:tc>
      </w:tr>
      <w:tr>
        <w:trPr>
          <w:trHeight w:val="102"/>
        </w:trPr>
        <w:tc>
          <w:tcPr>
            <w:tcW w:w="779"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5</w:t>
            </w:r>
            <w:r/>
          </w:p>
        </w:tc>
        <w:tc>
          <w:tcPr>
            <w:tcW w:w="832" w:type="dxa"/>
            <w:vAlign w:val="center"/>
            <w:textDirection w:val="lrTb"/>
            <w:noWrap w:val="false"/>
          </w:tcPr>
          <w:p>
            <w:pPr>
              <w:jc w:val="center"/>
              <w:spacing w:after="0" w:line="24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售后质保与培训服务方案</w:t>
            </w:r>
            <w:r/>
          </w:p>
        </w:tc>
        <w:tc>
          <w:tcPr>
            <w:tcW w:w="681"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10</w:t>
            </w:r>
            <w:r/>
          </w:p>
        </w:tc>
        <w:tc>
          <w:tcPr>
            <w:tcW w:w="7046" w:type="dxa"/>
            <w:vAlign w:val="center"/>
            <w:textDirection w:val="lrTb"/>
            <w:noWrap w:val="false"/>
          </w:tcPr>
          <w:p>
            <w:pPr>
              <w:ind w:firstLine="480"/>
              <w:jc w:val="left"/>
              <w:keepLines w:val="0"/>
              <w:keepNext w:val="0"/>
              <w:pageBreakBefore w:val="0"/>
              <w:spacing w:after="0" w:line="380" w:lineRule="exact"/>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评委根据投标文件对招标文件中“售后质保与培训服务方案要求”的响应情况进行评审：</w:t>
            </w:r>
            <w:r/>
          </w:p>
          <w:p>
            <w:pPr>
              <w:ind w:firstLine="480"/>
              <w:jc w:val="left"/>
              <w:keepLines w:val="0"/>
              <w:keepNext w:val="0"/>
              <w:pageBreakBefore w:val="0"/>
              <w:spacing w:after="0" w:line="38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（1）投标文件未符合“售后质保与培训服务方案要求”中全部条款要求的，视为不符合招标文件，本项得0分。</w:t>
            </w:r>
            <w:r/>
          </w:p>
          <w:p>
            <w:pPr>
              <w:ind w:firstLine="480"/>
              <w:jc w:val="left"/>
              <w:keepLines w:val="0"/>
              <w:keepNext w:val="0"/>
              <w:pageBreakBefore w:val="0"/>
              <w:spacing w:after="0" w:line="380" w:lineRule="exact"/>
              <w:widowControl w:val="off"/>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（2）投标文件符合“售后质保与培训服务方案要求”中全部条款要求的，视为符合招标文件，本项得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p>
            <w:pPr>
              <w:ind w:firstLine="480"/>
              <w:jc w:val="left"/>
              <w:keepLines w:val="0"/>
              <w:keepNext w:val="0"/>
              <w:pageBreakBefore w:val="0"/>
              <w:spacing w:after="0" w:line="380" w:lineRule="exact"/>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（3）投标文件符合“售后质保与培训服务方案要求”中全部条款要求，且故障响应、维保计划、操作培训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、售后服务四</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项核心内容均优于招标文件条款要求的，本项得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tc>
      </w:tr>
      <w:tr>
        <w:trPr>
          <w:trHeight w:val="102"/>
        </w:trPr>
        <w:tc>
          <w:tcPr>
            <w:tcW w:w="779"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6</w:t>
            </w:r>
            <w:r/>
          </w:p>
        </w:tc>
        <w:tc>
          <w:tcPr>
            <w:tcW w:w="832"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p>
        </w:tc>
        <w:tc>
          <w:tcPr>
            <w:tcW w:w="681"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6</w:t>
            </w:r>
            <w:r/>
          </w:p>
        </w:tc>
        <w:tc>
          <w:tcPr>
            <w:tcW w:w="7046" w:type="dxa"/>
            <w:vAlign w:val="center"/>
            <w:textDirection w:val="lrTb"/>
            <w:noWrap w:val="false"/>
          </w:tcPr>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增值服务：</w:t>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1.质保期在招标文件要求基础上每增加1年得1分，本项最高3分；</w:t>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2.赠送实物（设备等），赠送实物价值每达到1万元得1分，本项最高3分。</w:t>
            </w:r>
            <w:r/>
          </w:p>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投标文件中须提供相关证明材料，未提供证明材料的不得分，格式自拟。</w:t>
            </w:r>
            <w:r/>
          </w:p>
          <w:p>
            <w:pPr>
              <w:numPr>
                <w:ilvl w:val="0"/>
                <w:numId w:val="0"/>
              </w:numPr>
              <w:ind w:firstLine="480"/>
              <w:jc w:val="left"/>
              <w:keepLines w:val="0"/>
              <w:keepNext w:val="0"/>
              <w:pageBreakBefore w:val="0"/>
              <w:spacing w:after="0" w:line="4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注：投标人承诺的上述增值服务，如中标，承诺内容须纳入合同条款。</w:t>
            </w:r>
            <w:r/>
          </w:p>
        </w:tc>
      </w:tr>
    </w:tbl>
    <w:p>
      <w:pPr>
        <w:ind w:firstLine="482"/>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p>
    <w:p>
      <w:p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1.以上所</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b w:val="0"/>
          <w:bCs/>
          <w:color w:val="000000" w:themeColor="text1"/>
          <w:sz w:val="24"/>
          <w:szCs w:val="24"/>
          <w:highlight w:val="none"/>
          <w14:textFill>
            <w14:solidFill>
              <w14:schemeClr w14:val="tx1"/>
            </w14:solidFill>
          </w14:textFill>
        </w:rPr>
        <w:t xml:space="preserve">的相关证明材料、合同等，须在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文件中提供</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复印件并加盖投标人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公章作为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文件的组成部分。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须保证提供资料的真实性，如提供虚假材料的，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人有权取消其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资格。</w:t>
      </w:r>
      <w:r/>
    </w:p>
    <w:p>
      <w:pPr>
        <w:ind w:firstLine="480"/>
        <w:spacing w:line="360" w:lineRule="auto"/>
        <w:tabs>
          <w:tab w:val="left" w:pos="945"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2.以上评分标准中评分的每一条，各投标单位均应提供相关的资料并作出相应的对比供评分评判。</w:t>
      </w:r>
      <w:r/>
    </w:p>
    <w:p>
      <w:pPr>
        <w:ind w:firstLine="480"/>
        <w:spacing w:line="360" w:lineRule="auto"/>
        <w:tabs>
          <w:tab w:val="left" w:pos="945"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文件中如出现前后不一致时</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有权请</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澄清说明</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澄清说明事项涉及评分时，该项不得分。</w:t>
      </w:r>
      <w:r/>
    </w:p>
    <w:p>
      <w:pPr>
        <w:ind w:firstLine="480"/>
        <w:spacing w:line="360" w:lineRule="auto"/>
        <w:tabs>
          <w:tab w:val="left" w:pos="945"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承诺所提供的商务、技术、业绩资料全部真实，如有伪造，视作</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自动放弃投标及</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资格，并视作</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自愿接受相关处罚。</w:t>
      </w:r>
      <w:r/>
    </w:p>
    <w:p>
      <w:pPr>
        <w:ind w:firstLine="480"/>
        <w:spacing w:line="360" w:lineRule="auto"/>
        <w:tabs>
          <w:tab w:val="left" w:pos="945"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5.报价超过预算金额的，不得进入评标程序。</w:t>
      </w:r>
      <w:r/>
    </w:p>
    <w:p>
      <w:pPr>
        <w:ind w:firstLine="480"/>
        <w:spacing w:line="360" w:lineRule="auto"/>
        <w:tabs>
          <w:tab w:val="left" w:pos="945"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应根据国家政策调整规律进行报价，充分考虑服务期内的市场因素和成本变化状况的风险。</w:t>
      </w:r>
      <w:r/>
    </w:p>
    <w:p>
      <w:pPr>
        <w:ind w:firstLine="480"/>
        <w:spacing w:line="360" w:lineRule="auto"/>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.本办法未尽事宜，由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依据有关法规研究解决。</w:t>
      </w:r>
      <w:bookmarkEnd w:id="53"/>
      <w:r/>
      <w:bookmarkEnd w:id="54"/>
      <w:r/>
      <w:bookmarkEnd w:id="55"/>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pStyle w:val="1057"/>
        <w:jc w:val="center"/>
        <w:spacing w:before="0" w:after="0" w:line="360" w:lineRule="auto"/>
        <w:rPr>
          <w:rFonts w:hint="eastAsia" w:ascii="宋体" w:hAnsi="宋体" w:eastAsia="宋体" w:cs="宋体"/>
          <w:color w:val="000000" w:themeColor="text1"/>
          <w:sz w:val="32"/>
          <w:szCs w:val="32"/>
          <w:highlight w:val="none"/>
          <w:lang w:val="en-US" w:eastAsia="zh-CN"/>
          <w14:textFill>
            <w14:solidFill>
              <w14:schemeClr w14:val="tx1"/>
            </w14:solidFill>
          </w14:textFill>
        </w:rPr>
      </w:pPr>
      <w:r/>
      <w:bookmarkStart w:id="56" w:name="_Toc14625"/>
      <w:r>
        <w:rPr>
          <w:rFonts w:hint="eastAsia" w:ascii="宋体" w:hAnsi="宋体" w:eastAsia="宋体" w:cs="宋体"/>
          <w:color w:val="000000" w:themeColor="text1"/>
          <w:sz w:val="32"/>
          <w:szCs w:val="32"/>
          <w:highlight w:val="none"/>
          <w14:textFill>
            <w14:solidFill>
              <w14:schemeClr w14:val="tx1"/>
            </w14:solidFill>
          </w14:textFill>
        </w:rPr>
        <w:t xml:space="preserve">第五章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 xml:space="preserve">合同条款</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及格式</w:t>
      </w:r>
      <w:bookmarkEnd w:id="56"/>
      <w:r/>
      <w:r/>
    </w:p>
    <w:p>
      <w:pPr>
        <w:jc w:val="center"/>
        <w:keepLines w:val="0"/>
        <w:keepNext w:val="0"/>
        <w:pageBreakBefore w:val="0"/>
        <w:spacing w:after="0" w:line="360" w:lineRule="auto"/>
        <w:widowControl/>
        <w:rPr>
          <w:rFonts w:hint="eastAsia" w:ascii="宋体" w:hAnsi="宋体" w:eastAsia="宋体" w:cs="宋体"/>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注：本合同样本仅供参考，具体内容由</w:t>
      </w:r>
      <w:r>
        <w:rPr>
          <w:rFonts w:hint="eastAsia" w:ascii="宋体" w:hAnsi="宋体" w:eastAsia="宋体" w:cs="宋体"/>
          <w:b/>
          <w:color w:val="000000" w:themeColor="text1"/>
          <w:highlight w:val="none"/>
          <w:lang w:val="en-US" w:eastAsia="zh-CN"/>
          <w14:textFill>
            <w14:solidFill>
              <w14:schemeClr w14:val="tx1"/>
            </w14:solidFill>
          </w14:textFill>
        </w:rPr>
        <w:t xml:space="preserve">招标人</w:t>
      </w:r>
      <w:r>
        <w:rPr>
          <w:rFonts w:hint="eastAsia" w:ascii="宋体" w:hAnsi="宋体" w:eastAsia="宋体" w:cs="宋体"/>
          <w:b/>
          <w:color w:val="000000" w:themeColor="text1"/>
          <w:highlight w:val="none"/>
          <w14:textFill>
            <w14:solidFill>
              <w14:schemeClr w14:val="tx1"/>
            </w14:solidFill>
          </w14:textFill>
        </w:rPr>
        <w:t xml:space="preserve">和</w:t>
      </w:r>
      <w:r>
        <w:rPr>
          <w:rFonts w:hint="eastAsia" w:ascii="宋体" w:hAnsi="宋体" w:eastAsia="宋体" w:cs="宋体"/>
          <w:b/>
          <w:color w:val="000000" w:themeColor="text1"/>
          <w:highlight w:val="none"/>
          <w:lang w:val="en-US" w:eastAsia="zh-CN"/>
          <w14:textFill>
            <w14:solidFill>
              <w14:schemeClr w14:val="tx1"/>
            </w14:solidFill>
          </w14:textFill>
        </w:rPr>
        <w:t xml:space="preserve">中标</w:t>
      </w:r>
      <w:r>
        <w:rPr>
          <w:rFonts w:hint="eastAsia" w:ascii="宋体" w:hAnsi="宋体" w:eastAsia="宋体" w:cs="宋体"/>
          <w:b/>
          <w:color w:val="000000" w:themeColor="text1"/>
          <w:highlight w:val="none"/>
          <w14:textFill>
            <w14:solidFill>
              <w14:schemeClr w14:val="tx1"/>
            </w14:solidFill>
          </w14:textFill>
        </w:rPr>
        <w:t xml:space="preserve">单位协商确定。</w:t>
      </w:r>
      <w:r/>
    </w:p>
    <w:p>
      <w:pPr>
        <w:ind w:left="899"/>
        <w:keepLines w:val="0"/>
        <w:keepNext w:val="0"/>
        <w:pageBreakBefore w:val="0"/>
        <w:spacing w:after="0"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甲方</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ind w:left="891"/>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4"/>
          <w:sz w:val="24"/>
          <w:szCs w:val="24"/>
          <w:highlight w:val="none"/>
          <w14:textFill>
            <w14:solidFill>
              <w14:schemeClr w14:val="tx1"/>
            </w14:solidFill>
          </w14:textFill>
        </w:rPr>
        <w:t xml:space="preserve">乙方</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中标人）：</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甲乙双方根据江苏农牧科技职业学院实训基地升级改造项目（水禽性能测定中心水禽养殖笼具采购）项目公开招标的结果及招标文件的要求，经协商一致，订立本合同。</w:t>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一、采购内容</w:t>
      </w:r>
      <w:r/>
    </w:p>
    <w:tbl>
      <w:tblPr>
        <w:tblStyle w:val="1202"/>
        <w:tblW w:w="9791"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5"/>
        <w:gridCol w:w="1708"/>
        <w:gridCol w:w="1818"/>
        <w:gridCol w:w="1168"/>
        <w:gridCol w:w="1092"/>
        <w:gridCol w:w="1049"/>
        <w:gridCol w:w="1063"/>
        <w:gridCol w:w="918"/>
      </w:tblGrid>
      <w:tr>
        <w:trPr>
          <w:trHeight w:val="460"/>
        </w:trPr>
        <w:tc>
          <w:tcPr>
            <w:tcW w:w="975" w:type="dxa"/>
            <w:vAlign w:val="center"/>
            <w:textDirection w:val="lrTb"/>
            <w:noWrap w:val="false"/>
          </w:tcPr>
          <w:p>
            <w:pPr>
              <w:jc w:val="center"/>
              <w:keepLines w:val="0"/>
              <w:keepNext w:val="0"/>
              <w:pageBreakBefore w:val="0"/>
              <w:spacing w:beforeAutospacing="0" w:after="0" w:afterAutospacing="0" w:line="0" w:lineRule="atLeast"/>
              <w:widowControl/>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项目</w:t>
            </w:r>
            <w:r/>
          </w:p>
        </w:tc>
        <w:tc>
          <w:tcPr>
            <w:tcW w:w="1708" w:type="dxa"/>
            <w:vAlign w:val="center"/>
            <w:textDirection w:val="lrTb"/>
            <w:noWrap w:val="false"/>
          </w:tcPr>
          <w:p>
            <w:pPr>
              <w:jc w:val="center"/>
              <w:keepLines w:val="0"/>
              <w:keepNext w:val="0"/>
              <w:pageBreakBefore w:val="0"/>
              <w:spacing w:beforeAutospacing="0" w:after="0" w:afterAutospacing="0" w:line="0" w:lineRule="atLeast"/>
              <w:widowControl/>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配置要求</w:t>
            </w:r>
            <w:r/>
          </w:p>
        </w:tc>
        <w:tc>
          <w:tcPr>
            <w:tcW w:w="1818" w:type="dxa"/>
            <w:vAlign w:val="center"/>
            <w:textDirection w:val="lrTb"/>
            <w:noWrap w:val="false"/>
          </w:tcPr>
          <w:p>
            <w:pPr>
              <w:jc w:val="center"/>
              <w:keepLines w:val="0"/>
              <w:keepNext w:val="0"/>
              <w:pageBreakBefore w:val="0"/>
              <w:spacing w:beforeAutospacing="0" w:after="0" w:afterAutospacing="0" w:line="0" w:lineRule="atLeast"/>
              <w:widowControl/>
              <w:rPr>
                <w:rFonts w:hint="default"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单位</w:t>
            </w:r>
            <w:r/>
          </w:p>
        </w:tc>
        <w:tc>
          <w:tcPr>
            <w:tcW w:w="1168" w:type="dxa"/>
            <w:vAlign w:val="center"/>
            <w:textDirection w:val="lrTb"/>
            <w:noWrap w:val="false"/>
          </w:tcPr>
          <w:p>
            <w:pPr>
              <w:jc w:val="center"/>
              <w:keepLines w:val="0"/>
              <w:keepNext w:val="0"/>
              <w:pageBreakBefore w:val="0"/>
              <w:spacing w:beforeAutospacing="0" w:after="0" w:afterAutospacing="0" w:line="0" w:lineRule="atLeast"/>
              <w:widowControl/>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数量</w:t>
            </w:r>
            <w:r/>
          </w:p>
        </w:tc>
        <w:tc>
          <w:tcPr>
            <w:tcW w:w="1092" w:type="dxa"/>
            <w:vAlign w:val="center"/>
            <w:textDirection w:val="lrTb"/>
            <w:noWrap w:val="false"/>
          </w:tcPr>
          <w:p>
            <w:pPr>
              <w:jc w:val="center"/>
              <w:keepLines w:val="0"/>
              <w:keepNext w:val="0"/>
              <w:pageBreakBefore w:val="0"/>
              <w:spacing w:after="0" w:line="0" w:lineRule="atLeast"/>
              <w:widowControl/>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单价</w:t>
            </w:r>
            <w:r/>
          </w:p>
        </w:tc>
        <w:tc>
          <w:tcPr>
            <w:tcW w:w="1049" w:type="dxa"/>
            <w:vAlign w:val="center"/>
            <w:textDirection w:val="lrTb"/>
            <w:noWrap w:val="false"/>
          </w:tcPr>
          <w:p>
            <w:pPr>
              <w:jc w:val="center"/>
              <w:keepLines w:val="0"/>
              <w:keepNext w:val="0"/>
              <w:pageBreakBefore w:val="0"/>
              <w:spacing w:after="0" w:line="0" w:lineRule="atLeast"/>
              <w:widowControl/>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合价</w:t>
            </w:r>
            <w:r/>
          </w:p>
        </w:tc>
        <w:tc>
          <w:tcPr>
            <w:tcW w:w="1063" w:type="dxa"/>
            <w:vAlign w:val="center"/>
            <w:textDirection w:val="lrTb"/>
            <w:noWrap w:val="false"/>
          </w:tcPr>
          <w:p>
            <w:pPr>
              <w:jc w:val="center"/>
              <w:keepLines w:val="0"/>
              <w:keepNext w:val="0"/>
              <w:pageBreakBefore w:val="0"/>
              <w:spacing w:after="0" w:line="0" w:lineRule="atLeast"/>
              <w:widowControl/>
              <w:rPr>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品牌/型号</w:t>
            </w:r>
            <w:r/>
          </w:p>
        </w:tc>
        <w:tc>
          <w:tcPr>
            <w:tcW w:w="918" w:type="dxa"/>
            <w:vAlign w:val="center"/>
            <w:textDirection w:val="lrTb"/>
            <w:noWrap w:val="false"/>
          </w:tcPr>
          <w:p>
            <w:pPr>
              <w:jc w:val="center"/>
              <w:keepLines w:val="0"/>
              <w:keepNext w:val="0"/>
              <w:pageBreakBefore w:val="0"/>
              <w:spacing w:after="0" w:line="0" w:lineRule="atLeast"/>
              <w:widowControl/>
              <w:rPr>
                <w:rFonts w:hint="eastAsia" w:eastAsia="宋体"/>
                <w:b w:val="0"/>
                <w:bCs w:val="0"/>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备注</w:t>
            </w:r>
            <w:r/>
          </w:p>
        </w:tc>
      </w:tr>
      <w:tr>
        <w:trPr>
          <w:trHeight w:val="567"/>
        </w:trPr>
        <w:tc>
          <w:tcPr>
            <w:tcW w:w="975"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7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8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16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49"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63"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9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r>
        <w:trPr>
          <w:trHeight w:val="567"/>
        </w:trPr>
        <w:tc>
          <w:tcPr>
            <w:tcW w:w="975"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7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8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16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49"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63"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9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r>
        <w:trPr>
          <w:trHeight w:val="567"/>
        </w:trPr>
        <w:tc>
          <w:tcPr>
            <w:tcW w:w="975"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7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8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16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49"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63"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9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r>
        <w:trPr>
          <w:trHeight w:val="567"/>
        </w:trPr>
        <w:tc>
          <w:tcPr>
            <w:tcW w:w="975"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7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8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16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49"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63"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9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r>
        <w:trPr>
          <w:trHeight w:val="567"/>
        </w:trPr>
        <w:tc>
          <w:tcPr>
            <w:tcW w:w="975"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7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8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16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49"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63"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9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r>
        <w:trPr>
          <w:trHeight w:val="567"/>
        </w:trPr>
        <w:tc>
          <w:tcPr>
            <w:tcW w:w="975"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7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8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16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92"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49"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1063"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c>
          <w:tcPr>
            <w:tcW w:w="91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r>
        <w:trPr>
          <w:trHeight w:val="567"/>
        </w:trPr>
        <w:tc>
          <w:tcPr>
            <w:gridSpan w:val="2"/>
            <w:tcW w:w="2683" w:type="dxa"/>
            <w:vAlign w:val="center"/>
            <w:textDirection w:val="lrTb"/>
            <w:noWrap w:val="false"/>
          </w:tcPr>
          <w:p>
            <w:pPr>
              <w:pStyle w:val="1210"/>
              <w:jc w:val="center"/>
              <w:keepLines w:val="0"/>
              <w:keepNext w:val="0"/>
              <w:pageBreakBefore w:val="0"/>
              <w:spacing w:after="0" w:line="276" w:lineRule="auto"/>
              <w:widowControl/>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合计</w:t>
            </w:r>
            <w:r/>
          </w:p>
        </w:tc>
        <w:tc>
          <w:tcPr>
            <w:gridSpan w:val="6"/>
            <w:tcW w:w="7108" w:type="dxa"/>
            <w:vAlign w:val="center"/>
            <w:textDirection w:val="lrTb"/>
            <w:noWrap w:val="false"/>
          </w:tcPr>
          <w:p>
            <w:pPr>
              <w:jc w:val="center"/>
              <w:keepLines w:val="0"/>
              <w:keepNext w:val="0"/>
              <w:pageBreakBefore w:val="0"/>
              <w:spacing w:after="0" w:line="276" w:lineRule="auto"/>
              <w:widowControl/>
              <w:rPr>
                <w:rFonts w:ascii="Arial"/>
                <w:color w:val="000000" w:themeColor="text1"/>
                <w:sz w:val="24"/>
                <w:szCs w:val="24"/>
                <w:highlight w:val="none"/>
                <w14:textFill>
                  <w14:solidFill>
                    <w14:schemeClr w14:val="tx1"/>
                  </w14:solidFill>
                </w14:textFill>
              </w:rPr>
            </w:pPr>
            <w:r>
              <w:rPr>
                <w:rFonts w:ascii="Arial"/>
                <w:color w:val="000000" w:themeColor="text1"/>
                <w:sz w:val="24"/>
                <w:szCs w:val="24"/>
                <w:highlight w:val="none"/>
                <w14:textFill>
                  <w14:solidFill>
                    <w14:schemeClr w14:val="tx1"/>
                  </w14:solidFill>
                </w14:textFill>
              </w:rPr>
            </w:r>
            <w:r/>
          </w:p>
        </w:tc>
      </w:tr>
    </w:tbl>
    <w:p>
      <w:pPr>
        <w:ind w:left="811"/>
        <w:keepLines w:val="0"/>
        <w:keepNext w:val="0"/>
        <w:pageBreakBefore w:val="0"/>
        <w:spacing w:line="96" w:lineRule="auto"/>
        <w:widowControl/>
        <w:rPr>
          <w:rFonts w:ascii="宋体" w:hAnsi="宋体" w:eastAsia="宋体" w:cs="宋体"/>
          <w:b/>
          <w:bCs/>
          <w:color w:val="000000" w:themeColor="text1"/>
          <w:spacing w:val="-5"/>
          <w:sz w:val="24"/>
          <w:szCs w:val="24"/>
          <w:highlight w:val="none"/>
          <w14:textFill>
            <w14:solidFill>
              <w14:schemeClr w14:val="tx1"/>
            </w14:solidFill>
          </w14:textFill>
        </w:rPr>
      </w:pPr>
      <w:r>
        <w:rPr>
          <w:rFonts w:ascii="宋体" w:hAnsi="宋体" w:eastAsia="宋体" w:cs="宋体"/>
          <w:b/>
          <w:bCs/>
          <w:color w:val="000000" w:themeColor="text1"/>
          <w:spacing w:val="-5"/>
          <w:sz w:val="24"/>
          <w:szCs w:val="24"/>
          <w:highlight w:val="none"/>
          <w14:textFill>
            <w14:solidFill>
              <w14:schemeClr w14:val="tx1"/>
            </w14:solidFill>
          </w14:textFill>
        </w:rPr>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二、合同金额</w:t>
      </w:r>
      <w:r/>
    </w:p>
    <w:p>
      <w:pPr>
        <w:ind w:firstLine="476"/>
        <w:keepLines w:val="0"/>
        <w:keepNext w:val="0"/>
        <w:pageBreakBefore w:val="0"/>
        <w:spacing w:after="0" w:line="360" w:lineRule="auto"/>
        <w:widowControl/>
        <w:rPr>
          <w:rFonts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pacing w:val="-1"/>
          <w:sz w:val="24"/>
          <w:szCs w:val="24"/>
          <w:highlight w:val="none"/>
          <w14:textFill>
            <w14:solidFill>
              <w14:schemeClr w14:val="tx1"/>
            </w14:solidFill>
          </w14:textFill>
        </w:rPr>
        <w:t xml:space="preserve">本合同金额为（大写</w:t>
      </w:r>
      <w:r>
        <w:rPr>
          <w:rFonts w:ascii="宋体" w:hAnsi="宋体" w:eastAsia="宋体" w:cs="宋体"/>
          <w:color w:val="000000" w:themeColor="text1"/>
          <w:spacing w:val="10"/>
          <w:sz w:val="24"/>
          <w:szCs w:val="24"/>
          <w:highlight w:val="none"/>
          <w14:textFill>
            <w14:solidFill>
              <w14:schemeClr w14:val="tx1"/>
            </w14:solidFill>
          </w14:textFill>
        </w:rPr>
        <w:t xml:space="preserve">）：</w:t>
      </w:r>
      <w:r>
        <w:rPr>
          <w:rFonts w:ascii="宋体" w:hAnsi="宋体" w:eastAsia="宋体" w:cs="宋体"/>
          <w:color w:val="000000" w:themeColor="text1"/>
          <w:spacing w:val="-1"/>
          <w:sz w:val="24"/>
          <w:szCs w:val="24"/>
          <w:highlight w:val="none"/>
          <w14:textFill>
            <w14:solidFill>
              <w14:schemeClr w14:val="tx1"/>
            </w14:solidFill>
          </w14:textFill>
        </w:rPr>
        <w:t xml:space="preserve">人民币____________元（____________元）。</w:t>
      </w:r>
      <w:r/>
    </w:p>
    <w:p>
      <w:pPr>
        <w:ind w:firstLine="480"/>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2.本合同价款应包括但不限于乙方完成本合同项下全部义务、责任及技术支持、缺陷修补、质保期内的维护、税费等费用。甲方在上述合同价款之外不再向乙方支付其他任何费用。</w:t>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三、技术资料</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1.乙方应按招标文件规定的时间向甲方提供使用货物或服务的有关技术资料。</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四、知识产权</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乙方应保证甲方在使用、接受本合同货物和服务或其任何一部分时不受第三方提出侵犯其专利权、版权、商标权和工业设计权等知识产权的起诉。一旦出现侵权，由乙方负全部责任。</w:t>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五、产权担保</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乙方保证所交付的货物和服务的所有权完全属于乙方且无任何抵押、查封等产权瑕疵。</w:t>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六、履约保证金</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乙方在收到中标通知书后合同签订前，须将合同总价款10%的履约保证金，以保函、电汇、转账、支票、汇票、保证保险等非现金形式足额缴至甲方指定账户。待合同价款全部结清后，该履约保证金予以无息退还。</w:t>
      </w:r>
      <w:r/>
    </w:p>
    <w:p>
      <w:pPr>
        <w:ind w:left="450"/>
        <w:keepLines w:val="0"/>
        <w:keepNext w:val="0"/>
        <w:pageBreakBefore w:val="0"/>
        <w:spacing w:after="0" w:line="360" w:lineRule="auto"/>
        <w:widowControl/>
        <w:rPr>
          <w:rFonts w:ascii="宋体" w:hAnsi="宋体" w:eastAsia="宋体" w:cs="宋体"/>
          <w:b/>
          <w:bCs/>
          <w:color w:val="000000" w:themeColor="text1"/>
          <w:spacing w:val="-3"/>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七、转包或分包</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本合同范</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围内</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的货物，应由乙方直接供应，不得转让他人供应；</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除非得到甲方的书面同意，乙方不得部分分包给他人供应。</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如有转让和未经甲方同意的分包行为，甲方有权给予终止合同。</w:t>
      </w:r>
      <w:r/>
    </w:p>
    <w:p>
      <w:pPr>
        <w:ind w:left="448"/>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八、交货期、交货地点</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交货期：</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合同签订后45个日历天完成供货、安装调试、交付工作。</w:t>
      </w:r>
      <w:r/>
    </w:p>
    <w:p>
      <w:pPr>
        <w:ind w:left="23" w:right="57" w:firstLine="423"/>
        <w:keepLines w:val="0"/>
        <w:keepNext w:val="0"/>
        <w:pageBreakBefore w:val="0"/>
        <w:spacing w:after="0" w:line="360" w:lineRule="auto"/>
        <w:widowControl/>
        <w:rPr>
          <w:rFonts w:hint="default" w:ascii="宋体" w:hAnsi="宋体" w:eastAsia="宋体" w:cs="宋体"/>
          <w:color w:val="000000" w:themeColor="text1"/>
          <w:spacing w:val="-3"/>
          <w:sz w:val="24"/>
          <w:szCs w:val="24"/>
          <w:highlight w:val="none"/>
          <w:lang w:val="en-US"/>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交货地点：江苏省泰州市</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苏红路</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68号（江苏农牧科技职业学院红旗大道校区）。</w:t>
      </w:r>
      <w:r/>
    </w:p>
    <w:p>
      <w:pPr>
        <w:ind w:left="450"/>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九、合同款支付</w:t>
      </w:r>
      <w:r/>
    </w:p>
    <w:p>
      <w:pPr>
        <w:ind w:left="23" w:right="57" w:firstLine="423"/>
        <w:keepLines w:val="0"/>
        <w:keepNext w:val="0"/>
        <w:pageBreakBefore w:val="0"/>
        <w:spacing w:after="0" w:line="360" w:lineRule="auto"/>
        <w:widowControl/>
        <w:rPr>
          <w:rFonts w:hint="default" w:ascii="宋体" w:hAnsi="宋体" w:eastAsia="宋体" w:cs="宋体"/>
          <w:strike w:val="0"/>
          <w:color w:val="000000" w:themeColor="text1"/>
          <w:sz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highlight w:val="none"/>
          <w:lang w:val="en-US" w:eastAsia="zh-CN"/>
          <w14:textFill>
            <w14:solidFill>
              <w14:schemeClr w14:val="tx1"/>
            </w14:solidFill>
          </w14:textFill>
        </w:rPr>
        <w:t xml:space="preserve">付款方式：货到清点无误后支付合同总价款的80%，设备安装、调试并经甲方验收合格后（验收由双方共同验收并出具验收报告）付清余款。</w:t>
      </w:r>
      <w:r/>
    </w:p>
    <w:p>
      <w:pPr>
        <w:ind w:left="23" w:right="57" w:firstLine="423"/>
        <w:keepLines w:val="0"/>
        <w:keepNext w:val="0"/>
        <w:pageBreakBefore w:val="0"/>
        <w:spacing w:after="0" w:line="360" w:lineRule="auto"/>
        <w:widowControl/>
        <w:rPr>
          <w:rFonts w:hint="eastAsia" w:ascii="宋体" w:hAnsi="宋体" w:eastAsia="宋体" w:cs="宋体"/>
          <w:strike w:val="0"/>
          <w:color w:val="000000" w:themeColor="text1"/>
          <w:sz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highlight w:val="none"/>
          <w:lang w:val="en-US" w:eastAsia="zh-CN"/>
          <w14:textFill>
            <w14:solidFill>
              <w14:schemeClr w14:val="tx1"/>
            </w14:solidFill>
          </w14:textFill>
        </w:rPr>
        <w:t xml:space="preserve">发票要求：甲方支付每笔款项前，乙方须先行提供符合财税管理规定的增值税发票。</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4"/>
          <w:sz w:val="24"/>
          <w:szCs w:val="24"/>
          <w:highlight w:val="none"/>
          <w14:textFill>
            <w14:solidFill>
              <w14:schemeClr w14:val="tx1"/>
            </w14:solidFill>
          </w14:textFill>
        </w:rPr>
        <w:t xml:space="preserve">十、税费</w:t>
      </w:r>
      <w:r/>
    </w:p>
    <w:p>
      <w:pPr>
        <w:ind w:left="443"/>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本合同执行中相关的一切税费均由乙方负担。</w:t>
      </w:r>
      <w:r/>
    </w:p>
    <w:p>
      <w:pPr>
        <w:ind w:left="445"/>
        <w:keepLines w:val="0"/>
        <w:keepNext w:val="0"/>
        <w:pageBreakBefore w:val="0"/>
        <w:spacing w:after="0" w:line="360" w:lineRule="auto"/>
        <w:widowControl/>
        <w:rPr>
          <w:rFonts w:hint="default" w:ascii="宋体" w:hAnsi="宋体" w:eastAsia="宋体" w:cs="宋体"/>
          <w:b/>
          <w:bCs/>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十一、</w:t>
      </w:r>
      <w:r>
        <w:rPr>
          <w:rFonts w:ascii="宋体" w:hAnsi="宋体" w:eastAsia="宋体" w:cs="宋体"/>
          <w:b/>
          <w:bCs/>
          <w:color w:val="000000" w:themeColor="text1"/>
          <w:spacing w:val="-3"/>
          <w:sz w:val="24"/>
          <w:szCs w:val="24"/>
          <w:highlight w:val="none"/>
          <w14:textFill>
            <w14:solidFill>
              <w14:schemeClr w14:val="tx1"/>
            </w14:solidFill>
          </w14:textFill>
        </w:rPr>
        <w:t xml:space="preserve">质量保证</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及售后服务</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1.质保期：自项目竣工验收合格之日起12个月，提供免费维修及备件更换。</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2.响应时间：故障报修后1小时内响应，24小时内到场解决。</w:t>
      </w:r>
      <w:r/>
    </w:p>
    <w:p>
      <w:pPr>
        <w:ind w:left="23" w:right="57" w:firstLine="423"/>
        <w:keepLines w:val="0"/>
        <w:keepNext w:val="0"/>
        <w:pageBreakBefore w:val="0"/>
        <w:spacing w:after="0" w:line="360" w:lineRule="auto"/>
        <w:widowControl/>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3.在质保期内，乙方应对货物出现的质量及安全问题负责处理解决并承担一切费用。</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十二、调试和验收</w:t>
      </w:r>
      <w:r/>
    </w:p>
    <w:p>
      <w:pPr>
        <w:ind w:left="27" w:right="7" w:firstLine="417"/>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甲方对乙方提交的货物依据招标文件上的技术规格要求和国家有关质量标准进行现场初步验收，外观、说明书符合招标文件技术要求的，给予签收，初步验收不合格的不予签收。货到并安装调试结束后，甲方需在七个工作日内验收。</w:t>
      </w:r>
      <w:r/>
    </w:p>
    <w:p>
      <w:pPr>
        <w:ind w:left="27" w:right="7" w:firstLine="417"/>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2.乙方交货前应对产品作出全面检查和对验收文件进行整理，并列出清单，作为甲方收</w:t>
      </w:r>
      <w:r>
        <w:rPr>
          <w:rFonts w:ascii="宋体" w:hAnsi="宋体" w:eastAsia="宋体" w:cs="宋体"/>
          <w:color w:val="000000" w:themeColor="text1"/>
          <w:spacing w:val="-1"/>
          <w:sz w:val="24"/>
          <w:szCs w:val="24"/>
          <w:highlight w:val="none"/>
          <w14:textFill>
            <w14:solidFill>
              <w14:schemeClr w14:val="tx1"/>
            </w14:solidFill>
          </w14:textFill>
        </w:rPr>
        <w:t xml:space="preserve">货验收和使用的技术条件依据，检验的结果应随货物交甲方。</w:t>
      </w:r>
      <w:r/>
    </w:p>
    <w:p>
      <w:pPr>
        <w:ind w:left="24" w:right="7" w:firstLine="422"/>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3.甲方对乙方提供的货物在使用前进行调试时，乙方需负责安装并培训甲方的使用操作</w:t>
      </w:r>
      <w:r>
        <w:rPr>
          <w:rFonts w:ascii="宋体" w:hAnsi="宋体" w:eastAsia="宋体" w:cs="宋体"/>
          <w:color w:val="000000" w:themeColor="text1"/>
          <w:spacing w:val="-1"/>
          <w:sz w:val="24"/>
          <w:szCs w:val="24"/>
          <w:highlight w:val="none"/>
          <w14:textFill>
            <w14:solidFill>
              <w14:schemeClr w14:val="tx1"/>
            </w14:solidFill>
          </w14:textFill>
        </w:rPr>
        <w:t xml:space="preserve">人员，并协助甲方一起调试，直到符合技术要求，甲方才做最终验收。</w:t>
      </w:r>
      <w:r/>
    </w:p>
    <w:p>
      <w:pPr>
        <w:ind w:left="48" w:right="7" w:firstLine="393"/>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4.对技术复杂的货物，甲方可请国家认可的专</w:t>
      </w:r>
      <w:r>
        <w:rPr>
          <w:rFonts w:ascii="宋体" w:hAnsi="宋体" w:eastAsia="宋体" w:cs="宋体"/>
          <w:color w:val="000000" w:themeColor="text1"/>
          <w:spacing w:val="-3"/>
          <w:sz w:val="24"/>
          <w:szCs w:val="24"/>
          <w:highlight w:val="none"/>
          <w14:textFill>
            <w14:solidFill>
              <w14:schemeClr w14:val="tx1"/>
            </w14:solidFill>
          </w14:textFill>
        </w:rPr>
        <w:t xml:space="preserve">业检测机构参与初步验收及最终验收，并</w:t>
      </w:r>
      <w:r>
        <w:rPr>
          <w:rFonts w:ascii="宋体" w:hAnsi="宋体" w:eastAsia="宋体" w:cs="宋体"/>
          <w:color w:val="000000" w:themeColor="text1"/>
          <w:spacing w:val="-5"/>
          <w:sz w:val="24"/>
          <w:szCs w:val="24"/>
          <w:highlight w:val="none"/>
          <w14:textFill>
            <w14:solidFill>
              <w14:schemeClr w14:val="tx1"/>
            </w14:solidFill>
          </w14:textFill>
        </w:rPr>
        <w:t xml:space="preserve">由其出具质量检测报告。</w:t>
      </w:r>
      <w:r/>
    </w:p>
    <w:p>
      <w:pPr>
        <w:ind w:left="29" w:right="7" w:firstLine="417"/>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5.验收时乙方必须在现场，验收完毕后作出验收结果报告。验收费用由甲乙双方协商解</w:t>
      </w:r>
      <w:r>
        <w:rPr>
          <w:rFonts w:ascii="宋体" w:hAnsi="宋体" w:eastAsia="宋体" w:cs="宋体"/>
          <w:color w:val="000000" w:themeColor="text1"/>
          <w:spacing w:val="-11"/>
          <w:sz w:val="24"/>
          <w:szCs w:val="24"/>
          <w:highlight w:val="none"/>
          <w14:textFill>
            <w14:solidFill>
              <w14:schemeClr w14:val="tx1"/>
            </w14:solidFill>
          </w14:textFill>
        </w:rPr>
        <w:t xml:space="preserve">决。</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十三、包装、发运及运输</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2.使用说明书、质量检验证明书、随配附件和工具以及清单一并附于货物内。</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3.乙方在货物发运手续办理完毕后24小时内或货到甲方48小时前通知甲方，以准备接货。</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4.</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货物在交付甲方前发生的风险均由乙方负责。</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十四、违约责任</w:t>
      </w:r>
      <w:r/>
    </w:p>
    <w:p>
      <w:pPr>
        <w:ind w:left="458"/>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1.甲方无正当理由拒收货物的，甲方向乙方偿付拒收货款总值的百分之五违约金。</w:t>
      </w:r>
      <w:r/>
    </w:p>
    <w:p>
      <w:pPr>
        <w:ind w:left="23" w:right="57" w:firstLine="421"/>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2.甲方无故逾期验收和办理货款支付手续的，甲方应按逾期付款总额每日万分之五向乙方支付违约金。</w:t>
      </w:r>
      <w:r/>
    </w:p>
    <w:p>
      <w:pPr>
        <w:ind w:left="23" w:right="57" w:firstLine="423"/>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3.乙方逾期交付货物的，乙方应按逾期交货总额每日千分之五向甲方支付违约金，由甲方从待付货款中扣除。非因不可抗力逾期超过约定日期3个工作日不能交货的，甲方可解除</w:t>
      </w:r>
      <w:r>
        <w:rPr>
          <w:rFonts w:ascii="宋体" w:hAnsi="宋体" w:eastAsia="宋体" w:cs="宋体"/>
          <w:color w:val="000000" w:themeColor="text1"/>
          <w:spacing w:val="-2"/>
          <w:sz w:val="24"/>
          <w:szCs w:val="24"/>
          <w:highlight w:val="none"/>
          <w14:textFill>
            <w14:solidFill>
              <w14:schemeClr w14:val="tx1"/>
            </w14:solidFill>
          </w14:textFill>
        </w:rPr>
        <w:t xml:space="preserve">本合同。</w:t>
      </w:r>
      <w:r/>
    </w:p>
    <w:p>
      <w:pPr>
        <w:ind w:left="23" w:right="58" w:firstLine="418"/>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2"/>
          <w:sz w:val="24"/>
          <w:szCs w:val="24"/>
          <w:highlight w:val="none"/>
          <w14:textFill>
            <w14:solidFill>
              <w14:schemeClr w14:val="tx1"/>
            </w14:solidFill>
          </w14:textFill>
        </w:rPr>
        <w:t xml:space="preserve">4.乙方所交的货物品种、型号、规格、技术</w:t>
      </w:r>
      <w:r>
        <w:rPr>
          <w:rFonts w:ascii="宋体" w:hAnsi="宋体" w:eastAsia="宋体" w:cs="宋体"/>
          <w:color w:val="000000" w:themeColor="text1"/>
          <w:spacing w:val="-3"/>
          <w:sz w:val="24"/>
          <w:szCs w:val="24"/>
          <w:highlight w:val="none"/>
          <w14:textFill>
            <w14:solidFill>
              <w14:schemeClr w14:val="tx1"/>
            </w14:solidFill>
          </w14:textFill>
        </w:rPr>
        <w:t xml:space="preserve">参数、质量不符合合同规定及</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招标</w:t>
      </w:r>
      <w:r>
        <w:rPr>
          <w:rFonts w:ascii="宋体" w:hAnsi="宋体" w:eastAsia="宋体" w:cs="宋体"/>
          <w:color w:val="000000" w:themeColor="text1"/>
          <w:spacing w:val="-3"/>
          <w:sz w:val="24"/>
          <w:szCs w:val="24"/>
          <w:highlight w:val="none"/>
          <w14:textFill>
            <w14:solidFill>
              <w14:schemeClr w14:val="tx1"/>
            </w14:solidFill>
          </w14:textFill>
        </w:rPr>
        <w:t xml:space="preserve">文件规定</w:t>
      </w:r>
      <w:r>
        <w:rPr>
          <w:rFonts w:ascii="宋体" w:hAnsi="宋体" w:eastAsia="宋体" w:cs="宋体"/>
          <w:color w:val="000000" w:themeColor="text1"/>
          <w:spacing w:val="-2"/>
          <w:sz w:val="24"/>
          <w:szCs w:val="24"/>
          <w:highlight w:val="none"/>
          <w14:textFill>
            <w14:solidFill>
              <w14:schemeClr w14:val="tx1"/>
            </w14:solidFill>
          </w14:textFill>
        </w:rPr>
        <w:t xml:space="preserve">标准的，甲方有权拒收该货物，乙方愿意更换货物</w:t>
      </w:r>
      <w:r>
        <w:rPr>
          <w:rFonts w:ascii="宋体" w:hAnsi="宋体" w:eastAsia="宋体" w:cs="宋体"/>
          <w:color w:val="000000" w:themeColor="text1"/>
          <w:spacing w:val="-3"/>
          <w:sz w:val="24"/>
          <w:szCs w:val="24"/>
          <w:highlight w:val="none"/>
          <w14:textFill>
            <w14:solidFill>
              <w14:schemeClr w14:val="tx1"/>
            </w14:solidFill>
          </w14:textFill>
        </w:rPr>
        <w:t xml:space="preserve">但逾期交货的，按乙方逾期交货处理。乙</w:t>
      </w:r>
      <w:r>
        <w:rPr>
          <w:rFonts w:ascii="宋体" w:hAnsi="宋体" w:eastAsia="宋体" w:cs="宋体"/>
          <w:color w:val="000000" w:themeColor="text1"/>
          <w:spacing w:val="-1"/>
          <w:sz w:val="24"/>
          <w:szCs w:val="24"/>
          <w:highlight w:val="none"/>
          <w14:textFill>
            <w14:solidFill>
              <w14:schemeClr w14:val="tx1"/>
            </w14:solidFill>
          </w14:textFill>
        </w:rPr>
        <w:t xml:space="preserve">方拒绝更换货物的，甲方可单方面解除合同。</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十五、不可抗力事件处理</w:t>
      </w:r>
      <w:r/>
    </w:p>
    <w:p>
      <w:pPr>
        <w:ind w:left="23" w:firstLine="434"/>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1.在合同有效期内，任何一方因不可抗力事件导致不能履行合同，则合同履行期可延长，</w:t>
      </w:r>
      <w:r>
        <w:rPr>
          <w:rFonts w:ascii="宋体" w:hAnsi="宋体" w:eastAsia="宋体" w:cs="宋体"/>
          <w:color w:val="000000" w:themeColor="text1"/>
          <w:spacing w:val="-1"/>
          <w:sz w:val="24"/>
          <w:szCs w:val="24"/>
          <w:highlight w:val="none"/>
          <w14:textFill>
            <w14:solidFill>
              <w14:schemeClr w14:val="tx1"/>
            </w14:solidFill>
          </w14:textFill>
        </w:rPr>
        <w:t xml:space="preserve">其延长期与不可抗力影响期相同。</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2.不可抗力事件发生后，应立即通知对方，并寄送有关权威机构出具的证明。</w:t>
      </w:r>
      <w:r/>
    </w:p>
    <w:p>
      <w:pPr>
        <w:ind w:left="23" w:right="57" w:firstLine="423"/>
        <w:keepLines w:val="0"/>
        <w:keepNext w:val="0"/>
        <w:pageBreakBefore w:val="0"/>
        <w:spacing w:after="0" w:line="360" w:lineRule="auto"/>
        <w:widowControl/>
        <w:rPr>
          <w:rFonts w:ascii="宋体" w:hAnsi="宋体" w:eastAsia="宋体" w:cs="宋体"/>
          <w:color w:val="000000" w:themeColor="text1"/>
          <w:spacing w:val="-3"/>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3.不可抗力事件延续</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120</w:t>
      </w:r>
      <w:r>
        <w:rPr>
          <w:rFonts w:ascii="宋体" w:hAnsi="宋体" w:eastAsia="宋体" w:cs="宋体"/>
          <w:color w:val="000000" w:themeColor="text1"/>
          <w:spacing w:val="-3"/>
          <w:sz w:val="24"/>
          <w:szCs w:val="24"/>
          <w:highlight w:val="none"/>
          <w14:textFill>
            <w14:solidFill>
              <w14:schemeClr w14:val="tx1"/>
            </w14:solidFill>
          </w14:textFill>
        </w:rPr>
        <w:t xml:space="preserve">天以上，双方应通过友好协商，确定是否继续履行合同。</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十六、诉讼</w:t>
      </w:r>
      <w:r/>
    </w:p>
    <w:p>
      <w:pPr>
        <w:ind w:left="23" w:right="58" w:firstLine="419"/>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3"/>
          <w:sz w:val="24"/>
          <w:szCs w:val="24"/>
          <w:highlight w:val="none"/>
          <w14:textFill>
            <w14:solidFill>
              <w14:schemeClr w14:val="tx1"/>
            </w14:solidFill>
          </w14:textFill>
        </w:rPr>
        <w:t xml:space="preserve">双方在执行合同中所发生的一切争议，应通过协商解决。如协商不成，可向合同签订地</w:t>
      </w:r>
      <w:r>
        <w:rPr>
          <w:rFonts w:ascii="宋体" w:hAnsi="宋体" w:eastAsia="宋体" w:cs="宋体"/>
          <w:color w:val="000000" w:themeColor="text1"/>
          <w:spacing w:val="-1"/>
          <w:sz w:val="24"/>
          <w:szCs w:val="24"/>
          <w:highlight w:val="none"/>
          <w14:textFill>
            <w14:solidFill>
              <w14:schemeClr w14:val="tx1"/>
            </w14:solidFill>
          </w14:textFill>
        </w:rPr>
        <w:t xml:space="preserve">法院起诉，合同签订地在此约定为泰州市。</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b/>
          <w:bCs/>
          <w:color w:val="000000" w:themeColor="text1"/>
          <w:spacing w:val="-3"/>
          <w:sz w:val="24"/>
          <w:szCs w:val="24"/>
          <w:highlight w:val="none"/>
          <w14:textFill>
            <w14:solidFill>
              <w14:schemeClr w14:val="tx1"/>
            </w14:solidFill>
          </w14:textFill>
        </w:rPr>
        <w:t xml:space="preserve">十七、合同生效及其他</w:t>
      </w:r>
      <w:r/>
    </w:p>
    <w:p>
      <w:pPr>
        <w:ind w:left="458"/>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1.合同经双方法定代表人或授权代表人签字并加盖单位公章后生效。</w:t>
      </w:r>
      <w:r/>
    </w:p>
    <w:p>
      <w:pPr>
        <w:ind w:left="445"/>
        <w:keepLines w:val="0"/>
        <w:keepNext w:val="0"/>
        <w:pageBreakBefore w:val="0"/>
        <w:spacing w:after="0"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2.本合同未尽事宜，遵照《中华人民共和国民法典》有关</w:t>
      </w:r>
      <w:r>
        <w:rPr>
          <w:rFonts w:ascii="宋体" w:hAnsi="宋体" w:eastAsia="宋体" w:cs="宋体"/>
          <w:color w:val="000000" w:themeColor="text1"/>
          <w:spacing w:val="-1"/>
          <w:sz w:val="24"/>
          <w:szCs w:val="24"/>
          <w:highlight w:val="none"/>
          <w14:textFill>
            <w14:solidFill>
              <w14:schemeClr w14:val="tx1"/>
            </w14:solidFill>
          </w14:textFill>
        </w:rPr>
        <w:t xml:space="preserve">条文执行。</w:t>
      </w:r>
      <w:r/>
    </w:p>
    <w:p>
      <w:pPr>
        <w:ind w:left="446"/>
        <w:keepLines w:val="0"/>
        <w:keepNext w:val="0"/>
        <w:pageBreakBefore w:val="0"/>
        <w:spacing w:after="0" w:line="360" w:lineRule="auto"/>
        <w:widowControl/>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3.本合同正本一式肆份，具有同等法律效力，甲方、</w:t>
      </w:r>
      <w:r>
        <w:rPr>
          <w:rFonts w:hint="eastAsia" w:ascii="宋体" w:hAnsi="宋体" w:eastAsia="宋体" w:cs="宋体"/>
          <w:color w:val="000000" w:themeColor="text1"/>
          <w:spacing w:val="-1"/>
          <w:sz w:val="24"/>
          <w:szCs w:val="24"/>
          <w:highlight w:val="none"/>
          <w14:textFill>
            <w14:solidFill>
              <w14:schemeClr w14:val="tx1"/>
            </w14:solidFill>
          </w14:textFill>
        </w:rPr>
        <w:t xml:space="preserve">乙方各执贰份。</w:t>
      </w:r>
      <w:r/>
    </w:p>
    <w:p>
      <w:pPr>
        <w:ind w:left="446"/>
        <w:keepLines w:val="0"/>
        <w:keepNext w:val="0"/>
        <w:pageBreakBefore w:val="0"/>
        <w:spacing w:after="0" w:line="360" w:lineRule="auto"/>
        <w:widowControl/>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r>
      <w:r/>
    </w:p>
    <w:p>
      <w:pPr>
        <w:ind w:left="446"/>
        <w:keepLines w:val="0"/>
        <w:keepNext w:val="0"/>
        <w:pageBreakBefore w:val="0"/>
        <w:spacing w:after="0" w:line="360" w:lineRule="auto"/>
        <w:widowControl/>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r>
      <w:r/>
    </w:p>
    <w:p>
      <w:pPr>
        <w:ind w:left="567" w:firstLine="0"/>
        <w:keepLines w:val="0"/>
        <w:keepNext w:val="0"/>
        <w:pageBreakBefore w:val="0"/>
        <w:spacing w:after="0" w:line="480" w:lineRule="auto"/>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甲方：                             乙方：</w:t>
      </w:r>
      <w:r/>
    </w:p>
    <w:p>
      <w:pPr>
        <w:ind w:firstLine="480"/>
        <w:keepLines w:val="0"/>
        <w:keepNext w:val="0"/>
        <w:pageBreakBefore w:val="0"/>
        <w:spacing w:after="0" w:line="480" w:lineRule="auto"/>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地址：                             地址：</w:t>
      </w:r>
      <w:r/>
    </w:p>
    <w:p>
      <w:pPr>
        <w:ind w:firstLine="480"/>
        <w:keepLines w:val="0"/>
        <w:keepNext w:val="0"/>
        <w:pageBreakBefore w:val="0"/>
        <w:spacing w:after="0" w:line="480" w:lineRule="auto"/>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法定代表人或授权代表：             法定代表人或授权代表：</w:t>
      </w:r>
      <w:r/>
    </w:p>
    <w:p>
      <w:pPr>
        <w:ind w:firstLine="480"/>
        <w:keepLines w:val="0"/>
        <w:keepNext w:val="0"/>
        <w:pageBreakBefore w:val="0"/>
        <w:spacing w:after="0" w:line="480" w:lineRule="auto"/>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                         联系电话：</w:t>
      </w:r>
      <w:r/>
    </w:p>
    <w:p>
      <w:pPr>
        <w:ind w:right="19" w:firstLine="480"/>
        <w:jc w:val="both"/>
        <w:keepLines w:val="0"/>
        <w:keepNext w:val="0"/>
        <w:pageBreakBefore w:val="0"/>
        <w:spacing w:before="41" w:after="0" w:line="480" w:lineRule="auto"/>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日期：</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日期：</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日</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1057"/>
        <w:jc w:val="center"/>
        <w:spacing w:before="0" w:after="0" w:line="360" w:lineRule="auto"/>
        <w:rPr>
          <w:rFonts w:hint="eastAsia" w:ascii="宋体" w:hAnsi="宋体" w:eastAsia="宋体" w:cs="宋体"/>
          <w:color w:val="000000" w:themeColor="text1"/>
          <w:sz w:val="32"/>
          <w:szCs w:val="32"/>
          <w:highlight w:val="none"/>
          <w14:textFill>
            <w14:solidFill>
              <w14:schemeClr w14:val="tx1"/>
            </w14:solidFill>
          </w14:textFill>
        </w:rPr>
      </w:pPr>
      <w:r/>
      <w:bookmarkStart w:id="57" w:name="_Toc30462"/>
      <w:r>
        <w:rPr>
          <w:rFonts w:hint="eastAsia" w:ascii="宋体" w:hAnsi="宋体" w:eastAsia="宋体" w:cs="宋体"/>
          <w:color w:val="000000" w:themeColor="text1"/>
          <w:sz w:val="32"/>
          <w:szCs w:val="32"/>
          <w:highlight w:val="none"/>
          <w14:textFill>
            <w14:solidFill>
              <w14:schemeClr w14:val="tx1"/>
            </w14:solidFill>
          </w14:textFill>
        </w:rPr>
        <w:t xml:space="preserve">第六章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 xml:space="preserve">投标文件格式</w:t>
      </w:r>
      <w:bookmarkEnd w:id="57"/>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bookmarkStart w:id="58" w:name="_Toc13296_WPSOffice_Level1"/>
      <w:r/>
      <w:bookmarkStart w:id="59" w:name="_Toc217446086"/>
      <w:r/>
      <w:bookmarkStart w:id="60" w:name="_Toc256175382"/>
      <w:r/>
      <w:bookmarkStart w:id="61" w:name="_Toc263753600"/>
      <w:r/>
      <w:bookmarkStart w:id="62" w:name="_Toc237145385"/>
      <w:r/>
      <w:bookmarkStart w:id="63" w:name="_Toc297204985"/>
      <w:r/>
      <w:bookmarkStart w:id="64" w:name="_Toc250041691"/>
      <w:r/>
      <w:bookmarkStart w:id="65" w:name="_Toc263768864"/>
      <w:r/>
      <w:bookmarkStart w:id="66" w:name="_Toc217446085"/>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outlineLvl w:val="9"/>
      </w:pPr>
      <w:r>
        <w:rPr>
          <w:rFonts w:hint="eastAsia" w:ascii="宋体" w:hAnsi="宋体" w:eastAsia="宋体" w:cs="宋体"/>
          <w:bCs/>
          <w:color w:val="000000" w:themeColor="text1"/>
          <w:sz w:val="52"/>
          <w:szCs w:val="52"/>
          <w:highlight w:val="none"/>
          <w14:textFill>
            <w14:solidFill>
              <w14:schemeClr w14:val="tx1"/>
            </w14:solidFill>
          </w14:textFill>
        </w:rPr>
        <w:t xml:space="preserve">投</w:t>
      </w:r>
      <w:bookmarkEnd w:id="58"/>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bookmarkStart w:id="67" w:name="_Toc677_WPSOffice_Level1"/>
      <w:r>
        <w:rPr>
          <w:rFonts w:hint="eastAsia" w:ascii="宋体" w:hAnsi="宋体" w:eastAsia="宋体" w:cs="宋体"/>
          <w:bCs/>
          <w:color w:val="000000" w:themeColor="text1"/>
          <w:sz w:val="52"/>
          <w:szCs w:val="52"/>
          <w:highlight w:val="none"/>
          <w14:textFill>
            <w14:solidFill>
              <w14:schemeClr w14:val="tx1"/>
            </w14:solidFill>
          </w14:textFill>
        </w:rPr>
        <w:t xml:space="preserve">标</w:t>
      </w:r>
      <w:bookmarkEnd w:id="67"/>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bookmarkStart w:id="68" w:name="_Toc2949_WPSOffice_Level1"/>
      <w:r>
        <w:rPr>
          <w:rFonts w:hint="eastAsia" w:ascii="宋体" w:hAnsi="宋体" w:eastAsia="宋体" w:cs="宋体"/>
          <w:bCs/>
          <w:color w:val="000000" w:themeColor="text1"/>
          <w:sz w:val="52"/>
          <w:szCs w:val="52"/>
          <w:highlight w:val="none"/>
          <w14:textFill>
            <w14:solidFill>
              <w14:schemeClr w14:val="tx1"/>
            </w14:solidFill>
          </w14:textFill>
        </w:rPr>
        <w:t xml:space="preserve">文</w:t>
      </w:r>
      <w:bookmarkEnd w:id="68"/>
      <w:r/>
      <w:r/>
    </w:p>
    <w:p>
      <w:pPr>
        <w:rPr>
          <w:rFonts w:hint="eastAsia" w:ascii="宋体" w:hAnsi="宋体" w:eastAsia="宋体" w:cs="宋体"/>
          <w:bCs/>
          <w:color w:val="000000" w:themeColor="text1"/>
          <w:sz w:val="72"/>
          <w:szCs w:val="72"/>
          <w:highlight w:val="none"/>
          <w14:textFill>
            <w14:solidFill>
              <w14:schemeClr w14:val="tx1"/>
            </w14:solidFill>
          </w14:textFill>
        </w:rPr>
      </w:pPr>
      <w:r>
        <w:rPr>
          <w:rFonts w:hint="eastAsia" w:ascii="宋体" w:hAnsi="宋体" w:eastAsia="宋体" w:cs="宋体"/>
          <w:bCs/>
          <w:color w:val="000000" w:themeColor="text1"/>
          <w:sz w:val="72"/>
          <w:szCs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bookmarkStart w:id="69" w:name="_Toc31964_WPSOffice_Level1"/>
      <w:r>
        <w:rPr>
          <w:rFonts w:hint="eastAsia" w:ascii="宋体" w:hAnsi="宋体" w:eastAsia="宋体" w:cs="宋体"/>
          <w:bCs/>
          <w:color w:val="000000" w:themeColor="text1"/>
          <w:sz w:val="52"/>
          <w:szCs w:val="52"/>
          <w:highlight w:val="none"/>
          <w14:textFill>
            <w14:solidFill>
              <w14:schemeClr w14:val="tx1"/>
            </w14:solidFill>
          </w14:textFill>
        </w:rPr>
        <w:t xml:space="preserve">件</w:t>
      </w:r>
      <w:bookmarkEnd w:id="69"/>
      <w:r/>
      <w:r/>
    </w:p>
    <w:p>
      <w:pP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bookmarkStart w:id="70" w:name="_Toc13794_WPSOffice_Level1"/>
      <w:r/>
      <w:r/>
    </w:p>
    <w:p>
      <w:pPr>
        <w:ind w:firstLine="840"/>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项目名称：</w:t>
      </w:r>
      <w:r/>
    </w:p>
    <w:p>
      <w:pPr>
        <w:ind w:firstLine="840"/>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项目编号：</w:t>
      </w:r>
      <w:r/>
    </w:p>
    <w:p>
      <w:pPr>
        <w:ind w:firstLine="840"/>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投标人</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ind w:firstLine="840"/>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日期：</w:t>
      </w:r>
      <w:bookmarkEnd w:id="70"/>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jc w:val="left"/>
        <w:rPr>
          <w:rStyle w:val="1113"/>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bookmarkEnd w:id="59"/>
      <w:r/>
      <w:r/>
    </w:p>
    <w:p>
      <w:pPr>
        <w:jc w:val="center"/>
        <w:keepLines w:val="0"/>
        <w:keepNext w:val="0"/>
        <w:pageBreakBefore w:val="0"/>
        <w:spacing w:line="520" w:lineRule="exact"/>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 标 函</w:t>
      </w:r>
      <w:r/>
    </w:p>
    <w:p>
      <w:pPr>
        <w:pStyle w:val="1086"/>
        <w:ind w:left="0"/>
        <w:keepLines w:val="0"/>
        <w:keepNext w:val="0"/>
        <w:pageBreakBefore w:val="0"/>
        <w:spacing w:after="0" w:line="520" w:lineRule="exact"/>
        <w:widowControl w:val="off"/>
        <w:rPr>
          <w:rFonts w:hint="eastAsia" w:ascii="宋体" w:hAnsi="宋体" w:eastAsia="宋体" w:cs="宋体"/>
          <w:bCs/>
          <w:iCs/>
          <w:color w:val="000000" w:themeColor="text1"/>
          <w:sz w:val="24"/>
          <w:szCs w:val="24"/>
          <w:highlight w:val="none"/>
          <w14:textFill>
            <w14:solidFill>
              <w14:schemeClr w14:val="tx1"/>
            </w14:solidFill>
          </w14:textFill>
        </w:rPr>
      </w:pPr>
      <w:r>
        <w:rPr>
          <w:rFonts w:hint="eastAsia" w:ascii="宋体" w:hAnsi="宋体" w:eastAsia="宋体" w:cs="宋体"/>
          <w:bCs/>
          <w:iCs/>
          <w:color w:val="000000" w:themeColor="text1"/>
          <w:sz w:val="24"/>
          <w:szCs w:val="24"/>
          <w:highlight w:val="none"/>
          <w:u w:val="single"/>
          <w14:textFill>
            <w14:solidFill>
              <w14:schemeClr w14:val="tx1"/>
            </w14:solidFill>
          </w14:textFill>
        </w:rPr>
        <w:t xml:space="preserve">江苏农牧科技职业学院</w:t>
      </w:r>
      <w:r>
        <w:rPr>
          <w:rFonts w:hint="eastAsia" w:ascii="宋体" w:hAnsi="宋体" w:eastAsia="宋体" w:cs="宋体"/>
          <w:bCs/>
          <w:iCs/>
          <w:color w:val="000000" w:themeColor="text1"/>
          <w:sz w:val="24"/>
          <w:szCs w:val="24"/>
          <w:highlight w:val="none"/>
          <w14:textFill>
            <w14:solidFill>
              <w14:schemeClr w14:val="tx1"/>
            </w14:solidFill>
          </w14:textFill>
        </w:rPr>
        <w:t xml:space="preserve">：</w:t>
      </w:r>
      <w:r/>
    </w:p>
    <w:p>
      <w:pPr>
        <w:pStyle w:val="1086"/>
        <w:ind w:left="0" w:firstLine="600"/>
        <w:keepLines w:val="0"/>
        <w:keepNext w:val="0"/>
        <w:pageBreakBefore w:val="0"/>
        <w:spacing w:after="0"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iCs/>
          <w:color w:val="000000" w:themeColor="text1"/>
          <w:sz w:val="24"/>
          <w:szCs w:val="24"/>
          <w:highlight w:val="none"/>
          <w14:textFill>
            <w14:solidFill>
              <w14:schemeClr w14:val="tx1"/>
            </w14:solidFill>
          </w14:textFill>
        </w:rPr>
        <w:t xml:space="preserve">我方全面研究了 </w:t>
      </w:r>
      <w:r>
        <w:rPr>
          <w:rFonts w:hint="eastAsia" w:ascii="宋体" w:hAnsi="宋体" w:eastAsia="宋体" w:cs="宋体"/>
          <w:b/>
          <w:bCs/>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项目招标文件，决定参加贵单位组织的本项目投标。</w:t>
      </w:r>
      <w:r/>
    </w:p>
    <w:p>
      <w:pPr>
        <w:pStyle w:val="1086"/>
        <w:ind w:left="0" w:firstLine="600"/>
        <w:keepLines w:val="0"/>
        <w:keepNext w:val="0"/>
        <w:pageBreakBefore w:val="0"/>
        <w:spacing w:after="0"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14:textFill>
            <w14:solidFill>
              <w14:schemeClr w14:val="tx1"/>
            </w14:solidFill>
          </w14:textFill>
        </w:rPr>
        <w:t xml:space="preserve">1.我方自愿按照招标文件规定的各项要求向采购人提供所需</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货物</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86"/>
        <w:ind w:left="0" w:firstLine="600"/>
        <w:keepLines w:val="0"/>
        <w:keepNext w:val="0"/>
        <w:pageBreakBefore w:val="0"/>
        <w:spacing w:after="0"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2.一旦我方中标，</w:t>
      </w:r>
      <w:r>
        <w:rPr>
          <w:rFonts w:hint="eastAsia" w:ascii="宋体" w:hAnsi="宋体" w:eastAsia="宋体" w:cs="宋体"/>
          <w:color w:val="000000" w:themeColor="text1"/>
          <w:sz w:val="24"/>
          <w:szCs w:val="24"/>
          <w:highlight w:val="none"/>
          <w14:textFill>
            <w14:solidFill>
              <w14:schemeClr w14:val="tx1"/>
            </w14:solidFill>
          </w14:textFill>
        </w:rPr>
        <w:t xml:space="preserve">我们将严格履行招标文件中规定的每一项要求，按期、按质、按量履行合同的义务。</w:t>
      </w:r>
      <w:r/>
    </w:p>
    <w:p>
      <w:pPr>
        <w:pStyle w:val="1188"/>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3.我们已详细审查全部招标文件，包括更正文件（如有），对招标文件及更正公告（如有）无任何异议。我们完全理解并同意放弃对这方面有不明及误解的权利。</w:t>
      </w:r>
      <w:r/>
    </w:p>
    <w:p>
      <w:pPr>
        <w:pStyle w:val="1188"/>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4.我们同意按照招标文件中的规定，本投标书的有效期限为自投标截止之日起60天。</w:t>
      </w:r>
      <w:r/>
    </w:p>
    <w:p>
      <w:pPr>
        <w:pStyle w:val="1188"/>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5.我们愿意提供招标采购单位在招标文件中要求的所有资料。</w:t>
      </w:r>
      <w:r/>
    </w:p>
    <w:p>
      <w:pPr>
        <w:pStyle w:val="1188"/>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6.我们愿意遵守招标文件中所列的收费标准。</w:t>
      </w:r>
      <w:r/>
    </w:p>
    <w:p>
      <w:pPr>
        <w:pStyle w:val="1188"/>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7.我们承诺该项投标在开标后的全过程中保持有效，不作任何更改和变动。</w:t>
      </w:r>
      <w:r/>
    </w:p>
    <w:p>
      <w:pPr>
        <w:pStyle w:val="1086"/>
        <w:ind w:left="0" w:firstLine="600"/>
        <w:keepLines w:val="0"/>
        <w:keepNext w:val="0"/>
        <w:pageBreakBefore w:val="0"/>
        <w:spacing w:after="0"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加盖CA电子公章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法定代表人或授权代表</w:t>
      </w:r>
      <w:r>
        <w:rPr>
          <w:rFonts w:hint="eastAsia" w:ascii="宋体" w:hAnsi="宋体" w:eastAsia="宋体" w:cs="宋体"/>
          <w:bCs/>
          <w:color w:val="000000" w:themeColor="text1"/>
          <w:sz w:val="24"/>
          <w:szCs w:val="24"/>
          <w:highlight w:val="none"/>
          <w14:textFill>
            <w14:solidFill>
              <w14:schemeClr w14:val="tx1"/>
            </w14:solidFill>
          </w14:textFill>
        </w:rPr>
        <w:t xml:space="preserve">（签字或盖章）：</w:t>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地址：</w:t>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邮政编码：</w:t>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联系电话：</w:t>
      </w:r>
      <w:r/>
    </w:p>
    <w:p>
      <w:pPr>
        <w:pStyle w:val="1086"/>
        <w:ind w:left="0" w:firstLine="600"/>
        <w:spacing w:after="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center"/>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法定代表人身份证明书</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及</w:t>
      </w:r>
      <w:r>
        <w:rPr>
          <w:rFonts w:hint="eastAsia" w:ascii="宋体" w:hAnsi="宋体" w:eastAsia="宋体" w:cs="宋体"/>
          <w:b/>
          <w:color w:val="000000" w:themeColor="text1"/>
          <w:sz w:val="32"/>
          <w:szCs w:val="32"/>
          <w:highlight w:val="none"/>
          <w14:textFill>
            <w14:solidFill>
              <w14:schemeClr w14:val="tx1"/>
            </w14:solidFill>
          </w14:textFill>
        </w:rPr>
        <w:t xml:space="preserve">法定代表人身份证复印件</w:t>
      </w:r>
      <w:r/>
    </w:p>
    <w:p>
      <w:pPr>
        <w:pStyle w:val="889"/>
        <w:ind w:firstLine="361"/>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89"/>
        <w:ind w:firstLine="48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r>
      <w:r/>
    </w:p>
    <w:p>
      <w:pPr>
        <w:pStyle w:val="889"/>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u w:val="single"/>
          <w14:textFill>
            <w14:solidFill>
              <w14:schemeClr w14:val="tx1"/>
            </w14:solidFill>
          </w14:textFill>
        </w:rPr>
        <w:t xml:space="preserve">（法定代表人姓名）</w:t>
      </w:r>
      <w:r>
        <w:rPr>
          <w:rFonts w:hint="eastAsia" w:ascii="宋体" w:hAnsi="宋体" w:eastAsia="宋体" w:cs="宋体"/>
          <w:color w:val="000000" w:themeColor="text1"/>
          <w:highlight w:val="none"/>
          <w14:textFill>
            <w14:solidFill>
              <w14:schemeClr w14:val="tx1"/>
            </w14:solidFill>
          </w14:textFill>
        </w:rPr>
        <w:t xml:space="preserve">在</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投标人</w:t>
      </w:r>
      <w:r>
        <w:rPr>
          <w:rFonts w:hint="eastAsia" w:ascii="宋体" w:hAnsi="宋体" w:eastAsia="宋体" w:cs="宋体"/>
          <w:color w:val="000000" w:themeColor="text1"/>
          <w:highlight w:val="none"/>
          <w:u w:val="single"/>
          <w14:textFill>
            <w14:solidFill>
              <w14:schemeClr w14:val="tx1"/>
            </w14:solidFill>
          </w14:textFill>
        </w:rPr>
        <w:t xml:space="preserve">名称）</w:t>
      </w:r>
      <w:r>
        <w:rPr>
          <w:rFonts w:hint="eastAsia" w:ascii="宋体" w:hAnsi="宋体" w:eastAsia="宋体" w:cs="宋体"/>
          <w:color w:val="000000" w:themeColor="text1"/>
          <w:highlight w:val="none"/>
          <w14:textFill>
            <w14:solidFill>
              <w14:schemeClr w14:val="tx1"/>
            </w14:solidFill>
          </w14:textFill>
        </w:rPr>
        <w:t xml:space="preserve">处 任</w:t>
      </w:r>
      <w:r>
        <w:rPr>
          <w:rFonts w:hint="eastAsia" w:ascii="宋体" w:hAnsi="宋体" w:eastAsia="宋体" w:cs="宋体"/>
          <w:color w:val="000000" w:themeColor="text1"/>
          <w:highlight w:val="none"/>
          <w:u w:val="single"/>
          <w14:textFill>
            <w14:solidFill>
              <w14:schemeClr w14:val="tx1"/>
            </w14:solidFill>
          </w14:textFill>
        </w:rPr>
        <w:t xml:space="preserve">（职务名称）</w:t>
      </w:r>
      <w:r>
        <w:rPr>
          <w:rFonts w:hint="eastAsia" w:ascii="宋体" w:hAnsi="宋体" w:eastAsia="宋体" w:cs="宋体"/>
          <w:color w:val="000000" w:themeColor="text1"/>
          <w:highlight w:val="none"/>
          <w14:textFill>
            <w14:solidFill>
              <w14:schemeClr w14:val="tx1"/>
            </w14:solidFill>
          </w14:textFill>
        </w:rPr>
        <w:t xml:space="preserve">职务，是</w:t>
      </w:r>
      <w:r>
        <w:rPr>
          <w:rFonts w:hint="eastAsia" w:ascii="宋体" w:hAnsi="宋体" w:eastAsia="宋体" w:cs="宋体"/>
          <w:color w:val="000000" w:themeColor="text1"/>
          <w:highlight w:val="none"/>
          <w:u w:val="single"/>
          <w14:textFill>
            <w14:solidFill>
              <w14:schemeClr w14:val="tx1"/>
            </w14:solidFill>
          </w14:textFill>
        </w:rPr>
        <w:t xml:space="preserve">（</w:t>
      </w:r>
      <w:r>
        <w:rPr>
          <w:rFonts w:hint="eastAsia" w:ascii="宋体" w:hAnsi="宋体" w:eastAsia="宋体" w:cs="宋体"/>
          <w:color w:val="000000" w:themeColor="text1"/>
          <w:highlight w:val="none"/>
          <w:u w:val="single"/>
          <w:lang w:eastAsia="zh-CN"/>
          <w14:textFill>
            <w14:solidFill>
              <w14:schemeClr w14:val="tx1"/>
            </w14:solidFill>
          </w14:textFill>
        </w:rPr>
        <w:t xml:space="preserve">投标人</w:t>
      </w:r>
      <w:r>
        <w:rPr>
          <w:rFonts w:hint="eastAsia" w:ascii="宋体" w:hAnsi="宋体" w:eastAsia="宋体" w:cs="宋体"/>
          <w:color w:val="000000" w:themeColor="text1"/>
          <w:highlight w:val="none"/>
          <w:u w:val="single"/>
          <w14:textFill>
            <w14:solidFill>
              <w14:schemeClr w14:val="tx1"/>
            </w14:solidFill>
          </w14:textFill>
        </w:rPr>
        <w:t xml:space="preserve">名称）</w:t>
      </w:r>
      <w:r>
        <w:rPr>
          <w:rFonts w:hint="eastAsia" w:ascii="宋体" w:hAnsi="宋体" w:eastAsia="宋体" w:cs="宋体"/>
          <w:color w:val="000000" w:themeColor="text1"/>
          <w:highlight w:val="none"/>
          <w14:textFill>
            <w14:solidFill>
              <w14:schemeClr w14:val="tx1"/>
            </w14:solidFill>
          </w14:textFill>
        </w:rPr>
        <w:t xml:space="preserve"> 的法定代表人。 </w:t>
      </w:r>
      <w:r/>
    </w:p>
    <w:p>
      <w:pPr>
        <w:pStyle w:val="889"/>
        <w:ind w:firstLine="3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特此证明。 </w:t>
      </w:r>
      <w:r/>
    </w:p>
    <w:p>
      <w:pPr>
        <w:pStyle w:val="889"/>
        <w:ind w:firstLine="3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9"/>
        <w:ind w:firstLine="3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9"/>
        <w:ind w:firstLine="3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9"/>
        <w:ind w:firstLine="3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（加盖CA电子公章）：</w:t>
      </w:r>
      <w:r/>
    </w:p>
    <w:p>
      <w:pPr>
        <w:pStyle w:val="889"/>
        <w:ind w:firstLine="3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 </w:t>
      </w:r>
      <w:r/>
    </w:p>
    <w:p>
      <w:pPr>
        <w:pStyle w:val="8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附：法定代表人身份证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复印件并加盖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公章</w:t>
      </w:r>
      <w:r>
        <w:rPr>
          <w:rFonts w:hint="eastAsia" w:ascii="宋体" w:hAnsi="宋体" w:eastAsia="宋体" w:cs="宋体"/>
          <w:color w:val="000000" w:themeColor="text1"/>
          <w:sz w:val="24"/>
          <w:szCs w:val="24"/>
          <w:highlight w:val="none"/>
          <w14:textFill>
            <w14:solidFill>
              <w14:schemeClr w14:val="tx1"/>
            </w14:solidFill>
          </w14:textFill>
        </w:rPr>
        <w:t xml:space="preserve">（正反两面均需复印）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numPr>
          <w:ilvl w:val="0"/>
          <w:numId w:val="0"/>
        </w:numPr>
        <w:jc w:val="center"/>
        <w:spacing w:line="360" w:lineRule="auto"/>
        <w:tabs>
          <w:tab w:val="left" w:pos="900" w:leader="none"/>
        </w:tabs>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法定代表人授权委托书及授权代表身份证复印件</w:t>
      </w:r>
      <w:r/>
    </w:p>
    <w:p>
      <w:pPr>
        <w:numPr>
          <w:ilvl w:val="0"/>
          <w:numId w:val="0"/>
        </w:numPr>
        <w:ind w:firstLine="2249"/>
        <w:spacing w:line="360" w:lineRule="auto"/>
        <w:tabs>
          <w:tab w:val="left" w:pos="900" w:leader="none"/>
        </w:tabs>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（法定代表人亲自参加投标的除外）</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p>
    <w:p>
      <w:pPr>
        <w:pStyle w:val="1174"/>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74"/>
        <w:ind w:firstLine="480"/>
        <w:spacing w:line="360" w:lineRule="auto"/>
        <w:tabs>
          <w:tab w:val="left" w:pos="3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（法定代表人姓名、职务）授权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（被授权人的姓名）为我方就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（项目名称）项目采购活动的合法代表，以本公司名义全权处理一切与该项目采购有关的事务。</w:t>
      </w: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在撤销授权的书面通知送达你处以前，本授权书一直有效，授权代表人签署的所有文件（在授权书有效期内签署的）不因授权的撤销而失效。</w:t>
      </w:r>
      <w:r/>
    </w:p>
    <w:p>
      <w:pPr>
        <w:pStyle w:val="1174"/>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日起生效，特此声明。</w:t>
      </w:r>
      <w:r/>
    </w:p>
    <w:p>
      <w:pPr>
        <w:pStyle w:val="1174"/>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74"/>
        <w:ind w:firstLine="480"/>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pStyle w:val="8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2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附：授权代表身份证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复印件并加盖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公章</w:t>
      </w:r>
      <w:r>
        <w:rPr>
          <w:rFonts w:hint="eastAsia" w:ascii="宋体" w:hAnsi="宋体" w:eastAsia="宋体" w:cs="宋体"/>
          <w:color w:val="000000" w:themeColor="text1"/>
          <w:sz w:val="24"/>
          <w:szCs w:val="24"/>
          <w:highlight w:val="none"/>
          <w14:textFill>
            <w14:solidFill>
              <w14:schemeClr w14:val="tx1"/>
            </w14:solidFill>
          </w14:textFill>
        </w:rPr>
        <w:t xml:space="preserve">（正反两面均需复印）</w:t>
      </w:r>
      <w:r/>
    </w:p>
    <w:p>
      <w:pPr>
        <w:jc w:val="both"/>
        <w:rPr>
          <w:rFonts w:hint="eastAsia" w:ascii="宋体" w:hAnsi="宋体" w:eastAsia="宋体" w:cs="宋体"/>
          <w:color w:val="000000" w:themeColor="text1"/>
          <w:sz w:val="28"/>
          <w:highlight w:val="none"/>
          <w:u w:val="single"/>
          <w14:textFill>
            <w14:solidFill>
              <w14:schemeClr w14:val="tx1"/>
            </w14:solidFill>
          </w14:textFill>
        </w:rPr>
      </w:pPr>
      <w:r>
        <w:rPr>
          <w:rFonts w:hint="eastAsia" w:ascii="宋体" w:hAnsi="宋体" w:eastAsia="宋体" w:cs="宋体"/>
          <w:color w:val="000000" w:themeColor="text1"/>
          <w:sz w:val="28"/>
          <w:highlight w:val="none"/>
          <w:u w:val="single"/>
          <w14:textFill>
            <w14:solidFill>
              <w14:schemeClr w14:val="tx1"/>
            </w14:solidFill>
          </w14:textFill>
        </w:rPr>
        <w:br w:type="page" w:clear="all"/>
      </w:r>
      <w:bookmarkEnd w:id="60"/>
      <w:r/>
      <w:bookmarkEnd w:id="61"/>
      <w:r/>
      <w:bookmarkEnd w:id="62"/>
      <w:r/>
      <w:bookmarkEnd w:id="63"/>
      <w:r/>
      <w:bookmarkEnd w:id="64"/>
      <w:r/>
      <w:bookmarkEnd w:id="65"/>
      <w:r/>
      <w:bookmarkEnd w:id="66"/>
      <w:r/>
      <w:r/>
    </w:p>
    <w:p>
      <w:pPr>
        <w:ind w:firstLine="420"/>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参加政府采购活动前三年内在经营活动中没有重大违法记录</w:t>
      </w:r>
      <w:r/>
    </w:p>
    <w:p>
      <w:pPr>
        <w:pStyle w:val="1187"/>
        <w:ind w:firstLine="0"/>
        <w:jc w:val="center"/>
        <w:spacing w:before="0" w:after="0" w:line="520" w:lineRule="exact"/>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声 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br w:type="page" w:clear="all"/>
      </w:r>
      <w:r/>
    </w:p>
    <w:p>
      <w:pPr>
        <w:ind w:firstLine="420"/>
        <w:jc w:val="center"/>
        <w:spacing w:line="360" w:lineRule="auto"/>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具备履行合同所必需的设备和专业技术能力的书面声明</w:t>
      </w:r>
      <w:r/>
    </w:p>
    <w:p>
      <w:pPr>
        <w:jc w:val="center"/>
        <w:rPr>
          <w:rFonts w:hint="eastAsia" w:ascii="宋体" w:hAnsi="宋体" w:eastAsia="宋体" w:cs="宋体"/>
          <w:color w:val="000000" w:themeColor="text1"/>
          <w:sz w:val="28"/>
          <w:highlight w:val="none"/>
          <w:u w:val="single"/>
          <w14:textFill>
            <w14:solidFill>
              <w14:schemeClr w14:val="tx1"/>
            </w14:solidFill>
          </w14:textFill>
        </w:rPr>
      </w:pPr>
      <w:r>
        <w:rPr>
          <w:rFonts w:hint="eastAsia" w:ascii="宋体" w:hAnsi="宋体" w:eastAsia="宋体" w:cs="宋体"/>
          <w:color w:val="000000" w:themeColor="text1"/>
          <w:sz w:val="28"/>
          <w:highlight w:val="none"/>
          <w:u w:val="single"/>
          <w14:textFill>
            <w14:solidFill>
              <w14:schemeClr w14:val="tx1"/>
            </w14:solidFill>
          </w14:textFill>
        </w:rPr>
      </w:r>
      <w:r/>
    </w:p>
    <w:p>
      <w:pPr>
        <w:ind w:firstLine="493"/>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主要设备有：</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93"/>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sectPr>
          <w:footerReference w:type="default" r:id="rId12"/>
          <w:footerReference w:type="first" r:id="rId13"/>
          <w:footnotePr/>
          <w:endnotePr/>
          <w:type w:val="nextPage"/>
          <w:pgSz w:w="11907" w:h="16840" w:orient="portrait"/>
          <w:pgMar w:top="1134" w:right="1134" w:bottom="1134" w:left="1418" w:header="851" w:footer="907" w:gutter="0"/>
          <w:pgNumType w:start="1"/>
          <w:cols w:num="1" w:sep="0" w:space="1701" w:equalWidth="1"/>
          <w:docGrid w:linePitch="360"/>
        </w:sectPr>
        <w:outlineLvl w:val="9"/>
      </w:pPr>
      <w:r>
        <w:rPr>
          <w:rFonts w:hint="eastAsia" w:ascii="宋体" w:hAnsi="宋体" w:eastAsia="宋体" w:cs="宋体"/>
          <w:color w:val="000000" w:themeColor="text1"/>
          <w:sz w:val="24"/>
          <w:highlight w:val="none"/>
          <w14:textFill>
            <w14:solidFill>
              <w14:schemeClr w14:val="tx1"/>
            </w14:solidFill>
          </w14:textFill>
        </w:rPr>
      </w:r>
      <w:r/>
    </w:p>
    <w:p>
      <w:pPr>
        <w:jc w:val="center"/>
        <w:spacing w:line="520" w:lineRule="exact"/>
        <w:rPr>
          <w:rFonts w:hint="eastAsia" w:ascii="宋体" w:hAnsi="宋体" w:eastAsia="宋体" w:cs="宋体"/>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t xml:space="preserve">承诺书</w:t>
      </w:r>
      <w:r/>
    </w:p>
    <w:p>
      <w:pPr>
        <w:keepLines w:val="0"/>
        <w:keepNext w:val="0"/>
        <w:pageBreakBefore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p>
    <w:p>
      <w:pPr>
        <w:keepLines w:val="0"/>
        <w:keepNext w:val="0"/>
        <w:pageBreakBefore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单位名称）参加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（项目名称和项目编号）</w:t>
      </w:r>
      <w:r>
        <w:rPr>
          <w:rFonts w:hint="eastAsia" w:ascii="宋体" w:hAnsi="宋体" w:eastAsia="宋体" w:cs="宋体"/>
          <w:color w:val="000000" w:themeColor="text1"/>
          <w:sz w:val="24"/>
          <w:szCs w:val="24"/>
          <w:highlight w:val="none"/>
          <w14:textFill>
            <w14:solidFill>
              <w14:schemeClr w14:val="tx1"/>
            </w14:solidFill>
          </w14:textFill>
        </w:rPr>
        <w:t xml:space="preserve">的政府采购活动，郑重承诺具备以下条件：</w:t>
      </w:r>
      <w:r/>
    </w:p>
    <w:p>
      <w:pPr>
        <w:ind w:firstLine="488"/>
        <w:keepLines w:val="0"/>
        <w:keepNext w:val="0"/>
        <w:pageBreakBefore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未被“信用中国”网站（www.creditchina.gov.cn）列入失信被执行人名单、政府采购严重违法失信行为记录名单、重大税收违法失信主体名单。</w:t>
      </w:r>
      <w:r/>
    </w:p>
    <w:p>
      <w:pPr>
        <w:ind w:firstLine="488"/>
        <w:keepLines w:val="0"/>
        <w:keepNext w:val="0"/>
        <w:pageBreakBefore w:val="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（二）本</w:t>
      </w:r>
      <w:r>
        <w:rPr>
          <w:rFonts w:hint="eastAsia" w:ascii="宋体" w:hAnsi="宋体" w:eastAsia="宋体" w:cs="宋体"/>
          <w:color w:val="000000" w:themeColor="text1"/>
          <w:sz w:val="24"/>
          <w:szCs w:val="24"/>
          <w:highlight w:val="none"/>
          <w14:textFill>
            <w14:solidFill>
              <w14:schemeClr w14:val="tx1"/>
            </w14:solidFill>
          </w14:textFill>
        </w:rPr>
        <w:t xml:space="preserve">单位法定代表人/负责人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不存在</w:t>
      </w:r>
      <w:r>
        <w:rPr>
          <w:rFonts w:hint="eastAsia" w:ascii="宋体" w:hAnsi="宋体" w:eastAsia="宋体" w:cs="宋体"/>
          <w:color w:val="000000" w:themeColor="text1"/>
          <w:sz w:val="24"/>
          <w:szCs w:val="24"/>
          <w:highlight w:val="none"/>
          <w14:textFill>
            <w14:solidFill>
              <w14:schemeClr w14:val="tx1"/>
            </w14:solidFill>
          </w14:textFill>
        </w:rPr>
        <w:t xml:space="preserve">同一人或者存在直接控股、管理关系的不同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，参加同一合同项下的政府采购活动。</w:t>
      </w:r>
      <w:r/>
    </w:p>
    <w:p>
      <w:pPr>
        <w:ind w:firstLine="480"/>
        <w:jc w:val="left"/>
        <w:keepLines w:val="0"/>
        <w:keepNext w:val="0"/>
        <w:pageBreakBefore w:val="0"/>
        <w:spacing w:line="48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（三）不存在</w:t>
      </w:r>
      <w:r>
        <w:rPr>
          <w:rFonts w:hint="eastAsia" w:ascii="宋体" w:hAnsi="宋体" w:eastAsia="宋体" w:cs="宋体"/>
          <w:color w:val="000000" w:themeColor="text1"/>
          <w:sz w:val="24"/>
          <w:szCs w:val="24"/>
          <w:highlight w:val="none"/>
          <w14:textFill>
            <w14:solidFill>
              <w14:schemeClr w14:val="tx1"/>
            </w14:solidFill>
          </w14:textFill>
        </w:rPr>
        <w:t xml:space="preserve">为本采购项目提供整体设计、规范编制或者项目管理、监理、检测等服务的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，不得再参加本采购项目的其他采购活动。</w:t>
      </w:r>
      <w:r/>
    </w:p>
    <w:p>
      <w:pPr>
        <w:ind w:firstLine="480"/>
        <w:jc w:val="left"/>
        <w:keepLines w:val="0"/>
        <w:keepNext w:val="0"/>
        <w:pageBreakBefore w:val="0"/>
        <w:spacing w:line="48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本单位对上述承诺的真实性负责。如有虚假，将依法承担相应责任。同时我们同意如贵方要求，可以出示相关证明文件。</w:t>
      </w:r>
      <w:r/>
    </w:p>
    <w:p>
      <w:pPr>
        <w:pStyle w:val="1187"/>
        <w:ind w:firstLine="0"/>
        <w:jc w:val="both"/>
        <w:keepLines w:val="0"/>
        <w:keepNext w:val="0"/>
        <w:pageBreakBefore w:val="0"/>
        <w:spacing w:before="0" w:after="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01"/>
        <w:keepLines w:val="0"/>
        <w:keepNext w:val="0"/>
        <w:pageBreakBefore w:val="0"/>
        <w:spacing w:before="0" w:beforeAutospacing="0" w:after="0" w:afterAutospacing="0" w:line="48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（加盖CA电子公章）：</w:t>
      </w:r>
      <w:r/>
    </w:p>
    <w:p>
      <w:pPr>
        <w:pStyle w:val="1101"/>
        <w:keepLines w:val="0"/>
        <w:keepNext w:val="0"/>
        <w:pageBreakBefore w:val="0"/>
        <w:spacing w:before="0" w:beforeAutospacing="0" w:after="0" w:afterAutospacing="0" w:line="48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48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br w:type="page" w:clear="all"/>
      </w:r>
      <w:r/>
    </w:p>
    <w:p>
      <w:pPr>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开标一览表</w:t>
      </w:r>
      <w:r/>
    </w:p>
    <w:p>
      <w:pPr>
        <w:pStyle w:val="110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110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tbl>
      <w:tblPr>
        <w:tblStyle w:val="81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rHeight w:val="892"/>
        </w:trPr>
        <w:tc>
          <w:tcPr>
            <w:tcW w:w="2270"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2700"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项目内容</w:t>
            </w:r>
            <w:r/>
          </w:p>
        </w:tc>
        <w:tc>
          <w:tcPr>
            <w:tcW w:w="3927"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总价（小写）</w:t>
            </w:r>
            <w:r/>
          </w:p>
        </w:tc>
      </w:tr>
      <w:tr>
        <w:trPr>
          <w:trHeight w:val="798"/>
        </w:trPr>
        <w:tc>
          <w:tcPr>
            <w:tcW w:w="2270"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700"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详见投标文件</w:t>
            </w:r>
            <w:r/>
          </w:p>
        </w:tc>
        <w:tc>
          <w:tcPr>
            <w:tcW w:w="3927"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bookmarkStart w:id="71" w:name="_1742295356"/>
            <w:r/>
            <w:bookmarkEnd w:id="7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CONTROL Forms.HTML:Text.1 \s  \* MERGEFORMAT</w:instrTex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609600" cy="228600"/>
                      <wp:effectExtent l="0" t="0" r="0" b="0"/>
                      <wp:docPr id="6"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9"/>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 元</w:t>
            </w:r>
            <w:r/>
          </w:p>
        </w:tc>
      </w:tr>
      <w:tr>
        <w:trPr>
          <w:trHeight w:val="1071"/>
        </w:trPr>
        <w:tc>
          <w:tcPr>
            <w:tcW w:w="2270" w:type="dxa"/>
            <w:vAlign w:val="center"/>
            <w:textDirection w:val="lrTb"/>
            <w:noWrap w:val="false"/>
          </w:tcPr>
          <w:p>
            <w:pPr>
              <w:pStyle w:val="1101"/>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2"/>
            <w:tcW w:w="6627" w:type="dxa"/>
            <w:vAlign w:val="center"/>
            <w:textDirection w:val="lrTb"/>
            <w:noWrap w:val="false"/>
          </w:tcPr>
          <w:p>
            <w:pPr>
              <w:pStyle w:val="110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10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0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日期：年 月 日</w:t>
      </w:r>
      <w:r/>
    </w:p>
    <w:p>
      <w:p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br w:type="page" w:clear="all"/>
      </w:r>
      <w:r/>
    </w:p>
    <w:p>
      <w:pPr>
        <w:jc w:val="center"/>
        <w:keepLines w:val="0"/>
        <w:keepNext w:val="0"/>
        <w:pageBreakBefore w:val="0"/>
        <w:spacing w:line="360" w:lineRule="auto"/>
        <w:widowControl w:val="off"/>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分项报价明细表</w:t>
      </w:r>
      <w:r/>
    </w:p>
    <w:p>
      <w:pPr>
        <w:numPr>
          <w:ilvl w:val="0"/>
          <w:numId w:val="0"/>
        </w:numPr>
        <w:ind w:firstLine="0"/>
        <w:keepLines w:val="0"/>
        <w:keepNext w:val="0"/>
        <w:pageBreakBefore w:val="0"/>
        <w:spacing w:after="0" w:line="360" w:lineRule="auto"/>
        <w:widowControl w:val="off"/>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1.种母鸭/鹅（两用）测定舍分项报价明细表</w:t>
      </w:r>
      <w:r/>
    </w:p>
    <w:tbl>
      <w:tblPr>
        <w:tblStyle w:val="817"/>
        <w:tblW w:w="5415" w:type="pct"/>
        <w:tblInd w:w="-2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9"/>
        <w:gridCol w:w="3919"/>
        <w:gridCol w:w="661"/>
        <w:gridCol w:w="726"/>
        <w:gridCol w:w="806"/>
        <w:gridCol w:w="823"/>
        <w:gridCol w:w="901"/>
        <w:gridCol w:w="809"/>
      </w:tblGrid>
      <w:tr>
        <w:trPr>
          <w:trHeight w:val="454"/>
        </w:trPr>
        <w:tc>
          <w:tcPr>
            <w:gridSpan w:val="8"/>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种母鸭/鹅（两用）测定舍</w:t>
            </w:r>
            <w:r/>
          </w:p>
        </w:tc>
      </w:tr>
      <w:tr>
        <w:trPr>
          <w:trHeight w:val="454"/>
        </w:trPr>
        <w:tc>
          <w:tcPr>
            <w:gridSpan w:val="8"/>
            <w:tcW w:w="9824"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棚舍尺寸（净内）：长50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*宽14.7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*檐高2.7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r>
      <w:tr>
        <w:trPr>
          <w:trHeight w:val="454"/>
        </w:trPr>
        <w:tc>
          <w:tcPr>
            <w:gridSpan w:val="8"/>
            <w:shd w:val="clear" w:color="auto" w:fill="auto"/>
            <w:tcW w:w="9824"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笼具排列方案：2层（20位）*25组/*6列=3000个单元格（位）；存栏量（1只/位）：3000只。</w:t>
            </w:r>
            <w:r/>
          </w:p>
        </w:tc>
      </w:tr>
      <w:tr>
        <w:trPr>
          <w:trHeight w:val="454"/>
        </w:trPr>
        <w:tc>
          <w:tcPr>
            <w:gridSpan w:val="8"/>
            <w:shd w:val="clear" w:color="auto" w:fill="auto"/>
            <w:tcW w:w="9824"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单笼规格：长350</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mm</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×深500</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mm</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×笼高700mm。</w:t>
            </w:r>
            <w:r/>
          </w:p>
        </w:tc>
      </w:tr>
      <w:tr>
        <w:trPr>
          <w:trHeight w:val="454"/>
        </w:trPr>
        <w:tc>
          <w:tcPr>
            <w:gridSpan w:val="8"/>
            <w:shd w:val="clear" w:color="auto" w:fill="eeece1" w:themeFill="background2"/>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喂料系统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tcW w:w="823"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tcW w:w="901"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1010"/>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料塔</w:t>
            </w:r>
            <w:r/>
          </w:p>
        </w:tc>
        <w:tc>
          <w:tcPr>
            <w:shd w:val="clear" w:color="auto" w:fill="auto"/>
            <w:tcW w:w="3919"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容积</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4.5m³；国标热镀锌（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275g/㎡）钣金件，具备抗台风强度配置；密封等级IP65；配置缓冲（软连接）装置。</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2"/>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辅助料箱</w:t>
            </w:r>
            <w:r/>
          </w:p>
        </w:tc>
        <w:tc>
          <w:tcPr>
            <w:shd w:val="clear" w:color="auto" w:fill="auto"/>
            <w:tcW w:w="3919"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w:t>
            </w:r>
            <w:r>
              <w:rPr>
                <w:rFonts w:ascii="宋体" w:hAnsi="宋体" w:eastAsia="宋体" w:cs="宋体"/>
                <w:b w:val="0"/>
                <w:bCs w:val="0"/>
                <w:color w:val="000000" w:themeColor="text1"/>
                <w:sz w:val="21"/>
                <w:szCs w:val="21"/>
                <w:highlight w:val="none"/>
                <w:u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密封指数</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IP55。</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个</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814"/>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料塔</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称重系统</w:t>
            </w:r>
            <w:r/>
          </w:p>
        </w:tc>
        <w:tc>
          <w:tcPr>
            <w:shd w:val="clear" w:color="auto" w:fill="auto"/>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信号传输模式（数字或模拟）根据控制器要求配置；可以实时显示饲料重量；传感器精度C3，系统精度</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277"/>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主料线</w:t>
            </w:r>
            <w:r/>
          </w:p>
        </w:tc>
        <w:tc>
          <w:tcPr>
            <w:shd w:val="clear" w:color="auto" w:fill="auto"/>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M63/PVC/国标380V/1.1</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减速电机。所有固定、吊装件使用国标防腐材料；所有线缆、线材、耗材使用适配的国标、阻燃材料。</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163"/>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精准喂料系统</w:t>
            </w:r>
            <w:r/>
          </w:p>
        </w:tc>
        <w:tc>
          <w:tcPr>
            <w:shd w:val="clear" w:color="auto" w:fill="auto"/>
            <w:tcW w:w="3919" w:type="dxa"/>
            <w:vAlign w:val="center"/>
            <w:textDirection w:val="lrTb"/>
            <w:noWrap/>
          </w:tcPr>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轨道式行走布料机，框架部分使用≥275g热镀锌钣金件。</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布料电机：380V/1.5KW减速电机，速比1/20。</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行走电机：380V0.75/KW减速电机，速比速比1/59：。</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定点精准饲喂装置：饲喂误差≤1.5g/堆。</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精准下料装置：采用气动泵装置+小料斗组合下料。</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自停机构：两端均需安装自停（触碰式）行程开关。</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精准喂料控制器</w:t>
            </w:r>
            <w:r>
              <w:rPr>
                <w:rFonts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主机</w:t>
            </w:r>
            <w:r>
              <w:rPr>
                <w:rFonts w:ascii="宋体" w:hAnsi="宋体" w:eastAsia="宋体" w:cs="宋体"/>
                <w:b w:val="0"/>
                <w:bCs w:val="0"/>
                <w:color w:val="000000" w:themeColor="text1"/>
                <w:sz w:val="21"/>
                <w:szCs w:val="21"/>
                <w:highlight w:val="none"/>
                <w14:textFill>
                  <w14:solidFill>
                    <w14:schemeClr w14:val="tx1"/>
                  </w14:solidFill>
                </w14:textFill>
              </w:rPr>
              <w:t xml:space="preserve">）配置</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7吋</w:t>
            </w:r>
            <w:r>
              <w:rPr>
                <w:rFonts w:ascii="宋体" w:hAnsi="宋体" w:eastAsia="宋体" w:cs="宋体"/>
                <w:b w:val="0"/>
                <w:bCs w:val="0"/>
                <w:color w:val="000000" w:themeColor="text1"/>
                <w:sz w:val="21"/>
                <w:szCs w:val="21"/>
                <w:highlight w:val="none"/>
                <w14:textFill>
                  <w14:solidFill>
                    <w14:schemeClr w14:val="tx1"/>
                  </w14:solidFill>
                </w14:textFill>
              </w:rPr>
              <w:t xml:space="preserve">高清</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液晶触摸屏。</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控制箱：喷塑箱</w:t>
            </w:r>
            <w:r>
              <w:rPr>
                <w:rFonts w:ascii="宋体" w:hAnsi="宋体" w:eastAsia="宋体" w:cs="宋体"/>
                <w:b w:val="0"/>
                <w:bCs w:val="0"/>
                <w:color w:val="000000" w:themeColor="text1"/>
                <w:sz w:val="21"/>
                <w:szCs w:val="21"/>
                <w:highlight w:val="none"/>
                <w14:textFill>
                  <w14:solidFill>
                    <w14:schemeClr w14:val="tx1"/>
                  </w14:solidFill>
                </w14:textFill>
              </w:rPr>
              <w:t xml:space="preserve">，一线品牌电器元件，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防护等级≥IP55。</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适配的信号线、电源线、线材。</w:t>
            </w:r>
            <w:r/>
          </w:p>
          <w:p>
            <w:pPr>
              <w:numPr>
                <w:ilvl w:val="0"/>
                <w:numId w:val="0"/>
              </w:numPr>
              <w:ind w:left="0" w:firstLine="0"/>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2"/>
                <w:szCs w:val="22"/>
                <w:highlight w:val="none"/>
                <w:lang w:val="en-US" w:eastAsia="zh-CN" w:bidi="ar-SA"/>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电缆悬挂装置：M3mm</w:t>
            </w:r>
            <w:r>
              <w:rPr>
                <w:rFonts w:ascii="宋体" w:hAnsi="宋体" w:eastAsia="宋体" w:cs="宋体"/>
                <w:b w:val="0"/>
                <w:bCs w:val="0"/>
                <w:color w:val="000000" w:themeColor="text1"/>
                <w:sz w:val="21"/>
                <w:szCs w:val="21"/>
                <w:highlight w:val="none"/>
                <w14:textFill>
                  <w14:solidFill>
                    <w14:schemeClr w14:val="tx1"/>
                  </w14:solidFill>
                </w14:textFill>
              </w:rPr>
              <w:t xml:space="preserve">/275g</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热镀锌</w:t>
            </w:r>
            <w:r>
              <w:rPr>
                <w:rFonts w:ascii="宋体" w:hAnsi="宋体" w:eastAsia="宋体" w:cs="宋体"/>
                <w:b w:val="0"/>
                <w:bCs w:val="0"/>
                <w:color w:val="000000" w:themeColor="text1"/>
                <w:sz w:val="21"/>
                <w:szCs w:val="21"/>
                <w:highlight w:val="none"/>
                <w14:textFill>
                  <w14:solidFill>
                    <w14:schemeClr w14:val="tx1"/>
                  </w14:solidFill>
                </w14:textFill>
              </w:rPr>
              <w:t xml:space="preserve">钢丝及防腐</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固定材料等。</w:t>
            </w:r>
            <w:r/>
          </w:p>
          <w:p>
            <w:pPr>
              <w:numPr>
                <w:ilvl w:val="0"/>
                <w:numId w:val="0"/>
              </w:numPr>
              <w:ind w:left="0" w:firstLine="0"/>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11.笼具数量共计6列，层数为2层，需要24个出料口。</w:t>
            </w:r>
            <w:r/>
          </w:p>
        </w:tc>
        <w:tc>
          <w:tcPr>
            <w:tcW w:w="661"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饮水系统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350"/>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主供水系统+水线前/后端</w:t>
            </w:r>
            <w:r/>
          </w:p>
        </w:tc>
        <w:tc>
          <w:tcPr>
            <w:shd w:val="clear" w:color="auto" w:fill="auto"/>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含水表、减压阀、加药器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(使用适配的大流量(2.5m</w:t>
            </w:r>
            <w:r>
              <w:rPr>
                <w:rFonts w:hint="eastAsia" w:ascii="宋体" w:hAnsi="宋体" w:eastAsia="宋体" w:cs="宋体"/>
                <w:color w:val="000000" w:themeColor="text1"/>
                <w:sz w:val="21"/>
                <w:szCs w:val="21"/>
                <w:highlight w:val="none"/>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/h)自动配比比例加药器，外壳及配件要求使用耐腐蚀材料，包含适配的进出水配件)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、过滤器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(25目/防爆，密闭指数IP67，外壳及配件要求使用耐腐蚀材料，包含适配的进出水配件)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、调压器</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（耐压3MPa，铰接旋钮精准度高，密闭指数IP67，外壳及配件要求使用耐腐蚀材料，包含适配的进出水配件）、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球阀等。</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配套主水管缺水报警、水线自动反冲清洗、消毒等辅助装置。</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417"/>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笼内饮水系统</w:t>
            </w:r>
            <w:r/>
          </w:p>
        </w:tc>
        <w:tc>
          <w:tcPr>
            <w:shd w:val="clear" w:color="auto" w:fill="auto"/>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22*22*壁厚2mmPVC方水管/带加强筋，双水线。</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种鸭专用小流量饮水器，360度侧击出水，</w:t>
            </w:r>
            <w:r>
              <w:rPr>
                <w:rFonts w:ascii="宋体" w:hAnsi="宋体" w:eastAsia="宋体" w:cs="宋体"/>
                <w:color w:val="000000" w:themeColor="text1"/>
                <w:sz w:val="21"/>
                <w:szCs w:val="21"/>
                <w:highlight w:val="none"/>
                <w:lang w:bidi="ar-SA"/>
                <w14:textFill>
                  <w14:solidFill>
                    <w14:schemeClr w14:val="tx1"/>
                  </w14:solidFill>
                </w14:textFill>
              </w:rPr>
              <w:t xml:space="preserve">不触碰不漏水。</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1个/笼。</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不锈钢吊绳；M3mmQ235热镀锌钢丝主吊绳。</w:t>
            </w:r>
            <w:r/>
          </w:p>
        </w:tc>
        <w:tc>
          <w:tcPr>
            <w:tcW w:w="661"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条</w:t>
            </w:r>
            <w:r/>
          </w:p>
        </w:tc>
        <w:tc>
          <w:tcPr>
            <w:tcW w:w="726"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24</w:t>
            </w:r>
            <w:r/>
          </w:p>
        </w:tc>
        <w:tc>
          <w:tcPr>
            <w:tcW w:w="80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笼具系统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立柱</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275g）U型结构，</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w:t>
            </w:r>
            <w:r/>
          </w:p>
        </w:tc>
        <w:tc>
          <w:tcPr>
            <w:tcW w:w="66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组</w:t>
            </w:r>
            <w:r/>
          </w:p>
        </w:tc>
        <w:tc>
          <w:tcPr>
            <w:tcW w:w="72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150</w:t>
            </w:r>
            <w:r/>
          </w:p>
        </w:tc>
        <w:tc>
          <w:tcPr>
            <w:tcW w:w="80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横向连接梁</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1.0mm，与立柱无间隙连接，</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4道弯。</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纵向连接梁</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3道折弯。</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行车导轨</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275g）矩形管；30×60×2mm。</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粪带托梁</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板材厚0.8mm/U型结构/3道折弯/SUS304不锈钢。</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食槽托架</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1.5/2.0mm。</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鹅鸭互换调节件</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用于调节鹅蛋和鸭蛋漏蛋间隙</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5"/>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PVC/小平/外沿加高；食槽内增加隔板：防止鸭只跨笼位采食。</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97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笼网总成</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顶网丝径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2.0mm；横向隔网丝径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保证</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不卡鸭头。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纵向间隔网丝径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2.5mm；网格做加密处置，保证伸不出鸭头。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底网：丝径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2.0mm；网格做加密处置。</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笼门：丝径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5.0/4.0mm；网格做加密处置；一处采食口；笼门防伤鸭设计，避免伤鸭；采用左右推拉式大开门，配置笼门开关固定卡。</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全部采用镀锌铝镁Q235钢丝；要求丝径、交叉点、焊接点光滑无麻点。</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PVC</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挡粪板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S型/厚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3.5mm，2道加强筋（高15mm），与食槽无间隙搭接。</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5"/>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防漏粪装置</w:t>
            </w:r>
            <w:r/>
          </w:p>
        </w:tc>
        <w:tc>
          <w:tcPr>
            <w:tcW w:w="3919" w:type="dxa"/>
            <w:vAlign w:val="center"/>
            <w:textDirection w:val="lrTb"/>
            <w:noWrap/>
          </w:tcPr>
          <w:p>
            <w:pPr>
              <w:jc w:val="both"/>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PVC/L型挡粪板+尼龙卡扣（或螺丝）。</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防护管</w:t>
            </w:r>
            <w:r/>
          </w:p>
        </w:tc>
        <w:tc>
          <w:tcPr>
            <w:tcW w:w="3919" w:type="dxa"/>
            <w:vAlign w:val="center"/>
            <w:textDirection w:val="lrTb"/>
            <w:noWrap/>
          </w:tcPr>
          <w:p>
            <w:pPr>
              <w:jc w:val="both"/>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下层配置（</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热镀锌管</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规格</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φ32×1.3mm。</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标准件</w:t>
            </w:r>
            <w:r/>
          </w:p>
        </w:tc>
        <w:tc>
          <w:tcPr>
            <w:shd w:val="clear" w:color="auto" w:fill="auto"/>
            <w:tcW w:w="3919" w:type="dxa"/>
            <w:vAlign w:val="center"/>
            <w:textDirection w:val="lrTb"/>
            <w:noWrap/>
          </w:tcPr>
          <w:p>
            <w:pPr>
              <w:jc w:val="both"/>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紧固标准件</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：强力螺栓、防褪螺母、卡簧、卡</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钩</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等，均需</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采用SUS304不锈钢材质。</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厂家根据笼具框架配套方案，自行适配标准件的型号。</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清粪系统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机头+机尾</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机头框架要求使用厚度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热镀锌板材；机尾框架要求使用厚度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热镀锌板材；电机功率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ascii="宋体" w:hAnsi="宋体" w:eastAsia="宋体" w:cs="宋体"/>
                <w:color w:val="000000" w:themeColor="text1"/>
                <w:sz w:val="21"/>
                <w:szCs w:val="21"/>
                <w:highlight w:val="none"/>
                <w:lang w:bidi="ar-SA"/>
                <w14:textFill>
                  <w14:solidFill>
                    <w14:schemeClr w14:val="tx1"/>
                  </w14:solidFill>
                </w14:textFill>
              </w:rPr>
              <w:t xml:space="preserve">。要求配套安全防护装置（如防夹手装置）。机头配置防粪带跑偏装置</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包含：螺旋驱动辊（机头）、机尾从动辊+双向张紧丝杆、侧边限位导轮】</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6</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材料为PP原生料</w:t>
            </w:r>
            <w:r>
              <w:rPr>
                <w:rFonts w:ascii="宋体" w:hAnsi="宋体" w:eastAsia="宋体" w:cs="宋体"/>
                <w:color w:val="000000" w:themeColor="text1"/>
                <w:sz w:val="21"/>
                <w:szCs w:val="21"/>
                <w:highlight w:val="none"/>
                <w:lang w:bidi="ar-SA"/>
                <w14:textFill>
                  <w14:solidFill>
                    <w14:schemeClr w14:val="tx1"/>
                  </w14:solidFill>
                </w14:textFill>
              </w:rPr>
              <w:t xml:space="preserve">（无再生料添加），厚度不小于1.0mm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条</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减速电机（380V/3KW）、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控制箱、电源线、固定件、线材耗材等。</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斜向清粪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减速电机（380V/3KW）、PE输送管、</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控制箱、电源线、固定件、线材耗材等。</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粪沟盖板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275g）碳钢板，长14.5m*宽0.8m*厚度2.5mm。</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控制系统总成</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喷塑电箱/8路输出（用于控制5路纵向+2路横斜向）</w:t>
            </w:r>
            <w:r>
              <w:rPr>
                <w:rFonts w:ascii="宋体" w:hAnsi="宋体" w:eastAsia="宋体" w:cs="宋体"/>
                <w:color w:val="000000" w:themeColor="text1"/>
                <w:sz w:val="21"/>
                <w:szCs w:val="21"/>
                <w:highlight w:val="none"/>
                <w:lang w:bidi="ar-SA"/>
                <w14:textFill>
                  <w14:solidFill>
                    <w14:schemeClr w14:val="tx1"/>
                  </w14:solidFill>
                </w14:textFill>
              </w:rPr>
              <w:t xml:space="preserve">；要求配备</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遥控器（远程）+按钮</w:t>
            </w:r>
            <w:r>
              <w:rPr>
                <w:rFonts w:ascii="宋体" w:hAnsi="宋体" w:eastAsia="宋体" w:cs="宋体"/>
                <w:color w:val="000000" w:themeColor="text1"/>
                <w:sz w:val="21"/>
                <w:szCs w:val="21"/>
                <w:highlight w:val="none"/>
                <w:lang w:bidi="ar-SA"/>
                <w14:textFill>
                  <w14:solidFill>
                    <w14:schemeClr w14:val="tx1"/>
                  </w14:solidFill>
                </w14:textFill>
              </w:rPr>
              <w:t xml:space="preserve">式开关</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，配总急停开关。</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纵向带电源线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w:t>
            </w:r>
            <w:r>
              <w:rPr>
                <w:rFonts w:ascii="宋体" w:hAnsi="宋体" w:eastAsia="宋体" w:cs="宋体"/>
                <w:color w:val="000000" w:themeColor="text1"/>
                <w:sz w:val="21"/>
                <w:szCs w:val="21"/>
                <w:highlight w:val="none"/>
                <w:lang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RVV。</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200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横/斜向电源线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风机总成</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高负压风机</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50吋</w:t>
            </w:r>
            <w:r>
              <w:rPr>
                <w:rFonts w:ascii="宋体" w:hAnsi="宋体" w:eastAsia="宋体" w:cs="宋体"/>
                <w:color w:val="000000" w:themeColor="text1"/>
                <w:sz w:val="21"/>
                <w:szCs w:val="21"/>
                <w:highlight w:val="none"/>
                <w:lang w:bidi="ar-SA"/>
                <w14:textFill>
                  <w14:solidFill>
                    <w14:schemeClr w14:val="tx1"/>
                  </w14:solidFill>
                </w14:textFill>
              </w:rPr>
              <w:t xml:space="preserve">（1380*1380mm）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/304不锈钢扇叶/275热镀锌镀锌板/百叶窗。</w:t>
            </w:r>
            <w:r>
              <w:rPr>
                <w:rFonts w:ascii="宋体" w:hAnsi="宋体" w:eastAsia="宋体" w:cs="宋体"/>
                <w:color w:val="000000" w:themeColor="text1"/>
                <w:sz w:val="21"/>
                <w:szCs w:val="21"/>
                <w:highlight w:val="none"/>
                <w:lang w:bidi="ar-SA"/>
                <w14:textFill>
                  <w14:solidFill>
                    <w14:schemeClr w14:val="tx1"/>
                  </w14:solidFill>
                </w14:textFill>
              </w:rPr>
              <w:t xml:space="preserve">要求0Pa时排风量</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36000m³/</w:t>
            </w:r>
            <w:r>
              <w:rPr>
                <w:rFonts w:ascii="宋体" w:hAnsi="宋体" w:eastAsia="宋体" w:cs="宋体"/>
                <w:color w:val="000000" w:themeColor="text1"/>
                <w:sz w:val="21"/>
                <w:szCs w:val="21"/>
                <w:highlight w:val="none"/>
                <w:lang w:bidi="ar-SA"/>
                <w14:textFill>
                  <w14:solidFill>
                    <w14:schemeClr w14:val="tx1"/>
                  </w14:solidFill>
                </w14:textFill>
              </w:rPr>
              <w:t xml:space="preserve">h。</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8</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遮光罩</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每台风机配置一台适配的风机遮光罩。</w:t>
            </w:r>
            <w:r>
              <w:rPr>
                <w:rFonts w:ascii="宋体" w:hAnsi="宋体" w:eastAsia="宋体" w:cs="宋体"/>
                <w:color w:val="000000" w:themeColor="text1"/>
                <w:sz w:val="21"/>
                <w:szCs w:val="21"/>
                <w:highlight w:val="none"/>
                <w:lang w:bidi="ar-SA"/>
                <w14:textFill>
                  <w14:solidFill>
                    <w14:schemeClr w14:val="tx1"/>
                  </w14:solidFill>
                </w14:textFill>
              </w:rPr>
              <w:t xml:space="preserve">要求遮光率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95％。</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8</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国标3*-1.0RVV。</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米</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200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聚氨酯发泡胶/阻燃。</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箱</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湿帘总成</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外挂降温湿帘</w:t>
            </w:r>
            <w:r/>
          </w:p>
        </w:tc>
        <w:tc>
          <w:tcPr>
            <w:tcW w:w="3919" w:type="dxa"/>
            <w:vAlign w:val="center"/>
            <w:textDirection w:val="lrTb"/>
            <w:noWrap/>
          </w:tcPr>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PVC深水槽；7090波/150mm厚/铝合金边框/双面304不锈钢防鼠网。每间隔3米增加一根竖支撑。</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45</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601"/>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潜水泵</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220V/550W，含进出水配件、软连接等</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5"/>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国标2*1护套。</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100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638"/>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外循环</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含水帘用过滤器、固定件等配件。</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45</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导风板总成</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1495"/>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双面纳米膜（铁板厚度≥0.3mm，纳米膜厚度≥74um</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，厚</w:t>
            </w:r>
            <w:r>
              <w:rPr>
                <w:rFonts w:ascii="宋体" w:hAnsi="宋体" w:eastAsia="宋体" w:cs="宋体"/>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50mmEPS夹芯（耐火等级≥B2级）。</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铝合金包边，插槽式EPDM发泡/发泡/中空密封条。</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导风板联动拉杆为M4mm热镀锌钢丝。</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框架为热浸锌方管，</w:t>
            </w: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中间宽度不</w:t>
            </w:r>
            <w:r>
              <w:rPr>
                <w:rFonts w:hint="eastAsia" w:ascii="宋体" w:hAnsi="宋体" w:eastAsia="宋体" w:cs="宋体"/>
                <w:color w:val="000000" w:themeColor="text1"/>
                <w:sz w:val="21"/>
                <w:szCs w:val="21"/>
                <w:highlight w:val="none"/>
                <w:u w:val="none"/>
                <w:lang w:eastAsia="zh-CN" w:bidi="ar-SA"/>
                <w14:textFill>
                  <w14:solidFill>
                    <w14:schemeClr w14:val="tx1"/>
                  </w14:solidFill>
                </w14:textFill>
              </w:rPr>
              <w:t xml:space="preserve">低于</w:t>
            </w: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120mm。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85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7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进风窗总成</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631"/>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通风小窗</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规格：550*260mm，配导风板、防鸟网；配遮光罩（小）</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耗材：</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6"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44</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176"/>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11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9</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照明系统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养殖专用灯管</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DC/48V/4-5W/3000K/IP67。</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根</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126</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255"/>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调光箱</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可实现0-100％手、自动</w:t>
            </w:r>
            <w:r>
              <w:rPr>
                <w:rFonts w:hint="eastAsia" w:ascii="宋体" w:hAnsi="宋体" w:eastAsia="宋体" w:cs="宋体"/>
                <w:b/>
                <w:bCs/>
                <w:color w:val="000000" w:themeColor="text1"/>
                <w:sz w:val="21"/>
                <w:szCs w:val="21"/>
                <w:highlight w:val="none"/>
                <w:lang w:eastAsia="zh-CN" w:bidi="ar-SA"/>
                <w14:textFill>
                  <w14:solidFill>
                    <w14:schemeClr w14:val="tx1"/>
                  </w14:solidFill>
                </w14:textFill>
              </w:rPr>
              <w:t xml:space="preserve">线性</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控光。</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国标2*1.5护套</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200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602"/>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吊装器材、线材</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M45mm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w:t>
            </w:r>
            <w:r>
              <w:rPr>
                <w:rFonts w:ascii="宋体" w:hAnsi="宋体" w:eastAsia="宋体" w:cs="宋体"/>
                <w:color w:val="000000" w:themeColor="text1"/>
                <w:sz w:val="21"/>
                <w:szCs w:val="21"/>
                <w:highlight w:val="none"/>
                <w:lang w:bidi="ar-SA"/>
                <w14:textFill>
                  <w14:solidFill>
                    <w14:schemeClr w14:val="tx1"/>
                  </w14:solidFill>
                </w14:textFill>
              </w:rPr>
              <w:t xml:space="preserve">尼龙</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扎带、丝杆、管卡、水泥钉等耗材。</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350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10</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智能环控系统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79"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环境控制器主机+主箱+风机控制箱</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不少于20</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个继电器输出，10</w:t>
            </w:r>
            <w:r>
              <w:rPr>
                <w:rFonts w:ascii="宋体" w:hAnsi="宋体" w:eastAsia="宋体" w:cs="宋体"/>
                <w:color w:val="000000" w:themeColor="text1"/>
                <w:sz w:val="21"/>
                <w:szCs w:val="21"/>
                <w:highlight w:val="none"/>
                <w:lang w:bidi="ar-SA"/>
                <w14:textFill>
                  <w14:solidFill>
                    <w14:schemeClr w14:val="tx1"/>
                  </w14:solidFill>
                </w14:textFill>
              </w:rPr>
              <w:t xml:space="preserve">英寸液晶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显示屏，页面要求：风机位置与开关状态一目了然。</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含物联网种鸭养殖管理系统。含终端显示器一台。</w:t>
            </w:r>
            <w:r/>
          </w:p>
        </w:tc>
        <w:tc>
          <w:tcPr>
            <w:tcW w:w="66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配置4个温度传感器、1个湿度传感器、1套负压变送器。</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79"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919" w:type="dxa"/>
            <w:vAlign w:val="bottom"/>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实现湿热补偿自由设置或智能算法；支持连接局域网、互联网。</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79"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不少于40个通风级别，可通过手动、时控、温控等途径，自由选择风机位置和每一级别风机数量。</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79"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可手、自动控制供暖、降温、通风、照明、喷雾等相关环控设备。</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79"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配置避雷装置，抗6000V瞬间（雷击）电压。</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79"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喷塑或304不锈钢电箱</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综合布局线</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39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主电缆</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3*10+1RVV。</w:t>
            </w:r>
            <w:r/>
          </w:p>
        </w:tc>
        <w:tc>
          <w:tcPr>
            <w:tcW w:w="66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90"/>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信号电缆线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国标2*0.3双绞屏蔽</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9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控制电缆线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*0.3RVV</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9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接地电缆线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国标BVR4。</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9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联箱电缆线</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3*10+1RVV。</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97"/>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线材、耗材</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6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23"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9"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喷雾系统</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shd w:val="clear" w:color="auto" w:fill="ffffff"/>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前端供水</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M25/PVC给水管、过滤器、管件、阀门、软连接等。</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rPr>
                <w:rFonts w:ascii="宋体" w:hAnsi="宋体" w:eastAsia="宋体" w:cs="宋体"/>
                <w:color w:val="000000" w:themeColor="text1"/>
                <w:sz w:val="21"/>
                <w:szCs w:val="21"/>
                <w:highlight w:val="none"/>
                <w:lang w:bidi="ar-SA"/>
                <w14:textFill>
                  <w14:solidFill>
                    <w14:schemeClr w14:val="tx1"/>
                  </w14:solidFill>
                </w14:textFill>
              </w:rPr>
              <w:t xml:space="preserve">，含</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防水明盒、线材耗材</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主机</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380V/3</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雾线主机（时控+手动），含出水配件</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高压雾管</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PE/DN9.52高压胶管（耐压100KG）（4列/栋）</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260</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铜镀镍四通+5030喷嘴（株距3m）</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68</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喷雾线配件</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铜镀镍弯头、堵头等</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吊装材料</w:t>
            </w:r>
            <w:r/>
          </w:p>
        </w:tc>
        <w:tc>
          <w:tcPr>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塑钢线、扎带、丝杆、绞盘等</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其他</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操作车</w:t>
            </w:r>
            <w:r/>
          </w:p>
        </w:tc>
        <w:tc>
          <w:tcPr>
            <w:shd w:val="clear" w:color="auto" w:fill="auto"/>
            <w:tcW w:w="3919"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w:t>
            </w:r>
            <w:r>
              <w:rPr>
                <w:rFonts w:ascii="宋体" w:hAnsi="宋体" w:eastAsia="宋体" w:cs="宋体"/>
                <w:color w:val="000000" w:themeColor="text1"/>
                <w:sz w:val="21"/>
                <w:szCs w:val="21"/>
                <w:highlight w:val="none"/>
                <w:lang w:bidi="ar-SA"/>
                <w14:textFill>
                  <w14:solidFill>
                    <w14:schemeClr w14:val="tx1"/>
                  </w14:solidFill>
                </w14:textFill>
              </w:rPr>
              <w:t xml:space="preserve">瓶功率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400W</w:t>
            </w:r>
            <w:r>
              <w:rPr>
                <w:rFonts w:ascii="宋体" w:hAnsi="宋体" w:eastAsia="宋体" w:cs="宋体"/>
                <w:color w:val="000000" w:themeColor="text1"/>
                <w:sz w:val="21"/>
                <w:szCs w:val="21"/>
                <w:highlight w:val="none"/>
                <w:lang w:bidi="ar-SA"/>
                <w14:textFill>
                  <w14:solidFill>
                    <w14:schemeClr w14:val="tx1"/>
                  </w14:solidFill>
                </w14:textFill>
              </w:rPr>
              <w:t xml:space="preserve">、留充电口或充电线</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4轮直驱，前后端均可进行转向操作，操作立面（台阶）3层/最高处台阶高900mm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长1200 *宽600 mm；车架总承重</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00KG</w:t>
            </w:r>
            <w:r>
              <w:rPr>
                <w:rFonts w:ascii="宋体" w:hAnsi="宋体" w:eastAsia="宋体" w:cs="宋体"/>
                <w:color w:val="000000" w:themeColor="text1"/>
                <w:sz w:val="21"/>
                <w:szCs w:val="21"/>
                <w:highlight w:val="none"/>
                <w:lang w:bidi="ar-SA"/>
                <w14:textFill>
                  <w14:solidFill>
                    <w14:schemeClr w14:val="tx1"/>
                  </w14:solidFill>
                </w14:textFill>
              </w:rPr>
              <w:t xml:space="preserve">，车架做防腐处理（镀锌或喷塑）</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2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14.运费及安装费</w:t>
            </w:r>
            <w:r/>
          </w:p>
        </w:tc>
      </w:tr>
      <w:tr>
        <w:trPr>
          <w:trHeight w:val="454"/>
        </w:trPr>
        <w:tc>
          <w:tcPr>
            <w:tcW w:w="117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19" w:type="dxa"/>
            <w:vAlign w:val="center"/>
            <w:textDirection w:val="lrTb"/>
            <w:noWrap/>
          </w:tcPr>
          <w:p>
            <w:pPr>
              <w:jc w:val="center"/>
              <w:keepLines w:val="0"/>
              <w:keepNext w:val="0"/>
              <w:pageBreakBefore w:val="0"/>
              <w:spacing w:after="0" w:line="0" w:lineRule="atLeast"/>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6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运费</w:t>
            </w:r>
            <w:r/>
          </w:p>
        </w:tc>
        <w:tc>
          <w:tcPr>
            <w:shd w:val="clear" w:color="auto" w:fill="auto"/>
            <w:tcW w:w="3919" w:type="dxa"/>
            <w:vAlign w:val="center"/>
            <w:textDirection w:val="lrTb"/>
            <w:noWrap/>
          </w:tcPr>
          <w:p>
            <w:pPr>
              <w:jc w:val="both"/>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运费包含备料、库管、运输、搬运、装卸等所有项目</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shd w:val="clear" w:color="auto" w:fill="auto"/>
            <w:tcW w:w="1179"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安装费</w:t>
            </w:r>
            <w:r/>
          </w:p>
        </w:tc>
        <w:tc>
          <w:tcPr>
            <w:shd w:val="clear" w:color="auto" w:fill="auto"/>
            <w:tcW w:w="3919" w:type="dxa"/>
            <w:vAlign w:val="center"/>
            <w:textDirection w:val="lrTb"/>
            <w:noWrap/>
          </w:tcPr>
          <w:p>
            <w:pPr>
              <w:jc w:val="both"/>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安装费包含勘测、设计、测试、量产、安装、调试、售后等所有项目</w:t>
            </w:r>
            <w:r/>
          </w:p>
        </w:tc>
        <w:tc>
          <w:tcPr>
            <w:shd w:val="clear" w:color="auto" w:fill="auto"/>
            <w:tcW w:w="661"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shd w:val="clear" w:color="auto" w:fill="auto"/>
            <w:tcW w:w="726"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W w:w="80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23"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9"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tcW w:w="9824"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合计1（含增值税）：</w:t>
            </w:r>
            <w:r/>
          </w:p>
        </w:tc>
      </w:tr>
    </w:tbl>
    <w:p>
      <w:pP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br w:type="page" w:clear="all"/>
      </w:r>
      <w:r/>
    </w:p>
    <w:p>
      <w:pPr>
        <w:numPr>
          <w:ilvl w:val="0"/>
          <w:numId w:val="0"/>
        </w:numPr>
        <w:ind w:firstLine="0"/>
        <w:keepLines w:val="0"/>
        <w:keepNext w:val="0"/>
        <w:pageBreakBefore w:val="0"/>
        <w:spacing w:after="0" w:line="360" w:lineRule="auto"/>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2.公鸭舍测定舍分项报价明细表</w:t>
      </w:r>
      <w:r/>
    </w:p>
    <w:tbl>
      <w:tblPr>
        <w:tblStyle w:val="817"/>
        <w:tblW w:w="5300" w:type="pct"/>
        <w:tblInd w:w="-2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94"/>
        <w:gridCol w:w="3932"/>
        <w:gridCol w:w="641"/>
        <w:gridCol w:w="728"/>
        <w:gridCol w:w="815"/>
        <w:gridCol w:w="816"/>
        <w:gridCol w:w="917"/>
        <w:gridCol w:w="801"/>
      </w:tblGrid>
      <w:tr>
        <w:trPr>
          <w:trHeight w:val="454"/>
        </w:trPr>
        <w:tc>
          <w:tcPr>
            <w:gridSpan w:val="8"/>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公鸭舍测定舍</w:t>
            </w:r>
            <w:r/>
          </w:p>
        </w:tc>
      </w:tr>
      <w:tr>
        <w:trPr>
          <w:trHeight w:val="454"/>
        </w:trPr>
        <w:tc>
          <w:tcPr>
            <w:gridSpan w:val="8"/>
            <w:shd w:val="clear" w:color="auto" w:fill="auto"/>
            <w:tcW w:w="9844"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棚舍尺寸（净内）：长50</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含5m棚头操作间，养殖区长45m）*宽7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*檐高2.7</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r>
      <w:tr>
        <w:trPr>
          <w:trHeight w:val="454"/>
        </w:trPr>
        <w:tc>
          <w:tcPr>
            <w:gridSpan w:val="8"/>
            <w:shd w:val="clear" w:color="auto" w:fill="auto"/>
            <w:tcW w:w="9844" w:type="dxa"/>
            <w:vAlign w:val="center"/>
            <w:textDirection w:val="lrTb"/>
            <w:noWrap/>
          </w:tcPr>
          <w:p>
            <w:pPr>
              <w:jc w:val="left"/>
              <w:keepLines w:val="0"/>
              <w:keepNext w:val="0"/>
              <w:pageBreakBefore w:val="0"/>
              <w:spacing w:beforeAutospacing="0" w:after="0" w:afterAutospacing="0" w:line="0" w:lineRule="atLeast"/>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笼具排列方案：2层（12个单元格）/组*25组/列*2列/栋=600个单元格。</w:t>
            </w:r>
            <w:r/>
          </w:p>
        </w:tc>
      </w:tr>
      <w:tr>
        <w:trPr>
          <w:trHeight w:val="454"/>
        </w:trPr>
        <w:tc>
          <w:tcPr>
            <w:gridSpan w:val="8"/>
            <w:shd w:val="clear" w:color="auto" w:fill="auto"/>
            <w:tcW w:w="9844"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存栏量（按照1只/单元格）：600只。</w:t>
            </w:r>
            <w:r/>
          </w:p>
        </w:tc>
      </w:tr>
      <w:tr>
        <w:trPr>
          <w:trHeight w:val="454"/>
        </w:trPr>
        <w:tc>
          <w:tcPr>
            <w:gridSpan w:val="8"/>
            <w:shd w:val="clear" w:color="auto" w:fill="auto"/>
            <w:tcW w:w="9844"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单笼尺寸：长500mm×深600mm×笼高700mm；单组尺寸：长1500mm×宽1200mm×高2100mm；笼架高2.1</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±0.05</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m。</w:t>
            </w:r>
            <w:r/>
          </w:p>
        </w:tc>
      </w:tr>
      <w:tr>
        <w:trPr>
          <w:trHeight w:val="454"/>
        </w:trPr>
        <w:tc>
          <w:tcPr>
            <w:gridSpan w:val="8"/>
            <w:shd w:val="clear" w:color="auto" w:fill="eeece1" w:themeFill="background2"/>
            <w:tcW w:w="984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1.喂料</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系统</w:t>
            </w:r>
            <w:r/>
          </w:p>
        </w:tc>
      </w:tr>
      <w:tr>
        <w:trPr>
          <w:trHeight w:val="454"/>
        </w:trPr>
        <w:tc>
          <w:tcPr>
            <w:tcW w:w="119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1203"/>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料塔</w:t>
            </w:r>
            <w:r/>
          </w:p>
        </w:tc>
        <w:tc>
          <w:tcPr>
            <w:tcW w:w="393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容积</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4.5m³；国标热镀锌（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275g/㎡）钣金件，具备抗台风强度配置；密封等级IP65；配置缓冲（软连接）装置。</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736"/>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辅助料箱</w:t>
            </w:r>
            <w:r/>
          </w:p>
        </w:tc>
        <w:tc>
          <w:tcPr>
            <w:tcW w:w="393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国标热镀锌（</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275g/㎡）钣金件；</w:t>
            </w:r>
            <w:r>
              <w:rPr>
                <w:rFonts w:ascii="宋体" w:hAnsi="宋体" w:eastAsia="宋体" w:cs="宋体"/>
                <w:b w:val="0"/>
                <w:bCs w:val="0"/>
                <w:color w:val="000000" w:themeColor="text1"/>
                <w:sz w:val="21"/>
                <w:szCs w:val="21"/>
                <w:highlight w:val="none"/>
                <w:u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密封指数</w:t>
            </w:r>
            <w:r>
              <w:rPr>
                <w:rFonts w:hint="eastAsia" w:ascii="宋体" w:hAnsi="宋体" w:eastAsia="宋体" w:cs="宋体"/>
                <w:b w:val="0"/>
                <w:bCs w:val="0"/>
                <w:color w:val="000000" w:themeColor="text1"/>
                <w:sz w:val="21"/>
                <w:szCs w:val="21"/>
                <w:highlight w:val="none"/>
                <w:u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none"/>
                <w:lang w:bidi="ar-SA"/>
                <w14:textFill>
                  <w14:solidFill>
                    <w14:schemeClr w14:val="tx1"/>
                  </w14:solidFill>
                </w14:textFill>
              </w:rPr>
              <w:t xml:space="preserve">IP55。</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个</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24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称重系统</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信号传输模式（数字或模拟）根据控制器要求配置；可以实时显示饲料重量；传感器精度C3，系统精度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701"/>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主料线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M63/PVC/国标380V/1.1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减速电机。所有固定、吊装件使用国标防腐材料；所有线缆、线材、耗材使用适配的国标、阻燃材料。</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73"/>
        </w:trPr>
        <w:tc>
          <w:tcPr>
            <w:tcW w:w="119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喂料行车</w:t>
            </w:r>
            <w:r/>
          </w:p>
        </w:tc>
        <w:tc>
          <w:tcPr>
            <w:tcW w:w="3932" w:type="dxa"/>
            <w:vAlign w:val="center"/>
            <w:textDirection w:val="lrTb"/>
            <w:noWrap/>
          </w:tcPr>
          <w:p>
            <w:pPr>
              <w:jc w:val="left"/>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轨道式行走布料机</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275g），</w:t>
            </w:r>
            <w:r>
              <w:rPr>
                <w:rFonts w:ascii="宋体" w:hAnsi="宋体" w:eastAsia="宋体" w:cs="宋体"/>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2.0mm。</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列</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饮水系统</w:t>
            </w:r>
            <w:r/>
          </w:p>
        </w:tc>
      </w:tr>
      <w:tr>
        <w:trPr>
          <w:trHeight w:val="454"/>
        </w:trPr>
        <w:tc>
          <w:tcPr>
            <w:tcW w:w="1194"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beforeAutospacing="0" w:after="0" w:afterAutospacing="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1701"/>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主供水系统+水线前后端</w:t>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含水表、减压阀、加药器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(使用适配的大流量(2.5m</w:t>
            </w:r>
            <w:r>
              <w:rPr>
                <w:rFonts w:hint="eastAsia" w:ascii="宋体" w:hAnsi="宋体" w:eastAsia="宋体" w:cs="宋体"/>
                <w:color w:val="000000" w:themeColor="text1"/>
                <w:sz w:val="21"/>
                <w:szCs w:val="21"/>
                <w:highlight w:val="none"/>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/h)自动配比比例加药器，外壳及配件要求使用耐腐蚀材料，包含适配的进出水配件)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、过滤器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(25目/防爆，密闭指数IP67，外壳及配件要求使用耐腐蚀材料，包含适配的进出水配件)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、调压器</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（耐压3MPa，铰接旋钮精准度高，密闭指数IP67，外壳及配件要求使用耐腐蚀材料，包含适配的进出水配件）、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球阀等。</w:t>
            </w:r>
            <w:r/>
          </w:p>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配套主水管缺水报警、水线自动反冲清洗、消毒等辅助装置。</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701"/>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笼内饮水系统</w:t>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22*22*壁厚2mmPVC方水管/带加强筋，双水线。</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种鸭专用小流量饮水器，360度侧击出水，</w:t>
            </w:r>
            <w:r>
              <w:rPr>
                <w:rFonts w:ascii="宋体" w:hAnsi="宋体" w:eastAsia="宋体" w:cs="宋体"/>
                <w:color w:val="000000" w:themeColor="text1"/>
                <w:sz w:val="21"/>
                <w:szCs w:val="21"/>
                <w:highlight w:val="none"/>
                <w:lang w:bidi="ar-SA"/>
                <w14:textFill>
                  <w14:solidFill>
                    <w14:schemeClr w14:val="tx1"/>
                  </w14:solidFill>
                </w14:textFill>
              </w:rPr>
              <w:t xml:space="preserve">不触碰不漏水。</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1个/笼。</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不锈钢吊绳；M3mmQ235热镀锌钢丝主吊绳。</w:t>
            </w:r>
            <w:r/>
          </w:p>
        </w:tc>
        <w:tc>
          <w:tcPr>
            <w:tcW w:w="641"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条</w:t>
            </w:r>
            <w:r/>
          </w:p>
        </w:tc>
        <w:tc>
          <w:tcPr>
            <w:tcW w:w="728"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8</w:t>
            </w:r>
            <w:r/>
          </w:p>
        </w:tc>
        <w:tc>
          <w:tcPr>
            <w:tcW w:w="815"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笼具系统</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69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立柱</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275g）U型结构，</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w:t>
            </w:r>
            <w:r/>
          </w:p>
        </w:tc>
        <w:tc>
          <w:tcPr>
            <w:tcW w:w="64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组</w:t>
            </w:r>
            <w:r/>
          </w:p>
        </w:tc>
        <w:tc>
          <w:tcPr>
            <w:tcW w:w="728"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W w:w="815"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345"/>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横向连接梁</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1.0mm，与立柱无间隙连接，≥4道弯。</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7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纵向连接梁</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1.0mm，≥3道折弯。</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38"/>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行车导轨</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275g）矩形管；30×60×2mm。</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粪带托梁</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板材厚0.8mm/U型结构/3道折弯/SUS304不锈钢。</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食槽托架</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热镀锌钣金件（</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板材厚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1.5/2.0mm。</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食槽</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PVC/小平/外沿加高；食槽内增加隔板：防止鸭只跨笼位采食。</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869"/>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笼网总成</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顶网丝径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2.0mm；横向隔网丝径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保证</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不卡鸭头。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纵向间隔网丝径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2.5mm；网格做加密处置，保证伸不出鸭头。</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底网：</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使用PE漏粪板</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笼门：丝径</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5.0/4.0mm；网格做加密处置；一处采食口；笼门防伤鸭设计，避免伤鸭；采用推拉式大开门，配置笼门开关固定卡。</w:t>
            </w:r>
            <w:r/>
          </w:p>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全部采用镀锌铝镁Q235钢丝；要求丝径、交叉点、焊接点光滑无麻点。</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1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PVC</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挡粪板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S型/厚</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3.5mm，2道加强筋（高15mm），与食槽无间隙搭接。</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防漏粪装置</w:t>
            </w:r>
            <w:r/>
          </w:p>
        </w:tc>
        <w:tc>
          <w:tcPr>
            <w:tcW w:w="393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PVC/L型挡粪板+尼龙卡扣（或螺丝）。</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6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防护管</w:t>
            </w:r>
            <w:r/>
          </w:p>
        </w:tc>
        <w:tc>
          <w:tcPr>
            <w:tcW w:w="3932" w:type="dxa"/>
            <w:vAlign w:val="center"/>
            <w:textDirection w:val="lrTb"/>
            <w:noWrap/>
          </w:tcPr>
          <w:p>
            <w:pPr>
              <w:keepLines w:val="0"/>
              <w:keepNext w:val="0"/>
              <w:pageBreakBefore w:val="0"/>
              <w:spacing w:after="0" w:line="0" w:lineRule="atLeast"/>
              <w:widowControl/>
              <w:rPr>
                <w:rFonts w:hint="eastAsia" w:ascii="宋体" w:hAnsi="宋体" w:eastAsia="宋体" w:cs="宋体"/>
                <w:b w:val="0"/>
                <w:bCs w:val="0"/>
                <w:color w:val="000000" w:themeColor="text1"/>
                <w:sz w:val="21"/>
                <w:szCs w:val="21"/>
                <w:highlight w:val="none"/>
                <w:lang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下层配置（</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275g）</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热镀锌管</w:t>
            </w:r>
            <w:r>
              <w:rPr>
                <w:rFonts w:ascii="宋体" w:hAnsi="宋体" w:eastAsia="宋体" w:cs="宋体"/>
                <w:b w:val="0"/>
                <w:bCs w:val="0"/>
                <w:color w:val="000000" w:themeColor="text1"/>
                <w:sz w:val="21"/>
                <w:szCs w:val="21"/>
                <w:highlight w:val="none"/>
                <w:lang w:bidi="ar-SA"/>
                <w14:textFill>
                  <w14:solidFill>
                    <w14:schemeClr w14:val="tx1"/>
                  </w14:solidFill>
                </w14:textFill>
              </w:rPr>
              <w:t xml:space="preserve">规格</w:t>
            </w:r>
            <w:r>
              <w:rPr>
                <w:rFonts w:hint="eastAsia" w:ascii="宋体" w:hAnsi="宋体" w:eastAsia="宋体" w:cs="宋体"/>
                <w:b w:val="0"/>
                <w:bCs w:val="0"/>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bidi="ar-SA"/>
                <w14:textFill>
                  <w14:solidFill>
                    <w14:schemeClr w14:val="tx1"/>
                  </w14:solidFill>
                </w14:textFill>
              </w:rPr>
              <w:t xml:space="preserve">φ32×1.3mm。</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0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标准件</w:t>
            </w:r>
            <w:r/>
          </w:p>
        </w:tc>
        <w:tc>
          <w:tcPr>
            <w:tcW w:w="3932" w:type="dxa"/>
            <w:vAlign w:val="center"/>
            <w:textDirection w:val="lrTb"/>
            <w:noWrap/>
          </w:tcPr>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紧固标准件</w:t>
            </w:r>
            <w:r>
              <w:rPr>
                <w:rFonts w:ascii="宋体" w:hAnsi="宋体" w:eastAsia="宋体" w:cs="宋体"/>
                <w:color w:val="000000" w:themeColor="text1"/>
                <w:sz w:val="21"/>
                <w:szCs w:val="21"/>
                <w:highlight w:val="none"/>
                <w:lang w:bidi="ar-SA"/>
                <w14:textFill>
                  <w14:solidFill>
                    <w14:schemeClr w14:val="tx1"/>
                  </w14:solidFill>
                </w14:textFill>
              </w:rPr>
              <w:t xml:space="preserve">：强力螺栓、防褪螺母、卡簧、卡</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钩</w:t>
            </w:r>
            <w:r>
              <w:rPr>
                <w:rFonts w:ascii="宋体" w:hAnsi="宋体" w:eastAsia="宋体" w:cs="宋体"/>
                <w:color w:val="000000" w:themeColor="text1"/>
                <w:sz w:val="21"/>
                <w:szCs w:val="21"/>
                <w:highlight w:val="none"/>
                <w:lang w:bidi="ar-SA"/>
                <w14:textFill>
                  <w14:solidFill>
                    <w14:schemeClr w14:val="tx1"/>
                  </w14:solidFill>
                </w14:textFill>
              </w:rPr>
              <w:t xml:space="preserve">等，均需</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采用SUS304不锈钢材质。</w:t>
            </w:r>
            <w:r>
              <w:rPr>
                <w:rFonts w:ascii="宋体" w:hAnsi="宋体" w:eastAsia="宋体" w:cs="宋体"/>
                <w:color w:val="000000" w:themeColor="text1"/>
                <w:sz w:val="21"/>
                <w:szCs w:val="21"/>
                <w:highlight w:val="none"/>
                <w:lang w:bidi="ar-SA"/>
                <w14:textFill>
                  <w14:solidFill>
                    <w14:schemeClr w14:val="tx1"/>
                  </w14:solidFill>
                </w14:textFill>
              </w:rPr>
              <w:t xml:space="preserve">厂家根据笼具框架配套方案，自行适配标准件的型号。</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清粪系统</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机头+机尾</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机头框架要求使用厚度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热镀锌板材；机尾框架要求使用厚度</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mm（275g）</w:t>
            </w:r>
            <w:r>
              <w:rPr>
                <w:rFonts w:ascii="宋体" w:hAnsi="宋体" w:eastAsia="宋体" w:cs="宋体"/>
                <w:color w:val="000000" w:themeColor="text1"/>
                <w:sz w:val="21"/>
                <w:szCs w:val="21"/>
                <w:highlight w:val="none"/>
                <w:lang w:bidi="ar-SA"/>
                <w14:textFill>
                  <w14:solidFill>
                    <w14:schemeClr w14:val="tx1"/>
                  </w14:solidFill>
                </w14:textFill>
              </w:rPr>
              <w:t xml:space="preserve">热镀锌板材；电机功率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ascii="宋体" w:hAnsi="宋体" w:eastAsia="宋体" w:cs="宋体"/>
                <w:color w:val="000000" w:themeColor="text1"/>
                <w:sz w:val="21"/>
                <w:szCs w:val="21"/>
                <w:highlight w:val="none"/>
                <w:lang w:bidi="ar-SA"/>
                <w14:textFill>
                  <w14:solidFill>
                    <w14:schemeClr w14:val="tx1"/>
                  </w14:solidFill>
                </w14:textFill>
              </w:rPr>
              <w:t xml:space="preserve">。要求配套安全防护装置（如防夹手装置）。机头配置防粪带跑偏装置</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包含：螺旋驱动辊（机头）、机尾从动辊+双向张紧丝杆、侧边限位导轮】</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93"/>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材料为PP原生料</w:t>
            </w:r>
            <w:r>
              <w:rPr>
                <w:rFonts w:ascii="宋体" w:hAnsi="宋体" w:eastAsia="宋体" w:cs="宋体"/>
                <w:color w:val="000000" w:themeColor="text1"/>
                <w:sz w:val="21"/>
                <w:szCs w:val="21"/>
                <w:highlight w:val="none"/>
                <w:lang w:bidi="ar-SA"/>
                <w14:textFill>
                  <w14:solidFill>
                    <w14:schemeClr w14:val="tx1"/>
                  </w14:solidFill>
                </w14:textFill>
              </w:rPr>
              <w:t xml:space="preserve">（无再生料添加），厚度不小于1.0mm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条</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tcW w:w="3932" w:type="dxa"/>
            <w:vAlign w:val="center"/>
            <w:textDirection w:val="lrTb"/>
            <w:noWrap/>
          </w:tcPr>
          <w:p>
            <w:pPr>
              <w:jc w:val="left"/>
              <w:keepLines w:val="0"/>
              <w:keepNext w:val="0"/>
              <w:pageBreakBefore w:val="0"/>
              <w:spacing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含控制箱、电源线、固定件、线材耗材等。</w:t>
            </w:r>
            <w:r/>
          </w:p>
        </w:tc>
        <w:tc>
          <w:tcPr>
            <w:tcW w:w="641"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7"/>
        </w:trPr>
        <w:tc>
          <w:tcPr>
            <w:tcW w:w="1194"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斜向清粪</w:t>
            </w:r>
            <w:r>
              <w:rPr>
                <w:rFonts w:ascii="宋体" w:hAnsi="宋体" w:eastAsia="宋体" w:cs="宋体"/>
                <w:color w:val="000000" w:themeColor="text1"/>
                <w:sz w:val="21"/>
                <w:szCs w:val="21"/>
                <w:highlight w:val="none"/>
                <w:lang w:bidi="ar-SA"/>
                <w14:textFill>
                  <w14:solidFill>
                    <w14:schemeClr w14:val="tx1"/>
                  </w14:solidFill>
                </w14:textFill>
              </w:rPr>
              <w:t xml:space="preserve">机</w:t>
            </w:r>
            <w:r/>
          </w:p>
        </w:tc>
        <w:tc>
          <w:tcPr>
            <w:tcW w:w="3932" w:type="dxa"/>
            <w:vAlign w:val="center"/>
            <w:textDirection w:val="lrTb"/>
            <w:noWrap/>
          </w:tcPr>
          <w:p>
            <w:pPr>
              <w:jc w:val="left"/>
              <w:keepLines w:val="0"/>
              <w:keepNext w:val="0"/>
              <w:pageBreakBefore w:val="0"/>
              <w:spacing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要求采用适配螺杆式绞龙输送机（不使用带式输送机），所用材料全部用耐腐材质；</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w:t>
            </w:r>
            <w:r>
              <w:rPr>
                <w:rFonts w:ascii="宋体" w:hAnsi="宋体" w:eastAsia="宋体" w:cs="宋体"/>
                <w:color w:val="000000" w:themeColor="text1"/>
                <w:sz w:val="21"/>
                <w:szCs w:val="21"/>
                <w:highlight w:val="none"/>
                <w:lang w:bidi="ar-SA"/>
                <w14:textFill>
                  <w14:solidFill>
                    <w14:schemeClr w14:val="tx1"/>
                  </w14:solidFill>
                </w14:textFill>
              </w:rPr>
              <w:t xml:space="preserve">减速电机（380V/3KW）、PE输送管、</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控制箱、电源线、固定件、线材耗材等。</w:t>
            </w:r>
            <w:r/>
          </w:p>
        </w:tc>
        <w:tc>
          <w:tcPr>
            <w:tcW w:w="641"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粪沟盖板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热镀锌（</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275g）碳钢板，长14.5m*宽0.8m*厚度2.5mm。</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7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控制系统总成</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喷塑电箱/</w:t>
            </w:r>
            <w:r>
              <w:rPr>
                <w:rFonts w:ascii="宋体" w:hAnsi="宋体" w:eastAsia="宋体" w:cs="宋体"/>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路输出（用于控制</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路纵向+2路横斜向）</w:t>
            </w:r>
            <w:r>
              <w:rPr>
                <w:rFonts w:ascii="宋体" w:hAnsi="宋体" w:eastAsia="宋体" w:cs="宋体"/>
                <w:color w:val="000000" w:themeColor="text1"/>
                <w:sz w:val="21"/>
                <w:szCs w:val="21"/>
                <w:highlight w:val="none"/>
                <w:lang w:bidi="ar-SA"/>
                <w14:textFill>
                  <w14:solidFill>
                    <w14:schemeClr w14:val="tx1"/>
                  </w14:solidFill>
                </w14:textFill>
              </w:rPr>
              <w:t xml:space="preserve">；要求配备</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遥控器（远程）+按钮</w:t>
            </w:r>
            <w:r>
              <w:rPr>
                <w:rFonts w:ascii="宋体" w:hAnsi="宋体" w:eastAsia="宋体" w:cs="宋体"/>
                <w:color w:val="000000" w:themeColor="text1"/>
                <w:sz w:val="21"/>
                <w:szCs w:val="21"/>
                <w:highlight w:val="none"/>
                <w:lang w:bidi="ar-SA"/>
                <w14:textFill>
                  <w14:solidFill>
                    <w14:schemeClr w14:val="tx1"/>
                  </w14:solidFill>
                </w14:textFill>
              </w:rPr>
              <w:t xml:space="preserve">式开关</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，配总急停开关。</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纵向带电源线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w:t>
            </w:r>
            <w:r>
              <w:rPr>
                <w:rFonts w:ascii="宋体" w:hAnsi="宋体" w:eastAsia="宋体" w:cs="宋体"/>
                <w:color w:val="000000" w:themeColor="text1"/>
                <w:sz w:val="21"/>
                <w:szCs w:val="21"/>
                <w:highlight w:val="none"/>
                <w:lang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RVV。</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横/斜向电源线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风机总成</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93"/>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高负压风机</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50吋/304不锈钢扇叶/275热镀锌镀锌板/百叶窗。</w:t>
            </w:r>
            <w:r>
              <w:rPr>
                <w:rFonts w:ascii="宋体" w:hAnsi="宋体" w:eastAsia="宋体" w:cs="宋体"/>
                <w:color w:val="000000" w:themeColor="text1"/>
                <w:sz w:val="21"/>
                <w:szCs w:val="21"/>
                <w:highlight w:val="none"/>
                <w:lang w:bidi="ar-SA"/>
                <w14:textFill>
                  <w14:solidFill>
                    <w14:schemeClr w14:val="tx1"/>
                  </w14:solidFill>
                </w14:textFill>
              </w:rPr>
              <w:t xml:space="preserve">要求0Pa时排风量</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36000m³/</w:t>
            </w:r>
            <w:r>
              <w:rPr>
                <w:rFonts w:ascii="宋体" w:hAnsi="宋体" w:eastAsia="宋体" w:cs="宋体"/>
                <w:color w:val="000000" w:themeColor="text1"/>
                <w:sz w:val="21"/>
                <w:szCs w:val="21"/>
                <w:highlight w:val="none"/>
                <w:lang w:bidi="ar-SA"/>
                <w14:textFill>
                  <w14:solidFill>
                    <w14:schemeClr w14:val="tx1"/>
                  </w14:solidFill>
                </w14:textFill>
              </w:rPr>
              <w:t xml:space="preserve">h。</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；要求使用防腐、阻燃材料。</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31"/>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遮光罩</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每台风机配置一台适配的风机遮光罩。</w:t>
            </w:r>
            <w:r>
              <w:rPr>
                <w:rFonts w:ascii="宋体" w:hAnsi="宋体" w:eastAsia="宋体" w:cs="宋体"/>
                <w:color w:val="000000" w:themeColor="text1"/>
                <w:sz w:val="21"/>
                <w:szCs w:val="21"/>
                <w:highlight w:val="none"/>
                <w:lang w:bidi="ar-SA"/>
                <w14:textFill>
                  <w14:solidFill>
                    <w14:schemeClr w14:val="tx1"/>
                  </w14:solidFill>
                </w14:textFill>
              </w:rPr>
              <w:t xml:space="preserve">要求遮光率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95％。</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6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国标3*-1.0RVV。</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米</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80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61"/>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聚氨酯发泡胶/阻燃。</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箱</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湿帘总成</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705"/>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降温湿帘</w:t>
            </w:r>
            <w:r/>
          </w:p>
        </w:tc>
        <w:tc>
          <w:tcPr>
            <w:tcW w:w="3932" w:type="dxa"/>
            <w:vAlign w:val="center"/>
            <w:textDirection w:val="lrTb"/>
            <w:noWrap/>
          </w:tcPr>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u w:val="none"/>
                <w:lang w:bidi="ar-SA"/>
                <w14:textFill>
                  <w14:solidFill>
                    <w14:schemeClr w14:val="tx1"/>
                  </w14:solidFill>
                </w14:textFill>
              </w:rPr>
              <w:t xml:space="preserve">PVC深水槽；7090波/150mm厚/铝合金边框/双面304不锈钢防鼠网。每间隔3米增加一根竖支撑。</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45</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潜水泵</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220V/550W，含进出水配件、软连接等</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电源线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国标2*1护套。</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100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36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外循环</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含水帘用过滤器、固定件等配件。</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导风板总成</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2199"/>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双面纳米膜（铁板厚度≥0.3mm，纳米膜厚度≥74um</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，厚</w:t>
            </w:r>
            <w:r>
              <w:rPr>
                <w:rFonts w:ascii="宋体" w:hAnsi="宋体" w:eastAsia="宋体" w:cs="宋体"/>
                <w:color w:val="000000" w:themeColor="text1"/>
                <w:sz w:val="21"/>
                <w:szCs w:val="21"/>
                <w:highlight w:val="none"/>
                <w:lang w:bidi="ar-SA"/>
                <w14:textFill>
                  <w14:solidFill>
                    <w14:schemeClr w14:val="tx1"/>
                  </w14:solidFill>
                </w14:textFill>
              </w:rPr>
              <w:t xml:space="preserve">度</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50mmEPS夹芯（耐火等级≥B2级）。</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铝合金包边，插槽式EPDM发泡/发泡/中空密封条。</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导风板联动拉杆为M4mm热镀锌钢丝。</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框架为热浸锌方管，中间宽度不</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低于</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120mm。</w:t>
            </w:r>
            <w:r/>
          </w:p>
          <w:p>
            <w:pP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20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42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149"/>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进风窗总成</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659"/>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通风小窗</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规格：550*260mm，配导风板、防鸟网；配遮光罩（小）</w:t>
            </w:r>
            <w:r/>
          </w:p>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含耗材</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24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联动</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手动</w:t>
            </w:r>
            <w:r>
              <w:rPr>
                <w:rFonts w:ascii="宋体" w:hAnsi="宋体" w:eastAsia="宋体" w:cs="宋体"/>
                <w:color w:val="000000" w:themeColor="text1"/>
                <w:sz w:val="21"/>
                <w:szCs w:val="21"/>
                <w:highlight w:val="none"/>
                <w:lang w:bidi="ar-SA"/>
                <w14:textFill>
                  <w14:solidFill>
                    <w14:schemeClr w14:val="tx1"/>
                  </w14:solidFill>
                </w14:textFill>
              </w:rPr>
              <w:t xml:space="preserve">部分）</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包含热镀锌钢丝、尼龙滑轮、紧固件、螺丝等。要求全部采用304不锈钢、尼龙、热镀锌等防腐材料；开合过程流畅无卡点；关闭后密闭性好、不漏风。</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1186"/>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电机开启联动</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包含电动推杆</w:t>
            </w:r>
            <w:r>
              <w:rPr>
                <w:rFonts w:ascii="宋体" w:hAnsi="宋体" w:eastAsia="宋体" w:cs="宋体"/>
                <w:color w:val="000000" w:themeColor="text1"/>
                <w:sz w:val="21"/>
                <w:szCs w:val="21"/>
                <w:highlight w:val="none"/>
                <w:lang w:bidi="ar-SA"/>
                <w14:textFill>
                  <w14:solidFill>
                    <w14:schemeClr w14:val="tx1"/>
                  </w14:solidFill>
                </w14:textFill>
              </w:rPr>
              <w:t xml:space="preserve">（行程</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900mm</w:t>
            </w:r>
            <w:r>
              <w:rPr>
                <w:rFonts w:ascii="宋体" w:hAnsi="宋体" w:eastAsia="宋体" w:cs="宋体"/>
                <w:color w:val="000000" w:themeColor="text1"/>
                <w:sz w:val="21"/>
                <w:szCs w:val="21"/>
                <w:highlight w:val="none"/>
                <w:lang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、拓展模块、电源线</w:t>
            </w:r>
            <w:r>
              <w:rPr>
                <w:rFonts w:ascii="宋体" w:hAnsi="宋体" w:eastAsia="宋体" w:cs="宋体"/>
                <w:color w:val="000000" w:themeColor="text1"/>
                <w:sz w:val="21"/>
                <w:szCs w:val="21"/>
                <w:highlight w:val="none"/>
                <w:lang w:bidi="ar-SA"/>
                <w14:textFill>
                  <w14:solidFill>
                    <w14:schemeClr w14:val="tx1"/>
                  </w14:solidFill>
                </w14:textFill>
              </w:rPr>
              <w:t xml:space="preserve">（国标2.1.0RVV）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、信号线</w:t>
            </w:r>
            <w:r>
              <w:rPr>
                <w:rFonts w:ascii="宋体" w:hAnsi="宋体" w:eastAsia="宋体" w:cs="宋体"/>
                <w:color w:val="000000" w:themeColor="text1"/>
                <w:sz w:val="21"/>
                <w:szCs w:val="21"/>
                <w:highlight w:val="none"/>
                <w:lang w:bidi="ar-SA"/>
                <w14:textFill>
                  <w14:solidFill>
                    <w14:schemeClr w14:val="tx1"/>
                  </w14:solidFill>
                </w14:textFill>
              </w:rPr>
              <w:t xml:space="preserve">（国标2*0.5RVV）</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及其他辅材、耗材。要求稳定性高、控制精度高、能和环控器主机联机。</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2</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9</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照明系统</w:t>
            </w:r>
            <w:r/>
          </w:p>
        </w:tc>
      </w:tr>
      <w:tr>
        <w:trPr>
          <w:trHeight w:val="9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345"/>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养殖专用灯管</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DC/48V/4-5W/3000K/IP67。</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根</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57</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345"/>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调光箱</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可实现0-100％手、自动</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线性</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控光。</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00"/>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国标2*1.5护套</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60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373"/>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吊装器材、线材</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M45mm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w:t>
            </w:r>
            <w:r>
              <w:rPr>
                <w:rFonts w:ascii="宋体" w:hAnsi="宋体" w:eastAsia="宋体" w:cs="宋体"/>
                <w:color w:val="000000" w:themeColor="text1"/>
                <w:sz w:val="21"/>
                <w:szCs w:val="21"/>
                <w:highlight w:val="none"/>
                <w:lang w:bidi="ar-SA"/>
                <w14:textFill>
                  <w14:solidFill>
                    <w14:schemeClr w14:val="tx1"/>
                  </w14:solidFill>
                </w14:textFill>
              </w:rPr>
              <w:t xml:space="preserve">尼龙</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扎带、丝杆、管卡、水泥钉等耗材。</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150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10</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智能环控系统</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345"/>
        </w:trPr>
        <w:tc>
          <w:tcPr>
            <w:shd w:val="clear" w:color="auto" w:fill="auto"/>
            <w:tcW w:w="1194"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环境控制器主机+主箱+风机控制箱</w:t>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bidi="ar-SA"/>
                <w14:textFill>
                  <w14:solidFill>
                    <w14:schemeClr w14:val="tx1"/>
                  </w14:solidFill>
                </w14:textFill>
              </w:rPr>
              <w:t xml:space="preserve">不少于20</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个继电器输出，10</w:t>
            </w:r>
            <w:r>
              <w:rPr>
                <w:rFonts w:ascii="宋体" w:hAnsi="宋体" w:eastAsia="宋体" w:cs="宋体"/>
                <w:color w:val="000000" w:themeColor="text1"/>
                <w:sz w:val="21"/>
                <w:szCs w:val="21"/>
                <w:highlight w:val="none"/>
                <w:lang w:bidi="ar-SA"/>
                <w14:textFill>
                  <w14:solidFill>
                    <w14:schemeClr w14:val="tx1"/>
                  </w14:solidFill>
                </w14:textFill>
              </w:rPr>
              <w:t xml:space="preserve">英寸液晶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显示屏，页面要求：风机位置与开关状态一目了然。</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含物联网种鸭养殖管理系统。含终端显示器一台。</w:t>
            </w:r>
            <w:r/>
          </w:p>
        </w:tc>
        <w:tc>
          <w:tcPr>
            <w:tcW w:w="64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配置4个温度传感器、1个湿度传感器、1套负压变送器。</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45"/>
        </w:trPr>
        <w:tc>
          <w:tcPr>
            <w:tcW w:w="1194"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3932" w:type="dxa"/>
            <w:vAlign w:val="bottom"/>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实现湿热补偿自由设置或智能算法；支持连接局域网、互联网。</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90"/>
        </w:trPr>
        <w:tc>
          <w:tcPr>
            <w:tcW w:w="1194"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不少于40个通风级别，可通过手动、时控、温控等途径，自由选择风机位置和每一级别风机数量。</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可手、自动控制供暖、降温、通风、照明、喷雾等相关环控设备。</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配置避雷装置，抗6000V瞬间（雷击）电压。</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45"/>
        </w:trPr>
        <w:tc>
          <w:tcPr>
            <w:tcW w:w="1194" w:type="dxa"/>
            <w:vAlign w:val="center"/>
            <w:vMerge w:val="continue"/>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喷塑或304不锈钢电箱</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综合布局线</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主电缆</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3*6+1RVV。</w:t>
            </w:r>
            <w:r/>
          </w:p>
        </w:tc>
        <w:tc>
          <w:tcPr>
            <w:tcW w:w="641"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vMerge w:val="restart"/>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信号电缆线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国标2*0.3双绞屏蔽</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控制电缆线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*0.3RVV</w:t>
            </w:r>
            <w:r>
              <w:rPr>
                <w:rFonts w:ascii="宋体" w:hAnsi="宋体" w:eastAsia="宋体" w:cs="宋体"/>
                <w:color w:val="000000" w:themeColor="text1"/>
                <w:sz w:val="21"/>
                <w:szCs w:val="21"/>
                <w:highlight w:val="none"/>
                <w:lang w:bidi="ar-SA"/>
                <w14:textFill>
                  <w14:solidFill>
                    <w14:schemeClr w14:val="tx1"/>
                  </w14:solidFill>
                </w14:textFill>
              </w:rPr>
              <w:t xml:space="preserve">。</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接地电缆线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国标BVR4。</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97"/>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联箱电缆线</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w:t>
            </w:r>
            <w:r>
              <w:rPr>
                <w:rFonts w:ascii="宋体" w:hAnsi="宋体" w:eastAsia="宋体" w:cs="宋体"/>
                <w:color w:val="000000" w:themeColor="text1"/>
                <w:sz w:val="21"/>
                <w:szCs w:val="21"/>
                <w:highlight w:val="none"/>
                <w:lang w:bidi="ar-SA"/>
                <w14:textFill>
                  <w14:solidFill>
                    <w14:schemeClr w14:val="tx1"/>
                  </w14:solidFill>
                </w14:textFill>
              </w:rPr>
              <w:t xml:space="preserve">3*6+1RVV。</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线材、耗材</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含密封胶</w:t>
            </w:r>
            <w:r>
              <w:rPr>
                <w:rFonts w:ascii="宋体" w:hAnsi="宋体" w:eastAsia="宋体" w:cs="宋体"/>
                <w:color w:val="000000" w:themeColor="text1"/>
                <w:sz w:val="21"/>
                <w:szCs w:val="21"/>
                <w:highlight w:val="none"/>
                <w:lang w:bidi="ar-SA"/>
                <w14:textFill>
                  <w14:solidFill>
                    <w14:schemeClr w14:val="tx1"/>
                  </w14:solidFill>
                </w14:textFill>
              </w:rPr>
              <w:t xml:space="preserve">（聚氨酯发泡胶）</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、线材</w:t>
            </w:r>
            <w:r>
              <w:rPr>
                <w:rFonts w:ascii="宋体" w:hAnsi="宋体" w:eastAsia="宋体" w:cs="宋体"/>
                <w:color w:val="000000" w:themeColor="text1"/>
                <w:sz w:val="21"/>
                <w:szCs w:val="21"/>
                <w:highlight w:val="none"/>
                <w:lang w:bidi="ar-SA"/>
                <w14:textFill>
                  <w14:solidFill>
                    <w14:schemeClr w14:val="tx1"/>
                  </w14:solidFill>
                </w14:textFill>
              </w:rPr>
              <w:t xml:space="preserve">（PVC穿线管/波纹管、PE管卡、水泥钢钉或膨胀管、尼龙扎带、绝缘胶布、防水胶布等）</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、耗材；要求使用防腐、阻燃材料。</w:t>
            </w:r>
            <w:r/>
          </w:p>
        </w:tc>
        <w:tc>
          <w:tcPr>
            <w:tcW w:w="641"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28" w:type="dxa"/>
            <w:vAlign w:val="center"/>
            <w:vMerge w:val="continue"/>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5"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16"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7"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1" w:type="dxa"/>
            <w:vAlign w:val="center"/>
            <w:textDirection w:val="lrTb"/>
            <w:noWrap/>
          </w:tcPr>
          <w:p>
            <w:pPr>
              <w:keepLines w:val="0"/>
              <w:keepNext w:val="0"/>
              <w:pageBreakBefore w:val="0"/>
              <w:spacing w:after="0"/>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10"/>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喷雾系统</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shd w:val="clear" w:color="auto" w:fill="auto"/>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shd w:val="clear" w:color="auto" w:fill="auto"/>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shd w:val="clear" w:color="auto" w:fill="auto"/>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b/>
                <w:bCs/>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前端供水</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M25/PVC给水管、过滤器、管件、阀门、软连接等。</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前端电源</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国标3*2.5RVV</w:t>
            </w:r>
            <w:r>
              <w:rPr>
                <w:rFonts w:ascii="宋体" w:hAnsi="宋体" w:eastAsia="宋体" w:cs="宋体"/>
                <w:color w:val="000000" w:themeColor="text1"/>
                <w:sz w:val="21"/>
                <w:szCs w:val="21"/>
                <w:highlight w:val="none"/>
                <w:lang w:bidi="ar-SA"/>
                <w14:textFill>
                  <w14:solidFill>
                    <w14:schemeClr w14:val="tx1"/>
                  </w14:solidFill>
                </w14:textFill>
              </w:rPr>
              <w:t xml:space="preserve">，含</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防水明盒、线材耗材</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主机</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380V/3</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kW</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雾线主机（时控+手动），含出水配件</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高压雾管</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PE/DN9.52高压胶管（耐压100KG）（</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列/栋）</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m</w:t>
            </w:r>
            <w:r/>
          </w:p>
        </w:tc>
        <w:tc>
          <w:tcPr>
            <w:tcW w:w="728"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130</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w:t>
            </w:r>
            <w:r>
              <w:rPr>
                <w:rFonts w:ascii="宋体" w:hAnsi="宋体" w:eastAsia="宋体" w:cs="宋体"/>
                <w:color w:val="000000" w:themeColor="text1"/>
                <w:sz w:val="21"/>
                <w:szCs w:val="21"/>
                <w:highlight w:val="none"/>
                <w:lang w:bidi="ar-SA"/>
                <w14:textFill>
                  <w14:solidFill>
                    <w14:schemeClr w14:val="tx1"/>
                  </w14:solidFill>
                </w14:textFill>
              </w:rPr>
              <w:t xml:space="preserve">装置</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铜镀镍四通+5030喷嘴（株距3m）</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套</w:t>
            </w:r>
            <w:r/>
          </w:p>
        </w:tc>
        <w:tc>
          <w:tcPr>
            <w:tcW w:w="728"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34</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喷雾线配件</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铜镀镍弯头、堵头等</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吊装材料</w:t>
            </w:r>
            <w:r/>
          </w:p>
        </w:tc>
        <w:tc>
          <w:tcPr>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塑钢线、扎带、丝杆、绞盘等</w:t>
            </w:r>
            <w:r/>
          </w:p>
        </w:tc>
        <w:tc>
          <w:tcPr>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栋</w:t>
            </w:r>
            <w:r/>
          </w:p>
        </w:tc>
        <w:tc>
          <w:tcPr>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31"/>
        </w:trPr>
        <w:tc>
          <w:tcPr>
            <w:gridSpan w:val="8"/>
            <w:shd w:val="clear" w:color="auto" w:fill="eeece1"/>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其他</w:t>
            </w:r>
            <w:r/>
          </w:p>
        </w:tc>
      </w:tr>
      <w:tr>
        <w:trPr>
          <w:trHeight w:val="454"/>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shd w:val="clear" w:color="auto" w:fill="auto"/>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shd w:val="clear" w:color="auto" w:fill="auto"/>
            <w:tcW w:w="641"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shd w:val="clear" w:color="auto" w:fill="auto"/>
            <w:tcW w:w="728"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操作车</w:t>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电</w:t>
            </w:r>
            <w:r>
              <w:rPr>
                <w:rFonts w:ascii="宋体" w:hAnsi="宋体" w:eastAsia="宋体" w:cs="宋体"/>
                <w:color w:val="000000" w:themeColor="text1"/>
                <w:sz w:val="21"/>
                <w:szCs w:val="21"/>
                <w:highlight w:val="none"/>
                <w:lang w:bidi="ar-SA"/>
                <w14:textFill>
                  <w14:solidFill>
                    <w14:schemeClr w14:val="tx1"/>
                  </w14:solidFill>
                </w14:textFill>
              </w:rPr>
              <w:t xml:space="preserve">瓶功率</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400W</w:t>
            </w:r>
            <w:r>
              <w:rPr>
                <w:rFonts w:ascii="宋体" w:hAnsi="宋体" w:eastAsia="宋体" w:cs="宋体"/>
                <w:color w:val="000000" w:themeColor="text1"/>
                <w:sz w:val="21"/>
                <w:szCs w:val="21"/>
                <w:highlight w:val="none"/>
                <w:lang w:bidi="ar-SA"/>
                <w14:textFill>
                  <w14:solidFill>
                    <w14:schemeClr w14:val="tx1"/>
                  </w14:solidFill>
                </w14:textFill>
              </w:rPr>
              <w:t xml:space="preserve">、留充电口或充电线</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4轮直驱，前后端均可进行转向操作，操作立面（台阶）3层/最高处台阶高900mm</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长1200 *宽600 mm；车架总承重</w:t>
            </w:r>
            <w:r>
              <w:rPr>
                <w:rFonts w:hint="eastAsia" w:ascii="宋体" w:hAnsi="宋体" w:eastAsia="宋体" w:cs="宋体"/>
                <w:color w:val="000000" w:themeColor="text1"/>
                <w:sz w:val="21"/>
                <w:szCs w:val="21"/>
                <w:highlight w:val="none"/>
                <w:lang w:eastAsia="zh-CN" w:bidi="ar-SA"/>
                <w14:textFill>
                  <w14:solidFill>
                    <w14:schemeClr w14:val="tx1"/>
                  </w14:solidFill>
                </w14:textFill>
              </w:rPr>
              <w:t xml:space="preserve">≥</w:t>
            </w:r>
            <w:r>
              <w:rPr>
                <w:rFonts w:ascii="宋体" w:hAnsi="宋体" w:eastAsia="宋体" w:cs="宋体"/>
                <w:color w:val="000000" w:themeColor="text1"/>
                <w:sz w:val="21"/>
                <w:szCs w:val="21"/>
                <w:highlight w:val="none"/>
                <w:lang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bidi="ar-SA"/>
                <w14:textFill>
                  <w14:solidFill>
                    <w14:schemeClr w14:val="tx1"/>
                  </w14:solidFill>
                </w14:textFill>
              </w:rPr>
              <w:t xml:space="preserve">00KG</w:t>
            </w:r>
            <w:r>
              <w:rPr>
                <w:rFonts w:ascii="宋体" w:hAnsi="宋体" w:eastAsia="宋体" w:cs="宋体"/>
                <w:color w:val="000000" w:themeColor="text1"/>
                <w:sz w:val="21"/>
                <w:szCs w:val="21"/>
                <w:highlight w:val="none"/>
                <w:lang w:bidi="ar-SA"/>
                <w14:textFill>
                  <w14:solidFill>
                    <w14:schemeClr w14:val="tx1"/>
                  </w14:solidFill>
                </w14:textFill>
              </w:rPr>
              <w:t xml:space="preserve">，车架做防腐处理（镀锌或喷塑）</w:t>
            </w:r>
            <w:r/>
          </w:p>
        </w:tc>
        <w:tc>
          <w:tcPr>
            <w:shd w:val="clear" w:color="auto" w:fill="auto"/>
            <w:tcW w:w="641"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台</w:t>
            </w:r>
            <w:r/>
          </w:p>
        </w:tc>
        <w:tc>
          <w:tcPr>
            <w:shd w:val="clear" w:color="auto" w:fill="auto"/>
            <w:tcW w:w="728" w:type="dxa"/>
            <w:vAlign w:val="center"/>
            <w:textDirection w:val="lrTb"/>
            <w:noWrap/>
          </w:tcPr>
          <w:p>
            <w:pPr>
              <w:jc w:val="center"/>
              <w:keepLines w:val="0"/>
              <w:keepNext w:val="0"/>
              <w:pageBreakBefore w:val="0"/>
              <w:spacing w:after="0" w:line="0" w:lineRule="atLeast"/>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t xml:space="preserve">1</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18"/>
        </w:trPr>
        <w:tc>
          <w:tcPr>
            <w:gridSpan w:val="8"/>
            <w:shd w:val="clear" w:color="auto" w:fill="eeece1" w:themeFill="background2"/>
            <w:tcW w:w="984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4.运费及安装费</w:t>
            </w:r>
            <w:r/>
          </w:p>
        </w:tc>
      </w:tr>
      <w:tr>
        <w:trPr>
          <w:trHeight w:val="454"/>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项目</w:t>
            </w:r>
            <w:r/>
          </w:p>
        </w:tc>
        <w:tc>
          <w:tcPr>
            <w:shd w:val="clear" w:color="auto" w:fill="auto"/>
            <w:tcW w:w="3932"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配置要求</w:t>
            </w:r>
            <w:r/>
          </w:p>
        </w:tc>
        <w:tc>
          <w:tcPr>
            <w:shd w:val="clear" w:color="auto" w:fill="auto"/>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单位</w:t>
            </w:r>
            <w:r/>
          </w:p>
        </w:tc>
        <w:tc>
          <w:tcPr>
            <w:shd w:val="clear" w:color="auto" w:fill="auto"/>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bidi="ar-SA"/>
                <w14:textFill>
                  <w14:solidFill>
                    <w14:schemeClr w14:val="tx1"/>
                  </w14:solidFill>
                </w14:textFill>
              </w:rPr>
              <w:t xml:space="preserve">数量</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单价</w:t>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合价</w:t>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品牌/型号</w:t>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备注</w:t>
            </w:r>
            <w:r/>
          </w:p>
        </w:tc>
      </w:tr>
      <w:tr>
        <w:trPr>
          <w:trHeight w:val="454"/>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运费</w:t>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运费包含备料、库管、运输、搬运、装卸等所有项目</w:t>
            </w:r>
            <w:r/>
          </w:p>
        </w:tc>
        <w:tc>
          <w:tcPr>
            <w:shd w:val="clear" w:color="auto" w:fill="auto"/>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shd w:val="clear" w:color="auto" w:fill="auto"/>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454"/>
        </w:trPr>
        <w:tc>
          <w:tcPr>
            <w:shd w:val="clear" w:color="auto" w:fill="auto"/>
            <w:tcW w:w="1194"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安装费</w:t>
            </w:r>
            <w:r/>
          </w:p>
        </w:tc>
        <w:tc>
          <w:tcPr>
            <w:shd w:val="clear" w:color="auto" w:fill="auto"/>
            <w:tcW w:w="3932"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t xml:space="preserve">安装费包含勘测、设计、测试、量产、安装、调试、售后等所有项目</w:t>
            </w:r>
            <w:r/>
          </w:p>
        </w:tc>
        <w:tc>
          <w:tcPr>
            <w:shd w:val="clear" w:color="auto" w:fill="auto"/>
            <w:tcW w:w="64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w:t>
            </w:r>
            <w:r/>
          </w:p>
        </w:tc>
        <w:tc>
          <w:tcPr>
            <w:shd w:val="clear" w:color="auto" w:fill="auto"/>
            <w:tcW w:w="728"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815"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816"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917"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c>
          <w:tcPr>
            <w:tcW w:w="801" w:type="dxa"/>
            <w:vAlign w:val="center"/>
            <w:textDirection w:val="lrTb"/>
            <w:noWrap/>
          </w:tcPr>
          <w:p>
            <w:pPr>
              <w:jc w:val="center"/>
              <w:keepLines w:val="0"/>
              <w:keepNext w:val="0"/>
              <w:pageBreakBefore w:val="0"/>
              <w:spacing w:after="0" w:line="0" w:lineRule="atLeast"/>
              <w:widowControl/>
              <w:rPr>
                <w:rFonts w:hint="eastAsia" w:ascii="宋体" w:hAnsi="宋体" w:eastAsia="宋体" w:cs="宋体"/>
                <w:color w:val="000000" w:themeColor="text1"/>
                <w:sz w:val="21"/>
                <w:szCs w:val="21"/>
                <w:highlight w:val="none"/>
                <w:lang w:bidi="ar-SA"/>
                <w14:textFill>
                  <w14:solidFill>
                    <w14:schemeClr w14:val="tx1"/>
                  </w14:solidFill>
                </w14:textFill>
              </w:rPr>
            </w:pPr>
            <w:r>
              <w:rPr>
                <w:rFonts w:hint="eastAsia" w:ascii="宋体" w:hAnsi="宋体" w:eastAsia="宋体" w:cs="宋体"/>
                <w:color w:val="000000" w:themeColor="text1"/>
                <w:sz w:val="21"/>
                <w:szCs w:val="21"/>
                <w:highlight w:val="none"/>
                <w:lang w:bidi="ar-SA"/>
                <w14:textFill>
                  <w14:solidFill>
                    <w14:schemeClr w14:val="tx1"/>
                  </w14:solidFill>
                </w14:textFill>
              </w:rPr>
            </w:r>
            <w:r/>
          </w:p>
        </w:tc>
      </w:tr>
      <w:tr>
        <w:trPr>
          <w:trHeight w:val="522"/>
        </w:trPr>
        <w:tc>
          <w:tcPr>
            <w:gridSpan w:val="8"/>
            <w:tcW w:w="9844" w:type="dxa"/>
            <w:vAlign w:val="center"/>
            <w:textDirection w:val="lrTb"/>
            <w:noWrap/>
          </w:tcPr>
          <w:p>
            <w:pPr>
              <w:jc w:val="left"/>
              <w:keepLines w:val="0"/>
              <w:keepNext w:val="0"/>
              <w:pageBreakBefore w:val="0"/>
              <w:spacing w:after="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合计2（含增值税）：</w:t>
            </w:r>
            <w:r/>
          </w:p>
        </w:tc>
      </w:tr>
      <w:tr>
        <w:trPr>
          <w:trHeight w:val="454"/>
        </w:trPr>
        <w:tc>
          <w:tcPr>
            <w:gridSpan w:val="8"/>
            <w:tcW w:w="9844" w:type="dxa"/>
            <w:vAlign w:val="center"/>
            <w:textDirection w:val="lrTb"/>
            <w:noWrap/>
          </w:tcPr>
          <w:p>
            <w:pPr>
              <w:jc w:val="left"/>
              <w:keepLines w:val="0"/>
              <w:keepNext w:val="0"/>
              <w:pageBreakBefore w:val="0"/>
              <w:spacing w:after="0" w:line="0" w:lineRule="atLeast"/>
              <w:widowControl/>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总合计（1+2）：</w:t>
            </w:r>
            <w:r/>
          </w:p>
        </w:tc>
      </w:tr>
    </w:tbl>
    <w:p>
      <w:pPr>
        <w:keepLines w:val="0"/>
        <w:keepNext w:val="0"/>
        <w:pageBreakBefore w:val="0"/>
        <w:spacing w:before="157" w:line="288"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注：1.</w:t>
      </w:r>
      <w:r>
        <w:rPr>
          <w:rFonts w:hint="eastAsia" w:ascii="宋体" w:hAnsi="宋体" w:eastAsia="宋体" w:cs="宋体"/>
          <w:color w:val="000000" w:themeColor="text1"/>
          <w:sz w:val="21"/>
          <w:szCs w:val="21"/>
          <w:highlight w:val="none"/>
          <w14:textFill>
            <w14:solidFill>
              <w14:schemeClr w14:val="tx1"/>
            </w14:solidFill>
          </w14:textFill>
        </w:rPr>
        <w:t xml:space="preserve">所有价格用人民币表示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且为含税报价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288" w:lineRule="auto"/>
        <w:shd w:val="clear" w:color="auto" w:fill="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2.如果单价和总价不符时，以单价为准。</w:t>
      </w:r>
      <w:r/>
    </w:p>
    <w:p>
      <w:pPr>
        <w:ind w:firstLine="420"/>
        <w:keepLines w:val="0"/>
        <w:keepNext w:val="0"/>
        <w:pageBreakBefore w:val="0"/>
        <w:spacing w:line="288" w:lineRule="auto"/>
        <w:shd w:val="clear" w:color="auto" w:fill="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.请各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按照上述表格形式逐项填写。</w:t>
      </w:r>
      <w:r/>
    </w:p>
    <w:p>
      <w:pPr>
        <w:ind w:firstLine="420"/>
        <w:keepLines w:val="0"/>
        <w:keepNext w:val="0"/>
        <w:pageBreakBefore w:val="0"/>
        <w:spacing w:line="288" w:lineRule="auto"/>
        <w:shd w:val="clear" w:color="auto" w:fill="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投标报价单价为全费用综合单价，包括但不限于人工费、材料费、安装调试、设备维护与保养、备品备件、使用培训、保险、管理费、利润、税金、税费、水电费等及合同期保修发生的全部费用，若有缺漏项的，缺漏项部分的价格视为已包含在投标报价中，中标后不作任何调整，招标人不再支付其他任何费用。</w:t>
      </w:r>
      <w:r/>
    </w:p>
    <w:p>
      <w:pPr>
        <w:rPr>
          <w:rFonts w:hint="eastAsia" w:ascii="宋体" w:hAnsi="宋体" w:eastAsia="宋体" w:cs="宋体"/>
          <w:b/>
          <w:color w:val="000000" w:themeColor="text1"/>
          <w:spacing w:val="20"/>
          <w:szCs w:val="21"/>
          <w:highlight w:val="none"/>
          <w14:textFill>
            <w14:solidFill>
              <w14:schemeClr w14:val="tx1"/>
            </w14:solidFill>
          </w14:textFill>
        </w:rPr>
      </w:pPr>
      <w:r>
        <w:rPr>
          <w:rFonts w:hint="eastAsia" w:ascii="宋体" w:hAnsi="宋体" w:eastAsia="宋体" w:cs="宋体"/>
          <w:b/>
          <w:color w:val="000000" w:themeColor="text1"/>
          <w:spacing w:val="20"/>
          <w:szCs w:val="21"/>
          <w:highlight w:val="none"/>
          <w14:textFill>
            <w14:solidFill>
              <w14:schemeClr w14:val="tx1"/>
            </w14:solidFill>
          </w14:textFill>
        </w:rPr>
      </w:r>
      <w:r/>
    </w:p>
    <w:p>
      <w:pPr>
        <w:rPr>
          <w:rFonts w:hint="eastAsia" w:ascii="宋体" w:hAnsi="宋体" w:eastAsia="宋体" w:cs="宋体"/>
          <w:b/>
          <w:color w:val="000000" w:themeColor="text1"/>
          <w:spacing w:val="20"/>
          <w:szCs w:val="21"/>
          <w:highlight w:val="none"/>
          <w14:textFill>
            <w14:solidFill>
              <w14:schemeClr w14:val="tx1"/>
            </w14:solidFill>
          </w14:textFill>
        </w:rPr>
      </w:pPr>
      <w:r>
        <w:rPr>
          <w:rFonts w:hint="eastAsia" w:ascii="宋体" w:hAnsi="宋体" w:eastAsia="宋体" w:cs="宋体"/>
          <w:b/>
          <w:color w:val="000000" w:themeColor="text1"/>
          <w:spacing w:val="20"/>
          <w:szCs w:val="21"/>
          <w:highlight w:val="none"/>
          <w14:textFill>
            <w14:solidFill>
              <w14:schemeClr w14:val="tx1"/>
            </w14:solidFill>
          </w14:textFill>
        </w:rPr>
      </w:r>
      <w:r/>
    </w:p>
    <w:p>
      <w:pPr>
        <w:rPr>
          <w:rFonts w:hint="eastAsia" w:ascii="宋体" w:hAnsi="宋体" w:eastAsia="宋体" w:cs="宋体"/>
          <w:b/>
          <w:color w:val="000000" w:themeColor="text1"/>
          <w:spacing w:val="20"/>
          <w:szCs w:val="21"/>
          <w:highlight w:val="none"/>
          <w14:textFill>
            <w14:solidFill>
              <w14:schemeClr w14:val="tx1"/>
            </w14:solidFill>
          </w14:textFill>
        </w:rPr>
      </w:pPr>
      <w:r>
        <w:rPr>
          <w:rFonts w:hint="eastAsia" w:ascii="宋体" w:hAnsi="宋体" w:eastAsia="宋体" w:cs="宋体"/>
          <w:b/>
          <w:color w:val="000000" w:themeColor="text1"/>
          <w:spacing w:val="20"/>
          <w:szCs w:val="21"/>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bookmarkStart w:id="72" w:name="_Toc32173"/>
      <w:r/>
      <w:bookmarkStart w:id="73" w:name="_Toc1623_WPSOffice_Level1"/>
      <w:r/>
      <w:bookmarkStart w:id="74" w:name="_Toc22143_WPSOffice_Level1"/>
      <w:r/>
      <w:bookmarkStart w:id="75" w:name="_Toc26601"/>
      <w:r/>
      <w:bookmarkStart w:id="76" w:name="_Toc22881_WPSOffice_Level1"/>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br w:type="page" w:clear="all"/>
      </w:r>
      <w:r/>
    </w:p>
    <w:p>
      <w:pPr>
        <w:jc w:val="center"/>
        <w:keepLines/>
        <w:keepNext/>
        <w:spacing w:before="120" w:after="120"/>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t xml:space="preserve">商务偏离表</w:t>
      </w:r>
      <w:bookmarkEnd w:id="72"/>
      <w:r/>
      <w:bookmarkEnd w:id="73"/>
      <w:r/>
      <w:bookmarkEnd w:id="74"/>
      <w:r/>
      <w:bookmarkEnd w:id="75"/>
      <w:r/>
      <w:bookmarkEnd w:id="76"/>
      <w:r/>
      <w:r/>
    </w:p>
    <w:tbl>
      <w:tblPr>
        <w:tblStyle w:val="817"/>
        <w:tblW w:w="100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5"/>
        <w:gridCol w:w="3086"/>
        <w:gridCol w:w="2260"/>
        <w:gridCol w:w="1854"/>
        <w:gridCol w:w="2023"/>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招标文件中的商务条款</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14:textFill>
                  <w14:solidFill>
                    <w14:schemeClr w14:val="tx1"/>
                  </w14:solidFill>
                </w14:textFill>
              </w:rPr>
              <w:t xml:space="preserve">文件中的要求</w:t>
            </w:r>
            <w:r/>
          </w:p>
        </w:tc>
        <w:tc>
          <w:tcPr>
            <w:shd w:val="clear" w:color="auto" w:fill="auto"/>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rPr>
                <w:rFonts w:hint="eastAsia" w:ascii="宋体" w:hAnsi="宋体" w:eastAsia="宋体" w:cs="宋体"/>
                <w:bCs/>
                <w:color w:val="000000" w:themeColor="text1"/>
                <w:sz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000000" w:themeColor="text1"/>
                <w:sz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付款</w:t>
            </w:r>
            <w:r>
              <w:rPr>
                <w:rFonts w:hint="eastAsia" w:ascii="宋体" w:hAnsi="宋体" w:eastAsia="宋体" w:cs="宋体"/>
                <w:bCs/>
                <w:color w:val="000000" w:themeColor="text1"/>
                <w:sz w:val="24"/>
                <w:highlight w:val="none"/>
                <w14:textFill>
                  <w14:solidFill>
                    <w14:schemeClr w14:val="tx1"/>
                  </w14:solidFill>
                </w14:textFill>
              </w:rPr>
              <w:t xml:space="preserve">方式</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按招标文件要求</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tc>
      </w:tr>
    </w:tbl>
    <w:p>
      <w:pPr>
        <w:spacing w:line="5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firstLine="482"/>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若无偏离，在“有无偏离”栏中填写“无”；若有偏离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在“有无偏离”栏中填写“有”并在“偏离内容及原因”栏中作出说明。</w:t>
      </w:r>
      <w:r/>
    </w:p>
    <w:p>
      <w:pPr>
        <w:pStyle w:val="1101"/>
        <w:spacing w:before="0" w:beforeAutospacing="0" w:after="0" w:afterAutospacing="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101"/>
        <w:spacing w:before="0" w:beforeAutospacing="0" w:after="0" w:afterAutospacing="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br w:type="page" w:clear="all"/>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tbl>
      <w:tblPr>
        <w:tblStyle w:val="817"/>
        <w:tblW w:w="9079" w:type="dxa"/>
        <w:tblInd w:w="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16"/>
        <w:gridCol w:w="2305"/>
        <w:gridCol w:w="1816"/>
        <w:gridCol w:w="1433"/>
        <w:gridCol w:w="2309"/>
      </w:tblGrid>
      <w:tr>
        <w:trPr>
          <w:trHeight w:val="835"/>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需求</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有无偏离</w:t>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left"/>
              <w:spacing w:before="100" w:beforeAutospacing="1" w:line="2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5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rPr>
          <w:rFonts w:hint="eastAsia" w:ascii="宋体" w:hAnsi="宋体" w:eastAsia="宋体" w:cs="宋体"/>
          <w:b/>
          <w:bCs/>
          <w:color w:val="000000" w:themeColor="text1"/>
          <w:sz w:val="22"/>
          <w:szCs w:val="22"/>
          <w:highlight w:val="none"/>
          <w:vertAlign w:val="baseline"/>
          <w:lang w:val="en-US" w:eastAsia="zh-CN"/>
          <w14:textFill>
            <w14:solidFill>
              <w14:schemeClr w14:val="tx1"/>
            </w14:solidFill>
          </w14:textFill>
        </w:rPr>
        <w:t xml:space="preserve">投标人须逐条列明响应情况。</w:t>
      </w:r>
      <w:r/>
    </w:p>
    <w:p>
      <w:pPr>
        <w:pStyle w:val="1101"/>
        <w:spacing w:before="0" w:beforeAutospacing="0" w:after="0" w:afterAutospacing="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101"/>
        <w:spacing w:before="0" w:beforeAutospacing="0" w:after="0" w:afterAutospacing="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投标人（加盖CA电子公章）：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法定代表人或授权代表（签字或盖章）：</w:t>
      </w:r>
      <w:r/>
    </w:p>
    <w:p>
      <w:pPr>
        <w:pStyle w:val="1101"/>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日期：年 月 日</w:t>
      </w:r>
      <w:r/>
    </w:p>
    <w:p>
      <w:pPr>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br w:type="page" w:clear="all"/>
      </w:r>
      <w:r/>
    </w:p>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中小企业声明函（货物）</w:t>
      </w:r>
      <w:r/>
    </w:p>
    <w:p>
      <w:pPr>
        <w:ind w:firstLine="480"/>
        <w:spacing w:line="60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本公司郑重声明，根据《政府采购促进中小企业发展</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办法》（财库〔2020〕46号）的规定，本公司</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（项目名称）采购活动，</w:t>
      </w:r>
      <w:r>
        <w:rPr>
          <w:rFonts w:hint="eastAsia" w:ascii="宋体" w:hAnsi="宋体" w:eastAsia="宋体" w:cs="宋体"/>
          <w:color w:val="000000" w:themeColor="text1"/>
          <w:sz w:val="24"/>
          <w:szCs w:val="24"/>
          <w:highlight w:val="none"/>
          <w14:textFill>
            <w14:solidFill>
              <w14:schemeClr w14:val="tx1"/>
            </w14:solidFill>
          </w14:textFill>
        </w:rPr>
        <w:t xml:space="preserve">提供的货物</w:t>
      </w:r>
      <w:r>
        <w:rPr>
          <w:rFonts w:hint="eastAsia" w:ascii="宋体" w:hAnsi="宋体" w:eastAsia="宋体" w:cs="宋体"/>
          <w:color w:val="000000" w:themeColor="text1"/>
          <w:sz w:val="24"/>
          <w:szCs w:val="24"/>
          <w:highlight w:val="none"/>
          <w14:textFill>
            <w14:solidFill>
              <w14:schemeClr w14:val="tx1"/>
            </w14:solidFill>
          </w14:textFill>
        </w:rPr>
        <w:t xml:space="preserve">全部为符合政策要求的中小企业。相关企业的具体情况如下：</w:t>
      </w:r>
      <w:r/>
    </w:p>
    <w:p>
      <w:pPr>
        <w:pStyle w:val="845"/>
        <w:ind w:left="0" w:firstLine="363"/>
        <w:jc w:val="both"/>
        <w:keepLines w:val="0"/>
        <w:keepNext w:val="0"/>
        <w:pageBreakBefore w:val="0"/>
        <w:spacing w:before="0" w:beforeAutospacing="0" w:after="0" w:afterAutospacing="0" w:line="600" w:lineRule="exact"/>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行业；投标产品制造商为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□小型企业 □微型企业）；</w:t>
      </w:r>
      <w:r/>
    </w:p>
    <w:p>
      <w:pPr>
        <w:pStyle w:val="845"/>
        <w:ind w:left="0" w:firstLine="363"/>
        <w:jc w:val="both"/>
        <w:keepLines w:val="0"/>
        <w:keepNext w:val="0"/>
        <w:pageBreakBefore w:val="0"/>
        <w:spacing w:before="0" w:beforeAutospacing="0" w:after="0" w:afterAutospacing="0" w:line="600" w:lineRule="exact"/>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行业；投标产品制造商为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 □小型企业 □微型企业）；</w:t>
      </w:r>
      <w:r/>
    </w:p>
    <w:p>
      <w:pPr>
        <w:ind w:firstLine="480"/>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6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本</w:t>
      </w:r>
      <w:r>
        <w:rPr>
          <w:rFonts w:hint="eastAsia" w:ascii="宋体" w:hAnsi="宋体" w:eastAsia="宋体" w:cs="宋体"/>
          <w:b/>
          <w:bCs/>
          <w:color w:val="000000" w:themeColor="text1"/>
          <w:sz w:val="24"/>
          <w:szCs w:val="24"/>
          <w:highlight w:val="none"/>
          <w14:textFill>
            <w14:solidFill>
              <w14:schemeClr w14:val="tx1"/>
            </w14:solidFill>
          </w14:textFill>
        </w:rPr>
        <w:t xml:space="preserve">企业</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对上述声明</w:t>
      </w:r>
      <w:r>
        <w:rPr>
          <w:rFonts w:hint="eastAsia" w:ascii="宋体" w:hAnsi="宋体" w:eastAsia="宋体" w:cs="宋体"/>
          <w:b/>
          <w:bCs/>
          <w:color w:val="000000" w:themeColor="text1"/>
          <w:sz w:val="24"/>
          <w:szCs w:val="24"/>
          <w:highlight w:val="none"/>
          <w14:textFill>
            <w14:solidFill>
              <w14:schemeClr w14:val="tx1"/>
            </w14:solidFill>
          </w14:textFill>
        </w:rPr>
        <w:t xml:space="preserve">内容</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的真实性负责。如有虚假，将依法承担相应责任。</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80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（加盖CA电子公章）</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日　　　　　　期：</w:t>
      </w:r>
      <w:r/>
    </w:p>
    <w:p>
      <w:pPr>
        <w:pStyle w:val="108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pStyle w:val="1081"/>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参照《关于印发中小企业划型标准规定的通知》（工信部联企业〔2011〕300号）文件，</w:t>
      </w:r>
      <w:bookmarkStart w:id="77" w:name="OLE_LINK6"/>
      <w:r>
        <w:rPr>
          <w:rFonts w:hint="eastAsia" w:ascii="宋体" w:hAnsi="宋体" w:eastAsia="宋体" w:cs="宋体"/>
          <w:color w:val="000000" w:themeColor="text1"/>
          <w:sz w:val="24"/>
          <w:szCs w:val="24"/>
          <w:highlight w:val="none"/>
          <w14:textFill>
            <w14:solidFill>
              <w14:schemeClr w14:val="tx1"/>
            </w14:solidFill>
          </w14:textFill>
        </w:rPr>
        <w:t xml:space="preserve">本项目所属行业为</w:t>
      </w:r>
      <w:bookmarkEnd w:id="77"/>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hAnsi="宋体" w:eastAsia="宋体" w:cs="宋体"/>
          <w:b/>
          <w:bCs/>
          <w:color w:val="000000" w:themeColor="text1"/>
          <w:sz w:val="24"/>
          <w:szCs w:val="24"/>
          <w:highlight w:val="none"/>
          <w:u w:val="single"/>
          <w:lang w:val="en-US" w:eastAsia="zh-CN"/>
          <w14:textFill>
            <w14:solidFill>
              <w14:schemeClr w14:val="tx1"/>
            </w14:solidFill>
          </w14:textFill>
        </w:rPr>
        <w:t xml:space="preserve">工</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业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81"/>
        <w:numPr>
          <w:ilvl w:val="0"/>
          <w:numId w:val="0"/>
        </w:num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请如实填写属于中型企业或小型企业或微型企业。</w:t>
      </w:r>
      <w:r/>
    </w:p>
    <w:p>
      <w:pPr>
        <w:pStyle w:val="1081"/>
        <w:numPr>
          <w:ilvl w:val="0"/>
          <w:numId w:val="0"/>
        </w:num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0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编号为______的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（备注：中标人为残疾人福利单位的，此声明函将随中标结果同时公告，接受社会监督）</w:t>
      </w:r>
      <w:r/>
    </w:p>
    <w:p>
      <w:pPr>
        <w:ind w:firstLine="624"/>
        <w:spacing w:line="588"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left="3380" w:firstLine="936"/>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  期：</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20"/>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50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属于监狱企业的证明文件</w:t>
      </w:r>
      <w:r/>
    </w:p>
    <w:p>
      <w:pPr>
        <w:jc w:val="center"/>
        <w:spacing w:line="50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（提供由省级以上监狱管理局、戒毒管理局（含新疆生产建设兵团）出具的属于监狱企业的证明文件）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845"/>
        <w:jc w:val="center"/>
        <w:widowControl/>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outlineLvl w:val="2"/>
      </w:pPr>
      <w:r>
        <w:rPr>
          <w:rFonts w:hint="eastAsia" w:ascii="宋体" w:hAnsi="宋体" w:eastAsia="宋体" w:cs="宋体"/>
          <w:color w:val="000000" w:themeColor="text1"/>
          <w:szCs w:val="24"/>
          <w:highlight w:val="none"/>
          <w14:textFill>
            <w14:solidFill>
              <w14:schemeClr w14:val="tx1"/>
            </w14:solidFill>
          </w14:textFill>
        </w:rPr>
        <w:t xml:space="preserve">一、质疑</w:t>
      </w:r>
      <w:r>
        <w:rPr>
          <w:rFonts w:hint="eastAsia" w:ascii="宋体" w:hAnsi="宋体" w:eastAsia="宋体" w:cs="宋体"/>
          <w:color w:val="000000" w:themeColor="text1"/>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基本信息</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质疑</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地址：</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邮编：</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联系人：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联系电话：</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授权代表：</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联系电话：</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地址：</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邮编：</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二、质疑项目基本情况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三、质疑事项具体内容</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质疑事项1：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事实依据：</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法律依据：</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质疑事项2</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四、与质疑事项相关的质疑请求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请求：</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公章：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845"/>
        <w:ind w:firstLine="480"/>
        <w:jc w:val="both"/>
        <w:spacing w:beforeAutospacing="0" w:afterAutospacing="0" w:line="520" w:lineRule="exact"/>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质疑函制作说明：</w:t>
      </w:r>
      <w:r/>
    </w:p>
    <w:p>
      <w:pPr>
        <w:ind w:firstLine="67"/>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提出质疑时，应提交质疑函和必要的证明材料。</w:t>
      </w:r>
      <w:r/>
    </w:p>
    <w:p>
      <w:pPr>
        <w:ind w:firstLine="67"/>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若委托代理人进行质疑的，质疑函应按要求列明“授权代表”的有关内容，并在附件中提交由质疑</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签署的授权委托书。授权委托书应载明代理人的姓名或者名称、代理事项、具体权限、期限和相关事项。</w:t>
      </w:r>
      <w:r/>
    </w:p>
    <w:p>
      <w:pPr>
        <w:ind w:firstLine="67"/>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3.质疑</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若对项目的某一分包进行质疑，质疑函中应列明具体分包号。</w:t>
      </w:r>
      <w:r/>
    </w:p>
    <w:p>
      <w:pPr>
        <w:ind w:firstLine="67"/>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67"/>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5.质疑函的质疑请求应与质疑事项相关。</w:t>
      </w:r>
      <w:r/>
    </w:p>
    <w:p>
      <w:pPr>
        <w:ind w:firstLine="67"/>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6.质疑</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为自然人的，质疑函应由本人签字；质疑</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为法人或者其他组织的，质疑函应由法定代表人、主要负责人，或者其授权代表签字或者盖章，并加盖公章。</w:t>
      </w:r>
      <w:r/>
    </w:p>
    <w:sectPr>
      <w:headerReference w:type="default" r:id="rId9"/>
      <w:footerReference w:type="default" r:id="rId14"/>
      <w:footerReference w:type="first" r:id="rId15"/>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07">
    <w:name w:val="Heading 1"/>
    <w:basedOn w:val="806"/>
    <w:next w:val="806"/>
    <w:link w:val="1065"/>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931"/>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932"/>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933"/>
    <w:uiPriority w:val="9"/>
    <w:unhideWhenUsed/>
    <w:qFormat/>
    <w:pPr>
      <w:keepLines/>
      <w:keepNext/>
      <w:spacing w:before="320" w:after="200"/>
      <w:outlineLvl w:val="3"/>
    </w:pPr>
    <w:rPr>
      <w:rFonts w:ascii="Arial" w:hAnsi="Arial" w:eastAsia="Arial" w:cs="Arial"/>
      <w:b/>
      <w:bCs/>
      <w:szCs w:val="26"/>
    </w:rPr>
  </w:style>
  <w:style w:type="paragraph" w:styleId="811">
    <w:name w:val="Heading 5"/>
    <w:basedOn w:val="806"/>
    <w:next w:val="806"/>
    <w:link w:val="934"/>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935"/>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937"/>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938"/>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spacing w:after="57"/>
    </w:pPr>
  </w:style>
  <w:style w:type="paragraph" w:styleId="819">
    <w:name w:val="table of authorities"/>
    <w:basedOn w:val="806"/>
    <w:next w:val="806"/>
    <w:uiPriority w:val="99"/>
    <w:qFormat/>
    <w:pPr>
      <w:jc w:val="center"/>
      <w:spacing w:after="200"/>
    </w:pPr>
    <w:rPr>
      <w:rFonts w:eastAsia="黑体"/>
      <w:b/>
      <w:sz w:val="18"/>
    </w:rPr>
  </w:style>
  <w:style w:type="paragraph" w:styleId="820">
    <w:name w:val="Normal Indent"/>
    <w:basedOn w:val="806"/>
    <w:link w:val="1211"/>
    <w:uiPriority w:val="0"/>
    <w:unhideWhenUsed/>
    <w:qFormat/>
    <w:pPr>
      <w:ind w:firstLine="420"/>
      <w:jc w:val="left"/>
    </w:pPr>
    <w:rPr>
      <w:sz w:val="24"/>
    </w:rPr>
  </w:style>
  <w:style w:type="paragraph" w:styleId="821">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6"/>
    <w:uiPriority w:val="0"/>
    <w:unhideWhenUsed/>
    <w:qFormat/>
    <w:pPr>
      <w:shd w:val="clear" w:color="auto" w:fill="000080"/>
    </w:pPr>
    <w:rPr>
      <w:rFonts w:eastAsia="宋体"/>
      <w:sz w:val="21"/>
      <w:szCs w:val="24"/>
    </w:rPr>
  </w:style>
  <w:style w:type="paragraph" w:styleId="823">
    <w:name w:val="annotation text"/>
    <w:basedOn w:val="806"/>
    <w:uiPriority w:val="0"/>
    <w:qFormat/>
    <w:pPr>
      <w:jc w:val="left"/>
    </w:pPr>
  </w:style>
  <w:style w:type="paragraph" w:styleId="824">
    <w:name w:val="Body Text"/>
    <w:basedOn w:val="806"/>
    <w:uiPriority w:val="0"/>
    <w:qFormat/>
    <w:rPr>
      <w:rFonts w:ascii="楷体_GB2312" w:hAnsi="Arial"/>
      <w:sz w:val="28"/>
    </w:rPr>
  </w:style>
  <w:style w:type="paragraph" w:styleId="825">
    <w:name w:val="Body Text Indent"/>
    <w:basedOn w:val="806"/>
    <w:next w:val="826"/>
    <w:link w:val="1252"/>
    <w:uiPriority w:val="0"/>
    <w:qFormat/>
    <w:pPr>
      <w:ind w:firstLine="645"/>
    </w:pPr>
    <w:rPr>
      <w:rFonts w:ascii="楷体_GB2312" w:hAnsiTheme="minorHAnsi" w:cstheme="minorBidi"/>
      <w:sz w:val="32"/>
      <w:szCs w:val="22"/>
    </w:rPr>
  </w:style>
  <w:style w:type="paragraph" w:styleId="826">
    <w:name w:val="Body Text First Indent 2"/>
    <w:basedOn w:val="825"/>
    <w:next w:val="820"/>
    <w:uiPriority w:val="99"/>
    <w:unhideWhenUsed/>
    <w:qFormat/>
    <w:pPr>
      <w:ind w:firstLine="200"/>
    </w:pPr>
  </w:style>
  <w:style w:type="paragraph" w:styleId="827">
    <w:name w:val="index 4"/>
    <w:basedOn w:val="806"/>
    <w:next w:val="806"/>
    <w:uiPriority w:val="0"/>
    <w:semiHidden/>
    <w:qFormat/>
    <w:pPr>
      <w:ind w:left="1260"/>
    </w:pPr>
  </w:style>
  <w:style w:type="paragraph" w:styleId="828">
    <w:name w:val="toc 5"/>
    <w:basedOn w:val="806"/>
    <w:next w:val="806"/>
    <w:uiPriority w:val="39"/>
    <w:unhideWhenUsed/>
    <w:qFormat/>
    <w:pPr>
      <w:ind w:left="1134"/>
      <w:spacing w:after="57"/>
    </w:pPr>
  </w:style>
  <w:style w:type="paragraph" w:styleId="829">
    <w:name w:val="toc 3"/>
    <w:basedOn w:val="806"/>
    <w:next w:val="806"/>
    <w:uiPriority w:val="39"/>
    <w:unhideWhenUsed/>
    <w:qFormat/>
    <w:pPr>
      <w:ind w:left="567"/>
      <w:spacing w:after="57"/>
    </w:pPr>
  </w:style>
  <w:style w:type="paragraph" w:styleId="830">
    <w:name w:val="Plain Text"/>
    <w:basedOn w:val="806"/>
    <w:next w:val="820"/>
    <w:link w:val="1205"/>
    <w:uiPriority w:val="0"/>
    <w:unhideWhenUsed/>
    <w:qFormat/>
    <w:rPr>
      <w:rFonts w:ascii="宋体" w:hAnsi="Courier New"/>
    </w:rPr>
  </w:style>
  <w:style w:type="paragraph" w:styleId="831">
    <w:name w:val="toc 8"/>
    <w:basedOn w:val="806"/>
    <w:next w:val="806"/>
    <w:uiPriority w:val="39"/>
    <w:unhideWhenUsed/>
    <w:qFormat/>
    <w:pPr>
      <w:ind w:left="1984"/>
      <w:spacing w:after="57"/>
    </w:pPr>
  </w:style>
  <w:style w:type="paragraph" w:styleId="832">
    <w:name w:val="endnote text"/>
    <w:basedOn w:val="806"/>
    <w:link w:val="1055"/>
    <w:uiPriority w:val="99"/>
    <w:semiHidden/>
    <w:unhideWhenUsed/>
    <w:qFormat/>
    <w:rPr>
      <w:sz w:val="20"/>
    </w:rPr>
  </w:style>
  <w:style w:type="paragraph" w:styleId="833">
    <w:name w:val="Footer"/>
    <w:basedOn w:val="806"/>
    <w:link w:val="947"/>
    <w:uiPriority w:val="99"/>
    <w:unhideWhenUsed/>
    <w:qFormat/>
    <w:pPr>
      <w:tabs>
        <w:tab w:val="center" w:pos="7143" w:leader="none"/>
        <w:tab w:val="right" w:pos="14287" w:leader="none"/>
      </w:tabs>
    </w:pPr>
  </w:style>
  <w:style w:type="paragraph" w:styleId="834">
    <w:name w:val="envelope return"/>
    <w:basedOn w:val="806"/>
    <w:uiPriority w:val="0"/>
    <w:unhideWhenUsed/>
    <w:qFormat/>
    <w:rPr>
      <w:rFonts w:ascii="Arial" w:hAnsi="Arial"/>
    </w:rPr>
  </w:style>
  <w:style w:type="paragraph" w:styleId="835">
    <w:name w:val="Header"/>
    <w:basedOn w:val="806"/>
    <w:link w:val="945"/>
    <w:uiPriority w:val="99"/>
    <w:unhideWhenUsed/>
    <w:qFormat/>
    <w:pPr>
      <w:tabs>
        <w:tab w:val="center" w:pos="7143" w:leader="none"/>
        <w:tab w:val="right" w:pos="14287" w:leader="none"/>
      </w:tabs>
    </w:pPr>
  </w:style>
  <w:style w:type="paragraph" w:styleId="836">
    <w:name w:val="toc 1"/>
    <w:basedOn w:val="806"/>
    <w:next w:val="806"/>
    <w:uiPriority w:val="39"/>
    <w:unhideWhenUsed/>
    <w:qFormat/>
    <w:pPr>
      <w:spacing w:after="57"/>
    </w:pPr>
  </w:style>
  <w:style w:type="paragraph" w:styleId="837">
    <w:name w:val="toc 4"/>
    <w:basedOn w:val="806"/>
    <w:next w:val="806"/>
    <w:uiPriority w:val="39"/>
    <w:unhideWhenUsed/>
    <w:qFormat/>
    <w:pPr>
      <w:ind w:left="850"/>
      <w:spacing w:after="57"/>
    </w:pPr>
  </w:style>
  <w:style w:type="paragraph" w:styleId="838">
    <w:name w:val="Subtitle"/>
    <w:basedOn w:val="806"/>
    <w:next w:val="806"/>
    <w:link w:val="940"/>
    <w:uiPriority w:val="11"/>
    <w:qFormat/>
    <w:pPr>
      <w:spacing w:before="200" w:after="200"/>
    </w:pPr>
    <w:rPr>
      <w:sz w:val="24"/>
      <w:szCs w:val="24"/>
    </w:rPr>
  </w:style>
  <w:style w:type="paragraph" w:styleId="839">
    <w:name w:val="footnote text"/>
    <w:basedOn w:val="806"/>
    <w:link w:val="1054"/>
    <w:uiPriority w:val="99"/>
    <w:semiHidden/>
    <w:unhideWhenUsed/>
    <w:qFormat/>
    <w:pPr>
      <w:spacing w:after="40"/>
    </w:pPr>
    <w:rPr>
      <w:sz w:val="18"/>
    </w:rPr>
  </w:style>
  <w:style w:type="paragraph" w:styleId="840">
    <w:name w:val="toc 6"/>
    <w:basedOn w:val="806"/>
    <w:next w:val="806"/>
    <w:uiPriority w:val="39"/>
    <w:unhideWhenUsed/>
    <w:qFormat/>
    <w:pPr>
      <w:ind w:left="1417"/>
      <w:spacing w:after="57"/>
    </w:pPr>
  </w:style>
  <w:style w:type="paragraph" w:styleId="841">
    <w:name w:val="table of figures"/>
    <w:basedOn w:val="806"/>
    <w:next w:val="806"/>
    <w:uiPriority w:val="99"/>
    <w:unhideWhenUsed/>
    <w:qFormat/>
  </w:style>
  <w:style w:type="paragraph" w:styleId="842">
    <w:name w:val="toc 2"/>
    <w:basedOn w:val="806"/>
    <w:next w:val="806"/>
    <w:uiPriority w:val="39"/>
    <w:unhideWhenUsed/>
    <w:qFormat/>
    <w:pPr>
      <w:ind w:left="283"/>
      <w:spacing w:after="57"/>
    </w:pPr>
  </w:style>
  <w:style w:type="paragraph" w:styleId="843">
    <w:name w:val="toc 9"/>
    <w:basedOn w:val="806"/>
    <w:next w:val="806"/>
    <w:uiPriority w:val="39"/>
    <w:unhideWhenUsed/>
    <w:qFormat/>
    <w:pPr>
      <w:ind w:left="2268"/>
      <w:spacing w:after="57"/>
    </w:pPr>
  </w:style>
  <w:style w:type="paragraph" w:styleId="844">
    <w:name w:val="Body Text 2"/>
    <w:basedOn w:val="806"/>
    <w:uiPriority w:val="0"/>
    <w:qFormat/>
    <w:pPr>
      <w:jc w:val="center"/>
    </w:pPr>
    <w:rPr>
      <w:rFonts w:ascii="仿宋_GB2312" w:eastAsia="仿宋_GB2312"/>
      <w:sz w:val="44"/>
    </w:rPr>
  </w:style>
  <w:style w:type="paragraph" w:styleId="845">
    <w:name w:val="Normal (Web)"/>
    <w:basedOn w:val="806"/>
    <w:uiPriority w:val="0"/>
    <w:unhideWhenUsed/>
    <w:qFormat/>
    <w:pPr>
      <w:jc w:val="left"/>
      <w:spacing w:beforeAutospacing="1" w:afterAutospacing="1"/>
    </w:pPr>
    <w:rPr>
      <w:sz w:val="24"/>
    </w:rPr>
  </w:style>
  <w:style w:type="paragraph" w:styleId="846">
    <w:name w:val="Title"/>
    <w:basedOn w:val="806"/>
    <w:next w:val="806"/>
    <w:link w:val="939"/>
    <w:uiPriority w:val="10"/>
    <w:qFormat/>
    <w:pPr>
      <w:contextualSpacing/>
      <w:spacing w:before="300" w:after="200"/>
    </w:pPr>
    <w:rPr>
      <w:sz w:val="48"/>
      <w:szCs w:val="48"/>
    </w:rPr>
  </w:style>
  <w:style w:type="paragraph" w:styleId="847">
    <w:name w:val="annotation subject"/>
    <w:basedOn w:val="823"/>
    <w:next w:val="848"/>
    <w:uiPriority w:val="0"/>
    <w:qFormat/>
    <w:rPr>
      <w:b/>
      <w:bCs/>
    </w:rPr>
  </w:style>
  <w:style w:type="paragraph" w:styleId="848" w:customStyle="1">
    <w:name w:val="Plain Text1"/>
    <w:basedOn w:val="806"/>
    <w:next w:val="818"/>
    <w:uiPriority w:val="0"/>
    <w:qFormat/>
    <w:pPr>
      <w:ind w:firstLine="3584"/>
      <w:spacing w:line="360" w:lineRule="auto"/>
    </w:pPr>
  </w:style>
  <w:style w:type="paragraph" w:styleId="849">
    <w:name w:val="Body Text First Indent"/>
    <w:basedOn w:val="824"/>
    <w:uiPriority w:val="0"/>
    <w:qFormat/>
    <w:pPr>
      <w:ind w:firstLine="420"/>
    </w:pPr>
    <w:rPr>
      <w:rFonts w:ascii="Verdana" w:hAnsi="Verdana"/>
      <w:szCs w:val="28"/>
      <w:lang w:eastAsia="en-US"/>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Strong"/>
    <w:basedOn w:val="816"/>
    <w:uiPriority w:val="0"/>
    <w:qFormat/>
    <w:rPr>
      <w:b/>
      <w:bCs/>
    </w:rPr>
  </w:style>
  <w:style w:type="character" w:styleId="852">
    <w:name w:val="endnote reference"/>
    <w:uiPriority w:val="99"/>
    <w:semiHidden/>
    <w:unhideWhenUsed/>
    <w:qFormat/>
    <w:rPr>
      <w:vertAlign w:val="superscript"/>
    </w:rPr>
  </w:style>
  <w:style w:type="character" w:styleId="853">
    <w:name w:val="FollowedHyperlink"/>
    <w:basedOn w:val="816"/>
    <w:uiPriority w:val="99"/>
    <w:semiHidden/>
    <w:unhideWhenUsed/>
    <w:qFormat/>
    <w:rPr>
      <w:color w:val="5c5c5c"/>
      <w:u w:val="none"/>
    </w:rPr>
  </w:style>
  <w:style w:type="character" w:styleId="854">
    <w:name w:val="Emphasis"/>
    <w:basedOn w:val="816"/>
    <w:uiPriority w:val="20"/>
    <w:qFormat/>
    <w:rPr>
      <w:b/>
      <w:bCs/>
    </w:rPr>
  </w:style>
  <w:style w:type="character" w:styleId="855">
    <w:name w:val="HTML Definition"/>
    <w:basedOn w:val="816"/>
    <w:uiPriority w:val="99"/>
    <w:semiHidden/>
    <w:unhideWhenUsed/>
    <w:qFormat/>
  </w:style>
  <w:style w:type="character" w:styleId="856">
    <w:name w:val="HTML Typewriter"/>
    <w:basedOn w:val="816"/>
    <w:uiPriority w:val="99"/>
    <w:semiHidden/>
    <w:unhideWhenUsed/>
    <w:qFormat/>
    <w:rPr>
      <w:rFonts w:ascii="monospace" w:hAnsi="monospace" w:eastAsia="monospace" w:cs="monospace"/>
      <w:sz w:val="20"/>
    </w:rPr>
  </w:style>
  <w:style w:type="character" w:styleId="857">
    <w:name w:val="HTML Acronym"/>
    <w:basedOn w:val="816"/>
    <w:uiPriority w:val="99"/>
    <w:semiHidden/>
    <w:unhideWhenUsed/>
    <w:qFormat/>
  </w:style>
  <w:style w:type="character" w:styleId="858">
    <w:name w:val="HTML Variable"/>
    <w:basedOn w:val="816"/>
    <w:uiPriority w:val="99"/>
    <w:semiHidden/>
    <w:unhideWhenUsed/>
    <w:qFormat/>
  </w:style>
  <w:style w:type="character" w:styleId="859">
    <w:name w:val="Hyperlink"/>
    <w:uiPriority w:val="99"/>
    <w:unhideWhenUsed/>
    <w:qFormat/>
    <w:rPr>
      <w:color w:val="0000ff" w:themeColor="hyperlink"/>
      <w:u w:val="single"/>
      <w14:textFill>
        <w14:solidFill>
          <w14:schemeClr w14:val="hlink"/>
        </w14:solidFill>
      </w14:textFill>
    </w:rPr>
  </w:style>
  <w:style w:type="character" w:styleId="860">
    <w:name w:val="HTML Code"/>
    <w:basedOn w:val="816"/>
    <w:uiPriority w:val="99"/>
    <w:semiHidden/>
    <w:unhideWhenUsed/>
    <w:qFormat/>
    <w:rPr>
      <w:rFonts w:hint="default" w:ascii="monospace" w:hAnsi="monospace" w:eastAsia="monospace" w:cs="monospace"/>
      <w:vanish/>
      <w:sz w:val="20"/>
    </w:rPr>
  </w:style>
  <w:style w:type="character" w:styleId="861">
    <w:name w:val="HTML Cite"/>
    <w:basedOn w:val="816"/>
    <w:uiPriority w:val="99"/>
    <w:semiHidden/>
    <w:unhideWhenUsed/>
    <w:qFormat/>
  </w:style>
  <w:style w:type="character" w:styleId="862">
    <w:name w:val="footnote reference"/>
    <w:uiPriority w:val="99"/>
    <w:unhideWhenUsed/>
    <w:qFormat/>
    <w:rPr>
      <w:vertAlign w:val="superscript"/>
    </w:rPr>
  </w:style>
  <w:style w:type="character" w:styleId="863">
    <w:name w:val="HTML Keyboard"/>
    <w:basedOn w:val="816"/>
    <w:uiPriority w:val="99"/>
    <w:semiHidden/>
    <w:unhideWhenUsed/>
    <w:qFormat/>
    <w:rPr>
      <w:rFonts w:hint="default" w:ascii="monospace" w:hAnsi="monospace" w:eastAsia="monospace" w:cs="monospace"/>
      <w:sz w:val="20"/>
    </w:rPr>
  </w:style>
  <w:style w:type="character" w:styleId="864">
    <w:name w:val="HTML Sample"/>
    <w:basedOn w:val="816"/>
    <w:uiPriority w:val="99"/>
    <w:semiHidden/>
    <w:unhideWhenUsed/>
    <w:qFormat/>
    <w:rPr>
      <w:rFonts w:hint="default" w:ascii="monospace" w:hAnsi="monospace" w:eastAsia="monospace" w:cs="monospace"/>
    </w:rPr>
  </w:style>
  <w:style w:type="table" w:styleId="865"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正文文本1"/>
    <w:basedOn w:val="806"/>
    <w:next w:val="806"/>
    <w:link w:val="1078"/>
    <w:uiPriority w:val="0"/>
    <w:unhideWhenUsed/>
    <w:qFormat/>
    <w:rPr>
      <w:rFonts w:ascii="楷体_GB2312"/>
      <w:b/>
      <w:bCs/>
      <w:sz w:val="28"/>
    </w:rPr>
  </w:style>
  <w:style w:type="paragraph" w:styleId="886" w:customStyle="1">
    <w:name w:val="正文文本缩进1"/>
    <w:basedOn w:val="806"/>
    <w:next w:val="887"/>
    <w:link w:val="1079"/>
    <w:uiPriority w:val="0"/>
    <w:unhideWhenUsed/>
    <w:qFormat/>
    <w:pPr>
      <w:ind w:firstLine="570"/>
    </w:pPr>
    <w:rPr>
      <w:rFonts w:ascii="宋体" w:eastAsia="宋体"/>
      <w:sz w:val="28"/>
    </w:rPr>
  </w:style>
  <w:style w:type="paragraph" w:styleId="887" w:customStyle="1">
    <w:name w:val="寄信人地址1"/>
    <w:basedOn w:val="806"/>
    <w:uiPriority w:val="99"/>
    <w:unhideWhenUsed/>
    <w:qFormat/>
    <w:rPr>
      <w:rFonts w:ascii="Arial" w:hAnsi="Arial"/>
    </w:rPr>
  </w:style>
  <w:style w:type="paragraph" w:styleId="888" w:customStyle="1">
    <w:name w:val="列出段落1"/>
    <w:basedOn w:val="806"/>
    <w:uiPriority w:val="0"/>
    <w:qFormat/>
    <w:pPr>
      <w:ind w:firstLine="420"/>
    </w:pPr>
    <w:rPr>
      <w:rFonts w:ascii="Calibri" w:hAnsi="Calibri" w:eastAsia="宋体"/>
      <w:sz w:val="21"/>
      <w:szCs w:val="22"/>
    </w:rPr>
  </w:style>
  <w:style w:type="paragraph" w:styleId="88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90" w:customStyle="1">
    <w:name w:val="正文文本11"/>
    <w:basedOn w:val="806"/>
    <w:next w:val="806"/>
    <w:uiPriority w:val="0"/>
    <w:qFormat/>
    <w:rPr>
      <w:rFonts w:ascii="楷体_GB2312" w:hAnsi="Arial"/>
      <w:sz w:val="28"/>
    </w:rPr>
  </w:style>
  <w:style w:type="table" w:styleId="891" w:customStyle="1">
    <w:name w:val="无格式表格 1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8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1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网格表 31"/>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网格表 5 深色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网格表 6 彩色1"/>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网格表 7 彩色1"/>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清单表 1 浅色1"/>
    <w:basedOn w:val="81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清单表 21"/>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清单表 3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清单表 41"/>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5 深色1"/>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81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清单表 7 彩色1"/>
    <w:basedOn w:val="81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0" w:customStyle="1">
    <w:name w:val="TOC 标题1"/>
    <w:uiPriority w:val="39"/>
    <w:unhideWhenUsed/>
    <w:qFormat/>
    <w:rPr>
      <w:rFonts w:hint="default" w:ascii="Times New Roman" w:hAnsi="Times New Roman" w:eastAsia="宋体" w:cs="Times New Roman"/>
      <w:lang w:val="en-US" w:eastAsia="zh-CN" w:bidi="ar-SA"/>
    </w:rPr>
  </w:style>
  <w:style w:type="paragraph" w:styleId="911" w:customStyle="1">
    <w:name w:val="TOC 标题112"/>
    <w:uiPriority w:val="39"/>
    <w:unhideWhenUsed/>
    <w:qFormat/>
    <w:rPr>
      <w:rFonts w:hint="default" w:ascii="Times New Roman" w:hAnsi="Times New Roman" w:eastAsia="宋体" w:cs="Times New Roman"/>
      <w:lang w:val="en-US" w:eastAsia="zh-CN" w:bidi="ar-SA"/>
    </w:rPr>
  </w:style>
  <w:style w:type="paragraph" w:styleId="912">
    <w:name w:val="List Paragraph"/>
    <w:basedOn w:val="806"/>
    <w:uiPriority w:val="34"/>
    <w:qFormat/>
    <w:pPr>
      <w:ind w:firstLine="420"/>
    </w:pPr>
    <w:rPr>
      <w:rFonts w:ascii="Calibri" w:hAnsi="Calibri" w:eastAsia="宋体"/>
      <w:sz w:val="21"/>
      <w:szCs w:val="22"/>
    </w:rPr>
  </w:style>
  <w:style w:type="character" w:styleId="913" w:customStyle="1">
    <w:name w:val="Heading 2 Char"/>
    <w:basedOn w:val="816"/>
    <w:uiPriority w:val="9"/>
    <w:qFormat/>
    <w:rPr>
      <w:rFonts w:ascii="Arial" w:hAnsi="Arial" w:eastAsia="Arial" w:cs="Arial"/>
      <w:sz w:val="34"/>
    </w:rPr>
  </w:style>
  <w:style w:type="character" w:styleId="914" w:customStyle="1">
    <w:name w:val="Heading 3 Char"/>
    <w:basedOn w:val="816"/>
    <w:uiPriority w:val="9"/>
    <w:qFormat/>
    <w:rPr>
      <w:rFonts w:ascii="Arial" w:hAnsi="Arial" w:eastAsia="Arial" w:cs="Arial"/>
      <w:sz w:val="30"/>
      <w:szCs w:val="30"/>
    </w:rPr>
  </w:style>
  <w:style w:type="character" w:styleId="915" w:customStyle="1">
    <w:name w:val="Heading 4 Char"/>
    <w:basedOn w:val="816"/>
    <w:uiPriority w:val="9"/>
    <w:qFormat/>
    <w:rPr>
      <w:rFonts w:ascii="Arial" w:hAnsi="Arial" w:eastAsia="Arial" w:cs="Arial"/>
      <w:b/>
      <w:bCs/>
      <w:sz w:val="26"/>
      <w:szCs w:val="26"/>
    </w:rPr>
  </w:style>
  <w:style w:type="character" w:styleId="916" w:customStyle="1">
    <w:name w:val="Heading 5 Char"/>
    <w:basedOn w:val="816"/>
    <w:uiPriority w:val="9"/>
    <w:qFormat/>
    <w:rPr>
      <w:rFonts w:ascii="Arial" w:hAnsi="Arial" w:eastAsia="Arial" w:cs="Arial"/>
      <w:b/>
      <w:bCs/>
      <w:sz w:val="24"/>
      <w:szCs w:val="24"/>
    </w:rPr>
  </w:style>
  <w:style w:type="character" w:styleId="917" w:customStyle="1">
    <w:name w:val="Heading 6 Char"/>
    <w:basedOn w:val="816"/>
    <w:uiPriority w:val="9"/>
    <w:qFormat/>
    <w:rPr>
      <w:rFonts w:ascii="Arial" w:hAnsi="Arial" w:eastAsia="Arial" w:cs="Arial"/>
      <w:b/>
      <w:bCs/>
      <w:sz w:val="22"/>
      <w:szCs w:val="22"/>
    </w:rPr>
  </w:style>
  <w:style w:type="character" w:styleId="918" w:customStyle="1">
    <w:name w:val="Heading 7 Char"/>
    <w:basedOn w:val="816"/>
    <w:uiPriority w:val="9"/>
    <w:qFormat/>
    <w:rPr>
      <w:rFonts w:ascii="Arial" w:hAnsi="Arial" w:eastAsia="Arial" w:cs="Arial"/>
      <w:b/>
      <w:bCs/>
      <w:i/>
      <w:iCs/>
      <w:sz w:val="22"/>
      <w:szCs w:val="22"/>
    </w:rPr>
  </w:style>
  <w:style w:type="character" w:styleId="919" w:customStyle="1">
    <w:name w:val="Heading 8 Char"/>
    <w:basedOn w:val="816"/>
    <w:uiPriority w:val="9"/>
    <w:qFormat/>
    <w:rPr>
      <w:rFonts w:ascii="Arial" w:hAnsi="Arial" w:eastAsia="Arial" w:cs="Arial"/>
      <w:i/>
      <w:iCs/>
      <w:sz w:val="22"/>
      <w:szCs w:val="22"/>
    </w:rPr>
  </w:style>
  <w:style w:type="character" w:styleId="920" w:customStyle="1">
    <w:name w:val="Heading 9 Char"/>
    <w:basedOn w:val="816"/>
    <w:uiPriority w:val="9"/>
    <w:qFormat/>
    <w:rPr>
      <w:rFonts w:ascii="Arial" w:hAnsi="Arial" w:eastAsia="Arial" w:cs="Arial"/>
      <w:i/>
      <w:iCs/>
      <w:sz w:val="21"/>
      <w:szCs w:val="21"/>
    </w:rPr>
  </w:style>
  <w:style w:type="character" w:styleId="921" w:customStyle="1">
    <w:name w:val="Title Char"/>
    <w:basedOn w:val="816"/>
    <w:uiPriority w:val="10"/>
    <w:qFormat/>
    <w:rPr>
      <w:sz w:val="48"/>
      <w:szCs w:val="48"/>
    </w:rPr>
  </w:style>
  <w:style w:type="character" w:styleId="922" w:customStyle="1">
    <w:name w:val="Subtitle Char"/>
    <w:basedOn w:val="816"/>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Header Char"/>
    <w:basedOn w:val="816"/>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11"/>
    <w:uiPriority w:val="39"/>
    <w:unhideWhenUsed/>
    <w:qFormat/>
    <w:rPr>
      <w:rFonts w:hint="default" w:ascii="Calibri" w:hAnsi="Calibri" w:eastAsia="宋体" w:cs="Calibri"/>
      <w:lang w:val="en-US" w:eastAsia="zh-CN" w:bidi="ar-SA"/>
    </w:rPr>
  </w:style>
  <w:style w:type="character" w:styleId="930" w:customStyle="1">
    <w:name w:val="Heading 1 Char"/>
    <w:uiPriority w:val="9"/>
    <w:qFormat/>
    <w:rPr>
      <w:rFonts w:ascii="Arial" w:hAnsi="Arial" w:eastAsia="Arial" w:cs="Arial"/>
      <w:sz w:val="40"/>
      <w:szCs w:val="40"/>
    </w:rPr>
  </w:style>
  <w:style w:type="character" w:styleId="931" w:customStyle="1">
    <w:name w:val="标题 2 字符"/>
    <w:link w:val="808"/>
    <w:uiPriority w:val="9"/>
    <w:qFormat/>
    <w:rPr>
      <w:rFonts w:ascii="Arial" w:hAnsi="Arial" w:eastAsia="Arial" w:cs="Arial"/>
      <w:sz w:val="34"/>
    </w:rPr>
  </w:style>
  <w:style w:type="character" w:styleId="932" w:customStyle="1">
    <w:name w:val="标题 3 字符"/>
    <w:link w:val="809"/>
    <w:uiPriority w:val="9"/>
    <w:qFormat/>
    <w:rPr>
      <w:rFonts w:ascii="Arial" w:hAnsi="Arial" w:eastAsia="Arial" w:cs="Arial"/>
      <w:sz w:val="30"/>
      <w:szCs w:val="30"/>
    </w:rPr>
  </w:style>
  <w:style w:type="character" w:styleId="933" w:customStyle="1">
    <w:name w:val="标题 4 字符"/>
    <w:link w:val="810"/>
    <w:uiPriority w:val="9"/>
    <w:qFormat/>
    <w:rPr>
      <w:rFonts w:ascii="Arial" w:hAnsi="Arial" w:eastAsia="Arial" w:cs="Arial"/>
      <w:b/>
      <w:bCs/>
      <w:sz w:val="26"/>
      <w:szCs w:val="26"/>
    </w:rPr>
  </w:style>
  <w:style w:type="character" w:styleId="934" w:customStyle="1">
    <w:name w:val="标题 5 字符"/>
    <w:link w:val="811"/>
    <w:uiPriority w:val="9"/>
    <w:qFormat/>
    <w:rPr>
      <w:rFonts w:ascii="Arial" w:hAnsi="Arial" w:eastAsia="Arial" w:cs="Arial"/>
      <w:b/>
      <w:bCs/>
      <w:sz w:val="24"/>
      <w:szCs w:val="24"/>
    </w:rPr>
  </w:style>
  <w:style w:type="character" w:styleId="935" w:customStyle="1">
    <w:name w:val="标题 6 字符"/>
    <w:link w:val="812"/>
    <w:uiPriority w:val="9"/>
    <w:qFormat/>
    <w:rPr>
      <w:rFonts w:ascii="Arial" w:hAnsi="Arial" w:eastAsia="Arial" w:cs="Arial"/>
      <w:b/>
      <w:bCs/>
      <w:sz w:val="22"/>
      <w:szCs w:val="22"/>
    </w:rPr>
  </w:style>
  <w:style w:type="character" w:styleId="936" w:customStyle="1">
    <w:name w:val="标题 7 字符"/>
    <w:link w:val="813"/>
    <w:uiPriority w:val="9"/>
    <w:qFormat/>
    <w:rPr>
      <w:rFonts w:ascii="Arial" w:hAnsi="Arial" w:eastAsia="Arial" w:cs="Arial"/>
      <w:b/>
      <w:bCs/>
      <w:i/>
      <w:iCs/>
      <w:sz w:val="22"/>
      <w:szCs w:val="22"/>
    </w:rPr>
  </w:style>
  <w:style w:type="character" w:styleId="937" w:customStyle="1">
    <w:name w:val="标题 8 字符"/>
    <w:link w:val="814"/>
    <w:uiPriority w:val="9"/>
    <w:qFormat/>
    <w:rPr>
      <w:rFonts w:ascii="Arial" w:hAnsi="Arial" w:eastAsia="Arial" w:cs="Arial"/>
      <w:i/>
      <w:iCs/>
      <w:sz w:val="22"/>
      <w:szCs w:val="22"/>
    </w:rPr>
  </w:style>
  <w:style w:type="character" w:styleId="938" w:customStyle="1">
    <w:name w:val="标题 9 字符"/>
    <w:link w:val="815"/>
    <w:uiPriority w:val="9"/>
    <w:qFormat/>
    <w:rPr>
      <w:rFonts w:ascii="Arial" w:hAnsi="Arial" w:eastAsia="Arial" w:cs="Arial"/>
      <w:i/>
      <w:iCs/>
      <w:sz w:val="21"/>
      <w:szCs w:val="21"/>
    </w:rPr>
  </w:style>
  <w:style w:type="character" w:styleId="939" w:customStyle="1">
    <w:name w:val="标题 字符"/>
    <w:link w:val="846"/>
    <w:uiPriority w:val="10"/>
    <w:qFormat/>
    <w:rPr>
      <w:sz w:val="48"/>
      <w:szCs w:val="48"/>
    </w:rPr>
  </w:style>
  <w:style w:type="character" w:styleId="940" w:customStyle="1">
    <w:name w:val="副标题 字符"/>
    <w:link w:val="838"/>
    <w:uiPriority w:val="11"/>
    <w:qFormat/>
    <w:rPr>
      <w:sz w:val="24"/>
      <w:szCs w:val="24"/>
    </w:rPr>
  </w:style>
  <w:style w:type="paragraph" w:styleId="941">
    <w:name w:val="Quote"/>
    <w:basedOn w:val="806"/>
    <w:next w:val="806"/>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806"/>
    <w:next w:val="806"/>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页眉 字符"/>
    <w:link w:val="835"/>
    <w:uiPriority w:val="99"/>
    <w:qFormat/>
  </w:style>
  <w:style w:type="character" w:styleId="946" w:customStyle="1">
    <w:name w:val="Footer Char"/>
    <w:uiPriority w:val="99"/>
    <w:qFormat/>
  </w:style>
  <w:style w:type="character" w:styleId="947" w:customStyle="1">
    <w:name w:val="页脚 字符"/>
    <w:link w:val="833"/>
    <w:uiPriority w:val="99"/>
    <w:qFormat/>
  </w:style>
  <w:style w:type="table" w:styleId="9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脚注文本 字符"/>
    <w:link w:val="839"/>
    <w:uiPriority w:val="99"/>
    <w:qFormat/>
    <w:rPr>
      <w:sz w:val="18"/>
    </w:rPr>
  </w:style>
  <w:style w:type="character" w:styleId="1055" w:customStyle="1">
    <w:name w:val="尾注文本 字符"/>
    <w:link w:val="832"/>
    <w:uiPriority w:val="99"/>
    <w:qFormat/>
    <w:rPr>
      <w:sz w:val="20"/>
    </w:rPr>
  </w:style>
  <w:style w:type="paragraph" w:styleId="1056" w:customStyle="1">
    <w:name w:val="TOC 标题11"/>
    <w:uiPriority w:val="39"/>
    <w:unhideWhenUsed/>
    <w:qFormat/>
    <w:rPr>
      <w:rFonts w:hint="default" w:ascii="Times New Roman" w:hAnsi="Times New Roman" w:eastAsia="宋体" w:cs="Times New Roman"/>
      <w:lang w:val="en-US" w:eastAsia="zh-CN" w:bidi="ar-SA"/>
    </w:rPr>
  </w:style>
  <w:style w:type="paragraph" w:styleId="1057" w:customStyle="1">
    <w:name w:val="标题 11"/>
    <w:basedOn w:val="806"/>
    <w:next w:val="806"/>
    <w:uiPriority w:val="0"/>
    <w:qFormat/>
    <w:pPr>
      <w:keepLines/>
      <w:keepNext/>
      <w:spacing w:before="340" w:after="330" w:line="578" w:lineRule="auto"/>
      <w:outlineLvl w:val="0"/>
    </w:pPr>
    <w:rPr>
      <w:b/>
      <w:sz w:val="44"/>
    </w:rPr>
  </w:style>
  <w:style w:type="paragraph" w:styleId="1058" w:customStyle="1">
    <w:name w:val="标题 21"/>
    <w:basedOn w:val="806"/>
    <w:next w:val="806"/>
    <w:link w:val="1066"/>
    <w:uiPriority w:val="0"/>
    <w:qFormat/>
    <w:pPr>
      <w:keepLines/>
      <w:keepNext/>
      <w:spacing w:before="260" w:after="260" w:line="416" w:lineRule="auto"/>
      <w:outlineLvl w:val="1"/>
    </w:pPr>
    <w:rPr>
      <w:rFonts w:ascii="Cambria" w:hAnsi="Cambria" w:eastAsia="宋体"/>
      <w:b/>
      <w:bCs/>
      <w:sz w:val="32"/>
      <w:szCs w:val="32"/>
    </w:rPr>
  </w:style>
  <w:style w:type="paragraph" w:styleId="1059" w:customStyle="1">
    <w:name w:val="标题 31"/>
    <w:basedOn w:val="806"/>
    <w:next w:val="806"/>
    <w:link w:val="1067"/>
    <w:uiPriority w:val="0"/>
    <w:qFormat/>
    <w:pPr>
      <w:keepLines/>
      <w:keepNext/>
      <w:spacing w:before="260" w:after="260" w:line="416" w:lineRule="auto"/>
      <w:outlineLvl w:val="2"/>
    </w:pPr>
    <w:rPr>
      <w:b/>
      <w:bCs/>
      <w:sz w:val="32"/>
      <w:szCs w:val="32"/>
    </w:rPr>
  </w:style>
  <w:style w:type="paragraph" w:styleId="1060" w:customStyle="1">
    <w:name w:val="标题 41"/>
    <w:basedOn w:val="806"/>
    <w:next w:val="806"/>
    <w:link w:val="1068"/>
    <w:uiPriority w:val="0"/>
    <w:qFormat/>
    <w:pPr>
      <w:keepLines/>
      <w:keepNext/>
      <w:spacing w:before="280" w:after="290" w:line="376" w:lineRule="auto"/>
      <w:outlineLvl w:val="3"/>
    </w:pPr>
    <w:rPr>
      <w:rFonts w:ascii="Cambria" w:hAnsi="Cambria" w:eastAsia="宋体"/>
      <w:b/>
      <w:bCs/>
      <w:sz w:val="28"/>
      <w:szCs w:val="28"/>
    </w:rPr>
  </w:style>
  <w:style w:type="paragraph" w:styleId="1061" w:customStyle="1">
    <w:name w:val="标题 51"/>
    <w:basedOn w:val="806"/>
    <w:next w:val="806"/>
    <w:link w:val="1069"/>
    <w:uiPriority w:val="0"/>
    <w:qFormat/>
    <w:pPr>
      <w:jc w:val="center"/>
      <w:keepLines/>
      <w:keepNext/>
      <w:outlineLvl w:val="4"/>
    </w:pPr>
    <w:rPr>
      <w:rFonts w:eastAsia="宋体"/>
      <w:b/>
      <w:bCs/>
      <w:sz w:val="28"/>
      <w:szCs w:val="28"/>
    </w:rPr>
  </w:style>
  <w:style w:type="character" w:styleId="1062" w:customStyle="1">
    <w:name w:val="默认段落字体1"/>
    <w:uiPriority w:val="1"/>
    <w:unhideWhenUsed/>
    <w:qFormat/>
  </w:style>
  <w:style w:type="table" w:styleId="1063" w:customStyle="1">
    <w:name w:val="普通表格1"/>
    <w:uiPriority w:val="99"/>
    <w:unhideWhenUsed/>
    <w:qFormat/>
    <w:tblPr>
      <w:tblCellMar>
        <w:left w:w="0" w:type="dxa"/>
        <w:top w:w="0" w:type="dxa"/>
        <w:right w:w="0" w:type="dxa"/>
        <w:bottom w:w="0" w:type="dxa"/>
      </w:tblCellMar>
    </w:tblPr>
  </w:style>
  <w:style w:type="paragraph" w:styleId="1064" w:customStyle="1">
    <w:name w:val="DAS正文"/>
    <w:basedOn w:val="806"/>
    <w:uiPriority w:val="0"/>
    <w:qFormat/>
    <w:pPr>
      <w:ind w:right="181" w:firstLine="480"/>
      <w:spacing w:line="360" w:lineRule="auto"/>
    </w:pPr>
    <w:rPr>
      <w:rFonts w:ascii="Verdana" w:hAnsi="Verdana"/>
      <w:sz w:val="24"/>
      <w:szCs w:val="24"/>
    </w:rPr>
  </w:style>
  <w:style w:type="character" w:styleId="1065" w:customStyle="1">
    <w:name w:val="标题 1 字符"/>
    <w:basedOn w:val="816"/>
    <w:link w:val="807"/>
    <w:uiPriority w:val="9"/>
    <w:qFormat/>
    <w:rPr>
      <w:rFonts w:eastAsia="楷体_GB2312"/>
      <w:b/>
      <w:sz w:val="44"/>
    </w:rPr>
  </w:style>
  <w:style w:type="character" w:styleId="1066" w:customStyle="1">
    <w:name w:val="标题 2 Char"/>
    <w:link w:val="1058"/>
    <w:uiPriority w:val="0"/>
    <w:qFormat/>
    <w:rPr>
      <w:rFonts w:ascii="Cambria" w:hAnsi="Cambria" w:eastAsia="宋体" w:cs="Times New Roman"/>
      <w:b/>
      <w:bCs/>
      <w:sz w:val="32"/>
      <w:szCs w:val="32"/>
    </w:rPr>
  </w:style>
  <w:style w:type="character" w:styleId="1067" w:customStyle="1">
    <w:name w:val="标题 3 Char"/>
    <w:link w:val="1059"/>
    <w:uiPriority w:val="0"/>
    <w:qFormat/>
    <w:rPr>
      <w:rFonts w:eastAsia="楷体_GB2312"/>
      <w:b/>
      <w:bCs/>
      <w:sz w:val="32"/>
      <w:szCs w:val="32"/>
    </w:rPr>
  </w:style>
  <w:style w:type="character" w:styleId="1068" w:customStyle="1">
    <w:name w:val="标题 4 Char"/>
    <w:link w:val="1060"/>
    <w:uiPriority w:val="0"/>
    <w:qFormat/>
    <w:rPr>
      <w:rFonts w:ascii="Cambria" w:hAnsi="Cambria" w:eastAsia="宋体" w:cs="Times New Roman"/>
      <w:b/>
      <w:bCs/>
      <w:sz w:val="28"/>
      <w:szCs w:val="28"/>
    </w:rPr>
  </w:style>
  <w:style w:type="character" w:styleId="1069" w:customStyle="1">
    <w:name w:val="标题 5 Char"/>
    <w:link w:val="1061"/>
    <w:uiPriority w:val="0"/>
    <w:qFormat/>
    <w:rPr>
      <w:b/>
      <w:bCs/>
      <w:sz w:val="28"/>
      <w:szCs w:val="28"/>
    </w:rPr>
  </w:style>
  <w:style w:type="paragraph" w:styleId="1070" w:customStyle="1">
    <w:name w:val="正文缩进1"/>
    <w:basedOn w:val="806"/>
    <w:link w:val="1071"/>
    <w:uiPriority w:val="0"/>
    <w:unhideWhenUsed/>
    <w:qFormat/>
    <w:pPr>
      <w:ind w:firstLine="420"/>
      <w:jc w:val="left"/>
    </w:pPr>
    <w:rPr>
      <w:sz w:val="24"/>
    </w:rPr>
  </w:style>
  <w:style w:type="character" w:styleId="1071" w:customStyle="1">
    <w:name w:val="正文缩进 Char"/>
    <w:link w:val="1070"/>
    <w:uiPriority w:val="0"/>
    <w:qFormat/>
    <w:rPr>
      <w:rFonts w:eastAsia="楷体_GB2312"/>
      <w:sz w:val="24"/>
    </w:rPr>
  </w:style>
  <w:style w:type="paragraph" w:styleId="1072" w:customStyle="1">
    <w:name w:val="文档结构图1"/>
    <w:basedOn w:val="806"/>
    <w:link w:val="1073"/>
    <w:uiPriority w:val="0"/>
    <w:unhideWhenUsed/>
    <w:qFormat/>
    <w:pPr>
      <w:shd w:val="clear" w:color="auto" w:fill="000080"/>
    </w:pPr>
    <w:rPr>
      <w:rFonts w:eastAsia="宋体"/>
      <w:sz w:val="21"/>
      <w:szCs w:val="24"/>
    </w:rPr>
  </w:style>
  <w:style w:type="character" w:styleId="1073" w:customStyle="1">
    <w:name w:val="文档结构图 Char"/>
    <w:link w:val="1072"/>
    <w:uiPriority w:val="0"/>
    <w:qFormat/>
    <w:rPr>
      <w:sz w:val="21"/>
      <w:szCs w:val="24"/>
      <w:shd w:val="clear" w:color="auto" w:fill="000080"/>
    </w:rPr>
  </w:style>
  <w:style w:type="paragraph" w:styleId="1074" w:customStyle="1">
    <w:name w:val="批注文字1"/>
    <w:basedOn w:val="806"/>
    <w:link w:val="1075"/>
    <w:uiPriority w:val="0"/>
    <w:qFormat/>
    <w:pPr>
      <w:jc w:val="left"/>
    </w:pPr>
  </w:style>
  <w:style w:type="character" w:styleId="1075" w:customStyle="1">
    <w:name w:val="批注文字 Char"/>
    <w:link w:val="1074"/>
    <w:uiPriority w:val="0"/>
    <w:qFormat/>
    <w:rPr>
      <w:rFonts w:eastAsia="楷体_GB2312"/>
      <w:sz w:val="26"/>
    </w:rPr>
  </w:style>
  <w:style w:type="paragraph" w:styleId="1076" w:customStyle="1">
    <w:name w:val="正文文本 31"/>
    <w:basedOn w:val="806"/>
    <w:link w:val="1077"/>
    <w:uiPriority w:val="0"/>
    <w:unhideWhenUsed/>
    <w:qFormat/>
    <w:pPr>
      <w:jc w:val="center"/>
    </w:pPr>
    <w:rPr>
      <w:rFonts w:ascii="宋体" w:hAnsi="宋体"/>
    </w:rPr>
  </w:style>
  <w:style w:type="character" w:styleId="1077" w:customStyle="1">
    <w:name w:val="正文文本 3 Char"/>
    <w:link w:val="1076"/>
    <w:uiPriority w:val="0"/>
    <w:qFormat/>
    <w:rPr>
      <w:rFonts w:ascii="宋体" w:hAnsi="宋体" w:eastAsia="楷体_GB2312"/>
      <w:sz w:val="26"/>
    </w:rPr>
  </w:style>
  <w:style w:type="character" w:styleId="1078" w:customStyle="1">
    <w:name w:val="正文文本 Char1"/>
    <w:link w:val="885"/>
    <w:uiPriority w:val="0"/>
    <w:qFormat/>
    <w:rPr>
      <w:rFonts w:ascii="楷体_GB2312" w:eastAsia="楷体_GB2312"/>
      <w:b/>
      <w:bCs/>
      <w:sz w:val="28"/>
    </w:rPr>
  </w:style>
  <w:style w:type="character" w:styleId="1079" w:customStyle="1">
    <w:name w:val="正文文本缩进 Char"/>
    <w:link w:val="886"/>
    <w:uiPriority w:val="0"/>
    <w:qFormat/>
    <w:rPr>
      <w:rFonts w:ascii="宋体"/>
      <w:sz w:val="28"/>
    </w:rPr>
  </w:style>
  <w:style w:type="paragraph" w:styleId="1080" w:customStyle="1">
    <w:name w:val="目录 31"/>
    <w:basedOn w:val="806"/>
    <w:next w:val="806"/>
    <w:uiPriority w:val="0"/>
    <w:qFormat/>
    <w:pPr>
      <w:ind w:left="359"/>
      <w:tabs>
        <w:tab w:val="right" w:pos="8302" w:leader="dot"/>
      </w:tabs>
    </w:pPr>
    <w:rPr>
      <w:rFonts w:eastAsia="宋体"/>
      <w:sz w:val="21"/>
      <w:szCs w:val="24"/>
    </w:rPr>
  </w:style>
  <w:style w:type="paragraph" w:styleId="1081" w:customStyle="1">
    <w:name w:val="纯文本1111"/>
    <w:basedOn w:val="806"/>
    <w:next w:val="1082"/>
    <w:link w:val="1083"/>
    <w:uiPriority w:val="0"/>
    <w:unhideWhenUsed/>
    <w:qFormat/>
    <w:rPr>
      <w:rFonts w:ascii="宋体" w:hAnsi="Courier New"/>
    </w:rPr>
  </w:style>
  <w:style w:type="paragraph" w:styleId="1082" w:customStyle="1">
    <w:name w:val="正文缩进11"/>
    <w:basedOn w:val="806"/>
    <w:uiPriority w:val="0"/>
    <w:unhideWhenUsed/>
    <w:qFormat/>
    <w:pPr>
      <w:ind w:firstLine="420"/>
      <w:jc w:val="left"/>
    </w:pPr>
    <w:rPr>
      <w:sz w:val="24"/>
    </w:rPr>
  </w:style>
  <w:style w:type="character" w:styleId="1083" w:customStyle="1">
    <w:name w:val="纯文本 Char"/>
    <w:link w:val="1081"/>
    <w:uiPriority w:val="0"/>
    <w:qFormat/>
    <w:rPr>
      <w:rFonts w:ascii="宋体" w:hAnsi="Courier New" w:eastAsia="楷体_GB2312"/>
      <w:sz w:val="26"/>
    </w:rPr>
  </w:style>
  <w:style w:type="paragraph" w:styleId="1084" w:customStyle="1">
    <w:name w:val="日期1"/>
    <w:basedOn w:val="806"/>
    <w:next w:val="806"/>
    <w:link w:val="1085"/>
    <w:uiPriority w:val="0"/>
    <w:unhideWhenUsed/>
    <w:qFormat/>
    <w:rPr>
      <w:rFonts w:ascii="宋体" w:hAnsi="宋体"/>
      <w:sz w:val="24"/>
    </w:rPr>
  </w:style>
  <w:style w:type="character" w:styleId="1085" w:customStyle="1">
    <w:name w:val="日期 Char"/>
    <w:link w:val="1084"/>
    <w:uiPriority w:val="0"/>
    <w:qFormat/>
    <w:rPr>
      <w:rFonts w:ascii="宋体" w:hAnsi="宋体" w:eastAsia="楷体_GB2312"/>
      <w:sz w:val="24"/>
    </w:rPr>
  </w:style>
  <w:style w:type="paragraph" w:styleId="1086" w:customStyle="1">
    <w:name w:val="正文文本缩进 21"/>
    <w:basedOn w:val="806"/>
    <w:link w:val="1087"/>
    <w:uiPriority w:val="0"/>
    <w:unhideWhenUsed/>
    <w:qFormat/>
    <w:pPr>
      <w:ind w:left="420"/>
      <w:spacing w:after="120" w:line="480" w:lineRule="auto"/>
    </w:pPr>
  </w:style>
  <w:style w:type="character" w:styleId="1087" w:customStyle="1">
    <w:name w:val="正文文本缩进 2 Char"/>
    <w:link w:val="1086"/>
    <w:uiPriority w:val="0"/>
    <w:qFormat/>
    <w:rPr>
      <w:rFonts w:eastAsia="楷体_GB2312"/>
      <w:sz w:val="26"/>
    </w:rPr>
  </w:style>
  <w:style w:type="paragraph" w:styleId="1088" w:customStyle="1">
    <w:name w:val="尾注文本1"/>
    <w:basedOn w:val="806"/>
    <w:link w:val="1089"/>
    <w:uiPriority w:val="0"/>
    <w:unhideWhenUsed/>
    <w:qFormat/>
    <w:pPr>
      <w:jc w:val="left"/>
    </w:pPr>
    <w:rPr>
      <w:rFonts w:ascii="宋体" w:hAnsi="宋体" w:eastAsia="宋体"/>
      <w:sz w:val="21"/>
      <w:szCs w:val="24"/>
    </w:rPr>
  </w:style>
  <w:style w:type="character" w:styleId="1089" w:customStyle="1">
    <w:name w:val="尾注文本 Char"/>
    <w:link w:val="1088"/>
    <w:uiPriority w:val="0"/>
    <w:qFormat/>
    <w:rPr>
      <w:rFonts w:ascii="宋体" w:hAnsi="宋体"/>
      <w:sz w:val="21"/>
      <w:szCs w:val="24"/>
    </w:rPr>
  </w:style>
  <w:style w:type="paragraph" w:styleId="1090" w:customStyle="1">
    <w:name w:val="批注框文本1"/>
    <w:basedOn w:val="806"/>
    <w:link w:val="1091"/>
    <w:uiPriority w:val="0"/>
    <w:qFormat/>
    <w:rPr>
      <w:sz w:val="18"/>
      <w:szCs w:val="18"/>
    </w:rPr>
  </w:style>
  <w:style w:type="character" w:styleId="1091" w:customStyle="1">
    <w:name w:val="批注框文本 Char"/>
    <w:link w:val="1090"/>
    <w:uiPriority w:val="0"/>
    <w:qFormat/>
    <w:rPr>
      <w:rFonts w:eastAsia="楷体_GB2312"/>
      <w:sz w:val="18"/>
      <w:szCs w:val="18"/>
    </w:rPr>
  </w:style>
  <w:style w:type="paragraph" w:styleId="1092" w:customStyle="1">
    <w:name w:val="页脚1"/>
    <w:basedOn w:val="806"/>
    <w:link w:val="1093"/>
    <w:uiPriority w:val="0"/>
    <w:unhideWhenUsed/>
    <w:qFormat/>
    <w:pPr>
      <w:jc w:val="left"/>
      <w:tabs>
        <w:tab w:val="center" w:pos="4153" w:leader="none"/>
        <w:tab w:val="right" w:pos="8306" w:leader="none"/>
      </w:tabs>
    </w:pPr>
    <w:rPr>
      <w:sz w:val="18"/>
    </w:rPr>
  </w:style>
  <w:style w:type="character" w:styleId="1093" w:customStyle="1">
    <w:name w:val="页脚 Char"/>
    <w:link w:val="1092"/>
    <w:uiPriority w:val="0"/>
    <w:qFormat/>
    <w:rPr>
      <w:rFonts w:eastAsia="楷体_GB2312"/>
      <w:sz w:val="18"/>
    </w:rPr>
  </w:style>
  <w:style w:type="paragraph" w:styleId="1094" w:customStyle="1">
    <w:name w:val="页眉1"/>
    <w:basedOn w:val="806"/>
    <w:link w:val="1095"/>
    <w:uiPriority w:val="0"/>
    <w:unhideWhenUsed/>
    <w:qFormat/>
    <w:pPr>
      <w:jc w:val="center"/>
      <w:tabs>
        <w:tab w:val="center" w:pos="4153" w:leader="none"/>
        <w:tab w:val="right" w:pos="8306" w:leader="none"/>
      </w:tabs>
      <w:pBdr>
        <w:bottom w:val="single" w:color="000000" w:sz="6" w:space="1"/>
      </w:pBdr>
    </w:pPr>
    <w:rPr>
      <w:sz w:val="18"/>
    </w:rPr>
  </w:style>
  <w:style w:type="character" w:styleId="1095" w:customStyle="1">
    <w:name w:val="页眉 Char"/>
    <w:link w:val="1094"/>
    <w:uiPriority w:val="0"/>
    <w:qFormat/>
    <w:rPr>
      <w:rFonts w:eastAsia="楷体_GB2312"/>
      <w:sz w:val="18"/>
    </w:rPr>
  </w:style>
  <w:style w:type="paragraph" w:styleId="1096" w:customStyle="1">
    <w:name w:val="目录 11"/>
    <w:basedOn w:val="806"/>
    <w:next w:val="806"/>
    <w:uiPriority w:val="0"/>
    <w:unhideWhenUsed/>
    <w:qFormat/>
    <w:pPr>
      <w:jc w:val="left"/>
    </w:pPr>
    <w:rPr>
      <w:sz w:val="24"/>
    </w:rPr>
  </w:style>
  <w:style w:type="paragraph" w:styleId="1097" w:customStyle="1">
    <w:name w:val="副标题1"/>
    <w:basedOn w:val="806"/>
    <w:link w:val="1098"/>
    <w:uiPriority w:val="0"/>
    <w:qFormat/>
    <w:pPr>
      <w:jc w:val="center"/>
      <w:spacing w:before="240" w:after="60" w:line="312" w:lineRule="auto"/>
      <w:outlineLvl w:val="1"/>
    </w:pPr>
    <w:rPr>
      <w:rFonts w:ascii="Arial" w:hAnsi="Arial" w:eastAsia="宋体"/>
      <w:b/>
      <w:bCs/>
      <w:sz w:val="32"/>
      <w:szCs w:val="32"/>
    </w:rPr>
  </w:style>
  <w:style w:type="character" w:styleId="1098" w:customStyle="1">
    <w:name w:val="副标题 Char"/>
    <w:link w:val="1097"/>
    <w:uiPriority w:val="0"/>
    <w:qFormat/>
    <w:rPr>
      <w:rFonts w:ascii="Arial" w:hAnsi="Arial" w:cs="Arial"/>
      <w:b/>
      <w:bCs/>
      <w:sz w:val="32"/>
      <w:szCs w:val="32"/>
    </w:rPr>
  </w:style>
  <w:style w:type="paragraph" w:styleId="1099" w:customStyle="1">
    <w:name w:val="目录 21"/>
    <w:basedOn w:val="806"/>
    <w:next w:val="806"/>
    <w:uiPriority w:val="0"/>
    <w:unhideWhenUsed/>
    <w:qFormat/>
    <w:pPr>
      <w:ind w:left="420"/>
    </w:pPr>
  </w:style>
  <w:style w:type="paragraph" w:styleId="1100" w:customStyle="1">
    <w:name w:val="目录 91"/>
    <w:basedOn w:val="806"/>
    <w:next w:val="806"/>
    <w:uiPriority w:val="0"/>
    <w:semiHidden/>
    <w:qFormat/>
    <w:pPr>
      <w:ind w:left="3360"/>
    </w:pPr>
  </w:style>
  <w:style w:type="paragraph" w:styleId="1101" w:customStyle="1">
    <w:name w:val="普通(网站)1"/>
    <w:basedOn w:val="806"/>
    <w:uiPriority w:val="0"/>
    <w:unhideWhenUsed/>
    <w:qFormat/>
    <w:pPr>
      <w:jc w:val="left"/>
      <w:spacing w:before="100" w:beforeAutospacing="1" w:after="100" w:afterAutospacing="1"/>
      <w:widowControl/>
    </w:pPr>
    <w:rPr>
      <w:rFonts w:ascii="宋体" w:hAnsi="宋体" w:cs="宋体"/>
      <w:sz w:val="24"/>
    </w:rPr>
  </w:style>
  <w:style w:type="paragraph" w:styleId="1102" w:customStyle="1">
    <w:name w:val="索引 11"/>
    <w:basedOn w:val="806"/>
    <w:next w:val="806"/>
    <w:uiPriority w:val="0"/>
    <w:unhideWhenUsed/>
    <w:qFormat/>
    <w:pPr>
      <w:jc w:val="center"/>
      <w:spacing w:line="220" w:lineRule="exact"/>
    </w:pPr>
    <w:rPr>
      <w:rFonts w:ascii="仿宋_GB2312" w:eastAsia="仿宋_GB2312"/>
      <w:szCs w:val="21"/>
    </w:rPr>
  </w:style>
  <w:style w:type="paragraph" w:styleId="1103" w:customStyle="1">
    <w:name w:val="标题1"/>
    <w:basedOn w:val="806"/>
    <w:link w:val="1104"/>
    <w:uiPriority w:val="10"/>
    <w:qFormat/>
    <w:pPr>
      <w:jc w:val="center"/>
      <w:spacing w:before="240" w:after="60"/>
      <w:outlineLvl w:val="0"/>
    </w:pPr>
    <w:rPr>
      <w:rFonts w:ascii="Arial" w:hAnsi="Arial" w:eastAsia="宋体"/>
      <w:b/>
      <w:bCs/>
      <w:sz w:val="32"/>
      <w:szCs w:val="32"/>
    </w:rPr>
  </w:style>
  <w:style w:type="character" w:styleId="1104" w:customStyle="1">
    <w:name w:val="标题 Char"/>
    <w:link w:val="1103"/>
    <w:uiPriority w:val="10"/>
    <w:qFormat/>
    <w:rPr>
      <w:rFonts w:ascii="Arial" w:hAnsi="Arial"/>
      <w:b/>
      <w:bCs/>
      <w:sz w:val="32"/>
      <w:szCs w:val="32"/>
    </w:rPr>
  </w:style>
  <w:style w:type="paragraph" w:styleId="1105" w:customStyle="1">
    <w:name w:val="批注主题1"/>
    <w:basedOn w:val="1074"/>
    <w:next w:val="1074"/>
    <w:link w:val="1106"/>
    <w:uiPriority w:val="99"/>
    <w:qFormat/>
    <w:rPr>
      <w:b/>
      <w:bCs/>
    </w:rPr>
  </w:style>
  <w:style w:type="character" w:styleId="1106" w:customStyle="1">
    <w:name w:val="批注主题 Char"/>
    <w:link w:val="1105"/>
    <w:uiPriority w:val="99"/>
    <w:qFormat/>
    <w:rPr>
      <w:b/>
      <w:bCs/>
    </w:rPr>
  </w:style>
  <w:style w:type="paragraph" w:styleId="1107" w:customStyle="1">
    <w:name w:val="正文首行缩进1"/>
    <w:basedOn w:val="885"/>
    <w:link w:val="1108"/>
    <w:uiPriority w:val="0"/>
    <w:unhideWhenUsed/>
    <w:qFormat/>
    <w:pPr>
      <w:ind w:firstLine="420"/>
      <w:spacing w:after="120"/>
    </w:pPr>
    <w:rPr>
      <w:rFonts w:ascii="Times New Roman" w:eastAsia="宋体"/>
      <w:b w:val="0"/>
      <w:bCs w:val="0"/>
      <w:sz w:val="21"/>
      <w:szCs w:val="24"/>
    </w:rPr>
  </w:style>
  <w:style w:type="character" w:styleId="1108" w:customStyle="1">
    <w:name w:val="正文首行缩进 Char"/>
    <w:link w:val="1107"/>
    <w:uiPriority w:val="0"/>
    <w:qFormat/>
  </w:style>
  <w:style w:type="character" w:styleId="1109" w:customStyle="1">
    <w:name w:val="正文文本 Char"/>
    <w:uiPriority w:val="0"/>
    <w:qFormat/>
    <w:rPr>
      <w:sz w:val="21"/>
      <w:szCs w:val="24"/>
    </w:rPr>
  </w:style>
  <w:style w:type="paragraph" w:styleId="1110" w:customStyle="1">
    <w:name w:val="正文首行缩进 21"/>
    <w:basedOn w:val="886"/>
    <w:next w:val="1111"/>
    <w:uiPriority w:val="99"/>
    <w:unhideWhenUsed/>
    <w:qFormat/>
    <w:pPr>
      <w:ind w:firstLine="420"/>
    </w:pPr>
  </w:style>
  <w:style w:type="paragraph" w:styleId="1111" w:customStyle="1">
    <w:name w:val="正文11"/>
    <w:next w:val="111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12" w:customStyle="1">
    <w:name w:val="网格型1"/>
    <w:basedOn w:val="1063"/>
    <w:uiPriority w:val="0"/>
    <w:unhideWhenUsed/>
    <w:qFormat/>
    <w:pPr>
      <w:jc w:val="both"/>
      <w:widowControl w:val="off"/>
    </w:pPr>
    <w:tblPr/>
  </w:style>
  <w:style w:type="character" w:styleId="1113" w:customStyle="1">
    <w:name w:val="要点1"/>
    <w:uiPriority w:val="0"/>
    <w:qFormat/>
    <w:rPr>
      <w:b/>
      <w:bCs/>
    </w:rPr>
  </w:style>
  <w:style w:type="character" w:styleId="1114" w:customStyle="1">
    <w:name w:val="页码1"/>
    <w:uiPriority w:val="0"/>
    <w:unhideWhenUsed/>
    <w:qFormat/>
  </w:style>
  <w:style w:type="character" w:styleId="1115" w:customStyle="1">
    <w:name w:val="访问过的超链接1"/>
    <w:uiPriority w:val="0"/>
    <w:qFormat/>
    <w:rPr>
      <w:rFonts w:ascii="微软雅黑" w:hAnsi="微软雅黑" w:eastAsia="微软雅黑" w:cs="微软雅黑"/>
      <w:color w:val="3d3d3d"/>
      <w:u w:val="none"/>
    </w:rPr>
  </w:style>
  <w:style w:type="character" w:styleId="1116" w:customStyle="1">
    <w:name w:val="超链接1"/>
    <w:uiPriority w:val="99"/>
    <w:unhideWhenUsed/>
    <w:qFormat/>
    <w:rPr>
      <w:rFonts w:hint="eastAsia" w:ascii="微软雅黑" w:hAnsi="微软雅黑" w:eastAsia="微软雅黑" w:cs="微软雅黑"/>
      <w:color w:val="3d3d3d"/>
      <w:u w:val="none"/>
    </w:rPr>
  </w:style>
  <w:style w:type="character" w:styleId="1117" w:customStyle="1">
    <w:name w:val="批注引用1"/>
    <w:uiPriority w:val="0"/>
    <w:qFormat/>
    <w:rPr>
      <w:sz w:val="21"/>
      <w:szCs w:val="21"/>
    </w:rPr>
  </w:style>
  <w:style w:type="character" w:styleId="1118" w:customStyle="1">
    <w:name w:val="font11"/>
    <w:uiPriority w:val="0"/>
    <w:qFormat/>
    <w:rPr>
      <w:rFonts w:hint="eastAsia" w:ascii="宋体" w:hAnsi="宋体" w:eastAsia="宋体" w:cs="宋体"/>
      <w:color w:val="000000"/>
      <w:sz w:val="20"/>
      <w:szCs w:val="20"/>
      <w:u w:val="none"/>
    </w:rPr>
  </w:style>
  <w:style w:type="character" w:styleId="1119" w:customStyle="1">
    <w:name w:val="z-窗体底端 Char"/>
    <w:link w:val="1120"/>
    <w:uiPriority w:val="0"/>
    <w:qFormat/>
    <w:rPr>
      <w:rFonts w:ascii="Arial" w:hAnsi="Arial" w:cs="Arial"/>
      <w:vanish/>
      <w:sz w:val="16"/>
      <w:szCs w:val="16"/>
    </w:rPr>
  </w:style>
  <w:style w:type="paragraph" w:styleId="1120" w:customStyle="1">
    <w:name w:val="z-窗体底端1"/>
    <w:basedOn w:val="806"/>
    <w:next w:val="806"/>
    <w:link w:val="1119"/>
    <w:uiPriority w:val="0"/>
    <w:unhideWhenUsed/>
    <w:qFormat/>
    <w:pPr>
      <w:jc w:val="center"/>
      <w:pBdr>
        <w:top w:val="single" w:color="000000" w:sz="6" w:space="1"/>
      </w:pBdr>
    </w:pPr>
    <w:rPr>
      <w:rFonts w:ascii="Arial" w:hAnsi="Arial" w:eastAsia="宋体" w:cs="Arial"/>
      <w:vanish/>
      <w:sz w:val="16"/>
      <w:szCs w:val="16"/>
    </w:rPr>
  </w:style>
  <w:style w:type="character" w:styleId="1121" w:customStyle="1">
    <w:name w:val="Char Char Char"/>
    <w:uiPriority w:val="0"/>
    <w:qFormat/>
    <w:rPr>
      <w:rFonts w:hint="eastAsia" w:ascii="黑体" w:hAnsi="黑体" w:eastAsia="黑体"/>
      <w:bCs/>
      <w:sz w:val="28"/>
      <w:szCs w:val="32"/>
      <w:lang w:val="en-US" w:eastAsia="zh-CN" w:bidi="ar-SA"/>
    </w:rPr>
  </w:style>
  <w:style w:type="character" w:styleId="1122" w:customStyle="1">
    <w:name w:val="尾注文本 Char1"/>
    <w:uiPriority w:val="99"/>
    <w:semiHidden/>
    <w:qFormat/>
    <w:rPr>
      <w:rFonts w:eastAsia="楷体_GB2312"/>
      <w:sz w:val="26"/>
    </w:rPr>
  </w:style>
  <w:style w:type="character" w:styleId="1123" w:customStyle="1">
    <w:name w:val="font01"/>
    <w:uiPriority w:val="0"/>
    <w:qFormat/>
    <w:rPr>
      <w:rFonts w:ascii="Calibri" w:hAnsi="Calibri" w:cs="Calibri"/>
      <w:color w:val="000000"/>
      <w:sz w:val="20"/>
      <w:szCs w:val="20"/>
      <w:u w:val="none"/>
    </w:rPr>
  </w:style>
  <w:style w:type="character" w:styleId="1124" w:customStyle="1">
    <w:name w:val="纯文本 Char Char"/>
    <w:uiPriority w:val="0"/>
    <w:qFormat/>
    <w:rPr>
      <w:rFonts w:ascii="宋体" w:hAnsi="Courier New" w:eastAsia="宋体" w:cs="Courier New"/>
      <w:sz w:val="21"/>
      <w:szCs w:val="21"/>
      <w:lang w:val="en-US" w:eastAsia="zh-CN" w:bidi="ar-SA"/>
    </w:rPr>
  </w:style>
  <w:style w:type="character" w:styleId="1125" w:customStyle="1">
    <w:name w:val="Plain Text Char Char"/>
    <w:link w:val="1126"/>
    <w:uiPriority w:val="0"/>
    <w:qFormat/>
    <w:rPr>
      <w:rFonts w:ascii="宋体" w:hAnsi="Courier New" w:eastAsia="楷体_GB2312"/>
      <w:sz w:val="26"/>
      <w:lang w:val="en-US" w:eastAsia="zh-CN" w:bidi="ar-SA"/>
    </w:rPr>
  </w:style>
  <w:style w:type="paragraph" w:styleId="1126" w:customStyle="1">
    <w:name w:val="纯文本1"/>
    <w:basedOn w:val="806"/>
    <w:link w:val="1125"/>
    <w:uiPriority w:val="0"/>
    <w:qFormat/>
    <w:rPr>
      <w:rFonts w:ascii="宋体" w:hAnsi="Courier New"/>
    </w:rPr>
  </w:style>
  <w:style w:type="character" w:styleId="1127" w:customStyle="1">
    <w:name w:val="样式 粉红"/>
    <w:uiPriority w:val="0"/>
    <w:qFormat/>
    <w:rPr>
      <w:color w:val="000000"/>
      <w:u w:val="none"/>
    </w:rPr>
  </w:style>
  <w:style w:type="character" w:styleId="1128" w:customStyle="1">
    <w:name w:val="Char Char5"/>
    <w:uiPriority w:val="0"/>
    <w:qFormat/>
    <w:rPr>
      <w:rFonts w:hint="eastAsia" w:ascii="黑体" w:hAnsi="黑体" w:eastAsia="黑体"/>
      <w:b/>
      <w:bCs/>
      <w:sz w:val="72"/>
      <w:szCs w:val="44"/>
      <w:lang w:val="en-US" w:eastAsia="zh-CN" w:bidi="ar-SA"/>
    </w:rPr>
  </w:style>
  <w:style w:type="character" w:styleId="1129" w:customStyle="1">
    <w:name w:val="文档结构图 Char1"/>
    <w:uiPriority w:val="99"/>
    <w:semiHidden/>
    <w:qFormat/>
    <w:rPr>
      <w:rFonts w:ascii="宋体"/>
      <w:sz w:val="18"/>
      <w:szCs w:val="18"/>
    </w:rPr>
  </w:style>
  <w:style w:type="character" w:styleId="1130" w:customStyle="1">
    <w:name w:val="font112"/>
    <w:uiPriority w:val="0"/>
    <w:qFormat/>
    <w:rPr>
      <w:rFonts w:hint="eastAsia" w:ascii="宋体" w:hAnsi="宋体" w:eastAsia="宋体" w:cs="宋体"/>
      <w:color w:val="000000"/>
      <w:sz w:val="20"/>
      <w:szCs w:val="20"/>
      <w:u w:val="none"/>
    </w:rPr>
  </w:style>
  <w:style w:type="character" w:styleId="1131" w:customStyle="1">
    <w:name w:val="Char Char1"/>
    <w:uiPriority w:val="0"/>
    <w:qFormat/>
    <w:rPr>
      <w:rFonts w:ascii="Arial" w:hAnsi="Arial" w:eastAsia="黑体"/>
      <w:b/>
      <w:bCs/>
      <w:sz w:val="32"/>
      <w:szCs w:val="32"/>
      <w:lang w:val="en-US" w:eastAsia="zh-CN" w:bidi="ar-SA"/>
    </w:rPr>
  </w:style>
  <w:style w:type="character" w:styleId="1132" w:customStyle="1">
    <w:name w:val="z-窗体顶端 Char1"/>
    <w:link w:val="1133"/>
    <w:uiPriority w:val="0"/>
    <w:qFormat/>
    <w:rPr>
      <w:rFonts w:ascii="Arial" w:hAnsi="Arial" w:cs="Arial"/>
      <w:vanish/>
      <w:sz w:val="16"/>
      <w:szCs w:val="16"/>
    </w:rPr>
  </w:style>
  <w:style w:type="paragraph" w:styleId="1133" w:customStyle="1">
    <w:name w:val="z-窗体顶端1"/>
    <w:basedOn w:val="806"/>
    <w:next w:val="806"/>
    <w:link w:val="1132"/>
    <w:uiPriority w:val="0"/>
    <w:qFormat/>
    <w:pPr>
      <w:jc w:val="center"/>
      <w:pBdr>
        <w:bottom w:val="single" w:color="000000" w:sz="6" w:space="1"/>
      </w:pBdr>
    </w:pPr>
    <w:rPr>
      <w:rFonts w:ascii="Arial" w:hAnsi="Arial" w:eastAsia="宋体" w:cs="Arial"/>
      <w:vanish/>
      <w:sz w:val="16"/>
      <w:szCs w:val="16"/>
    </w:rPr>
  </w:style>
  <w:style w:type="character" w:styleId="1134" w:customStyle="1">
    <w:name w:val="grame"/>
    <w:uiPriority w:val="0"/>
    <w:qFormat/>
  </w:style>
  <w:style w:type="character" w:styleId="1135" w:customStyle="1">
    <w:name w:val="Heading #1|1_"/>
    <w:link w:val="1136"/>
    <w:uiPriority w:val="0"/>
    <w:qFormat/>
    <w:rPr>
      <w:rFonts w:ascii="宋体" w:hAnsi="宋体" w:eastAsia="宋体" w:cs="宋体"/>
      <w:color w:val="fc5c77"/>
      <w:sz w:val="138"/>
      <w:szCs w:val="138"/>
      <w:lang w:val="zh-TW" w:eastAsia="zh-TW" w:bidi="zh-TW"/>
    </w:rPr>
  </w:style>
  <w:style w:type="paragraph" w:styleId="1136" w:customStyle="1">
    <w:name w:val="Heading #1|1"/>
    <w:basedOn w:val="806"/>
    <w:link w:val="113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37" w:customStyle="1">
    <w:name w:val="font21"/>
    <w:uiPriority w:val="0"/>
    <w:qFormat/>
    <w:rPr>
      <w:rFonts w:hint="eastAsia" w:ascii="宋体" w:hAnsi="宋体" w:eastAsia="宋体" w:cs="宋体"/>
      <w:color w:val="000000"/>
      <w:sz w:val="20"/>
      <w:szCs w:val="20"/>
      <w:u w:val="none"/>
    </w:rPr>
  </w:style>
  <w:style w:type="character" w:styleId="1138" w:customStyle="1">
    <w:name w:val="z-窗体顶端 Char"/>
    <w:link w:val="1139"/>
    <w:uiPriority w:val="0"/>
    <w:qFormat/>
    <w:rPr>
      <w:rFonts w:ascii="Arial" w:hAnsi="Arial" w:cs="Arial"/>
      <w:vanish/>
      <w:sz w:val="16"/>
      <w:szCs w:val="16"/>
    </w:rPr>
  </w:style>
  <w:style w:type="paragraph" w:styleId="1139" w:customStyle="1">
    <w:name w:val="z-窗体顶端11"/>
    <w:basedOn w:val="806"/>
    <w:next w:val="806"/>
    <w:link w:val="1138"/>
    <w:uiPriority w:val="0"/>
    <w:unhideWhenUsed/>
    <w:qFormat/>
    <w:pPr>
      <w:jc w:val="center"/>
      <w:pBdr>
        <w:bottom w:val="single" w:color="000000" w:sz="6" w:space="1"/>
      </w:pBdr>
    </w:pPr>
    <w:rPr>
      <w:rFonts w:ascii="Arial" w:hAnsi="Arial" w:eastAsia="宋体" w:cs="Arial"/>
      <w:vanish/>
      <w:sz w:val="16"/>
      <w:szCs w:val="16"/>
    </w:rPr>
  </w:style>
  <w:style w:type="character" w:styleId="1140" w:customStyle="1">
    <w:name w:val="标题 Char1"/>
    <w:uiPriority w:val="10"/>
    <w:qFormat/>
    <w:rPr>
      <w:rFonts w:ascii="Cambria" w:hAnsi="Cambria" w:cs="Times New Roman"/>
      <w:b/>
      <w:bCs/>
      <w:sz w:val="32"/>
      <w:szCs w:val="32"/>
    </w:rPr>
  </w:style>
  <w:style w:type="character" w:styleId="1141" w:customStyle="1">
    <w:name w:val="Char Char3"/>
    <w:uiPriority w:val="0"/>
    <w:qFormat/>
    <w:rPr>
      <w:b/>
      <w:bCs/>
      <w:sz w:val="32"/>
      <w:szCs w:val="32"/>
    </w:rPr>
  </w:style>
  <w:style w:type="character" w:styleId="1142" w:customStyle="1">
    <w:name w:val="Blockquote Char Char"/>
    <w:link w:val="1143"/>
    <w:uiPriority w:val="0"/>
    <w:qFormat/>
    <w:rPr>
      <w:rFonts w:cs="宋体"/>
      <w:sz w:val="24"/>
      <w:szCs w:val="24"/>
    </w:rPr>
  </w:style>
  <w:style w:type="paragraph" w:styleId="1143" w:customStyle="1">
    <w:name w:val="Blockquote"/>
    <w:basedOn w:val="806"/>
    <w:link w:val="1142"/>
    <w:uiPriority w:val="0"/>
    <w:qFormat/>
    <w:pPr>
      <w:ind w:left="360" w:right="360"/>
      <w:jc w:val="left"/>
      <w:spacing w:before="100" w:after="100"/>
    </w:pPr>
    <w:rPr>
      <w:rFonts w:eastAsia="宋体" w:cs="宋体"/>
      <w:sz w:val="24"/>
      <w:szCs w:val="24"/>
    </w:rPr>
  </w:style>
  <w:style w:type="character" w:styleId="1144" w:customStyle="1">
    <w:name w:val="Char Char4"/>
    <w:uiPriority w:val="0"/>
    <w:qFormat/>
    <w:rPr>
      <w:rFonts w:ascii="Arial" w:hAnsi="Arial" w:eastAsia="黑体" w:cs="Arial"/>
      <w:bCs/>
      <w:sz w:val="24"/>
      <w:szCs w:val="28"/>
      <w:lang w:val="en-US" w:eastAsia="zh-CN" w:bidi="ar-SA"/>
    </w:rPr>
  </w:style>
  <w:style w:type="character" w:styleId="1145" w:customStyle="1">
    <w:name w:val="Other|1_"/>
    <w:link w:val="1146"/>
    <w:uiPriority w:val="0"/>
    <w:qFormat/>
    <w:rPr>
      <w:rFonts w:ascii="宋体" w:hAnsi="宋体" w:eastAsia="宋体" w:cs="宋体"/>
      <w:color w:val="4e4a50"/>
      <w:lang w:val="zh-TW" w:eastAsia="zh-TW" w:bidi="zh-TW"/>
    </w:rPr>
  </w:style>
  <w:style w:type="paragraph" w:styleId="1146" w:customStyle="1">
    <w:name w:val="Other|1"/>
    <w:basedOn w:val="806"/>
    <w:link w:val="1145"/>
    <w:uiPriority w:val="0"/>
    <w:qFormat/>
    <w:pPr>
      <w:jc w:val="center"/>
      <w:spacing w:line="308" w:lineRule="exact"/>
    </w:pPr>
    <w:rPr>
      <w:rFonts w:ascii="宋体" w:hAnsi="宋体" w:eastAsia="宋体" w:cs="宋体"/>
      <w:color w:val="4e4a50"/>
      <w:sz w:val="20"/>
      <w:lang w:val="zh-TW" w:eastAsia="zh-TW" w:bidi="zh-TW"/>
    </w:rPr>
  </w:style>
  <w:style w:type="character" w:styleId="1147" w:customStyle="1">
    <w:name w:val="z-窗体底端 Char2"/>
    <w:uiPriority w:val="99"/>
    <w:semiHidden/>
    <w:qFormat/>
    <w:rPr>
      <w:rFonts w:ascii="Arial" w:hAnsi="Arial" w:eastAsia="楷体_GB2312" w:cs="Arial"/>
      <w:vanish/>
      <w:sz w:val="16"/>
      <w:szCs w:val="16"/>
    </w:rPr>
  </w:style>
  <w:style w:type="character" w:styleId="1148" w:customStyle="1">
    <w:name w:val="font61"/>
    <w:uiPriority w:val="0"/>
    <w:qFormat/>
    <w:rPr>
      <w:rFonts w:ascii="Calibri" w:hAnsi="Calibri" w:cs="Calibri"/>
      <w:color w:val="000000"/>
      <w:sz w:val="20"/>
      <w:szCs w:val="20"/>
      <w:u w:val="none"/>
    </w:rPr>
  </w:style>
  <w:style w:type="character" w:styleId="1149" w:customStyle="1">
    <w:name w:val="Body text|3_"/>
    <w:link w:val="1150"/>
    <w:uiPriority w:val="0"/>
    <w:qFormat/>
    <w:rPr>
      <w:color w:val="5c575b"/>
      <w:sz w:val="26"/>
      <w:szCs w:val="26"/>
      <w:lang w:val="zh-TW" w:eastAsia="zh-TW" w:bidi="zh-TW"/>
    </w:rPr>
  </w:style>
  <w:style w:type="paragraph" w:styleId="1150" w:customStyle="1">
    <w:name w:val="Body text|3"/>
    <w:basedOn w:val="806"/>
    <w:link w:val="1149"/>
    <w:uiPriority w:val="0"/>
    <w:qFormat/>
    <w:pPr>
      <w:jc w:val="left"/>
    </w:pPr>
    <w:rPr>
      <w:rFonts w:eastAsia="宋体"/>
      <w:color w:val="5c575b"/>
      <w:szCs w:val="26"/>
      <w:lang w:val="zh-TW" w:eastAsia="zh-TW" w:bidi="zh-TW"/>
    </w:rPr>
  </w:style>
  <w:style w:type="character" w:styleId="1151" w:customStyle="1">
    <w:name w:val="Char Char2"/>
    <w:uiPriority w:val="0"/>
    <w:qFormat/>
    <w:rPr>
      <w:rFonts w:ascii="Arial" w:hAnsi="Arial" w:eastAsia="黑体" w:cs="Arial"/>
      <w:b/>
      <w:bCs/>
      <w:sz w:val="32"/>
      <w:szCs w:val="32"/>
      <w:lang w:val="en-US" w:eastAsia="zh-CN" w:bidi="ar-SA"/>
    </w:rPr>
  </w:style>
  <w:style w:type="character" w:styleId="1152" w:customStyle="1">
    <w:name w:val="z-窗体顶端 Char2"/>
    <w:uiPriority w:val="99"/>
    <w:semiHidden/>
    <w:qFormat/>
    <w:rPr>
      <w:rFonts w:ascii="Arial" w:hAnsi="Arial" w:eastAsia="楷体_GB2312" w:cs="Arial"/>
      <w:vanish/>
      <w:sz w:val="16"/>
      <w:szCs w:val="16"/>
    </w:rPr>
  </w:style>
  <w:style w:type="character" w:styleId="1153" w:customStyle="1">
    <w:name w:val="Header or footer|2_"/>
    <w:link w:val="1154"/>
    <w:uiPriority w:val="0"/>
    <w:qFormat/>
    <w:rPr>
      <w:lang w:val="zh-TW" w:eastAsia="zh-TW" w:bidi="zh-TW"/>
    </w:rPr>
  </w:style>
  <w:style w:type="paragraph" w:styleId="1154" w:customStyle="1">
    <w:name w:val="Header or footer|2"/>
    <w:basedOn w:val="806"/>
    <w:link w:val="1153"/>
    <w:uiPriority w:val="0"/>
    <w:qFormat/>
    <w:pPr>
      <w:jc w:val="left"/>
    </w:pPr>
    <w:rPr>
      <w:rFonts w:eastAsia="宋体"/>
      <w:sz w:val="20"/>
      <w:lang w:val="zh-TW" w:eastAsia="zh-TW" w:bidi="zh-TW"/>
    </w:rPr>
  </w:style>
  <w:style w:type="character" w:styleId="1155" w:customStyle="1">
    <w:name w:val="正文首行缩进 Char1"/>
    <w:uiPriority w:val="0"/>
    <w:qFormat/>
  </w:style>
  <w:style w:type="character" w:styleId="1156" w:customStyle="1">
    <w:name w:val="Body text|1_"/>
    <w:link w:val="1157"/>
    <w:uiPriority w:val="0"/>
    <w:qFormat/>
    <w:rPr>
      <w:rFonts w:ascii="宋体" w:hAnsi="宋体" w:eastAsia="宋体" w:cs="宋体"/>
      <w:color w:val="4e4a50"/>
      <w:sz w:val="26"/>
      <w:szCs w:val="26"/>
      <w:lang w:val="zh-TW" w:eastAsia="zh-TW" w:bidi="zh-TW"/>
    </w:rPr>
  </w:style>
  <w:style w:type="paragraph" w:styleId="1157" w:customStyle="1">
    <w:name w:val="Body text|1"/>
    <w:basedOn w:val="806"/>
    <w:link w:val="115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58" w:customStyle="1">
    <w:name w:val="Picture caption|1_"/>
    <w:link w:val="1159"/>
    <w:uiPriority w:val="0"/>
    <w:qFormat/>
    <w:rPr>
      <w:rFonts w:ascii="宋体" w:hAnsi="宋体" w:eastAsia="宋体" w:cs="宋体"/>
      <w:color w:val="4e4a50"/>
      <w:sz w:val="26"/>
      <w:szCs w:val="26"/>
      <w:lang w:val="zh-TW" w:eastAsia="zh-TW" w:bidi="zh-TW"/>
    </w:rPr>
  </w:style>
  <w:style w:type="paragraph" w:styleId="1159" w:customStyle="1">
    <w:name w:val="Picture caption|1"/>
    <w:basedOn w:val="806"/>
    <w:link w:val="1158"/>
    <w:uiPriority w:val="0"/>
    <w:qFormat/>
    <w:pPr>
      <w:jc w:val="left"/>
    </w:pPr>
    <w:rPr>
      <w:rFonts w:ascii="宋体" w:hAnsi="宋体" w:eastAsia="宋体" w:cs="宋体"/>
      <w:color w:val="4e4a50"/>
      <w:szCs w:val="26"/>
      <w:lang w:val="zh-TW" w:eastAsia="zh-TW" w:bidi="zh-TW"/>
    </w:rPr>
  </w:style>
  <w:style w:type="character" w:styleId="1160" w:customStyle="1">
    <w:name w:val="Char Char"/>
    <w:uiPriority w:val="0"/>
    <w:qFormat/>
    <w:rPr>
      <w:rFonts w:eastAsia="黑体"/>
      <w:bCs/>
      <w:sz w:val="28"/>
      <w:szCs w:val="32"/>
      <w:lang w:val="en-US" w:eastAsia="zh-CN" w:bidi="ar-SA"/>
    </w:rPr>
  </w:style>
  <w:style w:type="character" w:styleId="1161" w:customStyle="1">
    <w:name w:val="Heading #2|1_"/>
    <w:link w:val="1162"/>
    <w:uiPriority w:val="0"/>
    <w:qFormat/>
    <w:rPr>
      <w:rFonts w:ascii="宋体" w:hAnsi="宋体" w:eastAsia="宋体" w:cs="宋体"/>
      <w:color w:val="4e4a50"/>
      <w:sz w:val="40"/>
      <w:szCs w:val="40"/>
      <w:lang w:val="zh-TW" w:eastAsia="zh-TW" w:bidi="zh-TW"/>
    </w:rPr>
  </w:style>
  <w:style w:type="paragraph" w:styleId="1162" w:customStyle="1">
    <w:name w:val="Heading #2|1"/>
    <w:basedOn w:val="806"/>
    <w:link w:val="116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63" w:customStyle="1">
    <w:name w:val="font51"/>
    <w:uiPriority w:val="0"/>
    <w:qFormat/>
    <w:rPr>
      <w:rFonts w:hint="eastAsia" w:ascii="宋体" w:hAnsi="宋体" w:eastAsia="宋体" w:cs="宋体"/>
      <w:color w:val="000000"/>
      <w:sz w:val="20"/>
      <w:szCs w:val="20"/>
      <w:u w:val="none"/>
    </w:rPr>
  </w:style>
  <w:style w:type="character" w:styleId="1164" w:customStyle="1">
    <w:name w:val="z-窗体底端 Char1"/>
    <w:link w:val="1165"/>
    <w:uiPriority w:val="0"/>
    <w:qFormat/>
    <w:rPr>
      <w:rFonts w:ascii="Arial" w:hAnsi="Arial" w:cs="Arial"/>
      <w:vanish/>
      <w:sz w:val="16"/>
      <w:szCs w:val="16"/>
    </w:rPr>
  </w:style>
  <w:style w:type="paragraph" w:styleId="1165" w:customStyle="1">
    <w:name w:val="z-窗体底端2"/>
    <w:basedOn w:val="806"/>
    <w:next w:val="806"/>
    <w:link w:val="1164"/>
    <w:uiPriority w:val="0"/>
    <w:qFormat/>
    <w:pPr>
      <w:jc w:val="center"/>
      <w:pBdr>
        <w:top w:val="single" w:color="000000" w:sz="6" w:space="1"/>
      </w:pBdr>
    </w:pPr>
    <w:rPr>
      <w:rFonts w:ascii="Arial" w:hAnsi="Arial" w:eastAsia="宋体" w:cs="Arial"/>
      <w:vanish/>
      <w:sz w:val="16"/>
      <w:szCs w:val="16"/>
    </w:rPr>
  </w:style>
  <w:style w:type="paragraph" w:styleId="1166" w:customStyle="1">
    <w:name w:val="样式 标题 2 + Times New Roman 四号 非加粗 段前: 5 磅 段后: 0 磅 行距: 固定值 20..."/>
    <w:basedOn w:val="1058"/>
    <w:uiPriority w:val="0"/>
    <w:qFormat/>
    <w:pPr>
      <w:jc w:val="center"/>
      <w:spacing w:before="100" w:after="0" w:line="400" w:lineRule="exact"/>
    </w:pPr>
    <w:rPr>
      <w:rFonts w:ascii="Times New Roman" w:hAnsi="Times New Roman" w:cs="宋体"/>
      <w:b w:val="0"/>
      <w:bCs w:val="0"/>
      <w:sz w:val="28"/>
      <w:szCs w:val="20"/>
    </w:rPr>
  </w:style>
  <w:style w:type="paragraph" w:styleId="1167" w:customStyle="1">
    <w:name w:val="正文首行缩进两字符"/>
    <w:basedOn w:val="806"/>
    <w:uiPriority w:val="0"/>
    <w:qFormat/>
    <w:pPr>
      <w:ind w:firstLine="200"/>
      <w:spacing w:line="360" w:lineRule="auto"/>
    </w:pPr>
    <w:rPr>
      <w:rFonts w:eastAsia="宋体"/>
      <w:sz w:val="21"/>
      <w:szCs w:val="24"/>
    </w:rPr>
  </w:style>
  <w:style w:type="paragraph" w:styleId="1168" w:customStyle="1">
    <w:name w:val="red"/>
    <w:basedOn w:val="806"/>
    <w:uiPriority w:val="0"/>
    <w:qFormat/>
    <w:pPr>
      <w:jc w:val="left"/>
      <w:spacing w:before="100" w:beforeAutospacing="1" w:after="100" w:afterAutospacing="1"/>
      <w:widowControl/>
    </w:pPr>
    <w:rPr>
      <w:rFonts w:ascii="宋体" w:hAnsi="宋体" w:eastAsia="宋体" w:cs="宋体"/>
      <w:sz w:val="21"/>
      <w:szCs w:val="21"/>
    </w:rPr>
  </w:style>
  <w:style w:type="paragraph" w:styleId="1169" w:customStyle="1">
    <w:name w:val="z-窗体底端3"/>
    <w:basedOn w:val="806"/>
    <w:next w:val="806"/>
    <w:uiPriority w:val="0"/>
    <w:unhideWhenUsed/>
    <w:qFormat/>
    <w:pPr>
      <w:jc w:val="center"/>
      <w:pBdr>
        <w:top w:val="single" w:color="000000" w:sz="6" w:space="1"/>
      </w:pBdr>
    </w:pPr>
    <w:rPr>
      <w:rFonts w:ascii="Arial" w:hAnsi="Arial" w:eastAsia="宋体" w:cs="Arial"/>
      <w:vanish/>
      <w:sz w:val="16"/>
      <w:szCs w:val="16"/>
    </w:rPr>
  </w:style>
  <w:style w:type="paragraph" w:styleId="1170" w:customStyle="1">
    <w:name w:val="_Style 4"/>
    <w:basedOn w:val="806"/>
    <w:next w:val="806"/>
    <w:uiPriority w:val="0"/>
    <w:qFormat/>
    <w:pPr>
      <w:ind w:firstLine="420"/>
    </w:pPr>
    <w:rPr>
      <w:rFonts w:ascii="Calibri" w:hAnsi="Calibri" w:eastAsia="宋体"/>
      <w:sz w:val="21"/>
      <w:szCs w:val="22"/>
    </w:rPr>
  </w:style>
  <w:style w:type="paragraph" w:styleId="117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默认段落字体 Para Char Char Char Char Char Char Char"/>
    <w:basedOn w:val="806"/>
    <w:uiPriority w:val="0"/>
    <w:qFormat/>
    <w:rPr>
      <w:rFonts w:ascii="Tahoma" w:hAnsi="Tahoma" w:eastAsia="宋体"/>
      <w:sz w:val="24"/>
    </w:rPr>
  </w:style>
  <w:style w:type="paragraph" w:styleId="1174" w:customStyle="1">
    <w:name w:val="Char"/>
    <w:basedOn w:val="806"/>
    <w:uiPriority w:val="0"/>
    <w:qFormat/>
    <w:rPr>
      <w:rFonts w:ascii="Tahoma" w:hAnsi="Tahoma" w:eastAsia="宋体"/>
      <w:sz w:val="24"/>
    </w:rPr>
  </w:style>
  <w:style w:type="paragraph" w:styleId="1175" w:customStyle="1">
    <w:name w:val="样式1"/>
    <w:basedOn w:val="1060"/>
    <w:uiPriority w:val="0"/>
    <w:qFormat/>
    <w:pPr>
      <w:jc w:val="left"/>
      <w:spacing w:before="0" w:after="0" w:line="240" w:lineRule="auto"/>
    </w:pPr>
    <w:rPr>
      <w:rFonts w:ascii="黑体" w:hAnsi="宋体" w:eastAsia="黑体" w:cs="黑体"/>
      <w:b w:val="0"/>
      <w:color w:val="000000"/>
      <w:sz w:val="21"/>
    </w:rPr>
  </w:style>
  <w:style w:type="paragraph" w:styleId="1176"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177" w:customStyle="1">
    <w:name w:val="列出段落"/>
    <w:basedOn w:val="806"/>
    <w:uiPriority w:val="0"/>
    <w:qFormat/>
    <w:pPr>
      <w:ind w:firstLine="420"/>
    </w:pPr>
  </w:style>
  <w:style w:type="paragraph" w:styleId="1178" w:customStyle="1">
    <w:name w:val="样式 样式 宋体 + 首行缩进:  1 字符"/>
    <w:basedOn w:val="1179"/>
    <w:uiPriority w:val="0"/>
    <w:qFormat/>
    <w:pPr>
      <w:spacing w:line="240" w:lineRule="auto"/>
    </w:pPr>
  </w:style>
  <w:style w:type="paragraph" w:styleId="1179" w:customStyle="1">
    <w:name w:val="样式 宋体"/>
    <w:basedOn w:val="806"/>
    <w:uiPriority w:val="0"/>
    <w:qFormat/>
    <w:pPr>
      <w:ind w:firstLine="100"/>
      <w:spacing w:line="360" w:lineRule="auto"/>
    </w:pPr>
    <w:rPr>
      <w:rFonts w:ascii="宋体" w:hAnsi="宋体" w:eastAsia="宋体" w:cs="宋体"/>
      <w:sz w:val="21"/>
    </w:rPr>
  </w:style>
  <w:style w:type="paragraph" w:styleId="1180" w:customStyle="1">
    <w:name w:val="正文1"/>
    <w:basedOn w:val="80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81" w:customStyle="1">
    <w:name w:val="正文 + 黑体"/>
    <w:basedOn w:val="806"/>
    <w:uiPriority w:val="0"/>
    <w:qFormat/>
    <w:pPr>
      <w:jc w:val="left"/>
    </w:pPr>
    <w:rPr>
      <w:rFonts w:ascii="黑体" w:hAnsi="宋体" w:eastAsia="黑体" w:cs="TimesNewRomanPSMT"/>
      <w:sz w:val="24"/>
      <w:szCs w:val="24"/>
    </w:rPr>
  </w:style>
  <w:style w:type="paragraph" w:styleId="1182" w:customStyle="1">
    <w:name w:val="1"/>
    <w:basedOn w:val="806"/>
    <w:uiPriority w:val="0"/>
    <w:qFormat/>
    <w:rPr>
      <w:rFonts w:eastAsia="宋体"/>
      <w:sz w:val="21"/>
      <w:szCs w:val="24"/>
    </w:rPr>
  </w:style>
  <w:style w:type="paragraph" w:styleId="1183" w:customStyle="1">
    <w:name w:val="[基本段落]"/>
    <w:basedOn w:val="806"/>
    <w:uiPriority w:val="99"/>
    <w:qFormat/>
    <w:pPr>
      <w:jc w:val="left"/>
      <w:spacing w:line="288" w:lineRule="auto"/>
    </w:pPr>
    <w:rPr>
      <w:rFonts w:ascii="Myriad Roman" w:hAnsi="Myriad Roman" w:cs="Myriad Roman"/>
      <w:color w:val="000000"/>
      <w:sz w:val="24"/>
    </w:rPr>
  </w:style>
  <w:style w:type="paragraph" w:styleId="1184" w:customStyle="1">
    <w:name w:val="纯文本4"/>
    <w:basedOn w:val="806"/>
    <w:uiPriority w:val="0"/>
    <w:qFormat/>
    <w:rPr>
      <w:rFonts w:ascii="宋体" w:hAnsi="Courier New" w:eastAsia="宋体"/>
      <w:sz w:val="28"/>
      <w:szCs w:val="24"/>
    </w:rPr>
  </w:style>
  <w:style w:type="paragraph" w:styleId="1185" w:customStyle="1">
    <w:name w:val="Address"/>
    <w:basedOn w:val="806"/>
    <w:uiPriority w:val="0"/>
    <w:qFormat/>
    <w:pPr>
      <w:jc w:val="left"/>
      <w:spacing w:line="249" w:lineRule="auto"/>
      <w:widowControl/>
    </w:pPr>
    <w:rPr>
      <w:rFonts w:ascii="Centaur" w:hAnsi="Centaur"/>
      <w:sz w:val="20"/>
      <w:lang w:eastAsia="en-US"/>
    </w:rPr>
  </w:style>
  <w:style w:type="paragraph" w:styleId="1186" w:customStyle="1">
    <w:name w:val="金安桥正文"/>
    <w:basedOn w:val="886"/>
    <w:uiPriority w:val="0"/>
    <w:qFormat/>
    <w:pPr>
      <w:ind w:firstLine="200"/>
      <w:jc w:val="left"/>
      <w:spacing w:line="300" w:lineRule="auto"/>
    </w:pPr>
    <w:rPr>
      <w:rFonts w:ascii="Times New Roman"/>
      <w:sz w:val="24"/>
    </w:rPr>
  </w:style>
  <w:style w:type="paragraph" w:styleId="1187" w:customStyle="1">
    <w:name w:val="普通正文"/>
    <w:basedOn w:val="806"/>
    <w:uiPriority w:val="0"/>
    <w:qFormat/>
    <w:pPr>
      <w:ind w:firstLine="480"/>
      <w:jc w:val="left"/>
      <w:spacing w:before="120" w:after="120" w:line="360" w:lineRule="auto"/>
    </w:pPr>
    <w:rPr>
      <w:rFonts w:ascii="Arial" w:hAnsi="Arial"/>
      <w:sz w:val="24"/>
    </w:rPr>
  </w:style>
  <w:style w:type="paragraph" w:styleId="1188" w:customStyle="1">
    <w:name w:val="纯文本11"/>
    <w:basedOn w:val="806"/>
    <w:uiPriority w:val="99"/>
    <w:qFormat/>
    <w:rPr>
      <w:rFonts w:ascii="宋体" w:hAnsi="Courier New"/>
    </w:rPr>
  </w:style>
  <w:style w:type="paragraph" w:styleId="1189" w:customStyle="1">
    <w:name w:val="WPS Plain"/>
    <w:uiPriority w:val="0"/>
    <w:qFormat/>
    <w:rPr>
      <w:rFonts w:hint="default" w:ascii="Times New Roman" w:hAnsi="Times New Roman" w:eastAsia="宋体" w:cs="Times New Roman"/>
      <w:lang w:val="en-US" w:eastAsia="zh-CN" w:bidi="ar-SA"/>
    </w:rPr>
  </w:style>
  <w:style w:type="paragraph" w:styleId="1190" w:customStyle="1">
    <w:name w:val="p0"/>
    <w:basedOn w:val="806"/>
    <w:uiPriority w:val="0"/>
    <w:qFormat/>
    <w:pPr>
      <w:widowControl/>
    </w:pPr>
    <w:rPr>
      <w:rFonts w:ascii="黑体" w:hAnsi="黑体"/>
      <w:szCs w:val="21"/>
    </w:rPr>
  </w:style>
  <w:style w:type="paragraph" w:styleId="1191" w:customStyle="1">
    <w:name w:val="首行缩进"/>
    <w:basedOn w:val="806"/>
    <w:uiPriority w:val="0"/>
    <w:qFormat/>
    <w:pPr>
      <w:ind w:firstLine="480"/>
      <w:spacing w:line="360" w:lineRule="auto"/>
    </w:pPr>
    <w:rPr>
      <w:rFonts w:hAnsi="宋体" w:eastAsia="宋体" w:cs="宋体"/>
      <w:sz w:val="24"/>
      <w:szCs w:val="24"/>
    </w:rPr>
  </w:style>
  <w:style w:type="paragraph" w:styleId="1192" w:customStyle="1">
    <w:name w:val="Char1"/>
    <w:basedOn w:val="806"/>
    <w:uiPriority w:val="0"/>
    <w:qFormat/>
    <w:pPr>
      <w:tabs>
        <w:tab w:val="left" w:pos="360" w:leader="none"/>
      </w:tabs>
    </w:pPr>
    <w:rPr>
      <w:rFonts w:eastAsia="宋体"/>
      <w:sz w:val="24"/>
      <w:szCs w:val="24"/>
    </w:rPr>
  </w:style>
  <w:style w:type="paragraph" w:styleId="1193" w:customStyle="1">
    <w:name w:val="z-窗体顶端2"/>
    <w:basedOn w:val="806"/>
    <w:next w:val="806"/>
    <w:uiPriority w:val="0"/>
    <w:unhideWhenUsed/>
    <w:qFormat/>
    <w:pPr>
      <w:jc w:val="center"/>
      <w:pBdr>
        <w:bottom w:val="single" w:color="000000" w:sz="6" w:space="1"/>
      </w:pBdr>
    </w:pPr>
    <w:rPr>
      <w:rFonts w:ascii="Arial" w:hAnsi="Arial" w:eastAsia="宋体" w:cs="Arial"/>
      <w:vanish/>
      <w:sz w:val="16"/>
      <w:szCs w:val="16"/>
    </w:rPr>
  </w:style>
  <w:style w:type="paragraph" w:styleId="1194" w:customStyle="1">
    <w:name w:val="样式 标题 3 + (中文) 黑体 小四 非加粗 段前: 7.8 磅 段后: 0 磅 行距: 固定值 20 磅"/>
    <w:basedOn w:val="1059"/>
    <w:next w:val="806"/>
    <w:uiPriority w:val="0"/>
    <w:qFormat/>
    <w:pPr>
      <w:spacing w:before="0" w:after="0" w:line="400" w:lineRule="exact"/>
    </w:pPr>
    <w:rPr>
      <w:rFonts w:eastAsia="宋体"/>
      <w:sz w:val="24"/>
      <w:szCs w:val="20"/>
    </w:rPr>
  </w:style>
  <w:style w:type="paragraph" w:styleId="1195"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196">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Char Char Char Char Char Char Char Char Char Char"/>
    <w:basedOn w:val="806"/>
    <w:uiPriority w:val="0"/>
    <w:qFormat/>
    <w:pPr>
      <w:ind w:hanging="425"/>
      <w:keepNext/>
      <w:spacing w:before="80" w:after="80"/>
      <w:widowControl/>
      <w:tabs>
        <w:tab w:val="left" w:pos="425" w:leader="none"/>
      </w:tabs>
    </w:pPr>
    <w:rPr>
      <w:rFonts w:eastAsia="宋体"/>
      <w:sz w:val="20"/>
    </w:rPr>
  </w:style>
  <w:style w:type="paragraph" w:styleId="1198" w:customStyle="1">
    <w:name w:val="Style1"/>
    <w:basedOn w:val="806"/>
    <w:uiPriority w:val="0"/>
    <w:qFormat/>
    <w:pPr>
      <w:spacing w:after="120"/>
      <w:widowControl/>
      <w:tabs>
        <w:tab w:val="left" w:pos="-720" w:leader="none"/>
      </w:tabs>
    </w:pPr>
    <w:rPr>
      <w:spacing w:val="-3"/>
      <w:sz w:val="24"/>
      <w:lang w:val="en-AU" w:eastAsia="en-US"/>
    </w:rPr>
  </w:style>
  <w:style w:type="paragraph" w:styleId="1199" w:customStyle="1">
    <w:name w:val="样式2"/>
    <w:basedOn w:val="806"/>
    <w:next w:val="1061"/>
    <w:uiPriority w:val="0"/>
    <w:qFormat/>
    <w:pPr>
      <w:jc w:val="center"/>
    </w:pPr>
    <w:rPr>
      <w:rFonts w:ascii="宋体" w:hAnsi="宋体" w:eastAsia="宋体" w:cs="Arial"/>
      <w:b/>
      <w:color w:val="000000"/>
      <w:sz w:val="21"/>
      <w:szCs w:val="21"/>
    </w:rPr>
  </w:style>
  <w:style w:type="paragraph" w:styleId="1200" w:customStyle="1">
    <w:name w:val="纯文本3"/>
    <w:basedOn w:val="806"/>
    <w:uiPriority w:val="0"/>
    <w:qFormat/>
    <w:rPr>
      <w:rFonts w:hint="eastAsia" w:ascii="宋体" w:hAnsi="Courier New"/>
      <w:sz w:val="28"/>
    </w:rPr>
  </w:style>
  <w:style w:type="paragraph" w:styleId="1201" w:customStyle="1">
    <w:name w:val="Table Paragraph"/>
    <w:basedOn w:val="806"/>
    <w:uiPriority w:val="1"/>
    <w:qFormat/>
  </w:style>
  <w:style w:type="table" w:styleId="1202" w:customStyle="1">
    <w:name w:val="Table Normal"/>
    <w:uiPriority w:val="2"/>
    <w:unhideWhenUsed/>
    <w:qFormat/>
    <w:tblPr>
      <w:tblCellMar>
        <w:left w:w="0" w:type="dxa"/>
        <w:top w:w="0" w:type="dxa"/>
        <w:right w:w="0" w:type="dxa"/>
        <w:bottom w:w="0" w:type="dxa"/>
      </w:tblCellMar>
    </w:tblPr>
  </w:style>
  <w:style w:type="paragraph" w:styleId="1203" w:customStyle="1">
    <w:name w:val="段"/>
    <w:next w:val="806"/>
    <w:uiPriority w:val="0"/>
    <w:qFormat/>
    <w:pPr>
      <w:ind w:firstLine="200"/>
      <w:jc w:val="both"/>
    </w:pPr>
    <w:rPr>
      <w:rFonts w:hint="default" w:ascii="宋体" w:hAnsi="Times New Roman" w:eastAsia="宋体" w:cs="Times New Roman"/>
      <w:sz w:val="21"/>
      <w:szCs w:val="22"/>
      <w:lang w:val="en-US" w:eastAsia="zh-CN" w:bidi="ar-SA"/>
    </w:rPr>
  </w:style>
  <w:style w:type="paragraph" w:styleId="1204" w:customStyle="1">
    <w:name w:val="纯文本111"/>
    <w:basedOn w:val="806"/>
    <w:uiPriority w:val="0"/>
    <w:qFormat/>
    <w:rPr>
      <w:rFonts w:ascii="宋体" w:hAnsi="Courier New"/>
    </w:rPr>
  </w:style>
  <w:style w:type="character" w:styleId="1205" w:customStyle="1">
    <w:name w:val="纯文本 字符"/>
    <w:basedOn w:val="816"/>
    <w:link w:val="830"/>
    <w:uiPriority w:val="0"/>
    <w:qFormat/>
    <w:rPr>
      <w:rFonts w:hint="eastAsia" w:ascii="宋体" w:hAnsi="Courier New" w:eastAsia="宋体" w:cs="Courier New"/>
      <w:sz w:val="26"/>
    </w:rPr>
  </w:style>
  <w:style w:type="character" w:styleId="1206" w:customStyle="1">
    <w:name w:val="未处理的提及1"/>
    <w:basedOn w:val="816"/>
    <w:uiPriority w:val="99"/>
    <w:semiHidden/>
    <w:unhideWhenUsed/>
    <w:qFormat/>
    <w:rPr>
      <w:color w:val="605e5c"/>
      <w:shd w:val="clear" w:color="auto" w:fill="e1dfdd"/>
    </w:rPr>
  </w:style>
  <w:style w:type="character" w:styleId="1207" w:customStyle="1">
    <w:name w:val="未处理的提及2"/>
    <w:basedOn w:val="816"/>
    <w:uiPriority w:val="99"/>
    <w:semiHidden/>
    <w:unhideWhenUsed/>
    <w:qFormat/>
    <w:rPr>
      <w:color w:val="605e5c"/>
      <w:shd w:val="clear" w:color="auto" w:fill="e1dfdd"/>
    </w:rPr>
  </w:style>
  <w:style w:type="character" w:styleId="1208" w:customStyle="1">
    <w:name w:val="font41"/>
    <w:basedOn w:val="816"/>
    <w:uiPriority w:val="0"/>
    <w:qFormat/>
    <w:rPr>
      <w:rFonts w:ascii="黑体" w:hAnsi="宋体" w:eastAsia="黑体" w:cs="黑体"/>
      <w:color w:val="000000"/>
      <w:sz w:val="18"/>
      <w:szCs w:val="18"/>
      <w:u w:val="none"/>
    </w:rPr>
  </w:style>
  <w:style w:type="character" w:styleId="1209" w:customStyle="1">
    <w:name w:val="font31"/>
    <w:basedOn w:val="816"/>
    <w:uiPriority w:val="0"/>
    <w:qFormat/>
    <w:rPr>
      <w:rFonts w:ascii="方正仿宋_GBK" w:hAnsi="方正仿宋_GBK" w:eastAsia="方正仿宋_GBK" w:cs="方正仿宋_GBK"/>
      <w:color w:val="000000"/>
      <w:sz w:val="18"/>
      <w:szCs w:val="18"/>
      <w:u w:val="none"/>
    </w:rPr>
  </w:style>
  <w:style w:type="paragraph" w:styleId="1210" w:customStyle="1">
    <w:name w:val="Table Text"/>
    <w:basedOn w:val="806"/>
    <w:uiPriority w:val="0"/>
    <w:semiHidden/>
    <w:qFormat/>
    <w:rPr>
      <w:rFonts w:ascii="宋体" w:hAnsi="宋体" w:eastAsia="宋体" w:cs="宋体"/>
      <w:sz w:val="20"/>
      <w:lang w:eastAsia="en-US"/>
    </w:rPr>
  </w:style>
  <w:style w:type="character" w:styleId="1211" w:customStyle="1">
    <w:name w:val="正文缩进 字符"/>
    <w:link w:val="820"/>
    <w:uiPriority w:val="0"/>
    <w:qFormat/>
    <w:rPr>
      <w:rFonts w:eastAsia="楷体_GB2312"/>
      <w:sz w:val="24"/>
    </w:rPr>
  </w:style>
  <w:style w:type="paragraph" w:styleId="1212" w:customStyle="1">
    <w:name w:val="正文(其它)"/>
    <w:basedOn w:val="806"/>
    <w:uiPriority w:val="0"/>
    <w:qFormat/>
    <w:pPr>
      <w:jc w:val="center"/>
      <w:spacing w:line="312" w:lineRule="auto"/>
    </w:pPr>
    <w:rPr>
      <w:rFonts w:ascii="黑体" w:eastAsia="黑体"/>
      <w:sz w:val="32"/>
      <w:szCs w:val="32"/>
    </w:rPr>
  </w:style>
  <w:style w:type="character" w:styleId="1213" w:customStyle="1">
    <w:name w:val="jj101"/>
    <w:uiPriority w:val="0"/>
    <w:qFormat/>
    <w:rPr>
      <w:sz w:val="20"/>
      <w:szCs w:val="20"/>
      <w:u w:val="none"/>
    </w:rPr>
  </w:style>
  <w:style w:type="character" w:styleId="1214" w:customStyle="1">
    <w:name w:val="apple-style-span"/>
    <w:basedOn w:val="816"/>
    <w:uiPriority w:val="0"/>
    <w:qFormat/>
  </w:style>
  <w:style w:type="paragraph" w:styleId="1215" w:customStyle="1">
    <w:name w:val="xl31"/>
    <w:basedOn w:val="806"/>
    <w:next w:val="849"/>
    <w:uiPriority w:val="0"/>
    <w:qFormat/>
    <w:pPr>
      <w:ind w:firstLine="3584"/>
      <w:spacing w:before="280" w:after="280"/>
      <w:widowControl/>
    </w:pPr>
  </w:style>
  <w:style w:type="paragraph" w:styleId="1216" w:customStyle="1">
    <w:name w:val="样式 小四 段前: 5 磅 段后: 5 磅 首行缩进:  2 字符"/>
    <w:basedOn w:val="806"/>
    <w:uiPriority w:val="0"/>
    <w:qFormat/>
    <w:pPr>
      <w:spacing w:line="360" w:lineRule="auto"/>
    </w:pPr>
    <w:rPr>
      <w:rFonts w:ascii="宋体" w:hAnsi="宋体"/>
      <w:szCs w:val="21"/>
    </w:rPr>
  </w:style>
  <w:style w:type="character" w:styleId="1217" w:customStyle="1">
    <w:name w:val="hover"/>
    <w:basedOn w:val="816"/>
    <w:uiPriority w:val="0"/>
    <w:qFormat/>
    <w:rPr>
      <w:color w:val="2590eb"/>
      <w:shd w:val="clear" w:color="auto" w:fill="e9f4fd"/>
    </w:rPr>
  </w:style>
  <w:style w:type="character" w:styleId="1218" w:customStyle="1">
    <w:name w:val="hover1"/>
    <w:basedOn w:val="816"/>
    <w:uiPriority w:val="0"/>
    <w:qFormat/>
  </w:style>
  <w:style w:type="character" w:styleId="1219" w:customStyle="1">
    <w:name w:val="hover2"/>
    <w:basedOn w:val="816"/>
    <w:uiPriority w:val="0"/>
    <w:qFormat/>
    <w:rPr>
      <w:color w:val="2590eb"/>
    </w:rPr>
  </w:style>
  <w:style w:type="character" w:styleId="1220" w:customStyle="1">
    <w:name w:val="hover3"/>
    <w:basedOn w:val="816"/>
    <w:uiPriority w:val="0"/>
    <w:qFormat/>
    <w:rPr>
      <w:color w:val="2590eb"/>
    </w:rPr>
  </w:style>
  <w:style w:type="paragraph" w:styleId="1221" w:customStyle="1">
    <w:name w:val="注释标题1"/>
    <w:basedOn w:val="806"/>
    <w:next w:val="806"/>
    <w:uiPriority w:val="0"/>
    <w:qFormat/>
    <w:pPr>
      <w:ind w:firstLine="480"/>
      <w:jc w:val="center"/>
      <w:spacing w:line="360" w:lineRule="auto"/>
    </w:pPr>
    <w:rPr>
      <w:rFonts w:eastAsia="宋体"/>
      <w:sz w:val="21"/>
      <w:szCs w:val="24"/>
      <w:lang w:val="zh-CN"/>
    </w:rPr>
  </w:style>
  <w:style w:type="paragraph" w:styleId="1222" w:customStyle="1">
    <w:name w:val="列表段落1"/>
    <w:basedOn w:val="806"/>
    <w:uiPriority w:val="34"/>
    <w:qFormat/>
    <w:pPr>
      <w:ind w:firstLine="420"/>
    </w:pPr>
    <w:rPr>
      <w:rFonts w:eastAsia="宋体"/>
      <w:sz w:val="21"/>
      <w:szCs w:val="24"/>
    </w:rPr>
  </w:style>
  <w:style w:type="character" w:styleId="1223" w:customStyle="1">
    <w:name w:val="明显强调1"/>
    <w:basedOn w:val="816"/>
    <w:uiPriority w:val="21"/>
    <w:qFormat/>
    <w:rPr>
      <w:i/>
      <w:iCs/>
      <w:color w:val="0f4761"/>
    </w:rPr>
  </w:style>
  <w:style w:type="character" w:styleId="1224" w:customStyle="1">
    <w:name w:val="明显参考1"/>
    <w:basedOn w:val="816"/>
    <w:uiPriority w:val="32"/>
    <w:qFormat/>
    <w:rPr>
      <w:b/>
      <w:bCs/>
      <w:smallCaps/>
      <w:color w:val="0f4761"/>
      <w:spacing w:val="5"/>
    </w:rPr>
  </w:style>
  <w:style w:type="table" w:styleId="1225" w:customStyle="1">
    <w:name w:val="网格型2"/>
    <w:basedOn w:val="81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6" w:customStyle="1">
    <w:name w:val="网格型11"/>
    <w:basedOn w:val="81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7" w:customStyle="1">
    <w:name w:val="msonormal"/>
    <w:basedOn w:val="806"/>
    <w:uiPriority w:val="0"/>
    <w:qFormat/>
    <w:pPr>
      <w:jc w:val="left"/>
      <w:spacing w:before="100" w:beforeAutospacing="1" w:after="100" w:afterAutospacing="1"/>
      <w:widowControl/>
    </w:pPr>
    <w:rPr>
      <w:rFonts w:ascii="宋体" w:hAnsi="宋体" w:eastAsia="宋体" w:cs="宋体"/>
      <w:sz w:val="24"/>
      <w:szCs w:val="24"/>
    </w:rPr>
  </w:style>
  <w:style w:type="paragraph" w:styleId="1228" w:customStyle="1">
    <w:name w:val="font0"/>
    <w:basedOn w:val="806"/>
    <w:uiPriority w:val="0"/>
    <w:qFormat/>
    <w:pPr>
      <w:jc w:val="left"/>
      <w:spacing w:before="100" w:beforeAutospacing="1" w:after="100" w:afterAutospacing="1"/>
      <w:widowControl/>
    </w:pPr>
    <w:rPr>
      <w:rFonts w:ascii="宋体" w:hAnsi="宋体" w:eastAsia="宋体" w:cs="宋体"/>
      <w:sz w:val="24"/>
      <w:szCs w:val="24"/>
    </w:rPr>
  </w:style>
  <w:style w:type="paragraph" w:styleId="1229" w:customStyle="1">
    <w:name w:val="font5"/>
    <w:basedOn w:val="806"/>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font6"/>
    <w:basedOn w:val="806"/>
    <w:uiPriority w:val="0"/>
    <w:qFormat/>
    <w:pPr>
      <w:jc w:val="left"/>
      <w:spacing w:before="100" w:beforeAutospacing="1" w:after="100" w:afterAutospacing="1"/>
      <w:widowControl/>
    </w:pPr>
    <w:rPr>
      <w:rFonts w:ascii="宋体" w:hAnsi="宋体" w:eastAsia="宋体" w:cs="宋体"/>
      <w:b/>
      <w:bCs/>
      <w:sz w:val="24"/>
      <w:szCs w:val="24"/>
    </w:rPr>
  </w:style>
  <w:style w:type="paragraph" w:styleId="1231" w:customStyle="1">
    <w:name w:val="font7"/>
    <w:basedOn w:val="806"/>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232" w:customStyle="1">
    <w:name w:val="font8"/>
    <w:basedOn w:val="806"/>
    <w:uiPriority w:val="0"/>
    <w:qFormat/>
    <w:pPr>
      <w:jc w:val="left"/>
      <w:spacing w:before="100" w:beforeAutospacing="1" w:after="100" w:afterAutospacing="1"/>
      <w:widowControl/>
    </w:pPr>
    <w:rPr>
      <w:rFonts w:ascii="宋体" w:hAnsi="宋体" w:eastAsia="宋体" w:cs="宋体"/>
      <w:sz w:val="24"/>
      <w:szCs w:val="24"/>
    </w:rPr>
  </w:style>
  <w:style w:type="paragraph" w:styleId="1233" w:customStyle="1">
    <w:name w:val="font9"/>
    <w:basedOn w:val="806"/>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234" w:customStyle="1">
    <w:name w:val="font10"/>
    <w:basedOn w:val="806"/>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235" w:customStyle="1">
    <w:name w:val="xl65"/>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6" w:customStyle="1">
    <w:name w:val="xl66"/>
    <w:basedOn w:val="80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7" w:customStyle="1">
    <w:name w:val="xl6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8" w:customStyle="1">
    <w:name w:val="xl6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9" w:customStyle="1">
    <w:name w:val="xl69"/>
    <w:basedOn w:val="80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40" w:customStyle="1">
    <w:name w:val="xl70"/>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1" w:customStyle="1">
    <w:name w:val="xl71"/>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42" w:customStyle="1">
    <w:name w:val="xl7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3" w:customStyle="1">
    <w:name w:val="xl7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4" w:customStyle="1">
    <w:name w:val="xl7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45" w:customStyle="1">
    <w:name w:val="xl75"/>
    <w:basedOn w:val="806"/>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6" w:customStyle="1">
    <w:name w:val="xl7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47" w:customStyle="1">
    <w:name w:val="xl7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8" w:customStyle="1">
    <w:name w:val="xl7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9" w:customStyle="1">
    <w:name w:val="xl79"/>
    <w:basedOn w:val="80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50" w:customStyle="1">
    <w:name w:val="xl80"/>
    <w:basedOn w:val="80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51" w:customStyle="1">
    <w:name w:val="xl8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52" w:customStyle="1">
    <w:name w:val="正文文本缩进 字符"/>
    <w:basedOn w:val="816"/>
    <w:link w:val="825"/>
    <w:uiPriority w:val="0"/>
    <w:qFormat/>
    <w:rPr>
      <w:rFonts w:ascii="楷体_GB2312" w:eastAsia="楷体_GB2312" w:hAnsiTheme="minorHAnsi" w:cstheme="minorBidi"/>
      <w:sz w:val="32"/>
      <w:szCs w:val="22"/>
    </w:rPr>
  </w:style>
  <w:style w:type="paragraph" w:styleId="1253" w:customStyle="1">
    <w:name w:val="acbfdd8b-e11b-4d36-88ff-6049b138f862"/>
    <w:basedOn w:val="806"/>
    <w:link w:val="1254"/>
    <w:uiPriority w:val="0"/>
    <w:qFormat/>
    <w:pPr>
      <w:jc w:val="left"/>
      <w:spacing w:line="288" w:lineRule="auto"/>
    </w:pPr>
    <w:rPr>
      <w:rFonts w:ascii="微软雅黑" w:hAnsi="微软雅黑" w:eastAsia="微软雅黑"/>
      <w:color w:val="000000"/>
      <w:sz w:val="22"/>
      <w:szCs w:val="28"/>
    </w:rPr>
  </w:style>
  <w:style w:type="character" w:styleId="1254" w:customStyle="1">
    <w:name w:val="acbfdd8b-e11b-4d36-88ff-6049b138f862 字符"/>
    <w:basedOn w:val="816"/>
    <w:link w:val="1253"/>
    <w:uiPriority w:val="0"/>
    <w:qFormat/>
    <w:rPr>
      <w:rFonts w:ascii="微软雅黑" w:hAnsi="微软雅黑" w:eastAsia="微软雅黑"/>
      <w:color w:val="000000"/>
      <w:sz w:val="22"/>
      <w:szCs w:val="28"/>
    </w:rPr>
  </w:style>
  <w:style w:type="character" w:styleId="1255" w:customStyle="1">
    <w:name w:val="明显强调2"/>
    <w:basedOn w:val="816"/>
    <w:uiPriority w:val="21"/>
    <w:qFormat/>
    <w:rPr>
      <w:i/>
      <w:iCs/>
      <w:color w:val="4f81bd" w:themeColor="accent1"/>
      <w14:textFill>
        <w14:solidFill>
          <w14:schemeClr w14:val="accent1"/>
        </w14:solidFill>
      </w14:textFill>
    </w:rPr>
  </w:style>
  <w:style w:type="character" w:styleId="1256" w:customStyle="1">
    <w:name w:val="明显参考2"/>
    <w:basedOn w:val="816"/>
    <w:uiPriority w:val="32"/>
    <w:qFormat/>
    <w:rPr>
      <w:b/>
      <w:bCs/>
      <w:smallCaps/>
      <w:color w:val="4f81bd" w:themeColor="accent1"/>
      <w:spacing w:val="5"/>
      <w14:textFill>
        <w14:solidFill>
          <w14:schemeClr w14:val="accent1"/>
        </w14:solidFill>
      </w14:textFill>
    </w:rPr>
  </w:style>
  <w:style w:type="paragraph" w:styleId="1257" w:customStyle="1">
    <w:name w:val="BodyTextIndent"/>
    <w:basedOn w:val="806"/>
    <w:uiPriority w:val="0"/>
    <w:qFormat/>
    <w:pPr>
      <w:ind w:firstLine="425"/>
      <w:spacing w:line="360" w:lineRule="auto"/>
    </w:pPr>
  </w:style>
  <w:style w:type="paragraph" w:styleId="1258" w:customStyle="1">
    <w:name w:val="正文文本 21"/>
    <w:basedOn w:val="806"/>
    <w:uiPriority w:val="0"/>
    <w:qFormat/>
    <w:pPr>
      <w:spacing w:after="120" w:line="480" w:lineRule="auto"/>
    </w:pPr>
  </w:style>
  <w:style w:type="paragraph" w:styleId="1259" w:customStyle="1">
    <w:name w:val="WPSOffice手动目录 1"/>
    <w:uiPriority w:val="0"/>
    <w:qFormat/>
    <w:rPr>
      <w:rFonts w:ascii="Times New Roman" w:hAnsi="Times New Roman" w:eastAsia="宋体" w:cs="Times New Roman"/>
      <w:sz w:val="20"/>
      <w:szCs w:val="20"/>
    </w:rPr>
  </w:style>
  <w:style w:type="paragraph" w:styleId="1260" w:customStyle="1">
    <w:name w:val="正文 A"/>
    <w:uiPriority w:val="0"/>
    <w:qFormat/>
    <w:rPr>
      <w:rFonts w:hint="default" w:ascii="Arial Unicode MS" w:hAnsi="Arial Unicode MS" w:eastAsia="宋体" w:cs="Arial Unicode MS"/>
      <w:color w:val="000000"/>
      <w:lang w:val="en-US" w:eastAsia="zh-CN" w:bidi="ar-SA"/>
    </w:rPr>
  </w:style>
  <w:style w:type="character" w:styleId="1261" w:customStyle="1">
    <w:name w:val="NormalCharacter"/>
    <w:uiPriority w:val="0"/>
    <w:qFormat/>
  </w:style>
  <w:style w:type="numbering" w:styleId="12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F6E6A5-10DC-4738-B1AD-BD273647987B}"/>
</file>

<file path=customXml/itemProps2.xml><?xml version="1.0" encoding="utf-8"?>
<ds:datastoreItem xmlns:ds="http://schemas.openxmlformats.org/officeDocument/2006/customXml" ds:itemID="{28935D2D-D4E9-41C4-B2A1-0BB002980A8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周哲</cp:lastModifiedBy>
  <cp:revision>12</cp:revision>
  <dcterms:created xsi:type="dcterms:W3CDTF">2026-04-28T01:04:00Z</dcterms:created>
  <dcterms:modified xsi:type="dcterms:W3CDTF">2026-10-26T08:56:31Z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44EFA8C90FFC4571B9E605408E8AE052_13</vt:lpwstr>
  </property>
  <property fmtid="{D5CDD505-2E9C-101B-9397-08002B2CF9AE}" pid="4" name="KSOTemplateDocerSaveRecord">
    <vt:lpwstr>eyJoZGlkIjoiNTYxYWE0NjJkYWE0NTE1NDAyM2IxOWRkMDE3MjE0ZTciLCJ1c2VySWQiOiI0MDczODczNTAifQ==</vt:lpwstr>
  </property>
</Properties>
</file>