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0"/>
        <w:jc w:val="center"/>
        <w:rPr>
          <w:rFonts w:eastAsia="黑体"/>
          <w:b/>
          <w:bCs/>
          <w:color w:val="auto"/>
          <w:sz w:val="84"/>
          <w:highlight w:val="none"/>
        </w:rPr>
      </w:pPr>
      <w:r>
        <w:rPr>
          <w:rFonts w:eastAsia="黑体"/>
          <w:b/>
          <w:bCs/>
          <w:color w:val="auto"/>
          <w:sz w:val="84"/>
          <w:highlight w:val="none"/>
        </w:rPr>
      </w:r>
      <w:r/>
    </w:p>
    <w:p>
      <w:pPr>
        <w:pStyle w:val="1096"/>
        <w:ind w:firstLine="0"/>
        <w:jc w:val="center"/>
        <w:rPr>
          <w:rFonts w:eastAsia="黑体"/>
          <w:b/>
          <w:bCs/>
          <w:color w:val="auto"/>
          <w:sz w:val="84"/>
          <w:szCs w:val="84"/>
          <w:highlight w:val="none"/>
        </w:rPr>
      </w:pPr>
      <w:r>
        <w:rPr>
          <w:rFonts w:hint="eastAsia" w:eastAsia="黑体"/>
          <w:b/>
          <w:bCs/>
          <w:color w:val="auto"/>
          <w:sz w:val="84"/>
          <w:highlight w:val="none"/>
        </w:rPr>
        <w:t xml:space="preserve">开放式框架协议采购</w:t>
      </w:r>
      <w:r/>
    </w:p>
    <w:p>
      <w:pPr>
        <w:pStyle w:val="1096"/>
        <w:ind w:firstLine="0"/>
        <w:jc w:val="center"/>
        <w:rPr>
          <w:rFonts w:hint="eastAsia" w:eastAsia="黑体"/>
          <w:b/>
          <w:bCs/>
          <w:color w:val="auto"/>
          <w:sz w:val="84"/>
          <w:highlight w:val="none"/>
        </w:rPr>
      </w:pPr>
      <w:r>
        <w:rPr>
          <w:rFonts w:hint="eastAsia" w:eastAsia="黑体"/>
          <w:b/>
          <w:bCs/>
          <w:color w:val="auto"/>
          <w:sz w:val="84"/>
          <w:highlight w:val="none"/>
        </w:rPr>
        <w:t xml:space="preserve">征集文件</w:t>
      </w:r>
      <w:r/>
    </w:p>
    <w:p>
      <w:pPr>
        <w:pStyle w:val="1096"/>
        <w:ind w:firstLine="0"/>
        <w:jc w:val="center"/>
        <w:rPr>
          <w:rFonts w:eastAsia="黑体"/>
          <w:b/>
          <w:bCs/>
          <w:color w:val="auto"/>
          <w:sz w:val="84"/>
          <w:szCs w:val="84"/>
          <w:highlight w:val="none"/>
        </w:rPr>
      </w:pPr>
      <w:r>
        <w:rPr>
          <w:rFonts w:eastAsia="黑体"/>
          <w:b/>
          <w:bCs/>
          <w:color w:val="auto"/>
          <w:sz w:val="84"/>
          <w:szCs w:val="84"/>
          <w:highlight w:val="none"/>
        </w:rPr>
      </w:r>
      <w:r/>
    </w:p>
    <w:p>
      <w:pPr>
        <w:pStyle w:val="1096"/>
        <w:ind w:left="3078" w:hanging="1600"/>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项目名称：2027-2028年度无锡市党政机关会议定点场所框架协议采购</w:t>
      </w:r>
      <w:r/>
    </w:p>
    <w:p>
      <w:pPr>
        <w:pStyle w:val="1096"/>
        <w:ind w:left="1478" w:firstLine="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JSZC-320200-JZCG-K2026-0095</w:t>
      </w:r>
      <w:r/>
    </w:p>
    <w:p>
      <w:pPr>
        <w:pStyle w:val="1096"/>
        <w:ind w:left="1478" w:firstLine="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征 集 人：</w:t>
      </w:r>
      <w:r>
        <w:rPr>
          <w:rFonts w:hint="eastAsia" w:ascii="黑体" w:hAnsi="华文中宋" w:eastAsia="黑体"/>
          <w:bCs/>
          <w:color w:val="auto"/>
          <w:sz w:val="32"/>
          <w:szCs w:val="32"/>
          <w:highlight w:val="none"/>
          <w:lang w:eastAsia="zh-CN"/>
        </w:rPr>
        <w:t xml:space="preserve">无锡市公共资源交易中心</w:t>
      </w:r>
      <w:r/>
    </w:p>
    <w:p>
      <w:pPr>
        <w:pStyle w:val="1096"/>
        <w:ind w:firstLine="0"/>
        <w:jc w:val="center"/>
        <w:spacing w:before="0" w:after="0"/>
        <w:rPr>
          <w:rFonts w:ascii="宋体" w:hAnsi="宋体"/>
          <w:color w:val="auto"/>
          <w:highlight w:val="none"/>
        </w:rPr>
      </w:pPr>
      <w:r>
        <w:rPr>
          <w:rFonts w:ascii="宋体" w:hAnsi="宋体"/>
          <w:color w:val="auto"/>
          <w:highlight w:val="none"/>
        </w:rPr>
      </w:r>
      <w:r/>
    </w:p>
    <w:p>
      <w:pPr>
        <w:pStyle w:val="1096"/>
        <w:ind w:firstLine="0"/>
        <w:jc w:val="center"/>
        <w:spacing w:before="0" w:after="0"/>
        <w:rPr>
          <w:rFonts w:ascii="宋体" w:hAnsi="宋体"/>
          <w:color w:val="auto"/>
          <w:highlight w:val="none"/>
        </w:rPr>
      </w:pPr>
      <w:r>
        <w:rPr>
          <w:rFonts w:ascii="宋体" w:hAnsi="宋体"/>
          <w:color w:val="auto"/>
          <w:highlight w:val="none"/>
        </w:rPr>
      </w:r>
      <w:r/>
    </w:p>
    <w:p>
      <w:pPr>
        <w:pStyle w:val="1096"/>
        <w:ind w:firstLine="0"/>
        <w:jc w:val="center"/>
        <w:spacing w:before="0" w:after="0"/>
        <w:rPr>
          <w:rFonts w:ascii="宋体" w:hAnsi="宋体"/>
          <w:color w:val="auto"/>
          <w:highlight w:val="none"/>
        </w:rPr>
      </w:pPr>
      <w:r>
        <w:rPr>
          <w:rFonts w:ascii="宋体" w:hAnsi="宋体"/>
          <w:color w:val="auto"/>
          <w:highlight w:val="none"/>
        </w:rPr>
      </w:r>
      <w:r/>
    </w:p>
    <w:p>
      <w:pPr>
        <w:pStyle w:val="1096"/>
        <w:ind w:firstLine="0"/>
        <w:jc w:val="center"/>
        <w:spacing w:before="0" w:after="0"/>
        <w:rPr>
          <w:rFonts w:ascii="宋体" w:hAnsi="宋体"/>
          <w:color w:val="auto"/>
          <w:highlight w:val="none"/>
        </w:rPr>
      </w:pPr>
      <w:r>
        <w:rPr>
          <w:rFonts w:ascii="宋体" w:hAnsi="宋体"/>
          <w:color w:val="auto"/>
          <w:highlight w:val="none"/>
        </w:rPr>
      </w:r>
      <w:r/>
    </w:p>
    <w:p>
      <w:pPr>
        <w:pStyle w:val="1096"/>
        <w:ind w:firstLine="0"/>
        <w:jc w:val="center"/>
        <w:spacing w:before="0" w:after="0"/>
        <w:rPr>
          <w:rFonts w:ascii="宋体" w:hAnsi="宋体"/>
          <w:color w:val="auto"/>
          <w:highlight w:val="none"/>
        </w:rPr>
      </w:pPr>
      <w:r>
        <w:rPr>
          <w:rFonts w:ascii="宋体" w:hAnsi="宋体"/>
          <w:color w:val="auto"/>
          <w:highlight w:val="none"/>
        </w:rPr>
      </w:r>
      <w:r/>
    </w:p>
    <w:p>
      <w:pPr>
        <w:pStyle w:val="1096"/>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年十月</w:t>
      </w:r>
      <w:bookmarkStart w:id="0" w:name="_Toc120614210"/>
      <w:r/>
      <w:bookmarkStart w:id="1" w:name="_Toc513029200"/>
      <w:r/>
      <w:bookmarkStart w:id="2" w:name="_Toc20823272"/>
      <w:r/>
      <w:bookmarkStart w:id="3" w:name="_Toc523127445"/>
      <w:r/>
      <w:bookmarkStart w:id="4" w:name="_Toc479757206"/>
      <w:r/>
      <w:bookmarkStart w:id="5" w:name="_Toc16938516"/>
      <w:r/>
      <w:r/>
    </w:p>
    <w:p>
      <w:pPr>
        <w:pStyle w:val="1096"/>
        <w:ind w:firstLine="0"/>
        <w:jc w:val="center"/>
        <w:rPr>
          <w:rFonts w:ascii="黑体" w:eastAsia="黑体"/>
          <w:b/>
          <w:color w:val="auto"/>
          <w:sz w:val="44"/>
          <w:highlight w:val="none"/>
        </w:rPr>
      </w:pPr>
      <w:r>
        <w:rPr>
          <w:rFonts w:ascii="黑体" w:hAnsi="华文中宋" w:eastAsia="黑体"/>
          <w:bCs/>
          <w:color w:val="auto"/>
          <w:sz w:val="32"/>
          <w:szCs w:val="32"/>
          <w:highlight w:val="none"/>
        </w:rPr>
        <w:br w:type="page" w:clear="all"/>
      </w:r>
      <w:r>
        <w:rPr>
          <w:rFonts w:hint="eastAsia" w:ascii="黑体"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6"/>
        </w:numPr>
        <w:spacing w:line="480" w:lineRule="auto"/>
        <w:rPr>
          <w:rFonts w:ascii="黑体" w:hAnsi="Showcard Gothic" w:eastAsia="黑体"/>
          <w:color w:val="auto"/>
          <w:sz w:val="32"/>
          <w:highlight w:val="none"/>
        </w:rPr>
        <w:outlineLvl w:val="0"/>
      </w:pPr>
      <w:r>
        <w:rPr>
          <w:rFonts w:hint="eastAsia" w:ascii="黑体" w:hAnsi="宋体" w:eastAsia="黑体"/>
          <w:color w:val="auto"/>
          <w:sz w:val="36"/>
          <w:highlight w:val="none"/>
        </w:rPr>
        <w:t xml:space="preserve">参加征集活动</w:t>
      </w:r>
      <w:r>
        <w:rPr>
          <w:rFonts w:ascii="黑体" w:hAnsi="宋体" w:eastAsia="黑体"/>
          <w:color w:val="auto"/>
          <w:sz w:val="36"/>
          <w:highlight w:val="none"/>
        </w:rPr>
        <w:t xml:space="preserve">的邀请</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框架协议文本和采</w:t>
      </w:r>
      <w:r>
        <w:rPr>
          <w:rFonts w:hint="eastAsia" w:ascii="黑体" w:hAnsi="宋体" w:eastAsia="黑体"/>
          <w:color w:val="auto"/>
          <w:sz w:val="36"/>
          <w:highlight w:val="none"/>
        </w:rPr>
        <w:t xml:space="preserve">购合同文本</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确定入围及成交供应商</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申请文件格式</w:t>
      </w:r>
      <w:r/>
    </w:p>
    <w:p>
      <w:pPr>
        <w:jc w:val="center"/>
        <w:spacing w:line="360" w:lineRule="auto"/>
        <w:rPr>
          <w:rFonts w:hint="eastAsia" w:ascii="黑体" w:eastAsia="黑体"/>
          <w:color w:val="auto"/>
          <w:sz w:val="44"/>
          <w:szCs w:val="44"/>
          <w:highlight w:val="none"/>
        </w:rPr>
        <w:sectPr>
          <w:footerReference w:type="even" r:id="rId9"/>
          <w:footerReference w:type="first" r:id="rId10"/>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黑体" w:eastAsia="黑体"/>
          <w:color w:val="auto"/>
          <w:sz w:val="44"/>
          <w:szCs w:val="44"/>
          <w:highlight w:val="none"/>
        </w:rPr>
      </w:r>
      <w:r/>
    </w:p>
    <w:p>
      <w:pPr>
        <w:jc w:val="center"/>
        <w:spacing w:line="360" w:lineRule="auto"/>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参加征集活动的邀请</w:t>
      </w:r>
      <w:r/>
    </w:p>
    <w:p>
      <w:pPr>
        <w:ind w:firstLine="480"/>
        <w:spacing w:line="360" w:lineRule="auto"/>
        <w:rPr>
          <w:rFonts w:ascii="宋体" w:hAnsi="宋体"/>
          <w:color w:val="auto"/>
          <w:sz w:val="24"/>
          <w:szCs w:val="24"/>
          <w:highlight w:val="none"/>
        </w:rPr>
      </w:pPr>
      <w:r/>
      <w:bookmarkStart w:id="6" w:name="_Toc35393790"/>
      <w:r/>
      <w:bookmarkStart w:id="7" w:name="_Toc28359002"/>
      <w:r/>
      <w:bookmarkStart w:id="8" w:name="_Toc38985263"/>
      <w:r/>
      <w:bookmarkStart w:id="9" w:name="_Hlk24379207"/>
      <w:r/>
      <w:bookmarkStart w:id="10" w:name="_Toc28359079"/>
      <w:r/>
      <w:bookmarkStart w:id="11" w:name="_Toc35393621"/>
      <w:r>
        <w:rPr>
          <w:rFonts w:hint="eastAsia" w:ascii="宋体" w:hAnsi="宋体"/>
          <w:color w:val="auto"/>
          <w:sz w:val="24"/>
          <w:szCs w:val="24"/>
          <w:highlight w:val="none"/>
        </w:rPr>
        <w:t xml:space="preserve">无锡市公共资源交易中心就</w:t>
      </w:r>
      <w:r>
        <w:rPr>
          <w:rFonts w:hint="eastAsia" w:ascii="宋体" w:hAnsi="宋体"/>
          <w:color w:val="auto"/>
          <w:sz w:val="24"/>
          <w:szCs w:val="24"/>
          <w:highlight w:val="none"/>
          <w:lang w:eastAsia="zh-CN"/>
        </w:rPr>
        <w:t xml:space="preserve">2027-2028年度无锡市党政机关会议定点场所框架协议采购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JSZC-320200-JZCG-K2026-0095</w:t>
      </w:r>
      <w:r>
        <w:rPr>
          <w:rFonts w:hint="eastAsia" w:ascii="宋体" w:hAnsi="宋体"/>
          <w:color w:val="auto"/>
          <w:sz w:val="24"/>
          <w:szCs w:val="24"/>
          <w:highlight w:val="none"/>
        </w:rPr>
        <w:t xml:space="preserve">)开放式框架协议采购项目征集供应商，欢迎符合条件的供应商加入本次开放式框架协议采购。</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一、项目基本情况</w:t>
      </w:r>
      <w:bookmarkEnd w:id="6"/>
      <w:r/>
      <w:bookmarkEnd w:id="7"/>
      <w:r/>
      <w:bookmarkEnd w:id="8"/>
      <w:r/>
      <w:bookmarkEnd w:id="9"/>
      <w:r/>
      <w:bookmarkEnd w:id="10"/>
      <w:r/>
      <w:bookmarkEnd w:id="11"/>
      <w:r/>
      <w:bookmarkStart w:id="12" w:name="_Toc28359080"/>
      <w:r/>
      <w:bookmarkStart w:id="13" w:name="_Toc35393791"/>
      <w:r/>
      <w:bookmarkStart w:id="14" w:name="_Toc28359003"/>
      <w:r/>
      <w:bookmarkStart w:id="15" w:name="_Toc38985264"/>
      <w:r/>
      <w:bookmarkStart w:id="16" w:name="_Toc35393622"/>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JSZC-320200-JZCG-K2026-0095</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2027-2028年度无锡市党政机关会议定点场所框架协议采购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3.最高限制单价：详见“第四章 采购需求”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4.采购方式：开放式框架协议采购</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5.征集人：</w:t>
      </w:r>
      <w:r>
        <w:rPr>
          <w:rFonts w:hint="eastAsia" w:ascii="宋体" w:hAnsi="宋体"/>
          <w:color w:val="auto"/>
          <w:sz w:val="24"/>
          <w:szCs w:val="24"/>
          <w:highlight w:val="none"/>
          <w:lang w:eastAsia="zh-CN"/>
        </w:rPr>
        <w:t xml:space="preserve">无锡市公共资源交易中心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6.本项目属性：服务类项目</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7.本项目标的所属行业：租赁和商务服务业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8.履行合同的地域范围：本次框架协议采购场所坐落的行政区域为无锡市范围（包括江阴、宜兴）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适用本次框架协议的采购人或服务对象范围：本次采购主要用于无锡市各级党政机关、事业单位和团体组织在无锡市范围内召开的各类会议。会议定点场所在全省、全国范围内实行资源共享，本市各县、区党政机关事业单位执行本地现行会议标准相关规定，在不超过会议费定额标准情况下，可享受同等会议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10.采购需求(简介)：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分包一：</w:t>
      </w:r>
      <w:r>
        <w:rPr>
          <w:rFonts w:hint="eastAsia" w:ascii="宋体" w:hAnsi="宋体"/>
          <w:color w:val="auto"/>
          <w:sz w:val="24"/>
          <w:szCs w:val="24"/>
          <w:highlight w:val="none"/>
          <w:lang w:val="en-US" w:eastAsia="zh-CN"/>
        </w:rPr>
        <w:t xml:space="preserve">除专业会议场所外的</w:t>
      </w:r>
      <w:r>
        <w:rPr>
          <w:rFonts w:hint="eastAsia" w:ascii="宋体" w:hAnsi="宋体"/>
          <w:color w:val="auto"/>
          <w:sz w:val="24"/>
          <w:szCs w:val="24"/>
          <w:highlight w:val="none"/>
        </w:rPr>
        <w:t xml:space="preserve">具有综合型会议接待能力</w:t>
      </w:r>
      <w:r>
        <w:rPr>
          <w:rFonts w:hint="eastAsia" w:ascii="宋体" w:hAnsi="宋体"/>
          <w:color w:val="auto"/>
          <w:sz w:val="24"/>
          <w:szCs w:val="24"/>
          <w:highlight w:val="none"/>
          <w:lang w:val="en-US" w:eastAsia="zh-CN"/>
        </w:rPr>
        <w:t xml:space="preserve">的单位</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分包二：具有单一会议功能场所</w:t>
      </w:r>
      <w:r>
        <w:rPr>
          <w:rFonts w:hint="eastAsia" w:ascii="宋体" w:hAnsi="宋体"/>
          <w:color w:val="auto"/>
          <w:sz w:val="24"/>
          <w:szCs w:val="24"/>
          <w:highlight w:val="none"/>
          <w:lang w:val="en-US" w:eastAsia="zh-CN"/>
        </w:rPr>
        <w:t xml:space="preserve">的专业会议场所单位。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供应商选择符合自己资格能力的分包投报，各分包不可兼投。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具体采购需求详见征集文件第四章。</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11.框架协议期限：202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年1月1日至202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年12月31日（本项目框架协议的期限暂定为2年，若省财政厅另有统一征集的，按省财政厅征集要求及结果执行）。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12.本次征集活动不收取保证金，不接受联合体加入本次开放式框架协议。</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二、供应商的资格要求及应当提交的资格材料</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35393623"/>
      <w:r/>
      <w:bookmarkStart w:id="18" w:name="_Toc35393792"/>
      <w:r/>
      <w:bookmarkStart w:id="19" w:name="_Toc28359004"/>
      <w:r/>
      <w:bookmarkStart w:id="20" w:name="_Toc28359081"/>
      <w:r/>
      <w:bookmarkStart w:id="21" w:name="_Toc38985265"/>
      <w:r>
        <w:rPr>
          <w:rFonts w:hint="eastAsia" w:ascii="宋体" w:hAnsi="宋体"/>
          <w:color w:val="auto"/>
          <w:sz w:val="24"/>
          <w:szCs w:val="24"/>
          <w:highlight w:val="none"/>
        </w:rPr>
        <w:t xml:space="preserve">（一）通用资格要求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1.满足《中华人民共和国政府采购法》第二十二条规定：提供供应商信用承诺函（格式见第六章）；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3.法律、行政法规规定的其他条件：无。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分包一：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会议定点场所具有会议承办能力，营业地点在无锡市行政区域内（包括江阴、宜兴）的宾馆、饭店、酒店、专业会议场所以及无锡市机关直属的培训中心等符合条件的供应商。须为无锡市范围内注册/登记的单位（提供有效证明文件）。如为分支机构的，还须提供上级法人单位的授权文件（格式见第六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2.会议定点场所具有卫生许可证或相关卫生许可证明（提供有效证明文件）；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3.会议定点场所具有消防安全许可证或相关消防安全证明（提供有效证明文件）；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4.会议定点场所具有市场监督管理局颁发的且在有效期内的《食品经营许可证》（提供有效证明文件）。</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分包二：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会议定点场所具有会议承办能力，营业地点在无锡市行政区域内（包括江阴、宜兴）的宾馆、饭店、酒店、专业会议场所以及无锡市机关直属的培训中心等符合条件的供应商。须为无锡市范围内注册/登记的单位（提供有效证明文件）。如为分支机构的，还须提供上级法人单位的授权文件（格式见第六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2.会议定点场所具有卫生许可证或相关卫生许可证明（提供有效证明文件）；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3.会议定点场所具有消防安全许可证或相关消防安全证明（提供有效证明文件）；</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4.会议定点场所具有市场监督管理局颁发的且在有效期内的《食品经营许可证》</w:t>
      </w:r>
      <w:r>
        <w:rPr>
          <w:rFonts w:hint="eastAsia" w:ascii="宋体" w:hAnsi="宋体"/>
          <w:color w:val="auto"/>
          <w:sz w:val="24"/>
          <w:szCs w:val="24"/>
          <w:highlight w:val="none"/>
          <w:lang w:val="en-US" w:eastAsia="zh-CN"/>
        </w:rPr>
        <w:t xml:space="preserve">或《仅销售预包装食品经营者备案信息采集表》</w:t>
      </w:r>
      <w:r>
        <w:rPr>
          <w:rFonts w:hint="eastAsia" w:ascii="宋体" w:hAnsi="宋体"/>
          <w:color w:val="auto"/>
          <w:sz w:val="24"/>
          <w:szCs w:val="24"/>
          <w:highlight w:val="none"/>
        </w:rPr>
        <w:t xml:space="preserve">（提供有效证明文件）。</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三、获取征集文件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1.时间：自征集公告发布之日起。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方式：</w:t>
      </w:r>
      <w:r>
        <w:rPr>
          <w:rFonts w:hint="eastAsia" w:ascii="宋体" w:hAnsi="宋体"/>
          <w:color w:val="auto"/>
          <w:sz w:val="24"/>
          <w:szCs w:val="24"/>
          <w:highlight w:val="none"/>
        </w:rPr>
        <w:t xml:space="preserve">请有投标意向的供应商在征集文件有效获取期内及时至</w:t>
      </w:r>
      <w:r>
        <w:rPr>
          <w:rFonts w:ascii="宋体" w:hAnsi="宋体"/>
          <w:color w:val="auto"/>
          <w:sz w:val="24"/>
          <w:szCs w:val="24"/>
          <w:highlight w:val="none"/>
        </w:rPr>
        <w:t xml:space="preserve">“江苏政府采购</w:t>
      </w:r>
      <w:r>
        <w:rPr>
          <w:rFonts w:hint="eastAsia" w:ascii="宋体" w:hAnsi="宋体"/>
          <w:color w:val="auto"/>
          <w:sz w:val="24"/>
          <w:szCs w:val="24"/>
          <w:highlight w:val="none"/>
          <w:lang w:val="en-US" w:eastAsia="zh-CN"/>
        </w:rPr>
        <w:t xml:space="preserve">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http://www.ccgp-jiangsu.gov.cn/</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发布的征集公告附件中</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。在征集文件有效获取期限内，从</w:t>
      </w:r>
      <w:r>
        <w:rPr>
          <w:rFonts w:ascii="宋体" w:hAnsi="宋体"/>
          <w:color w:val="auto"/>
          <w:sz w:val="24"/>
          <w:szCs w:val="24"/>
          <w:highlight w:val="none"/>
        </w:rPr>
        <w:t xml:space="preserve">“江苏政府采购</w:t>
      </w:r>
      <w:r>
        <w:rPr>
          <w:rFonts w:hint="eastAsia" w:ascii="宋体" w:hAnsi="宋体"/>
          <w:color w:val="auto"/>
          <w:sz w:val="24"/>
          <w:szCs w:val="24"/>
          <w:highlight w:val="none"/>
          <w:lang w:val="en-US" w:eastAsia="zh-CN"/>
        </w:rPr>
        <w:t xml:space="preserve">网</w:t>
      </w:r>
      <w:r>
        <w:rPr>
          <w:rFonts w:ascii="宋体" w:hAnsi="宋体"/>
          <w:color w:val="auto"/>
          <w:sz w:val="24"/>
          <w:szCs w:val="24"/>
          <w:highlight w:val="none"/>
        </w:rPr>
        <w:t xml:space="preserve">”获取的</w:t>
      </w:r>
      <w:r>
        <w:rPr>
          <w:rFonts w:hint="eastAsia" w:ascii="宋体" w:hAnsi="宋体"/>
          <w:color w:val="auto"/>
          <w:sz w:val="24"/>
          <w:szCs w:val="24"/>
          <w:highlight w:val="none"/>
        </w:rPr>
        <w:t xml:space="preserve">征集文件，视为依法获取的征集文件。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4.售价：本项目征集文件免费。</w:t>
      </w:r>
      <w:bookmarkEnd w:id="17"/>
      <w:bookmarkEnd w:id="18"/>
      <w:bookmarkEnd w:id="19"/>
      <w:bookmarkEnd w:id="20"/>
      <w:bookmarkEnd w:id="21"/>
      <w:r/>
    </w:p>
    <w:p>
      <w:pPr>
        <w:pStyle w:val="845"/>
        <w:ind w:firstLine="452"/>
        <w:keepLines w:val="0"/>
        <w:keepNext w:val="0"/>
        <w:spacing w:before="0" w:after="0" w:line="360" w:lineRule="auto"/>
        <w:rPr>
          <w:color w:val="auto"/>
          <w:sz w:val="30"/>
          <w:szCs w:val="30"/>
          <w:highlight w:val="none"/>
        </w:rPr>
      </w:pPr>
      <w:r/>
      <w:bookmarkStart w:id="22" w:name="_Toc35393793"/>
      <w:r/>
      <w:bookmarkStart w:id="23" w:name="_Toc35393624"/>
      <w:r/>
      <w:bookmarkStart w:id="24" w:name="_Toc38985266"/>
      <w:r/>
      <w:bookmarkStart w:id="25" w:name="_Toc28359082"/>
      <w:r/>
      <w:bookmarkStart w:id="26" w:name="_Toc28359005"/>
      <w:r>
        <w:rPr>
          <w:rFonts w:hint="eastAsia"/>
          <w:color w:val="auto"/>
          <w:sz w:val="30"/>
          <w:szCs w:val="30"/>
          <w:highlight w:val="none"/>
        </w:rPr>
        <w:t xml:space="preserve">四、首次提交申请文件的截止时间、开标时间和地点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1.供应商首次提交申请文件的截止时间、开标时间：</w:t>
      </w:r>
      <w:r>
        <w:rPr>
          <w:rFonts w:hint="eastAsia" w:ascii="宋体" w:hAnsi="宋体"/>
          <w:b/>
          <w:color w:val="auto"/>
          <w:sz w:val="24"/>
          <w:szCs w:val="24"/>
          <w:highlight w:val="none"/>
          <w:u w:val="single"/>
        </w:rPr>
        <w:t xml:space="preserve">202</w:t>
      </w:r>
      <w:r>
        <w:rPr>
          <w:rFonts w:hint="eastAsia" w:ascii="宋体" w:hAnsi="宋体"/>
          <w:b/>
          <w:color w:val="auto"/>
          <w:sz w:val="24"/>
          <w:szCs w:val="24"/>
          <w:highlight w:val="none"/>
          <w:u w:val="single"/>
          <w:lang w:val="en-US" w:eastAsia="zh-CN"/>
        </w:rPr>
        <w:t xml:space="preserve">6</w:t>
      </w:r>
      <w:r>
        <w:rPr>
          <w:rFonts w:hint="eastAsia" w:ascii="宋体" w:hAnsi="宋体"/>
          <w:b/>
          <w:color w:val="auto"/>
          <w:sz w:val="24"/>
          <w:szCs w:val="24"/>
          <w:highlight w:val="none"/>
          <w:u w:val="single"/>
        </w:rPr>
        <w:t xml:space="preserve">年11</w:t>
      </w:r>
      <w:r>
        <w:rPr>
          <w:rFonts w:hint="eastAsia" w:ascii="宋体" w:hAnsi="宋体"/>
          <w:b/>
          <w:color w:val="auto"/>
          <w:sz w:val="24"/>
          <w:szCs w:val="24"/>
          <w:highlight w:val="none"/>
          <w:u w:val="single"/>
        </w:rPr>
        <w:t xml:space="preserve">月</w:t>
      </w:r>
      <w:r>
        <w:rPr>
          <w:rFonts w:hint="eastAsia" w:ascii="宋体" w:hAnsi="宋体"/>
          <w:b/>
          <w:color w:val="auto"/>
          <w:sz w:val="24"/>
          <w:szCs w:val="24"/>
          <w:highlight w:val="none"/>
          <w:u w:val="single"/>
          <w:lang w:val="en-US" w:eastAsia="zh-CN"/>
        </w:rPr>
        <w:t xml:space="preserve">25</w:t>
      </w:r>
      <w:r>
        <w:rPr>
          <w:rFonts w:hint="eastAsia" w:ascii="宋体" w:hAnsi="宋体"/>
          <w:b/>
          <w:color w:val="auto"/>
          <w:sz w:val="24"/>
          <w:szCs w:val="24"/>
          <w:highlight w:val="none"/>
          <w:u w:val="single"/>
        </w:rPr>
        <w:t xml:space="preserve">日9点30分</w:t>
      </w:r>
      <w:r>
        <w:rPr>
          <w:rFonts w:hint="eastAsia" w:ascii="宋体" w:hAnsi="宋体"/>
          <w:color w:val="auto"/>
          <w:sz w:val="24"/>
          <w:szCs w:val="24"/>
          <w:highlight w:val="none"/>
        </w:rPr>
        <w:t xml:space="preserve">（北京时</w:t>
      </w:r>
      <w:r>
        <w:rPr>
          <w:rFonts w:hint="eastAsia" w:ascii="宋体" w:hAnsi="宋体"/>
          <w:color w:val="auto"/>
          <w:sz w:val="24"/>
          <w:szCs w:val="24"/>
          <w:highlight w:val="none"/>
        </w:rPr>
        <w:t xml:space="preserve">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五、</w:t>
      </w:r>
      <w:bookmarkEnd w:id="22"/>
      <w:r/>
      <w:bookmarkEnd w:id="23"/>
      <w:r/>
      <w:bookmarkEnd w:id="24"/>
      <w:r/>
      <w:bookmarkEnd w:id="25"/>
      <w:r/>
      <w:bookmarkEnd w:id="26"/>
      <w:r>
        <w:rPr>
          <w:rFonts w:hint="eastAsia"/>
          <w:color w:val="auto"/>
          <w:sz w:val="30"/>
          <w:szCs w:val="30"/>
          <w:highlight w:val="none"/>
        </w:rPr>
        <w:t xml:space="preserve">提交申请文件的方式、地点</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中填写资质信息并提交。也可以直接通过https://jszfcg.jsczt.cn/进入界面。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号12号楼一楼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color w:val="auto"/>
          <w:sz w:val="24"/>
          <w:szCs w:val="24"/>
          <w:highlight w:val="none"/>
        </w:rPr>
        <w:t xml:space="preserve">“苏采云”平台</w:t>
      </w:r>
      <w:r>
        <w:rPr>
          <w:rFonts w:ascii="宋体" w:hAnsi="宋体"/>
          <w:color w:val="auto"/>
          <w:sz w:val="24"/>
          <w:szCs w:val="24"/>
          <w:highlight w:val="none"/>
        </w:rPr>
        <w:t xml:space="preserve">中</w:t>
      </w:r>
      <w:r>
        <w:rPr>
          <w:rFonts w:hint="eastAsia" w:ascii="宋体" w:hAnsi="宋体"/>
          <w:color w:val="auto"/>
          <w:sz w:val="24"/>
          <w:szCs w:val="24"/>
          <w:highlight w:val="none"/>
          <w:lang w:val="en-US" w:eastAsia="zh-CN"/>
        </w:rPr>
        <w:t xml:space="preserve">参与项目</w:t>
      </w:r>
      <w:r>
        <w:rPr>
          <w:rFonts w:ascii="宋体" w:hAnsi="宋体"/>
          <w:color w:val="auto"/>
          <w:sz w:val="24"/>
          <w:szCs w:val="24"/>
          <w:highlight w:val="none"/>
        </w:rPr>
        <w:t xml:space="preserve">（“项目参与”——“</w:t>
      </w:r>
      <w:r>
        <w:rPr>
          <w:rFonts w:hint="eastAsia" w:ascii="宋体" w:hAnsi="宋体"/>
          <w:color w:val="auto"/>
          <w:sz w:val="24"/>
          <w:szCs w:val="24"/>
          <w:highlight w:val="none"/>
          <w:lang w:val="en-US" w:eastAsia="zh-CN"/>
        </w:rPr>
        <w:t xml:space="preserve">框架项目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开放框架</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”找到</w:t>
      </w:r>
      <w:r>
        <w:rPr>
          <w:rFonts w:hint="eastAsia" w:ascii="宋体" w:hAnsi="宋体"/>
          <w:color w:val="auto"/>
          <w:sz w:val="24"/>
          <w:szCs w:val="24"/>
          <w:highlight w:val="none"/>
          <w:lang w:val="en-US" w:eastAsia="zh-CN"/>
        </w:rPr>
        <w:t xml:space="preserve">可参与项目</w:t>
      </w:r>
      <w:r>
        <w:rPr>
          <w:rFonts w:ascii="宋体" w:hAnsi="宋体"/>
          <w:color w:val="auto"/>
          <w:sz w:val="24"/>
          <w:szCs w:val="24"/>
          <w:highlight w:val="none"/>
        </w:rPr>
        <w:t xml:space="preserve">，点击“我要参与”——“参与”），</w:t>
      </w:r>
      <w:r>
        <w:rPr>
          <w:rFonts w:hint="eastAsia" w:ascii="宋体" w:hAnsi="宋体"/>
          <w:color w:val="auto"/>
          <w:sz w:val="24"/>
          <w:szCs w:val="24"/>
          <w:highlight w:val="none"/>
          <w:lang w:val="en-US" w:eastAsia="zh-CN"/>
        </w:rPr>
        <w:t xml:space="preserve">填写《响应供应商信息确认函》并签章提交，</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hint="eastAsia" w:ascii="宋体" w:hAnsi="宋体"/>
          <w:color w:val="auto"/>
          <w:sz w:val="24"/>
          <w:szCs w:val="24"/>
          <w:highlight w:val="none"/>
          <w:lang w:eastAsia="zh-CN"/>
        </w:rPr>
        <w:t xml:space="preserve">。点击“</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eastAsia="zh-CN"/>
        </w:rPr>
        <w:t xml:space="preserve">”按钮，上传响应文件并签章</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申请</w:t>
      </w:r>
      <w:r>
        <w:rPr>
          <w:rFonts w:ascii="宋体" w:hAnsi="宋体"/>
          <w:color w:val="auto"/>
          <w:sz w:val="24"/>
          <w:szCs w:val="24"/>
          <w:highlight w:val="none"/>
        </w:rPr>
        <w:t xml:space="preserve">文件无效。</w:t>
      </w:r>
      <w:r>
        <w:rPr>
          <w:rFonts w:hint="eastAsia" w:ascii="宋体" w:hAnsi="宋体"/>
          <w:color w:val="auto"/>
          <w:sz w:val="24"/>
          <w:szCs w:val="24"/>
          <w:highlight w:val="none"/>
        </w:rPr>
        <w:t xml:space="preserve">供应商首次提交电子申请文件的截止时间见本章第四条规定，征集人将按照《政府采购框架协议采购方式管理暂行办法》相关规定对供应商提交的申请文件进行审核，审核通过即确定供应商加入本次开放式框架协议采购，将在2个工作日内发布入围结果公告，并向入围供应商发放入围通知书；审核不通过，将通过“苏采云”平台退回供应商的申请文件并告知其未通过审核的原因。</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3.申请文件提交要求：</w:t>
      </w:r>
      <w:r>
        <w:rPr>
          <w:rFonts w:hint="eastAsia" w:ascii="宋体" w:hAnsi="宋体"/>
          <w:b/>
          <w:bCs/>
          <w:color w:val="auto"/>
          <w:sz w:val="28"/>
          <w:szCs w:val="28"/>
          <w:highlight w:val="none"/>
          <w:u w:val="single"/>
        </w:rPr>
        <w:t xml:space="preserve">从供应商首次提交申请文件的截止时间至框架协议期满前，供应商可以按照征集公告要求，随时提交加入框架协议的申请。</w:t>
      </w:r>
      <w:r>
        <w:rPr>
          <w:rFonts w:hint="eastAsia" w:ascii="宋体" w:hAnsi="宋体"/>
          <w:b/>
          <w:bCs/>
          <w:color w:val="auto"/>
          <w:sz w:val="28"/>
          <w:szCs w:val="28"/>
          <w:highlight w:val="none"/>
          <w:u w:val="single"/>
        </w:rPr>
        <w:t xml:space="preserve">征集人将在每</w:t>
      </w:r>
      <w:r>
        <w:rPr>
          <w:rFonts w:hint="eastAsia" w:ascii="宋体" w:hAnsi="宋体"/>
          <w:b/>
          <w:bCs/>
          <w:color w:val="auto"/>
          <w:sz w:val="28"/>
          <w:szCs w:val="28"/>
          <w:highlight w:val="none"/>
          <w:u w:val="single"/>
          <w:lang w:val="en-US" w:eastAsia="zh-CN"/>
        </w:rPr>
        <w:t xml:space="preserve">一个季度</w:t>
      </w:r>
      <w:r>
        <w:rPr>
          <w:rFonts w:hint="eastAsia" w:ascii="宋体" w:hAnsi="宋体"/>
          <w:b/>
          <w:bCs/>
          <w:color w:val="auto"/>
          <w:sz w:val="28"/>
          <w:szCs w:val="28"/>
          <w:highlight w:val="none"/>
          <w:u w:val="single"/>
        </w:rPr>
        <w:t xml:space="preserve">的前5个工作日内集中审核前</w:t>
      </w:r>
      <w:r>
        <w:rPr>
          <w:rFonts w:hint="eastAsia" w:ascii="宋体" w:hAnsi="宋体"/>
          <w:b/>
          <w:bCs/>
          <w:color w:val="auto"/>
          <w:sz w:val="28"/>
          <w:szCs w:val="28"/>
          <w:highlight w:val="none"/>
          <w:u w:val="single"/>
          <w:lang w:val="en-US" w:eastAsia="zh-CN"/>
        </w:rPr>
        <w:t xml:space="preserve">一个季度</w:t>
      </w:r>
      <w:r>
        <w:rPr>
          <w:rFonts w:hint="eastAsia" w:ascii="宋体" w:hAnsi="宋体"/>
          <w:b/>
          <w:bCs/>
          <w:color w:val="auto"/>
          <w:sz w:val="28"/>
          <w:szCs w:val="28"/>
          <w:highlight w:val="none"/>
          <w:u w:val="single"/>
        </w:rPr>
        <w:t xml:space="preserve">的所有申请文件，以此类推。框架协议周期最后</w:t>
      </w:r>
      <w:r>
        <w:rPr>
          <w:rFonts w:hint="eastAsia" w:ascii="宋体" w:hAnsi="宋体"/>
          <w:b/>
          <w:bCs/>
          <w:color w:val="auto"/>
          <w:sz w:val="28"/>
          <w:szCs w:val="28"/>
          <w:highlight w:val="none"/>
          <w:u w:val="single"/>
          <w:lang w:val="en-US" w:eastAsia="zh-CN"/>
        </w:rPr>
        <w:t xml:space="preserve">一个季度的</w:t>
      </w:r>
      <w:r>
        <w:rPr>
          <w:rFonts w:hint="eastAsia" w:ascii="宋体" w:hAnsi="宋体"/>
          <w:b/>
          <w:bCs/>
          <w:color w:val="auto"/>
          <w:sz w:val="28"/>
          <w:szCs w:val="28"/>
          <w:highlight w:val="none"/>
          <w:u w:val="single"/>
        </w:rPr>
        <w:t xml:space="preserve">申请文件将按照下一轮框架协议的要求进行审核。</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4.有关本次开放式框架协议采购的事项若存在变动或修改，敬请及时关注“江苏政府采购网”发布的信息更正公告。</w:t>
      </w:r>
      <w:r/>
    </w:p>
    <w:p>
      <w:pPr>
        <w:pStyle w:val="845"/>
        <w:ind w:firstLine="452"/>
        <w:keepLines w:val="0"/>
        <w:keepNext w:val="0"/>
        <w:spacing w:before="0" w:after="0" w:line="360" w:lineRule="auto"/>
        <w:rPr>
          <w:color w:val="auto"/>
          <w:sz w:val="30"/>
          <w:szCs w:val="30"/>
          <w:highlight w:val="none"/>
        </w:rPr>
      </w:pPr>
      <w:r/>
      <w:bookmarkStart w:id="27" w:name="_Toc35393627"/>
      <w:r/>
      <w:bookmarkStart w:id="28" w:name="_Toc28359008"/>
      <w:r/>
      <w:bookmarkStart w:id="29" w:name="_Toc28359085"/>
      <w:r/>
      <w:bookmarkStart w:id="30" w:name="_Toc38985269"/>
      <w:r/>
      <w:bookmarkStart w:id="31" w:name="_Toc35393796"/>
      <w:r>
        <w:rPr>
          <w:rFonts w:hint="eastAsia"/>
          <w:color w:val="auto"/>
          <w:sz w:val="30"/>
          <w:szCs w:val="30"/>
          <w:highlight w:val="none"/>
        </w:rPr>
        <w:t xml:space="preserve">六、</w:t>
      </w:r>
      <w:bookmarkEnd w:id="27"/>
      <w:r/>
      <w:bookmarkEnd w:id="28"/>
      <w:r/>
      <w:bookmarkEnd w:id="29"/>
      <w:r/>
      <w:bookmarkEnd w:id="30"/>
      <w:r/>
      <w:bookmarkEnd w:id="31"/>
      <w:r>
        <w:rPr>
          <w:rFonts w:hint="eastAsia"/>
          <w:color w:val="auto"/>
          <w:sz w:val="30"/>
          <w:szCs w:val="30"/>
          <w:highlight w:val="none"/>
        </w:rPr>
        <w:t xml:space="preserve">公告期限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（征集公告及征集文件公告期限）自本公告发布之日起5个工作日。</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七、申请</w:t>
      </w:r>
      <w:r>
        <w:rPr>
          <w:color w:val="auto"/>
          <w:sz w:val="30"/>
          <w:szCs w:val="30"/>
          <w:highlight w:val="none"/>
        </w:rPr>
        <w:t xml:space="preserve">文件</w:t>
      </w:r>
      <w:r>
        <w:rPr>
          <w:rFonts w:hint="eastAsia"/>
          <w:color w:val="auto"/>
          <w:sz w:val="30"/>
          <w:szCs w:val="30"/>
          <w:highlight w:val="none"/>
        </w:rPr>
        <w:t xml:space="preserve">有效期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申请文件有效期为申请文件网</w:t>
      </w:r>
      <w:r>
        <w:rPr>
          <w:rFonts w:ascii="宋体" w:hAnsi="宋体"/>
          <w:color w:val="auto"/>
          <w:sz w:val="24"/>
          <w:szCs w:val="24"/>
          <w:highlight w:val="none"/>
        </w:rPr>
        <w:t xml:space="preserve">上</w:t>
      </w:r>
      <w:r>
        <w:rPr>
          <w:rFonts w:hint="eastAsia" w:ascii="宋体" w:hAnsi="宋体"/>
          <w:color w:val="auto"/>
          <w:sz w:val="24"/>
          <w:szCs w:val="24"/>
          <w:highlight w:val="none"/>
        </w:rPr>
        <w:t xml:space="preserve">提交截止时间之日后9</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天。申请文件有效期比规定短的将被视为未实质性响应征集公告而予以拒绝。</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八、对本次征集提出询问，请按以下方式联系</w:t>
      </w:r>
      <w:r/>
    </w:p>
    <w:p>
      <w:pPr>
        <w:ind w:firstLine="480"/>
        <w:spacing w:line="360" w:lineRule="auto"/>
        <w:rPr>
          <w:rFonts w:ascii="宋体" w:hAnsi="宋体"/>
          <w:color w:val="auto"/>
          <w:sz w:val="24"/>
          <w:szCs w:val="24"/>
          <w:highlight w:val="none"/>
        </w:rPr>
      </w:pPr>
      <w:r/>
      <w:bookmarkStart w:id="32" w:name="_Toc28359010"/>
      <w:r/>
      <w:bookmarkStart w:id="33" w:name="_Toc28359087"/>
      <w:r>
        <w:rPr>
          <w:rFonts w:hint="eastAsia" w:ascii="宋体" w:hAnsi="宋体"/>
          <w:color w:val="auto"/>
          <w:sz w:val="24"/>
          <w:szCs w:val="24"/>
          <w:highlight w:val="none"/>
        </w:rPr>
        <w:t xml:space="preserve">1.征集人信息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无锡市公共资源交易中心</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    址：无锡市滨湖区观山路199号</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号楼</w:t>
      </w:r>
      <w:r>
        <w:rPr>
          <w:rFonts w:hint="eastAsia" w:ascii="宋体" w:hAnsi="宋体"/>
          <w:color w:val="auto"/>
          <w:sz w:val="24"/>
          <w:szCs w:val="24"/>
          <w:highlight w:val="none"/>
          <w:lang w:val="en-US" w:eastAsia="zh-CN"/>
        </w:rPr>
        <w:t xml:space="preserve">3楼</w:t>
      </w:r>
      <w:r/>
    </w:p>
    <w:p>
      <w:pPr>
        <w:ind w:firstLine="480"/>
        <w:spacing w:line="360" w:lineRule="auto"/>
        <w:rPr>
          <w:rFonts w:hint="default" w:ascii="宋体" w:hAnsi="宋体" w:eastAsia="宋体"/>
          <w:color w:val="auto"/>
          <w:sz w:val="24"/>
          <w:szCs w:val="24"/>
          <w:highlight w:val="none"/>
          <w:lang w:val="en-US" w:eastAsia="zh-CN"/>
        </w:rPr>
      </w:pPr>
      <w:r/>
      <w:bookmarkStart w:id="34" w:name="_Toc28359009"/>
      <w:r/>
      <w:bookmarkStart w:id="35" w:name="_Toc28359086"/>
      <w:r>
        <w:rPr>
          <w:rFonts w:hint="eastAsia" w:ascii="宋体" w:hAnsi="宋体"/>
          <w:color w:val="auto"/>
          <w:sz w:val="24"/>
          <w:szCs w:val="24"/>
          <w:highlight w:val="none"/>
        </w:rPr>
        <w:t xml:space="preserve">联 系 人：</w:t>
      </w:r>
      <w:r>
        <w:rPr>
          <w:rFonts w:hint="eastAsia" w:ascii="宋体" w:hAnsi="宋体"/>
          <w:color w:val="auto"/>
          <w:sz w:val="24"/>
          <w:szCs w:val="24"/>
          <w:highlight w:val="none"/>
          <w:lang w:val="en-US" w:eastAsia="zh-CN"/>
        </w:rPr>
        <w:t xml:space="preserve">蔡文珺</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联系方式：0510-818</w:t>
      </w:r>
      <w:r>
        <w:rPr>
          <w:rFonts w:hint="eastAsia" w:ascii="宋体" w:hAnsi="宋体"/>
          <w:color w:val="auto"/>
          <w:sz w:val="24"/>
          <w:szCs w:val="24"/>
          <w:highlight w:val="none"/>
          <w:lang w:val="en-US" w:eastAsia="zh-CN"/>
        </w:rPr>
        <w:t xml:space="preserve">27737</w:t>
      </w:r>
      <w:bookmarkEnd w:id="32"/>
      <w:bookmarkEnd w:id="33"/>
      <w:bookmarkEnd w:id="34"/>
      <w:bookmarkEnd w:id="35"/>
      <w:r/>
    </w:p>
    <w:p>
      <w:pPr>
        <w:jc w:val="center"/>
        <w:spacing w:line="360" w:lineRule="auto"/>
        <w:rPr>
          <w:rFonts w:ascii="黑体" w:eastAsia="黑体"/>
          <w:color w:val="auto"/>
          <w:sz w:val="44"/>
          <w:szCs w:val="44"/>
          <w:highlight w:val="none"/>
        </w:rPr>
      </w:pPr>
      <w:r/>
      <w:bookmarkStart w:id="36" w:name="_Toc120614211"/>
      <w:r>
        <w:rPr>
          <w:rFonts w:ascii="宋体" w:hAnsi="宋体"/>
          <w:color w:val="auto"/>
          <w:sz w:val="24"/>
          <w:szCs w:val="24"/>
          <w:highlight w:val="none"/>
        </w:rPr>
        <w:br w:type="page" w:clear="all"/>
      </w:r>
      <w:r>
        <w:rPr>
          <w:rFonts w:hint="eastAsia" w:ascii="黑体" w:eastAsia="黑体"/>
          <w:color w:val="auto"/>
          <w:sz w:val="44"/>
          <w:szCs w:val="44"/>
          <w:highlight w:val="none"/>
        </w:rPr>
        <w:t xml:space="preserve">第二章  </w:t>
      </w:r>
      <w:bookmarkEnd w:id="1"/>
      <w:r/>
      <w:bookmarkEnd w:id="2"/>
      <w:r/>
      <w:bookmarkEnd w:id="3"/>
      <w:r/>
      <w:bookmarkEnd w:id="4"/>
      <w:r/>
      <w:bookmarkEnd w:id="5"/>
      <w:r/>
      <w:bookmarkEnd w:id="36"/>
      <w:r/>
      <w:bookmarkStart w:id="37" w:name="_Toc513029202"/>
      <w:r/>
      <w:bookmarkStart w:id="38" w:name="_Toc20823274"/>
      <w:r/>
      <w:bookmarkStart w:id="39" w:name="_Toc16938518"/>
      <w:r/>
      <w:bookmarkStart w:id="40" w:name="_Toc120614213"/>
      <w:r>
        <w:rPr>
          <w:rFonts w:hint="eastAsia" w:ascii="黑体" w:eastAsia="黑体"/>
          <w:color w:val="auto"/>
          <w:sz w:val="44"/>
          <w:szCs w:val="44"/>
          <w:highlight w:val="none"/>
        </w:rPr>
        <w:t xml:space="preserve">供应商须知</w:t>
      </w:r>
      <w:bookmarkEnd w:id="37"/>
      <w:r/>
      <w:bookmarkEnd w:id="38"/>
      <w:r/>
      <w:bookmarkEnd w:id="39"/>
      <w:r/>
      <w:bookmarkEnd w:id="40"/>
      <w:r/>
      <w:bookmarkStart w:id="41" w:name="_Toc20823275"/>
      <w:r/>
      <w:bookmarkStart w:id="42" w:name="_Toc16938519"/>
      <w:r/>
      <w:bookmarkStart w:id="43" w:name="_Toc513029203"/>
      <w:r/>
      <w:bookmarkStart w:id="44" w:name="_Toc120614214"/>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一、总则</w:t>
      </w:r>
      <w:bookmarkEnd w:id="41"/>
      <w:r/>
      <w:bookmarkEnd w:id="42"/>
      <w:r/>
      <w:bookmarkEnd w:id="43"/>
      <w:r/>
      <w:bookmarkEnd w:id="44"/>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45" w:name="_Hlt16619475"/>
      <w:r/>
      <w:bookmarkEnd w:id="45"/>
      <w:r/>
      <w:bookmarkStart w:id="46" w:name="_Toc458694821"/>
      <w:r/>
      <w:bookmarkStart w:id="47" w:name="_Toc513029204"/>
      <w:r/>
      <w:bookmarkStart w:id="48" w:name="_Toc16938520"/>
      <w:r/>
      <w:bookmarkStart w:id="49" w:name="_Toc20823276"/>
      <w:r>
        <w:rPr>
          <w:rFonts w:hint="eastAsia" w:ascii="宋体" w:hAnsi="宋体" w:eastAsia="宋体" w:cs="Times New Roman"/>
          <w:bCs w:val="0"/>
          <w:color w:val="auto"/>
          <w:highlight w:val="none"/>
        </w:rPr>
        <w:t xml:space="preserve">1</w:t>
      </w:r>
      <w:bookmarkEnd w:id="46"/>
      <w:r>
        <w:rPr>
          <w:rFonts w:hint="eastAsia" w:ascii="宋体" w:hAnsi="宋体" w:eastAsia="宋体" w:cs="Times New Roman"/>
          <w:bCs w:val="0"/>
          <w:color w:val="auto"/>
          <w:highlight w:val="none"/>
        </w:rPr>
        <w:t xml:space="preserve">. 采购方式</w:t>
      </w:r>
      <w:bookmarkEnd w:id="47"/>
      <w:r/>
      <w:bookmarkEnd w:id="48"/>
      <w:r/>
      <w:bookmarkEnd w:id="4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本次项目采用开放式框架协议采购方式，本征集文件仅适用于征集公告中所述项目。</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50" w:name="_Toc16938521"/>
      <w:r/>
      <w:bookmarkStart w:id="51" w:name="_Toc20823277"/>
      <w:r/>
      <w:bookmarkStart w:id="52" w:name="_Toc513029205"/>
      <w:r>
        <w:rPr>
          <w:rFonts w:hint="eastAsia" w:ascii="宋体" w:hAnsi="宋体" w:eastAsia="宋体" w:cs="Times New Roman"/>
          <w:bCs w:val="0"/>
          <w:color w:val="auto"/>
          <w:highlight w:val="none"/>
        </w:rPr>
        <w:t xml:space="preserve">2. </w:t>
      </w:r>
      <w:bookmarkEnd w:id="50"/>
      <w:r/>
      <w:bookmarkEnd w:id="51"/>
      <w:r/>
      <w:bookmarkEnd w:id="52"/>
      <w:r>
        <w:rPr>
          <w:rFonts w:hint="eastAsia" w:ascii="宋体" w:hAnsi="宋体" w:eastAsia="宋体" w:cs="Times New Roman"/>
          <w:bCs w:val="0"/>
          <w:color w:val="auto"/>
          <w:highlight w:val="none"/>
          <w:lang w:val="en-US" w:eastAsia="zh-CN"/>
        </w:rPr>
        <w:t xml:space="preserve">征集人、</w:t>
      </w:r>
      <w:r>
        <w:rPr>
          <w:rFonts w:hint="eastAsia" w:ascii="宋体" w:hAnsi="宋体" w:eastAsia="宋体" w:cs="Times New Roman"/>
          <w:bCs w:val="0"/>
          <w:color w:val="auto"/>
          <w:highlight w:val="none"/>
        </w:rPr>
        <w:t xml:space="preserve">供应商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2.1征集人：负责征集程序和订立框架协议的集中采购机构或者主管预算单位。本项目征集人及其相关信息详见第一章《参加征集活动的邀请》。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2.2供应商：是指响应及参加征集活动的法人、其他组织或者自然人。合格的供应商应满足征集公告中供应商的资格要求以及本文件实质性要求和条件的规定。</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53" w:name="_Toc513029206"/>
      <w:r/>
      <w:bookmarkStart w:id="54" w:name="_Toc20823278"/>
      <w:r/>
      <w:bookmarkStart w:id="55" w:name="_Toc16938522"/>
      <w:r>
        <w:rPr>
          <w:rFonts w:hint="eastAsia" w:ascii="宋体" w:hAnsi="宋体" w:eastAsia="宋体" w:cs="Times New Roman"/>
          <w:bCs w:val="0"/>
          <w:color w:val="auto"/>
          <w:highlight w:val="none"/>
        </w:rPr>
        <w:t xml:space="preserve">3. 适用法律</w:t>
      </w:r>
      <w:bookmarkEnd w:id="53"/>
      <w:r/>
      <w:bookmarkEnd w:id="54"/>
      <w:r/>
      <w:bookmarkEnd w:id="5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本次开放式框架协议采购活动（以下简称采购活动）及由此产生的框架协议文本和采购合同文本受中华人民共和国有关的法律法规制约和保护</w:t>
      </w:r>
      <w:r>
        <w:rPr>
          <w:rFonts w:ascii="宋体" w:hAnsi="宋体"/>
          <w:color w:val="auto"/>
          <w:sz w:val="24"/>
          <w:highlight w:val="none"/>
        </w:rPr>
        <w:t xml:space="preserve">。</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56" w:name="_Toc462564067"/>
      <w:r/>
      <w:bookmarkStart w:id="57" w:name="_Toc20823279"/>
      <w:r/>
      <w:bookmarkStart w:id="58" w:name="_Toc513029207"/>
      <w:r/>
      <w:bookmarkStart w:id="59" w:name="_Toc16938523"/>
      <w:r>
        <w:rPr>
          <w:rFonts w:hint="eastAsia" w:ascii="宋体" w:hAnsi="宋体" w:eastAsia="宋体" w:cs="Times New Roman"/>
          <w:bCs w:val="0"/>
          <w:color w:val="auto"/>
          <w:highlight w:val="none"/>
        </w:rPr>
        <w:t xml:space="preserve">4. 参加采购活动的费用</w:t>
      </w:r>
      <w:bookmarkEnd w:id="56"/>
      <w:r/>
      <w:bookmarkEnd w:id="57"/>
      <w:r/>
      <w:bookmarkEnd w:id="58"/>
      <w:r/>
      <w:bookmarkEnd w:id="5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 供应商应自行承担所有与参加采购活动有关的费用，无论采购活动过程中的做法和结果如何，征集人</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无锡市公共资源交易中心（以下简称交易中心）在任何情况下均无义务和责任承担这些费用。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4.2本次采购活动不收取文件工本费与代理服务费。不收取履约保证金。</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5. 征集文件的约束力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 供应商一旦参加本项目采购活动，即被认为接受了本征集文件的规定和约束。</w:t>
      </w:r>
      <w:r/>
    </w:p>
    <w:p>
      <w:pPr>
        <w:pStyle w:val="845"/>
        <w:ind w:firstLine="452"/>
        <w:keepLines w:val="0"/>
        <w:keepNext w:val="0"/>
        <w:spacing w:before="0" w:after="0" w:line="360" w:lineRule="auto"/>
        <w:rPr>
          <w:color w:val="auto"/>
          <w:sz w:val="30"/>
          <w:szCs w:val="30"/>
          <w:highlight w:val="none"/>
        </w:rPr>
      </w:pPr>
      <w:r/>
      <w:bookmarkStart w:id="60" w:name="_Toc20823281"/>
      <w:r/>
      <w:bookmarkStart w:id="61" w:name="_Toc513029209"/>
      <w:r/>
      <w:bookmarkStart w:id="62" w:name="_Toc120614215"/>
      <w:r/>
      <w:bookmarkStart w:id="63" w:name="_Toc16938525"/>
      <w:r>
        <w:rPr>
          <w:rFonts w:hint="eastAsia"/>
          <w:color w:val="auto"/>
          <w:sz w:val="30"/>
          <w:szCs w:val="30"/>
          <w:highlight w:val="none"/>
        </w:rPr>
        <w:t xml:space="preserve">二、征集文件</w:t>
      </w:r>
      <w:bookmarkEnd w:id="60"/>
      <w:r/>
      <w:bookmarkEnd w:id="61"/>
      <w:r/>
      <w:bookmarkEnd w:id="62"/>
      <w:r/>
      <w:bookmarkEnd w:id="63"/>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64" w:name="_Toc20823282"/>
      <w:r/>
      <w:bookmarkStart w:id="65" w:name="_Toc16938526"/>
      <w:r/>
      <w:bookmarkStart w:id="66" w:name="_Toc513029210"/>
      <w:r>
        <w:rPr>
          <w:rFonts w:hint="eastAsia" w:ascii="宋体" w:hAnsi="宋体" w:eastAsia="宋体" w:cs="Times New Roman"/>
          <w:bCs w:val="0"/>
          <w:color w:val="auto"/>
          <w:highlight w:val="none"/>
        </w:rPr>
        <w:t xml:space="preserve">6. 征集文件构成</w:t>
      </w:r>
      <w:bookmarkEnd w:id="64"/>
      <w:r/>
      <w:bookmarkEnd w:id="65"/>
      <w:r/>
      <w:bookmarkEnd w:id="6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征集文件由以下部分组成：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.1.1</w:t>
      </w:r>
      <w:r>
        <w:rPr>
          <w:rFonts w:hint="eastAsia" w:ascii="宋体" w:hAnsi="宋体"/>
          <w:color w:val="auto"/>
          <w:sz w:val="24"/>
          <w:highlight w:val="none"/>
        </w:rPr>
        <w:t xml:space="preserve">参加征集活动的邀请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6.1.2供应商须知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.1.3</w:t>
      </w:r>
      <w:r>
        <w:rPr>
          <w:rFonts w:hint="eastAsia" w:ascii="宋体" w:hAnsi="宋体"/>
          <w:color w:val="auto"/>
          <w:sz w:val="24"/>
          <w:highlight w:val="none"/>
        </w:rPr>
        <w:t xml:space="preserve">采购合同</w:t>
      </w:r>
      <w:r>
        <w:rPr>
          <w:rFonts w:ascii="宋体" w:hAnsi="宋体"/>
          <w:color w:val="auto"/>
          <w:sz w:val="24"/>
          <w:highlight w:val="none"/>
        </w:rPr>
        <w:t xml:space="preserve">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6.1.5确定入围及成交供应商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6.1.6申请文件格式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请仔细检查征集文件是否齐全，如有缺漏请立即与征集人联系解决。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供应商应认真阅读征集文件中所有的事项、格式、条款和规范等要求。按征集文件的要求和规定编制申请文件，并保证所提供的全部资料的真实性，否则其风险由供应商自行承担。</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67" w:name="_Toc513029211"/>
      <w:r/>
      <w:bookmarkStart w:id="68" w:name="_Toc16938527"/>
      <w:r/>
      <w:bookmarkStart w:id="69" w:name="_Toc20823283"/>
      <w:r/>
      <w:bookmarkStart w:id="70" w:name="_Toc462564070"/>
      <w:r>
        <w:rPr>
          <w:rFonts w:hint="eastAsia" w:ascii="宋体" w:hAnsi="宋体" w:eastAsia="宋体" w:cs="Times New Roman"/>
          <w:bCs w:val="0"/>
          <w:color w:val="auto"/>
          <w:highlight w:val="none"/>
        </w:rPr>
        <w:t xml:space="preserve">7. 征集文件的澄清</w:t>
      </w:r>
      <w:bookmarkEnd w:id="67"/>
      <w:r/>
      <w:bookmarkEnd w:id="68"/>
      <w:r/>
      <w:bookmarkEnd w:id="69"/>
      <w:r/>
      <w:bookmarkEnd w:id="70"/>
      <w:r/>
      <w:r/>
    </w:p>
    <w:p>
      <w:pPr>
        <w:ind w:firstLine="480"/>
        <w:spacing w:line="360" w:lineRule="auto"/>
        <w:rPr>
          <w:rFonts w:hint="eastAsia" w:ascii="宋体" w:hAnsi="宋体"/>
          <w:color w:val="auto"/>
          <w:sz w:val="24"/>
          <w:highlight w:val="none"/>
        </w:rPr>
      </w:pPr>
      <w:r/>
      <w:bookmarkStart w:id="71" w:name="_Toc16938528"/>
      <w:r/>
      <w:bookmarkStart w:id="72" w:name="_Toc20823284"/>
      <w:r/>
      <w:bookmarkStart w:id="73" w:name="_Toc462564071"/>
      <w:r/>
      <w:bookmarkStart w:id="74" w:name="_Toc513029212"/>
      <w:r>
        <w:rPr>
          <w:rFonts w:hint="eastAsia" w:ascii="宋体" w:hAnsi="宋体"/>
          <w:color w:val="auto"/>
          <w:sz w:val="24"/>
          <w:highlight w:val="none"/>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8. 征集文件的修改</w:t>
      </w:r>
      <w:bookmarkEnd w:id="71"/>
      <w:r/>
      <w:bookmarkEnd w:id="72"/>
      <w:r/>
      <w:bookmarkEnd w:id="73"/>
      <w:r/>
      <w:bookmarkEnd w:id="7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征集人有权根据需要对征集文件进行修改。征集文件的修改将在“江苏政府采购网”公布，补充文件将作为征集文件的组成部分，并对供应商具有约束力。因供应商未尽注意义务，未及时更新上传申请文件或未全面地关注更正公告导致其提交的相应材料不符合本项目相关要求，而造成的损失及风险由供应商自行承担。</w:t>
      </w:r>
      <w:r/>
    </w:p>
    <w:p>
      <w:pPr>
        <w:pStyle w:val="845"/>
        <w:ind w:firstLine="452"/>
        <w:keepLines w:val="0"/>
        <w:keepNext w:val="0"/>
        <w:spacing w:before="0" w:after="0" w:line="360" w:lineRule="auto"/>
        <w:rPr>
          <w:color w:val="auto"/>
          <w:sz w:val="30"/>
          <w:szCs w:val="30"/>
          <w:highlight w:val="none"/>
        </w:rPr>
      </w:pPr>
      <w:r/>
      <w:bookmarkStart w:id="75" w:name="_Toc120614216"/>
      <w:r/>
      <w:bookmarkStart w:id="76" w:name="_Toc20823285"/>
      <w:r/>
      <w:bookmarkStart w:id="77" w:name="_Toc16938529"/>
      <w:r/>
      <w:bookmarkStart w:id="78" w:name="_Toc462564072"/>
      <w:r/>
      <w:bookmarkStart w:id="79" w:name="_Toc513029213"/>
      <w:r>
        <w:rPr>
          <w:rFonts w:hint="eastAsia"/>
          <w:color w:val="auto"/>
          <w:sz w:val="30"/>
          <w:szCs w:val="30"/>
          <w:highlight w:val="none"/>
        </w:rPr>
        <w:t xml:space="preserve">三、申请文件的编制</w:t>
      </w:r>
      <w:bookmarkEnd w:id="75"/>
      <w:r/>
      <w:bookmarkEnd w:id="76"/>
      <w:r/>
      <w:bookmarkEnd w:id="77"/>
      <w:r/>
      <w:bookmarkEnd w:id="78"/>
      <w:r/>
      <w:bookmarkEnd w:id="79"/>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80" w:name="_Toc20823286"/>
      <w:r/>
      <w:bookmarkStart w:id="81" w:name="_Toc513029214"/>
      <w:r/>
      <w:bookmarkStart w:id="82" w:name="_Toc462564073"/>
      <w:r/>
      <w:bookmarkStart w:id="83" w:name="_Toc16938530"/>
      <w:r>
        <w:rPr>
          <w:rFonts w:hint="eastAsia" w:ascii="宋体" w:hAnsi="宋体" w:eastAsia="宋体" w:cs="Times New Roman"/>
          <w:bCs w:val="0"/>
          <w:color w:val="auto"/>
          <w:highlight w:val="none"/>
        </w:rPr>
        <w:t xml:space="preserve">9. 申请文件的语言及度量衡单位</w:t>
      </w:r>
      <w:bookmarkEnd w:id="80"/>
      <w:r/>
      <w:bookmarkEnd w:id="81"/>
      <w:r/>
      <w:bookmarkEnd w:id="82"/>
      <w:r/>
      <w:bookmarkEnd w:id="8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供应商提交的申请文件以及供应商与征集人就采购活动的所有来往通知、函件和文件均应使用简体中文（规格、型号辅助符号例外）。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除技术性能另有规定外，申请文件所使用的度量衡单位，均须采用国家法定计量单位。</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84" w:name="_Toc513029215"/>
      <w:r/>
      <w:bookmarkStart w:id="85" w:name="_Toc462564074"/>
      <w:r/>
      <w:bookmarkStart w:id="86" w:name="_Toc16938531"/>
      <w:r/>
      <w:bookmarkStart w:id="87" w:name="_Toc20823287"/>
      <w:r>
        <w:rPr>
          <w:rFonts w:hint="eastAsia" w:ascii="宋体" w:hAnsi="宋体" w:eastAsia="宋体" w:cs="Times New Roman"/>
          <w:bCs w:val="0"/>
          <w:color w:val="auto"/>
          <w:highlight w:val="none"/>
        </w:rPr>
        <w:t xml:space="preserve">10. 申请文件构成</w:t>
      </w:r>
      <w:bookmarkEnd w:id="84"/>
      <w:r/>
      <w:bookmarkEnd w:id="85"/>
      <w:r/>
      <w:bookmarkEnd w:id="86"/>
      <w:r/>
      <w:bookmarkEnd w:id="8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供应商编写的申请文件应包括资格证明文件、响应报价</w:t>
      </w:r>
      <w:r>
        <w:rPr>
          <w:rFonts w:ascii="宋体" w:hAnsi="宋体"/>
          <w:color w:val="auto"/>
          <w:sz w:val="24"/>
          <w:highlight w:val="none"/>
        </w:rPr>
        <w:t xml:space="preserve">明细表、</w:t>
      </w:r>
      <w:r>
        <w:rPr>
          <w:rFonts w:hint="eastAsia" w:ascii="宋体" w:hAnsi="宋体"/>
          <w:color w:val="auto"/>
          <w:sz w:val="24"/>
          <w:highlight w:val="none"/>
        </w:rPr>
        <w:t xml:space="preserve">承诺函、响应函等部分。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如申请文件制作工具中格式和内容与“江苏政府采购网”发布的征集文件不一致，请以“江苏政府采购网”发布的征集文件为准。</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88" w:name="_Hlt26668975"/>
      <w:r/>
      <w:bookmarkEnd w:id="88"/>
      <w:r/>
      <w:bookmarkStart w:id="89" w:name="_Hlt26954838"/>
      <w:r/>
      <w:bookmarkEnd w:id="89"/>
      <w:r/>
      <w:bookmarkStart w:id="90" w:name="_Hlt26670360"/>
      <w:r/>
      <w:bookmarkEnd w:id="90"/>
      <w:r>
        <w:rPr>
          <w:rFonts w:hint="eastAsia" w:ascii="宋体" w:hAnsi="宋体" w:eastAsia="宋体" w:cs="Times New Roman"/>
          <w:bCs w:val="0"/>
          <w:color w:val="auto"/>
          <w:highlight w:val="none"/>
        </w:rPr>
        <w:t xml:space="preserve">11. 响应报价</w:t>
      </w:r>
      <w:r>
        <w:rPr>
          <w:rFonts w:ascii="宋体" w:hAnsi="宋体" w:eastAsia="宋体" w:cs="Times New Roman"/>
          <w:bCs w:val="0"/>
          <w:color w:val="auto"/>
          <w:highlight w:val="none"/>
        </w:rPr>
        <w:t xml:space="preserve">明细表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 供应商应按照征集文件规定的格式完整、正确填写响应报价明细表。</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91" w:name="_Hlt26670486"/>
      <w:r/>
      <w:bookmarkEnd w:id="91"/>
      <w:r/>
      <w:bookmarkStart w:id="92" w:name="_Hlt26954846"/>
      <w:r/>
      <w:bookmarkEnd w:id="92"/>
      <w:r/>
      <w:bookmarkStart w:id="93" w:name="_Hlt26954731"/>
      <w:r/>
      <w:bookmarkEnd w:id="93"/>
      <w:r/>
      <w:bookmarkStart w:id="94" w:name="_Hlt26670482"/>
      <w:r/>
      <w:bookmarkEnd w:id="94"/>
      <w:r/>
      <w:bookmarkStart w:id="95" w:name="_Hlt26954848"/>
      <w:r/>
      <w:bookmarkEnd w:id="95"/>
      <w:r>
        <w:rPr>
          <w:rFonts w:hint="eastAsia" w:ascii="宋体" w:hAnsi="宋体" w:eastAsia="宋体" w:cs="Times New Roman"/>
          <w:bCs w:val="0"/>
          <w:color w:val="auto"/>
          <w:highlight w:val="none"/>
        </w:rPr>
        <w:t xml:space="preserve">12. 承诺函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12.1供应商应按照征集文件中规定的格式完整、正确填写承诺函。</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96" w:name="_Toc14577359"/>
      <w:r/>
      <w:bookmarkStart w:id="97" w:name="_Toc49090510"/>
      <w:r>
        <w:rPr>
          <w:rFonts w:hint="eastAsia" w:ascii="宋体" w:hAnsi="宋体" w:eastAsia="宋体" w:cs="Times New Roman"/>
          <w:bCs w:val="0"/>
          <w:color w:val="auto"/>
          <w:highlight w:val="none"/>
        </w:rPr>
        <w:t xml:space="preserve">13. 响应函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13.1 供应商应按照征集文件中规定的格式完整、正确填写响应函。</w:t>
      </w:r>
      <w:bookmarkEnd w:id="96"/>
      <w:r/>
      <w:bookmarkEnd w:id="97"/>
      <w:r/>
      <w:r/>
    </w:p>
    <w:p>
      <w:pPr>
        <w:pStyle w:val="845"/>
        <w:ind w:firstLine="452"/>
        <w:keepLines w:val="0"/>
        <w:keepNext w:val="0"/>
        <w:spacing w:before="0" w:after="0" w:line="360" w:lineRule="auto"/>
        <w:rPr>
          <w:color w:val="auto"/>
          <w:sz w:val="30"/>
          <w:szCs w:val="30"/>
          <w:highlight w:val="none"/>
        </w:rPr>
      </w:pPr>
      <w:r/>
      <w:bookmarkStart w:id="98" w:name="_Hlt26954739"/>
      <w:r/>
      <w:bookmarkEnd w:id="98"/>
      <w:r/>
      <w:bookmarkStart w:id="99" w:name="_Hlt26954852"/>
      <w:r/>
      <w:bookmarkEnd w:id="99"/>
      <w:r/>
      <w:bookmarkStart w:id="100" w:name="_Toc120614217"/>
      <w:r/>
      <w:bookmarkStart w:id="101" w:name="_Toc513029224"/>
      <w:r/>
      <w:bookmarkStart w:id="102" w:name="_Toc16938540"/>
      <w:r/>
      <w:bookmarkStart w:id="103" w:name="_Toc20823296"/>
      <w:r>
        <w:rPr>
          <w:rFonts w:hint="eastAsia"/>
          <w:color w:val="auto"/>
          <w:sz w:val="30"/>
          <w:szCs w:val="30"/>
          <w:highlight w:val="none"/>
        </w:rPr>
        <w:t xml:space="preserve">四、申请文件的递交</w:t>
      </w:r>
      <w:bookmarkEnd w:id="100"/>
      <w:r/>
      <w:bookmarkEnd w:id="101"/>
      <w:r/>
      <w:bookmarkEnd w:id="102"/>
      <w:r/>
      <w:bookmarkEnd w:id="103"/>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104" w:name="_Toc16938541"/>
      <w:r/>
      <w:bookmarkStart w:id="105" w:name="_Toc462564084"/>
      <w:r/>
      <w:bookmarkStart w:id="106" w:name="_Toc20823297"/>
      <w:r/>
      <w:bookmarkStart w:id="107" w:name="_Toc513029225"/>
      <w:r>
        <w:rPr>
          <w:rFonts w:hint="eastAsia" w:ascii="宋体" w:hAnsi="宋体" w:eastAsia="宋体" w:cs="Times New Roman"/>
          <w:bCs w:val="0"/>
          <w:color w:val="auto"/>
          <w:highlight w:val="none"/>
        </w:rPr>
        <w:t xml:space="preserve">14. 电子申请文件</w:t>
      </w:r>
      <w:bookmarkEnd w:id="104"/>
      <w:r/>
      <w:bookmarkEnd w:id="105"/>
      <w:r/>
      <w:bookmarkEnd w:id="106"/>
      <w:r/>
      <w:bookmarkEnd w:id="107"/>
      <w:r>
        <w:rPr>
          <w:rFonts w:hint="eastAsia" w:ascii="宋体" w:hAnsi="宋体" w:eastAsia="宋体" w:cs="Times New Roman"/>
          <w:bCs w:val="0"/>
          <w:color w:val="auto"/>
          <w:highlight w:val="none"/>
        </w:rPr>
        <w:t xml:space="preserve">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供应商应当按照《操作手册》规定</w:t>
      </w:r>
      <w:r>
        <w:rPr>
          <w:rFonts w:ascii="宋体" w:hAnsi="宋体"/>
          <w:color w:val="auto"/>
          <w:sz w:val="24"/>
          <w:highlight w:val="none"/>
        </w:rPr>
        <w:t xml:space="preserve">制作</w:t>
      </w:r>
      <w:r>
        <w:rPr>
          <w:rFonts w:hint="eastAsia" w:ascii="宋体" w:hAnsi="宋体"/>
          <w:color w:val="auto"/>
          <w:sz w:val="24"/>
          <w:highlight w:val="none"/>
        </w:rPr>
        <w:t xml:space="preserve">并上传电子申请文件。</w:t>
      </w:r>
      <w:bookmarkStart w:id="108" w:name="_Toc513029226"/>
      <w:r/>
      <w:bookmarkStart w:id="109" w:name="_Toc16938542"/>
      <w:r/>
      <w:bookmarkStart w:id="110" w:name="_Toc20823298"/>
      <w:r/>
      <w:bookmarkEnd w:id="108"/>
      <w:bookmarkEnd w:id="109"/>
      <w:bookmarkEnd w:id="110"/>
      <w:r/>
    </w:p>
    <w:p>
      <w:pPr>
        <w:pStyle w:val="845"/>
        <w:ind w:firstLine="452"/>
        <w:keepLines w:val="0"/>
        <w:keepNext w:val="0"/>
        <w:spacing w:before="0" w:after="0" w:line="360" w:lineRule="auto"/>
        <w:rPr>
          <w:color w:val="auto"/>
          <w:sz w:val="30"/>
          <w:szCs w:val="30"/>
          <w:highlight w:val="none"/>
        </w:rPr>
      </w:pPr>
      <w:r/>
      <w:bookmarkStart w:id="111" w:name="_Toc120614218"/>
      <w:r/>
      <w:bookmarkStart w:id="112" w:name="_Toc513029229"/>
      <w:r/>
      <w:bookmarkStart w:id="113" w:name="_Toc16938545"/>
      <w:r/>
      <w:bookmarkStart w:id="114" w:name="_Toc20823301"/>
      <w:r>
        <w:rPr>
          <w:rFonts w:hint="eastAsia"/>
          <w:color w:val="auto"/>
          <w:sz w:val="30"/>
          <w:szCs w:val="30"/>
          <w:highlight w:val="none"/>
        </w:rPr>
        <w:t xml:space="preserve">五、</w:t>
      </w:r>
      <w:bookmarkEnd w:id="111"/>
      <w:r/>
      <w:bookmarkEnd w:id="112"/>
      <w:r/>
      <w:bookmarkEnd w:id="113"/>
      <w:r/>
      <w:bookmarkEnd w:id="114"/>
      <w:r>
        <w:rPr>
          <w:rFonts w:hint="eastAsia"/>
          <w:color w:val="auto"/>
          <w:sz w:val="30"/>
          <w:szCs w:val="30"/>
          <w:highlight w:val="none"/>
        </w:rPr>
        <w:t xml:space="preserve">申请文件的审核</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115" w:name="_Toc16938549"/>
      <w:r/>
      <w:bookmarkStart w:id="116" w:name="_Toc513029233"/>
      <w:r/>
      <w:bookmarkStart w:id="117" w:name="_Toc20823305"/>
      <w:r>
        <w:rPr>
          <w:rFonts w:hint="eastAsia" w:ascii="宋体" w:hAnsi="宋体" w:eastAsia="宋体" w:cs="Times New Roman"/>
          <w:bCs w:val="0"/>
          <w:color w:val="auto"/>
          <w:highlight w:val="none"/>
        </w:rPr>
        <w:t xml:space="preserve">1</w:t>
      </w:r>
      <w:bookmarkEnd w:id="115"/>
      <w:r/>
      <w:bookmarkEnd w:id="116"/>
      <w:r/>
      <w:bookmarkEnd w:id="117"/>
      <w:r>
        <w:rPr>
          <w:rFonts w:hint="eastAsia" w:ascii="宋体" w:hAnsi="宋体" w:eastAsia="宋体" w:cs="Times New Roman"/>
          <w:bCs w:val="0"/>
          <w:color w:val="auto"/>
          <w:highlight w:val="none"/>
        </w:rPr>
        <w:t xml:space="preserve">5. 供应商资格审查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15.1征集人将依据《政府采购框架协议采购方式管理暂行办法》的规定,按照征集文件中列明的资格要求对供应商进行资格审查。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进行资格审查的同时，征集人将在“信用中国”网站（www.creditchina.gov.cn）、中国政府采购网(www.ccgp.gov.cn)查询供应商的信用记录，以确定供应商是否具备参加本次开放式框架协议采购的资格。查询结果将以网页打印的形式留存并归档。</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16. 申请文件审核不通过的情形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16.1供应商不具备征集文件中规定资格要求的。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16.2供应商所报产品单价超过了最高限制单价的。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16.3供应商被“信用中国”网站（www.creditchina.gov.cn）、中国政府采购网(www.ccgp.gov.cn)列入失信被执行人或重大税收违法案件当事人名单或政府采购严重失信行为记录名单。或查询“信用中国”网站、中国政府采购网后发现供应商存在其他不符合《中华人民共和国政府采购法》第二十二条规定条件的信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16.4 申请文件含有征集人不能接受的附加条件的。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16.5 申请文件未按照征集文件要求加盖电子签章。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16.6 申请文件不满足征集文件中</w:t>
      </w:r>
      <w:r>
        <w:rPr>
          <w:rFonts w:hint="eastAsia" w:ascii="宋体" w:hAnsi="宋体"/>
          <w:i/>
          <w:color w:val="auto"/>
          <w:sz w:val="24"/>
          <w:highlight w:val="none"/>
          <w:u w:val="single"/>
        </w:rPr>
        <w:t xml:space="preserve">加斜体下划线</w:t>
      </w:r>
      <w:r>
        <w:rPr>
          <w:rFonts w:hint="eastAsia" w:ascii="宋体" w:hAnsi="宋体"/>
          <w:color w:val="auto"/>
          <w:sz w:val="24"/>
          <w:highlight w:val="none"/>
        </w:rPr>
        <w:t xml:space="preserve">或打“★”内容的要求。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申请文件审核不通过的，征集人将通过“苏采云”平台退回供应商的申请文件并告知其未通过审核的原因。</w:t>
      </w:r>
      <w:r/>
    </w:p>
    <w:p>
      <w:pPr>
        <w:pStyle w:val="845"/>
        <w:ind w:firstLine="452"/>
        <w:keepLines w:val="0"/>
        <w:keepNext w:val="0"/>
        <w:spacing w:before="0" w:after="0" w:line="360" w:lineRule="auto"/>
        <w:rPr>
          <w:color w:val="auto"/>
          <w:sz w:val="30"/>
          <w:szCs w:val="30"/>
          <w:highlight w:val="none"/>
        </w:rPr>
      </w:pPr>
      <w:r/>
      <w:bookmarkStart w:id="118" w:name="_Toc513029235"/>
      <w:r/>
      <w:bookmarkStart w:id="119" w:name="_Toc20823307"/>
      <w:r/>
      <w:bookmarkStart w:id="120" w:name="_Toc120614219"/>
      <w:r/>
      <w:bookmarkStart w:id="121" w:name="_Toc16938551"/>
      <w:r>
        <w:rPr>
          <w:rFonts w:hint="eastAsia"/>
          <w:color w:val="auto"/>
          <w:sz w:val="30"/>
          <w:szCs w:val="30"/>
          <w:highlight w:val="none"/>
        </w:rPr>
        <w:t xml:space="preserve">六、</w:t>
      </w:r>
      <w:bookmarkEnd w:id="118"/>
      <w:r/>
      <w:bookmarkEnd w:id="119"/>
      <w:r/>
      <w:bookmarkEnd w:id="120"/>
      <w:r/>
      <w:bookmarkEnd w:id="121"/>
      <w:r>
        <w:rPr>
          <w:rFonts w:hint="eastAsia"/>
          <w:color w:val="auto"/>
          <w:sz w:val="30"/>
          <w:szCs w:val="30"/>
          <w:highlight w:val="none"/>
        </w:rPr>
        <w:t xml:space="preserve">入围及退出</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122" w:name="_Toc513029238"/>
      <w:r/>
      <w:bookmarkStart w:id="123" w:name="_Toc20823310"/>
      <w:r/>
      <w:bookmarkStart w:id="124" w:name="_Toc16938554"/>
      <w:r>
        <w:rPr>
          <w:rFonts w:hint="eastAsia" w:ascii="宋体" w:hAnsi="宋体" w:eastAsia="宋体" w:cs="Times New Roman"/>
          <w:bCs w:val="0"/>
          <w:color w:val="auto"/>
          <w:highlight w:val="none"/>
        </w:rPr>
        <w:t xml:space="preserve">17</w:t>
      </w:r>
      <w:bookmarkEnd w:id="122"/>
      <w:r>
        <w:rPr>
          <w:rFonts w:hint="eastAsia" w:ascii="宋体" w:hAnsi="宋体" w:eastAsia="宋体" w:cs="Times New Roman"/>
          <w:bCs w:val="0"/>
          <w:color w:val="auto"/>
          <w:highlight w:val="none"/>
        </w:rPr>
        <w:t xml:space="preserve">. 确定</w:t>
      </w:r>
      <w:bookmarkEnd w:id="123"/>
      <w:r/>
      <w:bookmarkEnd w:id="124"/>
      <w:r>
        <w:rPr>
          <w:rFonts w:hint="eastAsia" w:ascii="宋体" w:hAnsi="宋体" w:eastAsia="宋体" w:cs="Times New Roman"/>
          <w:bCs w:val="0"/>
          <w:color w:val="auto"/>
          <w:highlight w:val="none"/>
        </w:rPr>
        <w:t xml:space="preserve">入围供应商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征集人将在审核通过后2个工作日内，发布入围结果公告，公告入围供应商名称、地址、联系方式及付费标准，并动态更新入围供应商信息。入围结果公告时间为1个工作日。</w:t>
      </w:r>
      <w:r/>
    </w:p>
    <w:p>
      <w:pPr>
        <w:pStyle w:val="846"/>
        <w:ind w:firstLine="422"/>
        <w:keepLines w:val="0"/>
        <w:keepNext w:val="0"/>
        <w:spacing w:before="0" w:after="0" w:line="360" w:lineRule="auto"/>
        <w:rPr>
          <w:rFonts w:ascii="宋体" w:hAnsi="宋体" w:eastAsia="宋体" w:cs="Times New Roman"/>
          <w:bCs w:val="0"/>
          <w:color w:val="auto"/>
          <w:highlight w:val="none"/>
        </w:rPr>
      </w:pPr>
      <w:r/>
      <w:bookmarkStart w:id="125" w:name="_Toc200451960"/>
      <w:r>
        <w:rPr>
          <w:rFonts w:hint="eastAsia" w:ascii="宋体" w:hAnsi="宋体" w:eastAsia="宋体" w:cs="Times New Roman"/>
          <w:bCs w:val="0"/>
          <w:color w:val="auto"/>
          <w:highlight w:val="none"/>
        </w:rPr>
        <w:t xml:space="preserve">18. 入围供应商的退出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18.1 入围供应商可以随时申请退出框架协议。征集人将在收到退出申请2个工作日内，发布入围供应商退出公告。公告期限为公告发布之日起1个工作日。</w:t>
      </w:r>
      <w:r>
        <w:rPr>
          <w:rFonts w:ascii="宋体" w:hAnsi="宋体"/>
          <w:color w:val="auto"/>
          <w:sz w:val="24"/>
          <w:highlight w:val="none"/>
        </w:rPr>
        <w:t xml:space="preserve">各有关当事人对退出结果有异议，可以在本公告期限届满之日起七个工作日内，以书面形式提出明确的请求并提供必要的证明，逾期将不再受理</w:t>
      </w:r>
      <w:r>
        <w:rPr>
          <w:rFonts w:hint="eastAsia" w:ascii="宋体" w:hAnsi="宋体"/>
          <w:color w:val="auto"/>
          <w:sz w:val="24"/>
          <w:highlight w:val="none"/>
        </w:rPr>
        <w:t xml:space="preserve">。</w:t>
      </w:r>
      <w:r>
        <w:rPr>
          <w:rFonts w:hint="eastAsia" w:ascii="宋体" w:hAnsi="宋体"/>
          <w:b/>
          <w:color w:val="auto"/>
          <w:sz w:val="24"/>
          <w:highlight w:val="none"/>
        </w:rPr>
        <w:t xml:space="preserve">退出框架协议的供应商，在框架协议有效期内不得重新申请加入同一开放式框架协议。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入围供应商申请退出框架协议时，如有采购合同正在履约，必须将采购合同履约完成后才能申请退出。</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19. 质疑处理</w:t>
      </w:r>
      <w:bookmarkEnd w:id="125"/>
      <w:r/>
      <w:r/>
    </w:p>
    <w:p>
      <w:pPr>
        <w:ind w:firstLine="480"/>
        <w:spacing w:line="360" w:lineRule="auto"/>
        <w:rPr>
          <w:rFonts w:ascii="宋体" w:hAnsi="宋体"/>
          <w:color w:val="auto"/>
          <w:sz w:val="24"/>
          <w:highlight w:val="yellow"/>
        </w:rPr>
      </w:pPr>
      <w:r>
        <w:rPr>
          <w:rFonts w:hint="eastAsia" w:ascii="宋体" w:hAnsi="宋体"/>
          <w:color w:val="auto"/>
          <w:sz w:val="24"/>
          <w:highlight w:val="none"/>
        </w:rPr>
        <w:t xml:space="preserve">19.1 提出质疑的供应商应当是参与所质疑开放式框架协议采购项目采购活动的供应商。潜在供应商依法获取其可质疑的征集文件的，可以对征集文件提出质疑。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19.2 供应商认为征集文件、采购过程、入围结果使自己的权益受到损害的，可以在知道或应知其权益受到损害之日起7个工作日内，以书面形式向征集人或交易中心提出质疑。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供应商应当在法定质疑期内一次性提出针对同一采购程序环节的质疑。供应商如在法定期限内对同一采购程序环节提出多次质疑的，征集人或交易中心只对供应商最后一次质疑作出答复。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19.3 质疑函必须按照本征集文件中《质疑函范本》要求的格式和内容进行填写，并按《质疑函范本》中要求签字、盖章、加盖公章。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19.4 征集人、交易中心只接收以纸质原件形式送达的质疑，质疑供应商可通过面交或邮寄方式送达（征集人和交易中心不接受未填写快递运单的快件）。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含潜在供应商）对项目属性、采购方式、采购需求、供应商资格条件及审查结果、评标方法和评标标准、合同文本的询问、质疑请向征集人提出，由征集人负责答复。供应商对除上述事项以外其他事项的询问、质疑请向交易中心提出，由交易中心负责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征集人、交易中心联系人、联系方式、通信地址见征集文件第一章。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 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19.5.1 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19.5.2 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19.5.3 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19.5.4 未参加采购活动的供应商或在采购活动中自身权益未受到损害的供应商所提出的质疑。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19.6 供应商提出书面质疑必须有理、有据，不得捏造事实、提供虚假材料进行恶意质疑。否则，一经查实，征集人、交易中心有权依据政府采购的有关规定，报请政府采购监管部门对该供应商进行相应的行政处罚和记录该供应商的失信信息。</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20. 入围通知书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 入围结果确定后，征集人将向入围供应商发出入围通知书，请入围供应商使用CA数字证书登录“苏采云”平台及时下载入围通知书。入围供应商因未及时下载而造成的一切后果由其自负。入围通知书对征集人和入围供应商均具有法律效力。</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七、入围产品升级换代规则</w:t>
      </w:r>
      <w:r/>
    </w:p>
    <w:p>
      <w:pPr>
        <w:ind w:firstLine="480"/>
        <w:spacing w:line="360" w:lineRule="auto"/>
        <w:rPr>
          <w:rFonts w:ascii="宋体" w:hAnsi="宋体"/>
          <w:color w:val="auto"/>
          <w:sz w:val="24"/>
          <w:highlight w:val="none"/>
        </w:rPr>
      </w:pPr>
      <w:r/>
      <w:bookmarkStart w:id="126" w:name="_Toc479757207"/>
      <w:r/>
      <w:bookmarkStart w:id="127" w:name="_Toc513029242"/>
      <w:r/>
      <w:bookmarkStart w:id="128" w:name="_Toc16938558"/>
      <w:r/>
      <w:bookmarkStart w:id="129" w:name="_Toc120614221"/>
      <w:r/>
      <w:bookmarkStart w:id="130" w:name="_Toc20823314"/>
      <w:r>
        <w:rPr>
          <w:rFonts w:hint="eastAsia" w:ascii="宋体" w:hAnsi="宋体"/>
          <w:color w:val="auto"/>
          <w:sz w:val="24"/>
          <w:highlight w:val="none"/>
        </w:rPr>
        <w:t xml:space="preserve">21.1框架协议期内，在质量不降低、价格不提高的前提下，入围供应商如出现因装修升级等，需进行服务内容更新时，应当在“苏采云”平台中向征集人提出申请，注明原入围服务基本信息和拟提供新服务基本信息。征集人将对申请进行审核，如审核通过，征集人将对入围服务相关信息进行更新。</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八、入围供应商清退和补充规则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清退规则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入围供应商以低于同时期协议成交价销售给非政府采购行业的大客户、零售客户的，经举报查实，尚未签订框架协议的，取消其入围资格；已经签订框架协议的，解除与其签订的框架协议。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被取消入围资格或者被解除框架协议的供应商不得重新申请加入同一开放式框架协议。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 补充规则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原框架协议继续履行。</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九、确定第二阶段成交供应商方式</w:t>
      </w:r>
      <w:r/>
    </w:p>
    <w:p>
      <w:pPr>
        <w:ind w:firstLine="480"/>
        <w:spacing w:line="360" w:lineRule="auto"/>
        <w:rPr>
          <w:b/>
          <w:bCs/>
          <w:color w:val="auto"/>
          <w:sz w:val="30"/>
          <w:szCs w:val="30"/>
          <w:highlight w:val="none"/>
        </w:rPr>
      </w:pPr>
      <w:r>
        <w:rPr>
          <w:rFonts w:hint="eastAsia" w:ascii="宋体" w:hAnsi="宋体"/>
          <w:color w:val="auto"/>
          <w:sz w:val="24"/>
          <w:highlight w:val="none"/>
        </w:rPr>
        <w:t xml:space="preserve">23.1直接选定。</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十、其他</w:t>
      </w:r>
      <w:r/>
    </w:p>
    <w:p>
      <w:pPr>
        <w:ind w:firstLine="480"/>
        <w:spacing w:line="360" w:lineRule="auto"/>
        <w:rPr>
          <w:rFonts w:ascii="宋体" w:hAnsi="宋体"/>
          <w:color w:val="auto"/>
          <w:sz w:val="24"/>
          <w:highlight w:val="none"/>
        </w:rPr>
      </w:pPr>
      <w:r/>
      <w:bookmarkStart w:id="131" w:name="_Toc513029236"/>
      <w:r/>
      <w:bookmarkStart w:id="132" w:name="_Toc20823308"/>
      <w:r/>
      <w:bookmarkStart w:id="133" w:name="_Toc16938552"/>
      <w:r>
        <w:rPr>
          <w:rFonts w:hint="eastAsia" w:ascii="宋体" w:hAnsi="宋体"/>
          <w:b/>
          <w:bCs/>
          <w:color w:val="auto"/>
          <w:sz w:val="24"/>
          <w:highlight w:val="none"/>
        </w:rPr>
        <w:t xml:space="preserve">24.1 征</w:t>
      </w:r>
      <w:r>
        <w:rPr>
          <w:rFonts w:hint="eastAsia" w:ascii="宋体" w:hAnsi="宋体"/>
          <w:b/>
          <w:color w:val="auto"/>
          <w:sz w:val="24"/>
          <w:highlight w:val="none"/>
        </w:rPr>
        <w:t xml:space="preserve">集人不再与供应商另行签订书面框架协议。征集人发布的入围结果公告即视为签订框架协议。</w:t>
      </w:r>
      <w:bookmarkEnd w:id="131"/>
      <w:bookmarkEnd w:id="132"/>
      <w:bookmarkEnd w:id="133"/>
      <w:r/>
    </w:p>
    <w:p>
      <w:pPr>
        <w:ind w:firstLine="480"/>
        <w:spacing w:line="360" w:lineRule="auto"/>
        <w:rPr>
          <w:rFonts w:ascii="宋体" w:hAnsi="宋体"/>
          <w:color w:val="auto"/>
          <w:sz w:val="24"/>
          <w:highlight w:val="none"/>
        </w:rPr>
      </w:pPr>
      <w:r/>
      <w:bookmarkStart w:id="134" w:name="_Toc513029237"/>
      <w:r/>
      <w:bookmarkStart w:id="135" w:name="_Toc20823309"/>
      <w:r/>
      <w:bookmarkStart w:id="136" w:name="_Toc16938553"/>
      <w:r>
        <w:rPr>
          <w:rFonts w:hint="eastAsia" w:ascii="宋体" w:hAnsi="宋体"/>
          <w:color w:val="auto"/>
          <w:sz w:val="24"/>
          <w:highlight w:val="none"/>
        </w:rPr>
        <w:t xml:space="preserve">24.2 入围供应商不得将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bookmarkEnd w:id="134"/>
      <w:r/>
      <w:bookmarkEnd w:id="135"/>
      <w:r/>
      <w:bookmarkEnd w:id="13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24.3 征集人将建立用户反馈和评价机制，接受采购人对入围供应商履行框架协议和采购合同情况的反馈与评价，并将用户反馈和评价情况在“苏采云”平台中向采购人公开，作为第二阶段直接选定成交供应商的参考。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24.4入围供应商按照框架协议约定接受采购人合同授予，并履行采购合同。</w:t>
      </w:r>
      <w:r>
        <w:rPr>
          <w:rFonts w:hint="eastAsia" w:ascii="宋体" w:hAnsi="宋体"/>
          <w:b/>
          <w:color w:val="auto"/>
          <w:sz w:val="24"/>
          <w:highlight w:val="none"/>
        </w:rPr>
        <w:t xml:space="preserve">入围供应商应当使用征集文件中统一的采购合同文本，通过“苏采云”平台与采购人或服务对象签订采购合同，采购人、服务对象和供应商不得擅自改变框架协议约定的合同实质性条款。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 入围供应商的义务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24.5.1 严格执行国家法律法规，严格按照申请文件承诺的价格和服务履约，遵守本合同条款。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24.5.2 随时接受并配合征集人的监督检查，并配合财政部门对采购人和其他入围供应商对框架协议执行情况进行监督，发现违规违约情形的，及时向财政部门报告。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24.5.3 在框架协议有效期内，按照不高于入围报价的价格，向采购人提供相关服务。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24.5.4 履行在申请文件中承诺的责任和义务。</w:t>
      </w:r>
      <w:r/>
    </w:p>
    <w:p>
      <w:pPr>
        <w:pStyle w:val="845"/>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十一、政府采购政策（包括但不限于下列具体政策要求）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25.4有关中小企业政策，如落实政府采购政策需满足的资格要求以及落实政府采购政策的价格调整的相关内容可详见本文件其他章节。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25.5中标、成交供应商可采用合同融资形式，中标人可凭政府采购合同办理融资贷款，详见政府采购网“政采贷”专栏。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中标、成交供应商可以采用电子履约保函形式缴纳履约保证金，具体操作可登录江苏政府采购网（http://www.ccgp-jiangsu.gov.cn/）的保险保函模块进行办理。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25.7本项目中如有涉及数据库、操作系</w:t>
      </w:r>
      <w:r>
        <w:rPr>
          <w:rFonts w:hint="eastAsia" w:ascii="宋体" w:hAnsi="宋体"/>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bCs/>
          <w:color w:val="auto"/>
          <w:sz w:val="24"/>
          <w:szCs w:val="24"/>
          <w:highlight w:val="none"/>
        </w:rPr>
      </w:pPr>
      <w:r>
        <w:rPr>
          <w:rFonts w:hint="eastAsia" w:ascii="宋体" w:hAnsi="宋体"/>
          <w:color w:val="auto"/>
          <w:sz w:val="24"/>
          <w:highlight w:val="none"/>
          <w:lang w:val="en-US" w:eastAsia="zh-CN"/>
        </w:rPr>
        <w:t xml:space="preserve">25.9</w:t>
      </w: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bCs/>
          <w:color w:val="auto"/>
          <w:sz w:val="24"/>
          <w:szCs w:val="24"/>
          <w:highlight w:val="none"/>
        </w:rPr>
      </w:pPr>
      <w:r>
        <w:rPr>
          <w:rFonts w:hint="eastAsia" w:ascii="宋体"/>
          <w:bCs/>
          <w:color w:val="auto"/>
          <w:sz w:val="24"/>
          <w:szCs w:val="24"/>
          <w:highlight w:val="none"/>
          <w:lang w:val="en-US" w:eastAsia="zh-CN"/>
        </w:rPr>
        <w:t xml:space="preserve">25.10</w:t>
      </w:r>
      <w:r>
        <w:rPr>
          <w:rFonts w:hint="eastAsia" w:ascii="宋体"/>
          <w:bCs/>
          <w:color w:val="auto"/>
          <w:sz w:val="24"/>
          <w:szCs w:val="24"/>
          <w:highlight w:val="none"/>
        </w:rPr>
        <w:t xml:space="preserve">根据</w:t>
      </w:r>
      <w:bookmarkStart w:id="137" w:name="OLE_LINK2"/>
      <w:r/>
      <w:bookmarkStart w:id="138" w:name="OLE_LINK1"/>
      <w:r>
        <w:rPr>
          <w:rFonts w:hint="eastAsia" w:ascii="宋体"/>
          <w:bCs/>
          <w:color w:val="auto"/>
          <w:sz w:val="24"/>
          <w:szCs w:val="24"/>
          <w:highlight w:val="none"/>
        </w:rPr>
        <w:t xml:space="preserve">《保障中小企业款项支付条例》（中华人民共和国国务院令第802号）</w:t>
      </w:r>
      <w:bookmarkEnd w:id="137"/>
      <w:r/>
      <w:bookmarkEnd w:id="138"/>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US" w:eastAsia="zh-CN"/>
        </w:rPr>
        <w:t xml:space="preserve">25.11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US" w:eastAsia="zh-CN"/>
        </w:rPr>
        <w:t xml:space="preserve">25.12</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olor w:val="auto"/>
          <w:sz w:val="24"/>
          <w:highlight w:val="none"/>
        </w:rPr>
      </w:pPr>
      <w:r>
        <w:rPr>
          <w:rFonts w:hint="eastAsia" w:ascii="宋体"/>
          <w:bCs/>
          <w:color w:val="auto"/>
          <w:sz w:val="24"/>
          <w:szCs w:val="24"/>
          <w:highlight w:val="none"/>
          <w:lang w:val="en-US" w:eastAsia="zh-CN"/>
        </w:rPr>
        <w:t xml:space="preserve">25.13</w:t>
      </w:r>
      <w:r>
        <w:rPr>
          <w:rFonts w:hint="eastAsia" w:ascii="宋体"/>
          <w:bCs/>
          <w:color w:val="auto"/>
          <w:sz w:val="24"/>
          <w:szCs w:val="24"/>
          <w:highlight w:val="none"/>
          <w:lang w:val="en"/>
        </w:rPr>
        <w:t xml:space="preserve">根据财库〔2026〕10号相关要求，在政府采购活动中不得采购该文中规定的相关企业生</w:t>
      </w:r>
      <w:r>
        <w:rPr>
          <w:rFonts w:hint="eastAsia" w:ascii="宋体"/>
          <w:bCs/>
          <w:color w:val="auto"/>
          <w:sz w:val="24"/>
          <w:szCs w:val="24"/>
          <w:highlight w:val="none"/>
          <w:lang w:val="en-US" w:eastAsia="zh-CN"/>
        </w:rPr>
        <w:t xml:space="preserve">产</w:t>
      </w:r>
      <w:r>
        <w:rPr>
          <w:rFonts w:hint="eastAsia" w:ascii="宋体"/>
          <w:bCs/>
          <w:color w:val="auto"/>
          <w:sz w:val="24"/>
          <w:szCs w:val="24"/>
          <w:highlight w:val="none"/>
          <w:lang w:val="en"/>
        </w:rPr>
        <w:t xml:space="preserve">的产品。</w:t>
      </w:r>
      <w:r/>
    </w:p>
    <w:p>
      <w:pPr>
        <w:rPr>
          <w:rFonts w:hint="eastAsia" w:ascii="黑体" w:eastAsia="黑体"/>
          <w:color w:val="auto"/>
          <w:sz w:val="44"/>
          <w:szCs w:val="44"/>
          <w:highlight w:val="none"/>
        </w:rPr>
      </w:pPr>
      <w:r>
        <w:rPr>
          <w:rFonts w:hint="eastAsia" w:ascii="黑体" w:eastAsia="黑体"/>
          <w:color w:val="auto"/>
          <w:sz w:val="44"/>
          <w:szCs w:val="44"/>
          <w:highlight w:val="none"/>
        </w:rPr>
        <w:br w:type="page" w:clear="all"/>
      </w:r>
      <w:r/>
    </w:p>
    <w:p>
      <w:pPr>
        <w:jc w:val="center"/>
        <w:spacing w:line="360" w:lineRule="auto"/>
        <w:rPr>
          <w:rFonts w:ascii="黑体" w:eastAsia="黑体"/>
          <w:color w:val="auto"/>
          <w:sz w:val="44"/>
          <w:szCs w:val="44"/>
          <w:highlight w:val="none"/>
        </w:rPr>
      </w:pPr>
      <w:r>
        <w:rPr>
          <w:rFonts w:hint="eastAsia" w:ascii="黑体" w:eastAsia="黑体"/>
          <w:color w:val="auto"/>
          <w:sz w:val="44"/>
          <w:szCs w:val="44"/>
          <w:highlight w:val="none"/>
        </w:rPr>
        <w:t xml:space="preserve">第三章  </w:t>
      </w:r>
      <w:bookmarkEnd w:id="126"/>
      <w:r/>
      <w:bookmarkEnd w:id="127"/>
      <w:r/>
      <w:bookmarkEnd w:id="128"/>
      <w:r/>
      <w:bookmarkEnd w:id="129"/>
      <w:r/>
      <w:bookmarkEnd w:id="130"/>
      <w:r>
        <w:rPr>
          <w:rFonts w:hint="eastAsia" w:ascii="黑体" w:eastAsia="黑体"/>
          <w:color w:val="auto"/>
          <w:sz w:val="44"/>
          <w:szCs w:val="44"/>
          <w:highlight w:val="none"/>
        </w:rPr>
        <w:t xml:space="preserve">框架协议文本和采购合同文本</w:t>
      </w:r>
      <w:bookmarkStart w:id="139" w:name="_Hlt16619350"/>
      <w:r/>
      <w:bookmarkStart w:id="140" w:name="_Toc16938590"/>
      <w:r/>
      <w:bookmarkStart w:id="141" w:name="_Toc20823346"/>
      <w:r/>
      <w:bookmarkStart w:id="142" w:name="_Toc120614244"/>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rPr>
        <w:t xml:space="preserve">框架协议文本</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eastAsia="zh-CN"/>
        </w:rPr>
        <w:t xml:space="preserve">2027-2028年度无锡市党政机关会议定点场所框架协议采购</w:t>
      </w:r>
      <w:r>
        <w:rPr>
          <w:rFonts w:hint="eastAsia" w:ascii="黑体" w:eastAsia="黑体"/>
          <w:b/>
          <w:color w:val="auto"/>
          <w:sz w:val="32"/>
          <w:szCs w:val="32"/>
          <w:highlight w:val="none"/>
        </w:rPr>
        <w:t xml:space="preserve">框架</w:t>
      </w:r>
      <w:r>
        <w:rPr>
          <w:rFonts w:ascii="黑体" w:eastAsia="黑体"/>
          <w:b/>
          <w:color w:val="auto"/>
          <w:sz w:val="32"/>
          <w:szCs w:val="32"/>
          <w:highlight w:val="none"/>
        </w:rPr>
        <w:t xml:space="preserve">协议</w:t>
      </w:r>
      <w:r/>
    </w:p>
    <w:p>
      <w:pPr>
        <w:ind w:firstLine="200"/>
        <w:jc w:val="center"/>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(主要条款)</w:t>
      </w:r>
      <w:r/>
    </w:p>
    <w:p>
      <w:pPr>
        <w:ind w:firstLine="480"/>
        <w:spacing w:line="360" w:lineRule="auto"/>
        <w:rPr>
          <w:rFonts w:ascii="宋体" w:hAnsi="宋体" w:cs="Arial"/>
          <w:color w:val="auto"/>
          <w:sz w:val="24"/>
          <w:szCs w:val="24"/>
          <w:highlight w:val="none"/>
        </w:rPr>
      </w:pPr>
      <w:r>
        <w:rPr>
          <w:rFonts w:hint="eastAsia" w:ascii="宋体" w:hAnsi="宋体"/>
          <w:bCs/>
          <w:color w:val="auto"/>
          <w:sz w:val="24"/>
          <w:szCs w:val="24"/>
          <w:highlight w:val="none"/>
        </w:rPr>
        <w:t xml:space="preserve">协议名称：</w:t>
      </w:r>
      <w:r>
        <w:rPr>
          <w:rFonts w:hint="eastAsia" w:ascii="宋体" w:hAnsi="宋体" w:cs="Arial"/>
          <w:color w:val="auto"/>
          <w:sz w:val="24"/>
          <w:szCs w:val="24"/>
          <w:highlight w:val="none"/>
        </w:rPr>
        <w:t xml:space="preserve">2027-2028年度无锡市党政机关会议定点场所框架协议采购</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服务协议编号：</w:t>
      </w:r>
      <w:r/>
    </w:p>
    <w:p>
      <w:pPr>
        <w:ind w:firstLine="480"/>
        <w:spacing w:line="360" w:lineRule="auto"/>
        <w:rPr>
          <w:rFonts w:hint="default" w:ascii="宋体" w:hAnsi="宋体" w:eastAsia="宋体"/>
          <w:b/>
          <w:color w:val="auto"/>
          <w:sz w:val="24"/>
          <w:szCs w:val="24"/>
          <w:highlight w:val="none"/>
          <w:lang w:val="en-US" w:eastAsia="zh-CN"/>
        </w:rPr>
      </w:pPr>
      <w:r>
        <w:rPr>
          <w:rFonts w:hint="eastAsia" w:ascii="宋体" w:hAnsi="宋体"/>
          <w:color w:val="auto"/>
          <w:sz w:val="24"/>
          <w:szCs w:val="24"/>
          <w:highlight w:val="none"/>
        </w:rPr>
        <w:t xml:space="preserve">协议甲方：</w:t>
      </w:r>
      <w:r>
        <w:rPr>
          <w:rFonts w:hint="eastAsia" w:ascii="宋体" w:hAnsi="宋体"/>
          <w:color w:val="auto"/>
          <w:sz w:val="24"/>
          <w:szCs w:val="24"/>
          <w:highlight w:val="none"/>
          <w:lang w:val="en-US" w:eastAsia="zh-CN"/>
        </w:rPr>
        <w:t xml:space="preserve">无锡市公共资源交易中心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协议乙方：入围供应商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服务协议的签订：本项目不再签订书面框架协议，发布入围结果公告，视为签订框架协议</w:t>
      </w:r>
      <w:r/>
    </w:p>
    <w:p>
      <w:pPr>
        <w:ind w:firstLine="480"/>
        <w:spacing w:line="360" w:lineRule="auto"/>
        <w:rPr>
          <w:rFonts w:ascii="宋体" w:hAnsi="宋体"/>
          <w:color w:val="auto"/>
          <w:sz w:val="24"/>
          <w:szCs w:val="24"/>
          <w:highlight w:val="none"/>
        </w:rPr>
      </w:pPr>
      <w:r>
        <w:rPr>
          <w:rFonts w:hint="eastAsia" w:ascii="宋体" w:hAnsi="宋体" w:cs="Arial"/>
          <w:bCs/>
          <w:color w:val="auto"/>
          <w:sz w:val="24"/>
          <w:szCs w:val="24"/>
          <w:highlight w:val="none"/>
        </w:rPr>
        <w:t xml:space="preserve">履行合同的地域范围：</w:t>
      </w:r>
      <w:r>
        <w:rPr>
          <w:rFonts w:hint="eastAsia" w:ascii="宋体" w:hAnsi="宋体" w:cs="宋体"/>
          <w:color w:val="auto"/>
          <w:sz w:val="24"/>
          <w:szCs w:val="24"/>
          <w:highlight w:val="none"/>
        </w:rPr>
        <w:t xml:space="preserve">本次框架协议采购场所坐落的行政区域为无锡市范围（包括江阴、宜兴）。</w:t>
      </w:r>
      <w:r/>
    </w:p>
    <w:p>
      <w:pPr>
        <w:ind w:left="1" w:firstLine="480"/>
        <w:spacing w:line="360" w:lineRule="auto"/>
        <w:rPr>
          <w:rFonts w:ascii="宋体" w:hAnsi="宋体"/>
          <w:color w:val="auto"/>
          <w:sz w:val="24"/>
          <w:szCs w:val="24"/>
          <w:highlight w:val="none"/>
        </w:rPr>
      </w:pPr>
      <w:r>
        <w:rPr>
          <w:rFonts w:ascii="宋体" w:hAnsi="宋体" w:cs="宋体"/>
          <w:color w:val="auto"/>
          <w:sz w:val="24"/>
          <w:szCs w:val="24"/>
          <w:highlight w:val="none"/>
        </w:rPr>
        <w:t xml:space="preserve">为贯彻落实中央八项规定</w:t>
      </w:r>
      <w:r>
        <w:rPr>
          <w:rFonts w:hint="eastAsia" w:ascii="宋体" w:hAnsi="宋体" w:cs="宋体"/>
          <w:color w:val="auto"/>
          <w:sz w:val="24"/>
          <w:szCs w:val="24"/>
          <w:highlight w:val="none"/>
        </w:rPr>
        <w:t xml:space="preserve">及其实施细则，</w:t>
      </w:r>
      <w:r>
        <w:rPr>
          <w:rFonts w:ascii="宋体" w:hAnsi="宋体" w:cs="宋体"/>
          <w:color w:val="auto"/>
          <w:sz w:val="24"/>
          <w:szCs w:val="24"/>
          <w:highlight w:val="none"/>
        </w:rPr>
        <w:t xml:space="preserve">根据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江苏省财政厅关于转发财政部&lt;党政机关会议定点管理办法&gt;的通知》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苏财行〔2025〕22号</w:t>
      </w:r>
      <w:r>
        <w:rPr>
          <w:rFonts w:hint="eastAsia" w:ascii="宋体" w:hAnsi="宋体"/>
          <w:color w:val="auto"/>
          <w:sz w:val="24"/>
          <w:szCs w:val="24"/>
          <w:highlight w:val="none"/>
          <w:lang w:eastAsia="zh-CN"/>
        </w:rPr>
        <w:t xml:space="preserve">）</w:t>
      </w:r>
      <w:r>
        <w:rPr>
          <w:rFonts w:ascii="宋体" w:hAnsi="宋体" w:cs="宋体"/>
          <w:color w:val="auto"/>
          <w:sz w:val="24"/>
          <w:szCs w:val="24"/>
          <w:highlight w:val="none"/>
        </w:rPr>
        <w:t xml:space="preserve">和《市委办公室市政府办公室关于印发&lt;无锡市市级党政机关会议费管理办法&gt;的通知》</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锡委办发〔2014〕13号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《无锡市市级党政机关会议费管理办法补充规定》</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锡财行〔2016〕20号</w:t>
      </w:r>
      <w:r>
        <w:rPr>
          <w:rFonts w:hint="eastAsia" w:ascii="宋体" w:hAnsi="宋体" w:cs="宋体"/>
          <w:color w:val="auto"/>
          <w:sz w:val="24"/>
          <w:szCs w:val="24"/>
          <w:highlight w:val="none"/>
        </w:rPr>
        <w:t xml:space="preserve">)和《关于调整无锡市市级党政机关会议费开支综合定额标准的通知》(锡财行〔</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17〕19</w:t>
      </w:r>
      <w:r>
        <w:rPr>
          <w:rFonts w:ascii="宋体" w:hAnsi="宋体" w:cs="宋体"/>
          <w:color w:val="auto"/>
          <w:sz w:val="24"/>
          <w:szCs w:val="24"/>
          <w:highlight w:val="none"/>
        </w:rPr>
        <w:t xml:space="preserve">号</w:t>
      </w:r>
      <w:r>
        <w:rPr>
          <w:rFonts w:hint="eastAsia" w:ascii="宋体" w:hAnsi="宋体" w:cs="宋体"/>
          <w:color w:val="auto"/>
          <w:sz w:val="24"/>
          <w:szCs w:val="24"/>
          <w:highlight w:val="none"/>
        </w:rPr>
        <w:t xml:space="preserve">)文件精神</w:t>
      </w:r>
      <w:r>
        <w:rPr>
          <w:rFonts w:hint="eastAsia" w:ascii="宋体" w:hAnsi="宋体"/>
          <w:color w:val="auto"/>
          <w:sz w:val="24"/>
          <w:szCs w:val="24"/>
          <w:highlight w:val="none"/>
        </w:rPr>
        <w:t xml:space="preserve">，经甲乙双方平等协商达成如下协议：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一、定义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除非另有特别约定，在本协议以及与本协议有关的甲乙双方另行签订的其他文件中，下列词语按如下定义进行解释：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（一）“协议”是指甲方和乙方已达成的协议，即由双方签订的协议格式中的文件，包括所有的附件、附录和组成协议部分的所有其他文件。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（二）“工作日”是指除公休日和国家法定节假日以外的日历日。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（三）“第三方”是指本协议以外的任何中国境内、境外的法人、自然人或其他组织。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（四）“附件”是指与本协议的订立、履行有关的，经甲乙双方认可的，对本协议约定的内容进行细化、补充、修改、变更的文件等资料。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（五）“征集公告”是指《</w:t>
      </w:r>
      <w:r>
        <w:rPr>
          <w:rFonts w:hint="eastAsia" w:ascii="宋体" w:hAnsi="宋体" w:cs="Arial"/>
          <w:color w:val="auto"/>
          <w:sz w:val="24"/>
          <w:szCs w:val="24"/>
          <w:highlight w:val="none"/>
        </w:rPr>
        <w:t xml:space="preserve">2027-2028年度无锡市党政机关会议定点场所框架协议</w:t>
      </w:r>
      <w:r>
        <w:rPr>
          <w:rFonts w:hint="eastAsia" w:ascii="宋体" w:hAnsi="宋体"/>
          <w:color w:val="auto"/>
          <w:sz w:val="24"/>
          <w:szCs w:val="24"/>
          <w:highlight w:val="none"/>
        </w:rPr>
        <w:t xml:space="preserve">征集公告》。</w:t>
      </w:r>
      <w:r/>
    </w:p>
    <w:p>
      <w:pPr>
        <w:ind w:firstLine="480"/>
        <w:spacing w:line="360" w:lineRule="auto"/>
        <w:rPr>
          <w:rFonts w:ascii="宋体" w:hAnsi="宋体" w:cs="Arial"/>
          <w:bCs/>
          <w:color w:val="auto"/>
          <w:sz w:val="24"/>
          <w:szCs w:val="24"/>
          <w:highlight w:val="none"/>
        </w:rPr>
      </w:pPr>
      <w:r>
        <w:rPr>
          <w:rFonts w:hint="eastAsia" w:ascii="宋体" w:hAnsi="宋体"/>
          <w:color w:val="auto"/>
          <w:sz w:val="24"/>
          <w:szCs w:val="24"/>
          <w:highlight w:val="none"/>
        </w:rPr>
        <w:t xml:space="preserve">（六）“服务对象”是指会</w:t>
      </w:r>
      <w:r>
        <w:rPr>
          <w:rFonts w:hint="eastAsia" w:ascii="宋体" w:hAnsi="宋体" w:cs="Arial"/>
          <w:bCs/>
          <w:color w:val="auto"/>
          <w:sz w:val="24"/>
          <w:szCs w:val="24"/>
          <w:highlight w:val="none"/>
        </w:rPr>
        <w:t xml:space="preserve">议定点场所服务对象，即：党政机关（包括党政机关、事业单位和团体组织）。</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二、适用范围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本协议条款仅适用于</w:t>
      </w:r>
      <w:r>
        <w:rPr>
          <w:rFonts w:hint="eastAsia" w:ascii="宋体" w:hAnsi="宋体" w:cs="Arial"/>
          <w:color w:val="auto"/>
          <w:sz w:val="24"/>
          <w:szCs w:val="24"/>
          <w:highlight w:val="none"/>
        </w:rPr>
        <w:t xml:space="preserve">2027-2028年度无锡市党政机关会议定点场所框架协议采购</w:t>
      </w:r>
      <w:r>
        <w:rPr>
          <w:rFonts w:hint="eastAsia" w:ascii="宋体" w:hAnsi="宋体"/>
          <w:color w:val="auto"/>
          <w:sz w:val="24"/>
          <w:szCs w:val="24"/>
          <w:highlight w:val="none"/>
        </w:rPr>
        <w:t xml:space="preserve">项目。</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三、协议的组成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（一）下列文件应作为本协议的组成部分：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1．本协议条款；</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 2．征集公告及其澄清、修改文件；</w:t>
      </w:r>
      <w:r/>
    </w:p>
    <w:p>
      <w:pPr>
        <w:ind w:firstLine="480"/>
        <w:spacing w:line="360" w:lineRule="auto"/>
        <w:rPr>
          <w:rFonts w:ascii="宋体" w:hAnsi="宋体" w:cs="Arial"/>
          <w:color w:val="auto"/>
          <w:sz w:val="24"/>
          <w:szCs w:val="24"/>
          <w:highlight w:val="none"/>
        </w:rPr>
      </w:pPr>
      <w:r>
        <w:rPr>
          <w:rFonts w:hint="eastAsia" w:ascii="宋体" w:hAnsi="宋体"/>
          <w:color w:val="auto"/>
          <w:sz w:val="24"/>
          <w:szCs w:val="24"/>
          <w:highlight w:val="none"/>
        </w:rPr>
        <w:t xml:space="preserve"> 3．申请文件及其澄清、修改文件</w:t>
      </w:r>
      <w:r>
        <w:rPr>
          <w:rFonts w:hint="eastAsia" w:ascii="宋体" w:hAnsi="宋体" w:cs="Arial"/>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4．入围通知；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5．形成协议的其他有关文件。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（二）上述文件互为补充和解释，如有不清或相互矛盾之处，以所列顺序在前的为准，但甲、乙双方有特别约定的除外。</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四、协议承诺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（一）从20</w:t>
      </w: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年1月1日至202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年12月31日，甲方确认乙方为</w:t>
      </w:r>
      <w:r>
        <w:rPr>
          <w:rFonts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年度党政机关会议定点场所。乙方应按甲方要求为服务对象提供接待服务。</w:t>
      </w:r>
      <w:r/>
    </w:p>
    <w:p>
      <w:pPr>
        <w:ind w:firstLine="480"/>
        <w:spacing w:line="360" w:lineRule="auto"/>
        <w:rPr>
          <w:rFonts w:hint="eastAsia" w:ascii="宋体" w:hAnsi="宋体" w:eastAsia="宋体"/>
          <w:b w:val="0"/>
          <w:bCs w:val="0"/>
          <w:color w:val="auto"/>
          <w:sz w:val="24"/>
          <w:szCs w:val="24"/>
          <w:highlight w:val="none"/>
          <w:u w:val="none"/>
          <w:lang w:eastAsia="zh-CN"/>
        </w:rPr>
      </w:pPr>
      <w:r>
        <w:rPr>
          <w:rFonts w:hint="eastAsia" w:ascii="宋体" w:hAnsi="宋体"/>
          <w:b w:val="0"/>
          <w:bCs w:val="0"/>
          <w:color w:val="auto"/>
          <w:sz w:val="24"/>
          <w:szCs w:val="24"/>
          <w:highlight w:val="none"/>
          <w:u w:val="none"/>
        </w:rPr>
        <w:t xml:space="preserve">（二）甲方的权利：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1．对乙方承诺的服务和实际提供的服务以及相关事项进行监督检查；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2．对乙方承诺的协议价格执行情况进行监督检查；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要求乙方对不符合协议的行为进行调整，如服务对象对乙方无正当理由拒绝提供承诺的服务和价格或提供的服务质量问题向甲方质疑，甲方接到质疑后有权进行核查，如情况属实可要求乙方及时改正，或根据有关规定，依法取消乙方框架协议的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．有权在媒体上公布乙方履行协议情况。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（三）甲方的义务：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公告入围供应商名称、地址、联系方式及付费标准，并动态更新入围供应商信息；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为第二阶段合同授予提供工作便利；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对第二阶段最高限价和需求标准执行情况进行管理；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 对第二阶段确定成交供应商情况进行管理；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 </w:t>
      </w:r>
      <w:r>
        <w:rPr>
          <w:rFonts w:ascii="宋体" w:hAnsi="宋体"/>
          <w:color w:val="auto"/>
          <w:sz w:val="24"/>
          <w:szCs w:val="24"/>
          <w:highlight w:val="none"/>
        </w:rPr>
        <w:t xml:space="preserve">根据框架协议约定，在质量不降低、价格不提高的前提下，对入围供应商因</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升级换代、用新</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替代原入围</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的情形进行审核</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 建立用户反馈和评价机制，接受采购人和服务对象对乙方履行框架协议和采购合同情况的反馈与评价，并将用户反馈和评价情况向采购人和服务对象公开，作为第二阶段直接选定成交供应商的参考；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 办理入围供应商清退和补充相关事宜。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（四）乙方的权利：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1．会议举办单位不能出示有效证明，证明其属于框架协议服务范围的，乙方有权拒绝向其提供协议价格的服务；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2．会议举办单位要求</w:t>
      </w:r>
      <w:r>
        <w:rPr>
          <w:rFonts w:hint="eastAsia" w:ascii="宋体" w:hAnsi="宋体"/>
          <w:color w:val="auto"/>
          <w:sz w:val="24"/>
          <w:szCs w:val="24"/>
          <w:highlight w:val="none"/>
          <w:lang w:val="en-US" w:eastAsia="zh-CN"/>
        </w:rPr>
        <w:t xml:space="preserve">虚报会议天数、人数、开具虚假</w:t>
      </w:r>
      <w:r>
        <w:rPr>
          <w:rFonts w:hint="eastAsia" w:ascii="宋体" w:hAnsi="宋体"/>
          <w:color w:val="auto"/>
          <w:sz w:val="24"/>
          <w:szCs w:val="24"/>
          <w:highlight w:val="none"/>
        </w:rPr>
        <w:t xml:space="preserve">发票、提取现金、开支与会议无关费用的，乙方有权拒绝；</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 党政机关提出的超出采购协议的服务项目和要求，</w:t>
      </w:r>
      <w:r>
        <w:rPr>
          <w:rFonts w:hint="eastAsia" w:ascii="宋体" w:hAnsi="宋体"/>
          <w:color w:val="auto"/>
          <w:sz w:val="24"/>
          <w:szCs w:val="24"/>
          <w:highlight w:val="none"/>
        </w:rPr>
        <w:t xml:space="preserve">乙方有权拒绝</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（五）乙方的义务：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1．乙方应按征集公告的要求，提供本协议规定的会议接待服务。</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在协议期内，乙方必须持有和确保下列证照处于合法有效期内：营业执照、中华人民共和国组织机构代码证、</w:t>
      </w:r>
      <w:r>
        <w:rPr>
          <w:rFonts w:hint="eastAsia" w:ascii="宋体" w:hAnsi="宋体"/>
          <w:color w:val="auto"/>
          <w:sz w:val="24"/>
          <w:szCs w:val="24"/>
          <w:highlight w:val="none"/>
        </w:rPr>
        <w:t xml:space="preserve">卫生许可证</w:t>
      </w:r>
      <w:r>
        <w:rPr>
          <w:rFonts w:hint="eastAsia" w:ascii="宋体" w:hAnsi="宋体" w:cs="Arial"/>
          <w:color w:val="auto"/>
          <w:sz w:val="24"/>
          <w:szCs w:val="24"/>
          <w:highlight w:val="none"/>
        </w:rPr>
        <w:t xml:space="preserve">、食品经营许可证、特种行业许可证（如有）、消防安全检查合格证、锅炉、电梯（未安装使用的除外）安全检查合格证明等。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2．在协议期内，乙方要按照本协议的规定，接待党政机关举办会议，并执行最高限制单价。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协议有效期内，乙方应保持各项设备、设施完好，具备履行协议的能力；如乙方设备、设施发生足以影响接待能力的重大变化，应在变化发生后 3 日内书面通知甲方，甲方根据实际情况决定是否继续履行协议。如甲方解除协议，应在乙方书面通知到达30日内书面通知乙方并与乙方签订解除协议确认书。</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3．乙方的设施设备、清洁卫生、服务质量等要符合国家规定标准，不得因价格优惠而减少服务项目、降低服务质量。</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4．乙方向单位举办会议提供的协议价格及综合定额投标报价以申请文件中明细报价表内容为准。会议综合定额标准包括住宿费（含早餐）、伙食费、会议室租金、设备租赁费</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线上会议服务费</w:t>
      </w:r>
      <w:r>
        <w:rPr>
          <w:rFonts w:hint="eastAsia" w:ascii="宋体" w:hAnsi="宋体" w:cs="Arial"/>
          <w:color w:val="auto"/>
          <w:sz w:val="24"/>
          <w:szCs w:val="24"/>
          <w:highlight w:val="none"/>
        </w:rPr>
        <w:t xml:space="preserve">等。</w:t>
      </w:r>
      <w:r/>
    </w:p>
    <w:p>
      <w:pPr>
        <w:ind w:firstLine="480"/>
        <w:spacing w:line="360" w:lineRule="auto"/>
        <w:rPr>
          <w:rFonts w:hint="eastAsia" w:ascii="宋体" w:hAnsi="宋体"/>
          <w:i/>
          <w:iCs/>
          <w:color w:val="auto"/>
          <w:sz w:val="24"/>
          <w:szCs w:val="24"/>
          <w:highlight w:val="none"/>
          <w:lang w:val="en-US" w:eastAsia="zh-CN"/>
        </w:rPr>
      </w:pPr>
      <w:r>
        <w:rPr>
          <w:rFonts w:hint="eastAsia" w:ascii="宋体" w:hAnsi="宋体" w:cs="Arial"/>
          <w:color w:val="auto"/>
          <w:sz w:val="24"/>
          <w:szCs w:val="24"/>
          <w:highlight w:val="none"/>
        </w:rPr>
        <w:t xml:space="preserve">乙方承诺</w:t>
      </w:r>
      <w:r>
        <w:rPr>
          <w:rFonts w:hint="eastAsia" w:ascii="宋体" w:hAnsi="宋体" w:cs="Arial"/>
          <w:color w:val="auto"/>
          <w:sz w:val="24"/>
          <w:szCs w:val="24"/>
          <w:highlight w:val="none"/>
          <w:lang w:val="en-US" w:eastAsia="zh-CN"/>
        </w:rPr>
        <w:t xml:space="preserve">在协议期内不提高协议价格</w:t>
      </w:r>
      <w:r>
        <w:rPr>
          <w:rFonts w:hint="eastAsia" w:ascii="宋体" w:hAnsi="宋体" w:cs="Arial"/>
          <w:color w:val="auto"/>
          <w:sz w:val="24"/>
          <w:szCs w:val="24"/>
          <w:highlight w:val="none"/>
        </w:rPr>
        <w:t xml:space="preserve">。</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当服务对象与乙方在价格和服务方面发生争议时，乙方有义务主动出示本框架协议文本。</w:t>
      </w:r>
      <w:r/>
    </w:p>
    <w:p>
      <w:pPr>
        <w:ind w:firstLine="480"/>
        <w:spacing w:line="360" w:lineRule="auto"/>
        <w:rPr>
          <w:rFonts w:hint="eastAsia" w:ascii="宋体" w:hAnsi="宋体"/>
          <w:i/>
          <w:iCs/>
          <w:color w:val="auto"/>
          <w:sz w:val="24"/>
          <w:szCs w:val="24"/>
          <w:highlight w:val="none"/>
          <w:lang w:val="en-US" w:eastAsia="zh-CN"/>
        </w:rPr>
      </w:pPr>
      <w:r>
        <w:rPr>
          <w:rFonts w:hint="eastAsia" w:ascii="宋体" w:hAnsi="宋体" w:cs="Arial"/>
          <w:color w:val="auto"/>
          <w:sz w:val="24"/>
          <w:szCs w:val="24"/>
          <w:highlight w:val="none"/>
        </w:rPr>
        <w:t xml:space="preserve">5．乙方的名称（包括发票开具单位的名称）、</w:t>
      </w:r>
      <w:r>
        <w:rPr>
          <w:rFonts w:hint="eastAsia" w:ascii="宋体" w:hAnsi="宋体" w:cs="Arial"/>
          <w:color w:val="auto"/>
          <w:sz w:val="24"/>
          <w:szCs w:val="24"/>
          <w:highlight w:val="none"/>
          <w:lang w:val="en-US" w:eastAsia="zh-CN"/>
        </w:rPr>
        <w:t xml:space="preserve">法人代表、</w:t>
      </w:r>
      <w:r>
        <w:rPr>
          <w:rFonts w:hint="eastAsia" w:ascii="宋体" w:hAnsi="宋体" w:cs="Arial"/>
          <w:color w:val="auto"/>
          <w:sz w:val="24"/>
          <w:szCs w:val="24"/>
          <w:highlight w:val="none"/>
        </w:rPr>
        <w:t xml:space="preserve">地址、联系方式等发生变化时，应及时</w:t>
      </w:r>
      <w:r>
        <w:rPr>
          <w:rFonts w:hint="eastAsia" w:ascii="宋体" w:hAnsi="宋体" w:cs="Arial"/>
          <w:color w:val="auto"/>
          <w:sz w:val="24"/>
          <w:szCs w:val="24"/>
          <w:highlight w:val="none"/>
          <w:lang w:val="en-US" w:eastAsia="zh-CN"/>
        </w:rPr>
        <w:t xml:space="preserve">提出申请，经市财政监管部门审核同意后重新</w:t>
      </w:r>
      <w:r>
        <w:rPr>
          <w:rFonts w:hint="eastAsia" w:ascii="宋体" w:hAnsi="宋体" w:cs="Arial"/>
          <w:color w:val="auto"/>
          <w:sz w:val="24"/>
          <w:szCs w:val="24"/>
          <w:highlight w:val="none"/>
        </w:rPr>
        <w:t xml:space="preserve">在“党政机关会议定点场所管理系统”上</w:t>
      </w:r>
      <w:r>
        <w:rPr>
          <w:rFonts w:hint="eastAsia" w:ascii="宋体" w:hAnsi="宋体" w:cs="Arial"/>
          <w:color w:val="auto"/>
          <w:sz w:val="24"/>
          <w:szCs w:val="24"/>
          <w:highlight w:val="none"/>
          <w:lang w:val="en-US" w:eastAsia="zh-CN"/>
        </w:rPr>
        <w:t xml:space="preserve">注册</w:t>
      </w:r>
      <w:r>
        <w:rPr>
          <w:rFonts w:hint="eastAsia" w:ascii="宋体" w:hAnsi="宋体" w:cs="Arial"/>
          <w:color w:val="auto"/>
          <w:sz w:val="24"/>
          <w:szCs w:val="24"/>
          <w:highlight w:val="none"/>
        </w:rPr>
        <w:t xml:space="preserve">。</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6．乙方应具备上网条件，应当在结算时通过“党政机关会议定点场所管理系统”打印电子结算单，供会议举办单位报销使用。</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7．乙方应如实开具发票，提供费用原始明细单据，供会议举办单位报销使用。</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8．乙方应具备信用卡收款条件，方便使用公务卡结算。</w:t>
      </w:r>
      <w:r/>
    </w:p>
    <w:p>
      <w:pPr>
        <w:ind w:firstLine="480"/>
        <w:spacing w:line="360" w:lineRule="auto"/>
        <w:rPr>
          <w:rFonts w:hint="eastAsia" w:ascii="宋体" w:hAnsi="宋体" w:eastAsia="宋体" w:cs="Arial"/>
          <w:b w:val="0"/>
          <w:bCs w:val="0"/>
          <w:color w:val="auto"/>
          <w:sz w:val="24"/>
          <w:szCs w:val="24"/>
          <w:highlight w:val="none"/>
          <w:u w:val="none"/>
          <w:lang w:eastAsia="zh-CN"/>
        </w:rPr>
      </w:pPr>
      <w:r>
        <w:rPr>
          <w:rFonts w:hint="eastAsia" w:ascii="宋体" w:hAnsi="宋体" w:cs="Arial"/>
          <w:color w:val="auto"/>
          <w:sz w:val="24"/>
          <w:szCs w:val="24"/>
          <w:highlight w:val="none"/>
        </w:rPr>
        <w:t xml:space="preserve">9．乙方应于本协议签署后的</w:t>
      </w:r>
      <w:r>
        <w:rPr>
          <w:rFonts w:hint="eastAsia" w:ascii="宋体" w:hAnsi="宋体" w:cs="Arial"/>
          <w:color w:val="auto"/>
          <w:sz w:val="24"/>
          <w:szCs w:val="24"/>
          <w:highlight w:val="none"/>
          <w:lang w:val="en-US" w:eastAsia="zh-CN"/>
        </w:rPr>
        <w:t xml:space="preserve">15</w:t>
      </w:r>
      <w:r>
        <w:rPr>
          <w:rFonts w:hint="eastAsia" w:ascii="宋体" w:hAnsi="宋体" w:cs="Arial"/>
          <w:color w:val="auto"/>
          <w:sz w:val="24"/>
          <w:szCs w:val="24"/>
          <w:highlight w:val="none"/>
        </w:rPr>
        <w:t xml:space="preserve">个工作日内，在“党政机关会议定点场所管理系统”上完成场所的注册、协议价格等信息填报、本协议的影印件、场所位置图的上</w:t>
      </w:r>
      <w:r>
        <w:rPr>
          <w:rFonts w:hint="eastAsia" w:ascii="宋体" w:hAnsi="宋体" w:cs="Arial"/>
          <w:b w:val="0"/>
          <w:bCs w:val="0"/>
          <w:color w:val="auto"/>
          <w:sz w:val="24"/>
          <w:szCs w:val="24"/>
          <w:highlight w:val="none"/>
          <w:u w:val="none"/>
        </w:rPr>
        <w:t xml:space="preserve">传等工作，并</w:t>
      </w:r>
      <w:r>
        <w:rPr>
          <w:rFonts w:hint="eastAsia" w:ascii="宋体" w:hAnsi="宋体" w:cs="Arial"/>
          <w:b w:val="0"/>
          <w:bCs w:val="0"/>
          <w:color w:val="auto"/>
          <w:sz w:val="24"/>
          <w:szCs w:val="24"/>
          <w:highlight w:val="none"/>
          <w:u w:val="none"/>
          <w:lang w:val="en-US" w:eastAsia="zh-CN"/>
        </w:rPr>
        <w:t xml:space="preserve">由市财政监管部门</w:t>
      </w:r>
      <w:r>
        <w:rPr>
          <w:rFonts w:hint="eastAsia" w:ascii="宋体" w:hAnsi="宋体" w:cs="Arial"/>
          <w:b w:val="0"/>
          <w:bCs w:val="0"/>
          <w:color w:val="auto"/>
          <w:sz w:val="24"/>
          <w:szCs w:val="24"/>
          <w:highlight w:val="none"/>
          <w:u w:val="none"/>
        </w:rPr>
        <w:t xml:space="preserve">进行审核。</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10．乙方在“党政机关会议定点场所管理系统”注册的场所名称与发票开具单位名称不一致的，应在网上注明。</w:t>
      </w:r>
      <w:r/>
    </w:p>
    <w:p>
      <w:pPr>
        <w:ind w:firstLine="480"/>
        <w:spacing w:line="360" w:lineRule="auto"/>
        <w:rPr>
          <w:rFonts w:ascii="宋体" w:hAnsi="宋体"/>
          <w:color w:val="auto"/>
          <w:sz w:val="24"/>
          <w:szCs w:val="24"/>
          <w:highlight w:val="none"/>
        </w:rPr>
      </w:pPr>
      <w:r>
        <w:rPr>
          <w:rFonts w:hint="eastAsia" w:ascii="宋体" w:hAnsi="宋体" w:cs="Arial"/>
          <w:color w:val="auto"/>
          <w:sz w:val="24"/>
          <w:szCs w:val="24"/>
          <w:highlight w:val="none"/>
        </w:rPr>
        <w:t xml:space="preserve">11．乙方应接</w:t>
      </w:r>
      <w:r>
        <w:rPr>
          <w:rFonts w:hint="eastAsia" w:ascii="宋体" w:hAnsi="宋体" w:cs="Arial"/>
          <w:color w:val="auto"/>
          <w:sz w:val="24"/>
          <w:szCs w:val="24"/>
          <w:highlight w:val="none"/>
          <w:u w:val="none"/>
        </w:rPr>
        <w:t xml:space="preserve">受</w:t>
      </w:r>
      <w:r>
        <w:rPr>
          <w:rFonts w:hint="eastAsia" w:ascii="宋体" w:hAnsi="宋体" w:cs="Arial"/>
          <w:color w:val="auto"/>
          <w:sz w:val="24"/>
          <w:szCs w:val="24"/>
          <w:highlight w:val="none"/>
          <w:u w:val="none"/>
          <w:lang w:val="en-US" w:eastAsia="zh-CN"/>
        </w:rPr>
        <w:t xml:space="preserve">相关行政监管部门</w:t>
      </w:r>
      <w:r>
        <w:rPr>
          <w:rFonts w:hint="eastAsia" w:ascii="宋体" w:hAnsi="宋体" w:cs="Arial"/>
          <w:color w:val="auto"/>
          <w:sz w:val="24"/>
          <w:szCs w:val="24"/>
          <w:highlight w:val="none"/>
          <w:u w:val="none"/>
        </w:rPr>
        <w:t xml:space="preserve">的监督检查，对</w:t>
      </w:r>
      <w:r>
        <w:rPr>
          <w:rFonts w:hint="eastAsia" w:ascii="宋体" w:hAnsi="宋体" w:cs="Arial"/>
          <w:color w:val="auto"/>
          <w:sz w:val="24"/>
          <w:szCs w:val="24"/>
          <w:highlight w:val="none"/>
          <w:u w:val="none"/>
          <w:lang w:val="en-US" w:eastAsia="zh-CN"/>
        </w:rPr>
        <w:t xml:space="preserve">监管部门</w:t>
      </w:r>
      <w:r>
        <w:rPr>
          <w:rFonts w:hint="eastAsia" w:ascii="宋体" w:hAnsi="宋体" w:cs="Arial"/>
          <w:color w:val="auto"/>
          <w:sz w:val="24"/>
          <w:szCs w:val="24"/>
          <w:highlight w:val="none"/>
          <w:u w:val="none"/>
        </w:rPr>
        <w:t xml:space="preserve">提出的意见及时进</w:t>
      </w:r>
      <w:r>
        <w:rPr>
          <w:rFonts w:hint="eastAsia" w:ascii="宋体" w:hAnsi="宋体" w:cs="Arial"/>
          <w:color w:val="auto"/>
          <w:sz w:val="24"/>
          <w:szCs w:val="24"/>
          <w:highlight w:val="none"/>
        </w:rPr>
        <w:t xml:space="preserve">行整改。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会议费用由会议举办单位按照会议费管理办法规定向乙方支付，乙方应保存好所有结算单据，甲方有权根据会议费管理办法等检验结算单据。</w:t>
      </w:r>
      <w:r/>
    </w:p>
    <w:p>
      <w:pPr>
        <w:ind w:firstLine="482"/>
        <w:spacing w:line="360" w:lineRule="auto"/>
        <w:rPr>
          <w:rFonts w:hint="default" w:ascii="宋体" w:hAnsi="宋体"/>
          <w:b/>
          <w:color w:val="auto"/>
          <w:sz w:val="24"/>
          <w:szCs w:val="24"/>
          <w:highlight w:val="none"/>
          <w:lang w:val="en-US" w:eastAsia="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en-US" w:eastAsia="zh-CN"/>
        </w:rPr>
        <w:t xml:space="preserve">履约管理要求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（一）管理形式：无锡市公共资源交易中心按</w:t>
      </w:r>
      <w:r>
        <w:rPr>
          <w:rFonts w:hint="eastAsia" w:ascii="宋体" w:hAnsi="宋体"/>
          <w:color w:val="auto"/>
          <w:sz w:val="24"/>
          <w:szCs w:val="24"/>
          <w:highlight w:val="none"/>
        </w:rPr>
        <w:t xml:space="preserve">管理要求通过</w:t>
      </w:r>
      <w:r>
        <w:rPr>
          <w:rFonts w:hint="eastAsia" w:ascii="宋体" w:hAnsi="宋体"/>
          <w:color w:val="auto"/>
          <w:sz w:val="24"/>
          <w:szCs w:val="24"/>
          <w:highlight w:val="none"/>
          <w:lang w:val="en-US" w:eastAsia="zh-CN"/>
        </w:rPr>
        <w:t xml:space="preserve">系统</w:t>
      </w:r>
      <w:r>
        <w:rPr>
          <w:rFonts w:hint="eastAsia" w:ascii="宋体" w:hAnsi="宋体"/>
          <w:color w:val="auto"/>
          <w:sz w:val="24"/>
          <w:szCs w:val="24"/>
          <w:highlight w:val="none"/>
        </w:rPr>
        <w:t xml:space="preserve">反馈的采购人评价、供应商违规预警提示信息、</w:t>
      </w:r>
      <w:r>
        <w:rPr>
          <w:rFonts w:hint="eastAsia" w:ascii="宋体" w:hAnsi="宋体"/>
          <w:color w:val="auto"/>
          <w:sz w:val="24"/>
          <w:szCs w:val="24"/>
          <w:highlight w:val="none"/>
          <w:lang w:val="en-US" w:eastAsia="zh-CN"/>
        </w:rPr>
        <w:t xml:space="preserve">会同</w:t>
      </w:r>
      <w:r>
        <w:rPr>
          <w:rFonts w:hint="eastAsia" w:ascii="宋体" w:hAnsi="宋体"/>
          <w:color w:val="auto"/>
          <w:sz w:val="24"/>
          <w:szCs w:val="24"/>
          <w:highlight w:val="none"/>
        </w:rPr>
        <w:t xml:space="preserve">监管部门进行满意度调查、随机抽查等方</w:t>
      </w:r>
      <w:r>
        <w:rPr>
          <w:rFonts w:hint="eastAsia" w:ascii="宋体" w:hAnsi="宋体"/>
          <w:color w:val="auto"/>
          <w:sz w:val="24"/>
          <w:szCs w:val="24"/>
          <w:highlight w:val="none"/>
        </w:rPr>
        <w:t xml:space="preserve">式，对框架协议入围供应商开展履约及售后服务进行监督。如检查后中心发现需对相关供应商进行整改、暂停交易资格、终止交易资格等</w:t>
      </w:r>
      <w:r>
        <w:rPr>
          <w:rFonts w:hint="eastAsia" w:ascii="宋体" w:hAnsi="宋体"/>
          <w:color w:val="auto"/>
          <w:sz w:val="24"/>
          <w:szCs w:val="24"/>
          <w:highlight w:val="none"/>
          <w:lang w:val="en-US" w:eastAsia="zh-CN"/>
        </w:rPr>
        <w:t xml:space="preserve">处理</w:t>
      </w:r>
      <w:r>
        <w:rPr>
          <w:rFonts w:hint="eastAsia" w:ascii="宋体" w:hAnsi="宋体"/>
          <w:color w:val="auto"/>
          <w:sz w:val="24"/>
          <w:szCs w:val="24"/>
          <w:highlight w:val="none"/>
        </w:rPr>
        <w:t xml:space="preserve">的，中心将在框架协议系统及无锡市公共资源交易中心官网曝光台公布相关情况。</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（二）管理措施：对履约监管中发现的不合格行为，按以下措施处理：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1.约谈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在框架协议采购（第二阶段）出现下列情况，无锡市公共资源交易中心将对相应供应商进行约谈：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提供的服务不符合国家有关规定、响应承诺和框架协议规定；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1.2使用不正当竞争手段，影响采购单位正常采购活动；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1.3满意度调查中采购人反馈不满意，经核实确系</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1.4其他违法违规行为。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出现上述情况时，无锡市公共资源交易中心将向相关供应商发“约谈通知书”，进行约谈并填写“约谈记录表”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并根据实际情况决定是否开具</w:t>
      </w:r>
      <w:r>
        <w:rPr>
          <w:rFonts w:hint="eastAsia" w:ascii="宋体" w:hAnsi="宋体"/>
          <w:color w:val="auto"/>
          <w:sz w:val="24"/>
          <w:szCs w:val="24"/>
          <w:highlight w:val="none"/>
        </w:rPr>
        <w:t xml:space="preserve">“责令整改通知书”。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2.整改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2.1经约谈后，</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仍存在以上违规行为的，无锡市公共资源交易中心开具“责令整改通知书”限定其在规定时间内完成整改（整改期限原则上为7日）。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2.2根据当期征集文件要求，被开具“责令整改通知书”的</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，且</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未提异议或异议不成立，将视作差评，记录在案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并在相应系统公布</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3.暂停交易资格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3.1对出现下列情形的</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，无锡市公共资源交易中心核实情况后暂停其框架协议交易资格三个月，并在框架协议系统公示：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（1）拒不接受公共资源交易中心约谈（通知三次仍无回应）。</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（2）未按“责令整改通知书”规定的时间完成整改和上报整改情况。</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（3）整改结束后仍出现类似违法违规行为。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3.2对于暂停其框架协议交易资格期满后，仍出现类似违法违规行为的</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，无锡市公共资源交易中心核实情况后暂停其框架协议交易资格六个月，并在框架协议系统公示。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4.终止交易资格</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存在财政部第110号令涉及的情形以及以下违约行为的，经调查属实的，取消会议定点场所资格，同时报请市财政部门，列入供应商诚信档案，并依照相关法律、行政法规追究法律责任，并不得在同一框架协议期内再次加入</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无正当理由拒绝接待党政机关会议的。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不履行采购协议义务或者履行采购协议义务不符合约定，经协商后仍不履行或者仍未按约定履行的。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超过采购协议价格收取费用或者采取减少服务项目等降低服务质量的。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4.4</w:t>
      </w:r>
      <w:r>
        <w:rPr>
          <w:rFonts w:hint="eastAsia" w:ascii="宋体" w:hAnsi="宋体"/>
          <w:color w:val="auto"/>
          <w:sz w:val="24"/>
          <w:szCs w:val="24"/>
          <w:highlight w:val="none"/>
        </w:rPr>
        <w:t xml:space="preserve">提供虚假凭证或者未按规定提供发票、费用原始明细单据、电子结算单等凭证的。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不配合、甚至干扰阻挠财政部门正常管理监督工作的。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4.6</w:t>
      </w:r>
      <w:r>
        <w:rPr>
          <w:rFonts w:hint="eastAsia" w:ascii="宋体" w:hAnsi="宋体"/>
          <w:color w:val="auto"/>
          <w:sz w:val="24"/>
          <w:szCs w:val="24"/>
          <w:highlight w:val="none"/>
        </w:rPr>
        <w:t xml:space="preserve">未经批准单方面终止履行协议的。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4.7</w:t>
      </w:r>
      <w:r>
        <w:rPr>
          <w:rFonts w:hint="eastAsia" w:ascii="宋体" w:hAnsi="宋体"/>
          <w:color w:val="auto"/>
          <w:sz w:val="24"/>
          <w:szCs w:val="24"/>
          <w:highlight w:val="none"/>
        </w:rPr>
        <w:t xml:space="preserve">在采购协议期内，因违法行为被禁止或者限制参加政府采购活动的。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4.8</w:t>
      </w:r>
      <w:r>
        <w:rPr>
          <w:rFonts w:hint="eastAsia" w:ascii="宋体" w:hAnsi="宋体"/>
          <w:color w:val="auto"/>
          <w:sz w:val="24"/>
          <w:szCs w:val="24"/>
          <w:highlight w:val="none"/>
        </w:rPr>
        <w:t xml:space="preserve">违反其他协议规定事项的。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六、不可抗力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遭受不可抗力一方应在不可抗力事故发生后尽快以书面形式通知对方，并于事故发生后14天内将有关部门出具的证明文件、详细情况报告以及不可抗力对履行协议影响程度的说明用特快专递或挂号信寄给对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（四）一旦不可抗力事故的影响持续120天以上，甲乙双方通过友好协商，在合理的时间内达成进一步履行协议或者终止协议的协议。</w:t>
      </w:r>
      <w:r/>
    </w:p>
    <w:p>
      <w:pPr>
        <w:ind w:firstLine="482"/>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rPr>
        <w:t xml:space="preserve">七、保密条款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除非法律、法规另有规定或得到本协议之另一方的书面许可，任何一方不得向第三人泄露前款规定的商业秘密或国家秘密。保密期限自任何一方获知商业秘密或国家秘密之日起至本条规定的秘密成为公众信息之日止。</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（三）乙方不得以任何形式向第三方泄露参加会议人员的个人信息。</w:t>
      </w:r>
      <w:r>
        <w:rPr>
          <w:rFonts w:hint="eastAsia" w:ascii="宋体" w:hAnsi="宋体"/>
          <w:color w:val="auto"/>
          <w:sz w:val="24"/>
          <w:szCs w:val="24"/>
          <w:highlight w:val="none"/>
          <w:lang w:val="en-US" w:eastAsia="zh-CN"/>
        </w:rPr>
        <w:t xml:space="preserve">如有需要单独签订保密协议的涉密会议，乙方需配合</w:t>
      </w:r>
      <w:r>
        <w:rPr>
          <w:rFonts w:hint="eastAsia" w:ascii="宋体" w:hAnsi="宋体"/>
          <w:color w:val="auto"/>
          <w:sz w:val="24"/>
          <w:szCs w:val="24"/>
          <w:highlight w:val="none"/>
        </w:rPr>
        <w:t xml:space="preserve">会议举办单位</w:t>
      </w:r>
      <w:r>
        <w:rPr>
          <w:rFonts w:hint="eastAsia" w:ascii="宋体" w:hAnsi="宋体"/>
          <w:color w:val="auto"/>
          <w:sz w:val="24"/>
          <w:szCs w:val="24"/>
          <w:highlight w:val="none"/>
          <w:lang w:val="en-US" w:eastAsia="zh-CN"/>
        </w:rPr>
        <w:t xml:space="preserve">进行相应保密协议的签订，并遵守相应保密要求。</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八、协议的解释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（一）任何一方对本协议及其附件的解释均应遵循诚实信用原则，依照本协议签订时有效的中华人民共和国的法律、法规以及人们通常的理解进行。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（二）本协议标题仅供查阅方便，并非对本协议的诠释或解释，本协议中以日表述的时间期限均指公历日。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（三）对本协议的任何解释均应以书面做出。</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九、争议的解决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在执行本协议中发生的与本协议有关的争端，甲乙双方应通过友好协商解决，经协商在60天内不能达成协议时，甲乙双方同意将争议递交无锡仲裁委员会按照该会仲裁规则进行仲裁。仲裁裁决是终局的，对双方均有约束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（二）除另有裁决外，仲裁费用应由败诉方负担。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（三）在仲裁期间，除正在进行的仲裁部分外，协议其他部分继续执行。</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十、协议的终止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（一）本协议有效期为20</w:t>
      </w: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年1月1日至202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年12月31日。协议期内，任何一方不得擅自终止协议，否则应承担所造成的一切损失。如乙方需退出协议，可按征集公告及相关规定申请退出框架协议，</w:t>
      </w:r>
      <w:r>
        <w:rPr>
          <w:rFonts w:hint="eastAsia" w:ascii="宋体" w:hAnsi="宋体"/>
          <w:b w:val="0"/>
          <w:bCs w:val="0"/>
          <w:color w:val="auto"/>
          <w:sz w:val="24"/>
          <w:szCs w:val="24"/>
          <w:highlight w:val="none"/>
          <w:u w:val="none"/>
          <w:lang w:val="en-US" w:eastAsia="zh-CN"/>
        </w:rPr>
        <w:t xml:space="preserve">甲方</w:t>
      </w:r>
      <w:r>
        <w:rPr>
          <w:rFonts w:hint="eastAsia" w:ascii="宋体" w:hAnsi="宋体"/>
          <w:color w:val="auto"/>
          <w:sz w:val="24"/>
          <w:szCs w:val="24"/>
          <w:highlight w:val="none"/>
        </w:rPr>
        <w:t xml:space="preserve">应当在收到退出申请2个工作日内，以适当方式发布退出公告</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申请退出后会议定点场所资格自动取消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lang w:eastAsia="zh-CN"/>
        </w:rPr>
        <w:t xml:space="preserve">不得在同一个框架协议期内再次加入</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（二）出现下列情况时本协议自行终止：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1.本协议正常履行完毕；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2.甲乙双方协议终止本协议的履行；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3.不可抗力导致本协议无法履行或履行不必要时；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4.一方不履行协议条款，造成另一方无法执行协议，协商又不能求得解决，责任方赔偿损失后，协议终止。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（三）除本协议另有约定外，发生任何以下一种情况，甲方有权解除本协议，对于由此给乙方造成的损失甲方不承担赔偿责任，对于由此给甲方造成的损失，乙方应负赔偿责任：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1．乙方设备设施发生重大变化，不满足征集公告提出的要求或者不具备接待能力的；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2．乙方出现组织卖淫嫖娼、赌博、贩卖毒品、危害国家安全等违法行为的。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十一、法律适用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本协议及附件的订立、效力、解释、履行、争议的解决等适用本协议签订时有效的中华人民共和国法律、法规的有关规定。</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十二、权力的保留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任何一方没有行使其权利或没有就违约方的违法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（三）在本协议履行期间，因中国法律、法规、政策的变化致使本协议的部分条款相冲突、无效或失去可强制执行效力时，甲乙双方应尽快修改本协议中相冲突或无效或失去可强制执行效力的条款。</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十三、主导语言与计量单位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（一）协议书写应用中文。甲乙双方所有的来往信函，以及协议有关的文件均应以中文书写。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（二）除协议另有规定外，计量单位均使用中华人民共和国法定计量单位。</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十四、协议修改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（一）对于本协议的未尽事宜，需进行修改、补充或完善的，甲乙双方必须就所修改的内容签订书面的协议修改书，作为本协议的补充协议。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（二）补充协议与本协议具有同等法律效力。</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十五、附加条款</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由于乙方没有及时在“党政机关会议定点场所管理系统”上注册、发布相关信息而无法取得各级党政机关认可的，所造成的损失由乙方负责。</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lang w:eastAsia="zh-CN"/>
        </w:rPr>
        <w:t xml:space="preserve">）协议期内</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lang w:eastAsia="zh-CN"/>
        </w:rPr>
        <w:t xml:space="preserve">发生下列情况之一的，由</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lang w:eastAsia="zh-CN"/>
        </w:rPr>
        <w:t xml:space="preserve">提出书面申请，</w:t>
      </w:r>
      <w:r>
        <w:rPr>
          <w:rFonts w:hint="eastAsia" w:ascii="宋体" w:hAnsi="宋体"/>
          <w:color w:val="auto"/>
          <w:sz w:val="24"/>
          <w:szCs w:val="24"/>
          <w:highlight w:val="none"/>
          <w:lang w:val="en-US" w:eastAsia="zh-CN"/>
        </w:rPr>
        <w:t xml:space="preserve">市</w:t>
      </w:r>
      <w:r>
        <w:rPr>
          <w:rFonts w:hint="eastAsia" w:ascii="宋体" w:hAnsi="宋体"/>
          <w:color w:val="auto"/>
          <w:sz w:val="24"/>
          <w:szCs w:val="24"/>
          <w:highlight w:val="none"/>
          <w:lang w:eastAsia="zh-CN"/>
        </w:rPr>
        <w:t xml:space="preserve">财政</w:t>
      </w:r>
      <w:r>
        <w:rPr>
          <w:rFonts w:hint="eastAsia" w:ascii="宋体" w:hAnsi="宋体"/>
          <w:color w:val="auto"/>
          <w:sz w:val="24"/>
          <w:szCs w:val="24"/>
          <w:highlight w:val="none"/>
          <w:lang w:val="en-US" w:eastAsia="zh-CN"/>
        </w:rPr>
        <w:t xml:space="preserve">监管</w:t>
      </w:r>
      <w:r>
        <w:rPr>
          <w:rFonts w:hint="eastAsia" w:ascii="宋体" w:hAnsi="宋体"/>
          <w:color w:val="auto"/>
          <w:sz w:val="24"/>
          <w:szCs w:val="24"/>
          <w:highlight w:val="none"/>
          <w:lang w:eastAsia="zh-CN"/>
        </w:rPr>
        <w:t xml:space="preserve">部门审核同意后在“党政机关会议定点场所管理信息系统”办理注销：</w:t>
      </w:r>
      <w:r/>
    </w:p>
    <w:p>
      <w:pPr>
        <w:ind w:left="0" w:firstLine="42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 乙方</w:t>
      </w:r>
      <w:r>
        <w:rPr>
          <w:rFonts w:hint="eastAsia" w:ascii="宋体" w:hAnsi="宋体"/>
          <w:color w:val="auto"/>
          <w:sz w:val="24"/>
          <w:szCs w:val="24"/>
          <w:highlight w:val="none"/>
          <w:lang w:eastAsia="zh-CN"/>
        </w:rPr>
        <w:t xml:space="preserve">申请退出开放式框架协议的。</w:t>
      </w:r>
      <w:r/>
    </w:p>
    <w:p>
      <w:pPr>
        <w:ind w:left="0" w:firstLine="42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 乙方</w:t>
      </w:r>
      <w:r>
        <w:rPr>
          <w:rFonts w:hint="eastAsia" w:ascii="宋体" w:hAnsi="宋体"/>
          <w:color w:val="auto"/>
          <w:sz w:val="24"/>
          <w:szCs w:val="24"/>
          <w:highlight w:val="none"/>
          <w:lang w:eastAsia="zh-CN"/>
        </w:rPr>
        <w:t xml:space="preserve">服务功能发生变化，不能满足协议要求的。</w:t>
      </w:r>
      <w:r/>
    </w:p>
    <w:p>
      <w:pPr>
        <w:ind w:left="0" w:firstLine="42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 </w:t>
      </w:r>
      <w:r>
        <w:rPr>
          <w:rFonts w:hint="eastAsia" w:ascii="宋体" w:hAnsi="宋体"/>
          <w:color w:val="auto"/>
          <w:sz w:val="24"/>
          <w:szCs w:val="24"/>
          <w:highlight w:val="none"/>
          <w:lang w:eastAsia="zh-CN"/>
        </w:rPr>
        <w:t xml:space="preserve">自然灾害等不可抗力导致</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lang w:eastAsia="zh-CN"/>
        </w:rPr>
        <w:t xml:space="preserve">无法正常经营的。</w:t>
      </w:r>
      <w:r/>
    </w:p>
    <w:p>
      <w:pPr>
        <w:ind w:left="0" w:firstLine="42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4. </w:t>
      </w:r>
      <w:r>
        <w:rPr>
          <w:rFonts w:hint="eastAsia" w:ascii="宋体" w:hAnsi="宋体"/>
          <w:color w:val="auto"/>
          <w:sz w:val="24"/>
          <w:szCs w:val="24"/>
          <w:highlight w:val="none"/>
          <w:lang w:eastAsia="zh-CN"/>
        </w:rPr>
        <w:t xml:space="preserve">其他情况导致</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lang w:eastAsia="zh-CN"/>
        </w:rPr>
        <w:t xml:space="preserve">无法正常经营的。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十六、协议生效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（一）本项目不再签订书面框架协议，发布入围结果公告，视为签订框架协议。本协议有效期至202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年12月31日。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（二）本协议中的附件均为本协议不可分割的部分，与本协议具有同等的法律效力。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（三）征集公告、申请文件、框架协议条款及入围通知书，乙方在申请、评审过程中所作其它有关承诺、声明、书面澄清等均为协议不可分割的部分，与主协议具有同等法律效力。</w:t>
      </w:r>
      <w:r/>
    </w:p>
    <w:p>
      <w:pPr>
        <w:ind w:firstLine="48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（四）财政部门规定的其他事项。</w:t>
      </w:r>
      <w:r/>
    </w:p>
    <w:p>
      <w:pPr>
        <w:rPr>
          <w:rFonts w:hint="eastAsia" w:ascii="黑体" w:eastAsia="黑体"/>
          <w:b/>
          <w:color w:val="auto"/>
          <w:sz w:val="32"/>
          <w:szCs w:val="32"/>
          <w:highlight w:val="none"/>
        </w:rPr>
      </w:pPr>
      <w:r>
        <w:rPr>
          <w:rFonts w:hint="eastAsia" w:ascii="黑体" w:eastAsia="黑体"/>
          <w:b/>
          <w:color w:val="auto"/>
          <w:sz w:val="32"/>
          <w:szCs w:val="32"/>
          <w:highlight w:val="none"/>
        </w:rPr>
        <w:br w:type="page" w:clear="all"/>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rPr>
        <w:t xml:space="preserve">党政机关会议定点场所服务采购合同</w:t>
      </w:r>
      <w:r/>
    </w:p>
    <w:p>
      <w:pPr>
        <w:ind w:firstLine="6240"/>
        <w:spacing w:line="400" w:lineRule="exact"/>
        <w:rPr>
          <w:rFonts w:ascii="黑体" w:eastAsia="黑体"/>
          <w:b/>
          <w:color w:val="auto"/>
          <w:sz w:val="32"/>
          <w:szCs w:val="32"/>
          <w:highlight w:val="none"/>
        </w:rPr>
      </w:pPr>
      <w:r>
        <w:rPr>
          <w:rFonts w:hint="eastAsia"/>
          <w:color w:val="auto"/>
          <w:sz w:val="24"/>
          <w:szCs w:val="24"/>
          <w:highlight w:val="none"/>
        </w:rPr>
        <w:t xml:space="preserve">合</w:t>
      </w:r>
      <w:r>
        <w:rPr>
          <w:color w:val="auto"/>
          <w:sz w:val="24"/>
          <w:szCs w:val="24"/>
          <w:highlight w:val="none"/>
        </w:rPr>
        <w:t xml:space="preserve">同编号：</w:t>
      </w:r>
      <w:r/>
    </w:p>
    <w:p>
      <w:pPr>
        <w:spacing w:line="400" w:lineRule="exact"/>
        <w:rPr>
          <w:b/>
          <w:color w:val="auto"/>
          <w:sz w:val="24"/>
          <w:szCs w:val="24"/>
          <w:highlight w:val="none"/>
        </w:rPr>
      </w:pPr>
      <w:r>
        <w:rPr>
          <w:rFonts w:hint="eastAsia"/>
          <w:b/>
          <w:color w:val="auto"/>
          <w:sz w:val="24"/>
          <w:szCs w:val="24"/>
          <w:highlight w:val="none"/>
        </w:rPr>
        <w:t xml:space="preserve">甲方：</w:t>
      </w:r>
      <w:r>
        <w:rPr>
          <w:rFonts w:hint="eastAsia"/>
          <w:color w:val="auto"/>
          <w:sz w:val="24"/>
          <w:szCs w:val="24"/>
          <w:highlight w:val="none"/>
          <w:u w:val="single"/>
        </w:rPr>
        <w:t xml:space="preserve">                   </w:t>
      </w:r>
      <w:r>
        <w:rPr>
          <w:rFonts w:hint="eastAsia"/>
          <w:color w:val="auto"/>
          <w:sz w:val="24"/>
          <w:szCs w:val="24"/>
          <w:highlight w:val="none"/>
        </w:rPr>
        <w:t xml:space="preserve">（党政机关）</w:t>
      </w:r>
      <w:r/>
    </w:p>
    <w:p>
      <w:pPr>
        <w:spacing w:line="400" w:lineRule="exact"/>
        <w:rPr>
          <w:b/>
          <w:color w:val="auto"/>
          <w:sz w:val="24"/>
          <w:szCs w:val="24"/>
          <w:highlight w:val="none"/>
        </w:rPr>
      </w:pPr>
      <w:r>
        <w:rPr>
          <w:rFonts w:hint="eastAsia"/>
          <w:b/>
          <w:color w:val="auto"/>
          <w:sz w:val="24"/>
          <w:szCs w:val="24"/>
          <w:highlight w:val="none"/>
        </w:rPr>
        <w:t xml:space="preserve">乙方：</w:t>
      </w:r>
      <w:r>
        <w:rPr>
          <w:rFonts w:hint="eastAsia"/>
          <w:color w:val="auto"/>
          <w:sz w:val="24"/>
          <w:szCs w:val="24"/>
          <w:highlight w:val="none"/>
          <w:u w:val="single"/>
        </w:rPr>
        <w:t xml:space="preserve">                   </w:t>
      </w:r>
      <w:r>
        <w:rPr>
          <w:rFonts w:hint="eastAsia"/>
          <w:color w:val="auto"/>
          <w:sz w:val="24"/>
          <w:szCs w:val="24"/>
          <w:highlight w:val="none"/>
        </w:rPr>
        <w:t xml:space="preserve">（定点场所）</w:t>
      </w:r>
      <w:r/>
    </w:p>
    <w:p>
      <w:pPr>
        <w:ind w:firstLine="480"/>
        <w:spacing w:line="400" w:lineRule="exact"/>
        <w:rPr>
          <w:color w:val="auto"/>
          <w:sz w:val="24"/>
          <w:szCs w:val="24"/>
          <w:highlight w:val="none"/>
        </w:rPr>
      </w:pPr>
      <w:r>
        <w:rPr>
          <w:rFonts w:hint="eastAsia"/>
          <w:color w:val="auto"/>
          <w:sz w:val="24"/>
          <w:szCs w:val="24"/>
          <w:highlight w:val="none"/>
        </w:rPr>
        <w:t xml:space="preserve">甲乙双方经友好协商，就甲方在乙方召开会议的有关事宜，签订合同如下：</w:t>
      </w:r>
      <w:r/>
    </w:p>
    <w:p>
      <w:pPr>
        <w:ind w:firstLine="482"/>
        <w:spacing w:line="400" w:lineRule="exact"/>
        <w:rPr>
          <w:b/>
          <w:color w:val="auto"/>
          <w:sz w:val="24"/>
          <w:szCs w:val="24"/>
          <w:highlight w:val="none"/>
        </w:rPr>
      </w:pPr>
      <w:r>
        <w:rPr>
          <w:rFonts w:hint="eastAsia"/>
          <w:b/>
          <w:color w:val="auto"/>
          <w:sz w:val="24"/>
          <w:szCs w:val="24"/>
          <w:highlight w:val="none"/>
        </w:rPr>
        <w:t xml:space="preserve">一、会务内容：</w:t>
      </w:r>
      <w:r/>
    </w:p>
    <w:tbl>
      <w:tblPr>
        <w:tblStyle w:val="853"/>
        <w:tblW w:w="9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1307"/>
        <w:gridCol w:w="90"/>
        <w:gridCol w:w="323"/>
        <w:gridCol w:w="850"/>
        <w:gridCol w:w="224"/>
        <w:gridCol w:w="1052"/>
        <w:gridCol w:w="142"/>
        <w:gridCol w:w="1087"/>
        <w:gridCol w:w="513"/>
        <w:gridCol w:w="526"/>
        <w:gridCol w:w="871"/>
        <w:gridCol w:w="1247"/>
      </w:tblGrid>
      <w:tr>
        <w:trPr>
          <w:jc w:val="center"/>
          <w:trHeight w:val="454" w:hRule="exact"/>
        </w:trPr>
        <w:tc>
          <w:tcPr>
            <w:tcW w:w="1371" w:type="dxa"/>
            <w:textDirection w:val="lrTb"/>
            <w:noWrap/>
          </w:tcPr>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会议名称</w:t>
            </w:r>
            <w:r/>
          </w:p>
        </w:tc>
        <w:tc>
          <w:tcPr>
            <w:gridSpan w:val="6"/>
            <w:tcW w:w="3846" w:type="dxa"/>
            <w:textDirection w:val="lrTb"/>
            <w:noWrap/>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r>
            <w:r/>
          </w:p>
        </w:tc>
        <w:tc>
          <w:tcPr>
            <w:gridSpan w:val="2"/>
            <w:tcW w:w="1229" w:type="dxa"/>
            <w:textDirection w:val="lrTb"/>
            <w:noWrap/>
          </w:tcPr>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会议日期</w:t>
            </w:r>
            <w:r/>
          </w:p>
        </w:tc>
        <w:tc>
          <w:tcPr>
            <w:gridSpan w:val="4"/>
            <w:tcW w:w="3157" w:type="dxa"/>
            <w:textDirection w:val="lrTb"/>
            <w:noWrap/>
          </w:tcPr>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年 月 日至  年 月 日</w:t>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主办单位</w:t>
            </w:r>
            <w:r/>
          </w:p>
        </w:tc>
        <w:tc>
          <w:tcPr>
            <w:gridSpan w:val="6"/>
            <w:tcW w:w="384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229"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会议人数</w:t>
            </w:r>
            <w:r/>
          </w:p>
        </w:tc>
        <w:tc>
          <w:tcPr>
            <w:gridSpan w:val="4"/>
            <w:tcW w:w="315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 系 人</w:t>
            </w:r>
            <w:r/>
          </w:p>
        </w:tc>
        <w:tc>
          <w:tcPr>
            <w:tcW w:w="130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263"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gridSpan w:val="2"/>
            <w:tcW w:w="127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229"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预订房间</w:t>
            </w:r>
            <w:r/>
          </w:p>
        </w:tc>
        <w:tc>
          <w:tcPr>
            <w:gridSpan w:val="4"/>
            <w:tcW w:w="315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gridSpan w:val="13"/>
            <w:tcW w:w="9603"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A 客 房</w:t>
            </w:r>
            <w:r/>
          </w:p>
        </w:tc>
      </w:tr>
      <w:tr>
        <w:trPr>
          <w:jc w:val="center"/>
          <w:trHeight w:val="454" w:hRule="exact"/>
        </w:trPr>
        <w:tc>
          <w:tcPr>
            <w:tcW w:w="1371"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3"/>
            <w:tcW w:w="1720"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房  型</w:t>
            </w:r>
            <w:r/>
          </w:p>
        </w:tc>
        <w:tc>
          <w:tcPr>
            <w:gridSpan w:val="4"/>
            <w:tcW w:w="2268" w:type="dxa"/>
            <w:vAlign w:val="center"/>
            <w:textDirection w:val="lrTb"/>
            <w:noWrap/>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价</w:t>
            </w:r>
            <w:r>
              <w:rPr>
                <w:rFonts w:ascii="宋体" w:hAnsi="宋体"/>
                <w:color w:val="auto"/>
                <w:sz w:val="24"/>
                <w:szCs w:val="24"/>
                <w:highlight w:val="none"/>
              </w:rPr>
              <w:t xml:space="preserve">格</w:t>
            </w:r>
            <w:r>
              <w:rPr>
                <w:rFonts w:hint="eastAsia" w:ascii="宋体" w:hAnsi="宋体"/>
                <w:color w:val="auto"/>
                <w:sz w:val="24"/>
                <w:szCs w:val="24"/>
                <w:highlight w:val="none"/>
              </w:rPr>
              <w:t xml:space="preserve">/元（含早餐）</w:t>
            </w:r>
            <w:r/>
          </w:p>
        </w:tc>
        <w:tc>
          <w:tcPr>
            <w:gridSpan w:val="3"/>
            <w:tcW w:w="2126" w:type="dxa"/>
            <w:vAlign w:val="center"/>
            <w:textDirection w:val="lrTb"/>
            <w:noWrap/>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用房数（间/夜）</w:t>
            </w:r>
            <w:r/>
          </w:p>
        </w:tc>
        <w:tc>
          <w:tcPr>
            <w:gridSpan w:val="2"/>
            <w:tcW w:w="211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小计（元）</w:t>
            </w:r>
            <w:r/>
          </w:p>
        </w:tc>
      </w:tr>
      <w:tr>
        <w:trPr>
          <w:jc w:val="center"/>
          <w:trHeight w:val="454" w:hRule="exact"/>
        </w:trPr>
        <w:tc>
          <w:tcPr>
            <w:tcW w:w="1371" w:type="dxa"/>
            <w:vAlign w:val="center"/>
            <w:vMerge w:val="restart"/>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Borders>
              <w:bottom w:val="single" w:color="auto" w:sz="4" w:space="0"/>
            </w:tcBorders>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bottom w:val="single" w:color="auto" w:sz="4" w:space="0"/>
            </w:tcBorders>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bottom w:val="single" w:color="auto" w:sz="4" w:space="0"/>
            </w:tcBorders>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bottom w:val="single" w:color="auto" w:sz="4" w:space="0"/>
            </w:tcBorders>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continue"/>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tcBorders>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tcBorders>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restart"/>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Borders>
              <w:bottom w:val="single" w:color="auto" w:sz="4" w:space="0"/>
            </w:tcBorders>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bottom w:val="single" w:color="auto" w:sz="4" w:space="0"/>
            </w:tcBorders>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bottom w:val="single" w:color="auto" w:sz="4" w:space="0"/>
            </w:tcBorders>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bottom w:val="single" w:color="auto" w:sz="4" w:space="0"/>
            </w:tcBorders>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continue"/>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tcBorders>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tcBorders>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restart"/>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Borders>
              <w:top w:val="single" w:color="auto" w:sz="4" w:space="0"/>
              <w:bottom w:val="single" w:color="auto" w:sz="4" w:space="0"/>
            </w:tcBorders>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bottom w:val="single" w:color="auto" w:sz="4" w:space="0"/>
            </w:tcBorders>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bottom w:val="single" w:color="auto" w:sz="4" w:space="0"/>
            </w:tcBorders>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bottom w:val="single" w:color="auto" w:sz="4" w:space="0"/>
            </w:tcBorders>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continue"/>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tcBorders>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tcBorders>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gridSpan w:val="13"/>
            <w:tcW w:w="9603" w:type="dxa"/>
            <w:textDirection w:val="lrTb"/>
            <w:noWrap/>
          </w:tcPr>
          <w:p>
            <w:pPr>
              <w:jc w:val="cente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B 会 场</w:t>
            </w:r>
            <w:r/>
          </w:p>
        </w:tc>
      </w:tr>
      <w:tr>
        <w:trPr>
          <w:jc w:val="center"/>
          <w:trHeight w:val="454" w:hRule="exact"/>
        </w:trPr>
        <w:tc>
          <w:tcPr>
            <w:tcW w:w="1371"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3"/>
            <w:tcW w:w="1720"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时   间</w:t>
            </w:r>
            <w:r/>
          </w:p>
        </w:tc>
        <w:tc>
          <w:tcPr>
            <w:gridSpan w:val="4"/>
            <w:tcW w:w="226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会议地点</w:t>
            </w:r>
            <w:r/>
          </w:p>
        </w:tc>
        <w:tc>
          <w:tcPr>
            <w:gridSpan w:val="3"/>
            <w:tcW w:w="2126"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会议人数</w:t>
            </w:r>
            <w:r/>
          </w:p>
        </w:tc>
        <w:tc>
          <w:tcPr>
            <w:gridSpan w:val="2"/>
            <w:tcW w:w="211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场租费（元）</w:t>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W w:w="172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W w:w="226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126"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2118"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台   型</w:t>
            </w:r>
            <w:r/>
          </w:p>
        </w:tc>
        <w:tc>
          <w:tcPr>
            <w:gridSpan w:val="12"/>
            <w:tcW w:w="8232" w:type="dxa"/>
            <w:textDirection w:val="lrTb"/>
            <w:noWrap/>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□课桌型  □剧场型  □回字型  □U字型  □岛屿型  □鱼骨型 □圆桌型</w:t>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免  费</w:t>
            </w:r>
            <w:r/>
          </w:p>
        </w:tc>
        <w:tc>
          <w:tcPr>
            <w:gridSpan w:val="12"/>
            <w:tcW w:w="8232" w:type="dxa"/>
            <w:textDirection w:val="lrTb"/>
            <w:noWrap/>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□茶水   □纸笔   □主席台   □音响   □话筒   □演讲台   □签到台 </w:t>
            </w:r>
            <w:r/>
          </w:p>
        </w:tc>
      </w:tr>
      <w:tr>
        <w:trPr>
          <w:jc w:val="center"/>
          <w:trHeight w:val="907"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服  务</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  目</w:t>
            </w:r>
            <w:r/>
          </w:p>
        </w:tc>
        <w:tc>
          <w:tcPr>
            <w:gridSpan w:val="12"/>
            <w:tcW w:w="8232" w:type="dxa"/>
            <w:textDirection w:val="lrTb"/>
            <w:noWrap/>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*LED屏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元/场   *投影仪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元/场    *布展</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    *会标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元/条   </w:t>
            </w:r>
            <w:r/>
          </w:p>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*水果</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元/份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*茶歇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元/位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*席卡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     *矿泉水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  </w:t>
            </w:r>
            <w:r/>
          </w:p>
        </w:tc>
      </w:tr>
      <w:tr>
        <w:trPr>
          <w:jc w:val="center"/>
          <w:trHeight w:val="454" w:hRule="exact"/>
        </w:trPr>
        <w:tc>
          <w:tcPr>
            <w:gridSpan w:val="13"/>
            <w:tcW w:w="9603" w:type="dxa"/>
            <w:textDirection w:val="lrTb"/>
            <w:noWrap/>
          </w:tcPr>
          <w:p>
            <w:pPr>
              <w:jc w:val="cente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C 用 餐</w:t>
            </w:r>
            <w:r/>
          </w:p>
        </w:tc>
      </w:tr>
      <w:tr>
        <w:trPr>
          <w:jc w:val="center"/>
          <w:trHeight w:val="454" w:hRule="exact"/>
        </w:trPr>
        <w:tc>
          <w:tcPr>
            <w:tcW w:w="1371"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2"/>
            <w:tcW w:w="139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时间</w:t>
            </w:r>
            <w:r/>
          </w:p>
        </w:tc>
        <w:tc>
          <w:tcPr>
            <w:gridSpan w:val="3"/>
            <w:tcW w:w="139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用餐地点</w:t>
            </w:r>
            <w:r/>
          </w:p>
        </w:tc>
        <w:tc>
          <w:tcPr>
            <w:gridSpan w:val="2"/>
            <w:tcW w:w="1194"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用餐形式</w:t>
            </w:r>
            <w:r/>
          </w:p>
        </w:tc>
        <w:tc>
          <w:tcPr>
            <w:gridSpan w:val="2"/>
            <w:tcW w:w="1600"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用餐人数</w:t>
            </w:r>
            <w:r/>
          </w:p>
        </w:tc>
        <w:tc>
          <w:tcPr>
            <w:gridSpan w:val="2"/>
            <w:tcW w:w="139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w:t>
            </w:r>
            <w:r>
              <w:rPr>
                <w:rFonts w:ascii="宋体" w:hAnsi="宋体"/>
                <w:color w:val="auto"/>
                <w:sz w:val="24"/>
                <w:szCs w:val="24"/>
                <w:highlight w:val="none"/>
              </w:rPr>
              <w:t xml:space="preserve">标准</w:t>
            </w:r>
            <w:r/>
          </w:p>
        </w:tc>
        <w:tc>
          <w:tcPr>
            <w:tcW w:w="124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小计（元）</w:t>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2"/>
            <w:tcW w:w="1397" w:type="dxa"/>
            <w:vAlign w:val="center"/>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397" w:type="dxa"/>
            <w:vAlign w:val="center"/>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194" w:type="dxa"/>
            <w:vAlign w:val="center"/>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600" w:type="dxa"/>
            <w:vAlign w:val="center"/>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397" w:type="dxa"/>
            <w:vAlign w:val="center"/>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47" w:type="dxa"/>
            <w:vAlign w:val="center"/>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2"/>
            <w:tcW w:w="139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39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194"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60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39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4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2"/>
            <w:tcW w:w="139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39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194"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600"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39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47" w:type="dxa"/>
            <w:textDirection w:val="lrTb"/>
            <w:noWrap/>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二、相关事项：</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1. 会标内容：</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color w:val="auto"/>
          <w:sz w:val="24"/>
          <w:szCs w:val="24"/>
          <w:highlight w:val="none"/>
        </w:rPr>
        <w:t xml:space="preserve">指示牌内容</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会场布置：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接机接站：</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4. </w:t>
      </w:r>
      <w:r>
        <w:rPr>
          <w:rFonts w:hint="eastAsia"/>
          <w:color w:val="auto"/>
          <w:sz w:val="24"/>
          <w:szCs w:val="24"/>
          <w:highlight w:val="none"/>
        </w:rPr>
        <w:t xml:space="preserve">交通线路：</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 酒店协调经理：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三、结算方式：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甲方会议期间每天最低用房保证数为预订数的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%，若实际用房数低于最低保证用房数，按最低保证用房数收费，若超出最低保证用房数，按实际用房数收费。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甲方办理进店手续的时间为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日14：00以后（若甲方有提前报到者，乙方将根据当日客情，给予甲方最大限度的配合）。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甲方办理离店手续的时间为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日12：00前。迟于14：00后，18：00前办理离店手续，需加收半天房费，迟于18：00后离店，需加收全天房费。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 会议期间发生的所有费用由甲方指定人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签署，联系电话：</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 甲乙双方合同签订后一周内甲方即付定金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%（小写人民币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元），大写人民币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元，余款在会议结束时一次性结清。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 甲方（发票）</w:t>
      </w:r>
      <w:r>
        <w:rPr>
          <w:rFonts w:ascii="宋体" w:hAnsi="宋体"/>
          <w:color w:val="auto"/>
          <w:sz w:val="24"/>
          <w:szCs w:val="24"/>
          <w:highlight w:val="none"/>
        </w:rPr>
        <w:t xml:space="preserve">单位名称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税号：</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开户行：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账号：</w:t>
      </w:r>
      <w:r>
        <w:rPr>
          <w:rFonts w:hint="eastAsia" w:ascii="宋体" w:hAnsi="宋体"/>
          <w:color w:val="auto"/>
          <w:sz w:val="24"/>
          <w:szCs w:val="24"/>
          <w:highlight w:val="none"/>
          <w:u w:val="single"/>
        </w:rPr>
        <w:t xml:space="preserve">               </w:t>
      </w:r>
      <w:r/>
    </w:p>
    <w:p>
      <w:pPr>
        <w:ind w:firstLine="240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电话：</w:t>
      </w:r>
      <w:r>
        <w:rPr>
          <w:rFonts w:hint="eastAsia" w:ascii="宋体" w:hAnsi="宋体"/>
          <w:color w:val="auto"/>
          <w:sz w:val="24"/>
          <w:szCs w:val="24"/>
          <w:highlight w:val="none"/>
          <w:u w:val="single"/>
        </w:rPr>
        <w:t xml:space="preserve">               </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7. 乙方（酒店）</w:t>
      </w:r>
      <w:r>
        <w:rPr>
          <w:rFonts w:ascii="宋体" w:hAnsi="宋体"/>
          <w:color w:val="auto"/>
          <w:sz w:val="24"/>
          <w:szCs w:val="24"/>
          <w:highlight w:val="none"/>
        </w:rPr>
        <w:t xml:space="preserve">单位名称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税号：</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开户行：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账号：</w:t>
      </w:r>
      <w:r>
        <w:rPr>
          <w:rFonts w:hint="eastAsia" w:ascii="宋体" w:hAnsi="宋体"/>
          <w:color w:val="auto"/>
          <w:sz w:val="24"/>
          <w:szCs w:val="24"/>
          <w:highlight w:val="none"/>
          <w:u w:val="single"/>
        </w:rPr>
        <w:t xml:space="preserve">               </w:t>
      </w:r>
      <w:r/>
    </w:p>
    <w:p>
      <w:pPr>
        <w:ind w:firstLine="240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电话：</w:t>
      </w:r>
      <w:r>
        <w:rPr>
          <w:rFonts w:hint="eastAsia" w:ascii="宋体" w:hAnsi="宋体"/>
          <w:color w:val="auto"/>
          <w:sz w:val="24"/>
          <w:szCs w:val="24"/>
          <w:highlight w:val="none"/>
          <w:u w:val="single"/>
        </w:rPr>
        <w:t xml:space="preserve">                </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四、违约责任：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本次会议所有价格等信息，甲乙双方有义务不得向第三方泄露。因泄密而引起的损失由泄密方承担全部责任。（此条款作为双方的保密协议）。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违约金:</w:t>
      </w:r>
      <w:r>
        <w:rPr>
          <w:rFonts w:hint="eastAsia" w:ascii="宋体" w:hAnsi="宋体"/>
          <w:color w:val="auto"/>
          <w:sz w:val="24"/>
          <w:szCs w:val="24"/>
          <w:highlight w:val="none"/>
          <w:u w:val="single"/>
        </w:rPr>
        <w:t xml:space="preserve">                                                                </w:t>
      </w:r>
      <w:r/>
    </w:p>
    <w:p>
      <w:pPr>
        <w:ind w:firstLine="482"/>
        <w:spacing w:line="360" w:lineRule="auto"/>
        <w:rPr>
          <w:rFonts w:ascii="宋体" w:hAnsi="宋体"/>
          <w:color w:val="auto"/>
          <w:sz w:val="24"/>
          <w:szCs w:val="24"/>
          <w:highlight w:val="none"/>
          <w:u w:val="single"/>
        </w:rPr>
      </w:pPr>
      <w:r>
        <w:rPr>
          <w:rFonts w:hint="eastAsia" w:ascii="宋体" w:hAnsi="宋体"/>
          <w:b/>
          <w:color w:val="auto"/>
          <w:sz w:val="24"/>
          <w:szCs w:val="24"/>
          <w:highlight w:val="none"/>
        </w:rPr>
        <w:t xml:space="preserve">五、其他：</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六、本合同未尽事宜由甲乙双方协商解决，本合同履行地在无锡市。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七、本合同经双方签字盖章后生效，一式二份，甲乙双方各执一份，具有同等法律效力。</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甲方（盖章）：</w:t>
      </w:r>
      <w:r>
        <w:rPr>
          <w:rFonts w:hint="eastAsia" w:ascii="宋体" w:hAnsi="宋体"/>
          <w:color w:val="auto"/>
          <w:sz w:val="24"/>
          <w:szCs w:val="24"/>
          <w:highlight w:val="none"/>
        </w:rPr>
        <w:t xml:space="preserve">（党政机关）</w:t>
      </w:r>
      <w:r>
        <w:rPr>
          <w:rFonts w:hint="eastAsia" w:ascii="宋体" w:hAnsi="宋体"/>
          <w:b/>
          <w:color w:val="auto"/>
          <w:sz w:val="24"/>
          <w:szCs w:val="24"/>
          <w:highlight w:val="none"/>
        </w:rPr>
        <w:t xml:space="preserve">                 乙方（盖章）：</w:t>
      </w:r>
      <w:r>
        <w:rPr>
          <w:rFonts w:hint="eastAsia" w:ascii="宋体" w:hAnsi="宋体"/>
          <w:color w:val="auto"/>
          <w:sz w:val="24"/>
          <w:szCs w:val="24"/>
          <w:highlight w:val="none"/>
        </w:rPr>
        <w:t xml:space="preserve">（定点场所）</w:t>
      </w:r>
      <w:r/>
    </w:p>
    <w:p>
      <w:pPr>
        <w:ind w:firstLine="480"/>
        <w:spacing w:line="360" w:lineRule="auto"/>
        <w:rPr>
          <w:rFonts w:ascii="宋体" w:hAnsi="宋体"/>
          <w:color w:val="auto"/>
          <w:sz w:val="24"/>
          <w:szCs w:val="24"/>
          <w:highlight w:val="none"/>
        </w:rPr>
      </w:pPr>
      <w:r>
        <w:rPr>
          <w:rFonts w:hint="eastAsia"/>
          <w:color w:val="auto"/>
          <w:sz w:val="24"/>
          <w:szCs w:val="24"/>
          <w:highlight w:val="none"/>
        </w:rPr>
        <w:t xml:space="preserve">授</w:t>
      </w:r>
      <w:r>
        <w:rPr>
          <w:color w:val="auto"/>
          <w:sz w:val="24"/>
          <w:szCs w:val="24"/>
          <w:highlight w:val="none"/>
        </w:rPr>
        <w:t xml:space="preserve">权</w:t>
      </w:r>
      <w:r>
        <w:rPr>
          <w:rFonts w:hint="eastAsia" w:ascii="宋体" w:hAnsi="宋体"/>
          <w:color w:val="auto"/>
          <w:sz w:val="24"/>
          <w:szCs w:val="24"/>
          <w:highlight w:val="none"/>
        </w:rPr>
        <w:t xml:space="preserve">代表（签字）：                         </w:t>
      </w:r>
      <w:r>
        <w:rPr>
          <w:rFonts w:hint="eastAsia"/>
          <w:color w:val="auto"/>
          <w:sz w:val="24"/>
          <w:szCs w:val="24"/>
          <w:highlight w:val="none"/>
        </w:rPr>
        <w:t xml:space="preserve">授</w:t>
      </w:r>
      <w:r>
        <w:rPr>
          <w:color w:val="auto"/>
          <w:sz w:val="24"/>
          <w:szCs w:val="24"/>
          <w:highlight w:val="none"/>
        </w:rPr>
        <w:t xml:space="preserve">权</w:t>
      </w:r>
      <w:r>
        <w:rPr>
          <w:rFonts w:hint="eastAsia" w:ascii="宋体" w:hAnsi="宋体"/>
          <w:color w:val="auto"/>
          <w:sz w:val="24"/>
          <w:szCs w:val="24"/>
          <w:highlight w:val="none"/>
        </w:rPr>
        <w:t xml:space="preserve">代表（签字）：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rPr>
          <w:rFonts w:hint="eastAsia"/>
          <w:color w:val="auto"/>
          <w:sz w:val="24"/>
          <w:szCs w:val="24"/>
          <w:highlight w:val="none"/>
        </w:rPr>
        <w:t xml:space="preserve">年  月  日</w:t>
      </w:r>
      <w:r>
        <w:rPr>
          <w:rFonts w:hint="eastAsia" w:ascii="宋体" w:hAnsi="宋体"/>
          <w:color w:val="auto"/>
          <w:sz w:val="24"/>
          <w:szCs w:val="24"/>
          <w:highlight w:val="none"/>
        </w:rPr>
        <w:t xml:space="preserve">                        日期：   </w:t>
      </w:r>
      <w:r>
        <w:rPr>
          <w:rFonts w:hint="eastAsia"/>
          <w:color w:val="auto"/>
          <w:sz w:val="24"/>
          <w:szCs w:val="24"/>
          <w:highlight w:val="none"/>
        </w:rPr>
        <w:t xml:space="preserve">年  月  日</w:t>
      </w:r>
      <w:r/>
    </w:p>
    <w:p>
      <w:pPr>
        <w:ind w:firstLine="720"/>
        <w:jc w:val="center"/>
        <w:spacing w:line="460" w:lineRule="exact"/>
        <w:rPr>
          <w:rFonts w:ascii="黑体" w:hAnsi="黑体" w:eastAsia="黑体" w:cs="仿宋_GB2312"/>
          <w:color w:val="auto"/>
          <w:sz w:val="28"/>
          <w:szCs w:val="28"/>
          <w:highlight w:val="none"/>
        </w:rPr>
      </w:pPr>
      <w:r>
        <w:rPr>
          <w:rFonts w:ascii="黑体" w:hAnsi="黑体" w:eastAsia="黑体" w:cs="Arial"/>
          <w:color w:val="auto"/>
          <w:sz w:val="28"/>
          <w:szCs w:val="28"/>
          <w:highlight w:val="none"/>
        </w:rPr>
        <w:br w:type="page" w:clear="all"/>
      </w:r>
      <w:r>
        <w:rPr>
          <w:rFonts w:hint="eastAsia" w:ascii="黑体" w:hAnsi="黑体" w:eastAsia="黑体" w:cs="Arial"/>
          <w:color w:val="auto"/>
          <w:sz w:val="28"/>
          <w:szCs w:val="28"/>
          <w:highlight w:val="none"/>
        </w:rPr>
        <w:t xml:space="preserve">党政机关</w:t>
      </w:r>
      <w:r>
        <w:rPr>
          <w:rFonts w:hint="eastAsia" w:ascii="黑体" w:hAnsi="黑体" w:eastAsia="黑体" w:cs="仿宋_GB2312"/>
          <w:bCs/>
          <w:color w:val="auto"/>
          <w:sz w:val="28"/>
          <w:szCs w:val="28"/>
          <w:highlight w:val="none"/>
        </w:rPr>
        <w:t xml:space="preserve">会议定点场所电子结算单（表样）</w:t>
      </w:r>
      <w:r/>
    </w:p>
    <w:p>
      <w:pPr>
        <w:jc w:val="left"/>
        <w:spacing w:line="460" w:lineRule="exact"/>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结算单编号：                                发票号：</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66"/>
        <w:gridCol w:w="6327"/>
      </w:tblGrid>
      <w:tr>
        <w:trPr>
          <w:jc w:val="center"/>
          <w:trHeight w:val="465" w:hRule="exact"/>
        </w:trPr>
        <w:tc>
          <w:tcPr>
            <w:gridSpan w:val="2"/>
            <w:tcW w:w="9893"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会议定点场所基本信息</w:t>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会议定点场所名称</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发票开具单位名称</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是否单位或系统内部会议场所</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填单人</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460" w:lineRule="exact"/>
        <w:rPr>
          <w:rFonts w:ascii="宋体" w:hAnsi="宋体" w:cs="仿宋_GB2312"/>
          <w:color w:val="auto"/>
          <w:sz w:val="24"/>
          <w:szCs w:val="24"/>
          <w:highlight w:val="none"/>
        </w:rPr>
      </w:pPr>
      <w:r>
        <w:rPr>
          <w:rFonts w:ascii="宋体" w:hAnsi="宋体" w:cs="仿宋_GB2312"/>
          <w:color w:val="auto"/>
          <w:sz w:val="24"/>
          <w:szCs w:val="24"/>
          <w:highlight w:val="none"/>
        </w:rPr>
      </w:r>
      <w:r/>
    </w:p>
    <w:tbl>
      <w:tblPr>
        <w:tblStyle w:val="853"/>
        <w:tblW w:w="9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0"/>
        <w:gridCol w:w="2293"/>
        <w:gridCol w:w="2520"/>
        <w:gridCol w:w="2196"/>
      </w:tblGrid>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会议信息</w:t>
            </w:r>
            <w:r/>
          </w:p>
        </w:tc>
        <w:tc>
          <w:tcPr>
            <w:gridSpan w:val="3"/>
            <w:tcW w:w="700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隶属关系代码</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隶属关系名称</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会议单位预算代码</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会议单位名称</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会议名称</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报到日期</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撤离日期</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会议单位联系人</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会议人数（人）</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会议天数（天）</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其中：正式代表</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会议类别</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工作人员</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460" w:lineRule="exact"/>
        <w:rPr>
          <w:rFonts w:ascii="宋体" w:hAnsi="宋体" w:cs="仿宋_GB2312"/>
          <w:color w:val="auto"/>
          <w:sz w:val="24"/>
          <w:szCs w:val="24"/>
          <w:highlight w:val="none"/>
        </w:rPr>
      </w:pPr>
      <w:r>
        <w:rPr>
          <w:rFonts w:ascii="宋体" w:hAnsi="宋体" w:cs="仿宋_GB2312"/>
          <w:color w:val="auto"/>
          <w:sz w:val="24"/>
          <w:szCs w:val="24"/>
          <w:highlight w:val="none"/>
        </w:rPr>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8"/>
        <w:gridCol w:w="2274"/>
        <w:gridCol w:w="2545"/>
        <w:gridCol w:w="2292"/>
      </w:tblGrid>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费用信息（元）</w:t>
            </w:r>
            <w:r/>
          </w:p>
        </w:tc>
        <w:tc>
          <w:tcPr>
            <w:gridSpan w:val="3"/>
            <w:tcW w:w="711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住宿费</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伙食费</w:t>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会议室租金</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交通费</w:t>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文件印刷费</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医药费</w:t>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总计</w:t>
            </w:r>
            <w:r/>
          </w:p>
        </w:tc>
        <w:tc>
          <w:tcPr>
            <w:gridSpan w:val="3"/>
            <w:tcW w:w="711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会议定点场所盖章                        会议单位联系人签字确认：</w:t>
      </w:r>
      <w:r/>
    </w:p>
    <w:p>
      <w:pPr>
        <w:jc w:val="left"/>
        <w:spacing w:line="360" w:lineRule="auto"/>
        <w:rPr>
          <w:rFonts w:ascii="宋体" w:hAnsi="宋体" w:cs="仿宋_GB2312"/>
          <w:bCs/>
          <w:color w:val="auto"/>
          <w:sz w:val="24"/>
          <w:szCs w:val="24"/>
          <w:highlight w:val="none"/>
        </w:rPr>
      </w:pPr>
      <w:r>
        <w:rPr>
          <w:rFonts w:hint="eastAsia" w:ascii="宋体" w:hAnsi="宋体" w:cs="宋体"/>
          <w:color w:val="auto"/>
          <w:sz w:val="24"/>
          <w:szCs w:val="24"/>
          <w:highlight w:val="none"/>
        </w:rPr>
        <w:t xml:space="preserve">备注：1.</w:t>
      </w:r>
      <w:r>
        <w:rPr>
          <w:rFonts w:hint="eastAsia" w:ascii="宋体" w:hAnsi="宋体" w:cs="仿宋_GB2312"/>
          <w:bCs/>
          <w:color w:val="auto"/>
          <w:sz w:val="24"/>
          <w:szCs w:val="24"/>
          <w:highlight w:val="none"/>
        </w:rPr>
        <w:t xml:space="preserve">本电子结算单须加盖会议定点酒店财务专用章。</w:t>
      </w:r>
      <w:r/>
    </w:p>
    <w:p>
      <w:pPr>
        <w:ind w:firstLine="72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2.本电子结算单作为甲乙双方的结算凭证和会议单位的支出凭据。</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br w:type="page" w:clear="all"/>
      </w:r>
      <w:r>
        <w:rPr>
          <w:rFonts w:hint="eastAsia" w:ascii="黑体" w:eastAsia="黑体"/>
          <w:color w:val="auto"/>
          <w:sz w:val="44"/>
          <w:szCs w:val="44"/>
          <w:highlight w:val="none"/>
        </w:rPr>
        <w:t xml:space="preserve">第</w:t>
      </w:r>
      <w:bookmarkEnd w:id="139"/>
      <w:r>
        <w:rPr>
          <w:rFonts w:hint="eastAsia" w:ascii="黑体" w:eastAsia="黑体"/>
          <w:color w:val="auto"/>
          <w:sz w:val="44"/>
          <w:szCs w:val="44"/>
          <w:highlight w:val="none"/>
        </w:rPr>
        <w:t xml:space="preserve">四章 采购需求</w:t>
      </w:r>
      <w:bookmarkEnd w:id="140"/>
      <w:r/>
      <w:bookmarkEnd w:id="141"/>
      <w:r/>
      <w:bookmarkEnd w:id="142"/>
      <w:r/>
      <w:bookmarkStart w:id="143" w:name="_Toc49090575"/>
      <w:r/>
      <w:bookmarkStart w:id="144" w:name="_Toc26554093"/>
      <w:r/>
      <w:r/>
    </w:p>
    <w:p>
      <w:pPr>
        <w:ind w:firstLine="480"/>
        <w:spacing w:line="360" w:lineRule="auto"/>
        <w:rPr>
          <w:rFonts w:hint="eastAsia" w:ascii="宋体" w:hAnsi="宋体"/>
          <w:color w:val="auto"/>
          <w:sz w:val="24"/>
          <w:szCs w:val="24"/>
          <w:highlight w:val="none"/>
        </w:rPr>
      </w:pPr>
      <w:r/>
      <w:bookmarkStart w:id="145" w:name="_Toc120614281"/>
      <w:r>
        <w:rPr>
          <w:rFonts w:ascii="宋体" w:hAnsi="宋体" w:cs="宋体"/>
          <w:color w:val="auto"/>
          <w:sz w:val="24"/>
          <w:szCs w:val="24"/>
          <w:highlight w:val="none"/>
        </w:rPr>
        <w:t xml:space="preserve">为贯彻落实中央八项规定</w:t>
      </w:r>
      <w:r>
        <w:rPr>
          <w:rFonts w:hint="eastAsia" w:ascii="宋体" w:hAnsi="宋体" w:cs="宋体"/>
          <w:color w:val="auto"/>
          <w:sz w:val="24"/>
          <w:szCs w:val="24"/>
          <w:highlight w:val="none"/>
        </w:rPr>
        <w:t xml:space="preserve">及其实施细则，</w:t>
      </w: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江苏省财政厅关于转发财政部&lt;党政机关会议定点管理办法&gt;的通知》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苏财行〔2025〕22号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和《市委办公室 市政府办公室关于印发&lt;无锡市市级党政机关会议费管理办法&gt;的通知》(锡委办发〔2014〕13号)、《无锡市市级党政机关会议费管理办法补充规定》(锡财行〔2016〕20号)和《关于调整无锡市市级党政机关会议费开支综合定额标准的通知》(锡财行〔2017〕19号)等文件精神，现对</w:t>
      </w:r>
      <w:r>
        <w:rPr>
          <w:rFonts w:hint="eastAsia" w:ascii="宋体" w:hAnsi="宋体" w:cs="Arial"/>
          <w:color w:val="auto"/>
          <w:sz w:val="24"/>
          <w:szCs w:val="24"/>
          <w:highlight w:val="none"/>
        </w:rPr>
        <w:t xml:space="preserve">2027-2028年度无锡市党政机关会议定点场所</w:t>
      </w:r>
      <w:r>
        <w:rPr>
          <w:rFonts w:hint="eastAsia" w:ascii="宋体" w:hAnsi="宋体"/>
          <w:color w:val="auto"/>
          <w:sz w:val="24"/>
          <w:szCs w:val="24"/>
          <w:highlight w:val="none"/>
        </w:rPr>
        <w:t xml:space="preserve">进行框架协议采购，欢迎符合条件的单位（宾馆、饭店、</w:t>
      </w:r>
      <w:r>
        <w:rPr>
          <w:rFonts w:hint="eastAsia" w:ascii="宋体" w:hAnsi="宋体"/>
          <w:color w:val="auto"/>
          <w:sz w:val="24"/>
          <w:szCs w:val="24"/>
          <w:highlight w:val="none"/>
          <w:lang w:val="en-US" w:eastAsia="zh-CN"/>
        </w:rPr>
        <w:t xml:space="preserve">专业会议场所</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招待所、</w:t>
      </w:r>
      <w:r>
        <w:rPr>
          <w:rFonts w:hint="eastAsia" w:ascii="宋体" w:hAnsi="宋体"/>
          <w:color w:val="auto"/>
          <w:sz w:val="24"/>
          <w:szCs w:val="24"/>
          <w:highlight w:val="none"/>
        </w:rPr>
        <w:t xml:space="preserve">会议中心、培训中心等）前来参加申请。</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一、总体要求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党政机关会议定点管理，是指财政部门或者财政部门委托的机构通过政府采购方式确定一定数量的宾馆、饭店或者专业会议场所作为党政机关举办会议场所（以下简称会议定点场所）的相关管理活动。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无锡市范围内（包括江阴、宜兴），</w:t>
      </w:r>
      <w:r>
        <w:rPr>
          <w:rFonts w:ascii="宋体" w:hAnsi="宋体"/>
          <w:color w:val="auto"/>
          <w:sz w:val="24"/>
          <w:szCs w:val="24"/>
          <w:highlight w:val="none"/>
        </w:rPr>
        <w:t xml:space="preserve">具备保证会议所需要的住宿房间、会议室、餐厅以及相关设施</w:t>
      </w:r>
      <w:r>
        <w:rPr>
          <w:rFonts w:hint="eastAsia" w:ascii="宋体" w:hAnsi="宋体"/>
          <w:color w:val="auto"/>
          <w:sz w:val="24"/>
          <w:szCs w:val="24"/>
          <w:highlight w:val="none"/>
        </w:rPr>
        <w:t xml:space="preserve">和承办市级三类以上会议的能力，承诺能提供全部客房和会议室，并优先提供最新房间及会议室的宾馆、饭店、招待所、会议中心、培训中心和</w:t>
      </w:r>
      <w:r>
        <w:rPr>
          <w:rFonts w:ascii="宋体" w:hAnsi="宋体"/>
          <w:color w:val="auto"/>
          <w:sz w:val="24"/>
          <w:szCs w:val="24"/>
          <w:highlight w:val="none"/>
        </w:rPr>
        <w:t xml:space="preserve">专业会议场所</w:t>
      </w:r>
      <w:r>
        <w:rPr>
          <w:rFonts w:hint="eastAsia" w:ascii="宋体" w:hAnsi="宋体"/>
          <w:color w:val="auto"/>
          <w:sz w:val="24"/>
          <w:szCs w:val="24"/>
          <w:highlight w:val="none"/>
        </w:rPr>
        <w:t xml:space="preserve">。</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二、框架协议期限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年1月1日至202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年12月31日（本项目框架协议的期限暂定为2年，若省财政厅另有统一征集的，按省财政厅征集要求及结果执行）。</w:t>
      </w:r>
      <w:r/>
    </w:p>
    <w:p>
      <w:pPr>
        <w:ind w:firstLine="480"/>
        <w:spacing w:line="360" w:lineRule="auto"/>
        <w:rPr>
          <w:rFonts w:hint="eastAsia" w:ascii="宋体" w:hAnsi="宋体"/>
          <w:b w:val="0"/>
          <w:bCs/>
          <w:color w:val="auto"/>
          <w:sz w:val="28"/>
          <w:szCs w:val="28"/>
          <w:highlight w:val="none"/>
          <w:u w:val="none"/>
        </w:rPr>
      </w:pPr>
      <w:r>
        <w:rPr>
          <w:rFonts w:hint="eastAsia" w:ascii="宋体" w:hAnsi="宋体"/>
          <w:b/>
          <w:bCs w:val="0"/>
          <w:color w:val="auto"/>
          <w:sz w:val="28"/>
          <w:szCs w:val="28"/>
          <w:highlight w:val="none"/>
          <w:u w:val="none"/>
        </w:rPr>
        <w:t xml:space="preserve">申请文件提交要求：</w:t>
      </w:r>
      <w:r>
        <w:rPr>
          <w:rFonts w:hint="eastAsia" w:ascii="宋体" w:hAnsi="宋体"/>
          <w:b/>
          <w:bCs w:val="0"/>
          <w:color w:val="auto"/>
          <w:sz w:val="28"/>
          <w:szCs w:val="28"/>
          <w:highlight w:val="none"/>
          <w:u w:val="single"/>
        </w:rPr>
        <w:t xml:space="preserve">从供应商首次提交申请文件的截止时间至框架协议期满前，供应商可以按照征集公告要求，随时提交加入框架协议的申请。</w:t>
      </w:r>
      <w:r>
        <w:rPr>
          <w:rFonts w:hint="eastAsia" w:ascii="宋体" w:hAnsi="宋体"/>
          <w:b/>
          <w:bCs w:val="0"/>
          <w:color w:val="auto"/>
          <w:sz w:val="28"/>
          <w:szCs w:val="28"/>
          <w:highlight w:val="none"/>
          <w:u w:val="single"/>
        </w:rPr>
        <w:t xml:space="preserve">征集人将在每</w:t>
      </w:r>
      <w:r>
        <w:rPr>
          <w:rFonts w:hint="eastAsia" w:ascii="宋体" w:hAnsi="宋体"/>
          <w:b/>
          <w:bCs w:val="0"/>
          <w:color w:val="auto"/>
          <w:sz w:val="28"/>
          <w:szCs w:val="28"/>
          <w:highlight w:val="none"/>
          <w:u w:val="single"/>
          <w:lang w:val="en-US" w:eastAsia="zh-CN"/>
        </w:rPr>
        <w:t xml:space="preserve">一个季度</w:t>
      </w:r>
      <w:r>
        <w:rPr>
          <w:rFonts w:hint="eastAsia" w:ascii="宋体" w:hAnsi="宋体"/>
          <w:b/>
          <w:bCs w:val="0"/>
          <w:color w:val="auto"/>
          <w:sz w:val="28"/>
          <w:szCs w:val="28"/>
          <w:highlight w:val="none"/>
          <w:u w:val="single"/>
        </w:rPr>
        <w:t xml:space="preserve">的前5个工作日内集中审核前</w:t>
      </w:r>
      <w:r>
        <w:rPr>
          <w:rFonts w:hint="eastAsia" w:ascii="宋体" w:hAnsi="宋体"/>
          <w:b/>
          <w:bCs w:val="0"/>
          <w:color w:val="auto"/>
          <w:sz w:val="28"/>
          <w:szCs w:val="28"/>
          <w:highlight w:val="none"/>
          <w:u w:val="single"/>
          <w:lang w:val="en-US" w:eastAsia="zh-CN"/>
        </w:rPr>
        <w:t xml:space="preserve">一个季度</w:t>
      </w:r>
      <w:r>
        <w:rPr>
          <w:rFonts w:hint="eastAsia" w:ascii="宋体" w:hAnsi="宋体"/>
          <w:b/>
          <w:bCs w:val="0"/>
          <w:color w:val="auto"/>
          <w:sz w:val="28"/>
          <w:szCs w:val="28"/>
          <w:highlight w:val="none"/>
          <w:u w:val="single"/>
        </w:rPr>
        <w:t xml:space="preserve">的所有申请文件，以此类推。框架协议周期最后</w:t>
      </w:r>
      <w:r>
        <w:rPr>
          <w:rFonts w:hint="eastAsia" w:ascii="宋体" w:hAnsi="宋体"/>
          <w:b/>
          <w:bCs w:val="0"/>
          <w:color w:val="auto"/>
          <w:sz w:val="28"/>
          <w:szCs w:val="28"/>
          <w:highlight w:val="none"/>
          <w:u w:val="single"/>
          <w:lang w:val="en-US" w:eastAsia="zh-CN"/>
        </w:rPr>
        <w:t xml:space="preserve">一个季度</w:t>
      </w:r>
      <w:r>
        <w:rPr>
          <w:rFonts w:hint="eastAsia" w:ascii="宋体" w:hAnsi="宋体"/>
          <w:b/>
          <w:bCs w:val="0"/>
          <w:color w:val="auto"/>
          <w:sz w:val="28"/>
          <w:szCs w:val="28"/>
          <w:highlight w:val="none"/>
          <w:u w:val="single"/>
        </w:rPr>
        <w:t xml:space="preserve">的申请文件将按照下一轮框架协议的要求进行审核。</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三、适用框架协议的采购人或者服务对象范围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本次采购主要用于无锡市各级</w:t>
      </w:r>
      <w:r>
        <w:rPr>
          <w:rFonts w:ascii="宋体" w:hAnsi="宋体"/>
          <w:color w:val="auto"/>
          <w:sz w:val="24"/>
          <w:szCs w:val="24"/>
          <w:highlight w:val="none"/>
        </w:rPr>
        <w:t xml:space="preserve">党政机关</w:t>
      </w:r>
      <w:r>
        <w:rPr>
          <w:rFonts w:hint="eastAsia" w:ascii="宋体" w:hAnsi="宋体"/>
          <w:color w:val="auto"/>
          <w:sz w:val="24"/>
          <w:szCs w:val="24"/>
          <w:highlight w:val="none"/>
        </w:rPr>
        <w:t xml:space="preserve">、事业单位和团体组织在无锡市范围内召开的各类会议。会议定点场所在全省、全国范围内实行资源共享，本市各县、区党政机关事业单位执行本地现行会议标准相关规定，在不超过会议费定额标准情况下，可享受同等会议服务。</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四、报价要求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（一）基本情况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1.本次征集按会议服务功能设置分包。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分包一：</w:t>
      </w:r>
      <w:r>
        <w:rPr>
          <w:rFonts w:hint="eastAsia" w:ascii="宋体" w:hAnsi="宋体"/>
          <w:color w:val="auto"/>
          <w:sz w:val="24"/>
          <w:szCs w:val="24"/>
          <w:highlight w:val="none"/>
          <w:lang w:val="en-US" w:eastAsia="zh-CN"/>
        </w:rPr>
        <w:t xml:space="preserve">除专业会议场所外的</w:t>
      </w:r>
      <w:r>
        <w:rPr>
          <w:rFonts w:hint="eastAsia" w:ascii="宋体" w:hAnsi="宋体"/>
          <w:color w:val="auto"/>
          <w:sz w:val="24"/>
          <w:szCs w:val="24"/>
          <w:highlight w:val="none"/>
        </w:rPr>
        <w:t xml:space="preserve">具有综合型会议接待能力</w:t>
      </w:r>
      <w:r>
        <w:rPr>
          <w:rFonts w:hint="eastAsia" w:ascii="宋体" w:hAnsi="宋体"/>
          <w:color w:val="auto"/>
          <w:sz w:val="24"/>
          <w:szCs w:val="24"/>
          <w:highlight w:val="none"/>
          <w:lang w:val="en-US" w:eastAsia="zh-CN"/>
        </w:rPr>
        <w:t xml:space="preserve">的单位</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分包二：具有单一会议功能场所</w:t>
      </w:r>
      <w:r>
        <w:rPr>
          <w:rFonts w:hint="eastAsia" w:ascii="宋体" w:hAnsi="宋体"/>
          <w:color w:val="auto"/>
          <w:sz w:val="24"/>
          <w:szCs w:val="24"/>
          <w:highlight w:val="none"/>
          <w:lang w:val="en-US" w:eastAsia="zh-CN"/>
        </w:rPr>
        <w:t xml:space="preserve">的专业会议场所单位。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供应商选择符合自己资格能力的分包投报，各分包不可兼投。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2.无锡市市级机关召开的会议实行以下分类管理：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一类会议：由市委、市政府召开，各市（县）区党委、政府主要负责人或市各部、委、办、局主要负责人参加的会议。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二类会议：由市各部、委、办、局牵头，以市委、市政府名义召开，各市（县）区党委、政府分管负责人等参加的工作性会议。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三类会议：是指除上述一、二类会议以外的其他会议，包括业务性会议、条线会议、座谈会、评审会等。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3.会议综合定额上限标准为：</w:t>
      </w:r>
      <w:r>
        <w:rPr>
          <w:rFonts w:hint="eastAsia" w:ascii="宋体" w:hAnsi="宋体"/>
          <w:b/>
          <w:color w:val="auto"/>
          <w:sz w:val="24"/>
          <w:szCs w:val="24"/>
          <w:highlight w:val="none"/>
        </w:rPr>
        <w:t xml:space="preserve">一类会议760元/人天，二类会议650元/人天，三类会议550元/人天，二、三类会议原则上不安排住宿，不安排住宿的会议按综合定额标准的50%核定。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会议综合定额标准包括住宿费（含早餐）、伙食费、会议室租金、设备租赁费、</w:t>
      </w:r>
      <w:r>
        <w:rPr>
          <w:rFonts w:hint="eastAsia" w:ascii="宋体" w:hAnsi="宋体"/>
          <w:color w:val="auto"/>
          <w:sz w:val="24"/>
          <w:szCs w:val="24"/>
          <w:highlight w:val="none"/>
          <w:lang w:val="en-US" w:eastAsia="zh-CN"/>
        </w:rPr>
        <w:t xml:space="preserve">交通费（接驳费用，不含差旅费）</w:t>
      </w:r>
      <w:r>
        <w:rPr>
          <w:rFonts w:hint="eastAsia" w:ascii="宋体" w:hAnsi="宋体"/>
          <w:color w:val="auto"/>
          <w:sz w:val="24"/>
          <w:szCs w:val="24"/>
          <w:highlight w:val="none"/>
        </w:rPr>
        <w:t xml:space="preserve">、办公用品费、文件印刷费、医药费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线上会议服务费用</w:t>
      </w:r>
      <w:r>
        <w:rPr>
          <w:rFonts w:hint="eastAsia" w:ascii="宋体" w:hAnsi="宋体"/>
          <w:color w:val="auto"/>
          <w:sz w:val="24"/>
          <w:szCs w:val="24"/>
          <w:highlight w:val="none"/>
        </w:rPr>
        <w:t xml:space="preserve">等，是会议费开支的上限，各单位应在综合定额标准以内据实结算。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按50%核定的会议综合定额标准，包括伙食费、会议室租金、设备租赁费、</w:t>
      </w:r>
      <w:r>
        <w:rPr>
          <w:rFonts w:hint="eastAsia" w:ascii="宋体" w:hAnsi="宋体"/>
          <w:color w:val="auto"/>
          <w:sz w:val="24"/>
          <w:szCs w:val="24"/>
          <w:highlight w:val="none"/>
          <w:lang w:val="en-US" w:eastAsia="zh-CN"/>
        </w:rPr>
        <w:t xml:space="preserve">交通费（接驳费用，不含差旅费）</w:t>
      </w:r>
      <w:r>
        <w:rPr>
          <w:rFonts w:hint="eastAsia" w:ascii="宋体" w:hAnsi="宋体"/>
          <w:color w:val="auto"/>
          <w:sz w:val="24"/>
          <w:szCs w:val="24"/>
          <w:highlight w:val="none"/>
        </w:rPr>
        <w:t xml:space="preserve">、办公用品费、文件印刷费、医药费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线上会议服务费用</w:t>
      </w:r>
      <w:r>
        <w:rPr>
          <w:rFonts w:hint="eastAsia" w:ascii="宋体" w:hAnsi="宋体"/>
          <w:color w:val="auto"/>
          <w:sz w:val="24"/>
          <w:szCs w:val="24"/>
          <w:highlight w:val="none"/>
        </w:rPr>
        <w:t xml:space="preserve">等（不含住宿费），是会议费开支的上限，各单位应在综合定额标准以内据实结算。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1.无锡市党政机关会议定点场所的房间、会议室、会议餐费等报价以综合定额标准为采购上限。</w:t>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定点饭店客房标准间（即双人间）价格不高于450元/天（含双早），客房单</w:t>
      </w:r>
      <w:r>
        <w:rPr>
          <w:rFonts w:hint="eastAsia" w:ascii="宋体" w:hAnsi="宋体"/>
          <w:b/>
          <w:color w:val="auto"/>
          <w:sz w:val="24"/>
          <w:szCs w:val="24"/>
          <w:highlight w:val="none"/>
          <w:lang w:val="en-US" w:eastAsia="zh-CN"/>
        </w:rPr>
        <w:t xml:space="preserve">人</w:t>
      </w:r>
      <w:r>
        <w:rPr>
          <w:rFonts w:hint="eastAsia" w:ascii="宋体" w:hAnsi="宋体"/>
          <w:b/>
          <w:color w:val="auto"/>
          <w:sz w:val="24"/>
          <w:szCs w:val="24"/>
          <w:highlight w:val="none"/>
        </w:rPr>
        <w:t xml:space="preserve">间价格不高于380元/天（含早）</w:t>
      </w:r>
      <w:r>
        <w:rPr>
          <w:rFonts w:hint="eastAsia" w:ascii="宋体" w:hAnsi="宋体"/>
          <w:b/>
          <w:color w:val="auto"/>
          <w:sz w:val="24"/>
          <w:szCs w:val="24"/>
          <w:highlight w:val="none"/>
          <w:lang w:eastAsia="zh-CN"/>
        </w:rPr>
        <w:t xml:space="preserve">，</w:t>
      </w:r>
      <w:r>
        <w:rPr>
          <w:rFonts w:hint="eastAsia" w:ascii="宋体" w:hAnsi="宋体"/>
          <w:b/>
          <w:bCs w:val="0"/>
          <w:color w:val="auto"/>
          <w:sz w:val="24"/>
          <w:szCs w:val="24"/>
          <w:highlight w:val="none"/>
          <w:u w:val="none"/>
          <w:lang w:val="en-US" w:eastAsia="zh-CN"/>
        </w:rPr>
        <w:t xml:space="preserve">普通套房价格由供应商自行报价，作为备案价格</w:t>
      </w:r>
      <w:r>
        <w:rPr>
          <w:rFonts w:hint="eastAsia" w:ascii="宋体" w:hAnsi="宋体"/>
          <w:b/>
          <w:color w:val="auto"/>
          <w:sz w:val="24"/>
          <w:szCs w:val="24"/>
          <w:highlight w:val="none"/>
          <w:lang w:eastAsia="zh-CN"/>
        </w:rPr>
        <w:t xml:space="preserve">。</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2.专业会议场所提供会议服务人均费用按照不超过《关于调整江苏省省级机关会议费开支综合定额标准的通知》（苏财行〔2017〕44号）中明确的其他费用标准执行，</w:t>
      </w:r>
      <w:r>
        <w:rPr>
          <w:rFonts w:hint="eastAsia" w:ascii="宋体" w:hAnsi="宋体"/>
          <w:b/>
          <w:color w:val="auto"/>
          <w:sz w:val="24"/>
          <w:szCs w:val="24"/>
          <w:highlight w:val="none"/>
        </w:rPr>
        <w:t xml:space="preserve">一类会议110元/人天，二类会议100元/人天，三类会议80元/人天。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（三）其他说明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1.供应商框架协议期内的综合报价包括满足本次会议定点场所服务要求的所有服务等从项目入围起到项目正式交付所发生的一切费用。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2.本次征集，供应商填报的价格不参与评比，作为第二阶段采购人或者服务对象自行选定的参考。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3.入围供应商须按照征集公告要求和框架协议约定接受采购人或者服务对象的合同授予，并履行政府采购合同。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4.入围供应商不得将本项目服务进行转包。未经采购人同意，入围供应商也不得采用分包的形式履行合同，否则征集人有权依法终止框架协议，采购人有权依法</w:t>
      </w:r>
      <w:r>
        <w:rPr>
          <w:rFonts w:ascii="宋体" w:hAnsi="宋体"/>
          <w:color w:val="auto"/>
          <w:sz w:val="24"/>
          <w:szCs w:val="24"/>
          <w:highlight w:val="none"/>
        </w:rPr>
        <w:t xml:space="preserve">终止采购合同。</w:t>
      </w:r>
      <w:r>
        <w:rPr>
          <w:rFonts w:hint="eastAsia" w:ascii="宋体" w:hAnsi="宋体"/>
          <w:color w:val="auto"/>
          <w:sz w:val="24"/>
          <w:szCs w:val="24"/>
          <w:highlight w:val="none"/>
        </w:rPr>
        <w:t xml:space="preserve">转包或分包造成征集人或</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损失的，入围供应商应承担相应赔偿责任。</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五、服务要求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（一）基本服务要求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无锡市范围内（包括江阴、宜兴），</w:t>
      </w:r>
      <w:r>
        <w:rPr>
          <w:rFonts w:ascii="宋体" w:hAnsi="宋体"/>
          <w:color w:val="auto"/>
          <w:sz w:val="24"/>
          <w:szCs w:val="24"/>
          <w:highlight w:val="none"/>
        </w:rPr>
        <w:t xml:space="preserve">具备保证会议所需要的住宿房间、会议室、餐厅以及相关设施</w:t>
      </w:r>
      <w:r>
        <w:rPr>
          <w:rFonts w:hint="eastAsia" w:ascii="宋体" w:hAnsi="宋体"/>
          <w:color w:val="auto"/>
          <w:sz w:val="24"/>
          <w:szCs w:val="24"/>
          <w:highlight w:val="none"/>
        </w:rPr>
        <w:t xml:space="preserve">和承办市级三类以上会议的能力，承诺能提供全部客房和会议室，并优先提供最新房间及会议室的宾馆、酒店、饭店、招待所、会议中心、培训中心和</w:t>
      </w:r>
      <w:r>
        <w:rPr>
          <w:rFonts w:ascii="宋体" w:hAnsi="宋体"/>
          <w:color w:val="auto"/>
          <w:sz w:val="24"/>
          <w:szCs w:val="24"/>
          <w:highlight w:val="none"/>
        </w:rPr>
        <w:t xml:space="preserve">专业会议场所</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入围供应商应指定专人，于框架协议签署后的15个工作日内，在“党政机关会议定点场所管理系统”（http://meeting.mof.gov.cn/）上完成场所的注册、协议价格等信息填报等工作，并经市财政监管部门审核通过。</w:t>
      </w:r>
      <w:r>
        <w:rPr>
          <w:rFonts w:hint="eastAsia" w:ascii="宋体" w:hAnsi="宋体"/>
          <w:color w:val="auto"/>
          <w:sz w:val="24"/>
          <w:szCs w:val="24"/>
          <w:highlight w:val="none"/>
        </w:rPr>
        <w:t xml:space="preserve">框架协议服务期间的执行价格原则上以入围供应商的入围价格及财政部党政机关会议定点场所管理信息系统公布的最新价格为依据，入围价格为最高限价，各采购人可以与入围供应商就实际价格进行协商。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入围供应商必须严格执行最高限价承诺。如因非政府采购行业的大客户采购等情况拟低于入围价格销售的（原则上不得低于入围价格），须由入围供应商提出书面申请并说明原因，在得到所在地集中采购机构或主管部门正式书面备案后才能实施，未备案而发生的低于最高限价的非政府采购销售案例，一经查实，将按有关违约责任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5.入围供应商在特定时间举办的促销活动和优惠政策，各采购人有权参加其促销活动和享受其优惠政策。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6.入围供应商应保证采购人获得优先服务的权利，积极主动与采购人配合，并在不超过承诺的期限内完成会议承办工作。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7.入围供应商应设有固定联系电话及联系人，及时响应采购人的各项要求，并按采购人要求免费提供上门服务。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8.入围供应商对承办的会议服务，单独建立台账或账户核算。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9.入围供应商应按照征集文件的服务要求及响应情况，提供相应的服务。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10.入围供应商应对采购人的会议定点服务业务建立采购人档案，开展跟踪服务。同意采购人通过“党政机关会议定点场所管理系统” 对接待党政机关会议业绩进行统计，作为下一轮党政机关会议定点场所政府采购的参考依据。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11.入围供应商应拒绝采购人在协议或承诺范围外提出的不合理要求，防止出现违规现象。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w:t>
      </w:r>
      <w:r>
        <w:rPr>
          <w:rFonts w:hint="eastAsia" w:ascii="宋体" w:hAnsi="宋体"/>
          <w:color w:val="auto"/>
          <w:sz w:val="24"/>
          <w:szCs w:val="24"/>
          <w:highlight w:val="none"/>
          <w:lang w:val="en-US" w:eastAsia="zh-CN"/>
        </w:rPr>
        <w:t xml:space="preserve">入围供应商应履行框架协议有关规定并做好有关保密工作</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13.入围供应商可提供的其他服务。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（二）服务规范要求</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分包一：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1.具备与承接会议类型和规模相适应的会议服务能力，能够提供会议需要的客房和会议室，以及与之配套的餐厅和免费停车场。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2.饭店布局合理，方便会议接待使用。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3.有空调设施，各区域通风良好，温湿度适宜。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4.有计算机管理系统。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5.各种设备设施养护良好，使用安全、有效。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6.各项管理规章制度、操作程序以及服务规范健全。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7.具备各项应急预案和实施细则。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8.前厅：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（1）设有客人休息场所；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（2）设迎宾员和值班经理，18小时以上接待客人；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（3）总服务台提供小件行李和贵重物品寄存服务，有供客人使用的行李推车，必要时提供行李服务；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（4）总服务台设在前厅的适当位置，设置接待、问讯、留言、预订、结账等服务项目，提供24小时服务；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（5）应设应急广播系统。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9.客房：</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（1）客房内均设卫生间，配备抽水马桶、带台面的面盆、梳妆镜、浴缸或淋浴设施、浴帘、洗脸巾、浴巾、洗漱用品和卫生用品，有良好的照明和排风系统，地面有防滑设施，24小时提供冷、热浴水；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（2）客房具备隔音措施；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（3）有门窥镜和防盗装备，在显著位置张贴应急疏散图及相关说明；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配备质量较好的软垫床、沙发或扶手椅、茶几、衣橱、写字台、台灯、床头灯、窗帘等配套家具，有空调、彩电、闭路电视系统及可通过总机拨通的国际国内长途电话，备有信封、信纸、笔、宾馆简介、价格表、住宿须知、服务指南、必要的防蚊、防虫等措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（5）提供叫醒服务；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（6）24小时提供开水（饮用水）并免费提供茶叶；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（7）客房、卫生间每天全面整理一次。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10．餐厅及厨房</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（1）能接待与会人员同时就餐，有小餐厅并可为少数民族参会者提供符合其饮食习惯的菜品；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（2）家具、餐具、酒具、用具配套完好，不使用一次性塑料桌布和筷子，提供餐巾纸或餐巾；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（3）提供早、中、晚餐，并可根据宾客需要提供特色餐饮服务及自助餐；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（4）厨房有符合卫生标准的冷荤间、面点间，有足够的冷藏冷冻设施，有符合规定的洗刷和消毒设施，有专门放置临时垃圾并保持封闭的设施，全部使用不锈钢工作台、橱柜及优质的厨具、用具；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（5）冷荤间、面点间独立分隔，有足够的冷气设备。冷荤间温度符合食品卫生标准，有消毒保鲜设备；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（6）厨房和餐厅之间有隔音、隔热、隔气味设施；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（7）采取有效的消灭蚊蝇、蟑螂等虫害措施。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11．会议室</w:t>
      </w:r>
      <w:r/>
    </w:p>
    <w:p>
      <w:pPr>
        <w:ind w:firstLine="480"/>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 xml:space="preserve">（1）</w:t>
      </w:r>
      <w:r>
        <w:rPr>
          <w:rFonts w:hint="eastAsia" w:ascii="宋体" w:hAnsi="宋体" w:cs="Times New Roman"/>
          <w:b w:val="0"/>
          <w:color w:val="auto"/>
          <w:sz w:val="24"/>
          <w:szCs w:val="24"/>
          <w:highlight w:val="none"/>
          <w:lang w:val="en-US" w:eastAsia="zh-CN"/>
        </w:rPr>
        <w:t xml:space="preserve">具有符合《党政机关会议定点管理办法》要求的会议室，规格可按照大、中、小三种类型进行区分，其中，大型会议室可容纳200（含）人以上；中型会议室可容纳100（含）-200人；小型会议室可容纳100人以下。</w:t>
      </w:r>
      <w:r>
        <w:rPr>
          <w:rFonts w:hint="eastAsia" w:ascii="宋体" w:hAnsi="宋体" w:eastAsia="宋体" w:cs="Times New Roman"/>
          <w:b w:val="0"/>
          <w:color w:val="auto"/>
          <w:sz w:val="24"/>
          <w:szCs w:val="24"/>
          <w:highlight w:val="none"/>
          <w:lang w:val="en-US" w:eastAsia="zh-CN"/>
        </w:rPr>
        <w:t xml:space="preserve">响应单位必须具有至少一间可容纳100（含）人以上会议的专用会议室</w:t>
      </w:r>
      <w:r>
        <w:rPr>
          <w:rFonts w:hint="eastAsia" w:ascii="宋体" w:hAnsi="宋体" w:cs="Times New Roman"/>
          <w:b w:val="0"/>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（2）会议室应为封闭的独立区域，配有空调、可分区控制的灯光、会议桌椅、茶具、用具齐备，会议室有两个以上完好且能正常使用的麦克风等必要的音响设备（免费提供），隔音效果良好；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（3）会议室应当提供会议所需的基本设备和服务，可为特殊需求提供或租用多媒体演示设备（电脑，实物投影仪，多媒体投影仪等）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单独收费的特定设备及服务项目，在采购合同签订前必须向采购人明确其收费标准；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（4）大会议室所在楼层有男女分设的卫生间；会议室旁有供与会人员临时休息室；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（5）免费提供纸、笔、席卡等基本的会议用文具；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（6）免费协助会议主办方在合理期限内布置会场；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（7）会场已安装固定LED大屏的应免费提供使用，或免费配合会议主办方安装LED大屏。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12．公共区域设施设备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（1）室内公共区域有制冷、采暖设备；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（2）有男女分设的卫生间；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（3）4层以上（含4层）建筑物有足够的客用电梯；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（4）有应急照明设施，紧急出口标识清楚，位置合理，无障碍物。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13．综合服务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（1）提供复印、打印、传真等服务。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14．人员要求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（1）管理服务人员具备接待政府采购会议的能力。管理人员经过专业培训并取得岗位培训证书，上岗职工经过岗前培训，服务人员与床位数量比例适当；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（2）有专职或兼职的食品卫生管理人员。</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分包二：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供应商能够提供的专业会议功能场所至少有一个可容纳不少于1000人的大会议室（人均</w:t>
      </w:r>
      <w:r>
        <w:rPr>
          <w:rFonts w:hint="eastAsia" w:ascii="宋体" w:hAnsi="宋体"/>
          <w:color w:val="auto"/>
          <w:sz w:val="24"/>
          <w:szCs w:val="24"/>
          <w:highlight w:val="none"/>
          <w:lang w:val="en-US" w:eastAsia="zh-CN"/>
        </w:rPr>
        <w:t xml:space="preserve">净使用</w:t>
      </w:r>
      <w:r>
        <w:rPr>
          <w:rFonts w:hint="eastAsia" w:ascii="宋体" w:hAnsi="宋体"/>
          <w:color w:val="auto"/>
          <w:sz w:val="24"/>
          <w:szCs w:val="24"/>
          <w:highlight w:val="none"/>
        </w:rPr>
        <w:t xml:space="preserve">面积不少于1.2平方米），相应的中型、小型会议室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中型会议室可容纳100（含）—200人；小型会议室可容纳100人以下，及与之配套的免费停车场。会场应具有贵宾接待功能并且能够提供不小于30平方米的序厅。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1.服务内容，包含但不限于如下几方面：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（1）会议前的会议主办方的信息资料收集。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（2）会议前的接待，指客人入店之后工作人员的接待和车辆停放。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（3）会议厅的布局及物品摆放。布局包括：签到台，会议桌摆放，桌上的纸笔水等。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（4）灯光及音响的效果和配合，灯光PPT，主席台。音响包括音乐播放等。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（5）会议小歇的工作安排，休会时，会场的清洁和重新整理。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（6）会议期间的茶水供应。</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（7）会议结束时会场的检查，客人（包括车辆）的疏导等。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2.有空调设施，各区域通风良好，温湿度适宜。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3.有计算机管理系统。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4.各种设备设施养护良好，使用安全、有效。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5.各项管理规章制度健全、操作程序以及服务规范健全。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6.具备各项应急预案和实施细则。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7.应设应急广播系统。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8.会议室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（1）同时拥有不少于3个（含）以上的会议室（活动隔断不可重复计算）；</w:t>
      </w:r>
      <w:bookmarkStart w:id="163" w:name="_GoBack"/>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（2）会议室应为封闭的独立区域，配有空调、可分区控制的灯光、会议桌椅、茶具、用</w:t>
      </w:r>
      <w:bookmarkEnd w:id="163"/>
      <w:r>
        <w:rPr>
          <w:rFonts w:hint="eastAsia" w:ascii="宋体" w:hAnsi="宋体"/>
          <w:color w:val="auto"/>
          <w:sz w:val="24"/>
          <w:szCs w:val="24"/>
          <w:highlight w:val="none"/>
        </w:rPr>
        <w:t xml:space="preserve">具齐备，会议室有两个以上完好且能正常使用的麦克风的必要的音响设备（免费提供），隔音效果良好；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（3）会议室应当提供会议所需的基本设备和服务，可为特殊需求提供或租用多媒体演示设备（电脑，实物投影仪，多媒体投影仪等）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单独收费的特定设备及服务项目，在采购合同签订前必须向采购人明确其收费标准；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（4）会议室所在楼层有男女分设的卫生间；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（5）免费提供纸、笔、席卡等基本的会议用文具；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（6）免费协助会议主办方在合理期限内布置会场；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（7）会场已安装固定LED大屏的应免费提供使用，或免费配合会议主办方安装LED大屏。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9.公共区域设施设备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（1）室内公共区域有制冷、采暖设备；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（2）4层以上（含4层）建筑物有足够的客用电梯；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（3）有应急照明设施，紧急出口标识清楚，位置合理，无障碍物。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10.人员要求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管理服务人员具备接待政府采购会议的能力。管理人员经过专业培训，上岗职工经过岗前培训。</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六、付费标准，费用结算及支付方式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1.付费标准（即执行价格），原则上以入围供应商的入围价格及财政部党政机关会议定点场所管理信息系统公布的最新价格为依据，不得超过中央、省、市各类会议费开支上限。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2.会议综合定额标准包括</w:t>
      </w:r>
      <w:r>
        <w:rPr>
          <w:rFonts w:ascii="宋体" w:hAnsi="宋体"/>
          <w:color w:val="auto"/>
          <w:sz w:val="24"/>
          <w:szCs w:val="24"/>
          <w:highlight w:val="none"/>
        </w:rPr>
        <w:t xml:space="preserve">住宿费</w:t>
      </w:r>
      <w:r>
        <w:rPr>
          <w:rFonts w:hint="eastAsia" w:ascii="宋体" w:hAnsi="宋体"/>
          <w:color w:val="auto"/>
          <w:sz w:val="24"/>
          <w:szCs w:val="24"/>
          <w:highlight w:val="none"/>
        </w:rPr>
        <w:t xml:space="preserve">（含早餐）</w:t>
      </w:r>
      <w:r>
        <w:rPr>
          <w:rFonts w:ascii="宋体" w:hAnsi="宋体"/>
          <w:color w:val="auto"/>
          <w:sz w:val="24"/>
          <w:szCs w:val="24"/>
          <w:highlight w:val="none"/>
        </w:rPr>
        <w:t xml:space="preserve">、伙食费、</w:t>
      </w:r>
      <w:r>
        <w:rPr>
          <w:rFonts w:hint="eastAsia" w:ascii="宋体" w:hAnsi="宋体"/>
          <w:color w:val="auto"/>
          <w:sz w:val="24"/>
          <w:szCs w:val="24"/>
          <w:highlight w:val="none"/>
        </w:rPr>
        <w:t xml:space="preserve">会议室租金、设备租赁费、</w:t>
      </w:r>
      <w:r>
        <w:rPr>
          <w:rFonts w:hint="eastAsia" w:ascii="宋体" w:hAnsi="宋体"/>
          <w:color w:val="auto"/>
          <w:sz w:val="24"/>
          <w:szCs w:val="24"/>
          <w:highlight w:val="none"/>
          <w:lang w:val="en-US" w:eastAsia="zh-CN"/>
        </w:rPr>
        <w:t xml:space="preserve">交通费（接驳费用，不含差旅费）</w:t>
      </w:r>
      <w:r>
        <w:rPr>
          <w:rFonts w:ascii="宋体" w:hAnsi="宋体"/>
          <w:color w:val="auto"/>
          <w:sz w:val="24"/>
          <w:szCs w:val="24"/>
          <w:highlight w:val="none"/>
        </w:rPr>
        <w:t xml:space="preserve">、</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印刷费、医药费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线上会议服务费用</w:t>
      </w:r>
      <w:r>
        <w:rPr>
          <w:rFonts w:ascii="宋体" w:hAnsi="宋体"/>
          <w:color w:val="auto"/>
          <w:sz w:val="24"/>
          <w:szCs w:val="24"/>
          <w:highlight w:val="none"/>
        </w:rPr>
        <w:t xml:space="preserve">等，</w:t>
      </w:r>
      <w:r>
        <w:rPr>
          <w:rFonts w:hint="eastAsia" w:ascii="宋体" w:hAnsi="宋体"/>
          <w:color w:val="auto"/>
          <w:sz w:val="24"/>
          <w:szCs w:val="24"/>
          <w:highlight w:val="none"/>
        </w:rPr>
        <w:t xml:space="preserve">是会议费开支的上限，各单位应在综合定额标准以内据实结算。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3.会议费用</w:t>
      </w:r>
      <w:r>
        <w:rPr>
          <w:rFonts w:ascii="宋体" w:hAnsi="宋体"/>
          <w:color w:val="auto"/>
          <w:sz w:val="24"/>
          <w:szCs w:val="24"/>
          <w:highlight w:val="none"/>
        </w:rPr>
        <w:t xml:space="preserve">应在会议结束后及时结算</w:t>
      </w:r>
      <w:r>
        <w:rPr>
          <w:rFonts w:hint="eastAsia" w:ascii="宋体" w:hAnsi="宋体"/>
          <w:color w:val="auto"/>
          <w:sz w:val="24"/>
          <w:szCs w:val="24"/>
          <w:highlight w:val="none"/>
        </w:rPr>
        <w:t xml:space="preserve">，会议定点场所应当在结算时通过“党政机关会议定点场所管理系统”打印电子结算单，按规定提供电子结算单、</w:t>
      </w:r>
      <w:r>
        <w:rPr>
          <w:rFonts w:ascii="宋体" w:hAnsi="宋体"/>
          <w:color w:val="auto"/>
          <w:sz w:val="24"/>
          <w:szCs w:val="24"/>
          <w:highlight w:val="none"/>
        </w:rPr>
        <w:t xml:space="preserve">消费明细清单等资料作为支出凭据</w:t>
      </w:r>
      <w:r>
        <w:rPr>
          <w:rFonts w:hint="eastAsia" w:ascii="宋体" w:hAnsi="宋体"/>
          <w:color w:val="auto"/>
          <w:sz w:val="24"/>
          <w:szCs w:val="24"/>
          <w:highlight w:val="none"/>
        </w:rPr>
        <w:t xml:space="preserve">，为具体采购人或服务对象开具合法的发票，采购人或服务对象须按规定，在收到发票后及时规范进行费用结算，并一次性支付合同款。</w:t>
      </w:r>
      <w:r/>
    </w:p>
    <w:p>
      <w:pPr>
        <w:pStyle w:val="846"/>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七、其他有关要求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实行政府采购供应商诚信管理制度。对供应商失信行为、不良行为等诚信信息</w:t>
      </w:r>
      <w:r>
        <w:rPr>
          <w:rFonts w:hint="eastAsia" w:ascii="宋体" w:hAnsi="宋体"/>
          <w:color w:val="auto"/>
          <w:sz w:val="24"/>
          <w:szCs w:val="24"/>
          <w:highlight w:val="none"/>
        </w:rPr>
        <w:t xml:space="preserve">，</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本次框架协议采购实施工作</w:t>
      </w:r>
      <w:r>
        <w:rPr>
          <w:rFonts w:ascii="宋体" w:hAnsi="宋体"/>
          <w:color w:val="auto"/>
          <w:sz w:val="24"/>
          <w:szCs w:val="24"/>
          <w:highlight w:val="none"/>
        </w:rPr>
        <w:t xml:space="preserve">中予以记录</w:t>
      </w:r>
      <w:r>
        <w:rPr>
          <w:rFonts w:hint="eastAsia" w:ascii="宋体" w:hAnsi="宋体"/>
          <w:color w:val="auto"/>
          <w:sz w:val="24"/>
          <w:szCs w:val="24"/>
          <w:highlight w:val="none"/>
        </w:rPr>
        <w:t xml:space="preserve">并按规定进行处理。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2.在入围资格审核及协议履约期间，征集人及财政监督管理部门有权要求供应商出具申请文件中的相关证明材料原件，予以确认其真实性和有效性。</w:t>
      </w:r>
      <w:r/>
    </w:p>
    <w:p>
      <w:pPr>
        <w:pStyle w:val="846"/>
        <w:ind w:firstLine="422"/>
        <w:keepLines w:val="0"/>
        <w:keepNext w:val="0"/>
        <w:spacing w:before="0" w:after="0" w:line="360" w:lineRule="auto"/>
        <w:rPr>
          <w:rFonts w:hint="eastAsia" w:ascii="宋体" w:hAnsi="宋体" w:eastAsia="宋体" w:cs="Times New Roman"/>
          <w:bCs w:val="0"/>
          <w:color w:val="auto"/>
          <w:highlight w:val="none"/>
          <w:lang w:val="en-US" w:eastAsia="zh-CN"/>
        </w:rPr>
      </w:pPr>
      <w:r>
        <w:rPr>
          <w:rFonts w:hint="eastAsia" w:ascii="宋体" w:hAnsi="宋体" w:eastAsia="宋体" w:cs="Times New Roman"/>
          <w:bCs w:val="0"/>
          <w:color w:val="auto"/>
          <w:highlight w:val="none"/>
          <w:lang w:val="en-US" w:eastAsia="zh-CN"/>
        </w:rPr>
        <w:t xml:space="preserve">八、二阶段管理要求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（一）管理形式：无锡市公共资源交易中心按管理要求通过</w:t>
      </w:r>
      <w:r>
        <w:rPr>
          <w:rFonts w:hint="eastAsia" w:ascii="宋体" w:hAnsi="宋体"/>
          <w:color w:val="auto"/>
          <w:sz w:val="24"/>
          <w:szCs w:val="24"/>
          <w:highlight w:val="none"/>
          <w:lang w:val="en-US" w:eastAsia="zh-CN"/>
        </w:rPr>
        <w:t xml:space="preserve">系统</w:t>
      </w:r>
      <w:r>
        <w:rPr>
          <w:rFonts w:hint="eastAsia" w:ascii="宋体" w:hAnsi="宋体"/>
          <w:color w:val="auto"/>
          <w:sz w:val="24"/>
          <w:szCs w:val="24"/>
          <w:highlight w:val="none"/>
        </w:rPr>
        <w:t xml:space="preserve">反馈的采购人评价、供应商违规预警提示信息、</w:t>
      </w:r>
      <w:r>
        <w:rPr>
          <w:rFonts w:hint="eastAsia" w:ascii="宋体" w:hAnsi="宋体"/>
          <w:color w:val="auto"/>
          <w:sz w:val="24"/>
          <w:szCs w:val="24"/>
          <w:highlight w:val="none"/>
          <w:lang w:val="en-US" w:eastAsia="zh-CN"/>
        </w:rPr>
        <w:t xml:space="preserve">会同</w:t>
      </w:r>
      <w:r>
        <w:rPr>
          <w:rFonts w:hint="eastAsia" w:ascii="宋体" w:hAnsi="宋体"/>
          <w:color w:val="auto"/>
          <w:sz w:val="24"/>
          <w:szCs w:val="24"/>
          <w:highlight w:val="none"/>
        </w:rPr>
        <w:t xml:space="preserve">监管部门进行满意度调查、随机抽查等方式，对框架协议入围供应商开展履约及售后服务进行监督。如检查后中心发现需对相关供应商进行整改、暂停交易资格、终止交易资格等</w:t>
      </w:r>
      <w:r>
        <w:rPr>
          <w:rFonts w:hint="eastAsia" w:ascii="宋体" w:hAnsi="宋体"/>
          <w:color w:val="auto"/>
          <w:sz w:val="24"/>
          <w:szCs w:val="24"/>
          <w:highlight w:val="none"/>
          <w:lang w:val="en-US" w:eastAsia="zh-CN"/>
        </w:rPr>
        <w:t xml:space="preserve">处理</w:t>
      </w:r>
      <w:r>
        <w:rPr>
          <w:rFonts w:hint="eastAsia" w:ascii="宋体" w:hAnsi="宋体"/>
          <w:color w:val="auto"/>
          <w:sz w:val="24"/>
          <w:szCs w:val="24"/>
          <w:highlight w:val="none"/>
        </w:rPr>
        <w:t xml:space="preserve">的，中心将在框架协议系统及无锡市公共资源交易中心官网曝光台公布相关情况。</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（二）管理措施：对履约监管中发现的不合格行为，按以下措施处理：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1.约谈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在框架协议采购（第二阶段）出现下列情况，无锡市公共资源交易中心将对相应供应商进行约谈：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提供的服务不符合国家有关规定、响应承诺和框架协议规定；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1.2使用不正当竞争手段，影响采购单位正常采购活动；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1.3满意度调查中采购人反馈不满意，经核实确系</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1.4其他违法违规行为。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出现上述情况时，无锡市公共资源交易中心将向相关供应商发“约谈通知书”，进行约谈并填写“约谈记录表”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并根据实际情况决定是否开具</w:t>
      </w:r>
      <w:r>
        <w:rPr>
          <w:rFonts w:hint="eastAsia" w:ascii="宋体" w:hAnsi="宋体"/>
          <w:color w:val="auto"/>
          <w:sz w:val="24"/>
          <w:szCs w:val="24"/>
          <w:highlight w:val="none"/>
        </w:rPr>
        <w:t xml:space="preserve">“责令整改通知书”。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2.整改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2.1经约谈后，</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仍存在以上违规行为的，无锡市公共资源交易中心开具“责令整改通知书”限定其在规定时间内完成整改（整改期限原则上为7日）。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2.2根据当期征集文件要求，被开具“责令整改通知书”的</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，且</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未提异议或异议不成立，将视作差评，记录在案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并在相应系统公布</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3.暂停交易资格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3.1对出现下列情形的</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，无锡市公共资源交易中心核实情况后暂停其框架协议交易资格三个月，并在框架协议系统公示：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（1）拒不接受公共资源交易中心约谈（通知三次仍无回应）。</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（2）未按“责令整改通知书”规定的时间完成整改和上报整改情况。</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（3）整改结束后仍出现类似违法违规行为。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3.2对于暂停其框架协议交易资格期满后，仍出现类似违法违规行为的</w:t>
      </w: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，无锡市公共资源交易中心核实情况后暂停其框架协议交易资格六个月，并在框架协议系统公示。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4.终止交易资格</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入围供应商</w:t>
      </w:r>
      <w:r>
        <w:rPr>
          <w:rFonts w:hint="eastAsia" w:ascii="宋体" w:hAnsi="宋体"/>
          <w:color w:val="auto"/>
          <w:sz w:val="24"/>
          <w:szCs w:val="24"/>
          <w:highlight w:val="none"/>
        </w:rPr>
        <w:t xml:space="preserve">存在财政部第110号令涉及的情形以及以下违约行为的，经调查属实的，取消会议定点场所资格，同时报请市财政部门，列入供应商诚信档案，并依照相关法律、行政法规追究法律责任，并不得在同一框架协议期内再次加入</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无正当理由拒绝接待党政机关会议的。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不履行采购协议义务或者履行采购协议义务不符合约定，经协商后仍不履行或者仍未按约定履行的。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超过采购协议价格收取费用或者采取减少服务项目等降低服务质量的。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4.4</w:t>
      </w:r>
      <w:r>
        <w:rPr>
          <w:rFonts w:hint="eastAsia" w:ascii="宋体" w:hAnsi="宋体"/>
          <w:color w:val="auto"/>
          <w:sz w:val="24"/>
          <w:szCs w:val="24"/>
          <w:highlight w:val="none"/>
        </w:rPr>
        <w:t xml:space="preserve">提供虚假凭证或者未按规定提供发票、费用原始明细单据、电子结算单等凭证的。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不配合、甚至干扰阻挠财政部门正常管理监督工作的。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4.6</w:t>
      </w:r>
      <w:r>
        <w:rPr>
          <w:rFonts w:hint="eastAsia" w:ascii="宋体" w:hAnsi="宋体"/>
          <w:color w:val="auto"/>
          <w:sz w:val="24"/>
          <w:szCs w:val="24"/>
          <w:highlight w:val="none"/>
        </w:rPr>
        <w:t xml:space="preserve">未经批准单方面终止履行协议的。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4.7</w:t>
      </w:r>
      <w:r>
        <w:rPr>
          <w:rFonts w:hint="eastAsia" w:ascii="宋体" w:hAnsi="宋体"/>
          <w:color w:val="auto"/>
          <w:sz w:val="24"/>
          <w:szCs w:val="24"/>
          <w:highlight w:val="none"/>
        </w:rPr>
        <w:t xml:space="preserve">在采购协议期内，因违法行为被禁止或者限制参加政府采购活动的。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4.8</w:t>
      </w:r>
      <w:r>
        <w:rPr>
          <w:rFonts w:hint="eastAsia" w:ascii="宋体" w:hAnsi="宋体"/>
          <w:color w:val="auto"/>
          <w:sz w:val="24"/>
          <w:szCs w:val="24"/>
          <w:highlight w:val="none"/>
        </w:rPr>
        <w:t xml:space="preserve">违反其他协议规定事项的。</w:t>
      </w:r>
      <w:r/>
    </w:p>
    <w:p>
      <w:pPr>
        <w:ind w:firstLine="561"/>
        <w:jc w:val="left"/>
        <w:spacing w:line="288" w:lineRule="auto"/>
        <w:rPr>
          <w:rFonts w:ascii="宋体" w:hAnsi="宋体" w:cs="宋体"/>
          <w:b/>
          <w:bCs/>
          <w:i/>
          <w:iCs/>
          <w:color w:val="auto"/>
          <w:sz w:val="28"/>
          <w:szCs w:val="28"/>
          <w:highlight w:val="none"/>
          <w:u w:val="single"/>
        </w:rPr>
      </w:pPr>
      <w:r>
        <w:rPr>
          <w:rFonts w:hint="eastAsia" w:ascii="宋体" w:hAnsi="宋体" w:cs="宋体"/>
          <w:b/>
          <w:bCs/>
          <w:i/>
          <w:iCs/>
          <w:color w:val="auto"/>
          <w:sz w:val="28"/>
          <w:szCs w:val="28"/>
          <w:highlight w:val="none"/>
          <w:u w:val="single"/>
        </w:rPr>
        <w:t xml:space="preserve">特别说明：本章所有要求均为★实质性要求，除征集文件中另有约定的，供应商应提供承诺函（格式详见第六章），不接受负偏离，否则视为无效响应文件。</w:t>
      </w:r>
      <w:r/>
    </w:p>
    <w:p>
      <w:pPr>
        <w:jc w:val="center"/>
        <w:spacing w:line="360" w:lineRule="auto"/>
        <w:rPr>
          <w:rFonts w:ascii="黑体" w:eastAsia="黑体"/>
          <w:color w:val="auto"/>
          <w:sz w:val="44"/>
          <w:szCs w:val="44"/>
          <w:highlight w:val="none"/>
        </w:rPr>
      </w:pPr>
      <w:r>
        <w:rPr>
          <w:rFonts w:hint="eastAsia" w:ascii="黑体" w:eastAsia="黑体"/>
          <w:bCs/>
          <w:color w:val="auto"/>
          <w:sz w:val="44"/>
          <w:highlight w:val="none"/>
        </w:rPr>
        <w:br w:type="page" w:clear="all"/>
      </w:r>
      <w:r>
        <w:rPr>
          <w:rFonts w:hint="eastAsia" w:ascii="黑体" w:eastAsia="黑体"/>
          <w:color w:val="auto"/>
          <w:sz w:val="44"/>
          <w:szCs w:val="44"/>
          <w:highlight w:val="none"/>
        </w:rPr>
        <w:t xml:space="preserve">第五章  确定入围</w:t>
      </w:r>
      <w:r>
        <w:rPr>
          <w:rFonts w:ascii="黑体" w:eastAsia="黑体"/>
          <w:color w:val="auto"/>
          <w:sz w:val="44"/>
          <w:szCs w:val="44"/>
          <w:highlight w:val="none"/>
        </w:rPr>
        <w:t xml:space="preserve">及成交供应商</w:t>
      </w:r>
      <w:r/>
    </w:p>
    <w:p>
      <w:pPr>
        <w:pStyle w:val="1096"/>
        <w:ind w:firstLine="420"/>
        <w:rPr>
          <w:rFonts w:cs="Arial"/>
          <w:b/>
          <w:color w:val="auto"/>
          <w:sz w:val="28"/>
          <w:szCs w:val="28"/>
          <w:highlight w:val="none"/>
        </w:rPr>
      </w:pPr>
      <w:r>
        <w:rPr>
          <w:rFonts w:hint="eastAsia" w:cs="Arial"/>
          <w:b/>
          <w:color w:val="auto"/>
          <w:sz w:val="28"/>
          <w:szCs w:val="28"/>
          <w:highlight w:val="none"/>
        </w:rPr>
        <w:t xml:space="preserve">一</w:t>
      </w:r>
      <w:r>
        <w:rPr>
          <w:rFonts w:cs="Arial"/>
          <w:b/>
          <w:color w:val="auto"/>
          <w:sz w:val="28"/>
          <w:szCs w:val="28"/>
          <w:highlight w:val="none"/>
        </w:rPr>
        <w:t xml:space="preserve">、确定第一阶段入围供应商的方法</w:t>
      </w:r>
      <w:r/>
    </w:p>
    <w:p>
      <w:pPr>
        <w:pStyle w:val="1096"/>
        <w:ind w:firstLine="360"/>
        <w:rPr>
          <w:rFonts w:ascii="宋体" w:hAnsi="宋体"/>
          <w:color w:val="auto"/>
          <w:highlight w:val="none"/>
        </w:rPr>
      </w:pPr>
      <w:r>
        <w:rPr>
          <w:rFonts w:hint="eastAsia" w:ascii="宋体" w:hAnsi="宋体"/>
          <w:color w:val="auto"/>
          <w:highlight w:val="none"/>
        </w:rPr>
        <w:t xml:space="preserve">申请文件通过审核的供应商即为入围供应商。</w:t>
      </w:r>
      <w:r/>
    </w:p>
    <w:p>
      <w:pPr>
        <w:pStyle w:val="1096"/>
        <w:ind w:firstLine="418"/>
        <w:spacing w:line="400" w:lineRule="exact"/>
        <w:rPr>
          <w:rFonts w:ascii="宋体" w:hAnsi="宋体"/>
          <w:b/>
          <w:color w:val="auto"/>
          <w:sz w:val="28"/>
          <w:szCs w:val="28"/>
          <w:highlight w:val="none"/>
        </w:rPr>
      </w:pPr>
      <w:r>
        <w:rPr>
          <w:rFonts w:hint="eastAsia" w:ascii="宋体" w:hAnsi="宋体"/>
          <w:b/>
          <w:color w:val="auto"/>
          <w:sz w:val="28"/>
          <w:szCs w:val="28"/>
          <w:highlight w:val="none"/>
        </w:rPr>
        <w:t xml:space="preserve">二</w:t>
      </w:r>
      <w:r>
        <w:rPr>
          <w:rFonts w:ascii="宋体" w:hAnsi="宋体"/>
          <w:b/>
          <w:color w:val="auto"/>
          <w:sz w:val="28"/>
          <w:szCs w:val="28"/>
          <w:highlight w:val="none"/>
        </w:rPr>
        <w:t xml:space="preserve">、确定第二阶段成交供应商的方</w:t>
      </w:r>
      <w:r>
        <w:rPr>
          <w:rFonts w:hint="eastAsia" w:ascii="宋体" w:hAnsi="宋体"/>
          <w:b/>
          <w:color w:val="auto"/>
          <w:sz w:val="28"/>
          <w:szCs w:val="28"/>
          <w:highlight w:val="none"/>
        </w:rPr>
        <w:t xml:space="preserve">式</w:t>
      </w:r>
      <w:r/>
    </w:p>
    <w:p>
      <w:pPr>
        <w:pStyle w:val="1096"/>
        <w:ind w:firstLine="477"/>
        <w:spacing w:line="400" w:lineRule="exact"/>
        <w:rPr>
          <w:rFonts w:ascii="宋体" w:hAnsi="宋体"/>
          <w:color w:val="auto"/>
          <w:highlight w:val="none"/>
        </w:rPr>
      </w:pPr>
      <w:r>
        <w:rPr>
          <w:rFonts w:hint="eastAsia" w:ascii="宋体" w:hAnsi="宋体"/>
          <w:color w:val="auto"/>
          <w:highlight w:val="none"/>
        </w:rPr>
        <w:t xml:space="preserve">1.第二阶段成交供应商由采购人或者服务对象依据入围产品价格、质量以及服务便利性、用户评价等因素从第一阶段入围供应商中直接选定。</w:t>
      </w:r>
      <w:r/>
    </w:p>
    <w:p>
      <w:pPr>
        <w:pStyle w:val="1096"/>
        <w:ind w:firstLine="477"/>
        <w:spacing w:line="400" w:lineRule="exact"/>
        <w:rPr>
          <w:rFonts w:ascii="宋体" w:hAnsi="宋体"/>
          <w:color w:val="auto"/>
          <w:highlight w:val="none"/>
        </w:rPr>
      </w:pPr>
      <w:r>
        <w:rPr>
          <w:rFonts w:hint="eastAsia" w:ascii="宋体" w:hAnsi="宋体"/>
          <w:color w:val="auto"/>
          <w:highlight w:val="none"/>
        </w:rPr>
        <w:t xml:space="preserve">2.第二阶段成交价格除不得高于本框架协议最高限价外，还不得高于入围供应商对非政府采购行业的大客户、零售客户在同时期提供的优惠价格（包括携程、去哪儿、飞猪等主流网络平台报价）。</w:t>
      </w:r>
      <w:r/>
    </w:p>
    <w:p>
      <w:pPr>
        <w:pStyle w:val="1096"/>
        <w:ind w:firstLine="477"/>
        <w:spacing w:line="400" w:lineRule="exact"/>
        <w:rPr>
          <w:color w:val="auto"/>
          <w:highlight w:val="none"/>
        </w:rPr>
      </w:pPr>
      <w:r>
        <w:rPr>
          <w:rFonts w:hint="eastAsia" w:ascii="宋体" w:hAnsi="宋体"/>
          <w:color w:val="auto"/>
          <w:highlight w:val="none"/>
        </w:rPr>
        <w:t xml:space="preserve">3.入围供应商对非政府采购行业的大客户、零售客户在同时期提供的优惠条件，应当确保本框架协议采购人或者服务对象同等享受（包括可免费使用会议场所提供的停车等相关配套设施）。</w:t>
      </w:r>
      <w:r/>
    </w:p>
    <w:p>
      <w:pPr>
        <w:pStyle w:val="1096"/>
        <w:ind w:firstLine="477"/>
        <w:spacing w:line="400" w:lineRule="exact"/>
        <w:rPr>
          <w:rFonts w:ascii="宋体" w:hAnsi="宋体"/>
          <w:color w:val="auto"/>
          <w:highlight w:val="none"/>
        </w:rPr>
      </w:pPr>
      <w:r>
        <w:rPr>
          <w:rFonts w:hint="eastAsia" w:ascii="宋体" w:hAnsi="宋体"/>
          <w:color w:val="auto"/>
          <w:highlight w:val="none"/>
        </w:rPr>
        <w:t xml:space="preserve">4.采购人在</w:t>
      </w:r>
      <w:r>
        <w:rPr>
          <w:rFonts w:ascii="宋体" w:hAnsi="宋体"/>
          <w:color w:val="auto"/>
          <w:highlight w:val="none"/>
        </w:rPr>
        <w:t xml:space="preserve">确定成交</w:t>
      </w:r>
      <w:r>
        <w:rPr>
          <w:rFonts w:hint="eastAsia" w:ascii="宋体" w:hAnsi="宋体"/>
          <w:color w:val="auto"/>
          <w:highlight w:val="none"/>
        </w:rPr>
        <w:t xml:space="preserve">供应商</w:t>
      </w:r>
      <w:r>
        <w:rPr>
          <w:rFonts w:ascii="宋体" w:hAnsi="宋体"/>
          <w:color w:val="auto"/>
          <w:highlight w:val="none"/>
        </w:rPr>
        <w:t xml:space="preserve">后，</w:t>
      </w:r>
      <w:r>
        <w:rPr>
          <w:rFonts w:hint="eastAsia" w:ascii="宋体" w:hAnsi="宋体"/>
          <w:color w:val="auto"/>
          <w:highlight w:val="none"/>
        </w:rPr>
        <w:t xml:space="preserve">双方</w:t>
      </w:r>
      <w:r>
        <w:rPr>
          <w:rFonts w:ascii="宋体" w:hAnsi="宋体"/>
          <w:color w:val="auto"/>
          <w:highlight w:val="none"/>
        </w:rPr>
        <w:t xml:space="preserve">应当按照</w:t>
      </w:r>
      <w:r>
        <w:rPr>
          <w:rFonts w:hint="eastAsia" w:ascii="宋体" w:hAnsi="宋体"/>
          <w:color w:val="auto"/>
          <w:highlight w:val="none"/>
        </w:rPr>
        <w:t xml:space="preserve">征集文件</w:t>
      </w:r>
      <w:r>
        <w:rPr>
          <w:rFonts w:ascii="宋体" w:hAnsi="宋体"/>
          <w:color w:val="auto"/>
          <w:highlight w:val="none"/>
        </w:rPr>
        <w:t xml:space="preserve">中规定的</w:t>
      </w:r>
      <w:r>
        <w:rPr>
          <w:rFonts w:hint="eastAsia" w:ascii="宋体" w:hAnsi="宋体"/>
          <w:color w:val="auto"/>
          <w:highlight w:val="none"/>
        </w:rPr>
        <w:t xml:space="preserve">“采购</w:t>
      </w:r>
      <w:r>
        <w:rPr>
          <w:rFonts w:ascii="宋体" w:hAnsi="宋体"/>
          <w:color w:val="auto"/>
          <w:highlight w:val="none"/>
        </w:rPr>
        <w:t xml:space="preserve">合同文本</w:t>
      </w:r>
      <w:r>
        <w:rPr>
          <w:rFonts w:hint="eastAsia" w:ascii="宋体" w:hAnsi="宋体"/>
          <w:color w:val="auto"/>
          <w:highlight w:val="none"/>
        </w:rPr>
        <w:t xml:space="preserve">”格式签订电子采购合同，不得擅自改变框架协议约定的合同实质性条款。</w:t>
      </w:r>
      <w:r/>
    </w:p>
    <w:p>
      <w:pPr>
        <w:pStyle w:val="1096"/>
        <w:ind w:firstLine="0"/>
        <w:jc w:val="center"/>
        <w:spacing w:line="400" w:lineRule="exact"/>
        <w:rPr>
          <w:rFonts w:ascii="宋体" w:hAnsi="宋体"/>
          <w:color w:val="auto"/>
          <w:highlight w:val="none"/>
        </w:rPr>
      </w:pPr>
      <w:r>
        <w:rPr>
          <w:rFonts w:ascii="宋体" w:hAnsi="宋体"/>
          <w:color w:val="auto"/>
          <w:highlight w:val="none"/>
        </w:rPr>
        <w:br w:type="page" w:clear="all"/>
      </w:r>
      <w:r/>
    </w:p>
    <w:p>
      <w:pPr>
        <w:jc w:val="center"/>
        <w:spacing w:line="360" w:lineRule="auto"/>
        <w:rPr>
          <w:rFonts w:ascii="黑体" w:eastAsia="黑体"/>
          <w:color w:val="auto"/>
          <w:sz w:val="44"/>
          <w:szCs w:val="44"/>
          <w:highlight w:val="none"/>
        </w:rPr>
      </w:pPr>
      <w:r>
        <w:rPr>
          <w:rFonts w:hint="eastAsia" w:ascii="黑体" w:eastAsia="黑体"/>
          <w:color w:val="auto"/>
          <w:sz w:val="44"/>
          <w:szCs w:val="44"/>
          <w:highlight w:val="none"/>
        </w:rPr>
        <w:t xml:space="preserve">第六章  </w:t>
      </w:r>
      <w:bookmarkEnd w:id="143"/>
      <w:r/>
      <w:bookmarkEnd w:id="144"/>
      <w:r/>
      <w:bookmarkEnd w:id="145"/>
      <w:r>
        <w:rPr>
          <w:rFonts w:hint="eastAsia" w:ascii="黑体" w:eastAsia="黑体"/>
          <w:color w:val="auto"/>
          <w:sz w:val="44"/>
          <w:szCs w:val="44"/>
          <w:highlight w:val="none"/>
        </w:rPr>
        <w:t xml:space="preserve">申请文件格式</w:t>
      </w:r>
      <w:r/>
    </w:p>
    <w:p>
      <w:pPr>
        <w:jc w:val="center"/>
        <w:rPr>
          <w:rFonts w:ascii="宋体" w:hAnsi="宋体"/>
          <w:b/>
          <w:color w:val="auto"/>
          <w:sz w:val="72"/>
          <w:highlight w:val="none"/>
        </w:rPr>
      </w:pPr>
      <w:r/>
      <w:bookmarkStart w:id="146" w:name="_Hlt26671244"/>
      <w:r/>
      <w:bookmarkEnd w:id="146"/>
      <w:r/>
      <w:bookmarkStart w:id="147" w:name="_Hlt26955039"/>
      <w:r/>
      <w:bookmarkEnd w:id="147"/>
      <w:r/>
      <w:bookmarkStart w:id="148" w:name="_Toc26554094"/>
      <w:r/>
      <w:bookmarkStart w:id="149" w:name="_Toc49090576"/>
      <w:r/>
      <w:bookmarkStart w:id="150" w:name="_Toc120614282"/>
      <w:r/>
      <w:r/>
    </w:p>
    <w:p>
      <w:pPr>
        <w:jc w:val="center"/>
        <w:rPr>
          <w:rFonts w:ascii="宋体" w:hAnsi="宋体"/>
          <w:b/>
          <w:color w:val="auto"/>
          <w:sz w:val="72"/>
          <w:highlight w:val="none"/>
        </w:rPr>
      </w:pPr>
      <w:r>
        <w:rPr>
          <w:rFonts w:hint="eastAsia" w:ascii="宋体" w:hAnsi="宋体"/>
          <w:b/>
          <w:color w:val="auto"/>
          <w:sz w:val="72"/>
          <w:highlight w:val="none"/>
        </w:rPr>
        <w:t xml:space="preserve">申  请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（加盖CA电子公章）</w:t>
      </w:r>
      <w:r/>
    </w:p>
    <w:p>
      <w:pPr>
        <w:ind w:firstLine="1446"/>
        <w:rPr>
          <w:rFonts w:ascii="宋体" w:hAnsi="宋体"/>
          <w:b/>
          <w:bCs/>
          <w:color w:val="auto"/>
          <w:sz w:val="32"/>
          <w:szCs w:val="32"/>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rPr>
          <w:rFonts w:ascii="宋体" w:hAnsi="宋体"/>
          <w:bCs/>
          <w:color w:val="auto"/>
          <w:sz w:val="32"/>
          <w:szCs w:val="32"/>
          <w:highlight w:val="none"/>
        </w:rPr>
      </w:pPr>
      <w:r>
        <w:rPr>
          <w:rFonts w:ascii="宋体" w:hAnsi="宋体"/>
          <w:b/>
          <w:color w:val="auto"/>
          <w:sz w:val="36"/>
          <w:highlight w:val="none"/>
          <w:u w:val="single"/>
        </w:rPr>
        <w:br w:type="page" w:clear="all"/>
      </w:r>
      <w:r>
        <w:rPr>
          <w:rFonts w:hint="eastAsia" w:ascii="宋体" w:hAnsi="宋体"/>
          <w:color w:val="auto"/>
          <w:sz w:val="36"/>
          <w:highlight w:val="none"/>
        </w:rPr>
        <w:t xml:space="preserve">                           </w:t>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申请文件目录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一、供应商信用承诺函</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二、特定资格要求的证明文件</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三、法人授权书</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四、响应函</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五、承诺函</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六、响应报价明细表</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七、供应商基本情况一览表</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八、服务团队情况表</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九、服务方案</w:t>
      </w:r>
      <w:r/>
    </w:p>
    <w:p>
      <w:pPr>
        <w:spacing w:line="360" w:lineRule="auto"/>
        <w:rPr>
          <w:rFonts w:ascii="黑体" w:hAnsi="黑体" w:eastAsia="黑体"/>
          <w:i/>
          <w:color w:val="auto"/>
          <w:sz w:val="32"/>
          <w:szCs w:val="32"/>
          <w:highlight w:val="none"/>
          <w:u w:val="single"/>
        </w:rPr>
      </w:pPr>
      <w:r>
        <w:rPr>
          <w:rFonts w:ascii="宋体" w:hAnsi="宋体"/>
          <w:i/>
          <w:color w:val="auto"/>
          <w:sz w:val="28"/>
          <w:szCs w:val="22"/>
          <w:highlight w:val="none"/>
          <w:u w:val="single"/>
        </w:rPr>
        <w:br w:type="page" w:clear="all"/>
      </w:r>
      <w:r>
        <w:rPr>
          <w:rFonts w:hint="eastAsia" w:ascii="黑体" w:hAnsi="黑体" w:eastAsia="黑体"/>
          <w:b/>
          <w:bCs/>
          <w:i/>
          <w:color w:val="auto"/>
          <w:sz w:val="32"/>
          <w:szCs w:val="32"/>
          <w:highlight w:val="none"/>
          <w:u w:val="single"/>
        </w:rPr>
        <w:t xml:space="preserve">一、供应商信用承诺函</w:t>
      </w:r>
      <w:r/>
    </w:p>
    <w:p>
      <w:pPr>
        <w:jc w:val="center"/>
        <w:spacing w:line="360" w:lineRule="auto"/>
        <w:rPr>
          <w:rFonts w:ascii="宋体" w:hAnsi="宋体"/>
          <w:b/>
          <w:color w:val="auto"/>
          <w:sz w:val="32"/>
          <w:szCs w:val="32"/>
          <w:highlight w:val="none"/>
          <w:lang w:val="zh-CN"/>
        </w:rPr>
        <w:outlineLvl w:val="0"/>
      </w:pPr>
      <w:r>
        <w:rPr>
          <w:rFonts w:hint="eastAsia" w:ascii="宋体" w:hAnsi="宋体"/>
          <w:b/>
          <w:color w:val="auto"/>
          <w:sz w:val="32"/>
          <w:szCs w:val="32"/>
          <w:highlight w:val="none"/>
          <w:lang w:val="zh-CN"/>
        </w:rPr>
        <w:t xml:space="preserve">供应商信用承诺函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无锡市公共资源交易中心</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如果我公司入围（成交），将在入围（成交）结果公示后七个工作日内向征集人（采购人）提供下列材料核验：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80"/>
        <w:spacing w:line="360" w:lineRule="auto"/>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101"/>
        <w:jc w:val="both"/>
        <w:rPr>
          <w:color w:val="auto"/>
          <w:sz w:val="24"/>
          <w:szCs w:val="24"/>
          <w:highlight w:val="none"/>
        </w:rPr>
      </w:pPr>
      <w:r>
        <w:rPr>
          <w:rFonts w:hint="eastAsia"/>
          <w:color w:val="auto"/>
          <w:sz w:val="24"/>
          <w:szCs w:val="24"/>
          <w:highlight w:val="none"/>
        </w:rPr>
        <w:t xml:space="preserve">    </w:t>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供应商名称：（加盖CA电子公章）</w:t>
      </w:r>
      <w:r/>
    </w:p>
    <w:p>
      <w:pPr>
        <w:ind w:firstLine="6240"/>
        <w:spacing w:line="560" w:lineRule="exact"/>
        <w:rPr>
          <w:color w:val="auto"/>
          <w:sz w:val="24"/>
          <w:szCs w:val="24"/>
          <w:highlight w:val="none"/>
        </w:rPr>
      </w:pPr>
      <w:r>
        <w:rPr>
          <w:rFonts w:hint="eastAsia"/>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年___月___日</w:t>
      </w:r>
      <w:r/>
    </w:p>
    <w:p>
      <w:pPr>
        <w:spacing w:line="360" w:lineRule="auto"/>
        <w:rPr>
          <w:rFonts w:ascii="黑体" w:hAnsi="黑体" w:eastAsia="黑体"/>
          <w:b/>
          <w:bCs/>
          <w:i/>
          <w:color w:val="auto"/>
          <w:sz w:val="32"/>
          <w:szCs w:val="32"/>
          <w:highlight w:val="none"/>
          <w:u w:val="single"/>
        </w:rPr>
      </w:pPr>
      <w:r>
        <w:rPr>
          <w:rFonts w:ascii="黑体" w:hAnsi="黑体" w:eastAsia="黑体"/>
          <w:i/>
          <w:color w:val="auto"/>
          <w:sz w:val="32"/>
          <w:szCs w:val="32"/>
          <w:highlight w:val="none"/>
          <w:u w:val="single"/>
        </w:rPr>
        <w:br w:type="page" w:clear="all"/>
      </w:r>
      <w:r>
        <w:rPr>
          <w:rFonts w:hint="eastAsia" w:ascii="黑体" w:hAnsi="黑体" w:eastAsia="黑体"/>
          <w:b/>
          <w:bCs/>
          <w:i/>
          <w:color w:val="auto"/>
          <w:sz w:val="32"/>
          <w:szCs w:val="32"/>
          <w:highlight w:val="none"/>
          <w:u w:val="single"/>
        </w:rPr>
        <w:t xml:space="preserve">二、特定资格要求的证明文件</w:t>
      </w:r>
      <w:bookmarkEnd w:id="148"/>
      <w:r/>
      <w:bookmarkEnd w:id="149"/>
      <w:r/>
      <w:bookmarkEnd w:id="150"/>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szCs w:val="24"/>
          <w:highlight w:val="none"/>
        </w:rPr>
        <w:t xml:space="preserve">会议定点场所在无锡市行政区域内（含江阴、宜兴）注册/登记的证明（提供有效证明文件），</w:t>
      </w:r>
      <w:r>
        <w:rPr>
          <w:rFonts w:hint="eastAsia" w:ascii="宋体" w:hAnsi="宋体"/>
          <w:b/>
          <w:bCs/>
          <w:color w:val="auto"/>
          <w:sz w:val="24"/>
          <w:szCs w:val="24"/>
          <w:highlight w:val="none"/>
        </w:rPr>
        <w:t xml:space="preserve">所有分包供应商均须提供。</w:t>
      </w:r>
      <w:r>
        <w:rPr>
          <w:rFonts w:hint="eastAsia" w:ascii="宋体" w:hAnsi="宋体"/>
          <w:bCs/>
          <w:color w:val="auto"/>
          <w:sz w:val="24"/>
          <w:highlight w:val="none"/>
        </w:rPr>
        <w:t xml:space="preserve">供应商</w:t>
      </w:r>
      <w:r>
        <w:rPr>
          <w:rFonts w:hint="eastAsia" w:ascii="宋体" w:hAnsi="宋体"/>
          <w:color w:val="auto"/>
          <w:sz w:val="24"/>
          <w:szCs w:val="24"/>
          <w:highlight w:val="none"/>
        </w:rPr>
        <w:t xml:space="preserve">为分支机构的，还须提供上级法人单位的授权文件。</w:t>
      </w:r>
      <w:r/>
    </w:p>
    <w:p>
      <w:pPr>
        <w:jc w:val="center"/>
        <w:spacing w:line="360" w:lineRule="auto"/>
        <w:rPr>
          <w:rFonts w:ascii="宋体" w:hAnsi="宋体"/>
          <w:b/>
          <w:color w:val="auto"/>
          <w:sz w:val="32"/>
          <w:szCs w:val="32"/>
          <w:highlight w:val="none"/>
        </w:rPr>
      </w:pPr>
      <w:r/>
      <w:bookmarkStart w:id="151" w:name="_Toc87696341"/>
      <w:r>
        <w:rPr>
          <w:rFonts w:hint="eastAsia" w:ascii="宋体" w:hAnsi="宋体"/>
          <w:b/>
          <w:color w:val="auto"/>
          <w:sz w:val="32"/>
          <w:szCs w:val="32"/>
          <w:highlight w:val="none"/>
        </w:rPr>
        <w:t xml:space="preserve">上级法人单位针对本项目授权文件</w:t>
      </w:r>
      <w:bookmarkEnd w:id="151"/>
      <w:r/>
      <w:r/>
    </w:p>
    <w:p>
      <w:pPr>
        <w:jc w:val="center"/>
        <w:spacing w:line="360" w:lineRule="auto"/>
        <w:rPr>
          <w:rFonts w:ascii="宋体" w:hAnsi="宋体"/>
          <w:b/>
          <w:color w:val="auto"/>
          <w:sz w:val="32"/>
          <w:szCs w:val="32"/>
          <w:highlight w:val="none"/>
        </w:rPr>
      </w:pPr>
      <w:r/>
      <w:bookmarkStart w:id="152" w:name="_Toc87696342"/>
      <w:r>
        <w:rPr>
          <w:rFonts w:hint="eastAsia" w:ascii="宋体" w:hAnsi="宋体"/>
          <w:b/>
          <w:color w:val="auto"/>
          <w:sz w:val="32"/>
          <w:szCs w:val="32"/>
          <w:highlight w:val="none"/>
        </w:rPr>
        <w:t xml:space="preserve">（分支机构须提供）</w:t>
      </w:r>
      <w:bookmarkEnd w:id="152"/>
      <w:r/>
      <w:r/>
    </w:p>
    <w:p>
      <w:pPr>
        <w:ind w:firstLine="480"/>
        <w:spacing w:line="360" w:lineRule="auto"/>
        <w:rPr>
          <w:color w:val="auto"/>
          <w:sz w:val="24"/>
          <w:szCs w:val="24"/>
          <w:highlight w:val="none"/>
        </w:rPr>
      </w:pPr>
      <w:r>
        <w:rPr>
          <w:rFonts w:hint="eastAsia"/>
          <w:color w:val="auto"/>
          <w:sz w:val="24"/>
          <w:szCs w:val="24"/>
          <w:highlight w:val="none"/>
        </w:rPr>
        <w:t xml:space="preserve">我单位是</w:t>
      </w:r>
      <w:r>
        <w:rPr>
          <w:rFonts w:hint="eastAsia"/>
          <w:color w:val="auto"/>
          <w:sz w:val="24"/>
          <w:szCs w:val="24"/>
          <w:highlight w:val="none"/>
          <w:u w:val="single"/>
        </w:rPr>
        <w:t xml:space="preserve">             </w:t>
      </w:r>
      <w:r>
        <w:rPr>
          <w:rFonts w:hint="eastAsia"/>
          <w:color w:val="auto"/>
          <w:sz w:val="24"/>
          <w:szCs w:val="24"/>
          <w:highlight w:val="none"/>
        </w:rPr>
        <w:t xml:space="preserve">（会议承办单位）的上级法人单位，我单位同意由该单位在</w:t>
      </w:r>
      <w:r>
        <w:rPr>
          <w:rFonts w:hint="eastAsia"/>
          <w:color w:val="auto"/>
          <w:sz w:val="24"/>
          <w:szCs w:val="24"/>
          <w:highlight w:val="none"/>
          <w:lang w:eastAsia="zh-CN"/>
        </w:rPr>
        <w:t xml:space="preserve">JSZC-320200-JZCG-K2026-0095</w:t>
      </w:r>
      <w:r>
        <w:rPr>
          <w:rFonts w:hint="eastAsia"/>
          <w:color w:val="auto"/>
          <w:sz w:val="24"/>
          <w:szCs w:val="24"/>
          <w:highlight w:val="none"/>
        </w:rPr>
        <w:t xml:space="preserve">（项目编号）</w:t>
      </w:r>
      <w:r>
        <w:rPr>
          <w:rFonts w:hint="eastAsia"/>
          <w:color w:val="auto"/>
          <w:sz w:val="24"/>
          <w:szCs w:val="24"/>
          <w:highlight w:val="none"/>
          <w:lang w:eastAsia="zh-CN"/>
        </w:rPr>
        <w:t xml:space="preserve">2027-2028年度无锡市党政机关会议定点场所框架协议采购</w:t>
      </w:r>
      <w:r>
        <w:rPr>
          <w:rFonts w:hint="eastAsia"/>
          <w:color w:val="auto"/>
          <w:sz w:val="24"/>
          <w:szCs w:val="24"/>
          <w:highlight w:val="none"/>
        </w:rPr>
        <w:t xml:space="preserve">（项目名称）中提供具体会议服务。在本次框架协议入围申请和签订、履行政府采购合同中出现的所有法律责任，均由我单位和该服务单位共同承担。</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授权人（公章）：</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被授权人（公章）：</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负 责 人：</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   月   日</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
          <w:bCs/>
          <w:color w:val="auto"/>
          <w:sz w:val="24"/>
          <w:szCs w:val="24"/>
          <w:highlight w:val="none"/>
        </w:rPr>
      </w:pPr>
      <w:r>
        <w:rPr>
          <w:rFonts w:hint="eastAsia" w:ascii="宋体" w:hAnsi="宋体"/>
          <w:bCs/>
          <w:color w:val="auto"/>
          <w:sz w:val="24"/>
          <w:highlight w:val="none"/>
        </w:rPr>
        <w:t xml:space="preserve">2.</w:t>
      </w:r>
      <w:r>
        <w:rPr>
          <w:rFonts w:hint="eastAsia" w:ascii="宋体" w:hAnsi="宋体"/>
          <w:color w:val="auto"/>
          <w:sz w:val="24"/>
          <w:szCs w:val="24"/>
          <w:highlight w:val="none"/>
        </w:rPr>
        <w:t xml:space="preserve">会议定点场所具有卫生许可证或相关卫生许可证明（提供有效证明文件），</w:t>
      </w:r>
      <w:r>
        <w:rPr>
          <w:rFonts w:hint="eastAsia" w:ascii="宋体" w:hAnsi="宋体"/>
          <w:b/>
          <w:bCs/>
          <w:color w:val="auto"/>
          <w:sz w:val="24"/>
          <w:szCs w:val="24"/>
          <w:highlight w:val="none"/>
        </w:rPr>
        <w:t xml:space="preserve">所有分包供应商均须提供。</w:t>
      </w:r>
      <w:r/>
    </w:p>
    <w:p>
      <w:pPr>
        <w:spacing w:line="460" w:lineRule="exact"/>
        <w:rPr>
          <w:rFonts w:ascii="宋体" w:hAnsi="宋体"/>
          <w:b/>
          <w:bCs/>
          <w:color w:val="auto"/>
          <w:sz w:val="24"/>
          <w:szCs w:val="24"/>
          <w:highlight w:val="none"/>
        </w:rPr>
      </w:pPr>
      <w:r>
        <w:rPr>
          <w:rFonts w:hint="eastAsia" w:ascii="宋体" w:hAnsi="宋体"/>
          <w:color w:val="auto"/>
          <w:sz w:val="24"/>
          <w:szCs w:val="24"/>
          <w:highlight w:val="none"/>
        </w:rPr>
        <w:t xml:space="preserve">3.会议定点场所具有消防安全许可证或相关消防安全证明（提供有效证明文件），</w:t>
      </w:r>
      <w:r>
        <w:rPr>
          <w:rFonts w:hint="eastAsia" w:ascii="宋体" w:hAnsi="宋体"/>
          <w:b/>
          <w:bCs/>
          <w:color w:val="auto"/>
          <w:sz w:val="24"/>
          <w:szCs w:val="24"/>
          <w:highlight w:val="none"/>
        </w:rPr>
        <w:t xml:space="preserve">所有分包供应商均须提供。</w:t>
      </w:r>
      <w:r/>
    </w:p>
    <w:p>
      <w:pPr>
        <w:spacing w:line="460" w:lineRule="exact"/>
        <w:rPr>
          <w:rFonts w:hint="eastAsia" w:ascii="宋体" w:hAnsi="宋体" w:eastAsia="宋体"/>
          <w:b/>
          <w:bCs/>
          <w:color w:val="auto"/>
          <w:sz w:val="24"/>
          <w:szCs w:val="24"/>
          <w:highlight w:val="none"/>
          <w:lang w:eastAsia="zh-CN"/>
        </w:rPr>
      </w:pPr>
      <w:r>
        <w:rPr>
          <w:rFonts w:hint="eastAsia" w:ascii="宋体" w:hAnsi="宋体"/>
          <w:bCs/>
          <w:color w:val="auto"/>
          <w:sz w:val="24"/>
          <w:highlight w:val="none"/>
        </w:rPr>
        <w:t xml:space="preserve">4.</w:t>
      </w:r>
      <w:r>
        <w:rPr>
          <w:rFonts w:hint="eastAsia" w:ascii="宋体" w:hAnsi="宋体"/>
          <w:b/>
          <w:bCs w:val="0"/>
          <w:color w:val="auto"/>
          <w:sz w:val="24"/>
          <w:highlight w:val="none"/>
          <w:lang w:val="en-US" w:eastAsia="zh-CN"/>
        </w:rPr>
        <w:t xml:space="preserve">所有分包一</w:t>
      </w:r>
      <w:r>
        <w:rPr>
          <w:rFonts w:hint="eastAsia" w:ascii="宋体" w:hAnsi="宋体"/>
          <w:b/>
          <w:bCs w:val="0"/>
          <w:color w:val="auto"/>
          <w:sz w:val="24"/>
          <w:szCs w:val="24"/>
          <w:highlight w:val="none"/>
        </w:rPr>
        <w:t xml:space="preserve">供</w:t>
      </w:r>
      <w:r>
        <w:rPr>
          <w:rFonts w:hint="eastAsia" w:ascii="宋体" w:hAnsi="宋体"/>
          <w:b/>
          <w:bCs/>
          <w:color w:val="auto"/>
          <w:sz w:val="24"/>
          <w:szCs w:val="24"/>
          <w:highlight w:val="none"/>
        </w:rPr>
        <w:t xml:space="preserve">应商均须提供</w:t>
      </w:r>
      <w:r>
        <w:rPr>
          <w:rFonts w:hint="eastAsia" w:ascii="宋体" w:hAnsi="宋体"/>
          <w:bCs/>
          <w:color w:val="auto"/>
          <w:sz w:val="24"/>
          <w:highlight w:val="none"/>
          <w:lang w:val="en-US" w:eastAsia="zh-CN"/>
        </w:rPr>
        <w:t xml:space="preserve">：</w:t>
      </w:r>
      <w:r>
        <w:rPr>
          <w:rFonts w:hint="eastAsia" w:ascii="宋体" w:hAnsi="宋体"/>
          <w:color w:val="auto"/>
          <w:sz w:val="24"/>
          <w:szCs w:val="24"/>
          <w:highlight w:val="none"/>
        </w:rPr>
        <w:t xml:space="preserve">市场监督管理局颁发的且在有效期内的《食品经营许可证》（提供有效证明文件）</w:t>
      </w:r>
      <w:r>
        <w:rPr>
          <w:rFonts w:hint="eastAsia" w:ascii="宋体" w:hAnsi="宋体"/>
          <w:color w:val="auto"/>
          <w:sz w:val="24"/>
          <w:szCs w:val="24"/>
          <w:highlight w:val="none"/>
          <w:lang w:eastAsia="zh-CN"/>
        </w:rPr>
        <w:t xml:space="preserve">。</w:t>
      </w:r>
      <w:r/>
    </w:p>
    <w:p>
      <w:pPr>
        <w:spacing w:line="460" w:lineRule="exact"/>
        <w:rPr>
          <w:rFonts w:hint="eastAsia" w:ascii="宋体" w:hAnsi="宋体"/>
          <w:b/>
          <w:bCs/>
          <w:color w:val="auto"/>
          <w:sz w:val="24"/>
          <w:szCs w:val="24"/>
          <w:highlight w:val="none"/>
        </w:rPr>
      </w:pPr>
      <w:r>
        <w:rPr>
          <w:rFonts w:hint="eastAsia" w:ascii="宋体" w:hAnsi="宋体"/>
          <w:b/>
          <w:bCs w:val="0"/>
          <w:color w:val="auto"/>
          <w:sz w:val="24"/>
          <w:highlight w:val="none"/>
          <w:lang w:val="en-US" w:eastAsia="zh-CN"/>
        </w:rPr>
        <w:t xml:space="preserve">所有分包二</w:t>
      </w:r>
      <w:r>
        <w:rPr>
          <w:rFonts w:hint="eastAsia" w:ascii="宋体" w:hAnsi="宋体"/>
          <w:b/>
          <w:bCs w:val="0"/>
          <w:color w:val="auto"/>
          <w:sz w:val="24"/>
          <w:szCs w:val="24"/>
          <w:highlight w:val="none"/>
        </w:rPr>
        <w:t xml:space="preserve">供</w:t>
      </w:r>
      <w:r>
        <w:rPr>
          <w:rFonts w:hint="eastAsia" w:ascii="宋体" w:hAnsi="宋体"/>
          <w:b/>
          <w:bCs/>
          <w:color w:val="auto"/>
          <w:sz w:val="24"/>
          <w:szCs w:val="24"/>
          <w:highlight w:val="none"/>
        </w:rPr>
        <w:t xml:space="preserve">应商均须提供</w:t>
      </w:r>
      <w:r>
        <w:rPr>
          <w:rFonts w:hint="eastAsia" w:ascii="宋体" w:hAnsi="宋体"/>
          <w:bCs/>
          <w:color w:val="auto"/>
          <w:sz w:val="24"/>
          <w:highlight w:val="none"/>
          <w:lang w:val="en-US" w:eastAsia="zh-CN"/>
        </w:rPr>
        <w:t xml:space="preserve">：</w:t>
      </w:r>
      <w:r>
        <w:rPr>
          <w:rFonts w:hint="eastAsia" w:ascii="宋体" w:hAnsi="宋体"/>
          <w:color w:val="auto"/>
          <w:sz w:val="24"/>
          <w:szCs w:val="24"/>
          <w:highlight w:val="none"/>
        </w:rPr>
        <w:t xml:space="preserve">市场监督管理局颁发的且在有效期内的《食品经营许可证》</w:t>
      </w:r>
      <w:r>
        <w:rPr>
          <w:rFonts w:hint="eastAsia" w:ascii="宋体" w:hAnsi="宋体"/>
          <w:color w:val="auto"/>
          <w:sz w:val="24"/>
          <w:szCs w:val="24"/>
          <w:highlight w:val="none"/>
          <w:lang w:val="en-US" w:eastAsia="zh-CN"/>
        </w:rPr>
        <w:t xml:space="preserve">或《仅销售预包装食品经营者备案信息采集表》</w:t>
      </w:r>
      <w:r>
        <w:rPr>
          <w:rFonts w:hint="eastAsia" w:ascii="宋体" w:hAnsi="宋体"/>
          <w:color w:val="auto"/>
          <w:sz w:val="24"/>
          <w:szCs w:val="24"/>
          <w:highlight w:val="none"/>
        </w:rPr>
        <w:t xml:space="preserve">（提供有效证明文件）</w:t>
      </w:r>
      <w:r>
        <w:rPr>
          <w:rFonts w:hint="eastAsia" w:ascii="宋体" w:hAnsi="宋体"/>
          <w:color w:val="auto"/>
          <w:sz w:val="24"/>
          <w:szCs w:val="24"/>
          <w:highlight w:val="none"/>
          <w:lang w:eastAsia="zh-CN"/>
        </w:rPr>
        <w:t xml:space="preserve">。</w:t>
      </w:r>
      <w:r/>
    </w:p>
    <w:p>
      <w:pPr>
        <w:spacing w:line="360" w:lineRule="auto"/>
        <w:rPr>
          <w:rFonts w:ascii="黑体" w:hAnsi="黑体" w:eastAsia="黑体"/>
          <w:b/>
          <w:bCs/>
          <w:i/>
          <w:color w:val="auto"/>
          <w:sz w:val="32"/>
          <w:szCs w:val="32"/>
          <w:highlight w:val="none"/>
          <w:u w:val="single"/>
        </w:rPr>
      </w:pPr>
      <w:r>
        <w:rPr>
          <w:rFonts w:ascii="宋体" w:hAnsi="宋体"/>
          <w:b/>
          <w:bCs/>
          <w:color w:val="auto"/>
          <w:sz w:val="24"/>
          <w:szCs w:val="24"/>
          <w:highlight w:val="none"/>
        </w:rPr>
        <w:br w:type="page" w:clear="all"/>
      </w:r>
      <w:r>
        <w:rPr>
          <w:rFonts w:hint="eastAsia" w:ascii="黑体" w:hAnsi="黑体" w:eastAsia="黑体"/>
          <w:b/>
          <w:bCs/>
          <w:i/>
          <w:color w:val="auto"/>
          <w:sz w:val="32"/>
          <w:szCs w:val="32"/>
          <w:highlight w:val="none"/>
          <w:u w:val="single"/>
        </w:rPr>
        <w:t xml:space="preserve">三、法人授权书</w:t>
      </w:r>
      <w:r/>
    </w:p>
    <w:p>
      <w:pPr>
        <w:pStyle w:val="1088"/>
        <w:ind w:firstLine="480"/>
        <w:spacing w:line="360" w:lineRule="auto"/>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u w:val="single"/>
          <w:lang w:eastAsia="zh-CN"/>
        </w:rPr>
        <w:t xml:space="preserve">JSZC-320200-JZCG-K2026-0095</w:t>
      </w:r>
      <w:r>
        <w:rPr>
          <w:rFonts w:hint="eastAsia"/>
          <w:color w:val="auto"/>
          <w:sz w:val="24"/>
          <w:szCs w:val="24"/>
          <w:highlight w:val="none"/>
          <w:u w:val="single"/>
        </w:rPr>
        <w:t xml:space="preserve"> </w:t>
      </w:r>
      <w:r>
        <w:rPr>
          <w:rFonts w:hint="eastAsia"/>
          <w:color w:val="auto"/>
          <w:sz w:val="24"/>
          <w:szCs w:val="24"/>
          <w:highlight w:val="none"/>
        </w:rPr>
        <w:t xml:space="preserve">号项目框架</w:t>
      </w:r>
      <w:r>
        <w:rPr>
          <w:color w:val="auto"/>
          <w:sz w:val="24"/>
          <w:szCs w:val="24"/>
          <w:highlight w:val="none"/>
        </w:rPr>
        <w:t xml:space="preserve">协议</w:t>
      </w:r>
      <w:r>
        <w:rPr>
          <w:rFonts w:hint="eastAsia"/>
          <w:color w:val="auto"/>
          <w:sz w:val="24"/>
          <w:szCs w:val="24"/>
          <w:highlight w:val="none"/>
        </w:rPr>
        <w:t xml:space="preserve">采购活动的合法代理人，以本单位名义全权处理一切与该项目采购有关的事务。</w:t>
      </w:r>
      <w:r/>
    </w:p>
    <w:p>
      <w:pPr>
        <w:pStyle w:val="1088"/>
        <w:ind w:firstLine="480"/>
        <w:spacing w:line="360" w:lineRule="auto"/>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1088"/>
        <w:ind w:firstLine="480"/>
        <w:spacing w:line="360" w:lineRule="auto"/>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88"/>
        <w:ind w:firstLine="480"/>
        <w:spacing w:line="360" w:lineRule="auto"/>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88"/>
        <w:ind w:firstLine="1680"/>
        <w:spacing w:line="360" w:lineRule="auto"/>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   （加盖CA电子公章）  </w:t>
      </w:r>
      <w:r/>
    </w:p>
    <w:p>
      <w:pPr>
        <w:pStyle w:val="1088"/>
        <w:ind w:firstLine="480"/>
        <w:spacing w:line="360" w:lineRule="auto"/>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88"/>
        <w:ind w:firstLine="480"/>
        <w:spacing w:line="360" w:lineRule="auto"/>
        <w:rPr>
          <w:color w:val="auto"/>
          <w:sz w:val="24"/>
          <w:szCs w:val="24"/>
          <w:highlight w:val="none"/>
        </w:rPr>
      </w:pPr>
      <w:r>
        <w:rPr>
          <w:rFonts w:hint="eastAsia"/>
          <w:color w:val="auto"/>
          <w:sz w:val="24"/>
          <w:szCs w:val="24"/>
          <w:highlight w:val="none"/>
        </w:rPr>
        <w:t xml:space="preserve">          日期：</w:t>
      </w:r>
      <w:bookmarkStart w:id="153" w:name="_Hlt26671380"/>
      <w:r/>
      <w:bookmarkEnd w:id="153"/>
      <w:r/>
      <w:bookmarkStart w:id="154" w:name="_Hlt26955070"/>
      <w:r/>
      <w:bookmarkEnd w:id="154"/>
      <w:r/>
      <w:bookmarkStart w:id="155" w:name="_格式3__银行出具的资信证明"/>
      <w:r/>
      <w:bookmarkEnd w:id="155"/>
      <w:r>
        <w:rPr>
          <w:rFonts w:hint="eastAsia"/>
          <w:color w:val="auto"/>
          <w:sz w:val="24"/>
          <w:szCs w:val="24"/>
          <w:highlight w:val="none"/>
          <w:u w:val="single"/>
        </w:rPr>
        <w:t xml:space="preserve">                                              </w:t>
      </w:r>
      <w:r/>
    </w:p>
    <w:p>
      <w:pPr>
        <w:spacing w:line="360" w:lineRule="auto"/>
        <w:rPr>
          <w:rFonts w:ascii="黑体" w:hAnsi="黑体" w:eastAsia="黑体"/>
          <w:b/>
          <w:bCs/>
          <w:i/>
          <w:color w:val="auto"/>
          <w:sz w:val="32"/>
          <w:szCs w:val="32"/>
          <w:highlight w:val="none"/>
          <w:u w:val="single"/>
        </w:rPr>
      </w:pPr>
      <w:r>
        <w:rPr>
          <w:rFonts w:ascii="宋体" w:hAnsi="宋体"/>
          <w:color w:val="auto"/>
          <w:sz w:val="24"/>
          <w:highlight w:val="none"/>
        </w:rPr>
        <w:br w:type="page" w:clear="all"/>
      </w:r>
      <w:r>
        <w:rPr>
          <w:rFonts w:hint="eastAsia" w:ascii="黑体" w:hAnsi="黑体" w:eastAsia="黑体"/>
          <w:b/>
          <w:bCs/>
          <w:i/>
          <w:color w:val="auto"/>
          <w:sz w:val="32"/>
          <w:szCs w:val="32"/>
          <w:highlight w:val="none"/>
          <w:u w:val="single"/>
        </w:rPr>
        <w:t xml:space="preserve">四、响应函</w:t>
      </w:r>
      <w:r/>
    </w:p>
    <w:p>
      <w:pPr>
        <w:pStyle w:val="1096"/>
        <w:jc w:val="both"/>
        <w:spacing w:before="0" w:after="0"/>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无锡市公共资源交易中心</w:t>
      </w:r>
      <w:r/>
    </w:p>
    <w:p>
      <w:pPr>
        <w:pStyle w:val="1096"/>
        <w:jc w:val="both"/>
        <w:spacing w:before="0" w:after="0"/>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u w:val="single"/>
          <w:lang w:eastAsia="zh-CN"/>
        </w:rPr>
        <w:t xml:space="preserve">JSZC-320200-JZCG-K2026-0095</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号开放式框架协议</w:t>
      </w:r>
      <w:r>
        <w:rPr>
          <w:rFonts w:ascii="宋体" w:hAnsi="宋体"/>
          <w:color w:val="auto"/>
          <w:szCs w:val="21"/>
          <w:highlight w:val="none"/>
        </w:rPr>
        <w:t xml:space="preserve">采购征集</w:t>
      </w:r>
      <w:r>
        <w:rPr>
          <w:rFonts w:hint="eastAsia" w:ascii="宋体" w:hAnsi="宋体"/>
          <w:color w:val="auto"/>
          <w:szCs w:val="21"/>
          <w:highlight w:val="none"/>
        </w:rPr>
        <w:t xml:space="preserve">文件，正式授权下述签字人_____________(姓名)代表我方_____________（供应商的名称），全权处理本项目的有关事宜。</w:t>
      </w:r>
      <w:r/>
    </w:p>
    <w:p>
      <w:pPr>
        <w:pStyle w:val="1096"/>
        <w:jc w:val="both"/>
        <w:spacing w:before="0" w:after="0"/>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96"/>
        <w:jc w:val="both"/>
        <w:spacing w:before="0" w:after="0"/>
        <w:rPr>
          <w:rFonts w:ascii="宋体" w:hAnsi="宋体"/>
          <w:color w:val="auto"/>
          <w:szCs w:val="21"/>
          <w:highlight w:val="none"/>
        </w:rPr>
      </w:pPr>
      <w:r>
        <w:rPr>
          <w:rFonts w:hint="eastAsia" w:ascii="宋体" w:hAnsi="宋体"/>
          <w:color w:val="auto"/>
          <w:szCs w:val="21"/>
          <w:highlight w:val="none"/>
        </w:rPr>
        <w:t xml:space="preserve">1.按</w:t>
      </w:r>
      <w:r>
        <w:rPr>
          <w:rFonts w:ascii="宋体" w:hAnsi="宋体"/>
          <w:color w:val="auto"/>
          <w:szCs w:val="21"/>
          <w:highlight w:val="none"/>
        </w:rPr>
        <w:t xml:space="preserve">征集</w:t>
      </w:r>
      <w:r>
        <w:rPr>
          <w:rFonts w:hint="eastAsia" w:ascii="宋体" w:hAnsi="宋体"/>
          <w:color w:val="auto"/>
          <w:szCs w:val="21"/>
          <w:highlight w:val="none"/>
        </w:rPr>
        <w:t xml:space="preserve">文件规定的各项要求，向采购人提供所需服务（包含与服务相关的货物）。</w:t>
      </w:r>
      <w:r/>
    </w:p>
    <w:p>
      <w:pPr>
        <w:pStyle w:val="1096"/>
        <w:jc w:val="both"/>
        <w:spacing w:before="0" w:after="0"/>
        <w:rPr>
          <w:rFonts w:ascii="宋体" w:hAnsi="宋体"/>
          <w:color w:val="auto"/>
          <w:szCs w:val="21"/>
          <w:highlight w:val="none"/>
        </w:rPr>
      </w:pPr>
      <w:r>
        <w:rPr>
          <w:rFonts w:hint="eastAsia" w:ascii="宋体" w:hAnsi="宋体"/>
          <w:color w:val="auto"/>
          <w:szCs w:val="21"/>
          <w:highlight w:val="none"/>
        </w:rPr>
        <w:t xml:space="preserve">2.我们完全理解采购人不一定将采购合同授予协议价格</w:t>
      </w:r>
      <w:r>
        <w:rPr>
          <w:rFonts w:ascii="宋体" w:hAnsi="宋体"/>
          <w:color w:val="auto"/>
          <w:szCs w:val="21"/>
          <w:highlight w:val="none"/>
        </w:rPr>
        <w:t xml:space="preserve">最低</w:t>
      </w:r>
      <w:r>
        <w:rPr>
          <w:rFonts w:hint="eastAsia" w:ascii="宋体" w:hAnsi="宋体"/>
          <w:color w:val="auto"/>
          <w:szCs w:val="21"/>
          <w:highlight w:val="none"/>
        </w:rPr>
        <w:t xml:space="preserve">的供应商。</w:t>
      </w:r>
      <w:r/>
    </w:p>
    <w:p>
      <w:pPr>
        <w:pStyle w:val="1096"/>
        <w:jc w:val="both"/>
        <w:spacing w:before="0" w:after="0"/>
        <w:rPr>
          <w:rFonts w:ascii="宋体" w:hAnsi="宋体"/>
          <w:color w:val="auto"/>
          <w:szCs w:val="21"/>
          <w:highlight w:val="none"/>
        </w:rPr>
      </w:pPr>
      <w:r>
        <w:rPr>
          <w:rFonts w:hint="eastAsia" w:ascii="宋体" w:hAnsi="宋体"/>
          <w:color w:val="auto"/>
          <w:szCs w:val="21"/>
          <w:highlight w:val="none"/>
        </w:rPr>
        <w:t xml:space="preserve">3.我们已详细审核全部</w:t>
      </w:r>
      <w:r>
        <w:rPr>
          <w:rFonts w:ascii="宋体" w:hAnsi="宋体"/>
          <w:color w:val="auto"/>
          <w:szCs w:val="21"/>
          <w:highlight w:val="none"/>
        </w:rPr>
        <w:t xml:space="preserve">征集</w:t>
      </w:r>
      <w:r>
        <w:rPr>
          <w:rFonts w:hint="eastAsia" w:ascii="宋体" w:hAnsi="宋体"/>
          <w:color w:val="auto"/>
          <w:szCs w:val="21"/>
          <w:highlight w:val="none"/>
        </w:rPr>
        <w:t xml:space="preserve">文件及其有效补充文件，我们知道必须放弃提出含糊不清或误解问题的权利。</w:t>
      </w:r>
      <w:r/>
    </w:p>
    <w:p>
      <w:pPr>
        <w:pStyle w:val="1096"/>
        <w:jc w:val="both"/>
        <w:spacing w:before="0" w:after="0"/>
        <w:rPr>
          <w:rFonts w:ascii="宋体" w:hAnsi="宋体"/>
          <w:color w:val="auto"/>
          <w:szCs w:val="21"/>
          <w:highlight w:val="none"/>
        </w:rPr>
      </w:pPr>
      <w:r>
        <w:rPr>
          <w:rFonts w:hint="eastAsia" w:ascii="宋体" w:hAnsi="宋体"/>
          <w:color w:val="auto"/>
          <w:szCs w:val="21"/>
          <w:highlight w:val="none"/>
        </w:rPr>
        <w:t xml:space="preserve">4.我们同意从规定的提交申请文件截止时间起遵循本申请文件，并在入围结果公告期届满前均具有约束力。</w:t>
      </w:r>
      <w:r/>
    </w:p>
    <w:p>
      <w:pPr>
        <w:pStyle w:val="1096"/>
        <w:jc w:val="both"/>
        <w:spacing w:before="0" w:after="0"/>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.同意向贵方提供贵方可能另外要求的与本次采购</w:t>
      </w:r>
      <w:r>
        <w:rPr>
          <w:rFonts w:ascii="宋体" w:hAnsi="宋体"/>
          <w:color w:val="auto"/>
          <w:szCs w:val="21"/>
          <w:highlight w:val="none"/>
        </w:rPr>
        <w:t xml:space="preserve">活动</w:t>
      </w:r>
      <w:r>
        <w:rPr>
          <w:rFonts w:hint="eastAsia" w:ascii="宋体" w:hAnsi="宋体"/>
          <w:color w:val="auto"/>
          <w:szCs w:val="21"/>
          <w:highlight w:val="none"/>
        </w:rPr>
        <w:t xml:space="preserve">有关的任何证据或资料，并保证我方已提供和将要提供的文件是真实的、准确的。</w:t>
      </w:r>
      <w:r/>
    </w:p>
    <w:p>
      <w:pPr>
        <w:pStyle w:val="1096"/>
        <w:jc w:val="both"/>
        <w:spacing w:before="0" w:after="0"/>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.一旦我方成为入围</w:t>
      </w:r>
      <w:r>
        <w:rPr>
          <w:rFonts w:ascii="宋体" w:hAnsi="宋体"/>
          <w:color w:val="auto"/>
          <w:szCs w:val="21"/>
          <w:highlight w:val="none"/>
        </w:rPr>
        <w:t xml:space="preserve">供应商</w:t>
      </w:r>
      <w:r>
        <w:rPr>
          <w:rFonts w:hint="eastAsia" w:ascii="宋体" w:hAnsi="宋体"/>
          <w:color w:val="auto"/>
          <w:szCs w:val="21"/>
          <w:highlight w:val="none"/>
        </w:rPr>
        <w:t xml:space="preserve">,我方将根据征集文件的规定，严格履行合同的责任和义务,并保证在采购合同规定的时间完成项目，交付采购人验收、使用。</w:t>
      </w:r>
      <w:r/>
    </w:p>
    <w:p>
      <w:pPr>
        <w:pStyle w:val="1096"/>
        <w:jc w:val="both"/>
        <w:spacing w:before="0" w:after="0"/>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.与本次</w:t>
      </w:r>
      <w:r>
        <w:rPr>
          <w:rFonts w:ascii="宋体" w:hAnsi="宋体"/>
          <w:color w:val="auto"/>
          <w:szCs w:val="21"/>
          <w:highlight w:val="none"/>
        </w:rPr>
        <w:t xml:space="preserve">采购活动</w:t>
      </w:r>
      <w:r>
        <w:rPr>
          <w:rFonts w:hint="eastAsia" w:ascii="宋体" w:hAnsi="宋体"/>
          <w:color w:val="auto"/>
          <w:szCs w:val="21"/>
          <w:highlight w:val="none"/>
        </w:rPr>
        <w:t xml:space="preserve">有关的正式通讯地址为：</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户：</w:t>
      </w:r>
      <w:r/>
    </w:p>
    <w:p>
      <w:pPr>
        <w:pStyle w:val="1096"/>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spacing w:line="360" w:lineRule="auto"/>
        <w:rPr>
          <w:rFonts w:ascii="黑体" w:hAnsi="黑体" w:eastAsia="黑体"/>
          <w:b/>
          <w:bCs/>
          <w:i/>
          <w:color w:val="auto"/>
          <w:sz w:val="32"/>
          <w:szCs w:val="32"/>
          <w:highlight w:val="none"/>
          <w:u w:val="single"/>
        </w:rPr>
      </w:pPr>
      <w:r>
        <w:rPr>
          <w:rFonts w:ascii="宋体" w:hAnsi="宋体"/>
          <w:color w:val="auto"/>
          <w:highlight w:val="none"/>
        </w:rPr>
        <w:br w:type="page" w:clear="all"/>
      </w:r>
      <w:r>
        <w:rPr>
          <w:rFonts w:hint="eastAsia" w:ascii="黑体" w:hAnsi="黑体" w:eastAsia="黑体"/>
          <w:b/>
          <w:bCs/>
          <w:i/>
          <w:color w:val="auto"/>
          <w:sz w:val="32"/>
          <w:szCs w:val="32"/>
          <w:highlight w:val="none"/>
          <w:u w:val="single"/>
        </w:rPr>
        <w:t xml:space="preserve">五、承诺函</w:t>
      </w:r>
      <w:r/>
    </w:p>
    <w:p>
      <w:pPr>
        <w:pStyle w:val="1088"/>
        <w:ind w:firstLine="480"/>
        <w:spacing w:line="360" w:lineRule="auto"/>
        <w:rPr>
          <w:color w:val="auto"/>
          <w:sz w:val="24"/>
          <w:szCs w:val="24"/>
          <w:highlight w:val="none"/>
        </w:rPr>
      </w:pPr>
      <w:r>
        <w:rPr>
          <w:color w:val="auto"/>
          <w:sz w:val="24"/>
          <w:szCs w:val="24"/>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pStyle w:val="108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1.我单位完全响应</w:t>
      </w:r>
      <w:r>
        <w:rPr>
          <w:rFonts w:hint="eastAsia" w:ascii="宋体" w:hAnsi="宋体"/>
          <w:color w:val="auto"/>
          <w:sz w:val="24"/>
          <w:szCs w:val="24"/>
          <w:highlight w:val="none"/>
          <w:lang w:eastAsia="zh-CN"/>
        </w:rPr>
        <w:t xml:space="preserve">JSZC-320200-JZCG-K2026-0095</w:t>
      </w:r>
      <w:r>
        <w:rPr>
          <w:rFonts w:hint="eastAsia" w:ascii="宋体" w:hAnsi="宋体"/>
          <w:color w:val="auto"/>
          <w:sz w:val="24"/>
          <w:szCs w:val="24"/>
          <w:highlight w:val="none"/>
        </w:rPr>
        <w:t xml:space="preserve">号</w:t>
      </w:r>
      <w:r>
        <w:rPr>
          <w:rFonts w:hint="eastAsia" w:ascii="宋体" w:hAnsi="宋体"/>
          <w:b/>
          <w:bCs/>
          <w:color w:val="auto"/>
          <w:sz w:val="24"/>
          <w:szCs w:val="24"/>
          <w:highlight w:val="none"/>
          <w:lang w:eastAsia="zh-CN"/>
        </w:rPr>
        <w:t xml:space="preserve">2027-2028年度无锡市党政机关会议定点场所</w:t>
      </w:r>
      <w:r>
        <w:rPr>
          <w:rFonts w:hint="eastAsia" w:ascii="宋体" w:hAnsi="宋体"/>
          <w:color w:val="auto"/>
          <w:sz w:val="24"/>
          <w:szCs w:val="24"/>
          <w:highlight w:val="none"/>
        </w:rPr>
        <w:t xml:space="preserve">开放式框架协议采购征集文件中所有实质性要求。若我单位入围，在框架协议期内为采购人提供的产品和服务均满足本征集文件的相关技术和商务要求，接受框架协议采购征集文件中所有规定。</w:t>
      </w:r>
      <w:r/>
    </w:p>
    <w:p>
      <w:pPr>
        <w:pStyle w:val="108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2.我单位愿意在整个协议期内按照本项目全部标准要求履行，并能提供全部客房和会议室（场），并优先提供最新房间及会议室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在协议期内不提高协议价格</w:t>
      </w:r>
      <w:r>
        <w:rPr>
          <w:rFonts w:hint="eastAsia" w:ascii="宋体" w:hAnsi="宋体"/>
          <w:color w:val="auto"/>
          <w:sz w:val="24"/>
          <w:szCs w:val="24"/>
          <w:highlight w:val="none"/>
        </w:rPr>
        <w:t xml:space="preserve">。</w:t>
      </w:r>
      <w:r/>
    </w:p>
    <w:p>
      <w:pPr>
        <w:pStyle w:val="108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上述承诺均是真实的、准确的。若有违背，本公司将视为自动放弃本次入围资格。</w:t>
      </w:r>
      <w:r/>
    </w:p>
    <w:p>
      <w:pPr>
        <w:pStyle w:val="1096"/>
        <w:jc w:val="both"/>
        <w:spacing w:before="0" w:after="0"/>
        <w:rPr>
          <w:rFonts w:ascii="宋体" w:hAnsi="宋体"/>
          <w:color w:val="auto"/>
          <w:highlight w:val="none"/>
        </w:rPr>
      </w:pPr>
      <w:r>
        <w:rPr>
          <w:rFonts w:ascii="宋体" w:hAnsi="宋体"/>
          <w:color w:val="auto"/>
          <w:highlight w:val="none"/>
        </w:rPr>
      </w:r>
      <w:r/>
    </w:p>
    <w:p>
      <w:pPr>
        <w:pStyle w:val="1096"/>
        <w:jc w:val="both"/>
        <w:spacing w:before="0" w:after="0"/>
        <w:rPr>
          <w:rFonts w:ascii="宋体" w:hAnsi="宋体"/>
          <w:color w:val="auto"/>
          <w:highlight w:val="none"/>
        </w:rPr>
      </w:pPr>
      <w:r>
        <w:rPr>
          <w:rFonts w:ascii="宋体" w:hAnsi="宋体"/>
          <w:color w:val="auto"/>
          <w:highlight w:val="none"/>
        </w:rPr>
      </w:r>
      <w:r/>
    </w:p>
    <w:p>
      <w:pPr>
        <w:pStyle w:val="1096"/>
        <w:jc w:val="both"/>
        <w:spacing w:before="0" w:after="0"/>
        <w:rPr>
          <w:rFonts w:ascii="宋体" w:hAnsi="宋体"/>
          <w:color w:val="auto"/>
          <w:highlight w:val="none"/>
        </w:rPr>
      </w:pPr>
      <w:r>
        <w:rPr>
          <w:rFonts w:hint="eastAsia" w:ascii="宋体" w:hAnsi="宋体"/>
          <w:color w:val="auto"/>
          <w:highlight w:val="none"/>
        </w:rPr>
        <w:t xml:space="preserve">                                         供应商全称：（加盖CA电子公章）</w:t>
      </w:r>
      <w:r/>
    </w:p>
    <w:p>
      <w:pPr>
        <w:pStyle w:val="1096"/>
        <w:ind w:firstLine="5520"/>
        <w:jc w:val="both"/>
        <w:spacing w:before="0" w:after="0"/>
        <w:rPr>
          <w:rFonts w:ascii="宋体" w:hAnsi="宋体"/>
          <w:color w:val="auto"/>
          <w:highlight w:val="none"/>
        </w:rPr>
      </w:pPr>
      <w:r>
        <w:rPr>
          <w:rFonts w:hint="eastAsia" w:ascii="宋体" w:hAnsi="宋体"/>
          <w:color w:val="auto"/>
          <w:highlight w:val="none"/>
        </w:rPr>
        <w:t xml:space="preserve">日     期：</w:t>
      </w:r>
      <w:r/>
    </w:p>
    <w:p>
      <w:pPr>
        <w:spacing w:line="360" w:lineRule="auto"/>
        <w:rPr>
          <w:rFonts w:ascii="黑体" w:hAnsi="黑体" w:eastAsia="黑体"/>
          <w:b/>
          <w:bCs/>
          <w:i/>
          <w:color w:val="auto"/>
          <w:sz w:val="32"/>
          <w:szCs w:val="32"/>
          <w:highlight w:val="none"/>
          <w:u w:val="single"/>
        </w:rPr>
      </w:pPr>
      <w:r>
        <w:rPr>
          <w:rFonts w:ascii="宋体" w:hAnsi="宋体"/>
          <w:color w:val="auto"/>
          <w:highlight w:val="none"/>
        </w:rPr>
        <w:br w:type="page" w:clear="all"/>
      </w:r>
      <w:r>
        <w:rPr>
          <w:rFonts w:hint="eastAsia" w:ascii="黑体" w:hAnsi="黑体" w:eastAsia="黑体"/>
          <w:b/>
          <w:bCs/>
          <w:i/>
          <w:color w:val="auto"/>
          <w:sz w:val="32"/>
          <w:szCs w:val="32"/>
          <w:highlight w:val="none"/>
          <w:u w:val="single"/>
        </w:rPr>
        <w:t xml:space="preserve">六、响应报价明细表</w:t>
      </w:r>
      <w:r/>
    </w:p>
    <w:p>
      <w:pPr>
        <w:rPr>
          <w:rFonts w:ascii="宋体" w:hAnsi="宋体"/>
          <w:b/>
          <w:bCs/>
          <w:color w:val="auto"/>
          <w:sz w:val="24"/>
          <w:szCs w:val="24"/>
          <w:highlight w:val="none"/>
        </w:rPr>
      </w:pPr>
      <w:r>
        <w:rPr>
          <w:rFonts w:hint="eastAsia" w:ascii="宋体" w:hAnsi="宋体"/>
          <w:color w:val="auto"/>
          <w:sz w:val="24"/>
          <w:szCs w:val="24"/>
          <w:highlight w:val="none"/>
        </w:rPr>
        <w:t xml:space="preserve">以下报价为最高限价，具体会议价格由采购人与定点供应商在最高限价以下商定。</w:t>
      </w:r>
      <w:r/>
    </w:p>
    <w:p>
      <w:pPr>
        <w:spacing w:before="312" w:after="312"/>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（一）分包一填报：</w:t>
      </w:r>
      <w:r>
        <w:rPr>
          <w:rFonts w:ascii="黑体" w:hAnsi="黑体" w:eastAsia="黑体" w:cs="宋体"/>
          <w:bCs/>
          <w:color w:val="auto"/>
          <w:sz w:val="36"/>
          <w:szCs w:val="28"/>
          <w:highlight w:val="none"/>
        </w:rPr>
        <w:t xml:space="preserve"> </w:t>
      </w:r>
      <w:r/>
    </w:p>
    <w:p>
      <w:pPr>
        <w:jc w:val="center"/>
        <w:spacing w:before="312" w:after="312"/>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报价一览表</w:t>
      </w:r>
      <w:r/>
    </w:p>
    <w:p>
      <w:pPr>
        <w:pStyle w:val="1100"/>
        <w:rPr>
          <w:rFonts w:hint="eastAsia" w:ascii="宋体" w:hAnsi="宋体" w:eastAsia="宋体" w:cs="宋体"/>
          <w:color w:val="auto"/>
          <w:highlight w:val="none"/>
          <w:lang w:eastAsia="zh-CN"/>
        </w:rPr>
      </w:pPr>
      <w:r>
        <w:rPr>
          <w:rFonts w:hint="eastAsia" w:eastAsia="宋体"/>
          <w:color w:val="auto"/>
          <w:highlight w:val="none"/>
        </w:rPr>
        <w:t xml:space="preserve">项目编号：</w:t>
      </w:r>
      <w:r>
        <w:rPr>
          <w:rFonts w:hint="eastAsia" w:ascii="宋体" w:hAnsi="宋体" w:eastAsia="宋体" w:cs="宋体"/>
          <w:color w:val="auto"/>
          <w:highlight w:val="none"/>
          <w:lang w:eastAsia="zh-CN"/>
        </w:rPr>
        <w:t xml:space="preserve">JSZC-320200-JZCG-K2026-0095</w:t>
      </w:r>
      <w:r/>
    </w:p>
    <w:tbl>
      <w:tblPr>
        <w:tblStyle w:val="853"/>
        <w:tblW w:w="96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992"/>
        <w:gridCol w:w="4875"/>
      </w:tblGrid>
      <w:tr>
        <w:trPr>
          <w:jc w:val="center"/>
          <w:trHeight w:val="510"/>
        </w:trPr>
        <w:tc>
          <w:tcPr>
            <w:tcW w:w="279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w:t>
            </w:r>
            <w:r/>
          </w:p>
        </w:tc>
        <w:tc>
          <w:tcPr>
            <w:gridSpan w:val="2"/>
            <w:tcW w:w="6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综合</w:t>
            </w:r>
            <w:r>
              <w:rPr>
                <w:rFonts w:ascii="宋体" w:hAnsi="宋体"/>
                <w:color w:val="auto"/>
                <w:sz w:val="24"/>
                <w:szCs w:val="24"/>
                <w:highlight w:val="none"/>
              </w:rPr>
              <w:t xml:space="preserve">报价</w:t>
            </w:r>
            <w:r/>
          </w:p>
        </w:tc>
      </w:tr>
      <w:tr>
        <w:trPr>
          <w:jc w:val="center"/>
          <w:trHeight w:val="1282"/>
        </w:trPr>
        <w:tc>
          <w:tcPr>
            <w:tcW w:w="2791" w:type="dxa"/>
            <w:vAlign w:val="center"/>
            <w:vMerge w:val="restart"/>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2027-2028年度无锡市党政机关会议定点场所框架协议采购</w:t>
            </w:r>
            <w:r/>
          </w:p>
        </w:tc>
        <w:tc>
          <w:tcPr>
            <w:tcW w:w="1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一类</w:t>
            </w:r>
            <w:r>
              <w:rPr>
                <w:rFonts w:hint="eastAsia" w:ascii="宋体" w:hAnsi="宋体"/>
                <w:color w:val="auto"/>
                <w:sz w:val="24"/>
                <w:szCs w:val="24"/>
                <w:highlight w:val="none"/>
              </w:rPr>
              <w:t xml:space="preserve">会议</w:t>
            </w:r>
            <w:r/>
          </w:p>
        </w:tc>
        <w:tc>
          <w:tcPr>
            <w:tcW w:w="4875" w:type="dxa"/>
            <w:vAlign w:val="center"/>
            <w:textDirection w:val="lrTb"/>
            <w:noWrap w:val="false"/>
          </w:tcPr>
          <w:p>
            <w:pPr>
              <w:ind w:right="9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tc>
      </w:tr>
      <w:tr>
        <w:trPr>
          <w:jc w:val="center"/>
          <w:trHeight w:val="1270"/>
        </w:trPr>
        <w:tc>
          <w:tcPr>
            <w:tcW w:w="279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二类</w:t>
            </w:r>
            <w:r>
              <w:rPr>
                <w:rFonts w:hint="eastAsia" w:ascii="宋体" w:hAnsi="宋体"/>
                <w:color w:val="auto"/>
                <w:sz w:val="24"/>
                <w:szCs w:val="24"/>
                <w:highlight w:val="none"/>
              </w:rPr>
              <w:t xml:space="preserve">会议</w:t>
            </w:r>
            <w:r/>
          </w:p>
        </w:tc>
        <w:tc>
          <w:tcPr>
            <w:tcW w:w="4875" w:type="dxa"/>
            <w:vAlign w:val="center"/>
            <w:textDirection w:val="lrTb"/>
            <w:noWrap w:val="false"/>
          </w:tcPr>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tc>
      </w:tr>
      <w:tr>
        <w:trPr>
          <w:jc w:val="center"/>
          <w:trHeight w:val="1417"/>
        </w:trPr>
        <w:tc>
          <w:tcPr>
            <w:tcW w:w="279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三类</w:t>
            </w:r>
            <w:r>
              <w:rPr>
                <w:rFonts w:hint="eastAsia" w:ascii="宋体" w:hAnsi="宋体"/>
                <w:color w:val="auto"/>
                <w:sz w:val="24"/>
                <w:szCs w:val="24"/>
                <w:highlight w:val="none"/>
              </w:rPr>
              <w:t xml:space="preserve">会议</w:t>
            </w:r>
            <w:r/>
          </w:p>
        </w:tc>
        <w:tc>
          <w:tcPr>
            <w:tcW w:w="4875" w:type="dxa"/>
            <w:vAlign w:val="center"/>
            <w:textDirection w:val="lrTb"/>
            <w:noWrap w:val="false"/>
          </w:tcPr>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tc>
      </w:tr>
    </w:tbl>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jc w:val="left"/>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ind w:firstLine="422"/>
        <w:spacing w:line="360" w:lineRule="auto"/>
        <w:widowControl/>
        <w:rPr>
          <w:rFonts w:ascii="宋体" w:hAnsi="宋体" w:cs="宋体"/>
          <w:b/>
          <w:color w:val="auto"/>
          <w:highlight w:val="none"/>
          <w:lang w:val="zh-CN"/>
        </w:rPr>
      </w:pPr>
      <w:r>
        <w:rPr>
          <w:rFonts w:hint="eastAsia" w:ascii="宋体" w:hAnsi="宋体" w:cs="宋体"/>
          <w:b/>
          <w:color w:val="auto"/>
          <w:highlight w:val="none"/>
          <w:lang w:val="zh-CN"/>
        </w:rPr>
        <w:t xml:space="preserve">注：</w:t>
      </w:r>
      <w:r/>
    </w:p>
    <w:p>
      <w:pPr>
        <w:ind w:firstLine="422"/>
        <w:spacing w:line="360" w:lineRule="auto"/>
        <w:widowControl/>
        <w:rPr>
          <w:rFonts w:ascii="宋体" w:hAnsi="宋体" w:cs="宋体"/>
          <w:b/>
          <w:color w:val="auto"/>
          <w:highlight w:val="none"/>
          <w:lang w:val="zh-CN"/>
        </w:rPr>
      </w:pPr>
      <w:r>
        <w:rPr>
          <w:rFonts w:hint="eastAsia" w:ascii="宋体" w:hAnsi="宋体" w:cs="宋体"/>
          <w:b/>
          <w:color w:val="auto"/>
          <w:highlight w:val="none"/>
          <w:lang w:val="zh-CN"/>
        </w:rPr>
        <w:t xml:space="preserve">1. 综合报价上限（会议费综合定额标准）：一类会议费综合定额标准上限：760（元/人.天）；二类会议费综合定额标准上限：650（元/人.天）；三类会议费综合定额标准上限：550（元/人.天）。</w:t>
      </w:r>
      <w:r/>
    </w:p>
    <w:p>
      <w:pPr>
        <w:ind w:firstLine="422"/>
        <w:spacing w:line="360" w:lineRule="auto"/>
        <w:widowControl/>
        <w:rPr>
          <w:rFonts w:ascii="宋体" w:hAnsi="宋体" w:cs="宋体"/>
          <w:b/>
          <w:color w:val="auto"/>
          <w:highlight w:val="none"/>
          <w:lang w:val="zh-CN"/>
        </w:rPr>
      </w:pPr>
      <w:r>
        <w:rPr>
          <w:rFonts w:hint="eastAsia" w:ascii="宋体" w:hAnsi="宋体" w:cs="宋体"/>
          <w:b/>
          <w:color w:val="auto"/>
          <w:highlight w:val="none"/>
          <w:lang w:val="zh-CN"/>
        </w:rPr>
        <w:t xml:space="preserve">2. 以上一类、二类、三类会议的综合报价供应商均须作出明确响应，且各类会议报价不得超过本项目规定的相应定额标准上限，否则申请文件无效。</w:t>
      </w:r>
      <w:r/>
    </w:p>
    <w:p>
      <w:pPr>
        <w:ind w:firstLine="422"/>
        <w:spacing w:line="360" w:lineRule="auto"/>
        <w:widowControl/>
        <w:rPr>
          <w:rFonts w:ascii="宋体" w:hAnsi="宋体" w:cs="宋体"/>
          <w:b/>
          <w:color w:val="auto"/>
          <w:highlight w:val="none"/>
          <w:lang w:val="zh-CN"/>
        </w:rPr>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ascii="宋体" w:hAnsi="宋体" w:cs="宋体"/>
          <w:b/>
          <w:color w:val="auto"/>
          <w:highlight w:val="none"/>
          <w:lang w:val="zh-CN"/>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报价明细表</w:t>
      </w:r>
      <w:r/>
    </w:p>
    <w:p>
      <w:pPr>
        <w:spacing w:line="360" w:lineRule="auto"/>
        <w:rPr>
          <w:rFonts w:hint="eastAsia" w:ascii="黑体" w:eastAsia="宋体"/>
          <w:bCs/>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2027-2028年度无锡市党政机关会议定点场所框架协议采购</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JSZC-320200-JZCG-K2026-0095</w:t>
      </w:r>
      <w:r/>
    </w:p>
    <w:tbl>
      <w:tblPr>
        <w:tblStyle w:val="853"/>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448"/>
        <w:gridCol w:w="448"/>
        <w:gridCol w:w="448"/>
        <w:gridCol w:w="448"/>
        <w:gridCol w:w="448"/>
        <w:gridCol w:w="449"/>
        <w:gridCol w:w="449"/>
        <w:gridCol w:w="449"/>
        <w:gridCol w:w="449"/>
        <w:gridCol w:w="449"/>
        <w:gridCol w:w="449"/>
        <w:gridCol w:w="449"/>
        <w:gridCol w:w="449"/>
        <w:gridCol w:w="449"/>
        <w:gridCol w:w="449"/>
        <w:gridCol w:w="449"/>
        <w:gridCol w:w="449"/>
        <w:gridCol w:w="449"/>
        <w:gridCol w:w="449"/>
      </w:tblGrid>
      <w:tr>
        <w:trPr>
          <w:jc w:val="center"/>
          <w:trHeight w:val="625"/>
        </w:trPr>
        <w:tc>
          <w:tcPr>
            <w:gridSpan w:val="20"/>
            <w:shd w:val="clear" w:color="auto" w:fill="auto"/>
            <w:tcW w:w="567"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党政机关会议定点场所服务能力及协议价格表（格式）</w:t>
            </w:r>
            <w:r/>
          </w:p>
        </w:tc>
      </w:tr>
      <w:tr>
        <w:trPr>
          <w:jc w:val="center"/>
          <w:trHeight w:val="588"/>
        </w:trPr>
        <w:tc>
          <w:tcPr>
            <w:gridSpan w:val="12"/>
            <w:shd w:val="clear" w:color="auto" w:fill="auto"/>
            <w:tcW w:w="567" w:type="dxa"/>
            <w:vAlign w:val="center"/>
            <w:textDirection w:val="lrTb"/>
            <w:noWrap/>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tc>
        <w:tc>
          <w:tcPr>
            <w:gridSpan w:val="8"/>
            <w:shd w:val="clear" w:color="auto" w:fill="auto"/>
            <w:tcW w:w="567" w:type="dxa"/>
            <w:vAlign w:val="center"/>
            <w:textDirection w:val="lrTb"/>
            <w:noWrap/>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tc>
      </w:tr>
      <w:tr>
        <w:trPr>
          <w:jc w:val="center"/>
          <w:trHeight w:val="282"/>
        </w:trPr>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场所坐落行政区域</w:t>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场所名称</w:t>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发票开具单位名称</w:t>
            </w:r>
            <w:r/>
          </w:p>
        </w:tc>
        <w:tc>
          <w:tcPr>
            <w:gridSpan w:val="5"/>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客房(价格：元/天）（含早）</w:t>
            </w:r>
            <w:r/>
          </w:p>
        </w:tc>
        <w:tc>
          <w:tcPr>
            <w:gridSpan w:val="6"/>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会议室（数量：间；价格：元/半天）</w:t>
            </w:r>
            <w:r/>
          </w:p>
        </w:tc>
        <w:tc>
          <w:tcPr>
            <w:gridSpan w:val="2"/>
            <w:shd w:val="clear" w:color="auto" w:fill="auto"/>
            <w:tcW w:w="567"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综合报价(元/人.天）</w:t>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前台预定电话</w:t>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联系人及电话</w:t>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1704"/>
        </w:trPr>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房型</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总间数</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协议间数</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门市价</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协议价</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总间数</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协议间数</w:t>
            </w:r>
            <w:r/>
          </w:p>
        </w:tc>
        <w:tc>
          <w:tcPr>
            <w:shd w:val="clear" w:color="auto" w:fill="ffffff"/>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容纳人数</w:t>
            </w:r>
            <w:r/>
          </w:p>
        </w:tc>
        <w:tc>
          <w:tcPr>
            <w:shd w:val="clear" w:color="auto" w:fill="ffffff"/>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门市价</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协议价</w:t>
            </w:r>
            <w:r/>
          </w:p>
        </w:tc>
        <w:tc>
          <w:tcPr>
            <w:gridSpan w:val="2"/>
            <w:shd w:val="clear" w:color="auto" w:fill="auto"/>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969"/>
        </w:trPr>
        <w:tc>
          <w:tcPr>
            <w:shd w:val="clear" w:color="auto" w:fill="auto"/>
            <w:tcW w:w="567" w:type="dxa"/>
            <w:vAlign w:val="center"/>
            <w:vMerge w:val="restart"/>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间</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大会议室</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56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56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一类会议</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71"/>
        </w:trPr>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标准间</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中会议室</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56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56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二类会议</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601"/>
        </w:trPr>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普通套房</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小会议室</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56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56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三类会议</w:t>
            </w:r>
            <w:r/>
          </w:p>
        </w:tc>
        <w:tc>
          <w:tcPr>
            <w:shd w:val="clear" w:color="auto" w:fill="auto"/>
            <w:tcW w:w="56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t xml:space="preserve">注：1</w:t>
      </w:r>
      <w:r>
        <w:rPr>
          <w:rFonts w:hint="eastAsia" w:ascii="宋体" w:hAnsi="宋体"/>
          <w:color w:val="auto"/>
          <w:highlight w:val="none"/>
        </w:rPr>
        <w:t xml:space="preserve">. </w:t>
      </w:r>
      <w:r>
        <w:rPr>
          <w:rFonts w:ascii="宋体" w:hAnsi="宋体"/>
          <w:color w:val="auto"/>
          <w:highlight w:val="none"/>
        </w:rPr>
        <w:t xml:space="preserve">表中客房、会议室类型不能满足需要时，可以按实际情况进行细化，增加行次。</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 会议定点场所</w:t>
      </w:r>
      <w:r>
        <w:rPr>
          <w:rFonts w:ascii="宋体" w:hAnsi="宋体"/>
          <w:color w:val="auto"/>
          <w:highlight w:val="none"/>
        </w:rPr>
        <w:t xml:space="preserve">名称与发票开具单位名称不一致的，需要填写“发票开具单位名称”。</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 响应单位</w:t>
      </w:r>
      <w:r>
        <w:rPr>
          <w:rFonts w:ascii="宋体" w:hAnsi="宋体"/>
          <w:color w:val="auto"/>
          <w:highlight w:val="none"/>
        </w:rPr>
        <w:t xml:space="preserve">必须如实填报全部房间数量。</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 会议综合报价一栏中所有价格均不得超过限价。</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 各分项</w:t>
      </w:r>
      <w:r>
        <w:rPr>
          <w:rFonts w:ascii="宋体" w:hAnsi="宋体"/>
          <w:color w:val="auto"/>
          <w:highlight w:val="none"/>
        </w:rPr>
        <w:t xml:space="preserve">报价上限</w:t>
      </w:r>
      <w:r>
        <w:rPr>
          <w:rFonts w:hint="eastAsia" w:ascii="宋体" w:hAnsi="宋体"/>
          <w:color w:val="auto"/>
          <w:highlight w:val="none"/>
        </w:rPr>
        <w:t xml:space="preserve">如下</w:t>
      </w:r>
      <w:r>
        <w:rPr>
          <w:rFonts w:ascii="宋体" w:hAnsi="宋体"/>
          <w:color w:val="auto"/>
          <w:highlight w:val="none"/>
        </w:rPr>
        <w:t xml:space="preserve">：</w:t>
      </w:r>
      <w:r>
        <w:rPr>
          <w:rFonts w:hint="eastAsia" w:ascii="宋体" w:hAnsi="宋体"/>
          <w:color w:val="auto"/>
          <w:highlight w:val="none"/>
        </w:rPr>
        <w:t xml:space="preserve">综合报价上限（会议费综合定额标准）：一类会议费综合定额标准上限：760（元/人.天）；二类会议费综合定额标准上限：650（元/人.天）；三类会议费综合定额标准上限：550（元/人.天）。客房标准间（即双人间）价格不高于450元/天（含双早），客房单间价格不高于380元/天（含早）</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普通套房价格由响应单位自行填写，作为备案价格</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6. </w:t>
      </w:r>
      <w:r>
        <w:rPr>
          <w:rFonts w:ascii="宋体" w:hAnsi="宋体"/>
          <w:color w:val="auto"/>
          <w:highlight w:val="none"/>
        </w:rPr>
        <w:t xml:space="preserve">综合报价包括住宿费</w:t>
      </w:r>
      <w:r>
        <w:rPr>
          <w:rFonts w:hint="eastAsia" w:ascii="宋体" w:hAnsi="宋体"/>
          <w:color w:val="auto"/>
          <w:highlight w:val="none"/>
        </w:rPr>
        <w:t xml:space="preserve">（含早餐，早餐份数与房间床位数一致）、</w:t>
      </w:r>
      <w:r>
        <w:rPr>
          <w:rFonts w:hint="eastAsia" w:ascii="宋体" w:hAnsi="宋体"/>
          <w:color w:val="auto"/>
          <w:highlight w:val="none"/>
          <w:lang w:val="en-US" w:eastAsia="zh-CN"/>
        </w:rPr>
        <w:t xml:space="preserve">伙食费、会议室租金</w:t>
      </w:r>
      <w:r>
        <w:rPr>
          <w:rFonts w:hint="eastAsia" w:ascii="宋体" w:hAnsi="宋体"/>
          <w:color w:val="auto"/>
          <w:highlight w:val="none"/>
        </w:rPr>
        <w:t xml:space="preserve">（应包含空调，并配备满足会议使用的音响设备，有多媒体演示设备（电脑、实物投影仪、多媒体投影仪等），灯光等）</w:t>
      </w:r>
      <w:r>
        <w:rPr>
          <w:rFonts w:ascii="宋体" w:hAnsi="宋体"/>
          <w:color w:val="auto"/>
          <w:highlight w:val="none"/>
        </w:rPr>
        <w:t xml:space="preserve">、交通费</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接驳费用，不含差旅费</w:t>
      </w:r>
      <w:r>
        <w:rPr>
          <w:rFonts w:hint="eastAsia" w:ascii="宋体" w:hAnsi="宋体"/>
          <w:color w:val="auto"/>
          <w:highlight w:val="none"/>
          <w:lang w:eastAsia="zh-CN"/>
        </w:rPr>
        <w:t xml:space="preserve">）</w:t>
      </w:r>
      <w:r>
        <w:rPr>
          <w:rFonts w:ascii="宋体" w:hAnsi="宋体"/>
          <w:color w:val="auto"/>
          <w:highlight w:val="none"/>
        </w:rPr>
        <w:t xml:space="preserve">、</w:t>
      </w:r>
      <w:r>
        <w:rPr>
          <w:rFonts w:hint="eastAsia" w:ascii="宋体" w:hAnsi="宋体"/>
          <w:color w:val="auto"/>
          <w:highlight w:val="none"/>
          <w:lang w:val="en-US" w:eastAsia="zh-CN"/>
        </w:rPr>
        <w:t xml:space="preserve">办公用品费、文件印刷</w:t>
      </w:r>
      <w:r>
        <w:rPr>
          <w:rFonts w:ascii="宋体" w:hAnsi="宋体"/>
          <w:color w:val="auto"/>
          <w:highlight w:val="none"/>
        </w:rPr>
        <w:t xml:space="preserve">费、医药费</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线上会议服务费用</w:t>
      </w:r>
      <w:r>
        <w:rPr>
          <w:rFonts w:ascii="宋体" w:hAnsi="宋体"/>
          <w:color w:val="auto"/>
          <w:highlight w:val="none"/>
        </w:rPr>
        <w:t xml:space="preserve">等，实行综合定额控制，在综合定额内据实支付。</w:t>
      </w:r>
      <w:r/>
    </w:p>
    <w:p>
      <w:pPr>
        <w:ind w:firstLine="420"/>
        <w:spacing w:line="360" w:lineRule="auto"/>
        <w:rPr>
          <w:rFonts w:hint="default" w:ascii="宋体" w:hAnsi="宋体" w:eastAsia="宋体"/>
          <w:b/>
          <w:bCs/>
          <w:color w:val="auto"/>
          <w:highlight w:val="none"/>
          <w:lang w:val="en-US" w:eastAsia="zh-CN"/>
        </w:rPr>
      </w:pPr>
      <w:r>
        <w:rPr>
          <w:rFonts w:hint="eastAsia" w:ascii="宋体" w:hAnsi="宋体"/>
          <w:color w:val="auto"/>
          <w:highlight w:val="none"/>
          <w:lang w:val="en-US" w:eastAsia="zh-CN"/>
        </w:rPr>
        <w:t xml:space="preserve">7.会议室规格按大、中、小三种类型区分，其中，大型会议室可容纳200（含）人以上；中型会议室可容纳100（含）—200人；小型会议室可容纳100人以下。</w:t>
      </w:r>
      <w:r>
        <w:rPr>
          <w:rFonts w:hint="eastAsia" w:ascii="宋体" w:hAnsi="宋体"/>
          <w:b/>
          <w:bCs/>
          <w:color w:val="auto"/>
          <w:highlight w:val="none"/>
          <w:u w:val="single"/>
          <w:lang w:val="en-US" w:eastAsia="zh-CN"/>
        </w:rPr>
        <w:t xml:space="preserve">响应单位必须具有至少一间可容纳100（含）人以上会议的专用会议室，</w:t>
      </w:r>
      <w:r>
        <w:rPr>
          <w:rFonts w:hint="eastAsia" w:ascii="宋体" w:hAnsi="宋体"/>
          <w:b/>
          <w:bCs/>
          <w:color w:val="auto"/>
          <w:highlight w:val="none"/>
          <w:u w:val="single"/>
        </w:rPr>
        <w:t xml:space="preserve">未提供或不符合要求的视为无效申请文件</w:t>
      </w:r>
      <w:r>
        <w:rPr>
          <w:rFonts w:hint="eastAsia" w:ascii="宋体" w:hAnsi="宋体"/>
          <w:b/>
          <w:bCs/>
          <w:color w:val="auto"/>
          <w:highlight w:val="none"/>
        </w:rPr>
        <w:t xml:space="preserve">。</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会议定点场所名称：</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发票开具单位名称：</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360" w:lineRule="auto"/>
        <w:rPr>
          <w:rFonts w:ascii="宋体" w:hAnsi="宋体"/>
          <w:color w:val="auto"/>
          <w:sz w:val="24"/>
          <w:szCs w:val="24"/>
          <w:highlight w:val="none"/>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olor w:val="auto"/>
          <w:sz w:val="24"/>
          <w:szCs w:val="24"/>
          <w:highlight w:val="none"/>
        </w:rPr>
      </w:r>
      <w:r/>
    </w:p>
    <w:p>
      <w:pPr>
        <w:spacing w:before="312" w:after="312"/>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（二）分包二填报：</w:t>
      </w:r>
      <w:r/>
    </w:p>
    <w:p>
      <w:pPr>
        <w:ind w:firstLine="200"/>
        <w:jc w:val="center"/>
        <w:spacing w:before="312" w:after="312"/>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2027-2028年度无锡市党政机关会议定点场所框架协议采购</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JSZC-320200-JZCG-K2026-0095</w:t>
      </w:r>
      <w:r/>
    </w:p>
    <w:tbl>
      <w:tblPr>
        <w:tblStyle w:val="853"/>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597"/>
        <w:gridCol w:w="597"/>
        <w:gridCol w:w="597"/>
        <w:gridCol w:w="597"/>
        <w:gridCol w:w="597"/>
        <w:gridCol w:w="597"/>
        <w:gridCol w:w="597"/>
        <w:gridCol w:w="597"/>
        <w:gridCol w:w="597"/>
        <w:gridCol w:w="597"/>
        <w:gridCol w:w="597"/>
        <w:gridCol w:w="597"/>
        <w:gridCol w:w="597"/>
        <w:gridCol w:w="597"/>
      </w:tblGrid>
      <w:tr>
        <w:trPr>
          <w:jc w:val="center"/>
          <w:trHeight w:val="625"/>
        </w:trPr>
        <w:tc>
          <w:tcPr>
            <w:gridSpan w:val="15"/>
            <w:shd w:val="clear" w:color="auto" w:fill="auto"/>
            <w:tcW w:w="851"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党政机关会议定点场所服务能力及协议价格表（格式）</w:t>
            </w:r>
            <w:r/>
          </w:p>
        </w:tc>
      </w:tr>
      <w:tr>
        <w:trPr>
          <w:jc w:val="center"/>
          <w:trHeight w:val="588"/>
        </w:trPr>
        <w:tc>
          <w:tcPr>
            <w:gridSpan w:val="9"/>
            <w:shd w:val="clear" w:color="auto" w:fill="auto"/>
            <w:tcW w:w="851" w:type="dxa"/>
            <w:vAlign w:val="center"/>
            <w:textDirection w:val="lrTb"/>
            <w:noWrap/>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tc>
        <w:tc>
          <w:tcPr>
            <w:gridSpan w:val="6"/>
            <w:shd w:val="clear" w:color="auto" w:fill="auto"/>
            <w:tcW w:w="851" w:type="dxa"/>
            <w:vAlign w:val="center"/>
            <w:textDirection w:val="lrTb"/>
            <w:noWrap/>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tc>
      </w:tr>
      <w:tr>
        <w:trPr>
          <w:jc w:val="center"/>
          <w:trHeight w:val="282"/>
        </w:trPr>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场所</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坐落行政区域</w:t>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场所名称</w:t>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发票开具单位名称</w:t>
            </w:r>
            <w:r/>
          </w:p>
        </w:tc>
        <w:tc>
          <w:tcPr>
            <w:gridSpan w:val="6"/>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会议室（数量：间；</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价格：元/半天）</w:t>
            </w:r>
            <w:r/>
          </w:p>
        </w:tc>
        <w:tc>
          <w:tcPr>
            <w:gridSpan w:val="2"/>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综合报价(元/人.天）</w:t>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前台预定电话</w:t>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联系人及电话</w:t>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1704"/>
        </w:trPr>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总间数</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协议间数</w:t>
            </w:r>
            <w:r/>
          </w:p>
        </w:tc>
        <w:tc>
          <w:tcPr>
            <w:shd w:val="clear" w:color="auto" w:fill="ffffff"/>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容纳人数</w:t>
            </w:r>
            <w:r/>
          </w:p>
        </w:tc>
        <w:tc>
          <w:tcPr>
            <w:shd w:val="clear" w:color="auto" w:fill="ffffff"/>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门市价</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协议价</w:t>
            </w:r>
            <w:r/>
          </w:p>
        </w:tc>
        <w:tc>
          <w:tcPr>
            <w:gridSpan w:val="2"/>
            <w:shd w:val="clear" w:color="auto" w:fill="auto"/>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969"/>
        </w:trPr>
        <w:tc>
          <w:tcPr>
            <w:shd w:val="clear" w:color="auto" w:fill="auto"/>
            <w:tcW w:w="851" w:type="dxa"/>
            <w:vAlign w:val="center"/>
            <w:vMerge w:val="restart"/>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大会议室</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51"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851"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一类会议</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71"/>
        </w:trPr>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中会议室</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51"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851"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二类会议</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601"/>
        </w:trPr>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小会议室</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51"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851"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三类会议</w:t>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85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注：1．表中会议室类型不能满足需要时，可以按实际情况进行细化，增加行次。</w:t>
      </w:r>
      <w:r/>
    </w:p>
    <w:p>
      <w:pPr>
        <w:ind w:firstLine="420"/>
        <w:spacing w:line="360" w:lineRule="auto"/>
        <w:rPr>
          <w:rFonts w:ascii="宋体" w:hAnsi="宋体"/>
          <w:color w:val="auto"/>
          <w:highlight w:val="none"/>
        </w:rPr>
      </w:pPr>
      <w:r>
        <w:rPr>
          <w:rFonts w:hint="eastAsia" w:ascii="宋体" w:hAnsi="宋体"/>
          <w:color w:val="auto"/>
          <w:highlight w:val="none"/>
        </w:rPr>
        <w:t xml:space="preserve">2．会议定点场所名称与发票开具单位名称不一致的，需要填写“发票开具单位名称”。</w:t>
      </w:r>
      <w:r/>
    </w:p>
    <w:p>
      <w:pPr>
        <w:ind w:firstLine="420"/>
        <w:spacing w:line="360" w:lineRule="auto"/>
        <w:rPr>
          <w:rFonts w:ascii="宋体" w:hAnsi="宋体"/>
          <w:color w:val="auto"/>
          <w:highlight w:val="none"/>
        </w:rPr>
      </w:pPr>
      <w:r>
        <w:rPr>
          <w:rFonts w:hint="eastAsia" w:ascii="宋体" w:hAnsi="宋体"/>
          <w:color w:val="auto"/>
          <w:highlight w:val="none"/>
        </w:rPr>
        <w:t xml:space="preserve">3．响应单位必须如实填报全部会议室数量。</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4. 会议综合报价一栏中所有价格均不得超过限价：</w:t>
      </w:r>
      <w:r>
        <w:rPr>
          <w:rFonts w:hint="eastAsia" w:ascii="宋体" w:hAnsi="宋体"/>
          <w:b/>
          <w:bCs/>
          <w:color w:val="auto"/>
          <w:highlight w:val="none"/>
        </w:rPr>
        <w:t xml:space="preserve">一类会议不超过110元/人.天；二类会议不超过100元/人.天；三类会议不超过80元/人.天。</w:t>
      </w:r>
      <w:r/>
    </w:p>
    <w:p>
      <w:pPr>
        <w:ind w:firstLine="420"/>
        <w:spacing w:line="360" w:lineRule="auto"/>
        <w:rPr>
          <w:rFonts w:ascii="宋体" w:hAnsi="宋体"/>
          <w:color w:val="auto"/>
          <w:highlight w:val="none"/>
        </w:rPr>
      </w:pPr>
      <w:r>
        <w:rPr>
          <w:rFonts w:hint="eastAsia" w:ascii="宋体" w:hAnsi="宋体"/>
          <w:color w:val="auto"/>
          <w:highlight w:val="none"/>
        </w:rPr>
        <w:t xml:space="preserve">5．综合报价包括</w:t>
      </w:r>
      <w:r>
        <w:rPr>
          <w:rFonts w:hint="eastAsia" w:ascii="宋体" w:hAnsi="宋体"/>
          <w:color w:val="auto"/>
          <w:highlight w:val="none"/>
          <w:lang w:val="en-US" w:eastAsia="zh-CN"/>
        </w:rPr>
        <w:t xml:space="preserve">会议室租金</w:t>
      </w:r>
      <w:r>
        <w:rPr>
          <w:rFonts w:hint="eastAsia" w:ascii="宋体" w:hAnsi="宋体"/>
          <w:color w:val="auto"/>
          <w:highlight w:val="none"/>
        </w:rPr>
        <w:t xml:space="preserve">（应包含空调，并配备满足会议使用的音响设备，有多媒体演示设备（电脑、实物投影仪、多媒体投影仪等），灯光等）</w:t>
      </w:r>
      <w:r>
        <w:rPr>
          <w:rFonts w:ascii="宋体" w:hAnsi="宋体"/>
          <w:color w:val="auto"/>
          <w:highlight w:val="none"/>
        </w:rPr>
        <w:t xml:space="preserve">、</w:t>
      </w:r>
      <w:r>
        <w:rPr>
          <w:rFonts w:hint="eastAsia" w:ascii="宋体" w:hAnsi="宋体"/>
          <w:color w:val="auto"/>
          <w:highlight w:val="none"/>
          <w:lang w:val="en-US" w:eastAsia="zh-CN"/>
        </w:rPr>
        <w:t xml:space="preserve">办公用品费、文件印刷</w:t>
      </w:r>
      <w:r>
        <w:rPr>
          <w:rFonts w:ascii="宋体" w:hAnsi="宋体"/>
          <w:color w:val="auto"/>
          <w:highlight w:val="none"/>
        </w:rPr>
        <w:t xml:space="preserve">费、医药费</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线上会议服务费用</w:t>
      </w:r>
      <w:r>
        <w:rPr>
          <w:rFonts w:hint="eastAsia" w:ascii="宋体" w:hAnsi="宋体"/>
          <w:color w:val="auto"/>
          <w:highlight w:val="none"/>
        </w:rPr>
        <w:t xml:space="preserve">等，实行综合定额控制，在综合定额内据实支付。</w:t>
      </w:r>
      <w:r/>
    </w:p>
    <w:p>
      <w:pPr>
        <w:ind w:firstLine="420"/>
        <w:spacing w:line="360" w:lineRule="auto"/>
        <w:rPr>
          <w:rFonts w:ascii="宋体" w:hAnsi="宋体"/>
          <w:b/>
          <w:bCs/>
          <w:color w:val="auto"/>
          <w:highlight w:val="none"/>
        </w:rPr>
      </w:pPr>
      <w:r>
        <w:rPr>
          <w:rFonts w:hint="eastAsia" w:ascii="宋体" w:hAnsi="宋体"/>
          <w:b/>
          <w:bCs/>
          <w:color w:val="auto"/>
          <w:highlight w:val="none"/>
        </w:rPr>
        <w:t xml:space="preserve">6. 以上一类、二类、三类会议的综合报价供应商均须作出明确响应，且各类会议报价不得超过本项目规定的相应定额标准上限，否则申请文件无效。</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会议定点场所名称：</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发票开具单位名称：</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spacing w:line="360" w:lineRule="auto"/>
        <w:rPr>
          <w:rFonts w:ascii="黑体" w:hAnsi="黑体" w:eastAsia="黑体"/>
          <w:b/>
          <w:bCs/>
          <w:i/>
          <w:color w:val="auto"/>
          <w:sz w:val="32"/>
          <w:szCs w:val="32"/>
          <w:highlight w:val="none"/>
          <w:u w:val="single"/>
        </w:rPr>
      </w:pPr>
      <w:r>
        <w:rPr>
          <w:rFonts w:hint="eastAsia" w:ascii="宋体" w:hAnsi="宋体"/>
          <w:color w:val="auto"/>
          <w:sz w:val="24"/>
          <w:szCs w:val="24"/>
          <w:highlight w:val="none"/>
        </w:rPr>
        <w:br w:type="page" w:clear="all"/>
      </w:r>
      <w:r>
        <w:rPr>
          <w:rFonts w:hint="eastAsia" w:ascii="黑体" w:hAnsi="黑体" w:eastAsia="黑体"/>
          <w:b/>
          <w:bCs/>
          <w:i/>
          <w:color w:val="auto"/>
          <w:sz w:val="32"/>
          <w:szCs w:val="32"/>
          <w:highlight w:val="none"/>
          <w:u w:val="single"/>
        </w:rPr>
        <w:t xml:space="preserve">七、供应商基本情况一览表</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我们保证以下资料和数据是真实的、正确的，我们同意如贵方要求，可以出示相关证明文件。</w:t>
      </w:r>
      <w:bookmarkStart w:id="156" w:name="_Toc87696362"/>
      <w:r/>
      <w:r/>
    </w:p>
    <w:p>
      <w:pPr>
        <w:spacing w:line="4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1.</w:t>
      </w:r>
      <w:r>
        <w:rPr>
          <w:rFonts w:hint="eastAsia" w:ascii="宋体" w:hAnsi="宋体"/>
          <w:b/>
          <w:color w:val="auto"/>
          <w:sz w:val="32"/>
          <w:szCs w:val="32"/>
          <w:highlight w:val="none"/>
        </w:rPr>
        <w:t xml:space="preserve">供应商</w:t>
      </w:r>
      <w:bookmarkEnd w:id="156"/>
      <w:r>
        <w:rPr>
          <w:rFonts w:hint="eastAsia" w:ascii="宋体" w:hAnsi="宋体"/>
          <w:b/>
          <w:color w:val="auto"/>
          <w:sz w:val="32"/>
          <w:szCs w:val="32"/>
          <w:highlight w:val="none"/>
        </w:rPr>
        <w:t xml:space="preserve">基本信息表</w:t>
      </w:r>
      <w:r/>
    </w:p>
    <w:tbl>
      <w:tblPr>
        <w:tblStyle w:val="853"/>
        <w:tblW w:w="878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127"/>
        <w:gridCol w:w="1975"/>
        <w:gridCol w:w="1778"/>
        <w:gridCol w:w="2909"/>
      </w:tblGrid>
      <w:tr>
        <w:trPr>
          <w:cantSplit/>
          <w:trHeight w:val="567" w:hRule="exact"/>
        </w:trPr>
        <w:tc>
          <w:tcPr>
            <w:tcW w:w="2127"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法定代表人</w:t>
            </w:r>
            <w:r/>
          </w:p>
        </w:tc>
        <w:tc>
          <w:tcPr>
            <w:tcW w:w="1975"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778"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成立日期</w:t>
            </w:r>
            <w:r/>
          </w:p>
        </w:tc>
        <w:tc>
          <w:tcPr>
            <w:tcW w:w="2909" w:type="dxa"/>
            <w:vAlign w:val="bottom"/>
            <w:textDirection w:val="lrTb"/>
            <w:noWrap w:val="false"/>
          </w:tcPr>
          <w:p>
            <w:pPr>
              <w:pStyle w:val="854"/>
              <w:ind w:firstLine="96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年   月   日</w:t>
            </w:r>
            <w:r/>
          </w:p>
        </w:tc>
      </w:tr>
      <w:tr>
        <w:trPr>
          <w:cantSplit/>
          <w:trHeight w:val="567" w:hRule="exact"/>
        </w:trPr>
        <w:tc>
          <w:tcPr>
            <w:tcW w:w="2127"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企业地址</w:t>
            </w:r>
            <w:r/>
          </w:p>
        </w:tc>
        <w:tc>
          <w:tcPr>
            <w:tcW w:w="1975"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778"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注册资本</w:t>
            </w:r>
            <w:r/>
          </w:p>
        </w:tc>
        <w:tc>
          <w:tcPr>
            <w:tcW w:w="2909" w:type="dxa"/>
            <w:vAlign w:val="bottom"/>
            <w:textDirection w:val="lrTb"/>
            <w:noWrap w:val="false"/>
          </w:tcPr>
          <w:p>
            <w:pPr>
              <w:pStyle w:val="854"/>
              <w:ind w:firstLine="192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万元</w:t>
            </w:r>
            <w:r/>
          </w:p>
        </w:tc>
      </w:tr>
      <w:tr>
        <w:trPr>
          <w:cantSplit/>
          <w:trHeight w:val="567" w:hRule="exact"/>
        </w:trPr>
        <w:tc>
          <w:tcPr>
            <w:tcW w:w="2127"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坐落地址</w:t>
            </w:r>
            <w:r/>
          </w:p>
        </w:tc>
        <w:tc>
          <w:tcPr>
            <w:gridSpan w:val="3"/>
            <w:tcW w:w="6662"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7" w:hRule="exact"/>
        </w:trPr>
        <w:tc>
          <w:tcPr>
            <w:tcW w:w="2127" w:type="dxa"/>
            <w:vAlign w:val="bottom"/>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职工人数</w:t>
            </w:r>
            <w:r/>
          </w:p>
        </w:tc>
        <w:tc>
          <w:tcPr>
            <w:gridSpan w:val="3"/>
            <w:tcW w:w="6662" w:type="dxa"/>
            <w:vAlign w:val="bottom"/>
            <w:textDirection w:val="lrTb"/>
            <w:noWrap w:val="false"/>
          </w:tcPr>
          <w:p>
            <w:pPr>
              <w:pStyle w:val="854"/>
              <w:ind w:firstLine="0"/>
              <w:spacing w:line="360" w:lineRule="auto"/>
              <w:rPr>
                <w:rFonts w:ascii="宋体" w:hAnsi="宋体"/>
                <w:color w:val="auto"/>
                <w:sz w:val="24"/>
                <w:szCs w:val="24"/>
                <w:highlight w:val="none"/>
                <w:u w:val="single"/>
                <w:lang w:val="en-US" w:eastAsia="zh-CN"/>
              </w:rPr>
            </w:pPr>
            <w:r>
              <w:rPr>
                <w:rFonts w:ascii="宋体" w:hAnsi="宋体"/>
                <w:color w:val="auto"/>
                <w:sz w:val="24"/>
                <w:szCs w:val="24"/>
                <w:highlight w:val="none"/>
                <w:u w:val="single"/>
                <w:lang w:val="en-US" w:eastAsia="zh-CN"/>
              </w:rPr>
            </w:r>
            <w:r/>
          </w:p>
        </w:tc>
      </w:tr>
      <w:tr>
        <w:trPr>
          <w:cantSplit/>
          <w:trHeight w:val="991" w:hRule="exact"/>
        </w:trPr>
        <w:tc>
          <w:tcPr>
            <w:tcW w:w="2127" w:type="dxa"/>
            <w:vAlign w:val="center"/>
            <w:textDirection w:val="lrTb"/>
            <w:noWrap w:val="false"/>
          </w:tcPr>
          <w:p>
            <w:pPr>
              <w:pStyle w:val="854"/>
              <w:ind w:firstLine="0"/>
              <w:spacing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w:t>
            </w:r>
            <w:r>
              <w:rPr>
                <w:rFonts w:ascii="宋体" w:hAnsi="宋体"/>
                <w:color w:val="auto"/>
                <w:sz w:val="24"/>
                <w:szCs w:val="24"/>
                <w:highlight w:val="none"/>
                <w:lang w:val="en-US" w:eastAsia="zh-CN"/>
              </w:rPr>
              <w:t xml:space="preserve">面积</w:t>
            </w:r>
            <w:r/>
          </w:p>
        </w:tc>
        <w:tc>
          <w:tcPr>
            <w:tcW w:w="1975" w:type="dxa"/>
            <w:vAlign w:val="center"/>
            <w:textDirection w:val="lrTb"/>
            <w:noWrap w:val="false"/>
          </w:tcPr>
          <w:p>
            <w:pPr>
              <w:pStyle w:val="854"/>
              <w:ind w:right="240" w:firstLine="72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平方米</w:t>
            </w:r>
            <w:r/>
          </w:p>
        </w:tc>
        <w:tc>
          <w:tcPr>
            <w:tcW w:w="1778" w:type="dxa"/>
            <w:vAlign w:val="center"/>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其中：</w:t>
            </w:r>
            <w:r/>
          </w:p>
        </w:tc>
        <w:tc>
          <w:tcPr>
            <w:tcW w:w="2909" w:type="dxa"/>
            <w:vAlign w:val="center"/>
            <w:textDirection w:val="lrTb"/>
            <w:noWrap w:val="false"/>
          </w:tcPr>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自有面积</w:t>
            </w:r>
            <w:r>
              <w:rPr>
                <w:rFonts w:ascii="宋体" w:hAnsi="宋体"/>
                <w:color w:val="auto"/>
                <w:sz w:val="24"/>
                <w:szCs w:val="24"/>
                <w:highlight w:val="none"/>
                <w:u w:val="single"/>
                <w:lang w:val="en-US" w:eastAsia="zh-CN"/>
              </w:rPr>
              <w:t xml:space="preserve">      </w:t>
            </w:r>
            <w:r>
              <w:rPr>
                <w:rFonts w:ascii="宋体" w:hAnsi="宋体"/>
                <w:color w:val="auto"/>
                <w:sz w:val="24"/>
                <w:szCs w:val="24"/>
                <w:highlight w:val="none"/>
                <w:lang w:val="en-US" w:eastAsia="zh-CN"/>
              </w:rPr>
              <w:t xml:space="preserve">平方米</w:t>
            </w:r>
            <w:r/>
          </w:p>
          <w:p>
            <w:pPr>
              <w:pStyle w:val="854"/>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承租面积</w:t>
            </w:r>
            <w:r>
              <w:rPr>
                <w:rFonts w:ascii="宋体" w:hAnsi="宋体"/>
                <w:color w:val="auto"/>
                <w:sz w:val="24"/>
                <w:szCs w:val="24"/>
                <w:highlight w:val="none"/>
                <w:u w:val="single"/>
                <w:lang w:val="en-US" w:eastAsia="zh-CN"/>
              </w:rPr>
              <w:t xml:space="preserve">      </w:t>
            </w:r>
            <w:r>
              <w:rPr>
                <w:rFonts w:ascii="宋体" w:hAnsi="宋体"/>
                <w:color w:val="auto"/>
                <w:sz w:val="24"/>
                <w:szCs w:val="24"/>
                <w:highlight w:val="none"/>
                <w:lang w:val="en-US" w:eastAsia="zh-CN"/>
              </w:rPr>
              <w:t xml:space="preserve">平方米</w:t>
            </w:r>
            <w:r/>
          </w:p>
        </w:tc>
      </w:tr>
      <w:tr>
        <w:trPr>
          <w:cantSplit/>
          <w:trHeight w:val="2552"/>
        </w:trPr>
        <w:tc>
          <w:tcPr>
            <w:tcW w:w="2127" w:type="dxa"/>
            <w:vAlign w:val="center"/>
            <w:textDirection w:val="lrTb"/>
            <w:noWrap w:val="false"/>
          </w:tcPr>
          <w:p>
            <w:pPr>
              <w:pStyle w:val="854"/>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单位简</w:t>
            </w:r>
            <w:r>
              <w:rPr>
                <w:rFonts w:hint="eastAsia" w:ascii="宋体" w:hAnsi="宋体"/>
                <w:color w:val="auto"/>
                <w:sz w:val="24"/>
                <w:szCs w:val="24"/>
                <w:highlight w:val="none"/>
                <w:lang w:val="en-US" w:eastAsia="zh-CN"/>
              </w:rPr>
              <w:t xml:space="preserve">介</w:t>
            </w:r>
            <w:r>
              <w:rPr>
                <w:rFonts w:ascii="宋体" w:hAnsi="宋体"/>
                <w:color w:val="auto"/>
                <w:sz w:val="24"/>
                <w:szCs w:val="24"/>
                <w:highlight w:val="none"/>
                <w:lang w:val="en-US" w:eastAsia="zh-CN"/>
              </w:rPr>
              <w:t xml:space="preserve">及内设</w:t>
            </w:r>
            <w:r/>
          </w:p>
          <w:p>
            <w:pPr>
              <w:pStyle w:val="854"/>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机构情况</w:t>
            </w:r>
            <w:r/>
          </w:p>
        </w:tc>
        <w:tc>
          <w:tcPr>
            <w:gridSpan w:val="3"/>
            <w:tcW w:w="6662" w:type="dxa"/>
            <w:vAlign w:val="center"/>
            <w:textDirection w:val="lrTb"/>
            <w:noWrap w:val="false"/>
          </w:tcPr>
          <w:p>
            <w:pPr>
              <w:pStyle w:val="854"/>
              <w:ind w:firstLine="0"/>
              <w:jc w:val="center"/>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2552"/>
        </w:trPr>
        <w:tc>
          <w:tcPr>
            <w:tcW w:w="2127" w:type="dxa"/>
            <w:vAlign w:val="center"/>
            <w:textDirection w:val="lrTb"/>
            <w:noWrap w:val="false"/>
          </w:tcPr>
          <w:p>
            <w:pPr>
              <w:pStyle w:val="854"/>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单位优势及特长</w:t>
            </w:r>
            <w:r/>
          </w:p>
        </w:tc>
        <w:tc>
          <w:tcPr>
            <w:gridSpan w:val="3"/>
            <w:tcW w:w="6662" w:type="dxa"/>
            <w:vAlign w:val="center"/>
            <w:textDirection w:val="lrTb"/>
            <w:noWrap w:val="false"/>
          </w:tcPr>
          <w:p>
            <w:pPr>
              <w:pStyle w:val="854"/>
              <w:ind w:firstLine="0"/>
              <w:jc w:val="center"/>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851" w:hRule="exact"/>
        </w:trPr>
        <w:tc>
          <w:tcPr>
            <w:gridSpan w:val="4"/>
            <w:tcW w:w="8789" w:type="dxa"/>
            <w:vAlign w:val="center"/>
            <w:textDirection w:val="lrTb"/>
            <w:noWrap w:val="false"/>
          </w:tcPr>
          <w:p>
            <w:pPr>
              <w:pStyle w:val="854"/>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其他需要说明的情况：</w:t>
            </w:r>
            <w:r/>
          </w:p>
        </w:tc>
      </w:tr>
    </w:tbl>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highlight w:val="none"/>
        </w:rPr>
      </w:pPr>
      <w:r>
        <w:rPr>
          <w:rFonts w:ascii="宋体" w:hAnsi="宋体"/>
          <w:bCs/>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460" w:lineRule="exact"/>
        <w:rPr>
          <w:rFonts w:ascii="宋体" w:hAnsi="宋体"/>
          <w:b/>
          <w:bCs/>
          <w:color w:val="auto"/>
          <w:sz w:val="32"/>
          <w:szCs w:val="32"/>
          <w:highlight w:val="none"/>
        </w:rPr>
      </w:pPr>
      <w:r>
        <w:rPr>
          <w:rFonts w:ascii="宋体" w:hAnsi="Courier New"/>
          <w:color w:val="auto"/>
          <w:sz w:val="24"/>
          <w:szCs w:val="24"/>
          <w:highlight w:val="none"/>
        </w:rPr>
        <w:br w:type="page" w:clear="all"/>
      </w:r>
      <w:bookmarkStart w:id="157" w:name="_Toc87696364"/>
      <w:r>
        <w:rPr>
          <w:rFonts w:hint="eastAsia" w:ascii="宋体" w:hAnsi="宋体"/>
          <w:b/>
          <w:bCs/>
          <w:color w:val="auto"/>
          <w:sz w:val="32"/>
          <w:szCs w:val="32"/>
          <w:highlight w:val="none"/>
        </w:rPr>
        <w:t xml:space="preserve">2.会议室情况表</w:t>
      </w:r>
      <w:bookmarkEnd w:id="157"/>
      <w:r/>
      <w:r/>
    </w:p>
    <w:tbl>
      <w:tblPr>
        <w:tblStyle w:val="853"/>
        <w:tblW w:w="9837" w:type="dxa"/>
        <w:jc w:val="center"/>
        <w:tblLayout w:type="fixed"/>
        <w:tblCellMar>
          <w:left w:w="108" w:type="dxa"/>
          <w:top w:w="0" w:type="dxa"/>
          <w:right w:w="108" w:type="dxa"/>
          <w:bottom w:w="0" w:type="dxa"/>
        </w:tblCellMar>
        <w:tblLook w:val="04A0" w:firstRow="1" w:lastRow="0" w:firstColumn="1" w:lastColumn="0" w:noHBand="0" w:noVBand="1"/>
      </w:tblPr>
      <w:tblGrid>
        <w:gridCol w:w="518"/>
        <w:gridCol w:w="1035"/>
        <w:gridCol w:w="1140"/>
        <w:gridCol w:w="1440"/>
        <w:gridCol w:w="1215"/>
        <w:gridCol w:w="1395"/>
        <w:gridCol w:w="1740"/>
        <w:gridCol w:w="1354"/>
      </w:tblGrid>
      <w:tr>
        <w:trPr>
          <w:jc w:val="center"/>
          <w:trHeight w:val="1217" w:hRule="exact"/>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ascii="宋体" w:hAnsi="宋体" w:cs="宋体"/>
                <w:b/>
                <w:color w:val="auto"/>
                <w:sz w:val="24"/>
                <w:szCs w:val="24"/>
                <w:highlight w:val="none"/>
              </w:rPr>
            </w:pPr>
            <w:r>
              <w:rPr>
                <w:rFonts w:ascii="宋体" w:hAnsi="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会议室类型</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会议室名称</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建筑面积（平</w:t>
            </w:r>
            <w:r>
              <w:rPr>
                <w:rFonts w:hint="eastAsia" w:ascii="宋体" w:hAnsi="宋体" w:cs="宋体"/>
                <w:b/>
                <w:color w:val="auto"/>
                <w:sz w:val="24"/>
                <w:szCs w:val="24"/>
                <w:highlight w:val="none"/>
                <w:lang w:val="en-US" w:eastAsia="zh-CN"/>
              </w:rPr>
              <w:t xml:space="preserve">方</w:t>
            </w:r>
            <w:r>
              <w:rPr>
                <w:rFonts w:hint="eastAsia" w:ascii="宋体" w:hAnsi="宋体" w:cs="宋体"/>
                <w:b/>
                <w:color w:val="auto"/>
                <w:sz w:val="24"/>
                <w:szCs w:val="24"/>
                <w:highlight w:val="none"/>
              </w:rPr>
              <w:t xml:space="preserve">米）</w:t>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使用面积</w:t>
            </w:r>
            <w:r>
              <w:rPr>
                <w:rFonts w:hint="eastAsia" w:ascii="宋体" w:hAnsi="宋体"/>
                <w:b/>
                <w:color w:val="auto"/>
                <w:sz w:val="24"/>
                <w:szCs w:val="24"/>
                <w:highlight w:val="none"/>
              </w:rPr>
              <w:t xml:space="preserve">(</w:t>
            </w:r>
            <w:r>
              <w:rPr>
                <w:rFonts w:hint="eastAsia" w:ascii="宋体" w:hAnsi="宋体" w:cs="宋体"/>
                <w:b/>
                <w:color w:val="auto"/>
                <w:sz w:val="24"/>
                <w:szCs w:val="24"/>
                <w:highlight w:val="none"/>
              </w:rPr>
              <w:t xml:space="preserve">平</w:t>
            </w:r>
            <w:r>
              <w:rPr>
                <w:rFonts w:hint="eastAsia" w:ascii="宋体" w:hAnsi="宋体" w:cs="宋体"/>
                <w:b/>
                <w:color w:val="auto"/>
                <w:sz w:val="24"/>
                <w:szCs w:val="24"/>
                <w:highlight w:val="none"/>
                <w:lang w:val="en-US" w:eastAsia="zh-CN"/>
              </w:rPr>
              <w:t xml:space="preserve">方</w:t>
            </w:r>
            <w:r>
              <w:rPr>
                <w:rFonts w:hint="eastAsia" w:ascii="宋体" w:hAnsi="宋体" w:cs="宋体"/>
                <w:b/>
                <w:color w:val="auto"/>
                <w:sz w:val="24"/>
                <w:szCs w:val="24"/>
                <w:highlight w:val="none"/>
              </w:rPr>
              <w:t xml:space="preserve">米</w:t>
            </w:r>
            <w:r>
              <w:rPr>
                <w:rFonts w:hint="eastAsia" w:ascii="宋体" w:hAnsi="宋体"/>
                <w:b/>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容纳人数</w:t>
            </w:r>
            <w:r>
              <w:rPr>
                <w:rFonts w:hint="eastAsia" w:ascii="宋体" w:hAnsi="宋体"/>
                <w:b/>
                <w:color w:val="auto"/>
                <w:sz w:val="24"/>
                <w:szCs w:val="24"/>
                <w:highlight w:val="none"/>
              </w:rPr>
              <w:t xml:space="preserve">(</w:t>
            </w:r>
            <w:r>
              <w:rPr>
                <w:rFonts w:hint="eastAsia" w:ascii="宋体" w:hAnsi="宋体" w:cs="宋体"/>
                <w:b/>
                <w:color w:val="auto"/>
                <w:sz w:val="24"/>
                <w:szCs w:val="24"/>
                <w:highlight w:val="none"/>
              </w:rPr>
              <w:t xml:space="preserve">人</w:t>
            </w:r>
            <w:r>
              <w:rPr>
                <w:rFonts w:hint="eastAsia" w:ascii="宋体" w:hAnsi="宋体"/>
                <w:b/>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人均净使用面积（平米）</w:t>
            </w:r>
            <w:r/>
          </w:p>
        </w:tc>
        <w:tc>
          <w:tcPr>
            <w:tcBorders>
              <w:top w:val="single" w:color="000000" w:sz="4" w:space="0"/>
              <w:left w:val="none" w:color="000000" w:sz="4" w:space="0"/>
              <w:bottom w:val="single" w:color="000000" w:sz="4" w:space="0"/>
              <w:right w:val="single" w:color="000000" w:sz="4" w:space="0"/>
            </w:tcBorders>
            <w:tcW w:w="1354" w:type="dxa"/>
            <w:vAlign w:val="center"/>
            <w:textDirection w:val="lrTb"/>
            <w:noWrap w:val="false"/>
          </w:tcPr>
          <w:p>
            <w:pPr>
              <w:jc w:val="center"/>
              <w:widowControl/>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座位形式</w:t>
            </w:r>
            <w:r/>
          </w:p>
        </w:tc>
      </w:tr>
      <w:tr>
        <w:trPr>
          <w:jc w:val="center"/>
          <w:trHeight w:val="503" w:hRule="exact"/>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5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03" w:hRule="exact"/>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5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03" w:hRule="exact"/>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5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03" w:hRule="exact"/>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5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58" w:hRule="exact"/>
        </w:trPr>
        <w:tc>
          <w:tcPr>
            <w:tcBorders>
              <w:top w:val="none" w:color="000000" w:sz="4" w:space="0"/>
              <w:left w:val="single" w:color="000000" w:sz="4" w:space="0"/>
              <w:bottom w:val="single" w:color="000000" w:sz="8" w:space="0"/>
              <w:right w:val="single" w:color="000000" w:sz="4" w:space="0"/>
            </w:tcBorders>
            <w:tcW w:w="51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8" w:space="0"/>
              <w:right w:val="single" w:color="000000" w:sz="4" w:space="0"/>
            </w:tcBorders>
            <w:tcW w:w="103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default" w:ascii="宋体" w:hAnsi="宋体"/>
                <w:color w:val="auto"/>
                <w:sz w:val="24"/>
                <w:szCs w:val="24"/>
                <w:highlight w:val="none"/>
                <w:lang w:val="en-US"/>
              </w:rPr>
            </w:pPr>
            <w:r>
              <w:rPr>
                <w:rFonts w:hint="default" w:ascii="宋体" w:hAnsi="宋体"/>
                <w:color w:val="auto"/>
                <w:sz w:val="24"/>
                <w:szCs w:val="24"/>
                <w:highlight w:val="none"/>
                <w:lang w:val="en-US"/>
              </w:rPr>
            </w:r>
            <w:r/>
          </w:p>
        </w:tc>
        <w:tc>
          <w:tcPr>
            <w:tcBorders>
              <w:top w:val="none" w:color="000000" w:sz="4" w:space="0"/>
              <w:left w:val="none" w:color="000000" w:sz="4" w:space="0"/>
              <w:bottom w:val="single" w:color="000000" w:sz="4" w:space="0"/>
              <w:right w:val="single" w:color="000000" w:sz="4" w:space="0"/>
            </w:tcBorders>
            <w:tcW w:w="135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460" w:lineRule="exact"/>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2.</w:t>
      </w:r>
      <w:r>
        <w:rPr>
          <w:rFonts w:hint="eastAsia" w:ascii="宋体" w:hAnsi="宋体"/>
          <w:b w:val="0"/>
          <w:bCs w:val="0"/>
          <w:color w:val="auto"/>
          <w:sz w:val="28"/>
          <w:szCs w:val="28"/>
          <w:highlight w:val="none"/>
          <w:lang w:val="en-US" w:eastAsia="zh-CN"/>
        </w:rPr>
        <w:t xml:space="preserve">1</w:t>
      </w:r>
      <w:r>
        <w:rPr>
          <w:rFonts w:hint="eastAsia" w:ascii="宋体" w:hAnsi="宋体"/>
          <w:b w:val="0"/>
          <w:bCs w:val="0"/>
          <w:color w:val="auto"/>
          <w:sz w:val="28"/>
          <w:szCs w:val="28"/>
          <w:highlight w:val="none"/>
        </w:rPr>
        <w:t xml:space="preserve">会议室</w:t>
      </w:r>
      <w:r>
        <w:rPr>
          <w:rFonts w:hint="eastAsia" w:ascii="宋体" w:hAnsi="宋体"/>
          <w:b w:val="0"/>
          <w:bCs w:val="0"/>
          <w:color w:val="auto"/>
          <w:sz w:val="28"/>
          <w:szCs w:val="28"/>
          <w:highlight w:val="none"/>
          <w:lang w:val="en-US" w:eastAsia="zh-CN"/>
        </w:rPr>
        <w:t xml:space="preserve">设备</w:t>
      </w:r>
      <w:r>
        <w:rPr>
          <w:rFonts w:hint="eastAsia" w:ascii="宋体" w:hAnsi="宋体"/>
          <w:b w:val="0"/>
          <w:bCs w:val="0"/>
          <w:color w:val="auto"/>
          <w:sz w:val="28"/>
          <w:szCs w:val="28"/>
          <w:highlight w:val="none"/>
        </w:rPr>
        <w:t xml:space="preserve">情况表</w:t>
      </w:r>
      <w:r/>
    </w:p>
    <w:tbl>
      <w:tblPr>
        <w:tblStyle w:val="853"/>
        <w:tblW w:w="9775" w:type="dxa"/>
        <w:jc w:val="center"/>
        <w:tblLayout w:type="fixed"/>
        <w:tblCellMar>
          <w:left w:w="108" w:type="dxa"/>
          <w:top w:w="0" w:type="dxa"/>
          <w:right w:w="108" w:type="dxa"/>
          <w:bottom w:w="0" w:type="dxa"/>
        </w:tblCellMar>
        <w:tblLook w:val="04A0" w:firstRow="1" w:lastRow="0" w:firstColumn="1" w:lastColumn="0" w:noHBand="0" w:noVBand="1"/>
      </w:tblPr>
      <w:tblGrid>
        <w:gridCol w:w="493"/>
        <w:gridCol w:w="774"/>
        <w:gridCol w:w="720"/>
        <w:gridCol w:w="765"/>
        <w:gridCol w:w="930"/>
        <w:gridCol w:w="1722"/>
        <w:gridCol w:w="1199"/>
        <w:gridCol w:w="1199"/>
        <w:gridCol w:w="894"/>
        <w:gridCol w:w="1079"/>
      </w:tblGrid>
      <w:tr>
        <w:trPr>
          <w:jc w:val="center"/>
          <w:trHeight w:val="1539" w:hRule="exact"/>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widowControl/>
              <w:rPr>
                <w:rFonts w:ascii="宋体" w:hAnsi="宋体" w:cs="宋体"/>
                <w:b/>
                <w:color w:val="auto"/>
                <w:sz w:val="24"/>
                <w:szCs w:val="24"/>
                <w:highlight w:val="none"/>
              </w:rPr>
            </w:pPr>
            <w:r>
              <w:rPr>
                <w:rFonts w:ascii="宋体" w:hAnsi="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会议室类型</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会议室名称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同声翻译</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投影机、幕布</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LED屏幕（屏幕尺寸、安装方式等）</w:t>
            </w:r>
            <w:r/>
          </w:p>
        </w:tc>
        <w:tc>
          <w:tcPr>
            <w:tcBorders>
              <w:top w:val="singl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音响、话筒</w:t>
            </w:r>
            <w:r/>
          </w:p>
        </w:tc>
        <w:tc>
          <w:tcPr>
            <w:tcBorders>
              <w:top w:val="singl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视频会议</w:t>
            </w:r>
            <w:r>
              <w:rPr>
                <w:rFonts w:hint="eastAsia" w:ascii="宋体" w:hAnsi="宋体" w:cs="宋体"/>
                <w:b/>
                <w:color w:val="auto"/>
                <w:sz w:val="24"/>
                <w:szCs w:val="24"/>
                <w:highlight w:val="none"/>
                <w:lang w:val="en-US" w:eastAsia="zh-CN"/>
              </w:rPr>
              <w:t xml:space="preserve">设备</w:t>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因特网</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其他现代化设施</w:t>
            </w:r>
            <w:r/>
          </w:p>
        </w:tc>
      </w:tr>
      <w:tr>
        <w:trPr>
          <w:jc w:val="center"/>
          <w:trHeight w:val="498" w:hRule="exact"/>
        </w:trPr>
        <w:tc>
          <w:tcPr>
            <w:tcBorders>
              <w:top w:val="non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8" w:hRule="exact"/>
        </w:trPr>
        <w:tc>
          <w:tcPr>
            <w:tcBorders>
              <w:top w:val="non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8" w:hRule="exact"/>
        </w:trPr>
        <w:tc>
          <w:tcPr>
            <w:tcBorders>
              <w:top w:val="non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8" w:hRule="exact"/>
        </w:trPr>
        <w:tc>
          <w:tcPr>
            <w:tcBorders>
              <w:top w:val="non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630" w:hRule="exact"/>
        </w:trPr>
        <w:tc>
          <w:tcPr>
            <w:tcBorders>
              <w:top w:val="none" w:color="000000" w:sz="4" w:space="0"/>
              <w:left w:val="single" w:color="000000" w:sz="4" w:space="0"/>
              <w:bottom w:val="single" w:color="000000" w:sz="8" w:space="0"/>
              <w:right w:val="single" w:color="000000" w:sz="4" w:space="0"/>
            </w:tcBorders>
            <w:tcW w:w="493"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8" w:space="0"/>
              <w:right w:val="single" w:color="000000" w:sz="4" w:space="0"/>
            </w:tcBorders>
            <w:tcW w:w="774"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注：1.</w:t>
      </w:r>
      <w:r>
        <w:rPr>
          <w:rFonts w:ascii="宋体" w:hAnsi="宋体"/>
          <w:color w:val="auto"/>
          <w:highlight w:val="none"/>
        </w:rPr>
        <w:t xml:space="preserve"> 会议室类型</w:t>
      </w:r>
      <w:r>
        <w:rPr>
          <w:rFonts w:hint="eastAsia" w:ascii="宋体" w:hAnsi="宋体"/>
          <w:color w:val="auto"/>
          <w:highlight w:val="none"/>
        </w:rPr>
        <w:t xml:space="preserve">为</w:t>
      </w:r>
      <w:r>
        <w:rPr>
          <w:rFonts w:ascii="宋体" w:hAnsi="宋体"/>
          <w:b/>
          <w:color w:val="auto"/>
          <w:highlight w:val="none"/>
          <w:u w:val="single"/>
        </w:rPr>
        <w:t xml:space="preserve">大会议室</w:t>
      </w:r>
      <w:r>
        <w:rPr>
          <w:rFonts w:ascii="宋体" w:hAnsi="宋体"/>
          <w:color w:val="auto"/>
          <w:highlight w:val="none"/>
        </w:rPr>
        <w:t xml:space="preserve">、</w:t>
      </w:r>
      <w:r>
        <w:rPr>
          <w:rFonts w:ascii="宋体" w:hAnsi="宋体"/>
          <w:b/>
          <w:color w:val="auto"/>
          <w:highlight w:val="none"/>
          <w:u w:val="single"/>
        </w:rPr>
        <w:t xml:space="preserve">中会议室</w:t>
      </w:r>
      <w:r>
        <w:rPr>
          <w:rFonts w:ascii="宋体" w:hAnsi="宋体"/>
          <w:color w:val="auto"/>
          <w:highlight w:val="none"/>
        </w:rPr>
        <w:t xml:space="preserve">、</w:t>
      </w:r>
      <w:r>
        <w:rPr>
          <w:rFonts w:ascii="宋体" w:hAnsi="宋体"/>
          <w:b/>
          <w:color w:val="auto"/>
          <w:highlight w:val="none"/>
          <w:u w:val="single"/>
        </w:rPr>
        <w:t xml:space="preserve">小会议室</w:t>
      </w:r>
      <w:r>
        <w:rPr>
          <w:rFonts w:hint="eastAsia" w:ascii="宋体" w:hAnsi="宋体"/>
          <w:color w:val="auto"/>
          <w:highlight w:val="none"/>
        </w:rPr>
        <w:t xml:space="preserve">。</w:t>
      </w:r>
      <w:r>
        <w:rPr>
          <w:rFonts w:hint="eastAsia" w:ascii="宋体" w:hAnsi="宋体"/>
          <w:color w:val="auto"/>
          <w:highlight w:val="none"/>
          <w:lang w:val="en-US" w:eastAsia="zh-CN"/>
        </w:rPr>
        <w:t xml:space="preserve">大型会议室可容纳200（含）人以上；中型会议室可容纳100（含）-200人；小型会议室可容纳100人以下。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 表格不够可自行增行。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 大会议室（200平方</w:t>
      </w:r>
      <w:r>
        <w:rPr>
          <w:rFonts w:hint="eastAsia" w:ascii="宋体" w:hAnsi="宋体" w:cs="宋体"/>
          <w:color w:val="auto"/>
          <w:highlight w:val="none"/>
          <w:lang w:val="en-US" w:eastAsia="zh-CN"/>
        </w:rPr>
        <w:t xml:space="preserve">米</w:t>
      </w:r>
      <w:r>
        <w:rPr>
          <w:rFonts w:hint="eastAsia" w:ascii="宋体" w:hAnsi="宋体" w:cs="宋体"/>
          <w:color w:val="auto"/>
          <w:highlight w:val="none"/>
        </w:rPr>
        <w:t xml:space="preserve">以上（含））人数多少以</w:t>
      </w:r>
      <w:r>
        <w:rPr>
          <w:rFonts w:hint="eastAsia" w:ascii="宋体" w:hAnsi="宋体" w:cs="宋体"/>
          <w:b/>
          <w:bCs/>
          <w:i w:val="0"/>
          <w:iCs w:val="0"/>
          <w:color w:val="auto"/>
          <w:highlight w:val="none"/>
          <w:u w:val="single"/>
        </w:rPr>
        <w:t xml:space="preserve">课桌式</w:t>
      </w:r>
      <w:r>
        <w:rPr>
          <w:rFonts w:hint="eastAsia" w:ascii="宋体" w:hAnsi="宋体" w:cs="宋体"/>
          <w:color w:val="auto"/>
          <w:highlight w:val="none"/>
        </w:rPr>
        <w:t xml:space="preserve">计算。</w:t>
      </w:r>
      <w:r/>
    </w:p>
    <w:p>
      <w:pPr>
        <w:ind w:firstLine="420"/>
        <w:spacing w:line="360" w:lineRule="auto"/>
        <w:rPr>
          <w:rFonts w:hint="eastAsia" w:ascii="宋体" w:hAnsi="宋体" w:cs="宋体"/>
          <w:color w:val="auto"/>
          <w:highlight w:val="none"/>
        </w:rPr>
      </w:pPr>
      <w:r>
        <w:rPr>
          <w:rFonts w:hint="eastAsia" w:ascii="宋体" w:hAnsi="宋体"/>
          <w:color w:val="auto"/>
          <w:highlight w:val="none"/>
        </w:rPr>
        <w:t xml:space="preserve">4. 每个会议室必须</w:t>
      </w:r>
      <w:r>
        <w:rPr>
          <w:rFonts w:hint="eastAsia" w:ascii="宋体" w:hAnsi="宋体"/>
          <w:b/>
          <w:bCs/>
          <w:color w:val="auto"/>
          <w:highlight w:val="none"/>
          <w:u w:val="single"/>
          <w:lang w:val="en-US" w:eastAsia="zh-CN"/>
        </w:rPr>
        <w:t xml:space="preserve">出具至少一张会议室整体的现场平面图（标明座距、位距）</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并以文字形式</w:t>
      </w:r>
      <w:r>
        <w:rPr>
          <w:rFonts w:hint="eastAsia" w:ascii="宋体" w:hAnsi="宋体"/>
          <w:b/>
          <w:bCs/>
          <w:color w:val="auto"/>
          <w:highlight w:val="none"/>
          <w:u w:val="single"/>
        </w:rPr>
        <w:t xml:space="preserve">说明会议室实际情况。未提供或不符合要求的视为无效申请文件</w:t>
      </w:r>
      <w:r>
        <w:rPr>
          <w:rFonts w:hint="eastAsia" w:ascii="宋体" w:hAnsi="宋体" w:cs="宋体"/>
          <w:b/>
          <w:bCs/>
          <w:color w:val="auto"/>
          <w:highlight w:val="none"/>
          <w:u w:val="singl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rPr>
          <w:rFonts w:hint="eastAsia" w:ascii="宋体" w:hAnsi="宋体"/>
          <w:b/>
          <w:bCs/>
          <w:color w:val="auto"/>
          <w:sz w:val="32"/>
          <w:szCs w:val="32"/>
          <w:highlight w:val="none"/>
        </w:rPr>
      </w:pPr>
      <w:r/>
      <w:bookmarkStart w:id="158" w:name="_Toc87696365"/>
      <w:r>
        <w:rPr>
          <w:rFonts w:hint="eastAsia" w:ascii="宋体" w:hAnsi="宋体"/>
          <w:b/>
          <w:bCs/>
          <w:color w:val="auto"/>
          <w:sz w:val="32"/>
          <w:szCs w:val="32"/>
          <w:highlight w:val="none"/>
        </w:rPr>
        <w:br w:type="page" w:clear="all"/>
      </w:r>
      <w:r/>
    </w:p>
    <w:p>
      <w:pPr>
        <w:rPr>
          <w:rFonts w:ascii="宋体" w:hAnsi="宋体"/>
          <w:b/>
          <w:bCs/>
          <w:color w:val="auto"/>
          <w:sz w:val="32"/>
          <w:szCs w:val="32"/>
          <w:highlight w:val="none"/>
        </w:rPr>
      </w:pPr>
      <w:r>
        <w:rPr>
          <w:rFonts w:hint="eastAsia" w:ascii="宋体" w:hAnsi="宋体"/>
          <w:b/>
          <w:bCs/>
          <w:color w:val="auto"/>
          <w:sz w:val="32"/>
          <w:szCs w:val="32"/>
          <w:highlight w:val="none"/>
        </w:rPr>
        <w:t xml:space="preserve">3.客房情况表</w:t>
      </w:r>
      <w:bookmarkEnd w:id="158"/>
      <w:r/>
      <w:r/>
    </w:p>
    <w:tbl>
      <w:tblPr>
        <w:tblStyle w:val="853"/>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434"/>
        <w:gridCol w:w="1401"/>
        <w:gridCol w:w="1417"/>
        <w:gridCol w:w="1843"/>
        <w:gridCol w:w="1843"/>
      </w:tblGrid>
      <w:tr>
        <w:trPr>
          <w:trHeight w:val="858"/>
        </w:trPr>
        <w:tc>
          <w:tcPr>
            <w:tcW w:w="851"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1434" w:type="dxa"/>
            <w:vAlign w:val="center"/>
            <w:textDirection w:val="lrTb"/>
            <w:noWrap w:val="false"/>
          </w:tcPr>
          <w:p>
            <w:pPr>
              <w:jc w:val="center"/>
              <w:rPr>
                <w:rFonts w:ascii="宋体" w:hAnsi="宋体"/>
                <w:b/>
                <w:color w:val="auto"/>
                <w:sz w:val="24"/>
                <w:szCs w:val="24"/>
                <w:highlight w:val="none"/>
              </w:rPr>
            </w:pPr>
            <w:r>
              <w:rPr>
                <w:rFonts w:hint="eastAsia" w:ascii="宋体" w:hAnsi="宋体"/>
                <w:b/>
                <w:bCs/>
                <w:color w:val="auto"/>
                <w:sz w:val="24"/>
                <w:szCs w:val="24"/>
                <w:highlight w:val="none"/>
              </w:rPr>
              <w:t xml:space="preserve">房间</w:t>
            </w:r>
            <w:r>
              <w:rPr>
                <w:rFonts w:ascii="宋体" w:hAnsi="宋体"/>
                <w:b/>
                <w:bCs/>
                <w:color w:val="auto"/>
                <w:sz w:val="24"/>
                <w:szCs w:val="24"/>
                <w:highlight w:val="none"/>
              </w:rPr>
              <w:t xml:space="preserve">类型</w:t>
            </w:r>
            <w:r/>
          </w:p>
        </w:tc>
        <w:tc>
          <w:tcPr>
            <w:tcW w:w="1401" w:type="dxa"/>
            <w:vAlign w:val="center"/>
            <w:textDirection w:val="lrTb"/>
            <w:noWrap w:val="false"/>
          </w:tcPr>
          <w:p>
            <w:pPr>
              <w:jc w:val="center"/>
              <w:tabs>
                <w:tab w:val="left" w:pos="6252" w:leader="none"/>
              </w:tabs>
              <w:rPr>
                <w:rFonts w:ascii="宋体" w:hAnsi="宋体"/>
                <w:b/>
                <w:color w:val="auto"/>
                <w:sz w:val="24"/>
                <w:szCs w:val="24"/>
                <w:highlight w:val="none"/>
              </w:rPr>
            </w:pPr>
            <w:r>
              <w:rPr>
                <w:rFonts w:ascii="宋体" w:hAnsi="宋体"/>
                <w:b/>
                <w:bCs/>
                <w:color w:val="auto"/>
                <w:sz w:val="24"/>
                <w:szCs w:val="24"/>
                <w:highlight w:val="none"/>
              </w:rPr>
              <w:t xml:space="preserve">数量</w:t>
            </w:r>
            <w:r>
              <w:rPr>
                <w:rFonts w:hint="eastAsia" w:ascii="宋体" w:hAnsi="宋体"/>
                <w:b/>
                <w:bCs/>
                <w:color w:val="auto"/>
                <w:sz w:val="24"/>
                <w:szCs w:val="24"/>
                <w:highlight w:val="none"/>
              </w:rPr>
              <w:t xml:space="preserve">（个）</w:t>
            </w:r>
            <w:r/>
          </w:p>
        </w:tc>
        <w:tc>
          <w:tcPr>
            <w:tcW w:w="1417"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bCs/>
                <w:color w:val="auto"/>
                <w:sz w:val="24"/>
                <w:szCs w:val="24"/>
                <w:highlight w:val="none"/>
              </w:rPr>
              <w:t xml:space="preserve">面积（㎡）</w:t>
            </w:r>
            <w:r/>
          </w:p>
        </w:tc>
        <w:tc>
          <w:tcPr>
            <w:tcW w:w="1843"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bCs/>
                <w:color w:val="auto"/>
                <w:sz w:val="24"/>
                <w:szCs w:val="24"/>
                <w:highlight w:val="none"/>
              </w:rPr>
              <w:t xml:space="preserve">最近一次</w:t>
            </w:r>
            <w:r>
              <w:rPr>
                <w:rFonts w:ascii="宋体" w:hAnsi="宋体"/>
                <w:b/>
                <w:bCs/>
                <w:color w:val="auto"/>
                <w:sz w:val="24"/>
                <w:szCs w:val="24"/>
                <w:highlight w:val="none"/>
              </w:rPr>
              <w:t xml:space="preserve">装修年份</w:t>
            </w:r>
            <w:r/>
          </w:p>
        </w:tc>
        <w:tc>
          <w:tcPr>
            <w:tcW w:w="1843"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bCs/>
                <w:color w:val="auto"/>
                <w:sz w:val="24"/>
                <w:szCs w:val="24"/>
                <w:highlight w:val="none"/>
              </w:rPr>
              <w:t xml:space="preserve">内部设施简单描述</w:t>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 </w:t>
      </w:r>
      <w:r>
        <w:rPr>
          <w:rFonts w:ascii="宋体" w:hAnsi="宋体"/>
          <w:color w:val="auto"/>
          <w:highlight w:val="none"/>
        </w:rPr>
        <w:t xml:space="preserve">房间类型包括单</w:t>
      </w:r>
      <w:r>
        <w:rPr>
          <w:rFonts w:hint="eastAsia" w:ascii="宋体" w:hAnsi="宋体"/>
          <w:color w:val="auto"/>
          <w:highlight w:val="none"/>
          <w:lang w:val="en-US" w:eastAsia="zh-CN"/>
        </w:rPr>
        <w:t xml:space="preserve">人</w:t>
      </w:r>
      <w:r>
        <w:rPr>
          <w:rFonts w:ascii="宋体" w:hAnsi="宋体"/>
          <w:color w:val="auto"/>
          <w:highlight w:val="none"/>
        </w:rPr>
        <w:t xml:space="preserve">间、标准间</w:t>
      </w:r>
      <w:r>
        <w:rPr>
          <w:rFonts w:hint="eastAsia" w:ascii="宋体" w:hAnsi="宋体"/>
          <w:color w:val="auto"/>
          <w:highlight w:val="none"/>
        </w:rPr>
        <w:t xml:space="preserve">、</w:t>
      </w:r>
      <w:r>
        <w:rPr>
          <w:rFonts w:hint="eastAsia" w:ascii="宋体" w:hAnsi="宋体"/>
          <w:color w:val="auto"/>
          <w:highlight w:val="none"/>
          <w:lang w:val="en-US" w:eastAsia="zh-CN"/>
        </w:rPr>
        <w:t xml:space="preserve">普通套房</w:t>
      </w:r>
      <w:r>
        <w:rPr>
          <w:rFonts w:ascii="宋体" w:hAnsi="宋体"/>
          <w:color w:val="auto"/>
          <w:highlight w:val="none"/>
        </w:rPr>
        <w:t xml:space="preserve">等</w:t>
      </w:r>
      <w:r>
        <w:rPr>
          <w:rFonts w:hint="eastAsia" w:ascii="宋体" w:hAnsi="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olor w:val="auto"/>
          <w:highlight w:val="none"/>
        </w:rPr>
        <w:t xml:space="preserve">2. 每个类型的房间须附2张及以上现场彩色图片，至少包括卧室、卫生间。未提供或不符合要求的视为无效申请文件</w:t>
      </w:r>
      <w:r>
        <w:rPr>
          <w:rFonts w:hint="eastAsia" w:ascii="宋体" w:hAnsi="宋体" w:cs="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3.“面积”填写该类房间的面积区间范围。</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 上述篇幅无法满足填写要求的可</w:t>
      </w:r>
      <w:r>
        <w:rPr>
          <w:rFonts w:hint="eastAsia" w:ascii="宋体" w:hAnsi="宋体"/>
          <w:color w:val="auto"/>
          <w:highlight w:val="none"/>
        </w:rPr>
        <w:t xml:space="preserve">自行增行。</w:t>
      </w:r>
      <w:r/>
    </w:p>
    <w:p>
      <w:pPr>
        <w:ind w:firstLine="420"/>
        <w:spacing w:line="360" w:lineRule="auto"/>
        <w:rPr>
          <w:rFonts w:ascii="宋体" w:hAnsi="宋体"/>
          <w:color w:val="auto"/>
          <w:highlight w:val="none"/>
        </w:rPr>
      </w:pPr>
      <w:r>
        <w:rPr>
          <w:rFonts w:hint="eastAsia" w:ascii="宋体" w:hAnsi="宋体"/>
          <w:color w:val="auto"/>
          <w:highlight w:val="none"/>
        </w:rPr>
        <w:t xml:space="preserve">5. 上述表格须按内容要求如实填写完整。</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360" w:lineRule="auto"/>
        <w:rPr>
          <w:rFonts w:ascii="宋体" w:hAnsi="宋体"/>
          <w:b/>
          <w:bCs/>
          <w:color w:val="auto"/>
          <w:sz w:val="32"/>
          <w:szCs w:val="32"/>
          <w:highlight w:val="none"/>
        </w:rPr>
      </w:pPr>
      <w:r>
        <w:rPr>
          <w:rFonts w:ascii="宋体" w:hAnsi="Courier New"/>
          <w:color w:val="auto"/>
          <w:sz w:val="24"/>
          <w:szCs w:val="24"/>
          <w:highlight w:val="none"/>
        </w:rPr>
        <w:br w:type="page" w:clear="all"/>
      </w:r>
      <w:bookmarkStart w:id="159" w:name="_Toc87696366"/>
      <w:r>
        <w:rPr>
          <w:rFonts w:hint="eastAsia" w:ascii="宋体" w:hAnsi="宋体"/>
          <w:b/>
          <w:bCs/>
          <w:color w:val="auto"/>
          <w:sz w:val="32"/>
          <w:szCs w:val="32"/>
          <w:highlight w:val="none"/>
        </w:rPr>
        <w:t xml:space="preserve">4.餐饮设施情况表</w:t>
      </w:r>
      <w:bookmarkEnd w:id="159"/>
      <w:r/>
      <w:r/>
    </w:p>
    <w:tbl>
      <w:tblPr>
        <w:tblStyle w:val="853"/>
        <w:tblW w:w="8745" w:type="dxa"/>
        <w:jc w:val="center"/>
        <w:tblLayout w:type="autofit"/>
        <w:tblCellMar>
          <w:left w:w="108" w:type="dxa"/>
          <w:top w:w="0" w:type="dxa"/>
          <w:right w:w="108" w:type="dxa"/>
          <w:bottom w:w="0" w:type="dxa"/>
        </w:tblCellMar>
        <w:tblLook w:val="04A0" w:firstRow="1" w:lastRow="0" w:firstColumn="1" w:lastColumn="0" w:noHBand="0" w:noVBand="1"/>
      </w:tblPr>
      <w:tblGrid>
        <w:gridCol w:w="2191"/>
        <w:gridCol w:w="2266"/>
        <w:gridCol w:w="2360"/>
        <w:gridCol w:w="1928"/>
      </w:tblGrid>
      <w:tr>
        <w:trPr>
          <w:jc w:val="center"/>
          <w:trHeight w:val="680" w:hRule="exact"/>
        </w:trPr>
        <w:tc>
          <w:tcPr>
            <w:tcBorders>
              <w:top w:val="single" w:color="000000" w:sz="8"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餐厅类型</w:t>
            </w:r>
            <w:r/>
          </w:p>
        </w:tc>
        <w:tc>
          <w:tcPr>
            <w:tcBorders>
              <w:top w:val="single" w:color="000000" w:sz="8"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餐厅名称</w:t>
            </w:r>
            <w:r/>
          </w:p>
        </w:tc>
        <w:tc>
          <w:tcPr>
            <w:tcBorders>
              <w:top w:val="single" w:color="000000" w:sz="8" w:space="0"/>
              <w:left w:val="none" w:color="000000" w:sz="4" w:space="0"/>
              <w:bottom w:val="single" w:color="000000" w:sz="4" w:space="0"/>
              <w:right w:val="single" w:color="000000" w:sz="4" w:space="0"/>
            </w:tcBorders>
            <w:tcW w:w="2360"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餐厅面积（㎡）</w:t>
            </w:r>
            <w:r/>
          </w:p>
        </w:tc>
        <w:tc>
          <w:tcPr>
            <w:tcBorders>
              <w:top w:val="single" w:color="000000" w:sz="8"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座位数量</w:t>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西餐厅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清真餐厅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食街/快餐厅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其他餐厅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gridSpan w:val="2"/>
            <w:tcBorders>
              <w:top w:val="none" w:color="000000" w:sz="4" w:space="0"/>
              <w:left w:val="single" w:color="000000" w:sz="8" w:space="0"/>
              <w:bottom w:val="single" w:color="000000" w:sz="8" w:space="0"/>
              <w:right w:val="single" w:color="000000" w:sz="4" w:space="0"/>
            </w:tcBorders>
            <w:tcW w:w="4457" w:type="dxa"/>
            <w:vAlign w:val="center"/>
            <w:textDirection w:val="lrTb"/>
            <w:noWrap/>
          </w:tcPr>
          <w:p>
            <w:pPr>
              <w:widowControl/>
              <w:rPr>
                <w:rFonts w:ascii="宋体" w:hAnsi="宋体" w:cs="宋体"/>
                <w:color w:val="auto"/>
                <w:sz w:val="24"/>
                <w:szCs w:val="24"/>
                <w:highlight w:val="none"/>
              </w:rPr>
            </w:pPr>
            <w:r>
              <w:rPr>
                <w:rFonts w:hint="eastAsia" w:ascii="宋体" w:hAnsi="宋体"/>
                <w:color w:val="auto"/>
                <w:sz w:val="24"/>
                <w:szCs w:val="24"/>
                <w:highlight w:val="none"/>
              </w:rPr>
              <w:t xml:space="preserve">非自助餐菜单价格基础上的折扣</w:t>
            </w:r>
            <w:r/>
          </w:p>
        </w:tc>
        <w:tc>
          <w:tcPr>
            <w:gridSpan w:val="2"/>
            <w:tcBorders>
              <w:top w:val="none" w:color="000000" w:sz="4" w:space="0"/>
              <w:left w:val="none" w:color="000000" w:sz="4" w:space="0"/>
              <w:bottom w:val="single" w:color="000000" w:sz="8" w:space="0"/>
              <w:right w:val="single" w:color="000000" w:sz="4" w:space="0"/>
            </w:tcBorders>
            <w:tcW w:w="428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s="宋体"/>
          <w:color w:val="auto"/>
          <w:highlight w:val="none"/>
        </w:rPr>
      </w:pPr>
      <w:r>
        <w:rPr>
          <w:rFonts w:hint="eastAsia" w:ascii="宋体" w:hAnsi="宋体"/>
          <w:color w:val="auto"/>
          <w:highlight w:val="none"/>
        </w:rPr>
        <w:t xml:space="preserve">注：1.</w:t>
      </w:r>
      <w:r>
        <w:rPr>
          <w:rFonts w:hint="eastAsia" w:ascii="宋体" w:hAnsi="宋体" w:cs="宋体"/>
          <w:color w:val="auto"/>
          <w:highlight w:val="none"/>
        </w:rPr>
        <w:t xml:space="preserve">其他餐厅应列举详细清单。</w:t>
      </w:r>
      <w:r/>
    </w:p>
    <w:p>
      <w:pPr>
        <w:ind w:firstLine="420"/>
        <w:spacing w:line="360" w:lineRule="auto"/>
        <w:rPr>
          <w:rFonts w:ascii="宋体" w:hAnsi="宋体"/>
          <w:color w:val="auto"/>
          <w:highlight w:val="none"/>
        </w:rPr>
      </w:pPr>
      <w:r>
        <w:rPr>
          <w:rFonts w:hint="eastAsia" w:ascii="宋体" w:hAnsi="宋体"/>
          <w:color w:val="auto"/>
          <w:highlight w:val="none"/>
        </w:rPr>
        <w:t xml:space="preserve">2.每种餐厅类型必须至少提供一张图片，</w:t>
      </w:r>
      <w:r>
        <w:rPr>
          <w:rFonts w:hint="eastAsia" w:ascii="宋体" w:hAnsi="宋体"/>
          <w:color w:val="auto"/>
          <w:highlight w:val="none"/>
          <w:lang w:val="en-US" w:eastAsia="zh-CN"/>
        </w:rPr>
        <w:t xml:space="preserve">并</w:t>
      </w:r>
      <w:r>
        <w:rPr>
          <w:rFonts w:hint="eastAsia" w:ascii="宋体" w:hAnsi="宋体"/>
          <w:color w:val="auto"/>
          <w:highlight w:val="none"/>
        </w:rPr>
        <w:t xml:space="preserve">以</w:t>
      </w:r>
      <w:r>
        <w:rPr>
          <w:rFonts w:hint="eastAsia" w:ascii="宋体" w:hAnsi="宋体"/>
          <w:color w:val="auto"/>
          <w:highlight w:val="none"/>
          <w:lang w:val="en-US" w:eastAsia="zh-CN"/>
        </w:rPr>
        <w:t xml:space="preserve">文字形式</w:t>
      </w:r>
      <w:r>
        <w:rPr>
          <w:rFonts w:hint="eastAsia" w:ascii="宋体" w:hAnsi="宋体"/>
          <w:color w:val="auto"/>
          <w:highlight w:val="none"/>
        </w:rPr>
        <w:t xml:space="preserve">说明餐厅实际情况。</w:t>
      </w:r>
      <w:r/>
    </w:p>
    <w:p>
      <w:pPr>
        <w:ind w:firstLine="420"/>
        <w:spacing w:line="360" w:lineRule="auto"/>
        <w:rPr>
          <w:rFonts w:ascii="宋体" w:hAnsi="宋体"/>
          <w:color w:val="auto"/>
          <w:highlight w:val="none"/>
        </w:rPr>
      </w:pPr>
      <w:r>
        <w:rPr>
          <w:rFonts w:hint="eastAsia" w:ascii="宋体" w:hAnsi="宋体"/>
          <w:color w:val="auto"/>
          <w:highlight w:val="none"/>
        </w:rPr>
        <w:t xml:space="preserve">3.非自助餐菜单价格基础上的折扣，折扣以“%”的形式填写，如“八五折”应填写为“85%”，折扣精确到整数位,不带小数位（四舍五入）。</w:t>
      </w:r>
      <w:r/>
    </w:p>
    <w:p>
      <w:pPr>
        <w:ind w:firstLine="420"/>
        <w:spacing w:line="360" w:lineRule="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.提供80个人、60元/位标准的自助餐和80个人、80元/位的自助餐菜单，附于本表后，菜单应包括具体的菜名（明确菜的主要组成原料）、饮料、点心和水果等。</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bookmarkStart w:id="160" w:name="_Toc87696367"/>
      <w:r/>
      <w:r/>
    </w:p>
    <w:p>
      <w:pPr>
        <w:spacing w:line="360" w:lineRule="auto"/>
        <w:rPr>
          <w:rFonts w:ascii="宋体" w:hAnsi="宋体"/>
          <w:b/>
          <w:bCs/>
          <w:color w:val="auto"/>
          <w:sz w:val="32"/>
          <w:szCs w:val="32"/>
          <w:highlight w:val="none"/>
        </w:rPr>
      </w:pPr>
      <w:r>
        <w:rPr>
          <w:rFonts w:ascii="宋体" w:hAnsi="Courier New"/>
          <w:color w:val="auto"/>
          <w:sz w:val="24"/>
          <w:szCs w:val="24"/>
          <w:highlight w:val="none"/>
        </w:rPr>
        <w:br w:type="page" w:clear="all"/>
      </w:r>
      <w:r>
        <w:rPr>
          <w:rFonts w:hint="eastAsia" w:ascii="宋体" w:hAnsi="宋体"/>
          <w:b/>
          <w:bCs/>
          <w:color w:val="auto"/>
          <w:sz w:val="32"/>
          <w:szCs w:val="32"/>
          <w:highlight w:val="none"/>
        </w:rPr>
        <w:t xml:space="preserve">5.配套服务情况表</w:t>
      </w:r>
      <w:bookmarkEnd w:id="160"/>
      <w:r/>
      <w:r/>
    </w:p>
    <w:tbl>
      <w:tblPr>
        <w:tblStyle w:val="853"/>
        <w:tblW w:w="88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7"/>
        <w:gridCol w:w="3323"/>
        <w:gridCol w:w="4023"/>
      </w:tblGrid>
      <w:tr>
        <w:trPr>
          <w:trHeight w:val="567" w:hRule="exact"/>
        </w:trPr>
        <w:tc>
          <w:tcPr>
            <w:tcW w:w="1497"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服务类别</w:t>
            </w:r>
            <w:r/>
          </w:p>
        </w:tc>
        <w:tc>
          <w:tcPr>
            <w:tcW w:w="3323"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服务项目名称</w:t>
            </w:r>
            <w:r/>
          </w:p>
        </w:tc>
        <w:tc>
          <w:tcPr>
            <w:tcW w:w="4023"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基本描述</w:t>
            </w:r>
            <w:r/>
          </w:p>
        </w:tc>
      </w:tr>
      <w:tr>
        <w:trPr>
          <w:trHeight w:val="567" w:hRule="exact"/>
        </w:trPr>
        <w:tc>
          <w:tcPr>
            <w:tcW w:w="1497" w:type="dxa"/>
            <w:vAlign w:val="center"/>
            <w:vMerge w:val="restart"/>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计时客房服务</w:t>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钟点房</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（说明房间类型）</w:t>
            </w:r>
            <w:r/>
          </w:p>
        </w:tc>
      </w:tr>
      <w:tr>
        <w:trPr>
          <w:trHeight w:val="567"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空房费</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免费</w:t>
            </w:r>
            <w:r/>
          </w:p>
        </w:tc>
      </w:tr>
      <w:tr>
        <w:trPr>
          <w:trHeight w:val="802"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零星的延时交房（2小时内）</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免费</w:t>
            </w:r>
            <w:r/>
          </w:p>
        </w:tc>
      </w:tr>
      <w:tr>
        <w:trPr>
          <w:trHeight w:val="567" w:hRule="exact"/>
        </w:trPr>
        <w:tc>
          <w:tcPr>
            <w:tcW w:w="1497" w:type="dxa"/>
            <w:vAlign w:val="center"/>
            <w:vMerge w:val="restart"/>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商务服务</w:t>
            </w:r>
            <w:r/>
          </w:p>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投影仪</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租车</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（说明车型）</w:t>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会标</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席卡</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茶歇</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（说明种类或档次）</w:t>
            </w:r>
            <w:r/>
          </w:p>
        </w:tc>
      </w:tr>
      <w:tr>
        <w:trPr>
          <w:trHeight w:val="567" w:hRule="exact"/>
        </w:trPr>
        <w:tc>
          <w:tcPr>
            <w:tcW w:w="1497"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客房服务</w:t>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洗衣</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（说明是否有干洗、湿洗、熨烫）</w:t>
            </w:r>
            <w:r/>
          </w:p>
        </w:tc>
      </w:tr>
      <w:tr>
        <w:trPr>
          <w:trHeight w:val="707"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送餐</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（说明是否应客人要求提供送餐服务）</w:t>
            </w:r>
            <w:r/>
          </w:p>
        </w:tc>
      </w:tr>
      <w:tr>
        <w:trPr>
          <w:trHeight w:val="567"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因特网</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s="宋体"/>
          <w:color w:val="auto"/>
          <w:highlight w:val="none"/>
        </w:rPr>
      </w:pPr>
      <w:r>
        <w:rPr>
          <w:rFonts w:hint="eastAsia" w:ascii="宋体" w:hAnsi="宋体"/>
          <w:color w:val="auto"/>
          <w:highlight w:val="none"/>
        </w:rPr>
        <w:t xml:space="preserve">注：1.除</w:t>
      </w:r>
      <w:r>
        <w:rPr>
          <w:rFonts w:hint="eastAsia" w:ascii="宋体" w:hAnsi="宋体" w:cs="宋体"/>
          <w:color w:val="auto"/>
          <w:highlight w:val="none"/>
        </w:rPr>
        <w:t xml:space="preserve">上述各项内容可根据供应商具体情况自行增行并归类填报。</w:t>
      </w:r>
      <w:r/>
    </w:p>
    <w:p>
      <w:pPr>
        <w:ind w:firstLine="420"/>
        <w:spacing w:line="360" w:lineRule="auto"/>
        <w:rPr>
          <w:rFonts w:ascii="宋体" w:hAnsi="宋体"/>
          <w:color w:val="auto"/>
          <w:highlight w:val="none"/>
        </w:rPr>
      </w:pPr>
      <w:r>
        <w:rPr>
          <w:rFonts w:hint="eastAsia" w:ascii="宋体" w:hAnsi="宋体"/>
          <w:color w:val="auto"/>
          <w:highlight w:val="none"/>
        </w:rPr>
        <w:t xml:space="preserve">2.各项配套服务可提供图片（张数不限），展示服务项目的具体情况。</w:t>
      </w:r>
      <w:r/>
    </w:p>
    <w:p>
      <w:pPr>
        <w:ind w:firstLine="420"/>
        <w:spacing w:line="360" w:lineRule="auto"/>
        <w:rPr>
          <w:rFonts w:ascii="宋体" w:hAnsi="宋体"/>
          <w:color w:val="auto"/>
          <w:highlight w:val="none"/>
        </w:rPr>
      </w:pPr>
      <w:r>
        <w:rPr>
          <w:rFonts w:hint="eastAsia" w:ascii="宋体" w:hAnsi="宋体"/>
          <w:color w:val="auto"/>
          <w:highlight w:val="none"/>
        </w:rPr>
        <w:t xml:space="preserve">3.以上计时客房服务空房费和零星的延时交房（2小时内）两栏填写应为免费，若有产生费用则按无效标处理。</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bookmarkStart w:id="161" w:name="_Toc87696368"/>
      <w:r/>
      <w:r/>
    </w:p>
    <w:p>
      <w:pPr>
        <w:spacing w:line="360" w:lineRule="auto"/>
        <w:rPr>
          <w:rFonts w:ascii="宋体" w:hAnsi="宋体"/>
          <w:b/>
          <w:bCs/>
          <w:color w:val="auto"/>
          <w:sz w:val="32"/>
          <w:szCs w:val="32"/>
          <w:highlight w:val="none"/>
        </w:rPr>
      </w:pPr>
      <w:r>
        <w:rPr>
          <w:rFonts w:ascii="宋体" w:hAnsi="Courier New"/>
          <w:color w:val="auto"/>
          <w:sz w:val="24"/>
          <w:szCs w:val="24"/>
          <w:highlight w:val="none"/>
        </w:rPr>
        <w:br w:type="page" w:clear="all"/>
      </w:r>
      <w:r>
        <w:rPr>
          <w:rFonts w:hint="eastAsia" w:ascii="宋体" w:hAnsi="宋体"/>
          <w:b/>
          <w:bCs/>
          <w:color w:val="auto"/>
          <w:sz w:val="32"/>
          <w:szCs w:val="32"/>
          <w:highlight w:val="none"/>
        </w:rPr>
        <w:t xml:space="preserve">6.停车场情况表</w:t>
      </w:r>
      <w:bookmarkEnd w:id="161"/>
      <w:r/>
      <w:r/>
    </w:p>
    <w:tbl>
      <w:tblPr>
        <w:tblStyle w:val="853"/>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409"/>
        <w:gridCol w:w="2977"/>
        <w:gridCol w:w="2410"/>
      </w:tblGrid>
      <w:tr>
        <w:trPr>
          <w:trHeight w:val="858"/>
        </w:trPr>
        <w:tc>
          <w:tcPr>
            <w:tcW w:w="993"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2409"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停车场类型</w:t>
            </w:r>
            <w:r/>
          </w:p>
        </w:tc>
        <w:tc>
          <w:tcPr>
            <w:tcW w:w="2977"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面积（㎡）</w:t>
            </w:r>
            <w:r/>
          </w:p>
        </w:tc>
        <w:tc>
          <w:tcPr>
            <w:tcW w:w="2410"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车位数（个）</w:t>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 停车位类型填写“地面”或“地下”。</w:t>
      </w:r>
      <w:r/>
    </w:p>
    <w:p>
      <w:pPr>
        <w:ind w:firstLine="420"/>
        <w:spacing w:line="360" w:lineRule="auto"/>
        <w:rPr>
          <w:rFonts w:ascii="宋体" w:hAnsi="宋体"/>
          <w:color w:val="auto"/>
          <w:highlight w:val="none"/>
        </w:rPr>
      </w:pPr>
      <w:r>
        <w:rPr>
          <w:rFonts w:hint="eastAsia" w:ascii="宋体" w:hAnsi="宋体"/>
          <w:color w:val="auto"/>
          <w:highlight w:val="none"/>
        </w:rPr>
        <w:t xml:space="preserve">2. 本表格后须附每个停车场至少一张现场彩色图片，未提供或不符合要求均视为无效申请文件。</w:t>
      </w:r>
      <w:r/>
    </w:p>
    <w:p>
      <w:pPr>
        <w:ind w:firstLine="420"/>
        <w:spacing w:line="360" w:lineRule="auto"/>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 上述篇幅无法满足填写要求的可</w:t>
      </w:r>
      <w:r>
        <w:rPr>
          <w:rFonts w:hint="eastAsia" w:ascii="宋体" w:hAnsi="宋体"/>
          <w:color w:val="auto"/>
          <w:highlight w:val="none"/>
        </w:rPr>
        <w:t xml:space="preserve">自行增行。</w:t>
      </w:r>
      <w:r/>
    </w:p>
    <w:p>
      <w:pPr>
        <w:ind w:firstLine="420"/>
        <w:spacing w:line="360" w:lineRule="auto"/>
        <w:rPr>
          <w:rFonts w:ascii="宋体" w:hAnsi="宋体"/>
          <w:color w:val="auto"/>
          <w:highlight w:val="none"/>
        </w:rPr>
      </w:pPr>
      <w:r>
        <w:rPr>
          <w:rFonts w:hint="eastAsia" w:ascii="宋体" w:hAnsi="宋体"/>
          <w:color w:val="auto"/>
          <w:highlight w:val="none"/>
        </w:rPr>
        <w:t xml:space="preserve">4. 上述表格须按内容要求如实填写完整。</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360" w:lineRule="auto"/>
        <w:rPr>
          <w:rFonts w:ascii="黑体" w:eastAsia="黑体"/>
          <w:bCs/>
          <w:color w:val="auto"/>
          <w:sz w:val="28"/>
          <w:szCs w:val="28"/>
          <w:highlight w:val="none"/>
        </w:rPr>
      </w:pPr>
      <w:r>
        <w:rPr>
          <w:rFonts w:ascii="宋体" w:hAnsi="Courier New"/>
          <w:color w:val="auto"/>
          <w:sz w:val="24"/>
          <w:szCs w:val="24"/>
          <w:highlight w:val="none"/>
        </w:rPr>
        <w:br w:type="page" w:clear="all"/>
      </w:r>
      <w:bookmarkStart w:id="162" w:name="_Toc87696369"/>
      <w:r>
        <w:rPr>
          <w:rFonts w:hint="eastAsia" w:ascii="宋体" w:hAnsi="宋体"/>
          <w:b/>
          <w:bCs/>
          <w:color w:val="auto"/>
          <w:sz w:val="32"/>
          <w:szCs w:val="32"/>
          <w:highlight w:val="none"/>
        </w:rPr>
        <w:t xml:space="preserve">7.</w:t>
      </w:r>
      <w:bookmarkEnd w:id="162"/>
      <w:r>
        <w:rPr>
          <w:rFonts w:ascii="宋体" w:hAnsi="宋体"/>
          <w:b/>
          <w:bCs/>
          <w:color w:val="auto"/>
          <w:sz w:val="32"/>
          <w:szCs w:val="32"/>
          <w:highlight w:val="none"/>
        </w:rPr>
        <w:t xml:space="preserve">近</w:t>
      </w:r>
      <w:r>
        <w:rPr>
          <w:rFonts w:hint="eastAsia" w:ascii="宋体" w:hAnsi="宋体"/>
          <w:b/>
          <w:bCs/>
          <w:color w:val="auto"/>
          <w:sz w:val="32"/>
          <w:szCs w:val="32"/>
          <w:highlight w:val="none"/>
        </w:rPr>
        <w:t xml:space="preserve">3</w:t>
      </w:r>
      <w:r>
        <w:rPr>
          <w:rFonts w:ascii="宋体" w:hAnsi="宋体"/>
          <w:b/>
          <w:bCs/>
          <w:color w:val="auto"/>
          <w:sz w:val="32"/>
          <w:szCs w:val="32"/>
          <w:highlight w:val="none"/>
        </w:rPr>
        <w:t xml:space="preserve">年内完成过的大型接待项目</w:t>
      </w:r>
      <w:r>
        <w:rPr>
          <w:rFonts w:hint="eastAsia" w:ascii="宋体" w:hAnsi="宋体"/>
          <w:b/>
          <w:bCs/>
          <w:color w:val="auto"/>
          <w:sz w:val="32"/>
          <w:szCs w:val="32"/>
          <w:highlight w:val="none"/>
        </w:rPr>
        <w:t xml:space="preserve">情况表</w:t>
      </w:r>
      <w:r/>
    </w:p>
    <w:tbl>
      <w:tblPr>
        <w:tblStyle w:val="853"/>
        <w:tblW w:w="88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751"/>
        <w:gridCol w:w="1239"/>
        <w:gridCol w:w="1280"/>
        <w:gridCol w:w="1697"/>
        <w:gridCol w:w="1275"/>
        <w:gridCol w:w="906"/>
      </w:tblGrid>
      <w:tr>
        <w:trPr>
          <w:trHeight w:val="858"/>
        </w:trPr>
        <w:tc>
          <w:tcPr>
            <w:tcW w:w="696"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1751"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接待单位名称</w:t>
            </w:r>
            <w:r/>
          </w:p>
        </w:tc>
        <w:tc>
          <w:tcPr>
            <w:tcW w:w="1239"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会议名称</w:t>
            </w:r>
            <w:r/>
          </w:p>
        </w:tc>
        <w:tc>
          <w:tcPr>
            <w:tcW w:w="1280" w:type="dxa"/>
            <w:vAlign w:val="center"/>
            <w:textDirection w:val="lrTb"/>
            <w:noWrap w:val="false"/>
          </w:tcPr>
          <w:p>
            <w:pPr>
              <w:jc w:val="center"/>
              <w:tabs>
                <w:tab w:val="left" w:pos="6252" w:leader="none"/>
              </w:tabs>
              <w:rPr>
                <w:rFonts w:ascii="宋体" w:hAnsi="宋体"/>
                <w:b/>
                <w:color w:val="auto"/>
                <w:sz w:val="24"/>
                <w:szCs w:val="24"/>
                <w:highlight w:val="none"/>
              </w:rPr>
            </w:pPr>
            <w:r>
              <w:rPr>
                <w:rFonts w:ascii="宋体" w:hAnsi="宋体"/>
                <w:b/>
                <w:color w:val="auto"/>
                <w:sz w:val="24"/>
                <w:szCs w:val="24"/>
                <w:highlight w:val="none"/>
              </w:rPr>
              <w:t xml:space="preserve">合同金额</w:t>
            </w:r>
            <w:r/>
          </w:p>
        </w:tc>
        <w:tc>
          <w:tcPr>
            <w:tcW w:w="1697" w:type="dxa"/>
            <w:vAlign w:val="center"/>
            <w:textDirection w:val="lrTb"/>
            <w:noWrap w:val="false"/>
          </w:tcPr>
          <w:p>
            <w:pPr>
              <w:jc w:val="center"/>
              <w:tabs>
                <w:tab w:val="left" w:pos="6252" w:leader="none"/>
              </w:tabs>
              <w:rPr>
                <w:rFonts w:ascii="宋体" w:hAnsi="宋体"/>
                <w:b/>
                <w:color w:val="auto"/>
                <w:sz w:val="24"/>
                <w:szCs w:val="24"/>
                <w:highlight w:val="none"/>
              </w:rPr>
            </w:pPr>
            <w:r>
              <w:rPr>
                <w:rFonts w:ascii="宋体" w:hAnsi="宋体"/>
                <w:b/>
                <w:color w:val="auto"/>
                <w:sz w:val="24"/>
                <w:szCs w:val="24"/>
                <w:highlight w:val="none"/>
              </w:rPr>
              <w:t xml:space="preserve">接待单位人数</w:t>
            </w:r>
            <w:r/>
          </w:p>
        </w:tc>
        <w:tc>
          <w:tcPr>
            <w:tcW w:w="1275"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接待时间</w:t>
            </w:r>
            <w:r/>
          </w:p>
        </w:tc>
        <w:tc>
          <w:tcPr>
            <w:tcW w:w="906"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hint="default" w:ascii="宋体" w:hAnsi="宋体" w:eastAsia="宋体"/>
          <w:color w:val="auto"/>
          <w:highlight w:val="none"/>
          <w:lang w:val="en-US" w:eastAsia="zh-CN"/>
        </w:rPr>
      </w:pPr>
      <w:r>
        <w:rPr>
          <w:rFonts w:ascii="宋体" w:hAnsi="宋体"/>
          <w:color w:val="auto"/>
          <w:highlight w:val="none"/>
        </w:rPr>
        <w:t xml:space="preserve">注：</w:t>
      </w:r>
      <w:r>
        <w:rPr>
          <w:rFonts w:hint="eastAsia" w:ascii="宋体" w:hAnsi="宋体"/>
          <w:color w:val="auto"/>
          <w:highlight w:val="none"/>
        </w:rPr>
        <w:t xml:space="preserve">1. 上述表格须按内容要求如实填写完整，如有说明请在备注栏内详细描述</w:t>
      </w:r>
      <w:r>
        <w:rPr>
          <w:rFonts w:ascii="宋体" w:hAnsi="宋体"/>
          <w:color w:val="auto"/>
          <w:highlight w:val="none"/>
        </w:rPr>
        <w:t xml:space="preserve">；</w:t>
      </w:r>
      <w:r>
        <w:rPr>
          <w:rFonts w:hint="eastAsia" w:ascii="宋体" w:hAnsi="宋体"/>
          <w:color w:val="auto"/>
          <w:highlight w:val="none"/>
          <w:lang w:val="en-US" w:eastAsia="zh-CN"/>
        </w:rPr>
        <w:t xml:space="preserve">如没有接待，请注明“无”。</w:t>
      </w:r>
      <w:r/>
    </w:p>
    <w:p>
      <w:pPr>
        <w:ind w:firstLine="420"/>
        <w:spacing w:line="360" w:lineRule="auto"/>
        <w:rPr>
          <w:rFonts w:ascii="宋体" w:hAnsi="宋体"/>
          <w:color w:val="auto"/>
          <w:highlight w:val="none"/>
        </w:rPr>
      </w:pPr>
      <w:r>
        <w:rPr>
          <w:rFonts w:hint="eastAsia" w:ascii="宋体" w:hAnsi="宋体"/>
          <w:color w:val="auto"/>
          <w:highlight w:val="none"/>
        </w:rPr>
        <w:t xml:space="preserve">2. </w:t>
      </w:r>
      <w:r>
        <w:rPr>
          <w:rFonts w:hint="eastAsia" w:ascii="宋体" w:hAnsi="宋体"/>
          <w:color w:val="auto"/>
          <w:highlight w:val="none"/>
          <w:lang w:val="en-US" w:eastAsia="zh-CN"/>
        </w:rPr>
        <w:t xml:space="preserve">如填写了接待项目情况，</w:t>
      </w:r>
      <w:r>
        <w:rPr>
          <w:rFonts w:hint="eastAsia" w:ascii="宋体" w:hAnsi="宋体"/>
          <w:color w:val="auto"/>
          <w:highlight w:val="none"/>
        </w:rPr>
        <w:t xml:space="preserve">须</w:t>
      </w:r>
      <w:r>
        <w:rPr>
          <w:rFonts w:ascii="宋体" w:hAnsi="宋体"/>
          <w:color w:val="auto"/>
          <w:highlight w:val="none"/>
        </w:rPr>
        <w:t xml:space="preserve">提供</w:t>
      </w:r>
      <w:r>
        <w:rPr>
          <w:rFonts w:hint="eastAsia" w:ascii="宋体" w:hAnsi="宋体"/>
          <w:color w:val="auto"/>
          <w:highlight w:val="none"/>
          <w:lang w:val="en-US" w:eastAsia="zh-CN"/>
        </w:rPr>
        <w:t xml:space="preserve">对应项目的</w:t>
      </w:r>
      <w:r>
        <w:rPr>
          <w:rFonts w:ascii="宋体" w:hAnsi="宋体"/>
          <w:color w:val="auto"/>
          <w:highlight w:val="none"/>
        </w:rPr>
        <w:t xml:space="preserve">合同书</w:t>
      </w:r>
      <w:r>
        <w:rPr>
          <w:rFonts w:hint="eastAsia" w:ascii="宋体" w:hAnsi="宋体"/>
          <w:color w:val="auto"/>
          <w:highlight w:val="none"/>
        </w:rPr>
        <w:t xml:space="preserve">或其它能证明本服务业绩的材料扫描</w:t>
      </w:r>
      <w:r>
        <w:rPr>
          <w:rFonts w:ascii="宋体" w:hAnsi="宋体"/>
          <w:color w:val="auto"/>
          <w:highlight w:val="none"/>
        </w:rPr>
        <w:t xml:space="preserve">件</w:t>
      </w:r>
      <w:r>
        <w:rPr>
          <w:rFonts w:hint="eastAsia" w:ascii="宋体" w:hAnsi="宋体"/>
          <w:color w:val="auto"/>
          <w:highlight w:val="none"/>
        </w:rPr>
        <w:t xml:space="preserve">，否则视为无效申请文件</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3. 上述合同或证明材料按上述表格顺序上传并一一对应</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4. </w:t>
      </w:r>
      <w:r>
        <w:rPr>
          <w:rFonts w:ascii="宋体" w:hAnsi="宋体"/>
          <w:color w:val="auto"/>
          <w:highlight w:val="none"/>
        </w:rPr>
        <w:t xml:space="preserve">上述篇幅无法满足填写要求的可</w:t>
      </w:r>
      <w:r>
        <w:rPr>
          <w:rFonts w:hint="eastAsia" w:ascii="宋体" w:hAnsi="宋体"/>
          <w:color w:val="auto"/>
          <w:highlight w:val="none"/>
        </w:rPr>
        <w:t xml:space="preserve">自行增行。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ascii="黑体" w:hAnsi="黑体" w:eastAsia="黑体"/>
          <w:b/>
          <w:bCs/>
          <w:i/>
          <w:color w:val="auto"/>
          <w:sz w:val="32"/>
          <w:szCs w:val="32"/>
          <w:highlight w:val="none"/>
          <w:u w:val="single"/>
        </w:rPr>
      </w:pPr>
      <w:r>
        <w:rPr>
          <w:rFonts w:ascii="宋体" w:hAnsi="宋体"/>
          <w:color w:val="auto"/>
          <w:sz w:val="24"/>
          <w:highlight w:val="none"/>
        </w:rPr>
        <w:br w:type="page" w:clear="all"/>
      </w:r>
      <w:r>
        <w:rPr>
          <w:rFonts w:hint="eastAsia" w:ascii="黑体" w:hAnsi="黑体" w:eastAsia="黑体"/>
          <w:b/>
          <w:bCs/>
          <w:i/>
          <w:color w:val="auto"/>
          <w:sz w:val="32"/>
          <w:szCs w:val="32"/>
          <w:highlight w:val="none"/>
          <w:u w:val="single"/>
        </w:rPr>
        <w:t xml:space="preserve">八、服务团队情况表</w:t>
      </w:r>
      <w:r/>
    </w:p>
    <w:p>
      <w:pPr>
        <w:pStyle w:val="854"/>
        <w:ind w:firstLine="0"/>
        <w:jc w:val="center"/>
        <w:rPr>
          <w:rFonts w:ascii="宋体" w:hAnsi="宋体"/>
          <w:b/>
          <w:color w:val="auto"/>
          <w:sz w:val="30"/>
          <w:szCs w:val="30"/>
          <w:highlight w:val="none"/>
        </w:rPr>
      </w:pPr>
      <w:r>
        <w:rPr>
          <w:rFonts w:ascii="宋体" w:hAnsi="宋体"/>
          <w:b/>
          <w:color w:val="auto"/>
          <w:sz w:val="30"/>
          <w:szCs w:val="30"/>
          <w:highlight w:val="none"/>
        </w:rPr>
      </w:r>
      <w:r/>
    </w:p>
    <w:p>
      <w:pPr>
        <w:pStyle w:val="854"/>
        <w:ind w:firstLine="0"/>
        <w:jc w:val="center"/>
        <w:rPr>
          <w:rFonts w:ascii="宋体" w:hAnsi="宋体"/>
          <w:b/>
          <w:color w:val="auto"/>
          <w:sz w:val="32"/>
          <w:szCs w:val="32"/>
          <w:highlight w:val="none"/>
        </w:rPr>
      </w:pPr>
      <w:r>
        <w:rPr>
          <w:rFonts w:hint="eastAsia" w:ascii="宋体" w:hAnsi="宋体"/>
          <w:b/>
          <w:color w:val="auto"/>
          <w:sz w:val="32"/>
          <w:szCs w:val="32"/>
          <w:highlight w:val="none"/>
        </w:rPr>
        <w:t xml:space="preserve">服务团队情况表</w:t>
      </w:r>
      <w:r/>
    </w:p>
    <w:tbl>
      <w:tblPr>
        <w:tblStyle w:val="853"/>
        <w:tblW w:w="8976"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6"/>
      </w:tblGrid>
      <w:tr>
        <w:trPr>
          <w:cantSplit/>
          <w:trHeight w:val="4473"/>
        </w:trPr>
        <w:tc>
          <w:tcPr>
            <w:tcW w:w="897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针对本项目所成立的服务团队详细介绍</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包括项目经理及服务人员的经验、素质等。</w:t>
            </w:r>
            <w:r/>
          </w:p>
        </w:tc>
      </w:tr>
      <w:tr>
        <w:trPr>
          <w:cantSplit/>
          <w:trHeight w:val="4664"/>
        </w:trPr>
        <w:tc>
          <w:tcPr>
            <w:tcW w:w="897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相关人员相关证书等复印件（如有）</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p>
        </w:tc>
      </w:tr>
    </w:tbl>
    <w:p>
      <w:pPr>
        <w:spacing w:line="360" w:lineRule="auto"/>
        <w:rPr>
          <w:rFonts w:ascii="宋体" w:hAnsi="宋体"/>
          <w:color w:val="auto"/>
          <w:highlight w:val="none"/>
        </w:rPr>
      </w:pPr>
      <w:r>
        <w:rPr>
          <w:rFonts w:hint="eastAsia" w:ascii="宋体" w:hAnsi="宋体"/>
          <w:color w:val="auto"/>
          <w:highlight w:val="none"/>
        </w:rPr>
        <w:t xml:space="preserve">注：上述篇幅无法满足填写要求的可另附页。</w:t>
      </w:r>
      <w:r/>
    </w:p>
    <w:p>
      <w:pPr>
        <w:pStyle w:val="854"/>
        <w:ind w:firstLine="0"/>
        <w:spacing w:line="360" w:lineRule="auto"/>
        <w:rPr>
          <w:rFonts w:ascii="楷体_GB2312" w:hAnsi="Arial" w:eastAsia="楷体_GB2312"/>
          <w:color w:val="auto"/>
          <w:sz w:val="28"/>
          <w:szCs w:val="28"/>
          <w:highlight w:val="none"/>
        </w:rPr>
      </w:pPr>
      <w:r>
        <w:rPr>
          <w:rFonts w:ascii="楷体_GB2312" w:hAnsi="Arial" w:eastAsia="楷体_GB2312"/>
          <w:color w:val="auto"/>
          <w:sz w:val="28"/>
          <w:szCs w:val="28"/>
          <w:highlight w:val="none"/>
        </w:rPr>
      </w:r>
      <w:r/>
    </w:p>
    <w:p>
      <w:pPr>
        <w:pStyle w:val="854"/>
        <w:ind w:firstLine="0"/>
        <w:spacing w:line="360" w:lineRule="auto"/>
        <w:rPr>
          <w:color w:val="auto"/>
          <w:highlight w:val="none"/>
        </w:rPr>
      </w:pPr>
      <w:r>
        <w:rPr>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rPr>
          <w:rFonts w:ascii="黑体" w:hAnsi="黑体" w:eastAsia="黑体"/>
          <w:b/>
          <w:bCs/>
          <w:i/>
          <w:color w:val="auto"/>
          <w:sz w:val="32"/>
          <w:szCs w:val="32"/>
          <w:highlight w:val="none"/>
          <w:u w:val="single"/>
        </w:rPr>
      </w:pPr>
      <w:r>
        <w:rPr>
          <w:rFonts w:hint="eastAsia"/>
          <w:color w:val="auto"/>
          <w:sz w:val="24"/>
          <w:szCs w:val="24"/>
          <w:highlight w:val="none"/>
        </w:rPr>
        <w:br w:type="page" w:clear="all"/>
      </w:r>
      <w:r>
        <w:rPr>
          <w:rFonts w:hint="eastAsia" w:ascii="黑体" w:hAnsi="黑体" w:eastAsia="黑体"/>
          <w:b/>
          <w:bCs/>
          <w:i/>
          <w:color w:val="auto"/>
          <w:sz w:val="32"/>
          <w:szCs w:val="32"/>
          <w:highlight w:val="none"/>
          <w:u w:val="single"/>
        </w:rPr>
        <w:t xml:space="preserve">九、服务方案</w:t>
      </w:r>
      <w:r/>
    </w:p>
    <w:p>
      <w:pPr>
        <w:pStyle w:val="854"/>
        <w:ind w:firstLine="0"/>
        <w:jc w:val="center"/>
        <w:rPr>
          <w:rFonts w:ascii="宋体" w:hAnsi="宋体"/>
          <w:b/>
          <w:color w:val="auto"/>
          <w:sz w:val="30"/>
          <w:szCs w:val="30"/>
          <w:highlight w:val="none"/>
        </w:rPr>
      </w:pPr>
      <w:r>
        <w:rPr>
          <w:rFonts w:ascii="宋体" w:hAnsi="宋体"/>
          <w:b/>
          <w:color w:val="auto"/>
          <w:sz w:val="30"/>
          <w:szCs w:val="30"/>
          <w:highlight w:val="none"/>
        </w:rPr>
      </w:r>
      <w:r/>
    </w:p>
    <w:p>
      <w:pPr>
        <w:pStyle w:val="854"/>
        <w:ind w:firstLine="4084"/>
        <w:rPr>
          <w:rFonts w:ascii="宋体" w:hAnsi="宋体"/>
          <w:b/>
          <w:color w:val="auto"/>
          <w:sz w:val="32"/>
          <w:szCs w:val="32"/>
          <w:highlight w:val="none"/>
        </w:rPr>
      </w:pPr>
      <w:r>
        <w:rPr>
          <w:rFonts w:hint="eastAsia" w:ascii="宋体" w:hAnsi="宋体"/>
          <w:b/>
          <w:color w:val="auto"/>
          <w:sz w:val="32"/>
          <w:szCs w:val="32"/>
          <w:highlight w:val="none"/>
        </w:rPr>
        <w:t xml:space="preserve">服务方案</w:t>
      </w:r>
      <w:r/>
    </w:p>
    <w:tbl>
      <w:tblPr>
        <w:tblStyle w:val="853"/>
        <w:tblW w:w="8961" w:type="dxa"/>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1"/>
      </w:tblGrid>
      <w:tr>
        <w:trPr>
          <w:cantSplit/>
          <w:trHeight w:val="9151"/>
        </w:trPr>
        <w:tc>
          <w:tcPr>
            <w:tcW w:w="8961" w:type="dxa"/>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针对本项目所制定的详细服务方案</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包括会议、餐饮、客房及接待服务方案等。</w:t>
            </w:r>
            <w:r/>
          </w:p>
        </w:tc>
      </w:tr>
    </w:tbl>
    <w:p>
      <w:pPr>
        <w:jc w:val="left"/>
        <w:spacing w:line="360" w:lineRule="auto"/>
        <w:rPr>
          <w:rFonts w:ascii="宋体" w:hAnsi="宋体"/>
          <w:color w:val="auto"/>
          <w:highlight w:val="none"/>
        </w:rPr>
      </w:pPr>
      <w:r>
        <w:rPr>
          <w:rFonts w:ascii="宋体" w:hAnsi="宋体"/>
          <w:color w:val="auto"/>
          <w:highlight w:val="none"/>
        </w:rPr>
        <w:t xml:space="preserve">注：上述篇幅无法满足填写要求的可另附</w:t>
      </w:r>
      <w:r>
        <w:rPr>
          <w:rFonts w:hint="eastAsia" w:ascii="宋体" w:hAnsi="宋体"/>
          <w:color w:val="auto"/>
          <w:highlight w:val="none"/>
        </w:rPr>
        <w:t xml:space="preserve">页。</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ascii="宋体" w:hAnsi="宋体"/>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宋体"/>
          <w:color w:val="auto"/>
          <w:sz w:val="24"/>
          <w:szCs w:val="24"/>
          <w:highlight w:val="none"/>
        </w:rPr>
      </w:pPr>
      <w:r>
        <w:rPr>
          <w:rFonts w:hint="eastAsia" w:ascii="宋体" w:hAnsi="Courier New"/>
          <w:color w:val="auto"/>
          <w:sz w:val="24"/>
          <w:szCs w:val="24"/>
          <w:highlight w:val="none"/>
        </w:rPr>
        <w:t xml:space="preserve">日期：    年     月     日</w:t>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b/>
        <w:i/>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103"/>
      <w:isLgl w:val="false"/>
      <w:suff w:val="space"/>
      <w:lvlText w:val="%3."/>
      <w:lvlJc w:val="left"/>
      <w:pPr>
        <w:ind w:left="653"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10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8"/>
      <w:isLgl w:val="false"/>
      <w:suff w:val="nothing"/>
      <w:lvlText w:val=""/>
      <w:lvlJc w:val="left"/>
      <w:pPr>
        <w:ind w:left="0" w:firstLine="0"/>
      </w:pPr>
      <w:rPr>
        <w:rFonts w:hint="eastAsia"/>
      </w:rPr>
    </w:lvl>
    <w:lvl w:ilvl="6">
      <w:start w:val="1"/>
      <w:numFmt w:val="decimal"/>
      <w:pStyle w:val="849"/>
      <w:isLgl w:val="false"/>
      <w:suff w:val="nothing"/>
      <w:lvlText w:val=""/>
      <w:lvlJc w:val="left"/>
      <w:pPr>
        <w:ind w:left="0" w:firstLine="0"/>
      </w:pPr>
      <w:rPr>
        <w:rFonts w:hint="eastAsia"/>
      </w:rPr>
    </w:lvl>
    <w:lvl w:ilvl="7">
      <w:start w:val="1"/>
      <w:numFmt w:val="decimal"/>
      <w:pStyle w:val="850"/>
      <w:isLgl w:val="false"/>
      <w:suff w:val="nothing"/>
      <w:lvlText w:val=""/>
      <w:lvlJc w:val="left"/>
      <w:pPr>
        <w:ind w:left="0" w:firstLine="0"/>
      </w:pPr>
      <w:rPr>
        <w:rFonts w:hint="eastAsia"/>
      </w:rPr>
    </w:lvl>
    <w:lvl w:ilvl="8">
      <w:start w:val="1"/>
      <w:numFmt w:val="decimal"/>
      <w:pStyle w:val="851"/>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jc w:val="both"/>
      <w:widowControl w:val="off"/>
    </w:pPr>
    <w:rPr>
      <w:rFonts w:hint="default" w:ascii="Times New Roman" w:hAnsi="Times New Roman" w:eastAsia="宋体" w:cs="Times New Roman"/>
      <w:sz w:val="21"/>
      <w:szCs w:val="21"/>
    </w:rPr>
  </w:style>
  <w:style w:type="paragraph" w:styleId="843">
    <w:name w:val="Heading 1"/>
    <w:basedOn w:val="842"/>
    <w:next w:val="842"/>
    <w:uiPriority w:val="0"/>
    <w:qFormat/>
    <w:pPr>
      <w:jc w:val="center"/>
      <w:keepNext/>
      <w:outlineLvl w:val="0"/>
    </w:pPr>
    <w:rPr>
      <w:rFonts w:ascii="楷体_GB2312" w:eastAsia="楷体_GB2312"/>
      <w:sz w:val="28"/>
      <w:szCs w:val="28"/>
    </w:rPr>
  </w:style>
  <w:style w:type="paragraph" w:styleId="844">
    <w:name w:val="Heading 2"/>
    <w:basedOn w:val="842"/>
    <w:next w:val="8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5">
    <w:name w:val="Heading 3"/>
    <w:basedOn w:val="842"/>
    <w:next w:val="854"/>
    <w:uiPriority w:val="0"/>
    <w:qFormat/>
    <w:pPr>
      <w:keepLines/>
      <w:keepNext/>
      <w:spacing w:before="260" w:after="260" w:line="416" w:lineRule="auto"/>
      <w:outlineLvl w:val="2"/>
    </w:pPr>
    <w:rPr>
      <w:b/>
      <w:bCs/>
      <w:sz w:val="32"/>
      <w:szCs w:val="32"/>
    </w:rPr>
  </w:style>
  <w:style w:type="paragraph" w:styleId="846">
    <w:name w:val="Heading 4"/>
    <w:basedOn w:val="842"/>
    <w:next w:val="854"/>
    <w:uiPriority w:val="0"/>
    <w:qFormat/>
    <w:pPr>
      <w:keepLines/>
      <w:keepNext/>
      <w:spacing w:before="280" w:after="290" w:line="376" w:lineRule="auto"/>
      <w:outlineLvl w:val="3"/>
    </w:pPr>
    <w:rPr>
      <w:rFonts w:ascii="Arial" w:hAnsi="Arial" w:eastAsia="黑体" w:cs="Arial"/>
      <w:b/>
      <w:bCs/>
      <w:sz w:val="28"/>
      <w:szCs w:val="28"/>
    </w:rPr>
  </w:style>
  <w:style w:type="paragraph" w:styleId="847">
    <w:name w:val="Heading 5"/>
    <w:basedOn w:val="842"/>
    <w:next w:val="854"/>
    <w:uiPriority w:val="0"/>
    <w:qFormat/>
    <w:pPr>
      <w:keepNext/>
      <w:outlineLvl w:val="4"/>
    </w:pPr>
    <w:rPr>
      <w:rFonts w:ascii="宋体"/>
      <w:color w:val="000000"/>
      <w:sz w:val="28"/>
      <w:szCs w:val="28"/>
    </w:rPr>
  </w:style>
  <w:style w:type="paragraph" w:styleId="848">
    <w:name w:val="Heading 6"/>
    <w:basedOn w:val="842"/>
    <w:next w:val="84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9">
    <w:name w:val="Heading 7"/>
    <w:basedOn w:val="842"/>
    <w:next w:val="842"/>
    <w:uiPriority w:val="0"/>
    <w:qFormat/>
    <w:pPr>
      <w:numPr>
        <w:ilvl w:val="6"/>
        <w:numId w:val="1"/>
      </w:numPr>
      <w:keepLines/>
      <w:keepNext/>
      <w:spacing w:before="240" w:after="64" w:line="320" w:lineRule="auto"/>
      <w:outlineLvl w:val="6"/>
    </w:pPr>
    <w:rPr>
      <w:b/>
      <w:bCs/>
      <w:sz w:val="24"/>
      <w:szCs w:val="24"/>
    </w:rPr>
  </w:style>
  <w:style w:type="paragraph" w:styleId="850">
    <w:name w:val="Heading 8"/>
    <w:basedOn w:val="842"/>
    <w:next w:val="8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1">
    <w:name w:val="Heading 9"/>
    <w:basedOn w:val="842"/>
    <w:next w:val="842"/>
    <w:uiPriority w:val="0"/>
    <w:qFormat/>
    <w:pPr>
      <w:numPr>
        <w:ilvl w:val="8"/>
        <w:numId w:val="1"/>
      </w:numPr>
      <w:keepLines/>
      <w:keepNext/>
      <w:spacing w:before="240" w:after="64" w:line="320" w:lineRule="auto"/>
      <w:outlineLvl w:val="8"/>
    </w:pPr>
    <w:rPr>
      <w:rFonts w:ascii="Arial" w:hAnsi="Arial" w:eastAsia="黑体"/>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Normal Indent"/>
    <w:basedOn w:val="842"/>
    <w:link w:val="1064"/>
    <w:uiPriority w:val="0"/>
    <w:qFormat/>
    <w:pPr>
      <w:ind w:firstLine="420"/>
    </w:pPr>
  </w:style>
  <w:style w:type="paragraph" w:styleId="855">
    <w:name w:val="List 3"/>
    <w:basedOn w:val="842"/>
    <w:uiPriority w:val="0"/>
    <w:qFormat/>
    <w:pPr>
      <w:ind w:left="100" w:hanging="200"/>
    </w:pPr>
  </w:style>
  <w:style w:type="paragraph" w:styleId="856">
    <w:name w:val="toc 7"/>
    <w:basedOn w:val="842"/>
    <w:next w:val="842"/>
    <w:uiPriority w:val="0"/>
    <w:semiHidden/>
    <w:qFormat/>
    <w:pPr>
      <w:ind w:left="1260"/>
      <w:jc w:val="left"/>
    </w:pPr>
  </w:style>
  <w:style w:type="paragraph" w:styleId="857">
    <w:name w:val="Document Map"/>
    <w:basedOn w:val="842"/>
    <w:uiPriority w:val="0"/>
    <w:semiHidden/>
    <w:qFormat/>
    <w:pPr>
      <w:shd w:val="clear" w:color="auto" w:fill="000080"/>
    </w:pPr>
  </w:style>
  <w:style w:type="paragraph" w:styleId="858">
    <w:name w:val="annotation text"/>
    <w:basedOn w:val="842"/>
    <w:uiPriority w:val="0"/>
    <w:semiHidden/>
    <w:qFormat/>
    <w:pPr>
      <w:jc w:val="left"/>
    </w:pPr>
  </w:style>
  <w:style w:type="paragraph" w:styleId="859">
    <w:name w:val="Body Text 3"/>
    <w:basedOn w:val="842"/>
    <w:uiPriority w:val="0"/>
    <w:qFormat/>
    <w:rPr>
      <w:rFonts w:ascii="仿宋_GB2312" w:hAnsi="Arial" w:eastAsia="仿宋_GB2312"/>
      <w:sz w:val="32"/>
      <w:szCs w:val="32"/>
    </w:rPr>
  </w:style>
  <w:style w:type="paragraph" w:styleId="860">
    <w:name w:val="Body Text"/>
    <w:basedOn w:val="842"/>
    <w:next w:val="854"/>
    <w:uiPriority w:val="0"/>
    <w:qFormat/>
    <w:rPr>
      <w:rFonts w:ascii="楷体_GB2312" w:hAnsi="Arial" w:eastAsia="楷体_GB2312"/>
      <w:sz w:val="28"/>
      <w:szCs w:val="28"/>
    </w:rPr>
  </w:style>
  <w:style w:type="paragraph" w:styleId="861">
    <w:name w:val="Body Text Indent"/>
    <w:basedOn w:val="842"/>
    <w:uiPriority w:val="0"/>
    <w:qFormat/>
    <w:pPr>
      <w:ind w:firstLine="645"/>
    </w:pPr>
    <w:rPr>
      <w:rFonts w:ascii="楷体_GB2312" w:eastAsia="楷体_GB2312"/>
      <w:sz w:val="32"/>
      <w:szCs w:val="32"/>
    </w:rPr>
  </w:style>
  <w:style w:type="paragraph" w:styleId="862">
    <w:name w:val="List 2"/>
    <w:basedOn w:val="842"/>
    <w:uiPriority w:val="0"/>
    <w:qFormat/>
    <w:pPr>
      <w:ind w:left="100" w:hanging="200"/>
    </w:pPr>
  </w:style>
  <w:style w:type="paragraph" w:styleId="863">
    <w:name w:val="toc 5"/>
    <w:basedOn w:val="842"/>
    <w:next w:val="842"/>
    <w:uiPriority w:val="0"/>
    <w:semiHidden/>
    <w:qFormat/>
    <w:pPr>
      <w:ind w:left="840"/>
      <w:jc w:val="left"/>
    </w:pPr>
  </w:style>
  <w:style w:type="paragraph" w:styleId="864">
    <w:name w:val="toc 3"/>
    <w:basedOn w:val="842"/>
    <w:next w:val="842"/>
    <w:uiPriority w:val="0"/>
    <w:semiHidden/>
    <w:qFormat/>
    <w:pPr>
      <w:ind w:left="420"/>
      <w:jc w:val="left"/>
    </w:pPr>
    <w:rPr>
      <w:i/>
      <w:iCs/>
      <w:szCs w:val="24"/>
    </w:rPr>
  </w:style>
  <w:style w:type="paragraph" w:styleId="865">
    <w:name w:val="Plain Text"/>
    <w:basedOn w:val="842"/>
    <w:link w:val="1065"/>
    <w:uiPriority w:val="0"/>
    <w:qFormat/>
    <w:rPr>
      <w:rFonts w:ascii="宋体" w:hAnsi="Courier New"/>
    </w:rPr>
  </w:style>
  <w:style w:type="paragraph" w:styleId="866">
    <w:name w:val="toc 8"/>
    <w:basedOn w:val="842"/>
    <w:next w:val="842"/>
    <w:uiPriority w:val="0"/>
    <w:semiHidden/>
    <w:qFormat/>
    <w:pPr>
      <w:ind w:left="1470"/>
      <w:jc w:val="left"/>
    </w:pPr>
  </w:style>
  <w:style w:type="paragraph" w:styleId="867">
    <w:name w:val="Date"/>
    <w:basedOn w:val="842"/>
    <w:next w:val="842"/>
    <w:uiPriority w:val="0"/>
    <w:qFormat/>
    <w:rPr>
      <w:sz w:val="24"/>
      <w:szCs w:val="24"/>
    </w:rPr>
  </w:style>
  <w:style w:type="paragraph" w:styleId="868">
    <w:name w:val="Body Text Indent 2"/>
    <w:basedOn w:val="842"/>
    <w:uiPriority w:val="0"/>
    <w:qFormat/>
    <w:pPr>
      <w:ind w:left="630" w:firstLine="645"/>
    </w:pPr>
    <w:rPr>
      <w:rFonts w:ascii="Arial" w:hAnsi="Arial" w:eastAsia="仿宋_GB2312" w:cs="Arial"/>
      <w:sz w:val="32"/>
      <w:szCs w:val="32"/>
    </w:rPr>
  </w:style>
  <w:style w:type="paragraph" w:styleId="869">
    <w:name w:val="endnote text"/>
    <w:basedOn w:val="842"/>
    <w:link w:val="1062"/>
    <w:uiPriority w:val="99"/>
    <w:semiHidden/>
    <w:unhideWhenUsed/>
    <w:qFormat/>
    <w:rPr>
      <w:sz w:val="20"/>
      <w:szCs w:val="20"/>
    </w:rPr>
  </w:style>
  <w:style w:type="paragraph" w:styleId="870">
    <w:name w:val="Balloon Text"/>
    <w:basedOn w:val="842"/>
    <w:uiPriority w:val="0"/>
    <w:semiHidden/>
    <w:qFormat/>
    <w:rPr>
      <w:sz w:val="18"/>
      <w:szCs w:val="18"/>
    </w:rPr>
  </w:style>
  <w:style w:type="paragraph" w:styleId="871">
    <w:name w:val="Footer"/>
    <w:basedOn w:val="842"/>
    <w:uiPriority w:val="99"/>
    <w:semiHidden/>
    <w:unhideWhenUsed/>
    <w:qFormat/>
    <w:pPr>
      <w:jc w:val="left"/>
      <w:tabs>
        <w:tab w:val="center" w:pos="4153" w:leader="none"/>
        <w:tab w:val="right" w:pos="8306" w:leader="none"/>
      </w:tabs>
    </w:pPr>
    <w:rPr>
      <w:sz w:val="18"/>
    </w:rPr>
  </w:style>
  <w:style w:type="paragraph" w:styleId="872">
    <w:name w:val="Header"/>
    <w:basedOn w:val="842"/>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3">
    <w:name w:val="toc 1"/>
    <w:basedOn w:val="842"/>
    <w:next w:val="842"/>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2"/>
    <w:next w:val="842"/>
    <w:uiPriority w:val="0"/>
    <w:semiHidden/>
    <w:qFormat/>
    <w:pPr>
      <w:ind w:left="630"/>
      <w:jc w:val="left"/>
    </w:pPr>
  </w:style>
  <w:style w:type="paragraph" w:styleId="875">
    <w:name w:val="Subtitle"/>
    <w:basedOn w:val="842"/>
    <w:next w:val="842"/>
    <w:link w:val="925"/>
    <w:uiPriority w:val="11"/>
    <w:qFormat/>
    <w:pPr>
      <w:spacing w:before="200" w:after="200"/>
    </w:pPr>
    <w:rPr>
      <w:sz w:val="24"/>
      <w:szCs w:val="24"/>
    </w:rPr>
  </w:style>
  <w:style w:type="paragraph" w:styleId="876">
    <w:name w:val="List"/>
    <w:basedOn w:val="842"/>
    <w:uiPriority w:val="0"/>
    <w:qFormat/>
    <w:pPr>
      <w:ind w:left="200" w:hanging="200"/>
    </w:pPr>
  </w:style>
  <w:style w:type="paragraph" w:styleId="877">
    <w:name w:val="footnote text"/>
    <w:basedOn w:val="842"/>
    <w:link w:val="1061"/>
    <w:uiPriority w:val="99"/>
    <w:semiHidden/>
    <w:unhideWhenUsed/>
    <w:qFormat/>
    <w:pPr>
      <w:spacing w:after="40"/>
    </w:pPr>
    <w:rPr>
      <w:sz w:val="18"/>
      <w:szCs w:val="20"/>
    </w:rPr>
  </w:style>
  <w:style w:type="paragraph" w:styleId="878">
    <w:name w:val="toc 6"/>
    <w:basedOn w:val="842"/>
    <w:next w:val="842"/>
    <w:uiPriority w:val="0"/>
    <w:semiHidden/>
    <w:qFormat/>
    <w:pPr>
      <w:ind w:left="1050"/>
      <w:jc w:val="left"/>
    </w:pPr>
  </w:style>
  <w:style w:type="paragraph" w:styleId="879">
    <w:name w:val="Body Text Indent 3"/>
    <w:basedOn w:val="842"/>
    <w:uiPriority w:val="0"/>
    <w:qFormat/>
    <w:pPr>
      <w:ind w:left="645" w:firstLine="645"/>
    </w:pPr>
    <w:rPr>
      <w:rFonts w:ascii="Arial" w:hAnsi="Arial" w:eastAsia="仿宋_GB2312" w:cs="Arial"/>
      <w:color w:val="ffff00"/>
      <w:sz w:val="32"/>
      <w:szCs w:val="32"/>
    </w:rPr>
  </w:style>
  <w:style w:type="paragraph" w:styleId="880">
    <w:name w:val="table of figures"/>
    <w:basedOn w:val="842"/>
    <w:next w:val="842"/>
    <w:uiPriority w:val="0"/>
    <w:semiHidden/>
    <w:qFormat/>
    <w:pPr>
      <w:ind w:left="840" w:hanging="420"/>
    </w:pPr>
  </w:style>
  <w:style w:type="paragraph" w:styleId="881">
    <w:name w:val="toc 2"/>
    <w:basedOn w:val="842"/>
    <w:next w:val="842"/>
    <w:uiPriority w:val="0"/>
    <w:semiHidden/>
    <w:qFormat/>
    <w:pPr>
      <w:ind w:left="210"/>
      <w:jc w:val="left"/>
    </w:pPr>
    <w:rPr>
      <w:smallCaps/>
      <w:szCs w:val="24"/>
    </w:rPr>
  </w:style>
  <w:style w:type="paragraph" w:styleId="882">
    <w:name w:val="toc 9"/>
    <w:basedOn w:val="842"/>
    <w:next w:val="842"/>
    <w:uiPriority w:val="0"/>
    <w:semiHidden/>
    <w:qFormat/>
    <w:pPr>
      <w:ind w:left="1680"/>
      <w:jc w:val="left"/>
    </w:pPr>
  </w:style>
  <w:style w:type="paragraph" w:styleId="883">
    <w:name w:val="Body Text 2"/>
    <w:basedOn w:val="842"/>
    <w:uiPriority w:val="0"/>
    <w:qFormat/>
    <w:pPr>
      <w:jc w:val="center"/>
      <w:widowControl/>
    </w:pPr>
    <w:rPr>
      <w:rFonts w:ascii="楷体_GB2312" w:eastAsia="楷体_GB2312"/>
      <w:sz w:val="28"/>
      <w:szCs w:val="28"/>
    </w:rPr>
  </w:style>
  <w:style w:type="paragraph" w:styleId="884">
    <w:name w:val="Normal (Web)"/>
    <w:basedOn w:val="842"/>
    <w:uiPriority w:val="99"/>
    <w:qFormat/>
    <w:pPr>
      <w:jc w:val="left"/>
      <w:spacing w:before="100" w:beforeAutospacing="1" w:after="100" w:afterAutospacing="1"/>
      <w:widowControl/>
    </w:pPr>
    <w:rPr>
      <w:rFonts w:ascii="宋体" w:hAnsi="宋体" w:cs="宋体"/>
      <w:sz w:val="24"/>
      <w:szCs w:val="24"/>
    </w:rPr>
  </w:style>
  <w:style w:type="paragraph" w:styleId="885">
    <w:name w:val="index 1"/>
    <w:basedOn w:val="842"/>
    <w:next w:val="842"/>
    <w:uiPriority w:val="0"/>
    <w:semiHidden/>
    <w:qFormat/>
    <w:pPr>
      <w:spacing w:line="240" w:lineRule="atLeast"/>
    </w:pPr>
    <w:rPr>
      <w:b/>
      <w:bCs/>
    </w:rPr>
  </w:style>
  <w:style w:type="paragraph" w:styleId="886">
    <w:name w:val="Title"/>
    <w:basedOn w:val="842"/>
    <w:next w:val="842"/>
    <w:link w:val="924"/>
    <w:uiPriority w:val="10"/>
    <w:qFormat/>
    <w:pPr>
      <w:contextualSpacing/>
      <w:spacing w:before="300" w:after="200"/>
    </w:pPr>
    <w:rPr>
      <w:sz w:val="48"/>
      <w:szCs w:val="48"/>
    </w:rPr>
  </w:style>
  <w:style w:type="paragraph" w:styleId="887">
    <w:name w:val="annotation subject"/>
    <w:basedOn w:val="858"/>
    <w:next w:val="858"/>
    <w:uiPriority w:val="0"/>
    <w:semiHidden/>
    <w:qFormat/>
    <w:rPr>
      <w:b/>
      <w:bCs/>
    </w:rPr>
  </w:style>
  <w:style w:type="paragraph" w:styleId="888">
    <w:name w:val="Body Text First Indent"/>
    <w:basedOn w:val="842"/>
    <w:uiPriority w:val="0"/>
    <w:qFormat/>
    <w:pPr>
      <w:ind w:firstLine="200"/>
      <w:spacing w:line="360" w:lineRule="auto"/>
    </w:pPr>
    <w:rPr>
      <w:rFonts w:ascii="仿宋_GB2312" w:eastAsia="仿宋_GB2312"/>
      <w:sz w:val="30"/>
      <w:szCs w:val="30"/>
    </w:rPr>
  </w:style>
  <w:style w:type="paragraph" w:styleId="889">
    <w:name w:val="Body Text First Indent 2"/>
    <w:basedOn w:val="861"/>
    <w:uiPriority w:val="0"/>
    <w:qFormat/>
    <w:pPr>
      <w:ind w:firstLine="420"/>
      <w:spacing w:line="360" w:lineRule="auto"/>
    </w:pPr>
    <w:rPr>
      <w:rFonts w:ascii="宋体" w:hAnsi="宋体" w:eastAsia="宋体"/>
      <w:sz w:val="21"/>
      <w:szCs w:val="20"/>
    </w:rPr>
  </w:style>
  <w:style w:type="table" w:styleId="890">
    <w:name w:val="Table Grid"/>
    <w:basedOn w:val="853"/>
    <w:uiPriority w:val="0"/>
    <w:qFormat/>
    <w:pPr>
      <w:jc w:val="both"/>
      <w:widowControl w:val="off"/>
    </w:pPr>
    <w:tblPr>
      <w:tblCellMar>
        <w:left w:w="108" w:type="dxa"/>
        <w:top w:w="0" w:type="dxa"/>
        <w:right w:w="108" w:type="dxa"/>
        <w:bottom w:w="0" w:type="dxa"/>
      </w:tblCellMar>
    </w:tblPr>
  </w:style>
  <w:style w:type="character" w:styleId="891">
    <w:name w:val="Strong"/>
    <w:uiPriority w:val="0"/>
    <w:qFormat/>
    <w:rPr>
      <w:b/>
      <w:bCs/>
    </w:rPr>
  </w:style>
  <w:style w:type="character" w:styleId="892">
    <w:name w:val="endnote reference"/>
    <w:uiPriority w:val="99"/>
    <w:semiHidden/>
    <w:unhideWhenUsed/>
    <w:qFormat/>
    <w:rPr>
      <w:vertAlign w:val="superscript"/>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Hyperlink"/>
    <w:uiPriority w:val="0"/>
    <w:qFormat/>
    <w:rPr>
      <w:color w:val="0000ff"/>
      <w:u w:val="single"/>
    </w:rPr>
  </w:style>
  <w:style w:type="character" w:styleId="896">
    <w:name w:val="annotation reference"/>
    <w:uiPriority w:val="0"/>
    <w:semiHidden/>
    <w:qFormat/>
    <w:rPr>
      <w:sz w:val="21"/>
      <w:szCs w:val="21"/>
    </w:rPr>
  </w:style>
  <w:style w:type="character" w:styleId="897">
    <w:name w:val="footnote reference"/>
    <w:uiPriority w:val="99"/>
    <w:unhideWhenUsed/>
    <w:qFormat/>
    <w:rPr>
      <w:vertAlign w:val="superscript"/>
    </w:rPr>
  </w:style>
  <w:style w:type="character" w:styleId="898" w:customStyle="1">
    <w:name w:val="Title Char"/>
    <w:basedOn w:val="852"/>
    <w:uiPriority w:val="10"/>
    <w:qFormat/>
    <w:rPr>
      <w:sz w:val="48"/>
      <w:szCs w:val="48"/>
    </w:rPr>
  </w:style>
  <w:style w:type="character" w:styleId="899" w:customStyle="1">
    <w:name w:val="Subtitle Char"/>
    <w:basedOn w:val="852"/>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Heading 1"/>
    <w:basedOn w:val="842"/>
    <w:next w:val="842"/>
    <w:link w:val="905"/>
    <w:uiPriority w:val="9"/>
    <w:qFormat/>
    <w:pPr>
      <w:keepLines/>
      <w:keepNext/>
      <w:spacing w:before="480" w:after="200"/>
      <w:outlineLvl w:val="0"/>
    </w:pPr>
    <w:rPr>
      <w:rFonts w:ascii="Arial" w:hAnsi="Arial" w:eastAsia="Arial"/>
      <w:sz w:val="40"/>
      <w:szCs w:val="40"/>
    </w:rPr>
  </w:style>
  <w:style w:type="character" w:styleId="905" w:customStyle="1">
    <w:name w:val="Heading 1 Char"/>
    <w:link w:val="904"/>
    <w:uiPriority w:val="9"/>
    <w:qFormat/>
    <w:rPr>
      <w:rFonts w:ascii="Arial" w:hAnsi="Arial" w:eastAsia="Arial" w:cs="Arial"/>
      <w:sz w:val="40"/>
      <w:szCs w:val="40"/>
    </w:rPr>
  </w:style>
  <w:style w:type="paragraph" w:styleId="906" w:customStyle="1">
    <w:name w:val="Heading 2"/>
    <w:basedOn w:val="842"/>
    <w:next w:val="842"/>
    <w:link w:val="907"/>
    <w:uiPriority w:val="9"/>
    <w:unhideWhenUsed/>
    <w:qFormat/>
    <w:pPr>
      <w:keepLines/>
      <w:keepNext/>
      <w:spacing w:before="360" w:after="200"/>
      <w:outlineLvl w:val="1"/>
    </w:pPr>
    <w:rPr>
      <w:rFonts w:ascii="Arial" w:hAnsi="Arial" w:eastAsia="Arial"/>
      <w:sz w:val="34"/>
      <w:szCs w:val="20"/>
    </w:rPr>
  </w:style>
  <w:style w:type="character" w:styleId="907" w:customStyle="1">
    <w:name w:val="Heading 2 Char"/>
    <w:link w:val="906"/>
    <w:uiPriority w:val="9"/>
    <w:qFormat/>
    <w:rPr>
      <w:rFonts w:ascii="Arial" w:hAnsi="Arial" w:eastAsia="Arial" w:cs="Arial"/>
      <w:sz w:val="34"/>
    </w:rPr>
  </w:style>
  <w:style w:type="paragraph" w:styleId="908" w:customStyle="1">
    <w:name w:val="Heading 3"/>
    <w:basedOn w:val="842"/>
    <w:next w:val="842"/>
    <w:link w:val="909"/>
    <w:uiPriority w:val="9"/>
    <w:unhideWhenUsed/>
    <w:qFormat/>
    <w:pPr>
      <w:keepLines/>
      <w:keepNext/>
      <w:spacing w:before="320" w:after="200"/>
      <w:outlineLvl w:val="2"/>
    </w:pPr>
    <w:rPr>
      <w:rFonts w:ascii="Arial" w:hAnsi="Arial" w:eastAsia="Arial"/>
      <w:sz w:val="30"/>
      <w:szCs w:val="30"/>
    </w:rPr>
  </w:style>
  <w:style w:type="character" w:styleId="909" w:customStyle="1">
    <w:name w:val="Heading 3 Char"/>
    <w:link w:val="908"/>
    <w:uiPriority w:val="9"/>
    <w:qFormat/>
    <w:rPr>
      <w:rFonts w:ascii="Arial" w:hAnsi="Arial" w:eastAsia="Arial" w:cs="Arial"/>
      <w:sz w:val="30"/>
      <w:szCs w:val="30"/>
    </w:rPr>
  </w:style>
  <w:style w:type="paragraph" w:styleId="910" w:customStyle="1">
    <w:name w:val="Heading 4"/>
    <w:basedOn w:val="842"/>
    <w:next w:val="842"/>
    <w:link w:val="911"/>
    <w:uiPriority w:val="9"/>
    <w:unhideWhenUsed/>
    <w:qFormat/>
    <w:pPr>
      <w:keepLines/>
      <w:keepNext/>
      <w:spacing w:before="320" w:after="200"/>
      <w:outlineLvl w:val="3"/>
    </w:pPr>
    <w:rPr>
      <w:rFonts w:ascii="Arial" w:hAnsi="Arial" w:eastAsia="Arial"/>
      <w:b/>
      <w:bCs/>
      <w:sz w:val="26"/>
      <w:szCs w:val="26"/>
    </w:rPr>
  </w:style>
  <w:style w:type="character" w:styleId="911" w:customStyle="1">
    <w:name w:val="Heading 4 Char"/>
    <w:link w:val="910"/>
    <w:uiPriority w:val="9"/>
    <w:qFormat/>
    <w:rPr>
      <w:rFonts w:ascii="Arial" w:hAnsi="Arial" w:eastAsia="Arial" w:cs="Arial"/>
      <w:b/>
      <w:bCs/>
      <w:sz w:val="26"/>
      <w:szCs w:val="26"/>
    </w:rPr>
  </w:style>
  <w:style w:type="paragraph" w:styleId="912" w:customStyle="1">
    <w:name w:val="Heading 5"/>
    <w:basedOn w:val="842"/>
    <w:next w:val="842"/>
    <w:link w:val="913"/>
    <w:uiPriority w:val="9"/>
    <w:unhideWhenUsed/>
    <w:qFormat/>
    <w:pPr>
      <w:keepLines/>
      <w:keepNext/>
      <w:spacing w:before="320" w:after="200"/>
      <w:outlineLvl w:val="4"/>
    </w:pPr>
    <w:rPr>
      <w:rFonts w:ascii="Arial" w:hAnsi="Arial" w:eastAsia="Arial"/>
      <w:b/>
      <w:bCs/>
      <w:sz w:val="24"/>
      <w:szCs w:val="24"/>
    </w:rPr>
  </w:style>
  <w:style w:type="character" w:styleId="913" w:customStyle="1">
    <w:name w:val="Heading 5 Char"/>
    <w:link w:val="912"/>
    <w:uiPriority w:val="9"/>
    <w:qFormat/>
    <w:rPr>
      <w:rFonts w:ascii="Arial" w:hAnsi="Arial" w:eastAsia="Arial" w:cs="Arial"/>
      <w:b/>
      <w:bCs/>
      <w:sz w:val="24"/>
      <w:szCs w:val="24"/>
    </w:rPr>
  </w:style>
  <w:style w:type="paragraph" w:styleId="914" w:customStyle="1">
    <w:name w:val="Heading 6"/>
    <w:basedOn w:val="842"/>
    <w:next w:val="842"/>
    <w:link w:val="915"/>
    <w:uiPriority w:val="9"/>
    <w:unhideWhenUsed/>
    <w:qFormat/>
    <w:pPr>
      <w:keepLines/>
      <w:keepNext/>
      <w:spacing w:before="320" w:after="200"/>
      <w:outlineLvl w:val="5"/>
    </w:pPr>
    <w:rPr>
      <w:rFonts w:ascii="Arial" w:hAnsi="Arial" w:eastAsia="Arial"/>
      <w:b/>
      <w:bCs/>
      <w:sz w:val="22"/>
      <w:szCs w:val="22"/>
    </w:rPr>
  </w:style>
  <w:style w:type="character" w:styleId="915" w:customStyle="1">
    <w:name w:val="Heading 6 Char"/>
    <w:link w:val="914"/>
    <w:uiPriority w:val="9"/>
    <w:qFormat/>
    <w:rPr>
      <w:rFonts w:ascii="Arial" w:hAnsi="Arial" w:eastAsia="Arial" w:cs="Arial"/>
      <w:b/>
      <w:bCs/>
      <w:sz w:val="22"/>
      <w:szCs w:val="22"/>
    </w:rPr>
  </w:style>
  <w:style w:type="paragraph" w:styleId="916" w:customStyle="1">
    <w:name w:val="Heading 7"/>
    <w:basedOn w:val="842"/>
    <w:next w:val="842"/>
    <w:link w:val="917"/>
    <w:uiPriority w:val="9"/>
    <w:unhideWhenUsed/>
    <w:qFormat/>
    <w:pPr>
      <w:keepLines/>
      <w:keepNext/>
      <w:spacing w:before="320" w:after="200"/>
      <w:outlineLvl w:val="6"/>
    </w:pPr>
    <w:rPr>
      <w:rFonts w:ascii="Arial" w:hAnsi="Arial" w:eastAsia="Arial"/>
      <w:b/>
      <w:bCs/>
      <w:i/>
      <w:iCs/>
      <w:sz w:val="22"/>
      <w:szCs w:val="22"/>
    </w:rPr>
  </w:style>
  <w:style w:type="character" w:styleId="917" w:customStyle="1">
    <w:name w:val="Heading 7 Char"/>
    <w:link w:val="916"/>
    <w:uiPriority w:val="9"/>
    <w:qFormat/>
    <w:rPr>
      <w:rFonts w:ascii="Arial" w:hAnsi="Arial" w:eastAsia="Arial" w:cs="Arial"/>
      <w:b/>
      <w:bCs/>
      <w:i/>
      <w:iCs/>
      <w:sz w:val="22"/>
      <w:szCs w:val="22"/>
    </w:rPr>
  </w:style>
  <w:style w:type="paragraph" w:styleId="918" w:customStyle="1">
    <w:name w:val="Heading 8"/>
    <w:basedOn w:val="842"/>
    <w:next w:val="842"/>
    <w:link w:val="919"/>
    <w:uiPriority w:val="9"/>
    <w:unhideWhenUsed/>
    <w:qFormat/>
    <w:pPr>
      <w:keepLines/>
      <w:keepNext/>
      <w:spacing w:before="320" w:after="200"/>
      <w:outlineLvl w:val="7"/>
    </w:pPr>
    <w:rPr>
      <w:rFonts w:ascii="Arial" w:hAnsi="Arial" w:eastAsia="Arial"/>
      <w:i/>
      <w:iCs/>
      <w:sz w:val="22"/>
      <w:szCs w:val="22"/>
    </w:rPr>
  </w:style>
  <w:style w:type="character" w:styleId="919" w:customStyle="1">
    <w:name w:val="Heading 8 Char"/>
    <w:link w:val="918"/>
    <w:uiPriority w:val="9"/>
    <w:qFormat/>
    <w:rPr>
      <w:rFonts w:ascii="Arial" w:hAnsi="Arial" w:eastAsia="Arial" w:cs="Arial"/>
      <w:i/>
      <w:iCs/>
      <w:sz w:val="22"/>
      <w:szCs w:val="22"/>
    </w:rPr>
  </w:style>
  <w:style w:type="paragraph" w:styleId="920" w:customStyle="1">
    <w:name w:val="Heading 9"/>
    <w:basedOn w:val="842"/>
    <w:next w:val="842"/>
    <w:link w:val="921"/>
    <w:uiPriority w:val="9"/>
    <w:unhideWhenUsed/>
    <w:qFormat/>
    <w:pPr>
      <w:keepLines/>
      <w:keepNext/>
      <w:spacing w:before="320" w:after="200"/>
      <w:outlineLvl w:val="8"/>
    </w:pPr>
    <w:rPr>
      <w:rFonts w:ascii="Arial" w:hAnsi="Arial" w:eastAsia="Arial"/>
      <w:i/>
      <w:iCs/>
    </w:rPr>
  </w:style>
  <w:style w:type="character" w:styleId="921" w:customStyle="1">
    <w:name w:val="Heading 9 Char"/>
    <w:link w:val="920"/>
    <w:uiPriority w:val="9"/>
    <w:qFormat/>
    <w:rPr>
      <w:rFonts w:ascii="Arial" w:hAnsi="Arial" w:eastAsia="Arial" w:cs="Arial"/>
      <w:i/>
      <w:iCs/>
      <w:sz w:val="21"/>
      <w:szCs w:val="21"/>
    </w:rPr>
  </w:style>
  <w:style w:type="paragraph" w:styleId="922">
    <w:name w:val="List Paragraph"/>
    <w:basedOn w:val="842"/>
    <w:uiPriority w:val="0"/>
    <w:qFormat/>
    <w:pPr>
      <w:contextualSpacing/>
      <w:ind w:left="720"/>
      <w:jc w:val="left"/>
      <w:widowControl/>
    </w:pPr>
    <w:rPr>
      <w:rFonts w:ascii="Calibri" w:hAnsi="Calibri"/>
      <w:sz w:val="24"/>
      <w:szCs w:val="24"/>
      <w:lang w:eastAsia="en-US" w:bidi="en-US"/>
    </w:rPr>
  </w:style>
  <w:style w:type="paragraph" w:styleId="923">
    <w:name w:val="No Spacing"/>
    <w:link w:val="1104"/>
    <w:uiPriority w:val="1"/>
    <w:qFormat/>
    <w:pPr>
      <w:jc w:val="both"/>
      <w:widowControl w:val="off"/>
    </w:pPr>
    <w:rPr>
      <w:rFonts w:hint="default" w:ascii="Times New Roman" w:hAnsi="Times New Roman" w:eastAsia="宋体" w:cs="Times New Roman"/>
      <w:sz w:val="21"/>
      <w:szCs w:val="21"/>
    </w:rPr>
  </w:style>
  <w:style w:type="character" w:styleId="924" w:customStyle="1">
    <w:name w:val="标题 Char"/>
    <w:link w:val="886"/>
    <w:uiPriority w:val="10"/>
    <w:qFormat/>
    <w:rPr>
      <w:sz w:val="48"/>
      <w:szCs w:val="48"/>
    </w:rPr>
  </w:style>
  <w:style w:type="character" w:styleId="925" w:customStyle="1">
    <w:name w:val="副标题 Char"/>
    <w:link w:val="875"/>
    <w:uiPriority w:val="11"/>
    <w:qFormat/>
    <w:rPr>
      <w:sz w:val="24"/>
      <w:szCs w:val="24"/>
    </w:rPr>
  </w:style>
  <w:style w:type="paragraph" w:styleId="926">
    <w:name w:val="Quote"/>
    <w:basedOn w:val="842"/>
    <w:next w:val="842"/>
    <w:link w:val="927"/>
    <w:uiPriority w:val="29"/>
    <w:qFormat/>
    <w:pPr>
      <w:ind w:left="720" w:right="720"/>
    </w:pPr>
    <w:rPr>
      <w:i/>
      <w:sz w:val="20"/>
      <w:szCs w:val="20"/>
    </w:rPr>
  </w:style>
  <w:style w:type="character" w:styleId="927" w:customStyle="1">
    <w:name w:val="引用 Char"/>
    <w:link w:val="926"/>
    <w:uiPriority w:val="29"/>
    <w:qFormat/>
    <w:rPr>
      <w:i/>
    </w:rPr>
  </w:style>
  <w:style w:type="paragraph" w:styleId="928">
    <w:name w:val="Intense Quote"/>
    <w:basedOn w:val="842"/>
    <w:next w:val="842"/>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29" w:customStyle="1">
    <w:name w:val="明显引用 Char"/>
    <w:link w:val="928"/>
    <w:uiPriority w:val="30"/>
    <w:qFormat/>
    <w:rPr>
      <w:i/>
    </w:rPr>
  </w:style>
  <w:style w:type="paragraph" w:styleId="930" w:customStyle="1">
    <w:name w:val="Header1"/>
    <w:basedOn w:val="842"/>
    <w:link w:val="931"/>
    <w:uiPriority w:val="99"/>
    <w:unhideWhenUsed/>
    <w:qFormat/>
    <w:pPr>
      <w:tabs>
        <w:tab w:val="center" w:pos="7143" w:leader="none"/>
        <w:tab w:val="right" w:pos="14287" w:leader="none"/>
      </w:tabs>
    </w:pPr>
  </w:style>
  <w:style w:type="character" w:styleId="931" w:customStyle="1">
    <w:name w:val="Header Char"/>
    <w:link w:val="930"/>
    <w:uiPriority w:val="99"/>
    <w:qFormat/>
  </w:style>
  <w:style w:type="paragraph" w:styleId="932" w:customStyle="1">
    <w:name w:val="Footer1"/>
    <w:basedOn w:val="842"/>
    <w:link w:val="935"/>
    <w:uiPriority w:val="99"/>
    <w:unhideWhenUsed/>
    <w:qFormat/>
    <w:pPr>
      <w:tabs>
        <w:tab w:val="center" w:pos="7143" w:leader="none"/>
        <w:tab w:val="right" w:pos="14287" w:leader="none"/>
      </w:tabs>
    </w:pPr>
  </w:style>
  <w:style w:type="character" w:styleId="933" w:customStyle="1">
    <w:name w:val="Footer Char"/>
    <w:uiPriority w:val="99"/>
    <w:qFormat/>
  </w:style>
  <w:style w:type="paragraph" w:styleId="934" w:customStyle="1">
    <w:name w:val="Caption"/>
    <w:basedOn w:val="842"/>
    <w:next w:val="842"/>
    <w:uiPriority w:val="35"/>
    <w:semiHidden/>
    <w:unhideWhenUsed/>
    <w:qFormat/>
    <w:pPr>
      <w:spacing w:line="276" w:lineRule="auto"/>
    </w:pPr>
    <w:rPr>
      <w:b/>
      <w:bCs/>
      <w:color w:val="4f81bd"/>
      <w:sz w:val="18"/>
      <w:szCs w:val="18"/>
    </w:rPr>
  </w:style>
  <w:style w:type="character" w:styleId="935" w:customStyle="1">
    <w:name w:val="Caption Char"/>
    <w:link w:val="932"/>
    <w:uiPriority w:val="99"/>
    <w:qFormat/>
  </w:style>
  <w:style w:type="table" w:styleId="9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9" w:customStyle="1">
    <w:name w:val="Plain Table 3"/>
    <w:uiPriority w:val="99"/>
    <w:qFormat/>
    <w:tblPr>
      <w:tblCellMar>
        <w:left w:w="0" w:type="dxa"/>
        <w:top w:w="0" w:type="dxa"/>
        <w:right w:w="0" w:type="dxa"/>
        <w:bottom w:w="0" w:type="dxa"/>
      </w:tblCellMar>
    </w:tblPr>
  </w:style>
  <w:style w:type="table" w:styleId="940" w:customStyle="1">
    <w:name w:val="Plain Table 4"/>
    <w:uiPriority w:val="99"/>
    <w:qFormat/>
    <w:tblPr>
      <w:tblCellMar>
        <w:left w:w="0" w:type="dxa"/>
        <w:top w:w="0" w:type="dxa"/>
        <w:right w:w="0" w:type="dxa"/>
        <w:bottom w:w="0" w:type="dxa"/>
      </w:tblCellMar>
    </w:tblPr>
  </w:style>
  <w:style w:type="table" w:styleId="941" w:customStyle="1">
    <w:name w:val="Plain Table 5"/>
    <w:uiPriority w:val="99"/>
    <w:qFormat/>
    <w:tblPr>
      <w:tblCellMar>
        <w:left w:w="0" w:type="dxa"/>
        <w:top w:w="0" w:type="dxa"/>
        <w:right w:w="0" w:type="dxa"/>
        <w:bottom w:w="0" w:type="dxa"/>
      </w:tblCellMar>
    </w:tblPr>
  </w:style>
  <w:style w:type="table" w:styleId="94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1" w:customStyle="1">
    <w:name w:val="List Table 1 Light"/>
    <w:uiPriority w:val="99"/>
    <w:qFormat/>
    <w:tblPr>
      <w:tblCellMar>
        <w:left w:w="0" w:type="dxa"/>
        <w:top w:w="0" w:type="dxa"/>
        <w:right w:w="0" w:type="dxa"/>
        <w:bottom w:w="0" w:type="dxa"/>
      </w:tblCellMar>
    </w:tblPr>
  </w:style>
  <w:style w:type="table" w:styleId="992" w:customStyle="1">
    <w:name w:val="List Table 1 Light - Accent 1"/>
    <w:uiPriority w:val="99"/>
    <w:qFormat/>
    <w:tblPr>
      <w:tblCellMar>
        <w:left w:w="0" w:type="dxa"/>
        <w:top w:w="0" w:type="dxa"/>
        <w:right w:w="0" w:type="dxa"/>
        <w:bottom w:w="0" w:type="dxa"/>
      </w:tblCellMar>
    </w:tblPr>
  </w:style>
  <w:style w:type="table" w:styleId="993" w:customStyle="1">
    <w:name w:val="List Table 1 Light - Accent 2"/>
    <w:uiPriority w:val="99"/>
    <w:qFormat/>
    <w:tblPr>
      <w:tblCellMar>
        <w:left w:w="0" w:type="dxa"/>
        <w:top w:w="0" w:type="dxa"/>
        <w:right w:w="0" w:type="dxa"/>
        <w:bottom w:w="0" w:type="dxa"/>
      </w:tblCellMar>
    </w:tblPr>
  </w:style>
  <w:style w:type="table" w:styleId="994" w:customStyle="1">
    <w:name w:val="List Table 1 Light - Accent 3"/>
    <w:uiPriority w:val="99"/>
    <w:qFormat/>
    <w:tblPr>
      <w:tblCellMar>
        <w:left w:w="0" w:type="dxa"/>
        <w:top w:w="0" w:type="dxa"/>
        <w:right w:w="0" w:type="dxa"/>
        <w:bottom w:w="0" w:type="dxa"/>
      </w:tblCellMar>
    </w:tblPr>
  </w:style>
  <w:style w:type="table" w:styleId="995" w:customStyle="1">
    <w:name w:val="List Table 1 Light - Accent 4"/>
    <w:uiPriority w:val="99"/>
    <w:qFormat/>
    <w:tblPr>
      <w:tblCellMar>
        <w:left w:w="0" w:type="dxa"/>
        <w:top w:w="0" w:type="dxa"/>
        <w:right w:w="0" w:type="dxa"/>
        <w:bottom w:w="0" w:type="dxa"/>
      </w:tblCellMar>
    </w:tblPr>
  </w:style>
  <w:style w:type="table" w:styleId="996" w:customStyle="1">
    <w:name w:val="List Table 1 Light - Accent 5"/>
    <w:uiPriority w:val="99"/>
    <w:qFormat/>
    <w:tblPr>
      <w:tblCellMar>
        <w:left w:w="0" w:type="dxa"/>
        <w:top w:w="0" w:type="dxa"/>
        <w:right w:w="0" w:type="dxa"/>
        <w:bottom w:w="0" w:type="dxa"/>
      </w:tblCellMar>
    </w:tblPr>
  </w:style>
  <w:style w:type="table" w:styleId="997" w:customStyle="1">
    <w:name w:val="List Table 1 Light - Accent 6"/>
    <w:uiPriority w:val="99"/>
    <w:qFormat/>
    <w:tblPr>
      <w:tblCellMar>
        <w:left w:w="0" w:type="dxa"/>
        <w:top w:w="0" w:type="dxa"/>
        <w:right w:w="0" w:type="dxa"/>
        <w:bottom w:w="0" w:type="dxa"/>
      </w:tblCellMar>
    </w:tblPr>
  </w:style>
  <w:style w:type="table" w:styleId="99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0" w:customStyle="1">
    <w:name w:val="Lined - Accent"/>
    <w:uiPriority w:val="99"/>
    <w:qFormat/>
    <w:rPr>
      <w:color w:val="404040"/>
    </w:rPr>
    <w:tblPr>
      <w:tblCellMar>
        <w:left w:w="0" w:type="dxa"/>
        <w:top w:w="0" w:type="dxa"/>
        <w:right w:w="0" w:type="dxa"/>
        <w:bottom w:w="0" w:type="dxa"/>
      </w:tblCellMar>
    </w:tblPr>
  </w:style>
  <w:style w:type="table" w:styleId="1041" w:customStyle="1">
    <w:name w:val="Lined - Accent 1"/>
    <w:uiPriority w:val="99"/>
    <w:qFormat/>
    <w:rPr>
      <w:color w:val="404040"/>
    </w:rPr>
    <w:tblPr>
      <w:tblCellMar>
        <w:left w:w="0" w:type="dxa"/>
        <w:top w:w="0" w:type="dxa"/>
        <w:right w:w="0" w:type="dxa"/>
        <w:bottom w:w="0" w:type="dxa"/>
      </w:tblCellMar>
    </w:tblPr>
  </w:style>
  <w:style w:type="table" w:styleId="1042" w:customStyle="1">
    <w:name w:val="Lined - Accent 2"/>
    <w:uiPriority w:val="99"/>
    <w:qFormat/>
    <w:rPr>
      <w:color w:val="404040"/>
    </w:rPr>
    <w:tblPr>
      <w:tblCellMar>
        <w:left w:w="0" w:type="dxa"/>
        <w:top w:w="0" w:type="dxa"/>
        <w:right w:w="0" w:type="dxa"/>
        <w:bottom w:w="0" w:type="dxa"/>
      </w:tblCellMar>
    </w:tblPr>
  </w:style>
  <w:style w:type="table" w:styleId="1043" w:customStyle="1">
    <w:name w:val="Lined - Accent 3"/>
    <w:uiPriority w:val="99"/>
    <w:qFormat/>
    <w:rPr>
      <w:color w:val="404040"/>
    </w:rPr>
    <w:tblPr>
      <w:tblCellMar>
        <w:left w:w="0" w:type="dxa"/>
        <w:top w:w="0" w:type="dxa"/>
        <w:right w:w="0" w:type="dxa"/>
        <w:bottom w:w="0" w:type="dxa"/>
      </w:tblCellMar>
    </w:tblPr>
  </w:style>
  <w:style w:type="table" w:styleId="1044" w:customStyle="1">
    <w:name w:val="Lined - Accent 4"/>
    <w:uiPriority w:val="99"/>
    <w:qFormat/>
    <w:rPr>
      <w:color w:val="404040"/>
    </w:rPr>
    <w:tblPr>
      <w:tblCellMar>
        <w:left w:w="0" w:type="dxa"/>
        <w:top w:w="0" w:type="dxa"/>
        <w:right w:w="0" w:type="dxa"/>
        <w:bottom w:w="0" w:type="dxa"/>
      </w:tblCellMar>
    </w:tblPr>
  </w:style>
  <w:style w:type="table" w:styleId="1045" w:customStyle="1">
    <w:name w:val="Lined - Accent 5"/>
    <w:uiPriority w:val="99"/>
    <w:qFormat/>
    <w:rPr>
      <w:color w:val="404040"/>
    </w:rPr>
    <w:tblPr>
      <w:tblCellMar>
        <w:left w:w="0" w:type="dxa"/>
        <w:top w:w="0" w:type="dxa"/>
        <w:right w:w="0" w:type="dxa"/>
        <w:bottom w:w="0" w:type="dxa"/>
      </w:tblCellMar>
    </w:tblPr>
  </w:style>
  <w:style w:type="table" w:styleId="1046" w:customStyle="1">
    <w:name w:val="Lined - Accent 6"/>
    <w:uiPriority w:val="99"/>
    <w:qFormat/>
    <w:rPr>
      <w:color w:val="404040"/>
    </w:rPr>
    <w:tblPr>
      <w:tblCellMar>
        <w:left w:w="0" w:type="dxa"/>
        <w:top w:w="0" w:type="dxa"/>
        <w:right w:w="0" w:type="dxa"/>
        <w:bottom w:w="0" w:type="dxa"/>
      </w:tblCellMar>
    </w:tblPr>
  </w:style>
  <w:style w:type="table" w:styleId="10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1" w:customStyle="1">
    <w:name w:val="脚注文本 Char"/>
    <w:link w:val="877"/>
    <w:uiPriority w:val="99"/>
    <w:qFormat/>
    <w:rPr>
      <w:sz w:val="18"/>
    </w:rPr>
  </w:style>
  <w:style w:type="character" w:styleId="1062" w:customStyle="1">
    <w:name w:val="尾注文本 Char"/>
    <w:link w:val="869"/>
    <w:uiPriority w:val="99"/>
    <w:qFormat/>
    <w:rPr>
      <w:sz w:val="20"/>
    </w:rPr>
  </w:style>
  <w:style w:type="paragraph" w:styleId="1063" w:customStyle="1">
    <w:name w:val="TOC Heading"/>
    <w:uiPriority w:val="39"/>
    <w:unhideWhenUsed/>
    <w:qFormat/>
    <w:rPr>
      <w:rFonts w:hint="default" w:ascii="Times New Roman" w:hAnsi="Times New Roman" w:eastAsia="宋体" w:cs="Times New Roman"/>
    </w:rPr>
  </w:style>
  <w:style w:type="character" w:styleId="1064" w:customStyle="1">
    <w:name w:val="正文缩进 Char"/>
    <w:link w:val="854"/>
    <w:uiPriority w:val="0"/>
    <w:qFormat/>
    <w:rPr>
      <w:sz w:val="21"/>
      <w:szCs w:val="21"/>
    </w:rPr>
  </w:style>
  <w:style w:type="character" w:styleId="1065" w:customStyle="1">
    <w:name w:val="纯文本 Char"/>
    <w:link w:val="865"/>
    <w:uiPriority w:val="0"/>
    <w:qFormat/>
    <w:rPr>
      <w:rFonts w:ascii="宋体" w:hAnsi="Courier New" w:cs="Courier New"/>
      <w:sz w:val="21"/>
      <w:szCs w:val="21"/>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b/>
      <w:sz w:val="30"/>
      <w:szCs w:val="28"/>
      <w:lang w:val="en-US" w:eastAsia="zh-CN" w:bidi="ar-SA"/>
    </w:rPr>
  </w:style>
  <w:style w:type="paragraph" w:styleId="1068" w:customStyle="1">
    <w:name w:val="二级目录"/>
    <w:next w:val="842"/>
    <w:link w:val="1067"/>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1069" w:customStyle="1">
    <w:name w:val="列出段落 Char"/>
    <w:link w:val="1070"/>
    <w:uiPriority w:val="0"/>
    <w:qFormat/>
    <w:rPr>
      <w:rFonts w:ascii="Calibri" w:hAnsi="Calibri"/>
      <w:sz w:val="24"/>
      <w:szCs w:val="24"/>
      <w:lang w:eastAsia="en-US" w:bidi="en-US"/>
    </w:rPr>
  </w:style>
  <w:style w:type="paragraph" w:styleId="1070" w:customStyle="1">
    <w:name w:val="列出段落1"/>
    <w:basedOn w:val="842"/>
    <w:link w:val="1069"/>
    <w:uiPriority w:val="0"/>
    <w:qFormat/>
    <w:pPr>
      <w:contextualSpacing/>
      <w:ind w:left="720"/>
      <w:jc w:val="left"/>
      <w:widowControl/>
    </w:pPr>
    <w:rPr>
      <w:rFonts w:ascii="Calibri" w:hAnsi="Calibri"/>
      <w:sz w:val="24"/>
      <w:szCs w:val="24"/>
      <w:lang w:eastAsia="en-US" w:bidi="en-US"/>
    </w:rPr>
  </w:style>
  <w:style w:type="paragraph" w:styleId="1071" w:customStyle="1">
    <w:name w:val="普通 (Web)"/>
    <w:basedOn w:val="842"/>
    <w:uiPriority w:val="0"/>
    <w:qFormat/>
    <w:pPr>
      <w:jc w:val="left"/>
      <w:spacing w:before="100" w:beforeAutospacing="1" w:after="100" w:afterAutospacing="1"/>
      <w:widowControl/>
    </w:pPr>
    <w:rPr>
      <w:rFonts w:ascii="宋体" w:hAnsi="宋体"/>
      <w:sz w:val="24"/>
      <w:szCs w:val="24"/>
    </w:rPr>
  </w:style>
  <w:style w:type="paragraph" w:styleId="1072" w:customStyle="1">
    <w:name w:val="xl2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3" w:customStyle="1">
    <w:name w:val="标题1"/>
    <w:basedOn w:val="842"/>
    <w:next w:val="8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xl25"/>
    <w:basedOn w:val="8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5" w:customStyle="1">
    <w:name w:val="font6"/>
    <w:basedOn w:val="842"/>
    <w:uiPriority w:val="0"/>
    <w:qFormat/>
    <w:pPr>
      <w:jc w:val="left"/>
      <w:spacing w:before="100" w:beforeAutospacing="1" w:after="100" w:afterAutospacing="1"/>
      <w:widowControl/>
    </w:pPr>
    <w:rPr>
      <w:rFonts w:hint="eastAsia" w:ascii="宋体" w:hAnsi="宋体"/>
      <w:sz w:val="28"/>
      <w:szCs w:val="28"/>
      <w:u w:val="single"/>
    </w:rPr>
  </w:style>
  <w:style w:type="paragraph" w:styleId="1076" w:customStyle="1">
    <w:name w:val="xl30"/>
    <w:basedOn w:val="842"/>
    <w:uiPriority w:val="0"/>
    <w:qFormat/>
    <w:pPr>
      <w:jc w:val="center"/>
      <w:spacing w:before="100" w:beforeAutospacing="1" w:after="100" w:afterAutospacing="1"/>
      <w:widowControl/>
    </w:pPr>
    <w:rPr>
      <w:rFonts w:ascii="宋体" w:hAnsi="宋体"/>
      <w:b/>
      <w:bCs/>
      <w:sz w:val="36"/>
      <w:szCs w:val="36"/>
    </w:rPr>
  </w:style>
  <w:style w:type="paragraph" w:styleId="1077" w:customStyle="1">
    <w:name w:val="xl29"/>
    <w:basedOn w:val="84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xl27"/>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4"/>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Char Char Char Char Char Char Char Char"/>
    <w:basedOn w:val="842"/>
    <w:uiPriority w:val="0"/>
    <w:qFormat/>
    <w:pPr>
      <w:jc w:val="left"/>
      <w:spacing w:after="160" w:line="240" w:lineRule="exact"/>
      <w:widowControl/>
    </w:pPr>
    <w:rPr>
      <w:rFonts w:ascii="Verdana" w:hAnsi="Verdana"/>
      <w:sz w:val="20"/>
      <w:szCs w:val="20"/>
      <w:lang w:eastAsia="en-US"/>
    </w:rPr>
  </w:style>
  <w:style w:type="paragraph" w:styleId="1081" w:customStyle="1">
    <w:name w:val="Char Char Char Char Char Char Char Char1"/>
    <w:basedOn w:val="842"/>
    <w:uiPriority w:val="0"/>
    <w:qFormat/>
    <w:pPr>
      <w:jc w:val="left"/>
      <w:spacing w:after="160" w:line="240" w:lineRule="exact"/>
      <w:widowControl/>
    </w:pPr>
    <w:rPr>
      <w:rFonts w:ascii="Verdana" w:hAnsi="Verdana"/>
      <w:sz w:val="20"/>
      <w:szCs w:val="20"/>
      <w:lang w:eastAsia="en-US"/>
    </w:rPr>
  </w:style>
  <w:style w:type="paragraph" w:styleId="1082" w:customStyle="1">
    <w:name w:val="Char Char Char Char Char Char Char Char Char Char"/>
    <w:basedOn w:val="842"/>
    <w:uiPriority w:val="0"/>
    <w:qFormat/>
    <w:pPr>
      <w:spacing w:line="360" w:lineRule="auto"/>
    </w:pPr>
    <w:rPr>
      <w:sz w:val="24"/>
      <w:szCs w:val="20"/>
    </w:rPr>
  </w:style>
  <w:style w:type="paragraph" w:styleId="1083" w:customStyle="1">
    <w:name w:val="font5"/>
    <w:basedOn w:val="842"/>
    <w:uiPriority w:val="0"/>
    <w:qFormat/>
    <w:pPr>
      <w:jc w:val="left"/>
      <w:spacing w:before="100" w:beforeAutospacing="1" w:after="100" w:afterAutospacing="1"/>
      <w:widowControl/>
    </w:pPr>
    <w:rPr>
      <w:rFonts w:hint="eastAsia" w:ascii="宋体" w:hAnsi="宋体"/>
      <w:sz w:val="28"/>
      <w:szCs w:val="28"/>
    </w:rPr>
  </w:style>
  <w:style w:type="paragraph" w:styleId="1084" w:customStyle="1">
    <w:name w:val="table_lines"/>
    <w:basedOn w:val="842"/>
    <w:uiPriority w:val="0"/>
    <w:qFormat/>
    <w:pPr>
      <w:jc w:val="left"/>
      <w:widowControl/>
    </w:pPr>
    <w:rPr>
      <w:sz w:val="20"/>
      <w:szCs w:val="20"/>
      <w:lang w:val="de-DE" w:eastAsia="de-DE"/>
    </w:rPr>
  </w:style>
  <w:style w:type="paragraph" w:styleId="1085" w:customStyle="1">
    <w:name w:val="样式1"/>
    <w:basedOn w:val="842"/>
    <w:uiPriority w:val="0"/>
    <w:qFormat/>
    <w:pPr>
      <w:numPr>
        <w:ilvl w:val="0"/>
        <w:numId w:val="3"/>
      </w:numPr>
    </w:pPr>
    <w:rPr>
      <w:rFonts w:ascii="宋体" w:hAnsi="宋体"/>
    </w:rPr>
  </w:style>
  <w:style w:type="paragraph" w:styleId="108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87" w:customStyle="1">
    <w:name w:val="font7"/>
    <w:basedOn w:val="842"/>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Char"/>
    <w:basedOn w:val="842"/>
    <w:uiPriority w:val="0"/>
    <w:qFormat/>
    <w:pPr>
      <w:ind w:firstLine="200"/>
      <w:tabs>
        <w:tab w:val="left" w:pos="360" w:leader="none"/>
      </w:tabs>
    </w:pPr>
    <w:rPr>
      <w:sz w:val="28"/>
      <w:szCs w:val="30"/>
    </w:rPr>
  </w:style>
  <w:style w:type="paragraph" w:styleId="1089" w:customStyle="1">
    <w:name w:val="Char Char Char Char"/>
    <w:basedOn w:val="857"/>
    <w:uiPriority w:val="0"/>
    <w:qFormat/>
    <w:pPr>
      <w:spacing w:line="360" w:lineRule="auto"/>
    </w:pPr>
    <w:rPr>
      <w:rFonts w:ascii="Tahoma" w:hAnsi="Tahoma"/>
      <w:sz w:val="24"/>
      <w:szCs w:val="24"/>
    </w:rPr>
  </w:style>
  <w:style w:type="paragraph" w:styleId="1090" w:customStyle="1">
    <w:name w:val="Char Char Char Char1"/>
    <w:basedOn w:val="857"/>
    <w:uiPriority w:val="0"/>
    <w:qFormat/>
    <w:pPr>
      <w:spacing w:line="360" w:lineRule="auto"/>
    </w:pPr>
    <w:rPr>
      <w:rFonts w:ascii="Tahoma" w:hAnsi="Tahoma"/>
      <w:sz w:val="24"/>
      <w:szCs w:val="24"/>
    </w:rPr>
  </w:style>
  <w:style w:type="paragraph" w:styleId="1091" w:customStyle="1">
    <w:name w:val="Char1"/>
    <w:basedOn w:val="857"/>
    <w:uiPriority w:val="0"/>
    <w:qFormat/>
    <w:rPr>
      <w:rFonts w:ascii="Tahoma" w:hAnsi="Tahoma"/>
      <w:sz w:val="24"/>
      <w:szCs w:val="24"/>
    </w:rPr>
  </w:style>
  <w:style w:type="paragraph" w:styleId="1092" w:customStyle="1">
    <w:name w:val="标题3"/>
    <w:basedOn w:val="842"/>
    <w:next w:val="842"/>
    <w:uiPriority w:val="0"/>
    <w:qFormat/>
    <w:pPr>
      <w:ind w:firstLine="624"/>
      <w:spacing w:line="590" w:lineRule="atLeast"/>
    </w:pPr>
    <w:rPr>
      <w:rFonts w:ascii="方正黑体_GBK" w:eastAsia="方正黑体_GBK"/>
      <w:sz w:val="32"/>
      <w:szCs w:val="32"/>
    </w:rPr>
  </w:style>
  <w:style w:type="paragraph" w:styleId="1093" w:customStyle="1">
    <w:name w:val="table_1stline"/>
    <w:basedOn w:val="842"/>
    <w:uiPriority w:val="0"/>
    <w:qFormat/>
    <w:pPr>
      <w:jc w:val="left"/>
      <w:spacing w:before="120"/>
      <w:widowControl/>
    </w:pPr>
    <w:rPr>
      <w:bCs/>
      <w:sz w:val="20"/>
      <w:szCs w:val="20"/>
      <w:lang w:val="de-DE" w:eastAsia="de-DE"/>
    </w:rPr>
  </w:style>
  <w:style w:type="paragraph" w:styleId="1094" w:customStyle="1">
    <w:name w:val="Revision"/>
    <w:uiPriority w:val="99"/>
    <w:semiHidden/>
    <w:qFormat/>
    <w:rPr>
      <w:rFonts w:hint="default" w:ascii="Times New Roman" w:hAnsi="Times New Roman" w:eastAsia="宋体" w:cs="Times New Roman"/>
      <w:sz w:val="21"/>
      <w:szCs w:val="21"/>
    </w:rPr>
  </w:style>
  <w:style w:type="paragraph" w:styleId="1095" w:customStyle="1">
    <w:name w:val="4"/>
    <w:basedOn w:val="842"/>
    <w:next w:val="879"/>
    <w:uiPriority w:val="0"/>
    <w:qFormat/>
    <w:pPr>
      <w:ind w:firstLine="420"/>
      <w:spacing w:line="360" w:lineRule="auto"/>
    </w:pPr>
    <w:rPr>
      <w:color w:val="ff0000"/>
      <w:sz w:val="24"/>
      <w:szCs w:val="24"/>
    </w:rPr>
  </w:style>
  <w:style w:type="paragraph" w:styleId="1096" w:customStyle="1">
    <w:name w:val="普通正文"/>
    <w:basedOn w:val="842"/>
    <w:uiPriority w:val="0"/>
    <w:qFormat/>
    <w:pPr>
      <w:ind w:firstLine="480"/>
      <w:jc w:val="left"/>
      <w:spacing w:before="120" w:after="120" w:line="360" w:lineRule="auto"/>
    </w:pPr>
    <w:rPr>
      <w:rFonts w:ascii="Arial" w:hAnsi="Arial"/>
      <w:sz w:val="24"/>
      <w:szCs w:val="24"/>
    </w:rPr>
  </w:style>
  <w:style w:type="paragraph" w:styleId="1097" w:customStyle="1">
    <w:name w:val="图标"/>
    <w:basedOn w:val="842"/>
    <w:next w:val="8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customStyle="1">
    <w:name w:val="xl26"/>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9" w:customStyle="1">
    <w:name w:val="Body Text(ch)"/>
    <w:basedOn w:val="842"/>
    <w:next w:val="860"/>
    <w:uiPriority w:val="0"/>
    <w:qFormat/>
    <w:pPr>
      <w:spacing w:after="120"/>
    </w:pPr>
    <w:rPr>
      <w:rFonts w:ascii="宋体" w:hAnsi="Arial"/>
      <w:bCs/>
      <w:iCs/>
      <w:szCs w:val="24"/>
    </w:rPr>
  </w:style>
  <w:style w:type="paragraph" w:styleId="1100" w:customStyle="1">
    <w:name w:val="Default"/>
    <w:uiPriority w:val="99"/>
    <w:qFormat/>
    <w:pPr>
      <w:widowControl w:val="off"/>
    </w:pPr>
    <w:rPr>
      <w:rFonts w:hint="default" w:ascii="MS Mincho" w:hAnsi="Calibri" w:eastAsia="MS Mincho" w:cs="Times New Roman"/>
      <w:color w:val="000000"/>
      <w:sz w:val="24"/>
      <w:szCs w:val="24"/>
    </w:rPr>
  </w:style>
  <w:style w:type="paragraph" w:styleId="1101" w:customStyle="1">
    <w:name w:val="正文文本 211"/>
    <w:basedOn w:val="842"/>
    <w:uiPriority w:val="99"/>
    <w:qFormat/>
    <w:pPr>
      <w:jc w:val="center"/>
    </w:pPr>
    <w:rPr>
      <w:b/>
      <w:bCs/>
      <w:sz w:val="20"/>
      <w:szCs w:val="20"/>
    </w:rPr>
  </w:style>
  <w:style w:type="paragraph" w:styleId="1102" w:customStyle="1">
    <w:name w:val="样式 样式 样式 样式 标题 2 + 宋体 五号 非加粗 黑色 + 段前: 6 磅 段后: 0 磅 行距: 单倍行距 + 段前:..."/>
    <w:basedOn w:val="842"/>
    <w:uiPriority w:val="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103" w:customStyle="1">
    <w:name w:val="公文标题3"/>
    <w:basedOn w:val="845"/>
    <w:next w:val="842"/>
    <w:uiPriority w:val="0"/>
    <w:qFormat/>
    <w:pPr>
      <w:numPr>
        <w:ilvl w:val="2"/>
        <w:numId w:val="5"/>
      </w:numPr>
    </w:pPr>
    <w:rPr>
      <w:rFonts w:eastAsia="黑体"/>
      <w:sz w:val="30"/>
    </w:rPr>
  </w:style>
  <w:style w:type="character" w:styleId="1104" w:customStyle="1">
    <w:name w:val="无间隔 Char"/>
    <w:basedOn w:val="852"/>
    <w:link w:val="923"/>
    <w:uiPriority w:val="1"/>
    <w:qFormat/>
    <w:rPr>
      <w:sz w:val="21"/>
      <w:szCs w:val="21"/>
      <w:lang w:val="en-US" w:eastAsia="zh-CN" w:bidi="ar-SA"/>
    </w:rPr>
  </w:style>
  <w:style w:type="character" w:styleId="1105" w:customStyle="1">
    <w:name w:val="页眉 Char"/>
    <w:basedOn w:val="852"/>
    <w:uiPriority w:val="99"/>
    <w:qFormat/>
    <w:rPr>
      <w:sz w:val="18"/>
      <w:szCs w:val="18"/>
    </w:rPr>
  </w:style>
  <w:style w:type="character" w:styleId="1106" w:customStyle="1">
    <w:name w:val="页脚 Char"/>
    <w:basedOn w:val="852"/>
    <w:uiPriority w:val="99"/>
    <w:qFormat/>
    <w:rPr>
      <w:sz w:val="18"/>
      <w:szCs w:val="18"/>
    </w:rPr>
  </w:style>
  <w:style w:type="numbering" w:styleId="12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7" textRotate="1"/>
    <customShpInfo spid="_x0000_s4100" textRotate="1"/>
    <customShpInfo spid="_x0000_s4099" textRotate="1"/>
    <customShpInfo spid="_x0000_s4102" textRotate="1"/>
    <customShpInfo spid="_x0000_s4101" textRotate="1"/>
  </customShpExts>
</s:customData>
</file>

<file path=customXml/itemProps1.xml><?xml version="1.0" encoding="utf-8"?>
<ds:datastoreItem xmlns:ds="http://schemas.openxmlformats.org/officeDocument/2006/customXml" ds:itemID="{09E3F49E-4238-4292-B8E6-8184C84063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蔡文珺</cp:lastModifiedBy>
  <cp:revision>1882</cp:revision>
  <dcterms:created xsi:type="dcterms:W3CDTF">2023-03-24T07:56:00Z</dcterms:created>
  <dcterms:modified xsi:type="dcterms:W3CDTF">2026-10-29T05:25:46Z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eyJoZGlkIjoiOTkzYzU2MmFiOWRiOGFhMTI3NWE2Nzg4ODM2NWM1ZTciLCJ1c2VySWQiOiIyNTc4ODEyMTgifQ==</vt:lpwstr>
  </property>
  <property fmtid="{D5CDD505-2E9C-101B-9397-08002B2CF9AE}" pid="3" name="KSOProductBuildVer">
    <vt:lpwstr>2052-12.1.0.29161</vt:lpwstr>
  </property>
  <property fmtid="{D5CDD505-2E9C-101B-9397-08002B2CF9AE}" pid="4" name="ICV">
    <vt:lpwstr>B43955C5DC11428B8288B02691825BD0_12</vt:lpwstr>
  </property>
</Properties>
</file>