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609" w:leader="none"/>
        </w:tabs>
        <w:rPr>
          <w:bCs/>
          <w:color w:val="auto"/>
          <w:sz w:val="36"/>
          <w:szCs w:val="36"/>
          <w:highlight w:val="none"/>
        </w:rPr>
      </w:pPr>
      <w:r/>
      <w:bookmarkStart w:id="749" w:name="_GoBack"/>
      <w:r/>
      <w:bookmarkEnd w:id="749"/>
      <w:r/>
      <w:r/>
    </w:p>
    <w:p>
      <w:pPr>
        <w:ind w:left="2518" w:hanging="1800"/>
        <w:jc w:val="left"/>
        <w:spacing w:line="360" w:lineRule="auto"/>
        <w:tabs>
          <w:tab w:val="left" w:pos="5609" w:leader="none"/>
        </w:tabs>
        <w:rPr>
          <w:bCs/>
          <w:color w:val="auto"/>
          <w:sz w:val="36"/>
          <w:szCs w:val="36"/>
          <w:highlight w:val="none"/>
        </w:rPr>
      </w:pPr>
      <w:r>
        <w:rPr>
          <w:bCs/>
          <w:color w:val="auto"/>
          <w:sz w:val="36"/>
          <w:szCs w:val="36"/>
          <w:highlight w:val="none"/>
        </w:rPr>
        <w:t xml:space="preserve">项目名称：</w:t>
      </w:r>
      <w:r>
        <w:rPr>
          <w:rFonts w:hint="eastAsia" w:ascii="宋体" w:hAnsi="宋体" w:cs="宋体"/>
          <w:bCs/>
          <w:color w:val="auto"/>
          <w:sz w:val="36"/>
          <w:szCs w:val="36"/>
          <w:highlight w:val="none"/>
        </w:rPr>
        <w:t xml:space="preserve">竺山湖水生态提升重点任务支撑项目谋划技术服务项目</w:t>
      </w:r>
      <w:r/>
    </w:p>
    <w:p>
      <w:pPr>
        <w:ind w:firstLine="720"/>
        <w:jc w:val="left"/>
        <w:spacing w:line="360" w:lineRule="auto"/>
        <w:tabs>
          <w:tab w:val="left" w:pos="5609" w:leader="none"/>
        </w:tabs>
        <w:rPr>
          <w:rFonts w:hint="eastAsia" w:ascii="宋体" w:hAnsi="宋体" w:eastAsia="宋体" w:cs="宋体"/>
          <w:bCs/>
          <w:color w:val="auto"/>
          <w:sz w:val="36"/>
          <w:szCs w:val="36"/>
          <w:highlight w:val="none"/>
          <w:lang w:eastAsia="zh-CN"/>
        </w:rPr>
      </w:pPr>
      <w:r>
        <w:rPr>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JSZC-320400-YTZB-C2026-0042</w:t>
      </w:r>
      <w:r/>
    </w:p>
    <w:p>
      <w:pPr>
        <w:ind w:firstLine="72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常州市生态环境局</w:t>
      </w:r>
      <w:r/>
    </w:p>
    <w:p>
      <w:pPr>
        <w:ind w:firstLine="72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常州盈泰招标有限公司</w:t>
      </w:r>
      <w:r>
        <w:rPr>
          <w:bCs/>
          <w:color w:val="auto"/>
          <w:sz w:val="36"/>
          <w:szCs w:val="36"/>
          <w:highlight w:val="none"/>
        </w:rPr>
        <w:t xml:space="preserve"> </w:t>
      </w:r>
      <w:r/>
    </w:p>
    <w:p>
      <w:pPr>
        <w:jc w:val="left"/>
        <w:widowControl/>
        <w:rPr>
          <w:color w:val="auto"/>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38" w:orient="portrait"/>
          <w:pgMar w:top="1417" w:right="1134" w:bottom="1417" w:left="1191" w:header="850" w:footer="850" w:gutter="0"/>
          <w:pgNumType w:start="1"/>
          <w:cols w:num="1" w:sep="0" w:space="0" w:equalWidth="1"/>
          <w:docGrid w:linePitch="360"/>
          <w:titlePg/>
        </w:sectPr>
      </w:pPr>
      <w:r>
        <w:rPr>
          <w:color w:val="auto"/>
          <w:sz w:val="24"/>
          <w:highlight w:val="none"/>
        </w:rPr>
        <w:br w:type="page" w:clear="all"/>
      </w:r>
      <w:r/>
    </w:p>
    <w:p>
      <w:pPr>
        <w:jc w:val="left"/>
        <w:widowControl/>
        <w:rPr>
          <w:color w:val="auto"/>
          <w:sz w:val="24"/>
          <w:highlight w:val="none"/>
        </w:rPr>
      </w:pPr>
      <w:r>
        <w:rPr>
          <w:color w:val="auto"/>
          <w:sz w:val="24"/>
          <w:highlight w:val="none"/>
        </w:rPr>
      </w:r>
      <w:r/>
    </w:p>
    <w:p>
      <w:pPr>
        <w:pStyle w:val="1085"/>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3550"/>
      <w:r/>
      <w:bookmarkStart w:id="1" w:name="_Toc24329"/>
      <w:r/>
      <w:bookmarkStart w:id="2" w:name="_Toc104818924"/>
      <w:r/>
      <w:bookmarkStart w:id="3" w:name="_Toc19025"/>
      <w:r/>
      <w:bookmarkStart w:id="4" w:name="_Toc139291591"/>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bookmarkEnd w:id="3"/>
      <w:r/>
      <w:bookmarkEnd w:id="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7"/>
        <w:spacing w:line="360" w:lineRule="auto"/>
        <w:tabs>
          <w:tab w:val="clear" w:pos="1050" w:leader="none"/>
          <w:tab w:val="clear" w:pos="8937" w:leader="none"/>
          <w:tab w:val="right" w:pos="9412" w:leader="dot"/>
        </w:tabs>
        <w:rPr>
          <w:color w:val="auto"/>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color w:val="auto"/>
          <w:highlight w:val="none"/>
        </w:rPr>
        <w:fldChar w:fldCharType="begin"/>
      </w:r>
      <w:r>
        <w:rPr>
          <w:color w:val="auto"/>
          <w:highlight w:val="none"/>
        </w:rPr>
        <w:instrText xml:space="preserve"> HYPERLINK \l "_Toc3550" </w:instrText>
      </w:r>
      <w:r>
        <w:rPr>
          <w:color w:val="auto"/>
          <w:highlight w:val="none"/>
        </w:rPr>
        <w:fldChar w:fldCharType="separate"/>
      </w:r>
      <w:r>
        <w:rPr>
          <w:rFonts w:hint="eastAsia"/>
          <w:color w:val="auto"/>
          <w:szCs w:val="36"/>
          <w:highlight w:val="none"/>
        </w:rPr>
        <w:t xml:space="preserve">目</w:t>
      </w:r>
      <w:r>
        <w:rPr>
          <w:color w:val="auto"/>
          <w:szCs w:val="36"/>
          <w:highlight w:val="none"/>
        </w:rPr>
        <w:t xml:space="preserve">      </w:t>
      </w:r>
      <w:r>
        <w:rPr>
          <w:rFonts w:hint="eastAsia"/>
          <w:color w:val="auto"/>
          <w:szCs w:val="36"/>
          <w:highlight w:val="none"/>
        </w:rPr>
        <w:t xml:space="preserve"> 录</w:t>
      </w:r>
      <w:r>
        <w:rPr>
          <w:color w:val="auto"/>
          <w:highlight w:val="none"/>
        </w:rPr>
        <w:tab/>
      </w:r>
      <w:r>
        <w:rPr>
          <w:color w:val="auto"/>
          <w:highlight w:val="none"/>
        </w:rPr>
        <w:fldChar w:fldCharType="begin"/>
      </w:r>
      <w:r>
        <w:rPr>
          <w:color w:val="auto"/>
          <w:highlight w:val="none"/>
        </w:rPr>
        <w:instrText xml:space="preserve"> PAGEREF _Toc3550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"_Toc11801" </w:instrText>
      </w:r>
      <w:r>
        <w:rPr>
          <w:color w:val="auto"/>
          <w:highlight w:val="none"/>
        </w:rPr>
        <w:fldChar w:fldCharType="separate"/>
      </w:r>
      <w:r>
        <w:rPr>
          <w:color w:val="auto"/>
          <w:szCs w:val="36"/>
          <w:highlight w:val="none"/>
        </w:rPr>
        <w:t xml:space="preserve">第一章   采购邀请</w:t>
      </w:r>
      <w:r>
        <w:rPr>
          <w:color w:val="auto"/>
          <w:highlight w:val="none"/>
        </w:rPr>
        <w:tab/>
      </w:r>
      <w:r>
        <w:rPr>
          <w:color w:val="auto"/>
          <w:highlight w:val="none"/>
        </w:rPr>
        <w:fldChar w:fldCharType="begin"/>
      </w:r>
      <w:r>
        <w:rPr>
          <w:color w:val="auto"/>
          <w:highlight w:val="none"/>
        </w:rPr>
        <w:instrText xml:space="preserve"> PAGEREF _Toc11801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"_Toc1779" </w:instrText>
      </w:r>
      <w:r>
        <w:rPr>
          <w:color w:val="auto"/>
          <w:highlight w:val="none"/>
        </w:rPr>
        <w:fldChar w:fldCharType="separate"/>
      </w:r>
      <w:r>
        <w:rPr>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_Toc1779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"_Toc5297" </w:instrText>
      </w:r>
      <w:r>
        <w:rPr>
          <w:color w:val="auto"/>
          <w:highlight w:val="none"/>
        </w:rPr>
        <w:fldChar w:fldCharType="separate"/>
      </w:r>
      <w:r>
        <w:rPr>
          <w:rFonts w:hint="eastAsia"/>
          <w:color w:val="auto"/>
          <w:szCs w:val="36"/>
          <w:highlight w:val="none"/>
        </w:rPr>
        <w:t xml:space="preserve">第三章   </w:t>
      </w:r>
      <w:r>
        <w:rPr>
          <w:color w:val="auto"/>
          <w:szCs w:val="36"/>
          <w:highlight w:val="none"/>
        </w:rPr>
        <w:t xml:space="preserve">评审</w:t>
      </w:r>
      <w:r>
        <w:rPr>
          <w:rFonts w:hint="eastAsia"/>
          <w:color w:val="auto"/>
          <w:szCs w:val="36"/>
          <w:highlight w:val="none"/>
        </w:rPr>
        <w:t xml:space="preserve">程序、评审</w:t>
      </w:r>
      <w:r>
        <w:rPr>
          <w:color w:val="auto"/>
          <w:szCs w:val="36"/>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_Toc5297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"_Toc5064" </w:instrText>
      </w:r>
      <w:r>
        <w:rPr>
          <w:color w:val="auto"/>
          <w:highlight w:val="none"/>
        </w:rPr>
        <w:fldChar w:fldCharType="separate"/>
      </w:r>
      <w:r>
        <w:rPr>
          <w:rFonts w:hint="eastAsia"/>
          <w:color w:val="auto"/>
          <w:szCs w:val="36"/>
          <w:highlight w:val="none"/>
        </w:rPr>
        <w:t xml:space="preserve">第四章   </w:t>
      </w:r>
      <w:r>
        <w:rPr>
          <w:color w:val="auto"/>
          <w:szCs w:val="36"/>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_Toc5064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"_Toc2561" </w:instrText>
      </w:r>
      <w:r>
        <w:rPr>
          <w:color w:val="auto"/>
          <w:highlight w:val="none"/>
        </w:rPr>
        <w:fldChar w:fldCharType="separate"/>
      </w:r>
      <w:r>
        <w:rPr>
          <w:color w:val="auto"/>
          <w:szCs w:val="36"/>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_Toc2561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1067"/>
        <w:spacing w:line="360" w:lineRule="auto"/>
        <w:tabs>
          <w:tab w:val="clear" w:pos="1050" w:leader="none"/>
          <w:tab w:val="clear" w:pos="8937" w:leader="none"/>
          <w:tab w:val="right" w:pos="9412" w:leader="dot"/>
        </w:tabs>
        <w:rPr>
          <w:color w:val="auto"/>
          <w:highlight w:val="none"/>
        </w:rPr>
      </w:pPr>
      <w:r>
        <w:rPr>
          <w:color w:val="auto"/>
          <w:highlight w:val="none"/>
        </w:rPr>
        <w:fldChar w:fldCharType="begin"/>
      </w:r>
      <w:r>
        <w:rPr>
          <w:color w:val="auto"/>
          <w:highlight w:val="none"/>
        </w:rPr>
        <w:instrText xml:space="preserve"> HYPERLINK \l "_Toc18312" </w:instrText>
      </w:r>
      <w:r>
        <w:rPr>
          <w:color w:val="auto"/>
          <w:highlight w:val="none"/>
        </w:rPr>
        <w:fldChar w:fldCharType="separate"/>
      </w:r>
      <w:r>
        <w:rPr>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_Toc18312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1067"/>
        <w:spacing w:line="360" w:lineRule="auto"/>
        <w:rPr>
          <w:rFonts w:ascii="Times New Roman" w:hAnsi="Times New Roman"/>
          <w:b w:val="0"/>
          <w:color w:val="auto"/>
          <w:sz w:val="44"/>
          <w:szCs w:val="44"/>
          <w:highlight w:val="none"/>
        </w:rPr>
      </w:pPr>
      <w:r>
        <w:rPr>
          <w:rFonts w:ascii="Times New Roman" w:hAnsi="Times New Roman"/>
          <w:color w:val="auto"/>
          <w:szCs w:val="44"/>
          <w:highlight w:val="none"/>
        </w:rPr>
        <w:fldChar w:fldCharType="end"/>
      </w:r>
      <w:r/>
    </w:p>
    <w:p>
      <w:pPr>
        <w:pStyle w:val="1067"/>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footerReference w:type="default" r:id="rId17"/>
          <w:footerReference w:type="first" r:id="rId18"/>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5" w:name="_Toc11801"/>
      <w:r>
        <w:rPr>
          <w:b/>
          <w:color w:val="auto"/>
          <w:sz w:val="36"/>
          <w:szCs w:val="36"/>
          <w:highlight w:val="none"/>
        </w:rPr>
        <w:t xml:space="preserve">第一章   采购邀请</w:t>
      </w:r>
      <w:bookmarkEnd w:id="5"/>
      <w:r/>
      <w:bookmarkStart w:id="6" w:name="_Toc35393621"/>
      <w:r/>
      <w:bookmarkStart w:id="7" w:name="_Toc28359079"/>
      <w:r/>
      <w:bookmarkStart w:id="8" w:name="_Toc35393790"/>
      <w:r/>
      <w:bookmarkStart w:id="9" w:name="_Toc28359002"/>
      <w:r/>
      <w:bookmarkStart w:id="10" w:name="_Hlk24379207"/>
      <w:r/>
      <w:r/>
    </w:p>
    <w:p>
      <w:pPr>
        <w:ind w:firstLine="480"/>
        <w:spacing w:line="360" w:lineRule="auto"/>
        <w:rPr>
          <w:color w:val="auto"/>
          <w:sz w:val="24"/>
          <w:highlight w:val="none"/>
        </w:rPr>
      </w:pPr>
      <w:r>
        <w:rPr>
          <w:color w:val="auto"/>
          <w:sz w:val="24"/>
          <w:highlight w:val="none"/>
        </w:rPr>
      </w:r>
      <w:r/>
    </w:p>
    <w:p>
      <w:pPr>
        <w:pStyle w:val="1236"/>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JSZC-320400-YTZB-C2026-0042</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Start w:id="11" w:name="_Hlk139273959"/>
      <w:r>
        <w:rPr>
          <w:rFonts w:hint="eastAsia" w:ascii="宋体" w:hAnsi="宋体" w:cs="宋体"/>
          <w:color w:val="auto"/>
          <w:sz w:val="24"/>
          <w:highlight w:val="none"/>
        </w:rPr>
        <w:t xml:space="preserve">竺山湖水生态提升重点任务支撑项目谋划技术服务项目</w:t>
      </w:r>
      <w:bookmarkEnd w:id="1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1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4.项目预算金额：</w:t>
      </w:r>
      <w:r>
        <w:rPr>
          <w:rFonts w:hint="eastAsia" w:ascii="宋体" w:hAnsi="宋体" w:cs="宋体"/>
          <w:color w:val="auto"/>
          <w:sz w:val="24"/>
          <w:highlight w:val="none"/>
        </w:rPr>
        <w:t xml:space="preserve">人民币245万元</w:t>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项目最高限价（控制价）：</w:t>
      </w:r>
      <w:r>
        <w:rPr>
          <w:rFonts w:hint="eastAsia" w:ascii="宋体" w:hAnsi="宋体" w:cs="宋体"/>
          <w:color w:val="auto"/>
          <w:sz w:val="24"/>
          <w:highlight w:val="none"/>
        </w:rPr>
        <w:t xml:space="preserve">人民币245万元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w:t>
      </w:r>
      <w:r>
        <w:rPr>
          <w:rFonts w:hint="eastAsia" w:ascii="宋体" w:hAnsi="宋体"/>
          <w:color w:val="auto"/>
          <w:sz w:val="24"/>
          <w:highlight w:val="none"/>
        </w:rPr>
        <w:t xml:space="preserve">本项目为常州市生态环境局关于竺山湖水生态提升重点任务支撑项目谋划技术服务项目，竺山湖是太湖西部重要湖湾，设有竺山湖心、椒山2个国考断面，水质考核指标纳入常州市生态环境考核体系。“十四五”以来，我市持续推进太湖综合治理，太湖常州水域水质稳步改善。但截至2025年，常州水域总磷、总氮仍大幅高于太湖平均浓度，水质未达到Ⅲ类。今年上半年，总磷、总氮同比反弹，水环境改善形</w:t>
      </w:r>
      <w:r>
        <w:rPr>
          <w:rFonts w:hint="eastAsia" w:ascii="宋体" w:hAnsi="宋体"/>
          <w:color w:val="auto"/>
          <w:sz w:val="24"/>
          <w:highlight w:val="none"/>
        </w:rPr>
        <w:t xml:space="preserve">势严峻。但目前竺山湖综合治理推进滞后，仅开展少量湖区生态修复试点，近岸带生态缓冲区建设、全域系统性生态修复等重点工作进展缓慢，水质提升缺乏长效后劲。为持续优化区域水生态环境，亟需开展竺山湖水生态提升可行性研究，科学制定针对性治理方案，夯实水质长效提升基础。由于竺山湖水生态提升可行性研究涵盖污染溯源、水文流场模拟、水环境容量测算及全域生态修复系统谋划等多项内容，工作专业性强、技术难度高。为保障工作开展的专业性、规范性和成果的精准性，需委托专业第三方机构全程开展相关工作，为竺山湖水生态提质升级提供坚实技术保障。</w:t>
      </w:r>
      <w:r>
        <w:rPr>
          <w:rFonts w:hint="eastAsia"/>
          <w:color w:val="auto"/>
          <w:sz w:val="24"/>
          <w:highlight w:val="none"/>
        </w:rPr>
        <w:t xml:space="preserve">具体内容详见竞争性磋商文件。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6.合同履行期限：</w:t>
      </w:r>
      <w:bookmarkStart w:id="12" w:name="OLE_LINK21"/>
      <w:r>
        <w:rPr>
          <w:rFonts w:hint="eastAsia" w:ascii="宋体" w:hAnsi="宋体" w:cs="宋体"/>
          <w:color w:val="auto"/>
          <w:sz w:val="24"/>
          <w:highlight w:val="none"/>
        </w:rPr>
        <w:t xml:space="preserve">自合同签订生效之日至2027年6月30日。</w:t>
      </w:r>
      <w:bookmarkEnd w:id="1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7.本项目是否接受联合体：□是 ■否。</w:t>
      </w:r>
      <w:r/>
    </w:p>
    <w:p>
      <w:pPr>
        <w:ind w:firstLine="480"/>
        <w:spacing w:line="360" w:lineRule="auto"/>
        <w:rPr>
          <w:rFonts w:ascii="宋体" w:hAnsi="宋体" w:cs="宋体"/>
          <w:color w:val="auto"/>
          <w:sz w:val="24"/>
          <w:highlight w:val="none"/>
        </w:rPr>
      </w:pPr>
      <w:r/>
      <w:bookmarkStart w:id="13" w:name="_Toc35393622"/>
      <w:r/>
      <w:bookmarkStart w:id="14" w:name="_Toc28359003"/>
      <w:r/>
      <w:bookmarkStart w:id="15" w:name="_Toc28359080"/>
      <w:r/>
      <w:bookmarkStart w:id="16" w:name="_Toc35393791"/>
      <w:r>
        <w:rPr>
          <w:rFonts w:hint="eastAsia" w:ascii="宋体" w:hAnsi="宋体" w:cs="宋体"/>
          <w:color w:val="auto"/>
          <w:sz w:val="24"/>
          <w:highlight w:val="none"/>
        </w:rPr>
        <w:t xml:space="preserve">8.本项目是否接受进口产品响应：□是  ■否。</w:t>
      </w:r>
      <w:r/>
    </w:p>
    <w:p>
      <w:pPr>
        <w:pStyle w:val="1236"/>
        <w:ind w:firstLine="482"/>
        <w:jc w:val="left"/>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13"/>
      <w:r/>
      <w:bookmarkEnd w:id="14"/>
      <w:r/>
      <w:bookmarkEnd w:id="15"/>
      <w:r/>
      <w:bookmarkEnd w:id="16"/>
      <w:r/>
      <w:r/>
    </w:p>
    <w:p>
      <w:pPr>
        <w:ind w:firstLine="480"/>
        <w:spacing w:line="360" w:lineRule="auto"/>
        <w:rPr>
          <w:rFonts w:ascii="宋体" w:hAnsi="宋体" w:cs="宋体"/>
          <w:color w:val="auto"/>
          <w:sz w:val="24"/>
          <w:highlight w:val="none"/>
        </w:rPr>
      </w:pPr>
      <w:r/>
      <w:bookmarkStart w:id="17" w:name="_Toc28359004"/>
      <w:r/>
      <w:bookmarkStart w:id="18" w:name="_Toc28359081"/>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bookmarkStart w:id="19" w:name="OLE_LINK26"/>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本项目不专门面向中小企业预留采购份额。</w:t>
      </w:r>
      <w:bookmarkEnd w:id="1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采购。即：提供的服务全部由符合政策要求的中小企业承接。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其它落实政府采购政策的资格要求（如有）：</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3.3其他特定资格要求：无</w:t>
      </w:r>
      <w:r>
        <w:rPr>
          <w:rFonts w:hint="eastAsia" w:ascii="宋体" w:hAnsi="宋体" w:cs="宋体"/>
          <w:b/>
          <w:bCs/>
          <w:color w:val="auto"/>
          <w:sz w:val="24"/>
          <w:highlight w:val="none"/>
        </w:rPr>
        <w:t xml:space="preserve">。</w:t>
      </w:r>
      <w:bookmarkEnd w:id="17"/>
      <w:r/>
      <w:bookmarkEnd w:id="18"/>
      <w:r/>
      <w:r/>
    </w:p>
    <w:p>
      <w:pPr>
        <w:pStyle w:val="1236"/>
        <w:ind w:firstLine="482"/>
        <w:jc w:val="left"/>
        <w:spacing w:before="0" w:line="360" w:lineRule="auto"/>
        <w:widowControl/>
        <w:rPr>
          <w:rFonts w:ascii="宋体" w:hAnsi="宋体" w:eastAsia="宋体" w:cs="宋体"/>
          <w:color w:val="auto"/>
          <w:sz w:val="24"/>
          <w:szCs w:val="24"/>
          <w:highlight w:val="none"/>
        </w:rPr>
      </w:pPr>
      <w:r/>
      <w:bookmarkStart w:id="20" w:name="_Toc35393623"/>
      <w:r/>
      <w:bookmarkStart w:id="21" w:name="_Toc35393792"/>
      <w:r>
        <w:rPr>
          <w:rFonts w:hint="eastAsia" w:ascii="宋体" w:hAnsi="宋体" w:eastAsia="宋体" w:cs="宋体"/>
          <w:color w:val="auto"/>
          <w:sz w:val="24"/>
          <w:szCs w:val="24"/>
          <w:highlight w:val="none"/>
        </w:rPr>
        <w:t xml:space="preserve">三、获取采购文件</w:t>
      </w:r>
      <w:bookmarkEnd w:id="20"/>
      <w:r/>
      <w:bookmarkEnd w:id="21"/>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自公告发布之日起5个工作日。</w:t>
      </w:r>
      <w:r/>
    </w:p>
    <w:p>
      <w:pPr>
        <w:ind w:left="479"/>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2.地点：“苏采云”政府采购一体化平台</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4.售价：0元。</w:t>
      </w:r>
      <w:r/>
    </w:p>
    <w:p>
      <w:pPr>
        <w:pStyle w:val="1236"/>
        <w:ind w:firstLine="482"/>
        <w:jc w:val="left"/>
        <w:spacing w:before="0" w:line="360" w:lineRule="auto"/>
        <w:widowControl/>
        <w:rPr>
          <w:rFonts w:ascii="宋体" w:hAnsi="宋体" w:eastAsia="宋体" w:cs="宋体"/>
          <w:color w:val="auto"/>
          <w:sz w:val="24"/>
          <w:szCs w:val="24"/>
          <w:highlight w:val="none"/>
        </w:rPr>
      </w:pPr>
      <w:r/>
      <w:bookmarkStart w:id="22" w:name="_Toc28359082"/>
      <w:r/>
      <w:bookmarkStart w:id="23" w:name="_Toc28359005"/>
      <w:r/>
      <w:bookmarkStart w:id="24" w:name="_Toc35393624"/>
      <w:r/>
      <w:bookmarkStart w:id="25" w:name="_Toc35393793"/>
      <w:r>
        <w:rPr>
          <w:rFonts w:hint="eastAsia" w:ascii="宋体" w:hAnsi="宋体" w:eastAsia="宋体" w:cs="宋体"/>
          <w:color w:val="auto"/>
          <w:sz w:val="24"/>
          <w:szCs w:val="24"/>
          <w:highlight w:val="none"/>
        </w:rPr>
        <w:t xml:space="preserve">四、</w:t>
      </w:r>
      <w:bookmarkEnd w:id="22"/>
      <w:r/>
      <w:bookmarkEnd w:id="23"/>
      <w:r/>
      <w:bookmarkEnd w:id="24"/>
      <w:r/>
      <w:bookmarkEnd w:id="25"/>
      <w:r>
        <w:rPr>
          <w:rFonts w:hint="eastAsia" w:ascii="宋体" w:hAnsi="宋体" w:eastAsia="宋体" w:cs="宋体"/>
          <w:color w:val="auto"/>
          <w:sz w:val="24"/>
          <w:szCs w:val="24"/>
          <w:highlight w:val="none"/>
        </w:rPr>
        <w:t xml:space="preserve">响应文件提交</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bidi="ar"/>
        </w:rPr>
        <w:t xml:space="preserve">截止时间：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年10月9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09</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0分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地点：</w:t>
      </w:r>
      <w:r>
        <w:rPr>
          <w:rFonts w:hint="eastAsia" w:ascii="宋体" w:hAnsi="宋体" w:cs="宋体"/>
          <w:color w:val="auto"/>
          <w:sz w:val="24"/>
          <w:highlight w:val="none"/>
        </w:rPr>
        <w:t xml:space="preserve">本项目采用远程“不见面”交易方式，无需到现场提交，请供应商在提交时间截止前提前登入“苏采云”</w:t>
      </w:r>
      <w:r>
        <w:rPr>
          <w:rFonts w:hint="eastAsia" w:ascii="宋体" w:hAnsi="宋体" w:cs="宋体"/>
          <w:color w:val="auto"/>
          <w:sz w:val="24"/>
          <w:highlight w:val="none"/>
          <w:lang w:bidi="ar"/>
        </w:rPr>
        <w:t xml:space="preserve">政府采购一体化平台</w:t>
      </w:r>
      <w:r>
        <w:rPr>
          <w:rFonts w:hint="eastAsia" w:ascii="宋体" w:hAnsi="宋体" w:cs="宋体"/>
          <w:color w:val="auto"/>
          <w:sz w:val="24"/>
          <w:highlight w:val="none"/>
        </w:rPr>
        <w:t xml:space="preserve">（网址：</w:t>
      </w:r>
      <w:r/>
    </w:p>
    <w:p>
      <w:pPr>
        <w:ind w:firstLine="480"/>
        <w:spacing w:line="360" w:lineRule="auto"/>
        <w:rPr>
          <w:rFonts w:ascii="宋体" w:hAnsi="宋体" w:cs="宋体"/>
          <w:color w:val="auto"/>
          <w:sz w:val="24"/>
          <w:highlight w:val="none"/>
          <w:lang w:val="zh-TW" w:bidi="ar"/>
        </w:rPr>
      </w:pPr>
      <w:r>
        <w:rPr>
          <w:rFonts w:hint="eastAsia" w:ascii="宋体" w:hAnsi="宋体" w:cs="宋体"/>
          <w:color w:val="auto"/>
          <w:sz w:val="24"/>
          <w:highlight w:val="none"/>
        </w:rPr>
        <w:t xml:space="preserve">http://jszfcg.jsczt.cn/jszc/login?rf=http://jszfcg.jsczt.cn/jszc/workspaceForPurchaseCenter），通过系统在线提交电子磋商响应文件。</w:t>
      </w:r>
      <w:r/>
    </w:p>
    <w:p>
      <w:pPr>
        <w:pStyle w:val="1236"/>
        <w:ind w:firstLine="482"/>
        <w:jc w:val="left"/>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bidi="ar"/>
        </w:rPr>
        <w:t xml:space="preserve">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年10月9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09</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0分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地点：</w:t>
      </w:r>
      <w:r>
        <w:rPr>
          <w:rFonts w:hint="eastAsia" w:ascii="宋体" w:hAnsi="宋体" w:cs="宋体"/>
          <w:color w:val="auto"/>
          <w:sz w:val="24"/>
          <w:highlight w:val="none"/>
        </w:rPr>
        <w:t xml:space="preserve">本项目采用远程“不见面”交易方式，无需到现场提交，请供应商在开启时间截止前提前登入“苏采云”</w:t>
      </w:r>
      <w:r>
        <w:rPr>
          <w:rFonts w:hint="eastAsia" w:ascii="宋体" w:hAnsi="宋体" w:cs="宋体"/>
          <w:color w:val="auto"/>
          <w:sz w:val="24"/>
          <w:highlight w:val="none"/>
          <w:lang w:bidi="ar"/>
        </w:rPr>
        <w:t xml:space="preserve">政府采购一体化平台</w:t>
      </w:r>
      <w:r>
        <w:rPr>
          <w:rFonts w:hint="eastAsia" w:ascii="宋体" w:hAnsi="宋体" w:cs="宋体"/>
          <w:color w:val="auto"/>
          <w:sz w:val="24"/>
          <w:highlight w:val="none"/>
        </w:rPr>
        <w:t xml:space="preserve">（网址：</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http://jszfcg.jsczt.cn/jszc/login?rf=http://jszfcg.jsczt.cn/jszc/workspaceForPurchaseCenter），供应商自行选择互联网连接畅通的场地，在规定的时间内进行解密开启（系统语音提示允许解密后，供应商30分钟内完成解密，否则视为该供应商自动放弃该项目的响应，其响应文件采购人不予受理）。</w:t>
      </w:r>
      <w:r/>
    </w:p>
    <w:p>
      <w:pPr>
        <w:pStyle w:val="1236"/>
        <w:ind w:firstLine="482"/>
        <w:jc w:val="left"/>
        <w:spacing w:before="0" w:line="360" w:lineRule="auto"/>
        <w:rPr>
          <w:rFonts w:ascii="宋体" w:hAnsi="宋体" w:eastAsia="宋体" w:cs="宋体"/>
          <w:color w:val="auto"/>
          <w:sz w:val="24"/>
          <w:szCs w:val="24"/>
          <w:highlight w:val="none"/>
        </w:rPr>
      </w:pPr>
      <w:r/>
      <w:bookmarkStart w:id="26" w:name="_Toc35393794"/>
      <w:r/>
      <w:bookmarkStart w:id="27" w:name="_Toc28359084"/>
      <w:r/>
      <w:bookmarkStart w:id="28" w:name="_Toc28359007"/>
      <w:r/>
      <w:bookmarkStart w:id="29" w:name="_Toc35393625"/>
      <w:r>
        <w:rPr>
          <w:rFonts w:hint="eastAsia" w:ascii="宋体" w:hAnsi="宋体" w:eastAsia="宋体" w:cs="宋体"/>
          <w:color w:val="auto"/>
          <w:sz w:val="24"/>
          <w:szCs w:val="24"/>
          <w:highlight w:val="none"/>
        </w:rPr>
        <w:t xml:space="preserve">六、公告期限</w:t>
      </w:r>
      <w:bookmarkEnd w:id="26"/>
      <w:r/>
      <w:bookmarkEnd w:id="27"/>
      <w:r/>
      <w:bookmarkEnd w:id="28"/>
      <w:r/>
      <w:bookmarkEnd w:id="2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Style w:val="1236"/>
        <w:ind w:firstLine="482"/>
        <w:jc w:val="left"/>
        <w:spacing w:before="0" w:line="360" w:lineRule="auto"/>
        <w:rPr>
          <w:rFonts w:ascii="宋体" w:hAnsi="宋体" w:eastAsia="宋体" w:cs="宋体"/>
          <w:color w:val="auto"/>
          <w:sz w:val="24"/>
          <w:szCs w:val="24"/>
          <w:highlight w:val="none"/>
        </w:rPr>
      </w:pPr>
      <w:r/>
      <w:bookmarkStart w:id="30" w:name="_Toc35393795"/>
      <w:r/>
      <w:bookmarkStart w:id="31" w:name="_Toc35393626"/>
      <w:r>
        <w:rPr>
          <w:rFonts w:hint="eastAsia" w:ascii="宋体" w:hAnsi="宋体" w:eastAsia="宋体" w:cs="宋体"/>
          <w:color w:val="auto"/>
          <w:sz w:val="24"/>
          <w:szCs w:val="24"/>
          <w:highlight w:val="none"/>
        </w:rPr>
        <w:t xml:space="preserve">七、其他补充事宜</w:t>
      </w:r>
      <w:bookmarkEnd w:id="30"/>
      <w:r/>
      <w:bookmarkEnd w:id="3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lang w:bidi="ar"/>
        </w:rPr>
        <w:t xml:space="preserve">无。</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2.根据省财政厅《关于更换全省政府采购交易系统CA数字证书和电子签章的通知》（苏财购〔2023〕101号），“苏采云”政府采购一体化平台系统（以下简称苏采云系统</w:t>
      </w:r>
      <w:r>
        <w:rPr>
          <w:rFonts w:hint="eastAsia" w:ascii="宋体" w:hAnsi="宋体" w:cs="宋体"/>
          <w:color w:val="auto"/>
          <w:sz w:val="24"/>
          <w:highlight w:val="none"/>
          <w:lang w:bidi="ar"/>
        </w:rPr>
        <w:t xml:space="preserve">）的CA数字证书、电子签章已更换为江苏省电子政务证书认证中心CA和方正国际软件（北京）有限公司电子签章。如果供应商通过“苏采云”平台系统参与政府采购项目，需要更换CA数字证书和电子签章。具体办理指南和操作手册见链接：http://www.ccgp-jiangsu.gov.cn/jiangsu/zlxz/ee/ee3a4bc5a3454aa2b0d9312230633ce9.html、http://zfcg.changzhou.gov.cn/html/ns/down/921135080660472.html。</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cs="宋体"/>
          <w:bCs/>
          <w:color w:val="auto"/>
          <w:sz w:val="24"/>
          <w:highlight w:val="none"/>
          <w:lang w:bidi="ar"/>
        </w:rPr>
      </w:pPr>
      <w:r>
        <w:rPr>
          <w:rFonts w:hint="eastAsia" w:ascii="宋体" w:hAnsi="宋体" w:cs="宋体"/>
          <w:color w:val="auto"/>
          <w:sz w:val="24"/>
          <w:highlight w:val="none"/>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color w:val="auto"/>
          <w:sz w:val="24"/>
          <w:highlight w:val="none"/>
          <w:lang w:bidi="ar"/>
        </w:rPr>
        <w:t xml:space="preserve">数字认证证书情况确认是否符合本项目电子化采购流程要求。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技术支持服务热线    0519-85588210  0519-85588163</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CA认证证书办理（可邮寄）联系电话   0519-85588120</w:t>
      </w:r>
      <w:r/>
    </w:p>
    <w:p>
      <w:pPr>
        <w:ind w:firstLine="480"/>
        <w:spacing w:line="360" w:lineRule="auto"/>
        <w:rPr>
          <w:rFonts w:ascii="宋体" w:hAnsi="宋体" w:cs="宋体"/>
          <w:color w:val="auto"/>
          <w:sz w:val="24"/>
          <w:highlight w:val="none"/>
          <w:lang w:val="zh-TW" w:bidi="ar"/>
        </w:rPr>
      </w:pPr>
      <w:r>
        <w:rPr>
          <w:rFonts w:hint="eastAsia" w:ascii="宋体" w:hAnsi="宋体" w:cs="宋体"/>
          <w:color w:val="auto"/>
          <w:sz w:val="24"/>
          <w:highlight w:val="none"/>
          <w:lang w:bidi="ar"/>
        </w:rPr>
        <w:t xml:space="preserve">5</w:t>
      </w:r>
      <w:r>
        <w:rPr>
          <w:rFonts w:hint="eastAsia" w:ascii="宋体" w:hAnsi="宋体" w:cs="宋体"/>
          <w:color w:val="auto"/>
          <w:sz w:val="24"/>
          <w:highlight w:val="none"/>
          <w:lang w:val="zh-TW" w:bidi="ar"/>
        </w:rPr>
        <w:t xml:space="preserve">.关于常州市中小企业政府采购信用融资：</w:t>
      </w:r>
      <w:r/>
    </w:p>
    <w:p>
      <w:pPr>
        <w:ind w:firstLine="480"/>
        <w:spacing w:line="360" w:lineRule="auto"/>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236"/>
        <w:ind w:firstLine="482"/>
        <w:jc w:val="left"/>
        <w:spacing w:before="0" w:line="360" w:lineRule="auto"/>
        <w:rPr>
          <w:rFonts w:ascii="宋体" w:hAnsi="宋体" w:eastAsia="宋体" w:cs="宋体"/>
          <w:color w:val="auto"/>
          <w:sz w:val="24"/>
          <w:szCs w:val="24"/>
          <w:highlight w:val="none"/>
        </w:rPr>
      </w:pPr>
      <w:r/>
      <w:bookmarkStart w:id="32" w:name="_Toc28359085"/>
      <w:r/>
      <w:bookmarkStart w:id="33" w:name="_Toc28359008"/>
      <w:r/>
      <w:bookmarkStart w:id="34" w:name="_Toc35393627"/>
      <w:r/>
      <w:bookmarkStart w:id="35" w:name="_Toc35393796"/>
      <w:r>
        <w:rPr>
          <w:rFonts w:hint="eastAsia" w:ascii="宋体" w:hAnsi="宋体" w:eastAsia="宋体" w:cs="宋体"/>
          <w:color w:val="auto"/>
          <w:sz w:val="24"/>
          <w:szCs w:val="24"/>
          <w:highlight w:val="none"/>
        </w:rPr>
        <w:t xml:space="preserve">八、对本项目提出询问，请按以下方式联系。</w:t>
      </w:r>
      <w:bookmarkEnd w:id="32"/>
      <w:r/>
      <w:bookmarkEnd w:id="33"/>
      <w:r/>
      <w:bookmarkEnd w:id="34"/>
      <w:r/>
      <w:bookmarkEnd w:id="35"/>
      <w:r/>
      <w:r/>
    </w:p>
    <w:p>
      <w:pPr>
        <w:ind w:left="854" w:hanging="434"/>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1.采购人信息</w:t>
      </w:r>
      <w:r/>
    </w:p>
    <w:p>
      <w:pPr>
        <w:ind w:left="852" w:hanging="432"/>
        <w:jc w:val="left"/>
        <w:spacing w:line="360" w:lineRule="auto"/>
        <w:rPr>
          <w:rFonts w:ascii="宋体" w:hAnsi="宋体" w:cs="宋体"/>
          <w:color w:val="auto"/>
          <w:sz w:val="24"/>
          <w:highlight w:val="none"/>
        </w:rPr>
      </w:pPr>
      <w:r/>
      <w:bookmarkStart w:id="36" w:name="_Toc28359009"/>
      <w:r/>
      <w:bookmarkStart w:id="37" w:name="_Toc28359086"/>
      <w:r>
        <w:rPr>
          <w:rFonts w:hint="eastAsia" w:ascii="宋体" w:hAnsi="宋体" w:cs="宋体"/>
          <w:color w:val="auto"/>
          <w:sz w:val="24"/>
          <w:highlight w:val="none"/>
        </w:rPr>
        <w:t xml:space="preserve">名  称：</w:t>
      </w:r>
      <w:bookmarkStart w:id="38" w:name="_Hlk152606677"/>
      <w:r>
        <w:rPr>
          <w:rFonts w:hint="eastAsia" w:ascii="宋体" w:hAnsi="宋体" w:cs="宋体"/>
          <w:color w:val="auto"/>
          <w:sz w:val="24"/>
          <w:highlight w:val="none"/>
        </w:rPr>
        <w:t xml:space="preserve">常州市生态环境局</w:t>
      </w:r>
      <w:bookmarkEnd w:id="38"/>
      <w:r/>
      <w:r/>
    </w:p>
    <w:p>
      <w:pPr>
        <w:ind w:left="432" w:hanging="1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址：常州市新北区龙城大道1280号2号楼B座5楼</w:t>
      </w:r>
      <w:r/>
    </w:p>
    <w:p>
      <w:pPr>
        <w:ind w:left="432" w:right="0" w:hanging="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联系人：高女士</w:t>
      </w:r>
      <w:r/>
    </w:p>
    <w:p>
      <w:pPr>
        <w:ind w:left="432" w:right="0" w:hanging="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联系方式：0519-85686058</w:t>
      </w:r>
      <w:r>
        <w:rPr>
          <w:sz w:val="21"/>
        </w:rPr>
      </w:r>
      <w:r/>
    </w:p>
    <w:p>
      <w:pPr>
        <w:ind w:left="854" w:hanging="434"/>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6"/>
      <w:r/>
      <w:bookmarkEnd w:id="37"/>
      <w:r/>
      <w:r/>
    </w:p>
    <w:p>
      <w:pPr>
        <w:ind w:left="852" w:hanging="432"/>
        <w:jc w:val="left"/>
        <w:spacing w:line="360" w:lineRule="auto"/>
        <w:rPr>
          <w:rFonts w:ascii="宋体" w:hAnsi="宋体" w:cs="宋体"/>
          <w:color w:val="auto"/>
          <w:sz w:val="24"/>
          <w:highlight w:val="none"/>
        </w:rPr>
      </w:pPr>
      <w:r/>
      <w:bookmarkStart w:id="39" w:name="_Toc28359010"/>
      <w:r/>
      <w:bookmarkStart w:id="40" w:name="_Toc28359087"/>
      <w:r>
        <w:rPr>
          <w:rFonts w:hint="eastAsia" w:ascii="宋体" w:hAnsi="宋体" w:cs="宋体"/>
          <w:color w:val="auto"/>
          <w:sz w:val="24"/>
          <w:highlight w:val="none"/>
        </w:rPr>
        <w:t xml:space="preserve">名  称：常州盈泰招标有限公司</w:t>
      </w:r>
      <w:r/>
    </w:p>
    <w:p>
      <w:pPr>
        <w:ind w:left="852" w:hanging="43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址：常州市新北区太湖中路8号锦湖创新中心A座11楼</w:t>
      </w:r>
      <w:r/>
    </w:p>
    <w:p>
      <w:pPr>
        <w:ind w:left="852" w:hanging="43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联系方式：0519-89853339</w:t>
      </w:r>
      <w:r/>
    </w:p>
    <w:p>
      <w:pPr>
        <w:ind w:left="854" w:hanging="434"/>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3.项目联系方式</w:t>
      </w:r>
      <w:bookmarkEnd w:id="39"/>
      <w:r/>
      <w:bookmarkEnd w:id="40"/>
      <w:r/>
      <w:r/>
    </w:p>
    <w:p>
      <w:pPr>
        <w:ind w:left="852" w:hanging="432"/>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0"/>
          <w:highlight w:val="none"/>
        </w:rPr>
        <w:t xml:space="preserve">王女士      </w:t>
      </w:r>
      <w:r/>
    </w:p>
    <w:p>
      <w:pPr>
        <w:ind w:left="852" w:hanging="43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话：0519-89853339</w:t>
      </w:r>
      <w:r/>
    </w:p>
    <w:p>
      <w:pPr>
        <w:ind w:left="852" w:hanging="432"/>
        <w:jc w:val="left"/>
        <w:spacing w:line="360" w:lineRule="auto"/>
        <w:rPr>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b/>
          <w:color w:val="auto"/>
          <w:sz w:val="32"/>
          <w:szCs w:val="32"/>
          <w:highlight w:val="none"/>
        </w:rPr>
        <w:outlineLvl w:val="0"/>
      </w:pPr>
      <w:r>
        <w:rPr>
          <w:color w:val="auto"/>
          <w:sz w:val="24"/>
          <w:highlight w:val="none"/>
        </w:rPr>
        <w:br w:type="page" w:clear="all"/>
      </w:r>
      <w:bookmarkStart w:id="41" w:name="_Toc305158928"/>
      <w:r/>
      <w:bookmarkStart w:id="42" w:name="_Toc512937850"/>
      <w:r/>
      <w:bookmarkStart w:id="43" w:name="_Toc264969275"/>
      <w:r/>
      <w:bookmarkStart w:id="44" w:name="_Toc1779"/>
      <w:r/>
      <w:bookmarkStart w:id="45" w:name="_Toc150774783"/>
      <w:r/>
      <w:bookmarkStart w:id="46" w:name="_Toc353825548"/>
      <w:r/>
      <w:bookmarkStart w:id="47" w:name="_Toc226965856"/>
      <w:r/>
      <w:bookmarkStart w:id="48" w:name="_Toc353873938"/>
      <w:r/>
      <w:bookmarkStart w:id="49" w:name="_Toc127151777"/>
      <w:r/>
      <w:bookmarkStart w:id="50" w:name="_Toc127161488"/>
      <w:r/>
      <w:bookmarkStart w:id="51" w:name="_Toc265228423"/>
      <w:r/>
      <w:bookmarkStart w:id="52" w:name="_Toc195842950"/>
      <w:r/>
      <w:bookmarkStart w:id="53" w:name="_Toc305158854"/>
      <w:r>
        <w:rPr>
          <w:b/>
          <w:color w:val="auto"/>
          <w:sz w:val="36"/>
          <w:szCs w:val="36"/>
          <w:highlight w:val="none"/>
        </w:rPr>
        <w:t xml:space="preserve">第二章   供应商须知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1236"/>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54" w:name="_Toc151193689"/>
      <w:r/>
      <w:bookmarkStart w:id="55" w:name="_Toc142311021"/>
      <w:r/>
      <w:bookmarkStart w:id="56" w:name="_Toc164229214"/>
      <w:r/>
      <w:bookmarkStart w:id="57" w:name="_Toc127161433"/>
      <w:r/>
      <w:bookmarkStart w:id="58" w:name="_Toc226965792"/>
      <w:r/>
      <w:bookmarkStart w:id="59" w:name="_Toc226309763"/>
      <w:r/>
      <w:bookmarkStart w:id="60" w:name="_Toc164351613"/>
      <w:r/>
      <w:bookmarkStart w:id="61" w:name="_Toc164608633"/>
      <w:r/>
      <w:bookmarkStart w:id="62" w:name="_Toc151190146"/>
      <w:r/>
      <w:bookmarkStart w:id="63" w:name="_Toc149720812"/>
      <w:r/>
      <w:bookmarkStart w:id="64" w:name="_Toc150774619"/>
      <w:r/>
      <w:bookmarkStart w:id="65" w:name="_Toc151193761"/>
      <w:r/>
      <w:bookmarkStart w:id="66" w:name="_Toc226965709"/>
      <w:r/>
      <w:bookmarkStart w:id="67" w:name="_Toc164229360"/>
      <w:r/>
      <w:bookmarkStart w:id="68" w:name="_Toc127151720"/>
      <w:r/>
      <w:bookmarkStart w:id="69" w:name="_Toc150774724"/>
      <w:r/>
      <w:bookmarkStart w:id="70" w:name="_Toc164608788"/>
      <w:r/>
      <w:bookmarkStart w:id="71" w:name="_Toc150509270"/>
      <w:r/>
      <w:bookmarkStart w:id="72" w:name="_Toc195842884"/>
      <w:r/>
      <w:bookmarkStart w:id="73" w:name="_Toc151193833"/>
      <w:r/>
      <w:bookmarkStart w:id="74" w:name="_Toc520356144"/>
      <w:r/>
      <w:bookmarkStart w:id="75" w:name="_Toc226337215"/>
      <w:r/>
      <w:bookmarkStart w:id="76" w:name="_Toc151193617"/>
      <w:r/>
      <w:bookmarkStart w:id="77" w:name="_Toc151193907"/>
      <w:r/>
      <w:bookmarkStart w:id="78" w:name="_Toc127151519"/>
      <w:r/>
      <w:bookmarkStart w:id="79" w:name="_Toc150480757"/>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1052"/>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Ansi="宋体"/>
                <w:color w:val="auto"/>
                <w:sz w:val="24"/>
                <w:szCs w:val="24"/>
                <w:highlight w:val="none"/>
              </w:rPr>
              <w:t xml:space="preserve">2.3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w:t>
            </w:r>
            <w:r/>
          </w:p>
        </w:tc>
      </w:tr>
      <w:tr>
        <w:trPr>
          <w:cantSplit/>
          <w:jc w:val="center"/>
          <w:trHeight w:val="20"/>
        </w:trPr>
        <w:tc>
          <w:tcPr>
            <w:tcW w:w="988" w:type="dxa"/>
            <w:vAlign w:val="center"/>
            <w:vMerge w:val="restart"/>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□组织，考察时间：___</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分</w:t>
            </w:r>
            <w:r/>
          </w:p>
          <w:p>
            <w:pPr>
              <w:pStyle w:val="1270"/>
              <w:rPr>
                <w:rFonts w:hint="default" w:hAnsi="宋体" w:cs="宋体"/>
                <w:color w:val="auto"/>
                <w:sz w:val="24"/>
                <w:szCs w:val="24"/>
                <w:highlight w:val="none"/>
              </w:rPr>
            </w:pPr>
            <w:r>
              <w:rPr>
                <w:rFonts w:hAnsi="宋体" w:cs="宋体"/>
                <w:color w:val="auto"/>
                <w:sz w:val="24"/>
                <w:szCs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270"/>
              <w:jc w:val="center"/>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bookmarkStart w:id="80" w:name="OLE_LINK1"/>
            <w:r>
              <w:rPr>
                <w:rFonts w:hint="eastAsia" w:ascii="宋体" w:hAnsi="宋体" w:cs="宋体"/>
                <w:color w:val="auto"/>
                <w:sz w:val="24"/>
                <w:highlight w:val="none"/>
              </w:rPr>
              <w:t xml:space="preserve">□</w:t>
            </w:r>
            <w:bookmarkEnd w:id="80"/>
            <w:r>
              <w:rPr>
                <w:rFonts w:hint="eastAsia" w:ascii="宋体" w:hAnsi="宋体" w:cs="宋体"/>
                <w:color w:val="auto"/>
                <w:sz w:val="24"/>
                <w:highlight w:val="none"/>
              </w:rPr>
              <w:t xml:space="preserve">召开，召开时间：___</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召开地点：___________。</w:t>
            </w:r>
            <w:r/>
          </w:p>
        </w:tc>
      </w:tr>
      <w:tr>
        <w:trPr>
          <w:jc w:val="center"/>
          <w:trHeight w:val="583"/>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583"/>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olor w:val="auto"/>
                <w:sz w:val="24"/>
                <w:szCs w:val="24"/>
                <w:highlight w:val="none"/>
              </w:rPr>
              <w:t xml:space="preserve">4.9</w:t>
            </w:r>
            <w:r/>
          </w:p>
        </w:tc>
        <w:tc>
          <w:tcPr>
            <w:tcW w:w="1701" w:type="dxa"/>
            <w:vAlign w:val="center"/>
            <w:textDirection w:val="lrTb"/>
            <w:noWrap w:val="false"/>
          </w:tcPr>
          <w:p>
            <w:pPr>
              <w:jc w:val="center"/>
              <w:rPr>
                <w:rFonts w:ascii="宋体" w:hAnsi="宋体" w:cs="宋体"/>
                <w:color w:val="auto"/>
                <w:sz w:val="24"/>
                <w:highlight w:val="none"/>
              </w:rPr>
            </w:pPr>
            <w:r>
              <w:rPr>
                <w:color w:val="auto"/>
                <w:sz w:val="24"/>
                <w:highlight w:val="none"/>
              </w:rPr>
              <w:t xml:space="preserve">本国产品政策支持</w:t>
            </w:r>
            <w:r/>
          </w:p>
        </w:tc>
        <w:tc>
          <w:tcPr>
            <w:tcW w:w="7253" w:type="dxa"/>
            <w:vAlign w:val="center"/>
            <w:textDirection w:val="lrTb"/>
            <w:noWrap w:val="false"/>
          </w:tcPr>
          <w:p>
            <w:pPr>
              <w:pStyle w:val="1075"/>
              <w:spacing w:line="0" w:lineRule="atLeast"/>
              <w:rPr>
                <w:color w:val="auto"/>
                <w:highlight w:val="none"/>
              </w:rPr>
            </w:pPr>
            <w:r/>
            <w:bookmarkStart w:id="81" w:name="OLE_LINK30"/>
            <w:r>
              <w:rPr>
                <w:color w:val="auto"/>
                <w:highlight w:val="none"/>
              </w:rPr>
              <w:t xml:space="preserve">关于对采购本国产品给予政策支持，本项目：</w:t>
            </w:r>
            <w:r>
              <w:rPr>
                <w:rFonts w:hint="eastAsia" w:ascii="宋体" w:hAnsi="宋体" w:cs="宋体"/>
                <w:color w:val="auto"/>
                <w:highlight w:val="none"/>
              </w:rPr>
              <w:t xml:space="preserve">□</w:t>
            </w:r>
            <w:r>
              <w:rPr>
                <w:color w:val="auto"/>
                <w:highlight w:val="none"/>
              </w:rPr>
              <w:t xml:space="preserve">适用 </w:t>
            </w:r>
            <w:r>
              <w:rPr>
                <w:rFonts w:hint="eastAsia"/>
                <w:color w:val="auto"/>
                <w:highlight w:val="none"/>
              </w:rPr>
              <w:t xml:space="preserve">■</w:t>
            </w:r>
            <w:r>
              <w:rPr>
                <w:color w:val="auto"/>
                <w:highlight w:val="none"/>
              </w:rPr>
              <w:t xml:space="preserve">不适用。</w:t>
            </w:r>
            <w:bookmarkEnd w:id="81"/>
            <w:r/>
            <w:r/>
          </w:p>
          <w:p>
            <w:pPr>
              <w:jc w:val="left"/>
              <w:rPr>
                <w:rFonts w:ascii="宋体" w:hAnsi="宋体" w:cs="宋体"/>
                <w:color w:val="auto"/>
                <w:sz w:val="24"/>
                <w:highlight w:val="none"/>
              </w:rPr>
            </w:pPr>
            <w:r>
              <w:rPr>
                <w:color w:val="auto"/>
                <w:sz w:val="24"/>
                <w:highlight w:val="none"/>
                <w:shd w:val="clear" w:color="auto" w:fill="ffffff"/>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628"/>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2次报价，响应文件中的报价作为首次报价，首次报价不超最高限价（控制价），磋商小组应当要求所有实质性响应的供应商在规定时间内提交最后报价，最后报价作为评分依据。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465"/>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60</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□允许，具体要求：_______。</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（1）可以分包履行的具体内容：_______；</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（2）允许分包的金额或者比例：_______；</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（3）其他要求：_______。</w:t>
            </w:r>
            <w:r/>
          </w:p>
        </w:tc>
      </w:tr>
      <w:tr>
        <w:trPr>
          <w:jc w:val="center"/>
          <w:trHeight w:val="383"/>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常州盈泰招标有限公司</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0519-89853339</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常州市新北区太湖中路8号锦湖创新中心A座11楼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70"/>
              <w:jc w:val="center"/>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1085"/>
              <w:rPr>
                <w:rFonts w:ascii="宋体" w:hAnsi="宋体" w:cs="宋体"/>
                <w:color w:val="auto"/>
                <w:highlight w:val="none"/>
              </w:rPr>
            </w:pPr>
            <w:r>
              <w:rPr>
                <w:rFonts w:hint="eastAsia" w:ascii="宋体" w:hAnsi="宋体" w:cs="宋体"/>
                <w:color w:val="auto"/>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p>
          <w:p>
            <w:pPr>
              <w:pStyle w:val="1085"/>
              <w:rPr>
                <w:rFonts w:ascii="宋体" w:hAnsi="宋体" w:cs="宋体"/>
                <w:color w:val="auto"/>
                <w:highlight w:val="none"/>
              </w:rPr>
            </w:pPr>
            <w:r>
              <w:rPr>
                <w:rFonts w:hint="eastAsia" w:ascii="宋体" w:hAnsi="宋体" w:cs="宋体"/>
                <w:color w:val="auto"/>
                <w:highlight w:val="none"/>
              </w:rPr>
              <w:t xml:space="preserve">1.收费标准：</w:t>
            </w:r>
            <w:r/>
          </w:p>
          <w:tbl>
            <w:tblPr>
              <w:tblStyle w:val="1052"/>
              <w:tblW w:w="4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3"/>
              <w:gridCol w:w="1471"/>
            </w:tblGrid>
            <w:tr>
              <w:trPr>
                <w:jc w:val="center"/>
                <w:trHeight w:val="1853"/>
              </w:trPr>
              <w:tc>
                <w:tcPr>
                  <w:tcW w:w="3263" w:type="dxa"/>
                  <w:textDirection w:val="lrTb"/>
                  <w:noWrap w:val="false"/>
                </w:tcPr>
                <w:p>
                  <w:pPr>
                    <w:ind w:firstLine="1080"/>
                    <w:spacing w:line="440" w:lineRule="exact"/>
                    <w:rPr>
                      <w:rFonts w:ascii="宋体" w:hAnsi="宋体" w:cs="宋体"/>
                      <w:bCs/>
                      <w:color w:val="auto"/>
                      <w:sz w:val="24"/>
                      <w:highlight w:val="none"/>
                    </w:rPr>
                  </w:pP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327025</wp:posOffset>
                            </wp:positionH>
                            <wp:positionV relativeFrom="paragraph">
                              <wp:posOffset>8890</wp:posOffset>
                            </wp:positionV>
                            <wp:extent cx="1676400" cy="1666875"/>
                            <wp:effectExtent l="3175" t="3175" r="15875" b="6350"/>
                            <wp:wrapNone/>
                            <wp:docPr id="7" name="直接连接符 3"/>
                            <wp:cNvGraphicFramePr/>
                            <a:graphic xmlns:a="http://schemas.openxmlformats.org/drawingml/2006/main">
                              <a:graphicData uri="http://schemas.microsoft.com/office/word/2010/wordprocessingShape">
                                <wps:wsp>
                                  <wps:cNvPr id="0" name=""/>
                                  <wps:cNvSpPr/>
                                  <wps:spPr bwMode="auto">
                                    <a:xfrm flipH="1" flipV="1">
                                      <a:off x="0" y="0"/>
                                      <a:ext cx="1676400" cy="16668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25.8pt,0.7pt" to="157.8pt,131.9pt" fillcolor="#FFFFFF" strokecolor="#000000"/>
                        </w:pict>
                      </mc:Fallback>
                    </mc:AlternateContent>
                  </w: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auto"/>
                      <w:sz w:val="24"/>
                      <w:highlight w:val="none"/>
                    </w:rPr>
                    <w:t xml:space="preserve">服</w:t>
                  </w:r>
                  <w:r/>
                </w:p>
                <w:p>
                  <w:pPr>
                    <w:ind w:firstLine="24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费　　　   务</w:t>
                  </w:r>
                  <w:r/>
                </w:p>
                <w:p>
                  <w:pPr>
                    <w:ind w:firstLine="1440"/>
                    <w:spacing w:line="440" w:lineRule="exact"/>
                    <w:rPr>
                      <w:rFonts w:ascii="宋体" w:hAnsi="宋体" w:cs="宋体"/>
                      <w:bCs/>
                      <w:color w:val="auto"/>
                      <w:sz w:val="24"/>
                      <w:highlight w:val="none"/>
                    </w:rPr>
                  </w:pPr>
                  <w:r>
                    <w:rPr>
                      <w:rFonts w:hint="eastAsia"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-64135</wp:posOffset>
                            </wp:positionH>
                            <wp:positionV relativeFrom="paragraph">
                              <wp:posOffset>81915</wp:posOffset>
                            </wp:positionV>
                            <wp:extent cx="2077085" cy="1035050"/>
                            <wp:effectExtent l="1905" t="4445" r="16510" b="8255"/>
                            <wp:wrapNone/>
                            <wp:docPr id="9" name="直接连接符 5"/>
                            <wp:cNvGraphicFramePr/>
                            <a:graphic xmlns:a="http://schemas.openxmlformats.org/drawingml/2006/main">
                              <a:graphicData uri="http://schemas.microsoft.com/office/word/2010/wordprocessingShape">
                                <wps:wsp>
                                  <wps:cNvPr id="0" name=""/>
                                  <wps:cNvSpPr/>
                                  <wps:spPr bwMode="auto">
                                    <a:xfrm flipH="1" flipV="1">
                                      <a:off x="0" y="0"/>
                                      <a:ext cx="2077085" cy="10350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flip:xy;visibility:visible;" from="-5.0pt,6.4pt" to="158.5pt,88.0pt" filled="f" strokecolor="#000000"/>
                        </w:pict>
                      </mc:Fallback>
                    </mc:AlternateContent>
                  </w:r>
                  <w:r>
                    <w:rPr>
                      <w:rFonts w:hint="eastAsia" w:ascii="宋体" w:hAnsi="宋体" w:cs="宋体"/>
                      <w:bCs/>
                      <w:color w:val="auto"/>
                      <w:sz w:val="24"/>
                      <w:highlight w:val="none"/>
                    </w:rPr>
                    <w:t xml:space="preserve">　   类</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率　       型</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成交金额（万元）</w:t>
                  </w:r>
                  <w:r/>
                </w:p>
              </w:tc>
              <w:tc>
                <w:tcPr>
                  <w:tcW w:w="1471"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服务类</w:t>
                  </w:r>
                  <w:r/>
                </w:p>
              </w:tc>
            </w:tr>
            <w:tr>
              <w:trPr>
                <w:jc w:val="center"/>
              </w:trPr>
              <w:tc>
                <w:tcPr>
                  <w:tcW w:w="326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100（含，下同）以下</w:t>
                  </w:r>
                  <w:r/>
                </w:p>
              </w:tc>
              <w:tc>
                <w:tcPr>
                  <w:tcW w:w="1471"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Pr>
              <w:tc>
                <w:tcPr>
                  <w:tcW w:w="326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100-500</w:t>
                  </w:r>
                  <w:r/>
                </w:p>
              </w:tc>
              <w:tc>
                <w:tcPr>
                  <w:tcW w:w="1471"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Pr>
              <w:tc>
                <w:tcPr>
                  <w:tcW w:w="3263"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500-1000</w:t>
                  </w:r>
                  <w:r/>
                </w:p>
              </w:tc>
              <w:tc>
                <w:tcPr>
                  <w:tcW w:w="1471"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0.45%</w:t>
                  </w:r>
                  <w:r/>
                </w:p>
              </w:tc>
            </w:tr>
            <w:tr>
              <w:trPr>
                <w:jc w:val="center"/>
              </w:trPr>
              <w:tc>
                <w:tcPr>
                  <w:tcW w:w="3263"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471"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r>
          </w:tbl>
          <w:p>
            <w:pPr>
              <w:jc w:val="left"/>
              <w:rPr>
                <w:rFonts w:ascii="宋体" w:hAnsi="宋体" w:cs="宋体"/>
                <w:b/>
                <w:bCs/>
                <w:color w:val="auto"/>
                <w:sz w:val="24"/>
                <w:highlight w:val="none"/>
              </w:rPr>
            </w:pPr>
            <w:r>
              <w:rPr>
                <w:rFonts w:hint="eastAsia" w:ascii="宋体" w:hAnsi="宋体" w:cs="宋体"/>
                <w:color w:val="auto"/>
                <w:sz w:val="24"/>
                <w:highlight w:val="none"/>
              </w:rPr>
              <w:t xml:space="preserve">2.代理服务收费按差额定率累进法计算。</w:t>
            </w:r>
            <w:r/>
          </w:p>
          <w:p>
            <w:pPr>
              <w:jc w:val="left"/>
              <w:rPr>
                <w:rFonts w:ascii="宋体" w:hAnsi="宋体" w:cs="宋体"/>
                <w:color w:val="auto"/>
                <w:sz w:val="24"/>
                <w:highlight w:val="none"/>
              </w:rPr>
            </w:pPr>
            <w:r>
              <w:rPr>
                <w:rFonts w:hint="eastAsia" w:ascii="宋体" w:hAnsi="宋体" w:cs="宋体"/>
                <w:color w:val="auto"/>
                <w:sz w:val="24"/>
                <w:highlight w:val="none"/>
              </w:rPr>
              <w:t xml:space="preserve">3.代理服务收费按上述计算方法不足人民币3000元的，按人民币3000元收取。</w:t>
            </w:r>
            <w:r/>
          </w:p>
          <w:p>
            <w:pPr>
              <w:tabs>
                <w:tab w:val="left" w:pos="510" w:leader="none"/>
                <w:tab w:val="left" w:pos="735" w:leader="none"/>
                <w:tab w:val="left" w:pos="945" w:leader="none"/>
                <w:tab w:val="left" w:pos="1155"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4.缴纳时间：</w:t>
            </w:r>
            <w:r>
              <w:rPr>
                <w:rFonts w:hint="eastAsia" w:ascii="宋体" w:hAnsi="宋体" w:cs="宋体"/>
                <w:bCs/>
                <w:color w:val="auto"/>
                <w:sz w:val="24"/>
                <w:highlight w:val="none"/>
                <w:u w:val="single"/>
              </w:rPr>
              <w:t xml:space="preserve">成交供应商应在领取成交通知书前将代理服务费付至采购代理机构指定的收款账户。成交供应商如果未按规定交纳代理服务费，将保留诉讼权利。</w:t>
            </w:r>
            <w:r/>
          </w:p>
          <w:p>
            <w:pPr>
              <w:jc w:val="left"/>
              <w:rPr>
                <w:rFonts w:ascii="宋体" w:hAnsi="宋体" w:cs="宋体"/>
                <w:color w:val="auto"/>
                <w:sz w:val="24"/>
                <w:highlight w:val="none"/>
              </w:rPr>
            </w:pPr>
            <w:r>
              <w:rPr>
                <w:rFonts w:hint="eastAsia" w:ascii="宋体" w:hAnsi="宋体" w:cs="宋体"/>
                <w:color w:val="auto"/>
                <w:sz w:val="24"/>
                <w:highlight w:val="none"/>
              </w:rPr>
              <w:t xml:space="preserve">收款单位：常州盈泰招标有限公司</w:t>
            </w:r>
            <w:r/>
          </w:p>
          <w:p>
            <w:pPr>
              <w:jc w:val="left"/>
              <w:rPr>
                <w:rFonts w:ascii="宋体" w:hAnsi="宋体" w:cs="宋体"/>
                <w:color w:val="auto"/>
                <w:sz w:val="24"/>
                <w:highlight w:val="none"/>
              </w:rPr>
            </w:pPr>
            <w:r>
              <w:rPr>
                <w:rFonts w:hint="eastAsia" w:ascii="宋体" w:hAnsi="宋体" w:cs="宋体"/>
                <w:color w:val="auto"/>
                <w:sz w:val="24"/>
                <w:highlight w:val="none"/>
              </w:rPr>
              <w:t xml:space="preserve">开户银行：中国建设银行常州市延陵路支行</w:t>
            </w:r>
            <w:r/>
          </w:p>
          <w:p>
            <w:pPr>
              <w:jc w:val="left"/>
              <w:rPr>
                <w:rFonts w:ascii="宋体" w:hAnsi="宋体" w:cs="宋体"/>
                <w:color w:val="auto"/>
                <w:sz w:val="24"/>
                <w:highlight w:val="none"/>
              </w:rPr>
            </w:pPr>
            <w:r>
              <w:rPr>
                <w:rFonts w:hint="eastAsia" w:ascii="宋体" w:hAnsi="宋体" w:cs="宋体"/>
                <w:color w:val="auto"/>
                <w:sz w:val="24"/>
                <w:highlight w:val="none"/>
              </w:rPr>
              <w:t xml:space="preserve">银行账号：32050162853600001068</w:t>
            </w:r>
            <w:r/>
          </w:p>
        </w:tc>
      </w:tr>
    </w:tbl>
    <w:p>
      <w:pPr>
        <w:spacing w:line="360" w:lineRule="auto"/>
        <w:tabs>
          <w:tab w:val="left" w:pos="5580" w:leader="none"/>
        </w:tabs>
        <w:rPr>
          <w:color w:val="auto"/>
          <w:sz w:val="24"/>
          <w:highlight w:val="none"/>
        </w:rPr>
        <w:sectPr>
          <w:footerReference w:type="default" r:id="rId19"/>
          <w:footerReference w:type="first" r:id="rId20"/>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pStyle w:val="1043"/>
        <w:jc w:val="center"/>
        <w:spacing w:before="0" w:after="0" w:line="360" w:lineRule="auto"/>
        <w:tabs>
          <w:tab w:val="center" w:pos="4592" w:leader="none"/>
          <w:tab w:val="left" w:pos="7860" w:leader="none"/>
        </w:tabs>
        <w:rPr>
          <w:rFonts w:ascii="Times New Roman" w:hAnsi="Times New Roman" w:eastAsia="宋体"/>
          <w:b/>
          <w:bCs/>
          <w:color w:val="auto"/>
          <w:sz w:val="28"/>
          <w:highlight w:val="none"/>
        </w:rPr>
      </w:pPr>
      <w:r/>
      <w:bookmarkStart w:id="82" w:name="_Toc305158896"/>
      <w:r/>
      <w:bookmarkStart w:id="83" w:name="_Toc150774759"/>
      <w:r/>
      <w:bookmarkStart w:id="84" w:name="_Toc127151554"/>
      <w:r/>
      <w:bookmarkStart w:id="85" w:name="_Toc226337250"/>
      <w:r/>
      <w:bookmarkStart w:id="86" w:name="_Toc265228392"/>
      <w:r/>
      <w:bookmarkStart w:id="87" w:name="_Toc353825544"/>
      <w:r/>
      <w:bookmarkStart w:id="88" w:name="_Toc353873664"/>
      <w:r/>
      <w:bookmarkStart w:id="89" w:name="_Toc305158822"/>
      <w:r/>
      <w:bookmarkStart w:id="90" w:name="_Toc142311056"/>
      <w:r/>
      <w:bookmarkStart w:id="91" w:name="_Toc353873934"/>
      <w:r/>
      <w:bookmarkStart w:id="92" w:name="_Toc264969244"/>
      <w:r/>
      <w:bookmarkStart w:id="93" w:name="_Toc226965827"/>
      <w:r/>
      <w:bookmarkStart w:id="94" w:name="_Toc150480792"/>
      <w:r>
        <w:rPr>
          <w:rFonts w:ascii="Times New Roman" w:hAnsi="Times New Roman" w:eastAsia="宋体"/>
          <w:b/>
          <w:bCs/>
          <w:color w:val="auto"/>
          <w:sz w:val="28"/>
          <w:highlight w:val="none"/>
        </w:rPr>
        <w:t xml:space="preserve">供应商须知</w:t>
      </w:r>
      <w:r/>
    </w:p>
    <w:p>
      <w:pPr>
        <w:pStyle w:val="1043"/>
        <w:jc w:val="center"/>
        <w:spacing w:before="0" w:after="0" w:line="360" w:lineRule="auto"/>
        <w:tabs>
          <w:tab w:val="center" w:pos="4592" w:leader="none"/>
          <w:tab w:val="left" w:pos="7860" w:leader="none"/>
        </w:tabs>
        <w:rPr>
          <w:rFonts w:ascii="Times New Roman" w:hAnsi="Times New Roman" w:eastAsia="宋体"/>
          <w:color w:val="auto"/>
          <w:sz w:val="28"/>
          <w:highlight w:val="none"/>
        </w:rPr>
      </w:pPr>
      <w:r/>
      <w:bookmarkStart w:id="95" w:name="_Toc226337214"/>
      <w:r/>
      <w:bookmarkStart w:id="96" w:name="_Toc151193760"/>
      <w:r/>
      <w:bookmarkStart w:id="97" w:name="_Toc226309762"/>
      <w:r/>
      <w:bookmarkStart w:id="98" w:name="_Toc151193832"/>
      <w:r/>
      <w:bookmarkStart w:id="99" w:name="_Toc151193906"/>
      <w:r/>
      <w:bookmarkStart w:id="100" w:name="_Toc151190145"/>
      <w:r/>
      <w:bookmarkStart w:id="101" w:name="_Toc520356143"/>
      <w:r/>
      <w:bookmarkStart w:id="102" w:name="_Toc151193616"/>
      <w:r/>
      <w:bookmarkStart w:id="103" w:name="_Toc305158860"/>
      <w:r/>
      <w:bookmarkStart w:id="104" w:name="_Toc150774618"/>
      <w:r/>
      <w:bookmarkStart w:id="105" w:name="_Toc142311020"/>
      <w:r/>
      <w:bookmarkStart w:id="106" w:name="_Toc226965791"/>
      <w:r/>
      <w:bookmarkStart w:id="107" w:name="_Toc150774723"/>
      <w:r/>
      <w:bookmarkStart w:id="108" w:name="_Toc264969208"/>
      <w:r/>
      <w:bookmarkStart w:id="109" w:name="_Toc150509269"/>
      <w:r/>
      <w:bookmarkStart w:id="110" w:name="_Toc151193688"/>
      <w:r/>
      <w:bookmarkStart w:id="111" w:name="_Toc305158786"/>
      <w:r/>
      <w:bookmarkStart w:id="112" w:name="_Toc226965708"/>
      <w:r/>
      <w:bookmarkStart w:id="113" w:name="_Toc195842883"/>
      <w:r/>
      <w:bookmarkStart w:id="114" w:name="_Toc265228356"/>
      <w:r/>
      <w:bookmarkStart w:id="115" w:name="_Toc127151518"/>
      <w:r/>
      <w:bookmarkStart w:id="116" w:name="_Toc150480756"/>
      <w:r>
        <w:rPr>
          <w:rFonts w:ascii="Times New Roman" w:hAnsi="Times New Roman" w:eastAsia="宋体"/>
          <w:b/>
          <w:bCs/>
          <w:color w:val="auto"/>
          <w:sz w:val="28"/>
          <w:highlight w:val="none"/>
        </w:rPr>
        <w:t xml:space="preserve">一、说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2"/>
        <w:spacing w:line="360" w:lineRule="auto"/>
        <w:tabs>
          <w:tab w:val="left" w:pos="360" w:leader="none"/>
        </w:tabs>
        <w:rPr>
          <w:rFonts w:ascii="宋体" w:hAnsi="宋体" w:cs="宋体"/>
          <w:b/>
          <w:bCs/>
          <w:color w:val="auto"/>
          <w:sz w:val="24"/>
          <w:highlight w:val="none"/>
        </w:rPr>
        <w:outlineLvl w:val="1"/>
      </w:pPr>
      <w:r/>
      <w:bookmarkStart w:id="117" w:name="_Toc264969209"/>
      <w:r/>
      <w:bookmarkStart w:id="118" w:name="_Toc305158787"/>
      <w:r/>
      <w:bookmarkStart w:id="119" w:name="_Toc265228357"/>
      <w:r/>
      <w:bookmarkStart w:id="120" w:name="_Toc305158861"/>
      <w:r>
        <w:rPr>
          <w:rFonts w:hint="eastAsia" w:ascii="宋体" w:hAnsi="宋体" w:cs="宋体"/>
          <w:b/>
          <w:bCs/>
          <w:color w:val="auto"/>
          <w:sz w:val="24"/>
          <w:highlight w:val="none"/>
        </w:rPr>
        <w:t xml:space="preserve">1 采购人、采购代理机构、供应商</w:t>
      </w:r>
      <w:bookmarkEnd w:id="117"/>
      <w:r/>
      <w:bookmarkEnd w:id="118"/>
      <w:r/>
      <w:bookmarkEnd w:id="119"/>
      <w:r/>
      <w:bookmarkEnd w:id="120"/>
      <w:r>
        <w:rPr>
          <w:rFonts w:hint="eastAsia" w:ascii="宋体" w:hAnsi="宋体" w:cs="宋体"/>
          <w:b/>
          <w:bCs/>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1.1 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1.2 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1.3 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b/>
          <w:bCs/>
          <w:color w:val="auto"/>
          <w:sz w:val="24"/>
          <w:highlight w:val="none"/>
        </w:rPr>
        <w:outlineLvl w:val="1"/>
      </w:pPr>
      <w:r/>
      <w:bookmarkStart w:id="121" w:name="_Toc265228358"/>
      <w:r/>
      <w:bookmarkStart w:id="122" w:name="_Toc151193762"/>
      <w:r/>
      <w:bookmarkStart w:id="123" w:name="_Toc226309764"/>
      <w:r/>
      <w:bookmarkStart w:id="124" w:name="_Toc164229215"/>
      <w:r/>
      <w:bookmarkStart w:id="125" w:name="_Toc264969210"/>
      <w:r/>
      <w:bookmarkStart w:id="126" w:name="_Toc164608789"/>
      <w:r/>
      <w:bookmarkStart w:id="127" w:name="_Toc226965793"/>
      <w:r/>
      <w:bookmarkStart w:id="128" w:name="_Toc127151520"/>
      <w:r/>
      <w:bookmarkStart w:id="129" w:name="_Toc142311022"/>
      <w:r/>
      <w:bookmarkStart w:id="130" w:name="_Toc164229361"/>
      <w:r/>
      <w:bookmarkStart w:id="131" w:name="_Toc305158788"/>
      <w:r/>
      <w:bookmarkStart w:id="132" w:name="_Toc151193908"/>
      <w:r/>
      <w:bookmarkStart w:id="133" w:name="_Toc151193834"/>
      <w:r/>
      <w:bookmarkStart w:id="134" w:name="_Toc151190147"/>
      <w:r/>
      <w:bookmarkStart w:id="135" w:name="_Toc164351614"/>
      <w:r/>
      <w:bookmarkStart w:id="136" w:name="_Toc149720813"/>
      <w:r/>
      <w:bookmarkStart w:id="137" w:name="_Toc150774620"/>
      <w:r/>
      <w:bookmarkStart w:id="138" w:name="_Toc151193690"/>
      <w:r/>
      <w:bookmarkStart w:id="139" w:name="_Toc226337216"/>
      <w:r/>
      <w:bookmarkStart w:id="140" w:name="_Toc164608634"/>
      <w:r/>
      <w:bookmarkStart w:id="141" w:name="_Toc151193618"/>
      <w:r/>
      <w:bookmarkStart w:id="142" w:name="_Toc127151721"/>
      <w:r/>
      <w:bookmarkStart w:id="143" w:name="_Toc195842885"/>
      <w:r/>
      <w:bookmarkStart w:id="144" w:name="_Toc150480758"/>
      <w:r/>
      <w:bookmarkStart w:id="145" w:name="_Toc226965710"/>
      <w:r/>
      <w:bookmarkStart w:id="146" w:name="_Toc150509271"/>
      <w:r/>
      <w:bookmarkStart w:id="147" w:name="_Toc127161434"/>
      <w:r/>
      <w:bookmarkStart w:id="148" w:name="_Toc305158862"/>
      <w:r/>
      <w:bookmarkStart w:id="149" w:name="_Toc150774725"/>
      <w:r>
        <w:rPr>
          <w:rFonts w:hint="eastAsia" w:ascii="宋体" w:hAnsi="宋体" w:cs="宋体"/>
          <w:b/>
          <w:bCs/>
          <w:color w:val="auto"/>
          <w:sz w:val="24"/>
          <w:highlight w:val="none"/>
        </w:rPr>
        <w:t xml:space="preserve">2 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bCs/>
          <w:color w:val="auto"/>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 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 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 是否属于科研仪器设备采购见《供应商须知资料表》。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 现场考察、磋商前答疑会</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3.1 若《供应商须知资料表》中规定了组织现场考察、召开磋商前答疑会，则供应商应按要求在规定的时间和地点参加。</w:t>
      </w:r>
      <w:bookmarkStart w:id="150" w:name="_Toc226965712"/>
      <w:r/>
      <w:bookmarkStart w:id="151" w:name="_Toc264969212"/>
      <w:r/>
      <w:bookmarkStart w:id="152" w:name="_Toc195842887"/>
      <w:r/>
      <w:bookmarkStart w:id="153" w:name="_Toc142311024"/>
      <w:r/>
      <w:bookmarkStart w:id="154" w:name="_Toc305158864"/>
      <w:r/>
      <w:bookmarkStart w:id="155" w:name="_Toc151193692"/>
      <w:r/>
      <w:bookmarkStart w:id="156" w:name="_Toc265228360"/>
      <w:r/>
      <w:bookmarkStart w:id="157" w:name="_Toc127151522"/>
      <w:r/>
      <w:bookmarkStart w:id="158" w:name="_Toc150480760"/>
      <w:r/>
      <w:bookmarkStart w:id="159" w:name="_Toc151193620"/>
      <w:r/>
      <w:bookmarkStart w:id="160" w:name="_Toc151193910"/>
      <w:r/>
      <w:bookmarkStart w:id="161" w:name="_Toc151190149"/>
      <w:r/>
      <w:bookmarkStart w:id="162" w:name="_Toc226309766"/>
      <w:r/>
      <w:bookmarkStart w:id="163" w:name="_Toc305158790"/>
      <w:r/>
      <w:bookmarkStart w:id="164" w:name="_Toc150509273"/>
      <w:r/>
      <w:bookmarkStart w:id="165" w:name="_Toc226337218"/>
      <w:r/>
      <w:bookmarkStart w:id="166" w:name="_Toc151193764"/>
      <w:r/>
      <w:bookmarkStart w:id="167" w:name="_Toc151193836"/>
      <w:r/>
      <w:bookmarkStart w:id="168" w:name="_Toc520356146"/>
      <w:r/>
      <w:bookmarkStart w:id="169" w:name="_Toc150774727"/>
      <w:r/>
      <w:bookmarkStart w:id="170" w:name="_Toc226965795"/>
      <w:r/>
      <w:bookmarkStart w:id="171" w:name="_Toc150774622"/>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3.2 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 政府采购政策（包括但不限于下列具体政策要求）</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 进口产品</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4.2 中小企业、监狱企业及残疾人福利性单位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 中小企业定义：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 政府采购节能产品、环境标志产品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 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 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 支持乡村产业振兴管理</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 为落实《关于运用政府采购政策支持乡村产业振兴的通知》（财库〔2021〕19号）有关要求，做好支持脱贫攻坚工作，本项目采购活动中对于支持乡村振兴管理的相关要求见第四章《采购需求》（如涉及）。</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 正版软件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 政府采购创新产品政策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4.6.1 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4.7.1 绿色数据中心政策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4.7.3 优先使用低挥发性有机化合物产品</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 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 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4.8.2 </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b/>
          <w:bCs/>
          <w:color w:val="auto"/>
          <w:sz w:val="24"/>
          <w:highlight w:val="none"/>
        </w:rPr>
      </w:pPr>
      <w:r>
        <w:rPr>
          <w:rFonts w:hint="eastAsia" w:ascii="宋体" w:hAnsi="宋体" w:cs="宋体"/>
          <w:b/>
          <w:bCs/>
          <w:color w:val="auto"/>
          <w:sz w:val="24"/>
          <w:highlight w:val="none"/>
        </w:rPr>
        <w:t xml:space="preserve">4.9 采购本国产品的支持政策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 响应费用</w:t>
      </w:r>
      <w:r/>
    </w:p>
    <w:p>
      <w:pPr>
        <w:numPr>
          <w:ilvl w:val="1"/>
          <w:numId w:val="0"/>
        </w:numPr>
        <w:ind w:firstLine="480"/>
        <w:spacing w:line="360" w:lineRule="auto"/>
        <w:tabs>
          <w:tab w:val="left" w:pos="1080" w:leader="none"/>
          <w:tab w:val="left" w:pos="2014" w:leader="none"/>
        </w:tabs>
        <w:rPr>
          <w:rStyle w:val="1325"/>
          <w:rFonts w:hAnsi="宋体" w:cs="宋体"/>
          <w:color w:val="auto"/>
          <w:sz w:val="24"/>
          <w:highlight w:val="none"/>
        </w:rPr>
      </w:pPr>
      <w:r>
        <w:rPr>
          <w:rFonts w:hint="eastAsia" w:ascii="宋体" w:hAnsi="宋体" w:cs="宋体"/>
          <w:color w:val="auto"/>
          <w:sz w:val="24"/>
          <w:highlight w:val="none"/>
        </w:rPr>
        <w:t xml:space="preserve">5.1 供应商应自行承担所有与准备和参加磋商有关的费用，无论磋商的结果如何，采购人或采购代理机构在任何情况下均无承担这些费用的义务和责任。</w:t>
      </w:r>
      <w:bookmarkStart w:id="172" w:name="_1.8_计量单位"/>
      <w:r/>
      <w:bookmarkEnd w:id="172"/>
      <w:r/>
      <w:r/>
    </w:p>
    <w:p>
      <w:pPr>
        <w:pStyle w:val="1043"/>
        <w:jc w:val="center"/>
        <w:spacing w:before="0"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二、竞争性磋商文件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82"/>
        <w:spacing w:line="360" w:lineRule="auto"/>
        <w:tabs>
          <w:tab w:val="left" w:pos="360" w:leader="none"/>
        </w:tabs>
        <w:rPr>
          <w:rFonts w:ascii="宋体" w:hAnsi="宋体" w:cs="宋体"/>
          <w:b/>
          <w:bCs/>
          <w:color w:val="auto"/>
          <w:sz w:val="24"/>
          <w:highlight w:val="none"/>
        </w:rPr>
        <w:outlineLvl w:val="1"/>
      </w:pPr>
      <w:r/>
      <w:bookmarkStart w:id="173" w:name="_Toc226337219"/>
      <w:r/>
      <w:bookmarkStart w:id="174" w:name="_Toc150774728"/>
      <w:r/>
      <w:bookmarkStart w:id="175" w:name="_Toc195842888"/>
      <w:r/>
      <w:bookmarkStart w:id="176" w:name="_Toc164608637"/>
      <w:r/>
      <w:bookmarkStart w:id="177" w:name="_Toc151190150"/>
      <w:r/>
      <w:bookmarkStart w:id="178" w:name="_Toc151193765"/>
      <w:r/>
      <w:bookmarkStart w:id="179" w:name="_Toc164229364"/>
      <w:r/>
      <w:bookmarkStart w:id="180" w:name="_Toc305158865"/>
      <w:r/>
      <w:bookmarkStart w:id="181" w:name="_Toc305158791"/>
      <w:r/>
      <w:bookmarkStart w:id="182" w:name="_Toc226965713"/>
      <w:r/>
      <w:bookmarkStart w:id="183" w:name="_Toc127151724"/>
      <w:r/>
      <w:bookmarkStart w:id="184" w:name="_Toc151193693"/>
      <w:r/>
      <w:bookmarkStart w:id="185" w:name="_Toc151193621"/>
      <w:r/>
      <w:bookmarkStart w:id="186" w:name="_Toc150480761"/>
      <w:r/>
      <w:bookmarkStart w:id="187" w:name="_Toc151193837"/>
      <w:r/>
      <w:bookmarkStart w:id="188" w:name="_Toc226965796"/>
      <w:r/>
      <w:bookmarkStart w:id="189" w:name="_Toc520356147"/>
      <w:r/>
      <w:bookmarkStart w:id="190" w:name="_Toc164608792"/>
      <w:r/>
      <w:bookmarkStart w:id="191" w:name="_Toc226309767"/>
      <w:r/>
      <w:bookmarkStart w:id="192" w:name="_Toc127151523"/>
      <w:r/>
      <w:bookmarkStart w:id="193" w:name="_Toc164229218"/>
      <w:r/>
      <w:bookmarkStart w:id="194" w:name="_Toc264969213"/>
      <w:r/>
      <w:bookmarkStart w:id="195" w:name="_Toc164351617"/>
      <w:r/>
      <w:bookmarkStart w:id="196" w:name="_Toc150774623"/>
      <w:r/>
      <w:bookmarkStart w:id="197" w:name="_Toc127161437"/>
      <w:r/>
      <w:bookmarkStart w:id="198" w:name="_Toc151193911"/>
      <w:r/>
      <w:bookmarkStart w:id="199" w:name="_Toc149720816"/>
      <w:r/>
      <w:bookmarkStart w:id="200" w:name="_Toc142311025"/>
      <w:r/>
      <w:bookmarkStart w:id="201" w:name="_Toc150509274"/>
      <w:r/>
      <w:bookmarkStart w:id="202" w:name="_Toc265228361"/>
      <w:r>
        <w:rPr>
          <w:rFonts w:hint="eastAsia" w:ascii="宋体" w:hAnsi="宋体" w:cs="宋体"/>
          <w:b/>
          <w:bCs/>
          <w:color w:val="auto"/>
          <w:sz w:val="24"/>
          <w:highlight w:val="none"/>
        </w:rPr>
        <w:t xml:space="preserve">6 竞争性磋商文件构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6.1 竞争性磋商文件包括以下部分：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6.2 供应商应认真阅读竞争性磋商文件的全部内容。供应商应按照竞争性磋商文件要求提交响应文件并保证所提供的全部资料的真实性，并对竞争性磋商文件作出实质性响应，否则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1080" w:leader="none"/>
          <w:tab w:val="left" w:pos="2014"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 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7.1 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7.2 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auto"/>
          <w:sz w:val="24"/>
          <w:highlight w:val="none"/>
        </w:rPr>
      </w:pPr>
      <w:r/>
      <w:bookmarkStart w:id="203" w:name="_Toc516367020"/>
      <w:r/>
      <w:bookmarkStart w:id="204" w:name="_Toc226965799"/>
      <w:r/>
      <w:bookmarkStart w:id="205" w:name="_Toc226309770"/>
      <w:r/>
      <w:bookmarkStart w:id="206" w:name="_Toc150774626"/>
      <w:r/>
      <w:bookmarkStart w:id="207" w:name="_Toc150509277"/>
      <w:r/>
      <w:bookmarkStart w:id="208" w:name="_Toc520356150"/>
      <w:r/>
      <w:bookmarkStart w:id="209" w:name="_Toc151190153"/>
      <w:r/>
      <w:bookmarkStart w:id="210" w:name="_Toc195842891"/>
      <w:r/>
      <w:bookmarkStart w:id="211" w:name="_Toc305158794"/>
      <w:r/>
      <w:bookmarkStart w:id="212" w:name="_Toc150774731"/>
      <w:r/>
      <w:bookmarkStart w:id="213" w:name="_Toc151193696"/>
      <w:r/>
      <w:bookmarkStart w:id="214" w:name="_Toc151193914"/>
      <w:r/>
      <w:bookmarkStart w:id="215" w:name="_Toc226965716"/>
      <w:r/>
      <w:bookmarkStart w:id="216" w:name="_Toc150480764"/>
      <w:r/>
      <w:bookmarkStart w:id="217" w:name="_Toc151193768"/>
      <w:r/>
      <w:bookmarkStart w:id="218" w:name="_Toc151193624"/>
      <w:r/>
      <w:bookmarkStart w:id="219" w:name="_Toc226337222"/>
      <w:r/>
      <w:bookmarkStart w:id="220" w:name="_Toc142311028"/>
      <w:r/>
      <w:bookmarkStart w:id="221" w:name="_Toc264969216"/>
      <w:r/>
      <w:bookmarkStart w:id="222" w:name="_Toc305158868"/>
      <w:r/>
      <w:bookmarkStart w:id="223" w:name="_Toc151193840"/>
      <w:r/>
      <w:bookmarkStart w:id="224" w:name="_Toc127151526"/>
      <w:r/>
      <w:bookmarkStart w:id="225" w:name="_Toc265228364"/>
      <w:r/>
      <w:r/>
    </w:p>
    <w:p>
      <w:pPr>
        <w:pStyle w:val="1043"/>
        <w:jc w:val="center"/>
        <w:spacing w:before="0"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三、响应文件</w:t>
      </w:r>
      <w:bookmarkEnd w:id="203"/>
      <w:r>
        <w:rPr>
          <w:rFonts w:hint="eastAsia" w:ascii="宋体" w:hAnsi="宋体" w:eastAsia="宋体" w:cs="宋体"/>
          <w:b/>
          <w:bCs/>
          <w:color w:val="auto"/>
          <w:sz w:val="24"/>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spacing w:line="360" w:lineRule="auto"/>
        <w:tabs>
          <w:tab w:val="left" w:pos="360" w:leader="none"/>
        </w:tabs>
        <w:rPr>
          <w:rFonts w:ascii="宋体" w:hAnsi="宋体" w:cs="宋体"/>
          <w:b/>
          <w:bCs/>
          <w:color w:val="auto"/>
          <w:sz w:val="24"/>
          <w:highlight w:val="none"/>
        </w:rPr>
        <w:outlineLvl w:val="1"/>
      </w:pPr>
      <w:r/>
      <w:bookmarkStart w:id="226" w:name="_Toc164229222"/>
      <w:r/>
      <w:bookmarkStart w:id="227" w:name="_Toc226965717"/>
      <w:r/>
      <w:bookmarkStart w:id="228" w:name="_Toc150774627"/>
      <w:r/>
      <w:bookmarkStart w:id="229" w:name="_Toc142311029"/>
      <w:r/>
      <w:bookmarkStart w:id="230" w:name="_Toc151190154"/>
      <w:r/>
      <w:bookmarkStart w:id="231" w:name="_Toc150774732"/>
      <w:r/>
      <w:bookmarkStart w:id="232" w:name="_Toc127161441"/>
      <w:r/>
      <w:bookmarkStart w:id="233" w:name="_Toc127151728"/>
      <w:r/>
      <w:bookmarkStart w:id="234" w:name="_Toc164608796"/>
      <w:r/>
      <w:bookmarkStart w:id="235" w:name="_Toc127151527"/>
      <w:r/>
      <w:bookmarkStart w:id="236" w:name="_Toc150509278"/>
      <w:r/>
      <w:bookmarkStart w:id="237" w:name="_Toc226337223"/>
      <w:r/>
      <w:bookmarkStart w:id="238" w:name="_Toc151193697"/>
      <w:r/>
      <w:bookmarkStart w:id="239" w:name="_Toc195842892"/>
      <w:r/>
      <w:bookmarkStart w:id="240" w:name="_Toc150480765"/>
      <w:r/>
      <w:bookmarkStart w:id="241" w:name="_Toc151193625"/>
      <w:r/>
      <w:bookmarkStart w:id="242" w:name="_Toc226309771"/>
      <w:r/>
      <w:bookmarkStart w:id="243" w:name="_Toc520356151"/>
      <w:r/>
      <w:bookmarkStart w:id="244" w:name="_Toc151193769"/>
      <w:r/>
      <w:bookmarkStart w:id="245" w:name="_Toc164351621"/>
      <w:r/>
      <w:bookmarkStart w:id="246" w:name="_Toc164608641"/>
      <w:r/>
      <w:bookmarkStart w:id="247" w:name="_Toc516367021"/>
      <w:r/>
      <w:bookmarkStart w:id="248" w:name="_Toc151193915"/>
      <w:r/>
      <w:bookmarkStart w:id="249" w:name="_Toc149720820"/>
      <w:r/>
      <w:bookmarkStart w:id="250" w:name="_Toc151193841"/>
      <w:r/>
      <w:bookmarkStart w:id="251" w:name="_Toc164229368"/>
      <w:r/>
      <w:bookmarkStart w:id="252" w:name="_Toc305158869"/>
      <w:r/>
      <w:bookmarkStart w:id="253" w:name="_Toc265228365"/>
      <w:r/>
      <w:bookmarkStart w:id="254" w:name="_Toc264969217"/>
      <w:r/>
      <w:bookmarkStart w:id="255" w:name="_Toc305158795"/>
      <w:r/>
      <w:bookmarkStart w:id="256" w:name="_Toc226965800"/>
      <w:r>
        <w:rPr>
          <w:rFonts w:hint="eastAsia" w:ascii="宋体" w:hAnsi="宋体" w:cs="宋体"/>
          <w:b/>
          <w:bCs/>
          <w:color w:val="auto"/>
          <w:sz w:val="24"/>
          <w:highlight w:val="none"/>
        </w:rPr>
        <w:t xml:space="preserve">8 响应范围、竞争性磋商文件中计量单位的使用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cs="宋体"/>
          <w:b/>
          <w:bCs/>
          <w:color w:val="auto"/>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8.2 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color w:val="auto"/>
          <w:sz w:val="24"/>
          <w:highlight w:val="none"/>
        </w:rPr>
        <w:outlineLvl w:val="1"/>
      </w:pPr>
      <w:r/>
      <w:bookmarkStart w:id="257" w:name="_Toc516367022"/>
      <w:r/>
      <w:bookmarkStart w:id="258" w:name="_Ref467306676"/>
      <w:r/>
      <w:bookmarkStart w:id="259" w:name="_Ref467306195"/>
      <w:r/>
      <w:bookmarkStart w:id="260" w:name="_Toc150774628"/>
      <w:r/>
      <w:bookmarkStart w:id="261" w:name="_Toc226337224"/>
      <w:r/>
      <w:bookmarkStart w:id="262" w:name="_Toc127151729"/>
      <w:r/>
      <w:bookmarkStart w:id="263" w:name="_Toc226965801"/>
      <w:r/>
      <w:bookmarkStart w:id="264" w:name="_Toc150774733"/>
      <w:r/>
      <w:bookmarkStart w:id="265" w:name="_Toc226965718"/>
      <w:r/>
      <w:bookmarkStart w:id="266" w:name="_Toc150509279"/>
      <w:r/>
      <w:bookmarkStart w:id="267" w:name="_Toc151190155"/>
      <w:r/>
      <w:bookmarkStart w:id="268" w:name="_Toc142311030"/>
      <w:r/>
      <w:bookmarkStart w:id="269" w:name="_Toc164351622"/>
      <w:r/>
      <w:bookmarkStart w:id="270" w:name="_Toc151193916"/>
      <w:r/>
      <w:bookmarkStart w:id="271" w:name="_Toc164608797"/>
      <w:r/>
      <w:bookmarkStart w:id="272" w:name="_Toc265228366"/>
      <w:r/>
      <w:bookmarkStart w:id="273" w:name="_Toc164608642"/>
      <w:r/>
      <w:bookmarkStart w:id="274" w:name="_Toc151193698"/>
      <w:r/>
      <w:bookmarkStart w:id="275" w:name="_Toc264969218"/>
      <w:r/>
      <w:bookmarkStart w:id="276" w:name="_Toc127151528"/>
      <w:r/>
      <w:bookmarkStart w:id="277" w:name="_Toc149720821"/>
      <w:r/>
      <w:bookmarkStart w:id="278" w:name="_Toc164229223"/>
      <w:r/>
      <w:bookmarkStart w:id="279" w:name="_Toc151193842"/>
      <w:r/>
      <w:bookmarkStart w:id="280" w:name="_Toc520356152"/>
      <w:r/>
      <w:bookmarkStart w:id="281" w:name="_Toc305158870"/>
      <w:r/>
      <w:bookmarkStart w:id="282" w:name="_Toc164229369"/>
      <w:r/>
      <w:bookmarkStart w:id="283" w:name="_Toc150480766"/>
      <w:r/>
      <w:bookmarkStart w:id="284" w:name="_Toc226309772"/>
      <w:r/>
      <w:bookmarkStart w:id="285" w:name="_Toc151193626"/>
      <w:r/>
      <w:bookmarkStart w:id="286" w:name="_Toc151193770"/>
      <w:r/>
      <w:bookmarkStart w:id="287" w:name="_Toc305158796"/>
      <w:r/>
      <w:bookmarkStart w:id="288" w:name="_Toc127161442"/>
      <w:r/>
      <w:bookmarkStart w:id="289" w:name="_Toc195842893"/>
      <w:r>
        <w:rPr>
          <w:rFonts w:hint="eastAsia" w:ascii="宋体" w:hAnsi="宋体" w:cs="宋体"/>
          <w:b/>
          <w:bCs/>
          <w:color w:val="auto"/>
          <w:sz w:val="24"/>
          <w:highlight w:val="none"/>
        </w:rPr>
        <w:t xml:space="preserve">9 响应文件</w:t>
      </w:r>
      <w:bookmarkEnd w:id="257"/>
      <w:r/>
      <w:bookmarkEnd w:id="258"/>
      <w:r/>
      <w:bookmarkEnd w:id="259"/>
      <w:r>
        <w:rPr>
          <w:rFonts w:hint="eastAsia" w:ascii="宋体" w:hAnsi="宋体" w:cs="宋体"/>
          <w:b/>
          <w:bCs/>
          <w:color w:val="auto"/>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290" w:name="_Ref467052588"/>
      <w:r>
        <w:rPr>
          <w:rFonts w:hint="eastAsia" w:ascii="宋体" w:hAnsi="宋体" w:cs="宋体"/>
          <w:color w:val="auto"/>
          <w:sz w:val="24"/>
          <w:highlight w:val="none"/>
        </w:rPr>
        <w:t xml:space="preserve">9.1供应商应当按照竞争性磋商文件的要求编制响应文件，并对其提交的响应文件的真实性、合法性承担法律责任。响应文件的部分格式要求，见第六章《响应文件格式》。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9.2 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9.3 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9.4 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9.5 供应商认为应附的其他材料。</w:t>
      </w:r>
      <w:bookmarkEnd w:id="290"/>
      <w:r/>
      <w:r/>
    </w:p>
    <w:p>
      <w:pPr>
        <w:ind w:firstLine="482"/>
        <w:spacing w:line="360" w:lineRule="auto"/>
        <w:tabs>
          <w:tab w:val="left" w:pos="360" w:leader="none"/>
        </w:tabs>
        <w:rPr>
          <w:rFonts w:ascii="宋体" w:hAnsi="宋体" w:cs="宋体"/>
          <w:b/>
          <w:bCs/>
          <w:color w:val="auto"/>
          <w:sz w:val="24"/>
          <w:highlight w:val="none"/>
        </w:rPr>
        <w:outlineLvl w:val="1"/>
      </w:pPr>
      <w:r/>
      <w:bookmarkStart w:id="291" w:name="_Toc150480768"/>
      <w:r/>
      <w:bookmarkStart w:id="292" w:name="_Toc164608644"/>
      <w:r/>
      <w:bookmarkStart w:id="293" w:name="_Toc150774630"/>
      <w:r/>
      <w:bookmarkStart w:id="294" w:name="_Toc151193628"/>
      <w:r/>
      <w:bookmarkStart w:id="295" w:name="_Toc151193844"/>
      <w:r/>
      <w:bookmarkStart w:id="296" w:name="_Toc151193700"/>
      <w:r/>
      <w:bookmarkStart w:id="297" w:name="_Toc151193918"/>
      <w:r/>
      <w:bookmarkStart w:id="298" w:name="_Toc142311032"/>
      <w:r/>
      <w:bookmarkStart w:id="299" w:name="_Toc164229371"/>
      <w:r/>
      <w:bookmarkStart w:id="300" w:name="_Toc127151731"/>
      <w:r/>
      <w:bookmarkStart w:id="301" w:name="_Toc150774735"/>
      <w:r/>
      <w:bookmarkStart w:id="302" w:name="_Toc149720823"/>
      <w:r/>
      <w:bookmarkStart w:id="303" w:name="_Toc150509281"/>
      <w:r/>
      <w:bookmarkStart w:id="304" w:name="_Toc195842895"/>
      <w:r/>
      <w:bookmarkStart w:id="305" w:name="_Toc151193772"/>
      <w:r/>
      <w:bookmarkStart w:id="306" w:name="_Toc164608799"/>
      <w:r/>
      <w:bookmarkStart w:id="307" w:name="_Toc520356155"/>
      <w:r/>
      <w:bookmarkStart w:id="308" w:name="_Toc127151530"/>
      <w:r/>
      <w:bookmarkStart w:id="309" w:name="_Toc151190157"/>
      <w:r/>
      <w:bookmarkStart w:id="310" w:name="_Toc164351624"/>
      <w:r/>
      <w:bookmarkStart w:id="311" w:name="_Toc164229225"/>
      <w:r/>
      <w:bookmarkStart w:id="312" w:name="_Toc127161444"/>
      <w:r>
        <w:rPr>
          <w:rFonts w:hint="eastAsia" w:ascii="宋体" w:hAnsi="宋体" w:cs="宋体"/>
          <w:b/>
          <w:bCs/>
          <w:color w:val="auto"/>
          <w:sz w:val="24"/>
          <w:highlight w:val="none"/>
        </w:rPr>
        <w:t xml:space="preserve">10 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10.1 所有响应均以人民币报价。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10.2 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 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10.2.2 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10.3 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10.4 供应商不能提供任何有选择性或可调整的最终报价（竞争性磋商文件另有规定的除外），否则其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11 磋商保证金</w:t>
      </w:r>
      <w:r/>
    </w:p>
    <w:p>
      <w:pPr>
        <w:ind w:firstLine="480"/>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11.1 根据江苏省和常州市的相关文件规定，免收保证金。</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12 响应有效期</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12.1 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bookmarkStart w:id="313" w:name="_Toc127161447"/>
      <w:r/>
      <w:bookmarkStart w:id="314" w:name="_Toc151193703"/>
      <w:r/>
      <w:bookmarkStart w:id="315" w:name="_Toc150509284"/>
      <w:r/>
      <w:bookmarkStart w:id="316" w:name="_Toc142311035"/>
      <w:r/>
      <w:bookmarkStart w:id="317" w:name="_Toc226309777"/>
      <w:r/>
      <w:bookmarkStart w:id="318" w:name="_Toc264969223"/>
      <w:r/>
      <w:bookmarkStart w:id="319" w:name="_Toc150774633"/>
      <w:r/>
      <w:bookmarkStart w:id="320" w:name="_Toc150480771"/>
      <w:r/>
      <w:bookmarkStart w:id="321" w:name="_Toc151190160"/>
      <w:r/>
      <w:bookmarkStart w:id="322" w:name="_Toc195842898"/>
      <w:r/>
      <w:bookmarkStart w:id="323" w:name="_Toc149720826"/>
      <w:r/>
      <w:bookmarkStart w:id="324" w:name="_Toc164608802"/>
      <w:r/>
      <w:bookmarkStart w:id="325" w:name="_Toc164229228"/>
      <w:r/>
      <w:bookmarkStart w:id="326" w:name="_Toc164229374"/>
      <w:r/>
      <w:bookmarkStart w:id="327" w:name="_Toc127151734"/>
      <w:r/>
      <w:bookmarkStart w:id="328" w:name="_Toc151193631"/>
      <w:r/>
      <w:bookmarkStart w:id="329" w:name="_Toc265228371"/>
      <w:r/>
      <w:bookmarkStart w:id="330" w:name="_Toc226337229"/>
      <w:r/>
      <w:bookmarkStart w:id="331" w:name="_Toc305158875"/>
      <w:r/>
      <w:bookmarkStart w:id="332" w:name="_Toc150774738"/>
      <w:r/>
      <w:bookmarkStart w:id="333" w:name="_Toc520356158"/>
      <w:r/>
      <w:bookmarkStart w:id="334" w:name="_Toc226965723"/>
      <w:r/>
      <w:bookmarkStart w:id="335" w:name="_Toc151193847"/>
      <w:r/>
      <w:bookmarkStart w:id="336" w:name="_Toc151193775"/>
      <w:r/>
      <w:bookmarkStart w:id="337" w:name="_Toc127151533"/>
      <w:r/>
      <w:bookmarkStart w:id="338" w:name="_Toc151193921"/>
      <w:r/>
      <w:bookmarkStart w:id="339" w:name="_Toc226965806"/>
      <w:r/>
      <w:bookmarkStart w:id="340" w:name="_Toc164608647"/>
      <w:r/>
      <w:bookmarkStart w:id="341" w:name="_Toc164351627"/>
      <w:r/>
      <w:bookmarkStart w:id="342" w:name="_Toc305158801"/>
      <w:r>
        <w:rPr>
          <w:rFonts w:hint="eastAsia" w:ascii="宋体" w:hAnsi="宋体" w:cs="宋体"/>
          <w:b/>
          <w:bCs/>
          <w:color w:val="auto"/>
          <w:sz w:val="24"/>
          <w:highlight w:val="none"/>
        </w:rPr>
        <w:t xml:space="preserve">13 响应文件的签署</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b/>
          <w:bCs/>
          <w:color w:val="auto"/>
          <w:sz w:val="24"/>
          <w:highlight w:val="none"/>
        </w:rPr>
        <w:t xml:space="preserve">、盖章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343" w:name="_Toc265228372"/>
      <w:r/>
      <w:bookmarkStart w:id="344" w:name="_Toc150774739"/>
      <w:r/>
      <w:bookmarkStart w:id="345" w:name="_Toc195842899"/>
      <w:r/>
      <w:bookmarkStart w:id="346" w:name="_Toc151193704"/>
      <w:r/>
      <w:bookmarkStart w:id="347" w:name="_Toc142311036"/>
      <w:r/>
      <w:bookmarkStart w:id="348" w:name="_Toc264969224"/>
      <w:r/>
      <w:bookmarkStart w:id="349" w:name="_Toc151190161"/>
      <w:r/>
      <w:bookmarkStart w:id="350" w:name="_Toc127151534"/>
      <w:r/>
      <w:bookmarkStart w:id="351" w:name="_Toc305158802"/>
      <w:r/>
      <w:bookmarkStart w:id="352" w:name="_Toc151193776"/>
      <w:r/>
      <w:bookmarkStart w:id="353" w:name="_Toc226337230"/>
      <w:r/>
      <w:bookmarkStart w:id="354" w:name="_Toc226965724"/>
      <w:r/>
      <w:bookmarkStart w:id="355" w:name="_Toc305158876"/>
      <w:r/>
      <w:bookmarkStart w:id="356" w:name="_Toc151193922"/>
      <w:r/>
      <w:bookmarkStart w:id="357" w:name="_Toc520356159"/>
      <w:r/>
      <w:bookmarkStart w:id="358" w:name="_Toc150480772"/>
      <w:r/>
      <w:bookmarkStart w:id="359" w:name="_Toc151193848"/>
      <w:r/>
      <w:bookmarkStart w:id="360" w:name="_Toc226309778"/>
      <w:r/>
      <w:bookmarkStart w:id="361" w:name="_Toc151193632"/>
      <w:r/>
      <w:bookmarkStart w:id="362" w:name="_Toc150509285"/>
      <w:r/>
      <w:bookmarkStart w:id="363" w:name="_Toc226965807"/>
      <w:r/>
      <w:bookmarkStart w:id="364" w:name="_Toc150774634"/>
      <w:r>
        <w:rPr>
          <w:rFonts w:hint="eastAsia" w:ascii="宋体" w:hAnsi="宋体" w:cs="宋体"/>
          <w:color w:val="auto"/>
          <w:sz w:val="24"/>
          <w:highlight w:val="none"/>
        </w:rPr>
        <w:t xml:space="preserve">13.1 竞争性磋商文件要求签字、盖章的内容，供应商须按规定签字、盖章。</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13.2 磋商响应文件应无涂改和行间插字，供应商造成的必须修改的错误，修改处应由磋商响应文件法定代表人或授权委托人签字或盖章并加盖供应商公章，否则修改无效。</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13.3 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043"/>
        <w:jc w:val="center"/>
        <w:spacing w:before="0"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四、响应文件的提交</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firstLine="482"/>
        <w:spacing w:line="360" w:lineRule="auto"/>
        <w:tabs>
          <w:tab w:val="left" w:pos="360" w:leader="none"/>
        </w:tabs>
        <w:rPr>
          <w:rFonts w:ascii="宋体" w:hAnsi="宋体" w:cs="宋体"/>
          <w:b/>
          <w:bCs/>
          <w:color w:val="auto"/>
          <w:sz w:val="24"/>
          <w:highlight w:val="none"/>
        </w:rPr>
        <w:outlineLvl w:val="1"/>
      </w:pPr>
      <w:r/>
      <w:bookmarkStart w:id="365" w:name="_Toc265228373"/>
      <w:r/>
      <w:bookmarkStart w:id="366" w:name="_Toc226965725"/>
      <w:r/>
      <w:bookmarkStart w:id="367" w:name="_Toc150480773"/>
      <w:r/>
      <w:bookmarkStart w:id="368" w:name="_Toc520356160"/>
      <w:r/>
      <w:bookmarkStart w:id="369" w:name="_Toc149720828"/>
      <w:r/>
      <w:bookmarkStart w:id="370" w:name="_Toc151193705"/>
      <w:r/>
      <w:bookmarkStart w:id="371" w:name="_Toc226965808"/>
      <w:r/>
      <w:bookmarkStart w:id="372" w:name="_Toc127151535"/>
      <w:r/>
      <w:bookmarkStart w:id="373" w:name="_Toc164229230"/>
      <w:r/>
      <w:bookmarkStart w:id="374" w:name="_Toc151193923"/>
      <w:r/>
      <w:bookmarkStart w:id="375" w:name="_Toc127161449"/>
      <w:r/>
      <w:bookmarkStart w:id="376" w:name="_Toc226309779"/>
      <w:r/>
      <w:bookmarkStart w:id="377" w:name="_Toc164351629"/>
      <w:r/>
      <w:bookmarkStart w:id="378" w:name="_Toc226337231"/>
      <w:r/>
      <w:bookmarkStart w:id="379" w:name="_Toc151190162"/>
      <w:r/>
      <w:bookmarkStart w:id="380" w:name="_Toc150774740"/>
      <w:r/>
      <w:bookmarkStart w:id="381" w:name="_Toc142311037"/>
      <w:r/>
      <w:bookmarkStart w:id="382" w:name="_Toc164608649"/>
      <w:r/>
      <w:bookmarkStart w:id="383" w:name="_Toc151193777"/>
      <w:r/>
      <w:bookmarkStart w:id="384" w:name="_Toc164229376"/>
      <w:r/>
      <w:bookmarkStart w:id="385" w:name="_Toc150774635"/>
      <w:r/>
      <w:bookmarkStart w:id="386" w:name="_Toc264969225"/>
      <w:r/>
      <w:bookmarkStart w:id="387" w:name="_Toc164608804"/>
      <w:r/>
      <w:bookmarkStart w:id="388" w:name="_Toc195842900"/>
      <w:r/>
      <w:bookmarkStart w:id="389" w:name="_Toc151193849"/>
      <w:r/>
      <w:bookmarkStart w:id="390" w:name="_Toc305158877"/>
      <w:r/>
      <w:bookmarkStart w:id="391" w:name="_Toc305158803"/>
      <w:r/>
      <w:bookmarkStart w:id="392" w:name="_Toc127151736"/>
      <w:r/>
      <w:bookmarkStart w:id="393" w:name="_Toc150509286"/>
      <w:r/>
      <w:bookmarkStart w:id="394" w:name="_Toc151193633"/>
      <w:r>
        <w:rPr>
          <w:rFonts w:hint="eastAsia" w:ascii="宋体" w:hAnsi="宋体" w:cs="宋体"/>
          <w:b/>
          <w:bCs/>
          <w:color w:val="auto"/>
          <w:sz w:val="24"/>
          <w:highlight w:val="none"/>
        </w:rPr>
        <w:t xml:space="preserve">14响应文件的</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14.1</w:t>
      </w:r>
      <w:r>
        <w:rPr>
          <w:rFonts w:hint="eastAsia" w:ascii="宋体" w:hAnsi="宋体" w:cs="宋体"/>
          <w:b/>
          <w:color w:val="auto"/>
          <w:sz w:val="24"/>
          <w:highlight w:val="none"/>
        </w:rPr>
        <w:t xml:space="preserve">磋商开启前不需要提供纸质响应文件。合同签订前，需提供响应文件共一式叁份，“正本”壹份、“副本”贰份。在每一份响应文件上要标明“正本”或“副本”字样，一旦正本和副本有差异，以正本为准,正本、副本应分别装订成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14.2采购人及采购代理机构拒绝接受通过“苏采云”政府采购一体化平台以外任何形式提交的投标文件。</w:t>
      </w:r>
      <w:r/>
    </w:p>
    <w:p>
      <w:pPr>
        <w:ind w:firstLine="482"/>
        <w:spacing w:line="360" w:lineRule="auto"/>
        <w:tabs>
          <w:tab w:val="left" w:pos="360" w:leader="none"/>
        </w:tabs>
        <w:rPr>
          <w:rFonts w:ascii="宋体" w:hAnsi="宋体" w:cs="宋体"/>
          <w:b/>
          <w:bCs/>
          <w:color w:val="auto"/>
          <w:sz w:val="24"/>
          <w:highlight w:val="none"/>
        </w:rPr>
        <w:outlineLvl w:val="1"/>
      </w:pPr>
      <w:r/>
      <w:bookmarkStart w:id="395" w:name="_Toc150480774"/>
      <w:r/>
      <w:bookmarkStart w:id="396" w:name="_Toc226965809"/>
      <w:r/>
      <w:bookmarkStart w:id="397" w:name="_Toc264969226"/>
      <w:r/>
      <w:bookmarkStart w:id="398" w:name="_Toc195842901"/>
      <w:r/>
      <w:bookmarkStart w:id="399" w:name="_Toc164608650"/>
      <w:r/>
      <w:bookmarkStart w:id="400" w:name="_Toc164229231"/>
      <w:r/>
      <w:bookmarkStart w:id="401" w:name="_Toc151190163"/>
      <w:r/>
      <w:bookmarkStart w:id="402" w:name="_Toc226309780"/>
      <w:r/>
      <w:bookmarkStart w:id="403" w:name="_Toc151193850"/>
      <w:r/>
      <w:bookmarkStart w:id="404" w:name="_Toc127151737"/>
      <w:r/>
      <w:bookmarkStart w:id="405" w:name="_Toc265228374"/>
      <w:r/>
      <w:bookmarkStart w:id="406" w:name="_Toc305158804"/>
      <w:r/>
      <w:bookmarkStart w:id="407" w:name="_Toc164608805"/>
      <w:r/>
      <w:bookmarkStart w:id="408" w:name="_Toc127161450"/>
      <w:r/>
      <w:bookmarkStart w:id="409" w:name="_Toc305158878"/>
      <w:r/>
      <w:bookmarkStart w:id="410" w:name="_Toc150774741"/>
      <w:r/>
      <w:bookmarkStart w:id="411" w:name="_Toc127151536"/>
      <w:r/>
      <w:bookmarkStart w:id="412" w:name="_Toc164229377"/>
      <w:r/>
      <w:bookmarkStart w:id="413" w:name="_Toc151193634"/>
      <w:r/>
      <w:bookmarkStart w:id="414" w:name="_Toc520356161"/>
      <w:r/>
      <w:bookmarkStart w:id="415" w:name="_Toc151193778"/>
      <w:r/>
      <w:bookmarkStart w:id="416" w:name="_Toc149720829"/>
      <w:r/>
      <w:bookmarkStart w:id="417" w:name="_Toc151193706"/>
      <w:r/>
      <w:bookmarkStart w:id="418" w:name="_Toc226337232"/>
      <w:r/>
      <w:bookmarkStart w:id="419" w:name="_Toc142311038"/>
      <w:r/>
      <w:bookmarkStart w:id="420" w:name="_Toc150509287"/>
      <w:r/>
      <w:bookmarkStart w:id="421" w:name="_Toc164351630"/>
      <w:r/>
      <w:bookmarkStart w:id="422" w:name="_Toc226965726"/>
      <w:r/>
      <w:bookmarkStart w:id="423" w:name="_Toc150774636"/>
      <w:r/>
      <w:bookmarkStart w:id="424" w:name="_Toc151193924"/>
      <w:r>
        <w:rPr>
          <w:rFonts w:hint="eastAsia" w:ascii="宋体" w:hAnsi="宋体" w:cs="宋体"/>
          <w:b/>
          <w:bCs/>
          <w:color w:val="auto"/>
          <w:sz w:val="24"/>
          <w:highlight w:val="none"/>
        </w:rPr>
        <w:t xml:space="preserve">15响应文件截止</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cs="宋体"/>
          <w:b/>
          <w:bCs/>
          <w:color w:val="auto"/>
          <w:sz w:val="24"/>
          <w:highlight w:val="none"/>
        </w:rPr>
        <w:t xml:space="preserve">时间</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color w:val="auto"/>
          <w:sz w:val="24"/>
          <w:highlight w:val="none"/>
        </w:rPr>
        <w:outlineLvl w:val="1"/>
      </w:pPr>
      <w:r/>
      <w:bookmarkStart w:id="425" w:name="_Toc305158879"/>
      <w:r/>
      <w:bookmarkStart w:id="426" w:name="_Toc150774742"/>
      <w:r/>
      <w:bookmarkStart w:id="427" w:name="_Toc520356162"/>
      <w:r/>
      <w:bookmarkStart w:id="428" w:name="_Toc151193779"/>
      <w:r/>
      <w:bookmarkStart w:id="429" w:name="_Toc150509288"/>
      <w:r/>
      <w:bookmarkStart w:id="430" w:name="_Toc151193635"/>
      <w:r/>
      <w:bookmarkStart w:id="431" w:name="_Toc195842902"/>
      <w:r/>
      <w:bookmarkStart w:id="432" w:name="_Toc151193925"/>
      <w:r/>
      <w:bookmarkStart w:id="433" w:name="_Toc127161451"/>
      <w:r/>
      <w:bookmarkStart w:id="434" w:name="_Toc226309781"/>
      <w:r/>
      <w:bookmarkStart w:id="435" w:name="_Toc226965810"/>
      <w:r/>
      <w:bookmarkStart w:id="436" w:name="_Toc265228375"/>
      <w:r/>
      <w:bookmarkStart w:id="437" w:name="_Toc149720830"/>
      <w:r/>
      <w:bookmarkStart w:id="438" w:name="_Toc127151537"/>
      <w:r/>
      <w:bookmarkStart w:id="439" w:name="_Toc164608806"/>
      <w:r/>
      <w:bookmarkStart w:id="440" w:name="_Toc305158805"/>
      <w:r/>
      <w:bookmarkStart w:id="441" w:name="_Toc264969227"/>
      <w:r/>
      <w:bookmarkStart w:id="442" w:name="_Toc226965727"/>
      <w:r/>
      <w:bookmarkStart w:id="443" w:name="_Toc164229378"/>
      <w:r/>
      <w:bookmarkStart w:id="444" w:name="_Toc150774637"/>
      <w:r/>
      <w:bookmarkStart w:id="445" w:name="_Toc164351631"/>
      <w:r/>
      <w:bookmarkStart w:id="446" w:name="_Toc151190164"/>
      <w:r/>
      <w:bookmarkStart w:id="447" w:name="_Toc151193707"/>
      <w:r/>
      <w:bookmarkStart w:id="448" w:name="_Toc164608651"/>
      <w:r/>
      <w:bookmarkStart w:id="449" w:name="_Toc226337233"/>
      <w:r/>
      <w:bookmarkStart w:id="450" w:name="_Toc142311039"/>
      <w:r/>
      <w:bookmarkStart w:id="451" w:name="_Toc151193851"/>
      <w:r/>
      <w:bookmarkStart w:id="452" w:name="_Toc164229232"/>
      <w:r/>
      <w:bookmarkStart w:id="453" w:name="_Toc127151738"/>
      <w:r/>
      <w:bookmarkStart w:id="454" w:name="_Toc150480775"/>
      <w:r>
        <w:rPr>
          <w:rFonts w:hint="eastAsia" w:ascii="宋体" w:hAnsi="宋体" w:cs="宋体"/>
          <w:b/>
          <w:bCs/>
          <w:color w:val="auto"/>
          <w:sz w:val="24"/>
          <w:highlight w:val="none"/>
        </w:rPr>
        <w:t xml:space="preserve">16响应文件的修改与撤回</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80"/>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43"/>
        <w:ind w:firstLine="482"/>
        <w:jc w:val="center"/>
        <w:spacing w:before="0"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五、评审</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17响应文件的开启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17.2供应商不足3家的，不予开启。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455" w:name="_Toc520356165"/>
      <w:r>
        <w:rPr>
          <w:rFonts w:hint="eastAsia" w:ascii="宋体" w:hAnsi="宋体" w:cs="宋体"/>
          <w:color w:val="auto"/>
          <w:sz w:val="24"/>
          <w:highlight w:val="none"/>
        </w:rPr>
        <w:t xml:space="preserve">17.3本项目不公开报价。</w:t>
      </w:r>
      <w:bookmarkEnd w:id="455"/>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18.1磋商小组根据政府采购有关规定和本次采购项目的特点进行组建，并负责具体评审事务，独立履行职责。</w:t>
      </w:r>
      <w:bookmarkStart w:id="456" w:name="_Toc52035616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56"/>
      <w:r/>
      <w:bookmarkStart w:id="457" w:name="_Toc52035616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19.1见第三章《评审方法和评审标准》。</w:t>
      </w:r>
      <w:r/>
    </w:p>
    <w:p>
      <w:pPr>
        <w:ind w:firstLine="480"/>
        <w:spacing w:line="360" w:lineRule="auto"/>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043"/>
        <w:ind w:firstLine="482"/>
        <w:jc w:val="center"/>
        <w:spacing w:before="0" w:after="0" w:line="360" w:lineRule="auto"/>
        <w:rPr>
          <w:rFonts w:ascii="宋体" w:hAnsi="宋体" w:eastAsia="宋体" w:cs="宋体"/>
          <w:b/>
          <w:bCs/>
          <w:color w:val="auto"/>
          <w:sz w:val="24"/>
          <w:highlight w:val="none"/>
        </w:rPr>
      </w:pPr>
      <w:r/>
      <w:bookmarkStart w:id="458" w:name="_Toc226965818"/>
      <w:r/>
      <w:bookmarkStart w:id="459" w:name="_Toc151193933"/>
      <w:r/>
      <w:bookmarkStart w:id="460" w:name="_Toc151190172"/>
      <w:r/>
      <w:bookmarkStart w:id="461" w:name="_Toc142311047"/>
      <w:r/>
      <w:bookmarkStart w:id="462" w:name="_Toc150774645"/>
      <w:r/>
      <w:bookmarkStart w:id="463" w:name="_Toc265228383"/>
      <w:r/>
      <w:bookmarkStart w:id="464" w:name="_Toc226965735"/>
      <w:r/>
      <w:bookmarkStart w:id="465" w:name="_Toc150774750"/>
      <w:r/>
      <w:bookmarkStart w:id="466" w:name="_Toc305158887"/>
      <w:r/>
      <w:bookmarkStart w:id="467" w:name="_Toc195842910"/>
      <w:r/>
      <w:bookmarkStart w:id="468" w:name="_Toc151193787"/>
      <w:r/>
      <w:bookmarkStart w:id="469" w:name="_Toc151193859"/>
      <w:r/>
      <w:bookmarkStart w:id="470" w:name="_Toc127151545"/>
      <w:r/>
      <w:bookmarkStart w:id="471" w:name="_Toc150480783"/>
      <w:r/>
      <w:bookmarkStart w:id="472" w:name="_Toc305158813"/>
      <w:r/>
      <w:bookmarkStart w:id="473" w:name="_Toc226309789"/>
      <w:r/>
      <w:bookmarkStart w:id="474" w:name="_Toc226337241"/>
      <w:r/>
      <w:bookmarkStart w:id="475" w:name="_Toc151193643"/>
      <w:r/>
      <w:bookmarkStart w:id="476" w:name="_Toc150509296"/>
      <w:r/>
      <w:bookmarkStart w:id="477" w:name="_Toc264969235"/>
      <w:r/>
      <w:bookmarkStart w:id="478" w:name="_Toc151193715"/>
      <w:r>
        <w:rPr>
          <w:rFonts w:hint="eastAsia" w:ascii="宋体" w:hAnsi="宋体" w:eastAsia="宋体" w:cs="宋体"/>
          <w:b/>
          <w:bCs/>
          <w:color w:val="auto"/>
          <w:sz w:val="24"/>
          <w:highlight w:val="none"/>
        </w:rPr>
        <w:t xml:space="preserve">六</w:t>
      </w:r>
      <w:bookmarkEnd w:id="457"/>
      <w:r>
        <w:rPr>
          <w:rFonts w:hint="eastAsia" w:ascii="宋体" w:hAnsi="宋体" w:eastAsia="宋体" w:cs="宋体"/>
          <w:b/>
          <w:bCs/>
          <w:color w:val="auto"/>
          <w:sz w:val="24"/>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b/>
          <w:bCs/>
          <w:color w:val="auto"/>
          <w:sz w:val="24"/>
          <w:highlight w:val="none"/>
        </w:rPr>
        <w:t xml:space="preserve">成交</w:t>
      </w:r>
      <w:r/>
    </w:p>
    <w:p>
      <w:pPr>
        <w:ind w:firstLine="482"/>
        <w:spacing w:line="360" w:lineRule="auto"/>
        <w:tabs>
          <w:tab w:val="left" w:pos="360" w:leader="none"/>
        </w:tabs>
        <w:rPr>
          <w:rFonts w:ascii="宋体" w:hAnsi="宋体" w:cs="宋体"/>
          <w:b/>
          <w:bCs/>
          <w:color w:val="auto"/>
          <w:sz w:val="24"/>
          <w:highlight w:val="none"/>
        </w:rPr>
        <w:outlineLvl w:val="1"/>
      </w:pPr>
      <w:r/>
      <w:bookmarkStart w:id="479" w:name="_Toc164351641"/>
      <w:r/>
      <w:bookmarkStart w:id="480" w:name="_Toc151193935"/>
      <w:r/>
      <w:bookmarkStart w:id="481" w:name="_Toc127161461"/>
      <w:r/>
      <w:bookmarkStart w:id="482" w:name="_Toc164608816"/>
      <w:r/>
      <w:bookmarkStart w:id="483" w:name="_Toc195842912"/>
      <w:r/>
      <w:bookmarkStart w:id="484" w:name="_Toc150774752"/>
      <w:r/>
      <w:bookmarkStart w:id="485" w:name="_Toc150774647"/>
      <w:r/>
      <w:bookmarkStart w:id="486" w:name="_Toc305158815"/>
      <w:r/>
      <w:bookmarkStart w:id="487" w:name="_Toc142311049"/>
      <w:r/>
      <w:bookmarkStart w:id="488" w:name="_Toc150509298"/>
      <w:r/>
      <w:bookmarkStart w:id="489" w:name="_Toc226309791"/>
      <w:r/>
      <w:bookmarkStart w:id="490" w:name="_Toc164608661"/>
      <w:r/>
      <w:bookmarkStart w:id="491" w:name="_Toc150480785"/>
      <w:r/>
      <w:bookmarkStart w:id="492" w:name="_Toc164229242"/>
      <w:r/>
      <w:bookmarkStart w:id="493" w:name="_Toc264969237"/>
      <w:r/>
      <w:bookmarkStart w:id="494" w:name="_Toc226337243"/>
      <w:r/>
      <w:bookmarkStart w:id="495" w:name="_Toc305158889"/>
      <w:r/>
      <w:bookmarkStart w:id="496" w:name="_Toc127151547"/>
      <w:r/>
      <w:bookmarkStart w:id="497" w:name="_Toc226965820"/>
      <w:r/>
      <w:bookmarkStart w:id="498" w:name="_Toc151190174"/>
      <w:r/>
      <w:bookmarkStart w:id="499" w:name="_Toc149720840"/>
      <w:r/>
      <w:bookmarkStart w:id="500" w:name="_Toc151193861"/>
      <w:r/>
      <w:bookmarkStart w:id="501" w:name="_Toc151193717"/>
      <w:r/>
      <w:bookmarkStart w:id="502" w:name="_Toc151193645"/>
      <w:r/>
      <w:bookmarkStart w:id="503" w:name="_Toc164229388"/>
      <w:r/>
      <w:bookmarkStart w:id="504" w:name="_Toc151193789"/>
      <w:r/>
      <w:bookmarkStart w:id="505" w:name="_Toc226965737"/>
      <w:r/>
      <w:bookmarkStart w:id="506" w:name="_Toc127151748"/>
      <w:r/>
      <w:bookmarkStart w:id="507" w:name="_Toc265228385"/>
      <w:r>
        <w:rPr>
          <w:rFonts w:hint="eastAsia" w:ascii="宋体" w:hAnsi="宋体" w:cs="宋体"/>
          <w:b/>
          <w:bCs/>
          <w:color w:val="auto"/>
          <w:sz w:val="24"/>
          <w:highlight w:val="none"/>
        </w:rPr>
        <w:t xml:space="preserve">20确定成交供应商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color w:val="auto"/>
          <w:sz w:val="24"/>
          <w:highlight w:val="none"/>
        </w:rPr>
        <w:outlineLvl w:val="1"/>
      </w:pPr>
      <w:r/>
      <w:bookmarkStart w:id="508" w:name="_Toc305158817"/>
      <w:r/>
      <w:bookmarkStart w:id="509" w:name="_Toc305158891"/>
      <w:r/>
      <w:bookmarkStart w:id="510" w:name="_Toc150774754"/>
      <w:r/>
      <w:bookmarkStart w:id="511" w:name="_Toc226965822"/>
      <w:r/>
      <w:bookmarkStart w:id="512" w:name="_Toc150480787"/>
      <w:r/>
      <w:bookmarkStart w:id="513" w:name="_Toc127161463"/>
      <w:r/>
      <w:bookmarkStart w:id="514" w:name="_Toc151193937"/>
      <w:r/>
      <w:bookmarkStart w:id="515" w:name="_Toc127151549"/>
      <w:r/>
      <w:bookmarkStart w:id="516" w:name="_Toc164229244"/>
      <w:r/>
      <w:bookmarkStart w:id="517" w:name="_Toc226337245"/>
      <w:r/>
      <w:bookmarkStart w:id="518" w:name="_Toc264969239"/>
      <w:r/>
      <w:bookmarkStart w:id="519" w:name="_Toc226309793"/>
      <w:r/>
      <w:bookmarkStart w:id="520" w:name="_Toc142311051"/>
      <w:r/>
      <w:bookmarkStart w:id="521" w:name="_Toc127151750"/>
      <w:r/>
      <w:bookmarkStart w:id="522" w:name="_Toc151190176"/>
      <w:r/>
      <w:bookmarkStart w:id="523" w:name="_Toc151193791"/>
      <w:r/>
      <w:bookmarkStart w:id="524" w:name="_Toc265228387"/>
      <w:r/>
      <w:bookmarkStart w:id="525" w:name="_Toc195842914"/>
      <w:r/>
      <w:bookmarkStart w:id="526" w:name="_Toc164608818"/>
      <w:r/>
      <w:bookmarkStart w:id="527" w:name="_Toc149720842"/>
      <w:r/>
      <w:bookmarkStart w:id="528" w:name="_Toc164608663"/>
      <w:r/>
      <w:bookmarkStart w:id="529" w:name="_Toc151193647"/>
      <w:r/>
      <w:bookmarkStart w:id="530" w:name="_Toc164351643"/>
      <w:r/>
      <w:bookmarkStart w:id="531" w:name="_Toc150774649"/>
      <w:r/>
      <w:bookmarkStart w:id="532" w:name="_Toc151193719"/>
      <w:r/>
      <w:bookmarkStart w:id="533" w:name="_Toc164229390"/>
      <w:r/>
      <w:bookmarkStart w:id="534" w:name="_Toc150509300"/>
      <w:r/>
      <w:bookmarkStart w:id="535" w:name="_Toc226965739"/>
      <w:r/>
      <w:bookmarkStart w:id="536" w:name="_Toc151193863"/>
      <w:r/>
      <w:bookmarkStart w:id="537" w:name="_Ref467307090"/>
      <w:r/>
      <w:bookmarkStart w:id="538" w:name="_Toc520356176"/>
      <w:r/>
      <w:bookmarkStart w:id="539" w:name="_Ref467306425"/>
      <w:r>
        <w:rPr>
          <w:rFonts w:hint="eastAsia" w:ascii="宋体" w:hAnsi="宋体" w:cs="宋体"/>
          <w:b/>
          <w:bCs/>
          <w:color w:val="auto"/>
          <w:sz w:val="24"/>
          <w:highlight w:val="none"/>
        </w:rPr>
        <w:t xml:space="preserve">21成交公告与成交通知书</w:t>
      </w:r>
      <w:bookmarkEnd w:id="508"/>
      <w:r/>
      <w:bookmarkEnd w:id="509"/>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21.1采购人或采购代理机构将在成交供应商确定后2个工作日内，在常州市政府采购网公告成交结果，同时向成交供应商发出成交通知书，成交公告期限为1个工作日。</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22.1.2出现影响采购公正的违法、违规行为的；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22.1.3</w:t>
      </w: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22.1.4情况严重且影响采购活动公平、公正性的。</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2"/>
        <w:spacing w:line="360" w:lineRule="auto"/>
        <w:tabs>
          <w:tab w:val="left" w:pos="360" w:leader="none"/>
        </w:tabs>
        <w:rPr>
          <w:rFonts w:ascii="宋体" w:hAnsi="宋体" w:cs="宋体"/>
          <w:b/>
          <w:bCs/>
          <w:color w:val="auto"/>
          <w:sz w:val="24"/>
          <w:highlight w:val="none"/>
        </w:rPr>
        <w:outlineLvl w:val="1"/>
      </w:pPr>
      <w:r/>
      <w:bookmarkStart w:id="540" w:name="_Toc305158818"/>
      <w:r/>
      <w:bookmarkStart w:id="541" w:name="_Toc151193648"/>
      <w:r/>
      <w:bookmarkStart w:id="542" w:name="_Toc127151550"/>
      <w:r/>
      <w:bookmarkStart w:id="543" w:name="_Toc164351644"/>
      <w:r/>
      <w:bookmarkStart w:id="544" w:name="_Toc150509301"/>
      <w:r/>
      <w:bookmarkStart w:id="545" w:name="_Toc151193720"/>
      <w:r/>
      <w:bookmarkStart w:id="546" w:name="_Toc127161464"/>
      <w:r/>
      <w:bookmarkStart w:id="547" w:name="_Toc151193938"/>
      <w:r/>
      <w:bookmarkStart w:id="548" w:name="_Toc127151751"/>
      <w:r/>
      <w:bookmarkStart w:id="549" w:name="_Ref467307204"/>
      <w:r/>
      <w:bookmarkStart w:id="550" w:name="_Toc226337246"/>
      <w:r/>
      <w:bookmarkStart w:id="551" w:name="_Toc151193792"/>
      <w:r/>
      <w:bookmarkStart w:id="552" w:name="_Ref467307062"/>
      <w:r/>
      <w:bookmarkStart w:id="553" w:name="_Toc264969240"/>
      <w:r/>
      <w:bookmarkStart w:id="554" w:name="_Toc265228388"/>
      <w:r/>
      <w:bookmarkStart w:id="555" w:name="_Toc195842915"/>
      <w:r/>
      <w:bookmarkStart w:id="556" w:name="_Toc149720843"/>
      <w:r/>
      <w:bookmarkStart w:id="557" w:name="_Toc226965740"/>
      <w:r/>
      <w:bookmarkStart w:id="558" w:name="_Toc150774650"/>
      <w:r/>
      <w:bookmarkStart w:id="559" w:name="_Ref467306377"/>
      <w:r/>
      <w:bookmarkStart w:id="560" w:name="_Toc151190177"/>
      <w:r/>
      <w:bookmarkStart w:id="561" w:name="_Toc150774755"/>
      <w:r/>
      <w:bookmarkStart w:id="562" w:name="_Toc142311052"/>
      <w:r/>
      <w:bookmarkStart w:id="563" w:name="_Toc164608664"/>
      <w:r/>
      <w:bookmarkStart w:id="564" w:name="_Toc164229391"/>
      <w:r/>
      <w:bookmarkStart w:id="565" w:name="_Toc305158892"/>
      <w:r/>
      <w:bookmarkStart w:id="566" w:name="_Toc150480788"/>
      <w:r/>
      <w:bookmarkStart w:id="567" w:name="_Ref467306978"/>
      <w:r/>
      <w:bookmarkStart w:id="568" w:name="_Toc151193864"/>
      <w:r/>
      <w:bookmarkStart w:id="569" w:name="_Toc164608819"/>
      <w:r/>
      <w:bookmarkStart w:id="570" w:name="_Toc164229245"/>
      <w:r/>
      <w:bookmarkStart w:id="571" w:name="_Toc226309794"/>
      <w:r/>
      <w:bookmarkStart w:id="572" w:name="_Toc520356175"/>
      <w:r/>
      <w:bookmarkStart w:id="573" w:name="_Toc226965823"/>
      <w:r>
        <w:rPr>
          <w:rFonts w:hint="eastAsia" w:ascii="宋体" w:hAnsi="宋体" w:cs="宋体"/>
          <w:b/>
          <w:bCs/>
          <w:color w:val="auto"/>
          <w:sz w:val="24"/>
          <w:highlight w:val="none"/>
        </w:rPr>
        <w:t xml:space="preserve">23签订合同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37"/>
      <w:r/>
      <w:bookmarkEnd w:id="538"/>
      <w:r/>
      <w:bookmarkEnd w:id="53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24.1询问</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24.2质疑</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24.2.3质疑函须使用财政部制定的范本文件。（下载网址：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82"/>
          <w:rFonts w:hint="eastAsia" w:ascii="宋体" w:hAnsi="宋体" w:cs="宋体"/>
          <w:color w:val="auto"/>
          <w:sz w:val="24"/>
          <w:highlight w:val="none"/>
        </w:rPr>
        <w:t xml:space="preserve">http://gk</w:t>
      </w:r>
      <w:bookmarkStart w:id="574" w:name="_Hlt100654014"/>
      <w:r>
        <w:rPr>
          <w:rStyle w:val="1082"/>
          <w:rFonts w:hint="eastAsia" w:ascii="宋体" w:hAnsi="宋体" w:cs="宋体"/>
          <w:color w:val="auto"/>
          <w:sz w:val="24"/>
          <w:highlight w:val="none"/>
        </w:rPr>
        <w:t xml:space="preserve">s</w:t>
      </w:r>
      <w:bookmarkEnd w:id="574"/>
      <w:r>
        <w:rPr>
          <w:rStyle w:val="1082"/>
          <w:rFonts w:hint="eastAsia" w:ascii="宋体" w:hAnsi="宋体" w:cs="宋体"/>
          <w:color w:val="auto"/>
          <w:sz w:val="24"/>
          <w:highlight w:val="none"/>
        </w:rPr>
        <w:t xml:space="preserve">.m</w:t>
      </w:r>
      <w:bookmarkStart w:id="575" w:name="_Hlt100653993"/>
      <w:r/>
      <w:bookmarkStart w:id="576" w:name="_Hlt100653994"/>
      <w:r>
        <w:rPr>
          <w:rStyle w:val="1082"/>
          <w:rFonts w:hint="eastAsia" w:ascii="宋体" w:hAnsi="宋体" w:cs="宋体"/>
          <w:color w:val="auto"/>
          <w:sz w:val="24"/>
          <w:highlight w:val="none"/>
        </w:rPr>
        <w:t xml:space="preserve">o</w:t>
      </w:r>
      <w:bookmarkEnd w:id="575"/>
      <w:r/>
      <w:bookmarkEnd w:id="576"/>
      <w:r/>
      <w:bookmarkStart w:id="577" w:name="_Hlt101169156"/>
      <w:r>
        <w:rPr>
          <w:rStyle w:val="1082"/>
          <w:rFonts w:hint="eastAsia" w:ascii="宋体" w:hAnsi="宋体" w:cs="宋体"/>
          <w:color w:val="auto"/>
          <w:sz w:val="24"/>
          <w:highlight w:val="none"/>
        </w:rPr>
        <w:t xml:space="preserve">f</w:t>
      </w:r>
      <w:bookmarkEnd w:id="577"/>
      <w:r>
        <w:rPr>
          <w:rStyle w:val="1082"/>
          <w:rFonts w:hint="eastAsia" w:ascii="宋体" w:hAnsi="宋体" w:cs="宋体"/>
          <w:color w:val="auto"/>
          <w:sz w:val="24"/>
          <w:highlight w:val="none"/>
        </w:rPr>
        <w:t xml:space="preserve">.gov.cn/ztztz/zhengfucaigouguanli/201802/t20180201_2804589.htm</w:t>
      </w:r>
      <w:r>
        <w:rPr>
          <w:rStyle w:val="1082"/>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8"/>
        </w:numPr>
        <w:ind w:left="0" w:firstLine="480"/>
        <w:spacing w:line="360" w:lineRule="auto"/>
        <w:tabs>
          <w:tab w:val="left" w:pos="1080" w:leader="none"/>
          <w:tab w:val="left" w:pos="2014" w:leader="none"/>
        </w:tabs>
        <w:rPr>
          <w:rFonts w:ascii="宋体" w:hAnsi="宋体" w:cs="宋体"/>
          <w:color w:val="auto"/>
          <w:sz w:val="24"/>
          <w:highlight w:val="none"/>
        </w:rPr>
        <w:sectPr>
          <w:footerReference w:type="even" r:id="rId21"/>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t xml:space="preserve">  </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Start w:id="578" w:name="_Toc5297"/>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78"/>
      <w:r/>
      <w:bookmarkStart w:id="579" w:name="_Toc487900382"/>
      <w:r/>
      <w:r/>
    </w:p>
    <w:p>
      <w:pPr>
        <w:pStyle w:val="1236"/>
        <w:spacing w:before="0" w:line="360" w:lineRule="auto"/>
        <w:rPr>
          <w:color w:val="auto"/>
          <w:sz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579"/>
      <w:r/>
      <w:r/>
    </w:p>
    <w:p>
      <w:pPr>
        <w:ind w:firstLine="482"/>
        <w:spacing w:line="360" w:lineRule="auto"/>
        <w:tabs>
          <w:tab w:val="left" w:pos="360" w:leader="none"/>
        </w:tabs>
        <w:rPr>
          <w:rFonts w:ascii="宋体" w:hAnsi="宋体" w:cs="宋体"/>
          <w:b/>
          <w:bCs/>
          <w:color w:val="auto"/>
          <w:sz w:val="24"/>
          <w:highlight w:val="none"/>
        </w:rPr>
        <w:outlineLvl w:val="1"/>
      </w:pPr>
      <w:r/>
      <w:bookmarkStart w:id="580" w:name="_Toc150774746"/>
      <w:r/>
      <w:bookmarkStart w:id="581" w:name="_Toc127151742"/>
      <w:r/>
      <w:bookmarkStart w:id="582" w:name="_Toc195842906"/>
      <w:r/>
      <w:bookmarkStart w:id="583" w:name="_Toc150480779"/>
      <w:r/>
      <w:bookmarkStart w:id="584" w:name="_Toc151193929"/>
      <w:r/>
      <w:bookmarkStart w:id="585" w:name="_Toc142311043"/>
      <w:r/>
      <w:bookmarkStart w:id="586" w:name="_Toc150509292"/>
      <w:r/>
      <w:bookmarkStart w:id="587" w:name="_Toc226965731"/>
      <w:r/>
      <w:bookmarkStart w:id="588" w:name="_Toc164351635"/>
      <w:r/>
      <w:bookmarkStart w:id="589" w:name="_Toc127161455"/>
      <w:r/>
      <w:bookmarkStart w:id="590" w:name="_Toc226965814"/>
      <w:r/>
      <w:bookmarkStart w:id="591" w:name="_Toc151193639"/>
      <w:r/>
      <w:bookmarkStart w:id="592" w:name="_Toc164229236"/>
      <w:r/>
      <w:bookmarkStart w:id="593" w:name="_Toc150774641"/>
      <w:r/>
      <w:bookmarkStart w:id="594" w:name="_Toc151193783"/>
      <w:r/>
      <w:bookmarkStart w:id="595" w:name="_Toc264969231"/>
      <w:r/>
      <w:bookmarkStart w:id="596" w:name="_Toc151193711"/>
      <w:r/>
      <w:bookmarkStart w:id="597" w:name="_Toc164608655"/>
      <w:r/>
      <w:bookmarkStart w:id="598" w:name="_Toc149720834"/>
      <w:r/>
      <w:bookmarkStart w:id="599" w:name="_Toc151190168"/>
      <w:r/>
      <w:bookmarkStart w:id="600" w:name="_Toc127151541"/>
      <w:r/>
      <w:bookmarkStart w:id="601" w:name="_Toc226309785"/>
      <w:r/>
      <w:bookmarkStart w:id="602" w:name="_Toc265228379"/>
      <w:r/>
      <w:bookmarkStart w:id="603" w:name="_Toc305158809"/>
      <w:r/>
      <w:bookmarkStart w:id="604" w:name="_Toc151193855"/>
      <w:r/>
      <w:bookmarkStart w:id="605" w:name="_Toc226337237"/>
      <w:r/>
      <w:bookmarkStart w:id="606" w:name="_Toc164229382"/>
      <w:r/>
      <w:bookmarkStart w:id="607" w:name="_Toc305158883"/>
      <w:r/>
      <w:bookmarkStart w:id="608" w:name="_Toc164608810"/>
      <w:r/>
      <w:bookmarkStart w:id="609" w:name="_Toc353825551"/>
      <w:r/>
      <w:bookmarkStart w:id="610" w:name="_Toc353873941"/>
      <w:r/>
      <w:bookmarkStart w:id="611" w:name="_Toc353873665"/>
      <w:r/>
      <w:bookmarkStart w:id="612" w:name="_Toc353873935"/>
      <w:r/>
      <w:bookmarkStart w:id="613" w:name="_Toc226965828"/>
      <w:r/>
      <w:bookmarkStart w:id="614" w:name="_Toc150480793"/>
      <w:r/>
      <w:bookmarkStart w:id="615" w:name="_Toc127151555"/>
      <w:r/>
      <w:bookmarkStart w:id="616" w:name="_Toc226337251"/>
      <w:r/>
      <w:bookmarkStart w:id="617" w:name="_Toc150774760"/>
      <w:r/>
      <w:bookmarkStart w:id="618" w:name="_Toc305158897"/>
      <w:r/>
      <w:bookmarkStart w:id="619" w:name="_Toc353825545"/>
      <w:r/>
      <w:bookmarkStart w:id="620" w:name="_Toc142311057"/>
      <w:r/>
      <w:bookmarkStart w:id="621" w:name="_Toc195842920"/>
      <w:r/>
      <w:bookmarkStart w:id="622" w:name="_Toc264969245"/>
      <w:r/>
      <w:bookmarkStart w:id="623" w:name="_Toc265228393"/>
      <w:r/>
      <w:bookmarkStart w:id="624" w:name="_Toc305158823"/>
      <w:r>
        <w:rPr>
          <w:rFonts w:hint="eastAsia" w:ascii="宋体" w:hAnsi="宋体" w:cs="宋体"/>
          <w:b/>
          <w:bCs/>
          <w:color w:val="auto"/>
          <w:sz w:val="24"/>
          <w:highlight w:val="none"/>
        </w:rPr>
        <w:t xml:space="preserve">1响应文件的</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rFonts w:hint="eastAsia" w:ascii="宋体" w:hAnsi="宋体" w:cs="宋体"/>
          <w:b/>
          <w:bCs/>
          <w:color w:val="auto"/>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1.3《资格性检查要求》见下表：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52"/>
        <w:tblW w:w="96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59"/>
        <w:gridCol w:w="5460"/>
        <w:gridCol w:w="1665"/>
      </w:tblGrid>
      <w:tr>
        <w:trPr>
          <w:cantSplit/>
          <w:trHeight w:val="20"/>
          <w:tblHeader/>
        </w:trPr>
        <w:tc>
          <w:tcPr>
            <w:tcW w:w="704" w:type="dxa"/>
            <w:vAlign w:val="center"/>
            <w:textDirection w:val="lrTb"/>
            <w:noWrap w:val="false"/>
          </w:tcPr>
          <w:p>
            <w:pPr>
              <w:jc w:val="center"/>
              <w:tabs>
                <w:tab w:val="left" w:pos="1080" w:leader="none"/>
              </w:tabs>
              <w:rPr>
                <w:rFonts w:ascii="宋体" w:hAnsi="宋体" w:cs="宋体"/>
                <w:b/>
                <w:color w:val="auto"/>
                <w:sz w:val="24"/>
                <w:highlight w:val="none"/>
              </w:rPr>
            </w:pPr>
            <w:r/>
            <w:bookmarkStart w:id="625" w:name="_Hlt487972895"/>
            <w:r/>
            <w:bookmarkEnd w:id="625"/>
            <w:r>
              <w:rPr>
                <w:rFonts w:hint="eastAsia" w:ascii="宋体" w:hAnsi="宋体" w:cs="宋体"/>
                <w:b/>
                <w:color w:val="auto"/>
                <w:sz w:val="24"/>
                <w:highlight w:val="none"/>
              </w:rPr>
              <w:t xml:space="preserve">序号</w:t>
            </w:r>
            <w:r/>
          </w:p>
        </w:tc>
        <w:tc>
          <w:tcPr>
            <w:tcW w:w="1859"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5460"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665"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5460"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2-2</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是否接受联合体响应</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本项目不接受联合体响应，供应商不得为联合体。</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859"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54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66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1.4《符合性审查要求》见下表：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52"/>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199"/>
        <w:gridCol w:w="6857"/>
      </w:tblGrid>
      <w:tr>
        <w:trPr>
          <w:jc w:val="center"/>
          <w:trHeight w:val="435"/>
        </w:trPr>
        <w:tc>
          <w:tcPr>
            <w:tcW w:w="370"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124"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504"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color w:val="auto"/>
                <w:sz w:val="24"/>
                <w:highlight w:val="none"/>
              </w:rPr>
              <w:t xml:space="preserve">响应函、法定代表人资格证明书、法人授权委托书、政府采购供应商信用承诺书和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p>
        </w:tc>
        <w:tc>
          <w:tcPr>
            <w:tcW w:w="3504" w:type="pct"/>
            <w:vAlign w:val="center"/>
            <w:textDirection w:val="lrTb"/>
            <w:noWrap w:val="false"/>
          </w:tcPr>
          <w:p>
            <w:pPr>
              <w:widowControl/>
              <w:rPr>
                <w:rFonts w:ascii="宋体" w:hAnsi="宋体" w:cs="宋体"/>
                <w:color w:val="auto"/>
                <w:sz w:val="24"/>
                <w:highlight w:val="none"/>
              </w:rPr>
            </w:pPr>
            <w:r>
              <w:rPr>
                <w:color w:val="auto"/>
                <w:sz w:val="24"/>
                <w:highlight w:val="none"/>
              </w:rPr>
              <w:t xml:space="preserve">按</w:t>
            </w:r>
            <w:r>
              <w:rPr>
                <w:rFonts w:hint="eastAsia"/>
                <w:color w:val="auto"/>
                <w:sz w:val="24"/>
                <w:highlight w:val="none"/>
              </w:rPr>
              <w:t xml:space="preserve">采购</w:t>
            </w:r>
            <w:r>
              <w:rPr>
                <w:color w:val="auto"/>
                <w:sz w:val="24"/>
                <w:highlight w:val="none"/>
              </w:rPr>
              <w:t xml:space="preserve">文件要求提供</w:t>
            </w:r>
            <w:r>
              <w:rPr>
                <w:rFonts w:hint="eastAsia"/>
                <w:color w:val="auto"/>
                <w:sz w:val="24"/>
                <w:highlight w:val="none"/>
              </w:rPr>
              <w:t xml:space="preserve">响应函、法定代表人资格证明书、法人授权委托书、政府采购供应商信用承诺书和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rPr>
                <w:color w:val="auto"/>
                <w:sz w:val="24"/>
                <w:highlight w:val="none"/>
              </w:rPr>
              <w:t xml:space="preserve">；</w:t>
            </w:r>
            <w:r>
              <w:rPr>
                <w:rFonts w:hint="eastAsia"/>
                <w:color w:val="auto"/>
                <w:sz w:val="24"/>
                <w:highlight w:val="none"/>
              </w:rPr>
              <w:t xml:space="preserve">（格式见《响应文件格式》）。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（由评委审查，无需供应商提供材料。）报价一览表响应报价未超过采购文件中规定的项目/采购包预算金额或者项目/采购包最高限价。</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响应文件未出现可选择性或可调整的报价（采购文件另有规定的除外）；（提供《报价一览表》，格式见《响应文件格式》）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504"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② 投标(响应)报价低于通过符合性审查的次低报价供应商投标(响应)报价50%的，即投标(响应)报价&lt;通过符合性审查的次低报价供应商投标(响应)报价×50%；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③ 投标(响应)报价低于采购项目最高限价45%的，即投标(响应)报价&lt;采购项目最高限价×45%；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 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报价的修正</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（由评委审查，无需供应商提供材料。）不涉及报价修正，或响应文件报价出现前后不一致时，供应商对修正后的报价予以确认。</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（由评委审查，无需供应商提供材料。）按照采购文件要求签署、加盖公章的。</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（由评委审查，无需供应商提供材料。）响应文件未将一个采购包中的内容拆开响应。</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响应文件中承诺的响应有效期满足采购文件中载明的响应有效期的；（详见附件响应函）</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标记为“实质性格式”的文件均按磋商文件要求提供；（详见附件《响应文件格式》）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响应文件满足磋商文件第五章《采购需求》中★号条款要求的；</w:t>
            </w:r>
            <w:r>
              <w:rPr>
                <w:rFonts w:hint="eastAsia" w:ascii="宋体" w:hAnsi="宋体"/>
                <w:color w:val="auto"/>
                <w:sz w:val="24"/>
                <w:highlight w:val="none"/>
              </w:rPr>
              <w:t xml:space="preserve">（如</w:t>
            </w:r>
            <w:r>
              <w:rPr>
                <w:rFonts w:ascii="宋体" w:hAnsi="宋体"/>
                <w:color w:val="auto"/>
                <w:sz w:val="24"/>
                <w:highlight w:val="none"/>
              </w:rPr>
              <w:t xml:space="preserve">第</w:t>
            </w:r>
            <w:r>
              <w:rPr>
                <w:rFonts w:hint="eastAsia" w:ascii="宋体" w:hAnsi="宋体"/>
                <w:color w:val="auto"/>
                <w:sz w:val="24"/>
                <w:highlight w:val="none"/>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的，按照序号逐项提供相关证明材料；如</w:t>
            </w:r>
            <w:r>
              <w:rPr>
                <w:rFonts w:ascii="宋体" w:hAnsi="宋体"/>
                <w:color w:val="auto"/>
                <w:sz w:val="24"/>
                <w:highlight w:val="none"/>
              </w:rPr>
              <w:t xml:space="preserve">第</w:t>
            </w:r>
            <w:r>
              <w:rPr>
                <w:rFonts w:hint="eastAsia" w:ascii="宋体" w:hAnsi="宋体"/>
                <w:color w:val="auto"/>
                <w:sz w:val="24"/>
                <w:highlight w:val="none"/>
              </w:rPr>
              <w:t xml:space="preserve">四</w:t>
            </w:r>
            <w:r>
              <w:rPr>
                <w:rFonts w:ascii="宋体" w:hAnsi="宋体"/>
                <w:color w:val="auto"/>
                <w:sz w:val="24"/>
                <w:highlight w:val="none"/>
              </w:rPr>
              <w:t xml:space="preserve">章《采购需求》中</w:t>
            </w:r>
            <w:r>
              <w:rPr>
                <w:rFonts w:hint="eastAsia" w:ascii="宋体" w:hAnsi="宋体"/>
                <w:color w:val="auto"/>
                <w:sz w:val="24"/>
                <w:highlight w:val="none"/>
              </w:rPr>
              <w:t xml:space="preserve">没有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的，则无需供应商提供材料。）</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分包承担主体具备《供应商须知资料表》载明的资质条件且提供了资质证书电子件（如有）；</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分包意向协议</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按磋商文件规定签订并提供分包意向协议原件的电子件的；（如有）</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国家有关部门对供应商的响应产品有强制性规定或要求的（如相应技术、安全、节能和环保等），如有下列情形的，供应商的响应产品应符合相应规定或要求，并提供证明文件电子件：</w:t>
            </w:r>
            <w:r/>
          </w:p>
          <w:p>
            <w:pPr>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widowControl/>
              <w:rPr>
                <w:rFonts w:ascii="宋体" w:hAnsi="宋体" w:cs="宋体"/>
                <w:color w:val="auto"/>
                <w:sz w:val="24"/>
                <w:highlight w:val="none"/>
              </w:rPr>
            </w:pPr>
            <w:r>
              <w:rPr>
                <w:rFonts w:hint="eastAsia" w:ascii="宋体" w:hAnsi="宋体" w:cs="宋体"/>
                <w:color w:val="auto"/>
                <w:sz w:val="24"/>
                <w:highlight w:val="none"/>
              </w:rPr>
              <w:t xml:space="preserve">2）国家有特殊信息安全要求的项目，采购产品涉及无线局域网产品和含有无线局域网功能的计算机、通信设备、打印机、复印机、投影仪等产品的，响应产品须为符合国家无线局域网安全标准（GB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3252"/>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750"/>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17</w:t>
            </w:r>
            <w:r/>
          </w:p>
        </w:tc>
        <w:tc>
          <w:tcPr>
            <w:tcW w:w="112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504"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供应商、响应文件不存在不符合法律、法规和磋商文件规定的其他无效情形。</w:t>
            </w:r>
            <w:bookmarkEnd w:id="609"/>
            <w:r/>
            <w:bookmarkEnd w:id="610"/>
            <w:r/>
            <w:r/>
          </w:p>
        </w:tc>
      </w:tr>
    </w:tbl>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2.3对磋商文件作出的实质性变动是磋商文件的有效组成部分，磋商小组应当及时通过苏采云系统以书面形式同时通知所有参加磋商的供应商。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2.5响应文件的澄清、说明或者更正：</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以书面形式要求供应商对其响应文件中含义不明确、同类问题表述不一致或者有明显文字和计算错误的内容，作出必要的澄清、说明或者补正。供应商的澄清、说明或者补正应当采用书面形式，并加盖公章或授权代表本人签字。供应商的澄清、说明或者补正不得超出响应文件的范围或者改变响应文件的实质性内容。澄清文件将作为响应文件内容的一部分。</w:t>
      </w:r>
      <w:r/>
    </w:p>
    <w:p>
      <w:pPr>
        <w:numPr>
          <w:ilvl w:val="1"/>
          <w:numId w:val="0"/>
        </w:numPr>
        <w:ind w:firstLine="480"/>
        <w:spacing w:line="360" w:lineRule="auto"/>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2.6</w:t>
      </w:r>
      <w:r>
        <w:rPr>
          <w:rFonts w:hint="eastAsia" w:ascii="宋体" w:hAnsi="宋体" w:cs="宋体"/>
          <w:b/>
          <w:color w:val="auto"/>
          <w:sz w:val="24"/>
          <w:highlight w:val="none"/>
        </w:rPr>
        <w:t xml:space="preserve">磋商结束后，磋商小组将要求所有实质性响应的供应商在规定时间内通过苏采云平台系统提交最终报价。</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2.7磋商文件能够详细列明采购标的的技术、服务要求的，磋商结束后，磋商小组应当要求所有实质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3.3落实政府采购政策的价格调整（一）：只有符合第二章《供应商须知》4.2条规定情形的，可以享受中小企业扶持政策，用扣除后的价格参加评审；否则，评审时价格不予扣除。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30%以上的联合体或者大中型企业的报价给予6%的扣除，用扣除后的价格参加评审。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3.3.9其他为落实政府采购政策实施的优先采购：</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3.4</w:t>
      </w:r>
      <w:r>
        <w:rPr>
          <w:rFonts w:hint="eastAsia" w:ascii="宋体" w:hAnsi="宋体" w:cs="宋体"/>
          <w:color w:val="auto"/>
          <w:sz w:val="24"/>
          <w:highlight w:val="none"/>
        </w:rPr>
        <w:tab/>
      </w:r>
      <w:r>
        <w:rPr>
          <w:rFonts w:hint="eastAsia" w:ascii="宋体" w:hAnsi="宋体" w:cs="宋体"/>
          <w:color w:val="auto"/>
          <w:sz w:val="24"/>
          <w:highlight w:val="none"/>
        </w:rPr>
        <w:t xml:space="preserve">落实政府采购政策的价格调整（二）：采购本国产品的支持政策</w:t>
      </w:r>
      <w:r/>
    </w:p>
    <w:p>
      <w:pPr>
        <w:ind w:firstLine="480"/>
        <w:spacing w:line="360" w:lineRule="auto"/>
        <w:tabs>
          <w:tab w:val="left" w:pos="360" w:leader="none"/>
        </w:tabs>
        <w:rPr>
          <w:rFonts w:ascii="宋体" w:hAnsi="宋体" w:cs="宋体"/>
          <w:color w:val="auto"/>
          <w:sz w:val="24"/>
          <w:highlight w:val="none"/>
        </w:rPr>
      </w:pPr>
      <w:r/>
      <w:bookmarkStart w:id="626" w:name="OLE_LINK29"/>
      <w:r>
        <w:rPr>
          <w:rFonts w:hint="eastAsia" w:ascii="宋体" w:hAnsi="宋体" w:cs="宋体"/>
          <w:color w:val="auto"/>
          <w:sz w:val="24"/>
          <w:highlight w:val="none"/>
        </w:rPr>
        <w:t xml:space="preserve">3.4.1</w:t>
      </w:r>
      <w:bookmarkEnd w:id="626"/>
      <w:r>
        <w:rPr>
          <w:rFonts w:hint="eastAsia" w:ascii="宋体" w:hAnsi="宋体" w:cs="宋体"/>
          <w:color w:val="auto"/>
          <w:sz w:val="24"/>
          <w:highlight w:val="none"/>
        </w:rPr>
        <w:t xml:space="preserve">本项目磋商活动中既有本国产品又有非本国产品参与竞争的，依法对本国产品给予价格评审优惠，对本国产品的报价给予20%的价格扣除，用扣除后的价格参与评审。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3.4.2当磋商项目或者磋商包中含有多种产品，供应商为该磋商项目或者磋商包提供的符合本国产品标准的产品成本之和占该供应商提供的全部产品成本之和的比例达到80%以上时（供应商需在"第七章 响应文件格式"的"6.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3.4.3供应商需按照磋商文件的要求提供《关于符合本国产品标准的声明函》（以下简称《声明函》），如不提供将不享受本国产品价格评审优惠。</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3.4.5评审过程中，如发现供应商在《声明函》内容含义不明确、同类事项与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4磋商环节及提交最终报价后如出现以下情况的，供应商的响应文件无效：</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4.7其他：根据苏财购〔2026〕36号文件规定，评审中出现下列情形之一的，评标委员会（评审小组）应当启动异常低价投标（响应）审查程序：①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② 投标(响应)报价低于通过符合性审查的次低报价供应商投标(响应)报价50%的，即投标(响应)报价&lt;通过符合性审查的次低报价供应商投标(响应)报价×50%；</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③ 投标(响应)报价低于采购项目最高限价45%的，即投标(响应)报价&lt;采购项目最高限价×45%；</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④ 评审委员会基于专业判断，认为供应商报价过低，有可能影响产品质量或者不能诚信履约的其他情形。</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5.4关于无线局域网认证产品政府采购清单中的产品，优先采购的具体规定（如涉及）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color w:val="auto"/>
          <w:sz w:val="24"/>
          <w:highlight w:val="none"/>
        </w:rPr>
      </w:pPr>
      <w:r>
        <w:rPr>
          <w:rFonts w:hint="eastAsia" w:ascii="宋体" w:hAnsi="宋体" w:cs="宋体"/>
          <w:b/>
          <w:bCs/>
          <w:color w:val="auto"/>
          <w:sz w:val="24"/>
          <w:highlight w:val="none"/>
        </w:rPr>
        <w:t xml:space="preserve">6确定</w:t>
      </w:r>
      <w:bookmarkStart w:id="627" w:name="_Toc265228384"/>
      <w:r/>
      <w:bookmarkStart w:id="628" w:name="_Toc151193788"/>
      <w:r/>
      <w:bookmarkStart w:id="629" w:name="_Toc151193934"/>
      <w:r/>
      <w:bookmarkStart w:id="630" w:name="_Toc151193644"/>
      <w:r/>
      <w:bookmarkStart w:id="631" w:name="_Toc150774646"/>
      <w:r/>
      <w:bookmarkStart w:id="632" w:name="_Toc150509297"/>
      <w:r/>
      <w:bookmarkStart w:id="633" w:name="_Toc226965736"/>
      <w:r/>
      <w:bookmarkStart w:id="634" w:name="_Toc142311048"/>
      <w:r/>
      <w:bookmarkStart w:id="635" w:name="_Toc195842911"/>
      <w:r/>
      <w:bookmarkStart w:id="636" w:name="_Toc151190173"/>
      <w:r/>
      <w:bookmarkStart w:id="637" w:name="_Toc151193716"/>
      <w:r/>
      <w:bookmarkStart w:id="638" w:name="_Toc226309790"/>
      <w:r/>
      <w:bookmarkStart w:id="639" w:name="_Toc151193860"/>
      <w:r/>
      <w:bookmarkStart w:id="640" w:name="_Ref467307010"/>
      <w:r/>
      <w:bookmarkStart w:id="641" w:name="_Toc226965819"/>
      <w:r/>
      <w:bookmarkStart w:id="642" w:name="_Toc164608660"/>
      <w:r/>
      <w:bookmarkStart w:id="643" w:name="_Toc164229387"/>
      <w:r/>
      <w:bookmarkStart w:id="644" w:name="_Toc164351640"/>
      <w:r/>
      <w:bookmarkStart w:id="645" w:name="_Toc305158814"/>
      <w:r/>
      <w:bookmarkStart w:id="646" w:name="_Toc150774751"/>
      <w:r/>
      <w:bookmarkStart w:id="647" w:name="_Toc127151546"/>
      <w:r/>
      <w:bookmarkStart w:id="648" w:name="_Toc264969236"/>
      <w:r/>
      <w:bookmarkStart w:id="649" w:name="_Toc150480784"/>
      <w:r/>
      <w:bookmarkStart w:id="650" w:name="_Toc164608815"/>
      <w:r/>
      <w:bookmarkStart w:id="651" w:name="_Toc520356170"/>
      <w:r/>
      <w:bookmarkStart w:id="652" w:name="_Toc149720839"/>
      <w:r/>
      <w:bookmarkStart w:id="653" w:name="_Toc127161460"/>
      <w:r/>
      <w:bookmarkStart w:id="654" w:name="_Toc127151747"/>
      <w:r/>
      <w:bookmarkStart w:id="655" w:name="_Toc226337242"/>
      <w:r/>
      <w:bookmarkStart w:id="656" w:name="_Toc305158888"/>
      <w:r/>
      <w:bookmarkStart w:id="657" w:name="_Toc164229241"/>
      <w:r>
        <w:rPr>
          <w:rFonts w:hint="eastAsia" w:ascii="宋体" w:hAnsi="宋体" w:cs="宋体"/>
          <w:b/>
          <w:bCs/>
          <w:color w:val="auto"/>
          <w:sz w:val="24"/>
          <w:highlight w:val="none"/>
        </w:rPr>
        <w:t xml:space="preserve">成交候选人名单</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7报告违法行为</w:t>
      </w:r>
      <w:r/>
    </w:p>
    <w:p>
      <w:pPr>
        <w:numPr>
          <w:ilvl w:val="1"/>
          <w:numId w:val="0"/>
        </w:numPr>
        <w:ind w:firstLine="480"/>
        <w:spacing w:line="360" w:lineRule="auto"/>
        <w:widowControl/>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7.1磋商小组在评审过程中发现供应商有行贿、提供虚假材料或者串通等违法行为时，有向采购人、采购代理机构或者有关部门报告的职责。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b/>
          <w:color w:val="auto"/>
          <w:sz w:val="24"/>
          <w:highlight w:val="none"/>
        </w:rPr>
      </w:pPr>
      <w:r>
        <w:rPr>
          <w:b/>
          <w:color w:val="auto"/>
          <w:sz w:val="24"/>
          <w:highlight w:val="none"/>
        </w:rPr>
      </w:r>
      <w:r/>
    </w:p>
    <w:p>
      <w:pPr>
        <w:pStyle w:val="1236"/>
        <w:jc w:val="both"/>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br w:type="page" w:clear="all"/>
      </w: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5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214"/>
        <w:gridCol w:w="736"/>
        <w:gridCol w:w="4900"/>
        <w:gridCol w:w="2405"/>
      </w:tblGrid>
      <w:tr>
        <w:trPr>
          <w:jc w:val="center"/>
          <w:trHeight w:val="517"/>
        </w:trPr>
        <w:tc>
          <w:tcPr>
            <w:tcW w:w="805" w:type="dxa"/>
            <w:vAlign w:val="center"/>
            <w:textDirection w:val="lrTb"/>
            <w:noWrap w:val="false"/>
          </w:tcPr>
          <w:p>
            <w:pPr>
              <w:ind w:firstLine="28"/>
              <w:jc w:val="center"/>
              <w:rPr>
                <w:b/>
                <w:color w:val="auto"/>
                <w:sz w:val="24"/>
                <w:highlight w:val="none"/>
              </w:rPr>
            </w:pPr>
            <w:r/>
            <w:bookmarkStart w:id="658" w:name="OLE_LINK20"/>
            <w:r>
              <w:rPr>
                <w:b/>
                <w:color w:val="auto"/>
                <w:sz w:val="24"/>
                <w:highlight w:val="none"/>
              </w:rPr>
              <w:t xml:space="preserve">序号</w:t>
            </w:r>
            <w:r/>
          </w:p>
        </w:tc>
        <w:tc>
          <w:tcPr>
            <w:tcW w:w="1214" w:type="dxa"/>
            <w:vAlign w:val="center"/>
            <w:textDirection w:val="lrTb"/>
            <w:noWrap w:val="false"/>
          </w:tcPr>
          <w:p>
            <w:pPr>
              <w:ind w:firstLine="28"/>
              <w:jc w:val="center"/>
              <w:rPr>
                <w:b/>
                <w:color w:val="auto"/>
                <w:sz w:val="24"/>
                <w:highlight w:val="none"/>
              </w:rPr>
            </w:pPr>
            <w:r>
              <w:rPr>
                <w:b/>
                <w:color w:val="auto"/>
                <w:sz w:val="24"/>
                <w:highlight w:val="none"/>
              </w:rPr>
              <w:t xml:space="preserve">评分因素</w:t>
            </w:r>
            <w:r/>
          </w:p>
        </w:tc>
        <w:tc>
          <w:tcPr>
            <w:tcW w:w="736" w:type="dxa"/>
            <w:vAlign w:val="center"/>
            <w:textDirection w:val="lrTb"/>
            <w:noWrap w:val="false"/>
          </w:tcPr>
          <w:p>
            <w:pPr>
              <w:ind w:firstLine="28"/>
              <w:jc w:val="center"/>
              <w:rPr>
                <w:b/>
                <w:color w:val="auto"/>
                <w:sz w:val="24"/>
                <w:highlight w:val="none"/>
              </w:rPr>
            </w:pPr>
            <w:r>
              <w:rPr>
                <w:b/>
                <w:color w:val="auto"/>
                <w:sz w:val="24"/>
                <w:highlight w:val="none"/>
              </w:rPr>
              <w:t xml:space="preserve">分值</w:t>
            </w:r>
            <w:r/>
          </w:p>
        </w:tc>
        <w:tc>
          <w:tcPr>
            <w:tcW w:w="4900" w:type="dxa"/>
            <w:vAlign w:val="center"/>
            <w:textDirection w:val="lrTb"/>
            <w:noWrap w:val="false"/>
          </w:tcPr>
          <w:p>
            <w:pPr>
              <w:ind w:firstLine="28"/>
              <w:jc w:val="center"/>
              <w:rPr>
                <w:b/>
                <w:color w:val="auto"/>
                <w:sz w:val="24"/>
                <w:highlight w:val="none"/>
              </w:rPr>
            </w:pPr>
            <w:r>
              <w:rPr>
                <w:b/>
                <w:color w:val="auto"/>
                <w:sz w:val="24"/>
                <w:highlight w:val="none"/>
              </w:rPr>
              <w:t xml:space="preserve">评分标准</w:t>
            </w:r>
            <w:r/>
          </w:p>
        </w:tc>
        <w:tc>
          <w:tcPr>
            <w:tcW w:w="2405" w:type="dxa"/>
            <w:vAlign w:val="center"/>
            <w:textDirection w:val="lrTb"/>
            <w:noWrap w:val="false"/>
          </w:tcPr>
          <w:p>
            <w:pPr>
              <w:pStyle w:val="1470"/>
              <w:spacing w:before="0" w:after="0" w:line="240" w:lineRule="auto"/>
              <w:rPr>
                <w:rFonts w:eastAsia="宋体"/>
                <w:color w:val="auto"/>
                <w:szCs w:val="24"/>
                <w:highlight w:val="none"/>
              </w:rPr>
            </w:pPr>
            <w:r>
              <w:rPr>
                <w:rFonts w:eastAsia="宋体"/>
                <w:color w:val="auto"/>
                <w:szCs w:val="24"/>
                <w:highlight w:val="none"/>
              </w:rPr>
              <w:t xml:space="preserve">说明</w:t>
            </w:r>
            <w:r/>
          </w:p>
        </w:tc>
      </w:tr>
      <w:tr>
        <w:trPr>
          <w:jc w:val="center"/>
        </w:trPr>
        <w:tc>
          <w:tcPr>
            <w:tcW w:w="805" w:type="dxa"/>
            <w:vAlign w:val="center"/>
            <w:textDirection w:val="lrTb"/>
            <w:noWrap w:val="false"/>
          </w:tcPr>
          <w:p>
            <w:pPr>
              <w:ind w:firstLine="28"/>
              <w:jc w:val="center"/>
              <w:rPr>
                <w:bCs/>
                <w:color w:val="auto"/>
                <w:sz w:val="24"/>
                <w:highlight w:val="none"/>
              </w:rPr>
            </w:pPr>
            <w:r>
              <w:rPr>
                <w:rFonts w:hint="eastAsia"/>
                <w:bCs/>
                <w:color w:val="auto"/>
                <w:sz w:val="24"/>
                <w:highlight w:val="none"/>
              </w:rPr>
              <w:t xml:space="preserve">1</w:t>
            </w:r>
            <w:r/>
          </w:p>
        </w:tc>
        <w:tc>
          <w:tcPr>
            <w:tcW w:w="1214"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价格分</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10</w:t>
            </w:r>
            <w:r/>
          </w:p>
        </w:tc>
        <w:tc>
          <w:tcPr>
            <w:tcW w:w="4900" w:type="dxa"/>
            <w:vAlign w:val="center"/>
            <w:textDirection w:val="lrTb"/>
            <w:noWrap w:val="false"/>
          </w:tcPr>
          <w:p>
            <w:pPr>
              <w:rPr>
                <w:rFonts w:ascii="宋体" w:hAnsi="宋体" w:cs="宋体"/>
                <w:color w:val="auto"/>
                <w:sz w:val="24"/>
                <w:highlight w:val="none"/>
              </w:rPr>
            </w:pPr>
            <w:r>
              <w:rPr>
                <w:rFonts w:ascii="Calibri" w:hAnsi="Calibri"/>
                <w:color w:val="auto"/>
                <w:sz w:val="24"/>
                <w:highlight w:val="none"/>
              </w:rPr>
              <w:t xml:space="preserve">满足磋商文件要求且</w:t>
            </w:r>
            <w:r>
              <w:rPr>
                <w:rFonts w:hint="eastAsia" w:ascii="Calibri" w:hAnsi="Calibri"/>
                <w:color w:val="auto"/>
                <w:sz w:val="24"/>
                <w:highlight w:val="none"/>
              </w:rPr>
              <w:t xml:space="preserve">最终报价</w:t>
            </w:r>
            <w:r>
              <w:rPr>
                <w:rFonts w:ascii="Calibri" w:hAnsi="Calibri"/>
                <w:color w:val="auto"/>
                <w:sz w:val="24"/>
                <w:highlight w:val="none"/>
              </w:rPr>
              <w:t xml:space="preserve">最低的报价为</w:t>
            </w:r>
            <w:r>
              <w:rPr>
                <w:rFonts w:hint="eastAsia" w:ascii="Calibri" w:hAnsi="Calibri"/>
                <w:color w:val="auto"/>
                <w:sz w:val="24"/>
                <w:highlight w:val="none"/>
              </w:rPr>
              <w:t xml:space="preserve">磋商</w:t>
            </w:r>
            <w:r>
              <w:rPr>
                <w:rFonts w:ascii="Calibri" w:hAnsi="Calibri"/>
                <w:color w:val="auto"/>
                <w:sz w:val="24"/>
                <w:highlight w:val="none"/>
              </w:rPr>
              <w:t xml:space="preserve">基准价，其价格分为满分。其他供应商的价格分统一按照下列公式计算：</w:t>
            </w:r>
            <w:r>
              <w:rPr>
                <w:rFonts w:hint="eastAsia" w:ascii="Calibri" w:hAnsi="Calibri"/>
                <w:color w:val="auto"/>
                <w:sz w:val="24"/>
                <w:highlight w:val="none"/>
              </w:rPr>
              <w:t xml:space="preserve">（计算结果四舍五入保留两位小数）</w:t>
            </w:r>
            <w:r/>
          </w:p>
          <w:p>
            <w:pPr>
              <w:rPr>
                <w:color w:val="auto"/>
                <w:sz w:val="24"/>
                <w:highlight w:val="none"/>
              </w:rPr>
            </w:pPr>
            <w:r>
              <w:rPr>
                <w:rFonts w:hint="eastAsia" w:ascii="Calibri" w:hAnsi="Calibri"/>
                <w:color w:val="auto"/>
                <w:sz w:val="24"/>
                <w:highlight w:val="none"/>
              </w:rPr>
              <w:t xml:space="preserve">价格分</w:t>
            </w:r>
            <w:r>
              <w:rPr>
                <w:rFonts w:ascii="Calibri" w:hAnsi="Calibri"/>
                <w:color w:val="auto"/>
                <w:sz w:val="24"/>
                <w:highlight w:val="none"/>
              </w:rPr>
              <w:t xml:space="preserve">＝（</w:t>
            </w:r>
            <w:r>
              <w:rPr>
                <w:rFonts w:hint="eastAsia" w:ascii="Calibri" w:hAnsi="Calibri"/>
                <w:color w:val="auto"/>
                <w:sz w:val="24"/>
                <w:highlight w:val="none"/>
              </w:rPr>
              <w:t xml:space="preserve">磋商</w:t>
            </w:r>
            <w:r>
              <w:rPr>
                <w:rFonts w:ascii="Calibri" w:hAnsi="Calibri"/>
                <w:color w:val="auto"/>
                <w:sz w:val="24"/>
                <w:highlight w:val="none"/>
              </w:rPr>
              <w:t xml:space="preserve">基准价/</w:t>
            </w:r>
            <w:r>
              <w:rPr>
                <w:rFonts w:hint="eastAsia" w:ascii="Calibri" w:hAnsi="Calibri"/>
                <w:color w:val="auto"/>
                <w:sz w:val="24"/>
                <w:highlight w:val="none"/>
              </w:rPr>
              <w:t xml:space="preserve">磋商最终报价</w:t>
            </w:r>
            <w:r>
              <w:rPr>
                <w:rFonts w:ascii="Calibri" w:hAnsi="Calibri"/>
                <w:color w:val="auto"/>
                <w:sz w:val="24"/>
                <w:highlight w:val="none"/>
              </w:rPr>
              <w:t xml:space="preserve">）×</w:t>
            </w:r>
            <w:r>
              <w:rPr>
                <w:rFonts w:hint="eastAsia" w:ascii="Calibri" w:hAnsi="Calibri"/>
                <w:color w:val="auto"/>
                <w:sz w:val="24"/>
                <w:highlight w:val="none"/>
              </w:rPr>
              <w:t xml:space="preserve">10</w:t>
            </w:r>
            <w:r>
              <w:rPr>
                <w:rFonts w:ascii="Calibri" w:hAnsi="Calibri"/>
                <w:color w:val="auto"/>
                <w:sz w:val="24"/>
                <w:highlight w:val="none"/>
              </w:rPr>
              <w:t xml:space="preserve">×</w:t>
            </w:r>
            <w:r>
              <w:rPr>
                <w:rFonts w:hint="eastAsia" w:ascii="Calibri" w:hAnsi="Calibri"/>
                <w:color w:val="auto"/>
                <w:sz w:val="24"/>
                <w:highlight w:val="none"/>
              </w:rPr>
              <w:t xml:space="preserve">100%</w:t>
            </w:r>
            <w:r>
              <w:rPr>
                <w:rFonts w:ascii="Calibri" w:hAnsi="Calibri"/>
                <w:color w:val="auto"/>
                <w:sz w:val="24"/>
                <w:highlight w:val="none"/>
              </w:rPr>
              <w:t xml:space="preserve">。</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Height w:val="528"/>
        </w:trPr>
        <w:tc>
          <w:tcPr>
            <w:tcW w:w="805"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2</w:t>
            </w:r>
            <w:r/>
          </w:p>
        </w:tc>
        <w:tc>
          <w:tcPr>
            <w:tcW w:w="1214"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主观分</w:t>
            </w:r>
            <w:r/>
          </w:p>
        </w:tc>
        <w:tc>
          <w:tcPr>
            <w:tcW w:w="736"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58</w:t>
            </w:r>
            <w:r/>
          </w:p>
        </w:tc>
        <w:tc>
          <w:tcPr>
            <w:tcW w:w="4900" w:type="dxa"/>
            <w:vAlign w:val="center"/>
            <w:textDirection w:val="lrTb"/>
            <w:noWrap w:val="false"/>
          </w:tcPr>
          <w:p>
            <w:pPr>
              <w:rPr>
                <w:b/>
                <w:bCs/>
                <w:color w:val="auto"/>
                <w:sz w:val="24"/>
                <w:highlight w:val="none"/>
              </w:rPr>
            </w:pPr>
            <w:r>
              <w:rPr>
                <w:b/>
                <w:bCs/>
                <w:color w:val="auto"/>
                <w:sz w:val="24"/>
                <w:highlight w:val="none"/>
              </w:rPr>
            </w:r>
            <w:r/>
          </w:p>
        </w:tc>
        <w:tc>
          <w:tcPr>
            <w:tcW w:w="2405" w:type="dxa"/>
            <w:vAlign w:val="center"/>
            <w:textDirection w:val="lrTb"/>
            <w:noWrap w:val="false"/>
          </w:tcPr>
          <w:p>
            <w:pPr>
              <w:ind w:left="-38"/>
              <w:rPr>
                <w:b/>
                <w:bCs/>
                <w:color w:val="auto"/>
                <w:sz w:val="24"/>
                <w:highlight w:val="none"/>
              </w:rPr>
            </w:pPr>
            <w:r>
              <w:rPr>
                <w:b/>
                <w:bCs/>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bookmarkStart w:id="659" w:name="_Hlk240205430"/>
            <w:r>
              <w:rPr>
                <w:rFonts w:hint="eastAsia"/>
                <w:color w:val="auto"/>
                <w:sz w:val="24"/>
                <w:highlight w:val="none"/>
              </w:rPr>
              <w:t xml:space="preserve">2.1</w:t>
            </w:r>
            <w:r/>
          </w:p>
        </w:tc>
        <w:tc>
          <w:tcPr>
            <w:tcW w:w="1214" w:type="dxa"/>
            <w:vAlign w:val="center"/>
            <w:textDirection w:val="lrTb"/>
            <w:noWrap w:val="false"/>
          </w:tcPr>
          <w:p>
            <w:pPr>
              <w:ind w:firstLine="28"/>
              <w:jc w:val="center"/>
              <w:rPr>
                <w:rFonts w:ascii="宋体" w:hAnsi="宋体"/>
                <w:color w:val="auto"/>
                <w:sz w:val="24"/>
                <w:highlight w:val="none"/>
              </w:rPr>
            </w:pPr>
            <w:r>
              <w:rPr>
                <w:rFonts w:hint="eastAsia" w:ascii="宋体" w:hAnsi="宋体"/>
                <w:color w:val="auto"/>
                <w:sz w:val="24"/>
                <w:highlight w:val="none"/>
              </w:rPr>
              <w:t xml:space="preserve">项目实施方案</w:t>
            </w:r>
            <w:r/>
          </w:p>
        </w:tc>
        <w:tc>
          <w:tcPr>
            <w:tcW w:w="736" w:type="dxa"/>
            <w:vAlign w:val="center"/>
            <w:textDirection w:val="lrTb"/>
            <w:noWrap w:val="false"/>
          </w:tcPr>
          <w:p>
            <w:pPr>
              <w:jc w:val="center"/>
              <w:rPr>
                <w:color w:val="auto"/>
                <w:sz w:val="24"/>
                <w:highlight w:val="none"/>
              </w:rPr>
            </w:pPr>
            <w:r>
              <w:rPr>
                <w:rFonts w:hint="eastAsia"/>
                <w:color w:val="auto"/>
                <w:sz w:val="24"/>
                <w:highlight w:val="none"/>
              </w:rPr>
              <w:t xml:space="preserve">10</w:t>
            </w:r>
            <w:r/>
          </w:p>
        </w:tc>
        <w:tc>
          <w:tcPr>
            <w:tcW w:w="4900" w:type="dxa"/>
            <w:vAlign w:val="center"/>
            <w:textDirection w:val="lrTb"/>
            <w:noWrap w:val="false"/>
          </w:tcPr>
          <w:p>
            <w:pPr>
              <w:pStyle w:val="1056"/>
              <w:rPr>
                <w:rFonts w:ascii="宋体" w:hAnsi="宋体" w:cs="宋体"/>
                <w:b/>
                <w:bCs/>
                <w:color w:val="auto"/>
                <w:sz w:val="24"/>
                <w:highlight w:val="none"/>
              </w:rPr>
            </w:pPr>
            <w:r>
              <w:rPr>
                <w:rFonts w:hint="eastAsia" w:ascii="宋体" w:hAnsi="宋体" w:cs="宋体"/>
                <w:b/>
                <w:bCs/>
                <w:color w:val="auto"/>
                <w:sz w:val="24"/>
                <w:highlight w:val="none"/>
              </w:rPr>
              <w:t xml:space="preserve">根据供应商针对本项目编制的实施方案，结合</w:t>
            </w:r>
            <w:r>
              <w:rPr>
                <w:rFonts w:ascii="宋体" w:hAnsi="宋体" w:cs="宋体"/>
                <w:b/>
                <w:bCs/>
                <w:color w:val="auto"/>
                <w:sz w:val="24"/>
                <w:highlight w:val="none"/>
              </w:rPr>
              <w:t xml:space="preserve">项目工作内容理解、建设范围研判、实地现状分析、实施方案、实施流程、技术方式方法等内容，充分匹配本项目水生态技术服务工作特点</w:t>
            </w:r>
            <w:r>
              <w:rPr>
                <w:rFonts w:hint="eastAsia" w:ascii="宋体" w:hAnsi="宋体" w:cs="宋体"/>
                <w:b/>
                <w:bCs/>
                <w:color w:val="auto"/>
                <w:sz w:val="24"/>
                <w:highlight w:val="none"/>
              </w:rPr>
              <w:t xml:space="preserve">等内容综合评审：</w:t>
            </w:r>
            <w:r/>
          </w:p>
          <w:p>
            <w:pPr>
              <w:rPr>
                <w:rFonts w:ascii="宋体" w:hAnsi="宋体" w:cs="宋体"/>
                <w:color w:val="auto"/>
                <w:sz w:val="24"/>
                <w:highlight w:val="none"/>
              </w:rPr>
            </w:pPr>
            <w:r>
              <w:rPr>
                <w:rFonts w:hint="eastAsia" w:ascii="宋体" w:hAnsi="宋体" w:cs="宋体"/>
                <w:color w:val="auto"/>
                <w:sz w:val="24"/>
                <w:highlight w:val="none"/>
              </w:rPr>
              <w:t xml:space="preserve">1. 对本项目研究目标、调查范围、技术路线理解精准，实施方案完整系统、针对性极强、贴合竺山湖实地工况、可落地性强，完全满足项目要求，得10分；</w:t>
            </w:r>
            <w:r/>
          </w:p>
          <w:p>
            <w:pPr>
              <w:rPr>
                <w:rFonts w:ascii="宋体" w:hAnsi="宋体" w:cs="宋体"/>
                <w:color w:val="auto"/>
                <w:sz w:val="24"/>
                <w:highlight w:val="none"/>
              </w:rPr>
            </w:pPr>
            <w:r>
              <w:rPr>
                <w:rFonts w:hint="eastAsia" w:ascii="宋体" w:hAnsi="宋体" w:cs="宋体"/>
                <w:color w:val="auto"/>
                <w:sz w:val="24"/>
                <w:highlight w:val="none"/>
              </w:rPr>
              <w:t xml:space="preserve">2. 对项目需求理解准确，实施方案内容较完整、技术路线合理，细节略有不足，较好满足项目要求，得7分；</w:t>
            </w:r>
            <w:r/>
          </w:p>
          <w:p>
            <w:pPr>
              <w:rPr>
                <w:rFonts w:ascii="宋体" w:hAnsi="宋体" w:cs="宋体"/>
                <w:color w:val="auto"/>
                <w:sz w:val="24"/>
                <w:highlight w:val="none"/>
              </w:rPr>
            </w:pPr>
            <w:r>
              <w:rPr>
                <w:rFonts w:hint="eastAsia" w:ascii="宋体" w:hAnsi="宋体" w:cs="宋体"/>
                <w:color w:val="auto"/>
                <w:sz w:val="24"/>
                <w:highlight w:val="none"/>
              </w:rPr>
              <w:t xml:space="preserve">3. 实施方案基本完整，技术思路基本可行，整体一般，基本满足项目要求，得4分；</w:t>
            </w:r>
            <w:r/>
          </w:p>
          <w:p>
            <w:pPr>
              <w:rPr>
                <w:rFonts w:ascii="宋体" w:hAnsi="宋体" w:cs="宋体"/>
                <w:color w:val="auto"/>
                <w:sz w:val="24"/>
                <w:highlight w:val="none"/>
              </w:rPr>
            </w:pPr>
            <w:r>
              <w:rPr>
                <w:rFonts w:hint="eastAsia" w:ascii="宋体" w:hAnsi="宋体" w:cs="宋体"/>
                <w:color w:val="auto"/>
                <w:sz w:val="24"/>
                <w:highlight w:val="none"/>
              </w:rPr>
              <w:t xml:space="preserve">4. 方案内容简单、逻辑不清、针对性弱，仅能部分满足项目要求，得1分；</w:t>
            </w:r>
            <w:r/>
          </w:p>
          <w:p>
            <w:pPr>
              <w:rPr>
                <w:rFonts w:ascii="宋体" w:hAnsi="宋体" w:cs="宋体"/>
                <w:color w:val="auto"/>
                <w:sz w:val="24"/>
                <w:highlight w:val="none"/>
              </w:rPr>
            </w:pPr>
            <w:r>
              <w:rPr>
                <w:rFonts w:hint="eastAsia" w:ascii="宋体" w:hAnsi="宋体" w:cs="宋体"/>
                <w:color w:val="auto"/>
                <w:sz w:val="24"/>
                <w:highlight w:val="none"/>
              </w:rPr>
              <w:t xml:space="preserve">5. 未提供不得分。</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2.2</w:t>
            </w:r>
            <w:r/>
          </w:p>
        </w:tc>
        <w:tc>
          <w:tcPr>
            <w:tcW w:w="1214" w:type="dxa"/>
            <w:vAlign w:val="center"/>
            <w:textDirection w:val="lrTb"/>
            <w:noWrap w:val="false"/>
          </w:tcPr>
          <w:p>
            <w:pPr>
              <w:ind w:firstLine="28"/>
              <w:jc w:val="center"/>
              <w:rPr>
                <w:rFonts w:ascii="宋体" w:hAnsi="宋体"/>
                <w:color w:val="auto"/>
                <w:sz w:val="24"/>
                <w:highlight w:val="none"/>
              </w:rPr>
            </w:pPr>
            <w:r>
              <w:rPr>
                <w:rFonts w:hint="eastAsia"/>
                <w:color w:val="auto"/>
                <w:sz w:val="24"/>
                <w:highlight w:val="none"/>
              </w:rPr>
              <w:t xml:space="preserve">项目重点与难点分析</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10</w:t>
            </w:r>
            <w:r/>
          </w:p>
        </w:tc>
        <w:tc>
          <w:tcPr>
            <w:tcW w:w="4900" w:type="dxa"/>
            <w:vAlign w:val="center"/>
            <w:textDirection w:val="lrTb"/>
            <w:noWrap w:val="false"/>
          </w:tcPr>
          <w:p>
            <w:pPr>
              <w:pStyle w:val="1056"/>
              <w:ind w:left="90"/>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编制的重点与难点分析（包括但不限于：项目重点内容梳理、难点识别、关键性技术问题研判、对应处置对策措施等内容，充分匹配本项目水生态技术服务工作特点），由评委进行综合评审：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供应商对本项目的重点、难点及关键性技术问题的分析详细、合理，对策措施可行性强的，得 10 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供应商对本项目的重点、难点及关键性技术问题的分析较详细、较合理，对策措施可行性较强，存在少量细节不足的，得 7 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重点、难点及关键性技术问题的分析一般，对策措施可行性一般的，得 4 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重点、难点及关键性技术问题的分析较差，对策措施可行性较差，仅能部分满足项目实施要求的，得 1 分； </w:t>
            </w:r>
            <w:r/>
          </w:p>
          <w:p>
            <w:pPr>
              <w:jc w:val="left"/>
              <w:rPr>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2.3</w:t>
            </w:r>
            <w:r/>
          </w:p>
        </w:tc>
        <w:tc>
          <w:tcPr>
            <w:tcW w:w="1214" w:type="dxa"/>
            <w:vAlign w:val="center"/>
            <w:textDirection w:val="lrTb"/>
            <w:noWrap w:val="false"/>
          </w:tcPr>
          <w:p>
            <w:pPr>
              <w:ind w:firstLine="28"/>
              <w:jc w:val="center"/>
              <w:rPr>
                <w:rFonts w:ascii="宋体" w:hAnsi="宋体"/>
                <w:color w:val="auto"/>
                <w:sz w:val="24"/>
                <w:highlight w:val="none"/>
              </w:rPr>
            </w:pPr>
            <w:r>
              <w:rPr>
                <w:color w:val="auto"/>
                <w:sz w:val="24"/>
                <w:highlight w:val="none"/>
              </w:rPr>
              <w:t xml:space="preserve">质量</w:t>
            </w:r>
            <w:r>
              <w:rPr>
                <w:rFonts w:hint="eastAsia"/>
                <w:color w:val="auto"/>
                <w:sz w:val="24"/>
                <w:highlight w:val="none"/>
              </w:rPr>
              <w:t xml:space="preserve">管理</w:t>
            </w:r>
            <w:r>
              <w:rPr>
                <w:color w:val="auto"/>
                <w:sz w:val="24"/>
                <w:highlight w:val="none"/>
              </w:rPr>
              <w:t xml:space="preserve">方案及保障措施 </w:t>
            </w:r>
            <w:r/>
          </w:p>
        </w:tc>
        <w:tc>
          <w:tcPr>
            <w:tcW w:w="736" w:type="dxa"/>
            <w:vAlign w:val="center"/>
            <w:textDirection w:val="lrTb"/>
            <w:noWrap w:val="false"/>
          </w:tcPr>
          <w:p>
            <w:pPr>
              <w:ind w:firstLine="28"/>
              <w:jc w:val="center"/>
              <w:rPr>
                <w:rFonts w:ascii="宋体" w:hAnsi="宋体" w:cs="宋体"/>
                <w:color w:val="auto"/>
                <w:sz w:val="24"/>
                <w:highlight w:val="none"/>
              </w:rPr>
            </w:pPr>
            <w:r>
              <w:rPr>
                <w:rFonts w:hint="eastAsia"/>
                <w:color w:val="auto"/>
                <w:sz w:val="24"/>
                <w:highlight w:val="none"/>
              </w:rPr>
              <w:t xml:space="preserve">8</w:t>
            </w:r>
            <w:r/>
          </w:p>
        </w:tc>
        <w:tc>
          <w:tcPr>
            <w:tcW w:w="4900" w:type="dxa"/>
            <w:vAlign w:val="center"/>
            <w:textDirection w:val="lrTb"/>
            <w:noWrap w:val="false"/>
          </w:tcPr>
          <w:p>
            <w:pPr>
              <w:pStyle w:val="1056"/>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质量管理方案及保障措施（包括但不限于：外业采样质量管控、模型运算校验、成果报告审核、质量岗位设置、质量问题纠偏机制等内容，充分匹配本项目水生态调查评价工作特点），由评委进行综合评审：</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供应商的项目质量管理方案全面、完善，质量管控流程闭环，保证措施合理、针对性强、可行性高，可完全满足项目实施要求的，得</w:t>
            </w:r>
            <w:r>
              <w:rPr>
                <w:rFonts w:hint="eastAsia" w:ascii="宋体" w:hAnsi="宋体" w:cs="宋体"/>
                <w:color w:val="auto"/>
                <w:sz w:val="24"/>
                <w:highlight w:val="none"/>
              </w:rPr>
              <w:t xml:space="preserve">8</w:t>
            </w:r>
            <w:r>
              <w:rPr>
                <w:rFonts w:ascii="宋体" w:hAnsi="宋体" w:cs="宋体"/>
                <w:color w:val="auto"/>
                <w:sz w:val="24"/>
                <w:highlight w:val="none"/>
              </w:rPr>
              <w:t xml:space="preserve">分；</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供应商的项目质量管理方案较全面、较完善，主要管控环节均有覆盖，保证措施较合理、可行性较高，存在少量细节不足，可较好满足项目实施要求的，得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项目质量管理方案及保证措施一般，核心管控内容基本具备，但深度与针对性一般，基本满足项目实施要求的，得</w:t>
            </w:r>
            <w:r>
              <w:rPr>
                <w:rFonts w:hint="eastAsia" w:ascii="宋体" w:hAnsi="宋体" w:cs="宋体"/>
                <w:color w:val="auto"/>
                <w:sz w:val="24"/>
                <w:highlight w:val="none"/>
              </w:rPr>
              <w:t xml:space="preserve">4</w:t>
            </w:r>
            <w:r>
              <w:rPr>
                <w:rFonts w:ascii="宋体" w:hAnsi="宋体" w:cs="宋体"/>
                <w:color w:val="auto"/>
                <w:sz w:val="24"/>
                <w:highlight w:val="none"/>
              </w:rPr>
              <w:t xml:space="preserve">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质量管理方案粗糙，关键管控环节有所缺失，保证措施可行性低，仅能部分满足项目实施要求的，得</w:t>
            </w:r>
            <w:r>
              <w:rPr>
                <w:rFonts w:hint="eastAsia" w:ascii="宋体" w:hAnsi="宋体" w:cs="宋体"/>
                <w:color w:val="auto"/>
                <w:sz w:val="24"/>
                <w:highlight w:val="none"/>
              </w:rPr>
              <w:t xml:space="preserve">2</w:t>
            </w:r>
            <w:r>
              <w:rPr>
                <w:rFonts w:ascii="宋体" w:hAnsi="宋体" w:cs="宋体"/>
                <w:color w:val="auto"/>
                <w:sz w:val="24"/>
                <w:highlight w:val="none"/>
              </w:rPr>
              <w:t xml:space="preserve">分； </w:t>
            </w:r>
            <w:r/>
          </w:p>
          <w:p>
            <w:pPr>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rPr>
                <w:rFonts w:ascii="宋体" w:hAnsi="宋体" w:cs="宋体"/>
                <w:color w:val="auto"/>
                <w:sz w:val="24"/>
                <w:highlight w:val="none"/>
              </w:rPr>
              <w:t xml:space="preserve">。</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2.4</w:t>
            </w:r>
            <w:r/>
          </w:p>
        </w:tc>
        <w:tc>
          <w:tcPr>
            <w:tcW w:w="1214" w:type="dxa"/>
            <w:vAlign w:val="center"/>
            <w:textDirection w:val="lrTb"/>
            <w:noWrap w:val="false"/>
          </w:tcPr>
          <w:p>
            <w:pPr>
              <w:ind w:firstLine="28"/>
              <w:jc w:val="center"/>
              <w:rPr>
                <w:rFonts w:ascii="宋体" w:hAnsi="宋体"/>
                <w:color w:val="auto"/>
                <w:sz w:val="24"/>
                <w:highlight w:val="none"/>
              </w:rPr>
            </w:pPr>
            <w:r>
              <w:rPr>
                <w:rFonts w:hint="eastAsia"/>
                <w:color w:val="auto"/>
                <w:sz w:val="24"/>
                <w:highlight w:val="none"/>
              </w:rPr>
              <w:t xml:space="preserve">进度方案及保障措施 </w:t>
            </w:r>
            <w:r/>
          </w:p>
        </w:tc>
        <w:tc>
          <w:tcPr>
            <w:tcW w:w="736" w:type="dxa"/>
            <w:vAlign w:val="center"/>
            <w:textDirection w:val="lrTb"/>
            <w:noWrap w:val="false"/>
          </w:tcPr>
          <w:p>
            <w:pPr>
              <w:ind w:firstLine="28"/>
              <w:jc w:val="center"/>
              <w:rPr>
                <w:rFonts w:ascii="宋体" w:hAnsi="宋体" w:cs="宋体"/>
                <w:color w:val="auto"/>
                <w:sz w:val="24"/>
                <w:highlight w:val="none"/>
              </w:rPr>
            </w:pPr>
            <w:r>
              <w:rPr>
                <w:rFonts w:hint="eastAsia"/>
                <w:color w:val="auto"/>
                <w:sz w:val="24"/>
                <w:highlight w:val="none"/>
              </w:rPr>
              <w:t xml:space="preserve">8</w:t>
            </w:r>
            <w:r/>
          </w:p>
        </w:tc>
        <w:tc>
          <w:tcPr>
            <w:tcW w:w="4900" w:type="dxa"/>
            <w:vAlign w:val="center"/>
            <w:textDirection w:val="lrTb"/>
            <w:noWrap w:val="false"/>
          </w:tcPr>
          <w:p>
            <w:pPr>
              <w:pStyle w:val="1056"/>
              <w:ind w:left="90"/>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进度方案及保障措施（包括但不限于：外业采样、模型运算、报告编制、内部审核、成果交付各阶段工期排布、工期滞后预警、赶工预案等内容，充分匹配本项目工作时序特点），由评标委员会进行综合评审：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供应商针对本项目制定的进度计划、保障措施严谨、合理、可行性高，工期节点划分清晰，完全符合本项目时间要求，可完全满足项目实施要求的，得</w:t>
            </w:r>
            <w:r>
              <w:rPr>
                <w:rFonts w:hint="eastAsia" w:ascii="宋体" w:hAnsi="宋体" w:cs="宋体"/>
                <w:color w:val="auto"/>
                <w:sz w:val="24"/>
                <w:highlight w:val="none"/>
              </w:rPr>
              <w:t xml:space="preserve">8</w:t>
            </w:r>
            <w:r>
              <w:rPr>
                <w:rFonts w:ascii="宋体" w:hAnsi="宋体" w:cs="宋体"/>
                <w:color w:val="auto"/>
                <w:sz w:val="24"/>
                <w:highlight w:val="none"/>
              </w:rPr>
              <w:t xml:space="preserve">分；</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针对本项目制定的进度计划、保障措施较严谨、较合理、可行性较高，主要工作节点完整，存在少量细节不足，可较好满足项目实施要求的，得 </w:t>
            </w:r>
            <w:r>
              <w:rPr>
                <w:rFonts w:hint="eastAsia" w:ascii="宋体" w:hAnsi="宋体" w:cs="宋体"/>
                <w:color w:val="auto"/>
                <w:sz w:val="24"/>
                <w:highlight w:val="none"/>
              </w:rPr>
              <w:t xml:space="preserve">6</w:t>
            </w:r>
            <w:r>
              <w:rPr>
                <w:rFonts w:ascii="宋体" w:hAnsi="宋体" w:cs="宋体"/>
                <w:color w:val="auto"/>
                <w:sz w:val="24"/>
                <w:highlight w:val="none"/>
              </w:rPr>
              <w:t xml:space="preserve">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针对本项目制定的进度计划、保障措施合理性、可行性一般，关键工期节点基本具备，基本满足项目实施要求的，得</w:t>
            </w:r>
            <w:r>
              <w:rPr>
                <w:rFonts w:hint="eastAsia" w:ascii="宋体" w:hAnsi="宋体" w:cs="宋体"/>
                <w:color w:val="auto"/>
                <w:sz w:val="24"/>
                <w:highlight w:val="none"/>
              </w:rPr>
              <w:t xml:space="preserve">4</w:t>
            </w:r>
            <w:r>
              <w:rPr>
                <w:rFonts w:ascii="宋体" w:hAnsi="宋体" w:cs="宋体"/>
                <w:color w:val="auto"/>
                <w:sz w:val="24"/>
                <w:highlight w:val="none"/>
              </w:rPr>
              <w:t xml:space="preserve">分； </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进度计划、保障措施简单粗糙，关键节点有所缺失，可行性低，仅能部分满足项目实施要求的，得</w:t>
            </w:r>
            <w:r>
              <w:rPr>
                <w:rFonts w:hint="eastAsia" w:ascii="宋体" w:hAnsi="宋体" w:cs="宋体"/>
                <w:color w:val="auto"/>
                <w:sz w:val="24"/>
                <w:highlight w:val="none"/>
              </w:rPr>
              <w:t xml:space="preserve">2</w:t>
            </w:r>
            <w:r>
              <w:rPr>
                <w:rFonts w:ascii="宋体" w:hAnsi="宋体" w:cs="宋体"/>
                <w:color w:val="auto"/>
                <w:sz w:val="24"/>
                <w:highlight w:val="none"/>
              </w:rPr>
              <w:t xml:space="preserve">分； </w:t>
            </w:r>
            <w:r/>
          </w:p>
          <w:p>
            <w:pPr>
              <w:rPr>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rPr>
                <w:rFonts w:ascii="宋体" w:hAnsi="宋体" w:cs="宋体"/>
                <w:color w:val="auto"/>
                <w:sz w:val="24"/>
                <w:highlight w:val="none"/>
              </w:rPr>
              <w:t xml:space="preserve">。</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2.5</w:t>
            </w:r>
            <w:r/>
          </w:p>
        </w:tc>
        <w:tc>
          <w:tcPr>
            <w:tcW w:w="1214" w:type="dxa"/>
            <w:vAlign w:val="center"/>
            <w:textDirection w:val="lrTb"/>
            <w:noWrap w:val="false"/>
          </w:tcPr>
          <w:p>
            <w:pPr>
              <w:ind w:firstLine="28"/>
              <w:jc w:val="center"/>
              <w:rPr>
                <w:rFonts w:ascii="宋体" w:hAnsi="宋体"/>
                <w:color w:val="auto"/>
                <w:sz w:val="24"/>
                <w:highlight w:val="none"/>
              </w:rPr>
            </w:pPr>
            <w:r>
              <w:rPr>
                <w:rFonts w:hint="eastAsia"/>
                <w:color w:val="auto"/>
                <w:sz w:val="24"/>
                <w:highlight w:val="none"/>
              </w:rPr>
              <w:t xml:space="preserve">人员配置方案</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8</w:t>
            </w:r>
            <w:r/>
          </w:p>
        </w:tc>
        <w:tc>
          <w:tcPr>
            <w:tcW w:w="4900" w:type="dxa"/>
            <w:vAlign w:val="center"/>
            <w:textDirection w:val="lrTb"/>
            <w:noWrap w:val="false"/>
          </w:tcPr>
          <w:p>
            <w:pPr>
              <w:pStyle w:val="1056"/>
              <w:ind w:left="90"/>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人员配置方案（包括但不限于：项目负责人、外业采样、数值模拟、报告编制、质量审核等岗位设置，岗位职责、人员分工、岗位管理制度等内容，充分匹配本项目水生态技术服务工作特点），由评委进行综合评审： </w:t>
            </w:r>
            <w:r/>
          </w:p>
          <w:p>
            <w:pPr>
              <w:pStyle w:val="1056"/>
              <w:ind w:left="90"/>
              <w:tabs>
                <w:tab w:val="left" w:pos="768"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供应商提供的服务团队配备人员分工安排合理，岗位职责清晰，岗位管理制度全面、完善，人员专业与项目匹配度高，配置方案能够有效实施本项目的，得</w:t>
            </w:r>
            <w:r>
              <w:rPr>
                <w:rFonts w:hint="eastAsia" w:ascii="宋体" w:hAnsi="宋体" w:cs="宋体"/>
                <w:color w:val="auto"/>
                <w:sz w:val="24"/>
                <w:highlight w:val="none"/>
              </w:rPr>
              <w:t xml:space="preserve">8</w:t>
            </w:r>
            <w:r>
              <w:rPr>
                <w:rFonts w:ascii="宋体" w:hAnsi="宋体" w:cs="宋体"/>
                <w:color w:val="auto"/>
                <w:sz w:val="24"/>
                <w:highlight w:val="none"/>
              </w:rPr>
              <w:t xml:space="preserve">分； </w:t>
            </w:r>
            <w:r/>
          </w:p>
          <w:p>
            <w:pPr>
              <w:pStyle w:val="1056"/>
              <w:ind w:left="90"/>
              <w:tabs>
                <w:tab w:val="left" w:pos="768"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服务团队配备人员分工安排较合理，主要岗位配置齐全，岗位管理制度较全面，人员专业匹配较好，配置方案基本能够有效实施本项目，存在少量细节不足的，得</w:t>
            </w:r>
            <w:r>
              <w:rPr>
                <w:rFonts w:hint="eastAsia" w:ascii="宋体" w:hAnsi="宋体" w:cs="宋体"/>
                <w:color w:val="auto"/>
                <w:sz w:val="24"/>
                <w:highlight w:val="none"/>
              </w:rPr>
              <w:t xml:space="preserve">6</w:t>
            </w:r>
            <w:r>
              <w:rPr>
                <w:rFonts w:ascii="宋体" w:hAnsi="宋体" w:cs="宋体"/>
                <w:color w:val="auto"/>
                <w:sz w:val="24"/>
                <w:highlight w:val="none"/>
              </w:rPr>
              <w:t xml:space="preserve">分； </w:t>
            </w:r>
            <w:r/>
          </w:p>
          <w:p>
            <w:pPr>
              <w:pStyle w:val="1056"/>
              <w:ind w:left="90"/>
              <w:tabs>
                <w:tab w:val="left" w:pos="768"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服务团队配备人员分工安排合理性一般，关键岗位基本覆盖，岗位管理制度、配置方案一般，基本满足项目实施要求的，得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p>
          <w:p>
            <w:pPr>
              <w:pStyle w:val="1056"/>
              <w:ind w:left="90"/>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服务团队配备人员分工安排不太合理，部分关键岗位缺失，岗位管理制度及配置方案较差、可行性低，仅能部分满足项目实施要求的，得</w:t>
            </w:r>
            <w:r>
              <w:rPr>
                <w:rFonts w:hint="eastAsia" w:ascii="宋体" w:hAnsi="宋体" w:cs="宋体"/>
                <w:color w:val="auto"/>
                <w:sz w:val="24"/>
                <w:highlight w:val="none"/>
              </w:rPr>
              <w:t xml:space="preserve">2</w:t>
            </w:r>
            <w:r>
              <w:rPr>
                <w:rFonts w:ascii="宋体" w:hAnsi="宋体" w:cs="宋体"/>
                <w:color w:val="auto"/>
                <w:sz w:val="24"/>
                <w:highlight w:val="none"/>
              </w:rPr>
              <w:t xml:space="preserve">分； </w:t>
            </w:r>
            <w:r/>
          </w:p>
          <w:p>
            <w:pPr>
              <w:jc w:val="left"/>
              <w:rPr>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rPr>
                <w:rFonts w:ascii="宋体" w:hAnsi="宋体" w:cs="宋体"/>
                <w:color w:val="auto"/>
                <w:sz w:val="24"/>
                <w:highlight w:val="none"/>
              </w:rPr>
              <w:t xml:space="preserve">。</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2.6</w:t>
            </w:r>
            <w:r/>
          </w:p>
        </w:tc>
        <w:tc>
          <w:tcPr>
            <w:tcW w:w="1214" w:type="dxa"/>
            <w:vAlign w:val="center"/>
            <w:textDirection w:val="lrTb"/>
            <w:noWrap w:val="false"/>
          </w:tcPr>
          <w:p>
            <w:pPr>
              <w:ind w:firstLine="28"/>
              <w:jc w:val="center"/>
              <w:rPr>
                <w:color w:val="auto"/>
                <w:sz w:val="24"/>
                <w:highlight w:val="none"/>
              </w:rPr>
            </w:pPr>
            <w:r>
              <w:rPr>
                <w:rFonts w:ascii="宋体" w:hAnsi="宋体" w:cs="宋体"/>
                <w:color w:val="auto"/>
                <w:sz w:val="24"/>
                <w:highlight w:val="none"/>
              </w:rPr>
              <w:t xml:space="preserve">售后服务及响应保障</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7</w:t>
            </w:r>
            <w:r/>
          </w:p>
        </w:tc>
        <w:tc>
          <w:tcPr>
            <w:tcW w:w="4900" w:type="dxa"/>
            <w:vAlign w:val="center"/>
            <w:textDirection w:val="lrTb"/>
            <w:noWrap w:val="false"/>
          </w:tcPr>
          <w:p>
            <w:pPr>
              <w:jc w:val="left"/>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编制的售后服务及响应保障方案（包括但不限于：成果答疑、报告修改完善、技术交底、后期技术咨询、问题响应时限、回访机制等内容，充分匹配本项目水生态技术服务工作特点），由评委进行综合评审： </w:t>
            </w:r>
            <w:r/>
          </w:p>
          <w:p>
            <w:pPr>
              <w:jc w:val="lef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供应商售后服务及响应保障方案全面完善，响应机制清晰，服务承诺具体可落地，可完全满足项目后期技术服务要求的，得 </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售后服务及响应保障方案较全面，主要服务内容齐全，响应保障措施较合理，存在少量细节不足，可较好满足项目后期技术服务要求的，得 </w:t>
            </w:r>
            <w:r>
              <w:rPr>
                <w:rFonts w:hint="eastAsia" w:ascii="宋体" w:hAnsi="宋体" w:cs="宋体"/>
                <w:color w:val="auto"/>
                <w:sz w:val="24"/>
                <w:highlight w:val="none"/>
              </w:rPr>
              <w:t xml:space="preserve">5</w:t>
            </w:r>
            <w:r>
              <w:rPr>
                <w:rFonts w:ascii="宋体" w:hAnsi="宋体" w:cs="宋体"/>
                <w:color w:val="auto"/>
                <w:sz w:val="24"/>
                <w:highlight w:val="none"/>
              </w:rPr>
              <w:t xml:space="preserve"> 分； </w:t>
            </w:r>
            <w:r/>
          </w:p>
          <w:p>
            <w:pPr>
              <w:jc w:val="lef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售后服务及响应保障方案完整性一般，核心服务内容基本具备，基本满足项目后期技术服务要求的，得 </w:t>
            </w:r>
            <w:r>
              <w:rPr>
                <w:rFonts w:hint="eastAsia" w:ascii="宋体" w:hAnsi="宋体" w:cs="宋体"/>
                <w:color w:val="auto"/>
                <w:sz w:val="24"/>
                <w:highlight w:val="none"/>
              </w:rPr>
              <w:t xml:space="preserve">3</w:t>
            </w:r>
            <w:r>
              <w:rPr>
                <w:rFonts w:ascii="宋体" w:hAnsi="宋体" w:cs="宋体"/>
                <w:color w:val="auto"/>
                <w:sz w:val="24"/>
                <w:highlight w:val="none"/>
              </w:rPr>
              <w:t xml:space="preserve"> 分；</w:t>
            </w:r>
            <w:r/>
          </w:p>
          <w:p>
            <w:pPr>
              <w:jc w:val="lef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售后服务及响应保障方案简单粗略，关键服务内容缺失，可行性低，仅能部分满足项目后期技术服务要求的，得 </w:t>
            </w:r>
            <w:r>
              <w:rPr>
                <w:rFonts w:hint="eastAsia" w:ascii="宋体" w:hAnsi="宋体" w:cs="宋体"/>
                <w:color w:val="auto"/>
                <w:sz w:val="24"/>
                <w:highlight w:val="none"/>
              </w:rPr>
              <w:t xml:space="preserve">1</w:t>
            </w:r>
            <w:r>
              <w:rPr>
                <w:rFonts w:ascii="宋体" w:hAnsi="宋体" w:cs="宋体"/>
                <w:color w:val="auto"/>
                <w:sz w:val="24"/>
                <w:highlight w:val="none"/>
              </w:rPr>
              <w:t xml:space="preserve"> 分； </w:t>
            </w:r>
            <w:r/>
          </w:p>
          <w:p>
            <w:pPr>
              <w:jc w:val="left"/>
              <w:rPr>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rPr>
                <w:rFonts w:ascii="宋体" w:hAnsi="宋体" w:cs="宋体"/>
                <w:color w:val="auto"/>
                <w:sz w:val="24"/>
                <w:highlight w:val="none"/>
              </w:rPr>
              <w:t xml:space="preserve">。</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2.7</w:t>
            </w:r>
            <w:r/>
          </w:p>
        </w:tc>
        <w:tc>
          <w:tcPr>
            <w:tcW w:w="1214" w:type="dxa"/>
            <w:vAlign w:val="center"/>
            <w:textDirection w:val="lrTb"/>
            <w:noWrap w:val="false"/>
          </w:tcPr>
          <w:p>
            <w:pPr>
              <w:ind w:firstLine="28"/>
              <w:jc w:val="center"/>
              <w:rPr>
                <w:color w:val="auto"/>
                <w:sz w:val="24"/>
                <w:highlight w:val="none"/>
              </w:rPr>
            </w:pPr>
            <w:r>
              <w:rPr>
                <w:rFonts w:ascii="宋体" w:hAnsi="宋体" w:cs="宋体"/>
                <w:color w:val="auto"/>
                <w:sz w:val="24"/>
                <w:highlight w:val="none"/>
              </w:rPr>
              <w:t xml:space="preserve">项目风险应急处置方案</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4</w:t>
            </w:r>
            <w:r/>
          </w:p>
        </w:tc>
        <w:tc>
          <w:tcPr>
            <w:tcW w:w="4900" w:type="dxa"/>
            <w:vAlign w:val="center"/>
            <w:textDirection w:val="lrTb"/>
            <w:noWrap w:val="false"/>
          </w:tcPr>
          <w:p>
            <w:pPr>
              <w:jc w:val="left"/>
              <w:rPr>
                <w:rFonts w:ascii="宋体" w:hAnsi="宋体" w:cs="宋体"/>
                <w:b/>
                <w:bCs/>
                <w:color w:val="auto"/>
                <w:sz w:val="24"/>
                <w:highlight w:val="none"/>
              </w:rPr>
            </w:pPr>
            <w:r>
              <w:rPr>
                <w:rFonts w:ascii="宋体" w:hAnsi="宋体" w:cs="宋体"/>
                <w:b/>
                <w:bCs/>
                <w:color w:val="auto"/>
                <w:sz w:val="24"/>
                <w:highlight w:val="none"/>
              </w:rPr>
              <w:t xml:space="preserve">根据</w:t>
            </w:r>
            <w:r>
              <w:rPr>
                <w:rFonts w:hint="eastAsia" w:ascii="宋体" w:hAnsi="宋体" w:cs="宋体"/>
                <w:b/>
                <w:bCs/>
                <w:color w:val="auto"/>
                <w:sz w:val="24"/>
                <w:highlight w:val="none"/>
              </w:rPr>
              <w:t xml:space="preserve">供应商</w:t>
            </w:r>
            <w:r>
              <w:rPr>
                <w:rFonts w:ascii="宋体" w:hAnsi="宋体" w:cs="宋体"/>
                <w:b/>
                <w:bCs/>
                <w:color w:val="auto"/>
                <w:sz w:val="24"/>
                <w:highlight w:val="none"/>
              </w:rPr>
              <w:t xml:space="preserve">编制的项目风险应急处置方案（包括但不限于：野外作业安全风险、采样工况异常、数据异常偏差、工期受阻、突发外部环境变化等风险识别与处置预案，充分匹配本项目野外调查与模型分析工作特点），由评委进行综合评审：</w:t>
            </w:r>
            <w:r/>
          </w:p>
          <w:p>
            <w:pPr>
              <w:ind w:left="120"/>
              <w:jc w:val="lef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供应商风险识别全面到位，应急处置方案完整闭环，处置措施针对性强、可行性高，可完全应对本项目各类潜在风险，得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p>
          <w:p>
            <w:pPr>
              <w:ind w:left="120"/>
              <w:jc w:val="lef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风险识别、应急处置方案完整性一般，主要风险基本覆盖，基本能够应对项目常见风险，得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p>
          <w:p>
            <w:pPr>
              <w:ind w:left="120"/>
              <w:jc w:val="lef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风险识别不全，应急处置方案简单粗略，部分重要风险未考虑，可行性低，仅能应对部分项目风险，得 </w:t>
            </w:r>
            <w:r>
              <w:rPr>
                <w:rFonts w:hint="eastAsia" w:ascii="宋体" w:hAnsi="宋体" w:cs="宋体"/>
                <w:color w:val="auto"/>
                <w:sz w:val="24"/>
                <w:highlight w:val="none"/>
              </w:rPr>
              <w:t xml:space="preserve">1</w:t>
            </w:r>
            <w:r>
              <w:rPr>
                <w:rFonts w:ascii="宋体" w:hAnsi="宋体" w:cs="宋体"/>
                <w:color w:val="auto"/>
                <w:sz w:val="24"/>
                <w:highlight w:val="none"/>
              </w:rPr>
              <w:t xml:space="preserve">分； </w:t>
            </w:r>
            <w:r/>
          </w:p>
          <w:p>
            <w:pPr>
              <w:ind w:left="120"/>
              <w:jc w:val="left"/>
              <w:rPr>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未提供本项</w:t>
            </w:r>
            <w:r>
              <w:rPr>
                <w:rFonts w:hint="eastAsia" w:ascii="宋体" w:hAnsi="宋体" w:cs="宋体"/>
                <w:color w:val="auto"/>
                <w:sz w:val="24"/>
                <w:highlight w:val="none"/>
              </w:rPr>
              <w:t xml:space="preserve">不得分。</w:t>
            </w:r>
            <w:r/>
          </w:p>
        </w:tc>
        <w:tc>
          <w:tcPr>
            <w:tcW w:w="2405" w:type="dxa"/>
            <w:vAlign w:val="center"/>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2.8</w:t>
            </w:r>
            <w:r/>
          </w:p>
        </w:tc>
        <w:tc>
          <w:tcPr>
            <w:tcW w:w="1214" w:type="dxa"/>
            <w:vAlign w:val="center"/>
            <w:textDirection w:val="lrTb"/>
            <w:noWrap w:val="false"/>
          </w:tcPr>
          <w:p>
            <w:pPr>
              <w:ind w:firstLine="28"/>
              <w:jc w:val="center"/>
              <w:rPr>
                <w:color w:val="auto"/>
                <w:sz w:val="24"/>
                <w:highlight w:val="none"/>
              </w:rPr>
            </w:pPr>
            <w:r>
              <w:rPr>
                <w:rFonts w:ascii="宋体" w:hAnsi="宋体" w:cs="宋体"/>
                <w:color w:val="auto"/>
                <w:sz w:val="24"/>
                <w:highlight w:val="none"/>
              </w:rPr>
              <w:t xml:space="preserve">成果交付与档案管理方案</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3</w:t>
            </w:r>
            <w:r/>
          </w:p>
        </w:tc>
        <w:tc>
          <w:tcPr>
            <w:tcW w:w="4900" w:type="dxa"/>
            <w:vAlign w:val="center"/>
            <w:textDirection w:val="lrTb"/>
            <w:noWrap w:val="false"/>
          </w:tcPr>
          <w:p>
            <w:pPr>
              <w:jc w:val="left"/>
              <w:rPr>
                <w:rFonts w:ascii="宋体" w:hAnsi="宋体" w:cs="宋体"/>
                <w:b/>
                <w:bCs/>
                <w:color w:val="auto"/>
                <w:sz w:val="24"/>
                <w:highlight w:val="none"/>
              </w:rPr>
            </w:pPr>
            <w:r>
              <w:rPr>
                <w:rFonts w:ascii="宋体" w:hAnsi="宋体" w:cs="宋体"/>
                <w:b/>
                <w:bCs/>
                <w:color w:val="auto"/>
                <w:sz w:val="24"/>
                <w:highlight w:val="none"/>
              </w:rPr>
              <w:t xml:space="preserve">根据供应商编制的成果交付与档案管理方案（包括但不限于：报告、模型数据、原始监测资料等成果交付清单、交付格式、版本管控、项目资料归档、电子及纸质档案保管、资料移交等内容，充分匹配本项目技术成果归档要求），由评委进行综合评审： </w:t>
            </w:r>
            <w:r/>
          </w:p>
          <w:p>
            <w:pPr>
              <w:jc w:val="lef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供应商成果交付与档案管理方案完整细致，交付清单清晰齐全，档案归档流程规范严谨，可完全满足项目成果交付与档案归档要求的，得</w:t>
            </w:r>
            <w:r>
              <w:rPr>
                <w:rFonts w:hint="eastAsia" w:ascii="宋体" w:hAnsi="宋体" w:cs="宋体"/>
                <w:color w:val="auto"/>
                <w:sz w:val="24"/>
                <w:highlight w:val="none"/>
              </w:rPr>
              <w:t xml:space="preserve">3</w:t>
            </w:r>
            <w:r>
              <w:rPr>
                <w:rFonts w:ascii="宋体" w:hAnsi="宋体" w:cs="宋体"/>
                <w:color w:val="auto"/>
                <w:sz w:val="24"/>
                <w:highlight w:val="none"/>
              </w:rPr>
              <w:t xml:space="preserve">分； </w:t>
            </w:r>
            <w:r/>
          </w:p>
          <w:p>
            <w:pPr>
              <w:jc w:val="lef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成果交付与档案管理方案较全面，主要交付资料、归档流程齐全，存在少量细节不足，可较好满足项目成果交付与档案归档要求的，得</w:t>
            </w:r>
            <w:r>
              <w:rPr>
                <w:rFonts w:hint="eastAsia" w:ascii="宋体" w:hAnsi="宋体" w:cs="宋体"/>
                <w:color w:val="auto"/>
                <w:sz w:val="24"/>
                <w:highlight w:val="none"/>
              </w:rPr>
              <w:t xml:space="preserve">2</w:t>
            </w:r>
            <w:r>
              <w:rPr>
                <w:rFonts w:ascii="宋体" w:hAnsi="宋体" w:cs="宋体"/>
                <w:color w:val="auto"/>
                <w:sz w:val="24"/>
                <w:highlight w:val="none"/>
              </w:rPr>
              <w:t xml:space="preserve">分； </w:t>
            </w:r>
            <w:r/>
          </w:p>
          <w:p>
            <w:pPr>
              <w:jc w:val="lef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成果交付与档案管理方案完整性一般，核心交付、归档内容基本具备，能够基本满足项目成果交付与档案归档要求，得</w:t>
            </w:r>
            <w:r>
              <w:rPr>
                <w:rFonts w:hint="eastAsia" w:ascii="宋体" w:hAnsi="宋体" w:cs="宋体"/>
                <w:color w:val="auto"/>
                <w:sz w:val="24"/>
                <w:highlight w:val="none"/>
              </w:rPr>
              <w:t xml:space="preserve">1</w:t>
            </w:r>
            <w:r>
              <w:rPr>
                <w:rFonts w:ascii="宋体" w:hAnsi="宋体" w:cs="宋体"/>
                <w:color w:val="auto"/>
                <w:sz w:val="24"/>
                <w:highlight w:val="none"/>
              </w:rPr>
              <w:t xml:space="preserve">分；</w:t>
            </w:r>
            <w:r/>
          </w:p>
          <w:p>
            <w:pPr>
              <w:jc w:val="left"/>
              <w:rPr>
                <w:color w:val="auto"/>
                <w:sz w:val="24"/>
                <w:highlight w:val="none"/>
              </w:rPr>
            </w:pPr>
            <w:r>
              <w:rPr>
                <w:rFonts w:hint="eastAsia" w:ascii="宋体" w:hAnsi="宋体" w:cs="宋体"/>
                <w:color w:val="auto"/>
                <w:sz w:val="24"/>
                <w:highlight w:val="none"/>
              </w:rPr>
              <w:t xml:space="preserve">4.未提供本项不得分。</w:t>
            </w:r>
            <w:r/>
          </w:p>
        </w:tc>
        <w:tc>
          <w:tcPr>
            <w:tcW w:w="2405" w:type="dxa"/>
            <w:vAlign w:val="center"/>
            <w:textDirection w:val="lrTb"/>
            <w:noWrap w:val="false"/>
          </w:tcPr>
          <w:p>
            <w:pPr>
              <w:ind w:left="-38"/>
              <w:rPr>
                <w:color w:val="auto"/>
                <w:sz w:val="24"/>
                <w:highlight w:val="none"/>
              </w:rPr>
            </w:pPr>
            <w:r>
              <w:rPr>
                <w:color w:val="auto"/>
                <w:sz w:val="24"/>
                <w:highlight w:val="none"/>
              </w:rPr>
            </w:r>
            <w:bookmarkEnd w:id="659"/>
            <w:r/>
            <w:r/>
          </w:p>
        </w:tc>
      </w:tr>
      <w:tr>
        <w:trPr>
          <w:jc w:val="center"/>
          <w:trHeight w:val="680"/>
        </w:trPr>
        <w:tc>
          <w:tcPr>
            <w:tcW w:w="805"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3</w:t>
            </w:r>
            <w:r/>
          </w:p>
        </w:tc>
        <w:tc>
          <w:tcPr>
            <w:tcW w:w="1214"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客观分</w:t>
            </w:r>
            <w:r/>
          </w:p>
        </w:tc>
        <w:tc>
          <w:tcPr>
            <w:tcW w:w="736" w:type="dxa"/>
            <w:vAlign w:val="center"/>
            <w:textDirection w:val="lrTb"/>
            <w:noWrap w:val="false"/>
          </w:tcPr>
          <w:p>
            <w:pPr>
              <w:ind w:firstLine="28"/>
              <w:jc w:val="center"/>
              <w:rPr>
                <w:b/>
                <w:bCs/>
                <w:color w:val="auto"/>
                <w:sz w:val="24"/>
                <w:highlight w:val="none"/>
              </w:rPr>
            </w:pPr>
            <w:r>
              <w:rPr>
                <w:rFonts w:hint="eastAsia"/>
                <w:b/>
                <w:bCs/>
                <w:color w:val="auto"/>
                <w:sz w:val="24"/>
                <w:highlight w:val="none"/>
              </w:rPr>
              <w:t xml:space="preserve">32</w:t>
            </w:r>
            <w:r/>
          </w:p>
        </w:tc>
        <w:tc>
          <w:tcPr>
            <w:tcW w:w="4900" w:type="dxa"/>
            <w:vAlign w:val="center"/>
            <w:textDirection w:val="lrTb"/>
            <w:noWrap w:val="false"/>
          </w:tcPr>
          <w:p>
            <w:pPr>
              <w:rPr>
                <w:rFonts w:ascii="宋体" w:hAnsi="宋体" w:cs="宋体"/>
                <w:b/>
                <w:bCs/>
                <w:color w:val="auto"/>
                <w:sz w:val="24"/>
                <w:highlight w:val="none"/>
              </w:rPr>
            </w:pPr>
            <w:r>
              <w:rPr>
                <w:rFonts w:ascii="宋体" w:hAnsi="宋体" w:cs="宋体"/>
                <w:b/>
                <w:bCs/>
                <w:color w:val="auto"/>
                <w:sz w:val="24"/>
                <w:highlight w:val="none"/>
              </w:rPr>
            </w:r>
            <w:r/>
          </w:p>
        </w:tc>
        <w:tc>
          <w:tcPr>
            <w:tcW w:w="2405" w:type="dxa"/>
            <w:vAlign w:val="center"/>
            <w:textDirection w:val="lrTb"/>
            <w:noWrap w:val="false"/>
          </w:tcPr>
          <w:p>
            <w:pPr>
              <w:ind w:left="-38"/>
              <w:rPr>
                <w:b/>
                <w:bCs/>
                <w:color w:val="auto"/>
                <w:sz w:val="24"/>
                <w:highlight w:val="none"/>
              </w:rPr>
            </w:pPr>
            <w:r>
              <w:rPr>
                <w:b/>
                <w:bCs/>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3.1</w:t>
            </w:r>
            <w:r/>
          </w:p>
        </w:tc>
        <w:tc>
          <w:tcPr>
            <w:tcW w:w="1214"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企业实力</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8</w:t>
            </w:r>
            <w:r/>
          </w:p>
        </w:tc>
        <w:tc>
          <w:tcPr>
            <w:tcW w:w="4900" w:type="dxa"/>
            <w:vAlign w:val="center"/>
            <w:textDirection w:val="lrTb"/>
            <w:noWrap w:val="false"/>
          </w:tcPr>
          <w:p>
            <w:pPr>
              <w:numPr>
                <w:ilvl w:val="0"/>
                <w:numId w:val="10"/>
              </w:numPr>
              <w:rPr>
                <w:rFonts w:ascii="宋体" w:hAnsi="宋体" w:cs="宋体"/>
                <w:color w:val="auto"/>
                <w:sz w:val="24"/>
                <w:highlight w:val="none"/>
              </w:rPr>
            </w:pPr>
            <w:r/>
            <w:bookmarkStart w:id="660" w:name="_Hlk217319381"/>
            <w:r>
              <w:rPr>
                <w:rFonts w:hint="eastAsia" w:ascii="宋体" w:hAnsi="宋体" w:cs="宋体"/>
                <w:color w:val="auto"/>
                <w:sz w:val="24"/>
                <w:highlight w:val="none"/>
              </w:rPr>
              <w:t xml:space="preserve">供应商自2021年7月1日以来，获得生态环境领域奖项的，省部级及以上的每项得2分</w:t>
            </w:r>
            <w:bookmarkEnd w:id="660"/>
            <w:r>
              <w:rPr>
                <w:rFonts w:hint="eastAsia" w:ascii="宋体" w:hAnsi="宋体" w:cs="宋体"/>
                <w:color w:val="auto"/>
                <w:sz w:val="24"/>
                <w:highlight w:val="none"/>
              </w:rPr>
              <w:t xml:space="preserve">，市厅级每项得1分，</w:t>
            </w:r>
            <w:r>
              <w:rPr>
                <w:rFonts w:hint="eastAsia"/>
                <w:color w:val="auto"/>
                <w:sz w:val="24"/>
                <w:highlight w:val="none"/>
              </w:rPr>
              <w:t xml:space="preserve">本项最高得4分。</w:t>
            </w:r>
            <w:r/>
          </w:p>
          <w:p>
            <w:pPr>
              <w:rPr>
                <w:rFonts w:ascii="宋体" w:hAnsi="宋体" w:cs="宋体"/>
                <w:color w:val="auto"/>
                <w:sz w:val="24"/>
                <w:highlight w:val="none"/>
              </w:rPr>
            </w:pPr>
            <w:r/>
            <w:bookmarkStart w:id="661" w:name="_Hlk217318600"/>
            <w:r>
              <w:rPr>
                <w:rFonts w:hint="eastAsia" w:ascii="宋体" w:hAnsi="宋体" w:cs="宋体"/>
                <w:color w:val="auto"/>
                <w:sz w:val="24"/>
                <w:highlight w:val="none"/>
              </w:rPr>
              <w:t xml:space="preserve">2、供应商具有生态环境领域省和部重点实验室的，得4分。</w:t>
            </w:r>
            <w:bookmarkEnd w:id="661"/>
            <w:r/>
            <w:r/>
          </w:p>
        </w:tc>
        <w:tc>
          <w:tcPr>
            <w:tcW w:w="2405" w:type="dxa"/>
            <w:vAlign w:val="center"/>
            <w:textDirection w:val="lrTb"/>
            <w:noWrap w:val="false"/>
          </w:tcPr>
          <w:p>
            <w:pPr>
              <w:ind w:left="-38"/>
              <w:rPr>
                <w:color w:val="auto"/>
                <w:sz w:val="24"/>
                <w:highlight w:val="none"/>
              </w:rPr>
            </w:pPr>
            <w:r>
              <w:rPr>
                <w:rFonts w:hint="eastAsia"/>
                <w:color w:val="auto"/>
                <w:sz w:val="24"/>
                <w:highlight w:val="none"/>
              </w:rPr>
              <w:t xml:space="preserve">注：提供相关证明文件复印件加盖公章。</w:t>
            </w:r>
            <w:r/>
          </w:p>
        </w:tc>
      </w:tr>
      <w:tr>
        <w:trPr>
          <w:jc w:val="center"/>
          <w:trHeight w:val="2068"/>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3.2</w:t>
            </w:r>
            <w:r/>
          </w:p>
        </w:tc>
        <w:tc>
          <w:tcPr>
            <w:tcW w:w="1214"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拟投入项目负责人</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4</w:t>
            </w:r>
            <w:r/>
          </w:p>
        </w:tc>
        <w:tc>
          <w:tcPr>
            <w:tcW w:w="4900" w:type="dxa"/>
            <w:vAlign w:val="center"/>
            <w:textDirection w:val="lrTb"/>
            <w:noWrap w:val="false"/>
          </w:tcPr>
          <w:p>
            <w:pPr>
              <w:rPr>
                <w:color w:val="auto"/>
                <w:sz w:val="24"/>
                <w:highlight w:val="none"/>
              </w:rPr>
            </w:pPr>
            <w:r>
              <w:rPr>
                <w:rFonts w:hint="eastAsia"/>
                <w:color w:val="auto"/>
                <w:sz w:val="24"/>
                <w:highlight w:val="none"/>
              </w:rPr>
              <w:t xml:space="preserve">拟投入项目负责人具有生态环境相关专业正高级职称证书的，得4分；具有生态环境相关专业副高级职称证书的，得2分；具有生态环境相关专业中级职称证书的，得1分。</w:t>
            </w:r>
            <w:r/>
          </w:p>
        </w:tc>
        <w:tc>
          <w:tcPr>
            <w:tcW w:w="2405" w:type="dxa"/>
            <w:vAlign w:val="center"/>
            <w:vMerge w:val="restart"/>
            <w:textDirection w:val="lrTb"/>
            <w:noWrap w:val="false"/>
          </w:tcPr>
          <w:p>
            <w:pPr>
              <w:ind w:left="-38"/>
              <w:rPr>
                <w:color w:val="auto"/>
                <w:sz w:val="24"/>
                <w:highlight w:val="none"/>
              </w:rPr>
            </w:pPr>
            <w:r>
              <w:rPr>
                <w:rFonts w:hint="eastAsia"/>
                <w:color w:val="auto"/>
                <w:sz w:val="24"/>
                <w:highlight w:val="none"/>
              </w:rPr>
              <w:t xml:space="preserve">注：（1）以上人员须在附件15：《参加本项目人员一览表》中填写，否则不得分。</w:t>
            </w:r>
            <w:r/>
          </w:p>
          <w:p>
            <w:pPr>
              <w:ind w:left="-38"/>
              <w:rPr>
                <w:color w:val="auto"/>
                <w:sz w:val="24"/>
                <w:highlight w:val="none"/>
              </w:rPr>
            </w:pPr>
            <w:r>
              <w:rPr>
                <w:rFonts w:hint="eastAsia"/>
                <w:color w:val="auto"/>
                <w:sz w:val="24"/>
                <w:highlight w:val="none"/>
              </w:rPr>
              <w:t xml:space="preserve">（2）须提供人社部门出具的由供应商为其缴纳的社保证明材料并加盖供应商公章（社保缴纳从2026年5月至资审时间内的任何时间均可），否则不得分。</w:t>
            </w:r>
            <w:r/>
          </w:p>
        </w:tc>
      </w:tr>
      <w:tr>
        <w:trPr>
          <w:jc w:val="center"/>
          <w:trHeight w:val="2068"/>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3.3</w:t>
            </w:r>
            <w:r/>
          </w:p>
        </w:tc>
        <w:tc>
          <w:tcPr>
            <w:tcW w:w="1214"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拟投入项目组成员</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8</w:t>
            </w:r>
            <w:r/>
          </w:p>
        </w:tc>
        <w:tc>
          <w:tcPr>
            <w:tcW w:w="4900" w:type="dxa"/>
            <w:vAlign w:val="center"/>
            <w:textDirection w:val="lrTb"/>
            <w:noWrap w:val="false"/>
          </w:tcPr>
          <w:p>
            <w:pPr>
              <w:jc w:val="left"/>
              <w:rPr>
                <w:rFonts w:ascii="宋体" w:hAnsi="宋体" w:cs="宋体"/>
                <w:b/>
                <w:bCs/>
                <w:color w:val="auto"/>
                <w:sz w:val="24"/>
                <w:highlight w:val="none"/>
              </w:rPr>
            </w:pPr>
            <w:r>
              <w:rPr>
                <w:rFonts w:ascii="宋体" w:hAnsi="宋体" w:cs="宋体"/>
                <w:b/>
                <w:bCs/>
                <w:color w:val="auto"/>
                <w:sz w:val="24"/>
                <w:highlight w:val="none"/>
              </w:rPr>
              <w:t xml:space="preserve">除项目负责人外，其他拟投入人员：</w:t>
            </w:r>
            <w:r/>
          </w:p>
          <w:p>
            <w:pPr>
              <w:rPr>
                <w:color w:val="auto"/>
                <w:sz w:val="24"/>
                <w:highlight w:val="none"/>
              </w:rPr>
            </w:pPr>
            <w:r>
              <w:rPr>
                <w:rFonts w:hint="eastAsia" w:ascii="宋体" w:hAnsi="宋体" w:cs="宋体"/>
                <w:color w:val="auto"/>
                <w:sz w:val="24"/>
                <w:highlight w:val="none"/>
              </w:rPr>
              <w:t xml:space="preserve">具有生态环境相关专业高级职称证书的，每有1个得2分；具有生态环境相关专业中级职称证书的，每有1个得1分。本项最高得8分。</w:t>
            </w:r>
            <w:r>
              <w:rPr>
                <w:rFonts w:hint="eastAsia" w:ascii="宋体" w:hAnsi="宋体" w:cs="宋体"/>
                <w:b/>
                <w:bCs/>
                <w:color w:val="auto"/>
                <w:sz w:val="24"/>
                <w:highlight w:val="none"/>
              </w:rPr>
              <w:t xml:space="preserve">限评4人。</w:t>
            </w:r>
            <w:r/>
          </w:p>
        </w:tc>
        <w:tc>
          <w:tcPr>
            <w:tcW w:w="2405" w:type="dxa"/>
            <w:vAlign w:val="center"/>
            <w:vMerge w:val="continue"/>
            <w:textDirection w:val="lrTb"/>
            <w:noWrap w:val="false"/>
          </w:tcPr>
          <w:p>
            <w:pPr>
              <w:ind w:left="-38"/>
              <w:rPr>
                <w:color w:val="auto"/>
                <w:sz w:val="24"/>
                <w:highlight w:val="none"/>
              </w:rPr>
            </w:pPr>
            <w:r>
              <w:rPr>
                <w:color w:val="auto"/>
                <w:sz w:val="24"/>
                <w:highlight w:val="none"/>
              </w:rPr>
            </w:r>
            <w:r/>
          </w:p>
        </w:tc>
      </w:tr>
      <w:tr>
        <w:trPr>
          <w:jc w:val="center"/>
        </w:trPr>
        <w:tc>
          <w:tcPr>
            <w:tcW w:w="805"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3.4</w:t>
            </w:r>
            <w:r/>
          </w:p>
        </w:tc>
        <w:tc>
          <w:tcPr>
            <w:tcW w:w="1214"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业绩</w:t>
            </w:r>
            <w:r/>
          </w:p>
        </w:tc>
        <w:tc>
          <w:tcPr>
            <w:tcW w:w="736" w:type="dxa"/>
            <w:vAlign w:val="center"/>
            <w:textDirection w:val="lrTb"/>
            <w:noWrap w:val="false"/>
          </w:tcPr>
          <w:p>
            <w:pPr>
              <w:ind w:firstLine="28"/>
              <w:jc w:val="center"/>
              <w:rPr>
                <w:color w:val="auto"/>
                <w:sz w:val="24"/>
                <w:highlight w:val="none"/>
              </w:rPr>
            </w:pPr>
            <w:r>
              <w:rPr>
                <w:rFonts w:hint="eastAsia"/>
                <w:color w:val="auto"/>
                <w:sz w:val="24"/>
                <w:highlight w:val="none"/>
              </w:rPr>
              <w:t xml:space="preserve">12</w:t>
            </w:r>
            <w:r/>
          </w:p>
        </w:tc>
        <w:tc>
          <w:tcPr>
            <w:tcW w:w="4900" w:type="dxa"/>
            <w:vAlign w:val="center"/>
            <w:textDirection w:val="lrTb"/>
            <w:noWrap w:val="false"/>
          </w:tcPr>
          <w:p>
            <w:pPr>
              <w:rPr>
                <w:color w:val="auto"/>
                <w:sz w:val="24"/>
                <w:highlight w:val="none"/>
              </w:rPr>
            </w:pPr>
            <w:r/>
            <w:bookmarkStart w:id="662" w:name="_Hlk217319992"/>
            <w:r>
              <w:rPr>
                <w:rFonts w:hint="eastAsia"/>
                <w:color w:val="auto"/>
                <w:sz w:val="24"/>
                <w:highlight w:val="none"/>
              </w:rPr>
              <w:t xml:space="preserve">自2021年7月1日以来（以合同签订日期为准）编制水生态环境治理类规划或方案并印发，省级及以上的，每项得3分，最高得9分；地市级每项得1分，最高得3分</w:t>
            </w:r>
            <w:bookmarkEnd w:id="662"/>
            <w:r>
              <w:rPr>
                <w:rFonts w:hint="eastAsia"/>
                <w:color w:val="auto"/>
                <w:sz w:val="24"/>
                <w:highlight w:val="none"/>
              </w:rPr>
              <w:t xml:space="preserve">。</w:t>
            </w:r>
            <w:r/>
          </w:p>
        </w:tc>
        <w:tc>
          <w:tcPr>
            <w:tcW w:w="2405"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注：（1）上述业绩</w:t>
            </w:r>
            <w:r>
              <w:rPr>
                <w:rFonts w:hint="eastAsia"/>
                <w:color w:val="auto"/>
                <w:sz w:val="24"/>
                <w:highlight w:val="none"/>
              </w:rPr>
              <w:t xml:space="preserve">须</w:t>
            </w:r>
            <w:r>
              <w:rPr>
                <w:rFonts w:hint="eastAsia" w:ascii="宋体" w:hAnsi="宋体" w:cs="宋体"/>
                <w:color w:val="auto"/>
                <w:sz w:val="24"/>
                <w:highlight w:val="none"/>
              </w:rPr>
              <w:t xml:space="preserve">提供合同复印件加盖公章或者委托方出具的盖章编制证明，否则不得分；</w:t>
            </w:r>
            <w:r/>
          </w:p>
          <w:p>
            <w:pPr>
              <w:ind w:left="-38"/>
              <w:rPr>
                <w:color w:val="auto"/>
                <w:sz w:val="24"/>
                <w:highlight w:val="none"/>
              </w:rPr>
            </w:pPr>
            <w:r>
              <w:rPr>
                <w:rFonts w:hint="eastAsia" w:ascii="宋体" w:hAnsi="宋体" w:cs="宋体"/>
                <w:color w:val="auto"/>
                <w:sz w:val="24"/>
                <w:highlight w:val="none"/>
              </w:rPr>
              <w:t xml:space="preserve">（2）以上业绩须在</w:t>
            </w:r>
            <w:r>
              <w:rPr>
                <w:rFonts w:hint="eastAsia" w:ascii="宋体" w:hAnsi="宋体"/>
                <w:color w:val="auto"/>
                <w:sz w:val="24"/>
                <w:highlight w:val="none"/>
              </w:rPr>
              <w:t xml:space="preserve">《</w:t>
            </w:r>
            <w:r>
              <w:rPr>
                <w:rFonts w:hint="eastAsia" w:ascii="宋体" w:hAnsi="宋体" w:cs="宋体"/>
                <w:color w:val="auto"/>
                <w:sz w:val="24"/>
                <w:highlight w:val="none"/>
              </w:rPr>
              <w:t xml:space="preserve">附件16：相关业绩案例一览表</w:t>
            </w:r>
            <w:r>
              <w:rPr>
                <w:rFonts w:hint="eastAsia" w:ascii="宋体" w:hAnsi="宋体"/>
                <w:color w:val="auto"/>
                <w:sz w:val="24"/>
                <w:highlight w:val="none"/>
              </w:rPr>
              <w:t xml:space="preserve">》</w:t>
            </w:r>
            <w:r>
              <w:rPr>
                <w:rFonts w:hint="eastAsia" w:ascii="宋体" w:hAnsi="宋体" w:cs="宋体"/>
                <w:color w:val="auto"/>
                <w:sz w:val="24"/>
                <w:highlight w:val="none"/>
              </w:rPr>
              <w:t xml:space="preserve">中填写，否则不得分</w:t>
            </w:r>
            <w:r>
              <w:rPr>
                <w:rFonts w:hint="eastAsia" w:ascii="宋体" w:hAnsi="宋体" w:cs="宋体"/>
                <w:b/>
                <w:bCs/>
                <w:color w:val="auto"/>
                <w:sz w:val="24"/>
                <w:highlight w:val="none"/>
              </w:rPr>
              <w:t xml:space="preserve">。</w:t>
            </w:r>
            <w:bookmarkEnd w:id="658"/>
            <w:r/>
            <w:r/>
          </w:p>
        </w:tc>
      </w:tr>
    </w:tbl>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注：1.评分细则中要求提供的证明文件及资料等在响应文件中提供原件扫描件，并加盖供应商公章。</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2．评审时，未能按以上要求提供相应证明（原件扫描件）的，不作为评审依据，不得分。</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3.便于评分，请供应商在偏离表中逐条列出技术参数证明材料所在页码。</w:t>
      </w:r>
      <w:r/>
    </w:p>
    <w:p>
      <w:pPr>
        <w:jc w:val="left"/>
        <w:widowControl/>
        <w:rPr>
          <w:b/>
          <w:color w:val="auto"/>
          <w:sz w:val="36"/>
          <w:szCs w:val="36"/>
          <w:highlight w:val="none"/>
        </w:rPr>
      </w:pPr>
      <w:r>
        <w:rPr>
          <w:b/>
          <w:color w:val="auto"/>
          <w:sz w:val="36"/>
          <w:szCs w:val="36"/>
          <w:highlight w:val="none"/>
        </w:rPr>
      </w:r>
      <w:r/>
    </w:p>
    <w:p>
      <w:pPr>
        <w:numPr>
          <w:ilvl w:val="0"/>
          <w:numId w:val="9"/>
        </w:num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  </w:t>
      </w:r>
      <w:bookmarkStart w:id="663" w:name="_Toc5064"/>
      <w:r>
        <w:rPr>
          <w:b/>
          <w:color w:val="auto"/>
          <w:sz w:val="36"/>
          <w:szCs w:val="36"/>
          <w:highlight w:val="none"/>
        </w:rPr>
        <w:t xml:space="preserve">采购需求</w:t>
      </w:r>
      <w:bookmarkEnd w:id="663"/>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一、采购标的</w:t>
      </w:r>
      <w:r/>
    </w:p>
    <w:p>
      <w:pPr>
        <w:ind w:firstLine="488"/>
        <w:spacing w:line="360" w:lineRule="auto"/>
        <w:rPr>
          <w:rFonts w:ascii="宋体" w:hAnsi="宋体" w:cs="宋体"/>
          <w:color w:val="auto"/>
          <w:spacing w:val="2"/>
          <w:sz w:val="24"/>
          <w:highlight w:val="none"/>
        </w:rPr>
      </w:pPr>
      <w:r/>
      <w:bookmarkStart w:id="664" w:name="OLE_LINK11"/>
      <w:r>
        <w:rPr>
          <w:rFonts w:hint="eastAsia" w:ascii="宋体" w:hAnsi="宋体" w:cs="宋体"/>
          <w:color w:val="auto"/>
          <w:spacing w:val="2"/>
          <w:sz w:val="24"/>
          <w:highlight w:val="none"/>
        </w:rPr>
        <w:t xml:space="preserve">竺山湖是太湖西部重要湖湾，设有竺</w:t>
      </w:r>
      <w:r>
        <w:rPr>
          <w:rFonts w:hint="eastAsia" w:ascii="宋体" w:hAnsi="宋体" w:cs="宋体"/>
          <w:color w:val="auto"/>
          <w:spacing w:val="2"/>
          <w:sz w:val="24"/>
          <w:highlight w:val="none"/>
        </w:rPr>
        <w:t xml:space="preserve">山湖心、椒山2个国考断面，水质考核指标纳入常州市生态环境考核体系。“十四五”以来，我市持续推进太湖综合治理，太湖常州水域水质稳步改善。但截至2025年，常州水域总磷、总氮仍大幅高于太湖平均浓度，水质未达到Ⅲ类。今年上半年，总磷、总氮同比反弹，水环境改善形势严峻。但目前 竺山湖综合治理推进滞后，仅开展少量湖区生态修复试点，近岸带生态缓冲区建设、全域系统性生态修复等重点工作进展缓慢，水质提升缺乏长效后劲。为持续优化区域水生态环境，亟需开展竺山湖水生态提升可行性研究，科学制定针对性治理方案，夯实水质长效提升基础。</w:t>
      </w:r>
      <w:r/>
    </w:p>
    <w:p>
      <w:pPr>
        <w:ind w:firstLine="488"/>
        <w:spacing w:line="360" w:lineRule="auto"/>
        <w:rPr>
          <w:rFonts w:ascii="宋体" w:hAnsi="宋体" w:cs="宋体"/>
          <w:color w:val="auto"/>
          <w:spacing w:val="2"/>
          <w:sz w:val="24"/>
          <w:highlight w:val="none"/>
        </w:rPr>
      </w:pPr>
      <w:r>
        <w:rPr>
          <w:rFonts w:hint="eastAsia" w:ascii="宋体" w:hAnsi="宋体" w:cs="宋体"/>
          <w:color w:val="auto"/>
          <w:spacing w:val="2"/>
          <w:sz w:val="24"/>
          <w:highlight w:val="none"/>
        </w:rPr>
        <w:t xml:space="preserve">由于竺山湖水生态提升可行性研究涵盖污染溯源、水文流场模拟、水环境容量测算及全域生态修复系统谋划等多项内容，工作专业性强、技术难度高。为保障工作开展的专业性、规范性和成果的精准性，需委托专业第三方机构全程开展相关工作，为竺山湖水生态提质升级提供坚实技术保障。</w:t>
      </w:r>
      <w:bookmarkEnd w:id="664"/>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商务要求</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（一）服务期限</w:t>
      </w:r>
      <w:r/>
    </w:p>
    <w:p>
      <w:pPr>
        <w:contextualSpacing/>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自合同签订生效之日起至2027年6月30日。</w:t>
      </w:r>
      <w:r/>
    </w:p>
    <w:p>
      <w:pPr>
        <w:contextualSpacing/>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（二）付款方式</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1.合同签订生效后，采购人向成交供应商支付不超过合同金额的60%；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2.项目全部成果完成并通过专家评审验收合格后，采购人支付</w:t>
      </w:r>
      <w:r>
        <w:rPr>
          <w:rFonts w:hint="eastAsia" w:ascii="宋体" w:hAnsi="宋体" w:cs="宋体"/>
          <w:color w:val="auto"/>
          <w:sz w:val="24"/>
          <w:highlight w:val="none"/>
        </w:rPr>
        <w:t xml:space="preserve">剩余合同款额</w:t>
      </w:r>
      <w:r>
        <w:rPr>
          <w:rFonts w:hint="eastAsia" w:ascii="宋体" w:hAnsi="宋体" w:cs="宋体"/>
          <w:bCs/>
          <w:color w:val="auto"/>
          <w:sz w:val="24"/>
          <w:highlight w:val="none"/>
        </w:rPr>
        <w:t xml:space="preserve">；</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每笔款项支付前，成交供应商须向采购人提供合法有效的增值税发票，否则采购人有权顺延付款时间且不承担违约责任及利息。</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三、服务内容</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供应商须全面完成竺山湖生态环境现状调查、竺山湖流场模拟与环境容量测算、竺山湖水生态提升措施谋划三大核心工作，具体内容如下：</w:t>
      </w:r>
      <w:r/>
    </w:p>
    <w:p>
      <w:pPr>
        <w:contextualSpacing/>
        <w:ind w:firstLine="482"/>
        <w:spacing w:line="360" w:lineRule="auto"/>
        <w:rPr>
          <w:rFonts w:ascii="宋体" w:hAnsi="宋体" w:cs="宋体"/>
          <w:b/>
          <w:color w:val="auto"/>
          <w:sz w:val="24"/>
          <w:highlight w:val="none"/>
        </w:rPr>
      </w:pPr>
      <w:r/>
      <w:bookmarkStart w:id="665" w:name="OLE_LINK12"/>
      <w:r>
        <w:rPr>
          <w:rFonts w:hint="eastAsia" w:ascii="宋体" w:hAnsi="宋体" w:cs="宋体"/>
          <w:b/>
          <w:color w:val="auto"/>
          <w:sz w:val="24"/>
          <w:highlight w:val="none"/>
        </w:rPr>
        <w:t xml:space="preserve">（一）</w:t>
      </w:r>
      <w:bookmarkEnd w:id="665"/>
      <w:r/>
      <w:bookmarkStart w:id="666" w:name="OLE_LINK14"/>
      <w:r>
        <w:rPr>
          <w:rFonts w:ascii="宋体" w:hAnsi="宋体" w:cs="宋体"/>
          <w:b/>
          <w:color w:val="auto"/>
          <w:sz w:val="24"/>
          <w:highlight w:val="none"/>
        </w:rPr>
        <w:t xml:space="preserve">竺山湖生态环境现状调查</w:t>
      </w:r>
      <w:bookmarkEnd w:id="666"/>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1.水下地形和底泥调查。为摸清水下地形和底泥淤积分布情况，在全湖布设56个采样点位。其中，竺山湖区布设51个，间隔在1-4 km之间，大太湖布设5个，间隔10 km，覆盖东部湖区、南部湖区、西部湖区、北部湖区和湖心区。重点测量水深，检测底泥厚度、含水率、氮磷含量、有机质含量等指标。</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2.底泥污染物释放试验。为摸清内源在风浪扰动下的释放情况，在全湖采集12个柱状样开展动态释放模拟试验，包含竺山湖7个代表性点位与大太湖5个调查点位，分析在不同风速扰动工况下氮磷通量释放特征。</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3.湖体氮磷形态分析。在竺山湖布设5-10个点位开展3次采样检测，分析氮磷形态组成，检测指标包括颗粒态磷、溶解态有机磷、正磷酸盐，颗粒态氮、溶解态有机氮、溶解态无机氮。</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围隔分布、蓝藻水华与水生植被分布情况调研。系统调查研究区域、西部湖区及梅梁湖范围内围隔的分布与透水状况，摸清蓝藻围隔对蓝藻水华分布影响；基于遥感解译资料，分析竺山湖蓝藻水华与水生植被分布情况。</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5.主要入湖河道污染负荷测算。收集2021年1月以来湖西区主要入湖河流水量、水质数据，对古竹港水量水质进行调查，核算入湖污染负荷。</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6.陆域外源污染组成及贡献率分析。基于遥感影像与统计年鉴，解析陆域调查范围内土地利用类型，阐明外源污染时空分布特征。</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入湖河流氮磷形态分析。对太滆运河、漕桥河、殷村港、沙塘港等主要入湖河道开展3次水质监测，分析氮磷形态组成，检测指标包括颗粒态磷、溶解态有机磷、正磷酸盐，颗粒态氮、溶解态有机氮、溶解态无机氮。</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rPr>
          <w:rFonts w:ascii="宋体" w:hAnsi="宋体" w:cs="宋体"/>
          <w:b/>
          <w:color w:val="auto"/>
          <w:sz w:val="24"/>
          <w:highlight w:val="none"/>
        </w:rPr>
        <w:t xml:space="preserve">竺山湖流场模拟与环境容量测算</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竺山湖流场特征模拟。构建太湖精细化二维水动力-水质模型，模拟不同入湖水量及风场条件下竺山湖流场分布特征，对比分析围隔对流场的影响。采用非结构化网格对研究区域进行离散，同时贴合岸线走势与围隔分布。围隔周边水域网格细化至10-20 m，开阔水体区域网格尺寸为50-100 m。</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入湖河流对竺山湖水质影响模拟。在不同入湖流量、水质背景、风场驱动、围隔设置等条件组合下，开展百渎港、殷村港、沙塘港等主要入湖河流对竺山湖水质影响模拟研究，揭示入湖负荷在竺山湖的迁移路径、影响范围与作用时间，绘制污染物迁移演变图谱，直观展示迁移扩散过程。</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竺山湖环境容量测算。结合底泥调查与释放试验成果，建立风速与内源释放之间的定量响应关系，纳入太湖精细化二维水动力-水质模型中，分场景探究外源输入、内源释放、湖流输移、围隔设置对竺山湖水质的影响权重，按月度测算竺山湖环境容量。</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rPr>
          <w:rFonts w:ascii="宋体" w:hAnsi="宋体" w:cs="宋体"/>
          <w:b/>
          <w:color w:val="auto"/>
          <w:sz w:val="24"/>
          <w:highlight w:val="none"/>
        </w:rPr>
        <w:t xml:space="preserve">竺山湖水生态提升措施谋划</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围绕外源污染拦截、内源污染削减、湖体生态修复等方面谋划6项提升措施，并就入湖污染管控提出相关建议，并配合做好项目落地前期保障工作。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1.近岸带生态缓冲区提升措施。在渡边公路与太湖之间建设生态缓冲区，拦截陆域污染输入。明确建设内容、工程布局及预期拦截净化效果。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2.入湖河口污染物沉降措施。在百渎港、殷村港、沙塘港、雅浦港入湖口设置沉降库，利用水生植被减缓流速、拦截入湖污染。明确沉降库布局、规模及污染削减预期效果。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3.入湖河流导流措施。在竺山湖近岸开挖导流槽，引导河水沿湖滨有序流动，减轻对湖区水质的冲击。明确导流槽布局、建设内容及水流调控预期效果。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4.湖滨带潜堤及水生植被拦截措施。建设水下潜堤优化地形，恢复水生植被，构建湖滨净化消纳圈。明确潜堤规模、布局、植被恢复方案及水质改善预期效果。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5.流泥原位控制措施。在重点保护区和流泥集中区开展表层流泥清除，减少风浪扰动影响。明确工程规模、布局及底质改善预期效果。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6.湖体水生态修复措施。在竺山湖心及椒山周边布置消浪带，种植菱角、苦草、菹草等水生植被，恢复水生态系统；在竺山湖布设蓝藻围隔，减少蓝藻影响。明确工程布局、规模及生态修复预期效果。</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四、服务要求</w:t>
      </w:r>
      <w:r/>
    </w:p>
    <w:p>
      <w:pPr>
        <w:ind w:firstLine="482"/>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（一）验收评价标准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完成竺山湖底泥现状及入湖污染负荷调查，阐明围隔分布情况、底泥污染分布特征、内源释放规律、陆域及河道外源污染的组成情况；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完成围隔对竺山湖流场影响分析，计算竺山湖典型年月度环境容量，阐明不同场景下外源、内源及外部湖区来水对竺山湖水质的贡献；</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谋划6项竺山湖水生态提升措施，明确总体布局、工程设计、平面布置、技术工艺、设施参数、运维管控等内容，达到可行性研究深度，并可落地实施。</w:t>
      </w:r>
      <w:r/>
    </w:p>
    <w:p>
      <w:pPr>
        <w:ind w:firstLine="482"/>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（二）服务质量标准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1.服务过程应建立项目质量管理体系，明确项目负责人和专职服务人员，实行专人专岗、责任到人，确保服务响应及时、沟通顺畅。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2.服务过程中应做好工作记录，形成完整的服务档案，包括工作底稿、审核意见、会议纪要、培训资料等，做到全程留痕、有据可查。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3.服务过程应定期向采购人汇报工作进展，重要事项及时报告，遇重大政策调整或突发情况应在24小时内提出应对建议。</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（三）交付要求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1.服务成果交付形式及时间：2027年6月底前提交项目报告及相关附图、附表成果。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2.服务成果质量要求：在项目实施中，供应商须服从采购人进度调度和质量要求。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（四）验收要求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本项目全部服务工作完成后，由采购人组织专家开展项目验收。供应商申请验收时，须提交全套报告、工作底稿、监测原始数据、模型源文件、附图附表等全套完整资料作为验收支撑材料。 采购人按照本项目采购需求及国家、行业相关技术标准开展验收工作。验收不合格的，供应商须在10 个工作日内完成全部整改工作，并重新向采购人提交验收申请；经多次整改仍达不到采购需求约定要求的，按合同违约相关条款执行。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五、人员及实施要求</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（一）项目人员要求</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1.项目需配备专业团队，团队人员应具有与本项目相关的技术能力。团队主要成员须全程参与本项目，不得擅自更换，确因特殊情况需变更的，须经采购人书面同意并提前15日报备。</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2.项目团队应指定1名专职联络员，负责与采购人的日常沟通协调，确保信息传递及时准确，响应采购人服务需求。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（二）项目实施要求</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1.成交供应商须制定详细的项目实施方案，明确各阶段工作内容、时间节点、人员分工及质量保障措施。</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2.成交供应商须建立项目质量内控机制，对服务成果实行审核制度，确保出具的技术报告数据准确、依据充分、结论客观。</w:t>
      </w:r>
      <w:r/>
    </w:p>
    <w:p>
      <w:pPr>
        <w:ind w:right="210"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3.成交供应商须严格遵守保密规定，对服务过程中接触的资料履行保密义务，未经采购人书面许可不得对外披露或用于其他用途。</w:t>
      </w:r>
      <w:r/>
    </w:p>
    <w:p>
      <w:pPr>
        <w:ind w:right="210" w:firstLine="480"/>
        <w:jc w:val="left"/>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4.成交供应商须接受采购人及其上级主管部门的监督检查，配合做好相关审计、巡查及考核工作，按要求及时提供工作资料及情况说明。</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六、知识产权归属</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供应商在服务过程中形成的技术报告，其知识产权归采购人所有。</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供应商须保证所提交的成果文件不侵犯任何第三方的知识产权，如因知识产权纠纷导致采购人损失的，由</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供应商承担全部法律责任及赔偿责任。</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3.未经采购人书面许可，</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供应商不得将本项目成果用于其他项目或对外公开发表、出版。</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七、保密义务</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供应商须对服务过程中知悉的采购人商业秘密、技术秘密、财政资金信息、项目资料及相关数据严格保密，保密期限自合同签订之日起至永久。</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供应商违反保密义务导致采购人损失的，须承担相应的赔偿责任；构成犯罪的，依法移送司法机关追究刑事责任。</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八、违约责任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供应商未按合同约定时间交付服务成果的，每延迟1日按合同金额的0.1%向采购人支付违约金，延迟超过15日的，采购人有权解除合同并要求</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供应商赔偿损失。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供应商提交的服务成果不符合质量要求，经采购人提出后未在指定期限内整改或整改后仍不符合要求的，采购人有权拒付相应款项并要求</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供应商承担违约责任。</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3.因</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供应商原因导致采购人被上级部门通报批评或产生其他不良影响的，采购人有权解除合同，</w:t>
      </w:r>
      <w:r>
        <w:rPr>
          <w:rFonts w:hint="eastAsia" w:ascii="宋体" w:hAnsi="宋体" w:cs="宋体"/>
          <w:bCs/>
          <w:color w:val="auto"/>
          <w:sz w:val="24"/>
          <w:highlight w:val="none"/>
        </w:rPr>
        <w:t xml:space="preserve">成交</w:t>
      </w:r>
      <w:r>
        <w:rPr>
          <w:rFonts w:hint="eastAsia" w:ascii="宋体" w:hAnsi="宋体" w:cs="宋体"/>
          <w:color w:val="auto"/>
          <w:sz w:val="24"/>
          <w:highlight w:val="none"/>
        </w:rPr>
        <w:t xml:space="preserve">供应商须退还已收款项并赔偿采购人全部损失。</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九、报价方式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本项目磋商报价为</w:t>
      </w:r>
      <w:r>
        <w:rPr>
          <w:rFonts w:hint="eastAsia" w:ascii="宋体" w:hAnsi="宋体" w:cs="宋体"/>
          <w:b/>
          <w:bCs/>
          <w:color w:val="auto"/>
          <w:sz w:val="24"/>
          <w:highlight w:val="none"/>
        </w:rPr>
        <w:t xml:space="preserve">固定总价包干</w:t>
      </w:r>
      <w:r>
        <w:rPr>
          <w:rFonts w:hint="eastAsia" w:ascii="宋体" w:hAnsi="宋体" w:cs="宋体"/>
          <w:color w:val="auto"/>
          <w:sz w:val="24"/>
          <w:highlight w:val="none"/>
        </w:rPr>
        <w:t xml:space="preserve">，磋商报价应包括竞争性磋商文件所确定的采购范围相应服务的提供、人员（包括工资和补贴）、办公场所及设施、保险、劳保、管理、各种税费、利润、规费、税金、政策性文件规定及合同包含的所有风险、责任等各项应有费用，以及为完成该项服务项目所涉及到的一切相关费用，采购人不再支付其他任何费用。</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rFonts w:hAnsi="宋体" w:cs="宋体"/>
          <w:b/>
          <w:color w:val="auto"/>
          <w:highlight w:val="none"/>
        </w:rPr>
        <w:outlineLvl w:val="0"/>
      </w:pPr>
      <w:r/>
      <w:bookmarkStart w:id="667" w:name="_Toc2561"/>
      <w:r>
        <w:rPr>
          <w:b/>
          <w:color w:val="auto"/>
          <w:sz w:val="36"/>
          <w:szCs w:val="36"/>
          <w:highlight w:val="none"/>
        </w:rPr>
        <w:t xml:space="preserve">第五章   合同草案条款</w:t>
      </w:r>
      <w:bookmarkEnd w:id="667"/>
      <w:r/>
      <w:r/>
    </w:p>
    <w:p>
      <w:pPr>
        <w:ind w:firstLine="482"/>
        <w:rPr>
          <w:rFonts w:ascii="宋体" w:hAnsi="宋体" w:cs="宋体"/>
          <w:b/>
          <w:color w:val="auto"/>
          <w:sz w:val="24"/>
          <w:highlight w:val="none"/>
        </w:rPr>
      </w:pPr>
      <w:r>
        <w:rPr>
          <w:rFonts w:ascii="宋体" w:hAnsi="宋体" w:cs="宋体"/>
          <w:b/>
          <w:color w:val="auto"/>
          <w:sz w:val="24"/>
          <w:highlight w:val="none"/>
        </w:rPr>
      </w:r>
      <w:r/>
    </w:p>
    <w:p>
      <w:pPr>
        <w:ind w:firstLine="482"/>
        <w:rPr>
          <w:rFonts w:ascii="宋体" w:hAnsi="宋体" w:cs="宋体"/>
          <w:b/>
          <w:color w:val="auto"/>
          <w:sz w:val="24"/>
          <w:highlight w:val="none"/>
          <w:u w:val="single"/>
        </w:rPr>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w:t>
      </w:r>
      <w:r>
        <w:rPr>
          <w:rFonts w:hint="eastAsia" w:ascii="宋体" w:hAnsi="宋体" w:cs="宋体"/>
          <w:bCs/>
          <w:color w:val="auto"/>
          <w:sz w:val="24"/>
          <w:highlight w:val="none"/>
        </w:rPr>
        <w:t xml:space="preserve">签订时间：</w:t>
      </w:r>
      <w:r>
        <w:rPr>
          <w:rFonts w:hint="eastAsia" w:ascii="宋体" w:hAnsi="宋体" w:cs="宋体"/>
          <w:b/>
          <w:color w:val="auto"/>
          <w:sz w:val="24"/>
          <w:highlight w:val="none"/>
          <w:u w:val="single"/>
        </w:rPr>
        <w:t xml:space="preserve">        年  月  日</w:t>
      </w:r>
      <w:r/>
    </w:p>
    <w:p>
      <w:pPr>
        <w:ind w:firstLine="482"/>
        <w:jc w:val="left"/>
        <w:spacing w:line="400" w:lineRule="exact"/>
        <w:rPr>
          <w:rFonts w:ascii="宋体" w:hAnsi="宋体" w:cs="宋体"/>
          <w:b/>
          <w:color w:val="auto"/>
          <w:sz w:val="24"/>
          <w:highlight w:val="none"/>
          <w:u w:val="single"/>
        </w:rPr>
      </w:pPr>
      <w:r>
        <w:rPr>
          <w:rFonts w:hint="eastAsia" w:ascii="宋体" w:hAnsi="宋体" w:cs="宋体"/>
          <w:b/>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项目编号：</w:t>
      </w:r>
      <w:r>
        <w:rPr>
          <w:rFonts w:hint="eastAsia" w:ascii="宋体" w:hAnsi="宋体" w:cs="宋体"/>
          <w:b/>
          <w:color w:val="auto"/>
          <w:sz w:val="24"/>
          <w:highlight w:val="none"/>
          <w:u w:val="single"/>
        </w:rPr>
        <w:t xml:space="preserve">                号</w:t>
      </w:r>
      <w:r/>
    </w:p>
    <w:p>
      <w:pPr>
        <w:ind w:firstLine="480"/>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甲、乙双方就乙方中标的</w:t>
      </w:r>
      <w:r>
        <w:rPr>
          <w:rFonts w:hint="eastAsia" w:ascii="宋体" w:hAnsi="宋体" w:cs="宋体"/>
          <w:color w:val="auto"/>
          <w:sz w:val="24"/>
          <w:highlight w:val="none"/>
          <w:u w:val="single"/>
        </w:rPr>
        <w:t xml:space="preserve">竺山湖水生态提升重点任务支撑项目谋划技术服务项目</w:t>
      </w:r>
      <w:r>
        <w:rPr>
          <w:rFonts w:hint="eastAsia" w:ascii="宋体" w:hAnsi="宋体" w:cs="宋体"/>
          <w:color w:val="auto"/>
          <w:sz w:val="24"/>
          <w:highlight w:val="none"/>
        </w:rPr>
        <w:t xml:space="preserve">，本着平等互利的原则，通过共同协商，根据《中华人民共和国民法典》及有关法律法规之规定，就相关事宜达成如下合同。</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第一条 项目基本情况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竺山湖是太湖西部重要湖湾，设有竺山湖心、椒山2个国考断面，考核常州。“十四五”以来，我市持续推进太湖综合治理，太湖常州水域水质稳步改善。但截至2025年，常州水域总磷、总氮仍大幅高于太湖平均浓度，水质未达到Ⅲ类。今年上半年，总磷、总氮同比反弹，水环境改善形势严峻。但目前竺山湖综合治理推进滞后，仅开展少量湖区生态修复试点，近岸带生态缓冲区建设、全域系统性生态修复等重点工作进展缓慢，水质提升缺乏长效后劲。为持续优化区域水生态环境，亟需开展竺山湖水生态提升可行性研究，科学制定针对性治理方案，夯实水质长效提升基础。</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由于竺山湖水生态提升可行性研究涵盖污染溯源、水文流场模拟、水环境容量测算及全域生态修复系统谋划等多项内容，工作专业性强、技术难度高。为保障工作开展的专业性、规范性和成果的精准性，需委托专业第三方机构全程开展相关工作，为竺山湖水生态提质升级提供坚实技术保障。</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第二条 项目服务内容</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包括</w:t>
      </w:r>
      <w:r>
        <w:rPr>
          <w:rFonts w:ascii="宋体" w:hAnsi="宋体" w:cs="宋体"/>
          <w:bCs/>
          <w:color w:val="auto"/>
          <w:sz w:val="24"/>
          <w:highlight w:val="none"/>
        </w:rPr>
        <w:t xml:space="preserve">竺山湖生态环境现状调查</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竺山湖流场模拟与环境容量测算</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竺山湖水生态提升措施谋划</w:t>
      </w:r>
      <w:r>
        <w:rPr>
          <w:rFonts w:hint="eastAsia" w:ascii="宋体" w:hAnsi="宋体" w:cs="宋体"/>
          <w:bCs/>
          <w:color w:val="auto"/>
          <w:sz w:val="24"/>
          <w:highlight w:val="none"/>
        </w:rPr>
        <w:t xml:space="preserve">3部分内容。</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（一）</w:t>
      </w:r>
      <w:r>
        <w:rPr>
          <w:rFonts w:ascii="宋体" w:hAnsi="宋体" w:cs="宋体"/>
          <w:b/>
          <w:color w:val="auto"/>
          <w:sz w:val="24"/>
          <w:highlight w:val="none"/>
        </w:rPr>
        <w:t xml:space="preserve">竺山湖生态环境现状调查</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（1）水下地形和底泥调查。为摸清水下地形和底泥淤积分布情况，在全湖布设56个采样点位。其中，竺山湖区布设51个，间隔在1-4 km之间，大太湖布设5个，间隔10 km，覆盖东部湖区、南部湖区、西部湖区、北部湖区和湖心区。重点测量水深，检测底泥厚度、含水率、氮磷含量、有机质含量等指标。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（2）底泥污染物释放试验。为摸清内源在风浪扰动下的释放情况，在全湖采集12个柱状样开展动态释放模拟试验，包含竺山湖7个代表性点位与大太湖5个调查点位，分析在不同风速扰动工况下氮磷通量释放特征。</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（3）湖体氮磷形态分析。在竺山湖布设5-10个点位开展3次采样检测，分析氮磷形态组成，检测指标包括颗粒态磷、溶解态有机磷、正磷酸盐，颗粒态氮、溶解态有机氮、溶解态无机氮。</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围隔分布、蓝藻水华与水生植被分布情况调研。系统调查研究区域、西部湖区及梅梁湖范围内围隔的分布与透水状况，摸清蓝藻围隔对蓝藻水华分布影响；基于遥感解译资料，分析竺山湖蓝藻水华与水生植被分布情况。</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（5）主要入湖河道污染负荷测算。收集2021年1月以来湖西区主要入湖河流水量、水质数据，对古竹港水量水质进行调查，核算入湖污染负荷。</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（6）陆域外源污染组成及贡献率分析。基于遥感影像与统计年鉴，解析陆域调查范围内土地利用类型，阐明外源污染时空分布特征。</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7）入湖河流氮磷形态分析。对太滆运河、漕桥河、殷村港、沙塘港等主要入湖河道开展3次水质监测，分析氮磷形态组成，检测指标包括颗粒态磷、溶解态有机磷、正磷酸盐，颗粒态氮、溶解态有机氮、溶解态无机氮。</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（二）</w:t>
      </w:r>
      <w:r>
        <w:rPr>
          <w:rFonts w:ascii="宋体" w:hAnsi="宋体" w:cs="宋体"/>
          <w:b/>
          <w:color w:val="auto"/>
          <w:sz w:val="24"/>
          <w:highlight w:val="none"/>
        </w:rPr>
        <w:t xml:space="preserve">竺山湖流场模拟与环境容量测算</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竺山湖流场特征模拟。构建太湖精细化二维水动力-水质模型，模拟不同入湖水量及风场条件下竺山湖流场分布特征，对比分析围隔对流场的影响。采用非结构化网格对研究区域进行离散，同时贴合岸线走势与围隔分布。围隔周边水域网格细化至10-20 m，开阔水体区域网格尺寸为50-100 m。</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入湖河流对竺山湖水质影响模拟。在不同入湖流量、水质背景、风场驱动、围隔设置等条件组合下，开展百渎港、殷村港、沙塘港等主要入湖河流对竺山湖水质影响模拟研究，揭示入湖负荷在竺山湖的迁移路径、影响范围与作用时间，绘制污染物迁移演变图谱，直观展示迁移扩散过程。</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竺山湖环境容量测算。结合底泥调查与释放试验成果，建立风速与内源释放之间的定量响应关系，纳入太湖精细化二维水动力-水质模型中，分场景探究外源输入、内源释放、湖流输移、围隔设置对竺山湖水质的影响权重，按月度测算竺山湖环境容量。</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（三）</w:t>
      </w:r>
      <w:r>
        <w:rPr>
          <w:rFonts w:ascii="宋体" w:hAnsi="宋体" w:cs="宋体"/>
          <w:b/>
          <w:color w:val="auto"/>
          <w:sz w:val="24"/>
          <w:highlight w:val="none"/>
        </w:rPr>
        <w:t xml:space="preserve">竺山湖水生态提升措施谋划</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围绕外源污染拦截、内源污染削减、湖体生态修复等方面谋划6项提升措施，并就入湖污染管控提出相关建议，并配合做好项目落地前期保障工作。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（1）近岸带生态缓冲区提升措施。在渡边公路与太湖之间建设生态缓冲区，拦截陆域污染输入。明确建设内容、工程布局及预期拦截净化效果。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（2）入湖河口污染物沉降措施。在百渎港、殷村港、沙塘港、雅浦港入湖口设置沉降库，利用水生植被减缓流速、拦截入湖污染。明确沉降库布局、规模及污染削减预期效果。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（3）入湖河流导流措施。在竺山湖近岸开挖导流槽，引导河水沿湖滨有序流动，减轻对湖区水质的冲击。明确导流槽布局、建设内容及水流调控预期效果。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（4）湖滨带潜堤及水生植被拦截措施。建设水下潜堤优化地形，恢复水生植被，构建湖滨净化消纳圈。明确潜堤规模、布局、植被恢复方案及水质改善预期效果。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（5）流泥原位控制措施。在重点保护区和流泥集中区开展表层流泥清除，减少风浪扰动影响。明确工程规模、布局及底质改善预期效果。</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（6）湖体水生态修复措施。在竺山湖心及椒山周边布置消浪带，种植菱角、苦草、菹草等水生植被，恢复水生态系统；在竺山湖布设蓝藻围隔，减少蓝藻影响。明确工程布局、规模及生态修复预期效果。</w:t>
      </w:r>
      <w:r/>
    </w:p>
    <w:p>
      <w:pPr>
        <w:ind w:firstLine="482"/>
        <w:spacing w:line="440" w:lineRule="exact"/>
        <w:rPr>
          <w:rFonts w:ascii="宋体" w:hAnsi="宋体" w:cs="宋体"/>
          <w:b/>
          <w:color w:val="auto"/>
          <w:szCs w:val="21"/>
          <w:highlight w:val="none"/>
          <w:lang w:bidi="ar"/>
        </w:rPr>
      </w:pPr>
      <w:r>
        <w:rPr>
          <w:rFonts w:hint="eastAsia" w:ascii="宋体" w:hAnsi="宋体" w:cs="宋体"/>
          <w:b/>
          <w:color w:val="auto"/>
          <w:sz w:val="24"/>
          <w:highlight w:val="none"/>
          <w:lang w:bidi="ar"/>
        </w:rPr>
        <w:t xml:space="preserve">第三条 工作成果要求</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（一）验收评价标准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w:t>
      </w:r>
      <w:r>
        <w:rPr>
          <w:rFonts w:hint="eastAsia" w:ascii="宋体" w:hAnsi="宋体" w:cs="宋体"/>
          <w:color w:val="auto"/>
          <w:sz w:val="24"/>
          <w:highlight w:val="none"/>
        </w:rPr>
        <w:t xml:space="preserve">完成竺山湖底泥现状及入湖污染负荷调查，阐明围隔分布情况、底泥污染分布特征、内源释放规律、陆域及河道外源污染的组成情况；</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color w:val="auto"/>
          <w:sz w:val="24"/>
          <w:highlight w:val="none"/>
        </w:rPr>
        <w:t xml:space="preserve">完成围隔对竺山湖流场影响分析，计算竺山湖典型年月度环境容量，阐明不同场景下外源、内源及外部湖区来水对竺山湖水质的贡献；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谋划6项竺山湖水生态提升措施，明确总体布局、工程设计、平面布置、技术工艺、设施参数、运维管控等内容，达到可行性研究深度，并可落地实施。</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（二）服务质量标准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1.服务过程应建立项目质量管理体系，明确项目负责人和专职服务人员，实行专人专岗、责任到人，确保服务响应及时、沟通顺畅。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2.服务过程中应做好工作记录，形成完整的服务档案，包括工作底稿、审核意见、会议纪要、培训资料等，做到全程留痕、有据可查。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3.服务过程应定期向甲方汇报工作进展，重要事项及时报告，遇重大政策调整或突发情况应在24小时内提出应对建议。</w:t>
      </w:r>
      <w:r/>
    </w:p>
    <w:p>
      <w:pPr>
        <w:ind w:firstLine="482"/>
        <w:spacing w:line="440" w:lineRule="exact"/>
        <w:rPr>
          <w:rFonts w:ascii="宋体" w:hAnsi="宋体" w:cs="宋体"/>
          <w:b/>
          <w:color w:val="auto"/>
          <w:sz w:val="24"/>
          <w:highlight w:val="none"/>
        </w:rPr>
      </w:pPr>
      <w:r/>
      <w:bookmarkStart w:id="668" w:name="OLE_LINK23"/>
      <w:r>
        <w:rPr>
          <w:rFonts w:hint="eastAsia" w:ascii="宋体" w:hAnsi="宋体" w:cs="宋体"/>
          <w:b/>
          <w:color w:val="auto"/>
          <w:sz w:val="24"/>
          <w:highlight w:val="none"/>
        </w:rPr>
        <w:t xml:space="preserve">（三）交付要求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1.服务成果交付形式及时间：2027年6月底前提交项目报告及相关附图、附表成果。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2.服务成果质量要求：在项目实施中，乙方须服从甲方进度调度和质量要求。</w:t>
      </w:r>
      <w:bookmarkEnd w:id="668"/>
      <w:r/>
      <w:r/>
    </w:p>
    <w:p>
      <w:pPr>
        <w:ind w:firstLine="482"/>
        <w:spacing w:line="440" w:lineRule="exact"/>
        <w:rPr>
          <w:rFonts w:ascii="宋体" w:hAnsi="宋体" w:cs="宋体"/>
          <w:color w:val="auto"/>
          <w:sz w:val="24"/>
          <w:highlight w:val="none"/>
        </w:rPr>
      </w:pPr>
      <w:r/>
      <w:bookmarkStart w:id="669" w:name="_Hlk240206531"/>
      <w:r>
        <w:rPr>
          <w:rFonts w:hint="eastAsia" w:ascii="宋体" w:hAnsi="宋体" w:cs="宋体"/>
          <w:b/>
          <w:color w:val="auto"/>
          <w:sz w:val="24"/>
          <w:highlight w:val="none"/>
        </w:rPr>
        <w:t xml:space="preserve">（四）验收要求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本项目全部服务工作完成后，由甲方组织专家开展项目验收。乙方申请验收时，须提交全套报告、工作底稿、监测原始数据、模型源文件、附图附表等全套完整资料作为验收支撑材料。 甲方按照本项目采购需求及国家、行业相关技术标准开展验收工作。验收不合格的，乙方须在10 个工作日内完成全部整改工作，并重新向甲方提交验收申请；经多次整改仍达不到采购需求约定要求的，按合同违约相关条款执行。</w:t>
      </w:r>
      <w:bookmarkEnd w:id="669"/>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lang w:bidi="ar"/>
        </w:rPr>
        <w:t xml:space="preserve">第四条 合同价款和支付方式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1.合同价款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本合同项下总价款为人民币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报价应包括竞争性磋商文件所确定的采购范围相应服务的提供、人员（包括工资和补贴）、办公场所及设施、保险、劳保、管理、各种税费、利润、规费、税金、政策性文件规定及合同包含的所有风险、责任等各项应有费用，以及为完成该项服务项目所涉及到的一切相关费用，甲方不再支付其他任何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2.费用支付方式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合同签订后，甲方向乙方支付不超过合同金额的60%；通过专家验收后，甲方向乙方支付剩余合同款额。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每笔款项支付前，乙方须向甲方提供合法有效的增值税发票，否则甲方有权顺延付款时间且不承担违约责任。</w:t>
      </w:r>
      <w:r/>
    </w:p>
    <w:p>
      <w:pPr>
        <w:ind w:left="420"/>
        <w:spacing w:line="440" w:lineRule="exact"/>
        <w:rPr>
          <w:rFonts w:ascii="宋体" w:hAnsi="宋体" w:cs="宋体"/>
          <w:b/>
          <w:color w:val="auto"/>
          <w:sz w:val="24"/>
          <w:highlight w:val="none"/>
        </w:rPr>
      </w:pPr>
      <w:r/>
      <w:bookmarkStart w:id="670" w:name="OLE_LINK25"/>
      <w:r>
        <w:rPr>
          <w:rFonts w:hint="eastAsia" w:ascii="宋体" w:hAnsi="宋体" w:cs="宋体"/>
          <w:b/>
          <w:color w:val="auto"/>
          <w:sz w:val="24"/>
          <w:highlight w:val="none"/>
          <w:lang w:bidi="ar"/>
        </w:rPr>
        <w:t xml:space="preserve">第五条 双方权利义务</w:t>
      </w:r>
      <w:bookmarkEnd w:id="670"/>
      <w:r/>
      <w:r/>
    </w:p>
    <w:p>
      <w:pPr>
        <w:ind w:firstLine="482"/>
        <w:spacing w:line="44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1.甲方权利义务</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1.1甲方应在本合同约定范围内，为乙方完成本合同项下工作提供必要的支持与配合，包括但不限于提供合法、有效的基础资料，协助乙方开展调研、资料收集及沟通协调工作，及时反馈意见，并按照本合同约定组织验收。</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1.2 甲方应按照本合同约定的付款条件、付款方式和付款时间支付合同款项。因甲方未按时支付相应阶段费用导致乙方工作进度受到影响的，乙方提供相应服务的时间可相应顺延，但因不可抗力或乙方原因造成的除外。</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1.3 甲方有权对乙方的工作情况和进度进行监督、检查，并提出合理建议或修改意见，乙方应积极配合。</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1.4 甲方有权按照本合同约定的服务内容、成果要求及验收标准，对乙方提交的服务成果进行审核和验收。</w:t>
      </w:r>
      <w:r/>
    </w:p>
    <w:p>
      <w:pPr>
        <w:ind w:firstLine="482"/>
        <w:spacing w:line="44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2.乙方权利义务</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2.1 乙方应根据本项目实际情况，组建具有相应经验和服务能力的专业团队承担本项目工作，明确项目负责人及主要服务人员，确保人员相对稳定、职责清晰。乙方提交的工作成果应符合国家有关标准、行业规范及本合同约定要求。未经甲方书面同意，乙方不得将本项目成果用于本合同以外的其他项目。</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2.2 乙方应按照本合同约定的服务内容、进度安排和成果要求，及时、完整、准确地提交服务成果，并对成果的深度、及时性、完整性、正确性及可实施性负责。如服务成果存在遗漏、错误或不符合本合同约定情形的，乙方应负责修改、补充或完善，直至符合本合同约定及验收要求。</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2.3 乙方应按照甲方要求参加与本项目有关的审查、评审、验收、汇报等会议，并根据会议意见在合同约定工作范围内进行必要调整、补充和完善。</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2.4 乙方应建立必要的质量管理和档案管理制度，妥善保存工作底稿、监测数据、模型文件、会议纪要及相关过程资料，做到全程留痕、有据可查，并按照甲方要求及时汇报项目进展情况。</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2.5 未经甲方书面同意，乙方不得将本合同项下工作分包或转包给第三方。如经甲方书面同意与第三方开展合作的，乙方应确保第三方的工作进度和质量符合本合同要求，并要求该第三方履行与乙方同等的保密义务，甲方无需另行支付任何费用。</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2.6 乙方应保证其提供的服务及成果不侵犯任何第三方的合法权益。如因乙方原因引发知识产权纠纷或其他权利争议，导致甲方遭受损失或承担责任的，乙方应承担相应法律责任及赔偿责任。</w:t>
      </w:r>
      <w:r/>
    </w:p>
    <w:p>
      <w:pPr>
        <w:ind w:left="420"/>
        <w:spacing w:line="440" w:lineRule="exact"/>
        <w:rPr>
          <w:rFonts w:ascii="宋体" w:hAnsi="宋体" w:cs="宋体"/>
          <w:b/>
          <w:color w:val="auto"/>
          <w:sz w:val="24"/>
          <w:highlight w:val="none"/>
          <w:lang w:bidi="ar"/>
        </w:rPr>
      </w:pPr>
      <w:r>
        <w:rPr>
          <w:rFonts w:hint="eastAsia" w:ascii="宋体" w:hAnsi="宋体" w:cs="宋体"/>
          <w:b/>
          <w:color w:val="auto"/>
          <w:sz w:val="24"/>
          <w:highlight w:val="none"/>
          <w:lang w:bidi="ar"/>
        </w:rPr>
        <w:t xml:space="preserve">第六条 知识产权归属</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1.乙方在服务过程中形成的技术报告，其知识产权归甲方所有。</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2.乙方须保证所提交的成果文件不侵犯任何第三方的知识产权，如因知识产权纠纷导致甲方损失的，由乙方承担全部法律责任及赔偿责任。</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3.未经甲方书面许可，乙方不得将本项目成果用于其他项目或对外公开发表、出版。</w:t>
      </w:r>
      <w:r/>
    </w:p>
    <w:p>
      <w:pPr>
        <w:ind w:left="42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第七条 保密义务</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1.乙方须对服务过程中知悉的甲方商业秘密、技术秘密、财政资金信息、项目资料及相关数据严格保密，保密期限自合同签订之日起至永久。</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2.乙方违反保密义务导致甲方损失的，须承担相应的赔偿责任；构成犯罪的，依法移送司法机关追究刑事责任。</w:t>
      </w:r>
      <w:r/>
    </w:p>
    <w:p>
      <w:pPr>
        <w:ind w:left="42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1.乙方未按合同约定时间交付服务成果的，每延迟1日按合同金额的0.1%向甲方支付违约金，延迟超过15日的，甲方有权解除合同并要求乙方赔偿损失。</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2.乙方提交的服务成果不符合质量要求，经甲方提出后未在指定期限内整改或整改后仍不符合要求的，甲方有权拒付相应款项并要求乙方承担违约责任。</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3.因乙方原因导致甲方被上级部门通报批评或产生其他不良影响的，甲方有权解除合同，乙方须退还已收款项并赔偿甲方全部损失。</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lang w:bidi="ar"/>
        </w:rPr>
        <w:t xml:space="preserve">第九条 合同变更、解除和终止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1.甲、乙双方因故需变更或终止本合同时，应提前7个工作日书面通知对方，对本合同中的遗留问题取得一致意见，形成书面协议作为本合同附件。未达成协议前，本合同继续有效。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2．本合同以乙方向甲方提供本合同规定的全部成果文件，甲方按本合同规定付清全部费用之日起，终止本合同关系，本合同另有条款约定的除外。</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lang w:bidi="ar"/>
        </w:rPr>
        <w:t xml:space="preserve">第十条 争议处理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本合同发生争议时，甲、乙双方应友好协商解决。如协商不成的，双方同意由甲方所在地人民法院管辖。</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lang w:bidi="ar"/>
        </w:rPr>
        <w:t xml:space="preserve">第十一条  合同生效和其他</w:t>
      </w:r>
      <w:r/>
    </w:p>
    <w:p>
      <w:pPr>
        <w:ind w:firstLine="480"/>
        <w:spacing w:line="44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1.本合同经甲乙双方授权代表签订并加盖公章后，自签订之日起生效。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2.由于不可抗力因素致使合同无法履行时，甲、乙双方应及时协商解决。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3.未尽事宜，经甲、乙双方协商一致，签订补充协议，补充协议与本合同具有同等效力。</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4.本合同一式伍份，甲方贰份、乙方贰份、采购代理机构壹份存档，各份均具同等法律效力。</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bidi="ar"/>
        </w:rPr>
        <w:t xml:space="preserve">其他未尽事宜，参照相关法律，双方协商解决。</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甲方：单位名称（章）：              乙方：单位名称（章）：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单位地址：                          单位地址：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委托代理人：                        委托代理人：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经办人：                            经办人：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电  话：                            电  话：</w:t>
      </w:r>
      <w:r/>
    </w:p>
    <w:p>
      <w:pPr>
        <w:ind w:firstLine="480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开户银行：                   </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银行帐号：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bCs/>
          <w:color w:val="auto"/>
          <w:sz w:val="24"/>
          <w:highlight w:val="none"/>
        </w:rPr>
      </w:pPr>
      <w:r>
        <w:rPr>
          <w:rFonts w:hint="eastAsia" w:ascii="宋体" w:hAnsi="宋体" w:cs="宋体"/>
          <w:b/>
          <w:bCs/>
          <w:color w:val="auto"/>
          <w:sz w:val="24"/>
          <w:highlight w:val="none"/>
        </w:rPr>
        <w:br w:type="page" w:clear="all"/>
      </w:r>
      <w:r/>
    </w:p>
    <w:p>
      <w:pPr>
        <w:pStyle w:val="1236"/>
        <w:jc w:val="left"/>
        <w:keepLines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w:t>
      </w:r>
      <w:r/>
    </w:p>
    <w:p>
      <w:pPr>
        <w:pStyle w:val="1236"/>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287"/>
        <w:ind w:firstLine="480"/>
        <w:spacing w:after="240" w:afterAutospacing="0" w:line="360" w:lineRule="auto"/>
        <w:rPr>
          <w:color w:val="auto"/>
          <w:highlight w:val="none"/>
        </w:rPr>
      </w:pPr>
      <w:r>
        <w:rPr>
          <w:rFonts w:hint="eastAsia"/>
          <w:color w:val="auto"/>
          <w:highlight w:val="none"/>
        </w:rPr>
        <w:t xml:space="preserve">采购人（甲方）：                        供应商（乙方）：</w:t>
      </w:r>
      <w:r/>
    </w:p>
    <w:p>
      <w:pPr>
        <w:pStyle w:val="1287"/>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287"/>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287"/>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287"/>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287"/>
        <w:spacing w:before="0" w:beforeAutospacing="0" w:after="0" w:afterAutospacing="0"/>
        <w:rPr>
          <w:bCs/>
          <w:color w:val="auto"/>
          <w:highlight w:val="none"/>
        </w:rPr>
      </w:pPr>
      <w:r>
        <w:rPr>
          <w:rFonts w:hint="eastAsia"/>
          <w:bCs/>
          <w:color w:val="auto"/>
          <w:highlight w:val="none"/>
        </w:rPr>
        <w:t xml:space="preserve">  </w:t>
      </w:r>
      <w:r/>
    </w:p>
    <w:p>
      <w:pPr>
        <w:pStyle w:val="1287"/>
        <w:spacing w:before="0" w:beforeAutospacing="0" w:after="0" w:afterAutospacing="0"/>
        <w:rPr>
          <w:color w:val="auto"/>
          <w:highlight w:val="none"/>
        </w:rPr>
      </w:pPr>
      <w:r>
        <w:rPr>
          <w:rFonts w:hint="eastAsia"/>
          <w:bCs/>
          <w:color w:val="auto"/>
          <w:highlight w:val="none"/>
        </w:rPr>
        <w:t xml:space="preserve">                  年   月   日                            年   月   日</w:t>
      </w:r>
      <w:r/>
    </w:p>
    <w:p>
      <w:pPr>
        <w:pStyle w:val="1269"/>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outlineLvl w:val="0"/>
      </w:pPr>
      <w:r/>
      <w:bookmarkStart w:id="671" w:name="_Toc18312"/>
      <w:r>
        <w:rPr>
          <w:b/>
          <w:color w:val="auto"/>
          <w:sz w:val="36"/>
          <w:szCs w:val="36"/>
          <w:highlight w:val="none"/>
        </w:rPr>
        <w:t xml:space="preserve">第六章   响应文件格式</w:t>
      </w:r>
      <w:bookmarkEnd w:id="671"/>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238"/>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237"/>
        <w:ind w:firstLine="480"/>
        <w:spacing w:line="460" w:lineRule="exact"/>
        <w:rPr>
          <w:color w:val="auto"/>
          <w:highlight w:val="none"/>
        </w:rPr>
      </w:pPr>
      <w:r>
        <w:rPr>
          <w:color w:val="auto"/>
          <w:highlight w:val="none"/>
        </w:rPr>
      </w:r>
      <w:r/>
    </w:p>
    <w:p>
      <w:pPr>
        <w:pStyle w:val="1237"/>
        <w:ind w:firstLine="480"/>
        <w:spacing w:line="460" w:lineRule="exact"/>
        <w:rPr>
          <w:color w:val="auto"/>
          <w:highlight w:val="none"/>
        </w:rPr>
      </w:pPr>
      <w:r>
        <w:rPr>
          <w:rFonts w:hint="eastAsia"/>
          <w:color w:val="auto"/>
          <w:highlight w:val="none"/>
        </w:rPr>
        <w:t xml:space="preserve">致：常州盈泰招标有限公司</w:t>
      </w:r>
      <w:r/>
    </w:p>
    <w:p>
      <w:pPr>
        <w:pStyle w:val="1237"/>
        <w:ind w:firstLine="960"/>
        <w:spacing w:line="460" w:lineRule="exact"/>
        <w:rPr>
          <w:color w:val="auto"/>
          <w:highlight w:val="none"/>
          <w:u w:val="single"/>
        </w:rPr>
      </w:pPr>
      <w:r>
        <w:rPr>
          <w:rFonts w:hint="eastAsia"/>
          <w:color w:val="auto"/>
          <w:highlight w:val="none"/>
          <w:u w:val="single"/>
        </w:rPr>
        <w:t xml:space="preserve">（采购人名称）</w:t>
      </w:r>
      <w:r/>
    </w:p>
    <w:p>
      <w:pPr>
        <w:pStyle w:val="1237"/>
        <w:ind w:firstLine="480"/>
        <w:spacing w:line="460" w:lineRule="exact"/>
        <w:rPr>
          <w:color w:val="auto"/>
          <w:highlight w:val="none"/>
        </w:rPr>
      </w:pPr>
      <w:r>
        <w:rPr>
          <w:color w:val="auto"/>
          <w:highlight w:val="none"/>
        </w:rPr>
      </w:r>
      <w:r/>
    </w:p>
    <w:p>
      <w:pPr>
        <w:pStyle w:val="1237"/>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23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237"/>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237"/>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237"/>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237"/>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23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23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237"/>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7"/>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237"/>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23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23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23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237"/>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237"/>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23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23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23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53"/>
        <w:ind w:firstLine="480"/>
        <w:spacing w:line="460" w:lineRule="exact"/>
        <w:rPr>
          <w:color w:val="auto"/>
          <w:highlight w:val="none"/>
        </w:rPr>
      </w:pPr>
      <w:r>
        <w:rPr>
          <w:rFonts w:hint="eastAsia"/>
          <w:b/>
          <w:bCs/>
          <w:color w:val="auto"/>
          <w:highlight w:val="none"/>
        </w:rPr>
        <w:t xml:space="preserve">十一、我单位法定代表人的社保缴纳单位为：</w:t>
      </w:r>
      <w:r>
        <w:rPr>
          <w:rFonts w:hint="eastAsia"/>
          <w:b/>
          <w:bCs/>
          <w:color w:val="auto"/>
          <w:highlight w:val="none"/>
          <w:u w:val="single"/>
        </w:rPr>
        <w:t xml:space="preserve">                    </w:t>
      </w:r>
      <w:r>
        <w:rPr>
          <w:rFonts w:hint="eastAsia"/>
          <w:b/>
          <w:bCs/>
          <w:color w:val="auto"/>
          <w:highlight w:val="none"/>
        </w:rPr>
        <w:t xml:space="preserve">。（请供应商如实填写）。</w:t>
      </w:r>
      <w:r/>
    </w:p>
    <w:p>
      <w:pPr>
        <w:pStyle w:val="1237"/>
        <w:ind w:firstLine="480"/>
        <w:spacing w:line="460" w:lineRule="exact"/>
        <w:rPr>
          <w:color w:val="auto"/>
          <w:highlight w:val="none"/>
        </w:rPr>
      </w:pPr>
      <w:r>
        <w:rPr>
          <w:color w:val="auto"/>
          <w:highlight w:val="none"/>
        </w:rPr>
      </w:r>
      <w:r/>
    </w:p>
    <w:p>
      <w:pPr>
        <w:pStyle w:val="123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237"/>
        <w:ind w:firstLine="480"/>
        <w:spacing w:line="460" w:lineRule="exact"/>
        <w:rPr>
          <w:color w:val="auto"/>
          <w:highlight w:val="none"/>
        </w:rPr>
      </w:pPr>
      <w:r>
        <w:rPr>
          <w:color w:val="auto"/>
          <w:highlight w:val="none"/>
        </w:rPr>
      </w:r>
      <w:r/>
    </w:p>
    <w:p>
      <w:pPr>
        <w:pStyle w:val="1237"/>
        <w:ind w:firstLine="480"/>
        <w:spacing w:line="460" w:lineRule="exact"/>
        <w:rPr>
          <w:color w:val="auto"/>
          <w:highlight w:val="none"/>
        </w:rPr>
      </w:pPr>
      <w:r>
        <w:rPr>
          <w:color w:val="auto"/>
          <w:highlight w:val="none"/>
        </w:rPr>
      </w:r>
      <w:r/>
    </w:p>
    <w:p>
      <w:pPr>
        <w:pStyle w:val="1237"/>
        <w:ind w:firstLine="480"/>
        <w:spacing w:line="460" w:lineRule="exact"/>
        <w:rPr>
          <w:color w:val="auto"/>
          <w:highlight w:val="none"/>
        </w:rPr>
      </w:pPr>
      <w:r>
        <w:rPr>
          <w:rFonts w:hint="eastAsia"/>
          <w:color w:val="auto"/>
          <w:highlight w:val="none"/>
        </w:rPr>
        <w:t xml:space="preserve">                                     供应商：（加盖公章）</w:t>
      </w:r>
      <w:r/>
    </w:p>
    <w:p>
      <w:pPr>
        <w:pStyle w:val="1237"/>
        <w:ind w:firstLine="480"/>
        <w:spacing w:line="460" w:lineRule="exact"/>
        <w:rPr>
          <w:color w:val="auto"/>
          <w:highlight w:val="none"/>
        </w:rPr>
      </w:pPr>
      <w:r>
        <w:rPr>
          <w:rFonts w:hint="eastAsia"/>
          <w:color w:val="auto"/>
          <w:highlight w:val="none"/>
        </w:rPr>
        <w:t xml:space="preserve">                                     法定代表人（或单位负责人）签字或盖章：</w:t>
      </w:r>
      <w:r/>
    </w:p>
    <w:p>
      <w:pPr>
        <w:pStyle w:val="1237"/>
        <w:ind w:firstLine="4142"/>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1"/>
          <w:footerReference w:type="default" r:id="rId22"/>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highlight w:val="none"/>
        </w:rPr>
        <w:t xml:space="preserve">2  </w:t>
      </w:r>
      <w:r>
        <w:rPr>
          <w:rFonts w:hint="eastAsia" w:ascii="宋体" w:hAnsi="宋体" w:cs="宋体"/>
          <w:color w:val="auto"/>
          <w:sz w:val="24"/>
          <w:szCs w:val="20"/>
          <w:highlight w:val="none"/>
        </w:rPr>
        <w:t xml:space="preserve">落实政府采购政策需满足的资格要求：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  </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w:t>
      </w:r>
      <w:r>
        <w:rPr>
          <w:rFonts w:hint="eastAsia" w:ascii="宋体" w:hAnsi="宋体" w:cs="宋体"/>
          <w:color w:val="auto"/>
          <w:sz w:val="24"/>
          <w:highlight w:val="none"/>
        </w:rPr>
        <w:t xml:space="preserve">其它落实政府采购政策的资格要求</w:t>
      </w:r>
      <w:r>
        <w:rPr>
          <w:rFonts w:hint="eastAsia" w:ascii="宋体" w:hAnsi="宋体" w:cs="宋体"/>
          <w:color w:val="auto"/>
          <w:sz w:val="24"/>
          <w:szCs w:val="20"/>
          <w:highlight w:val="none"/>
        </w:rPr>
        <w:t xml:space="preserve">：无。</w:t>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  本项目的特定资格要求：无。</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3.1联合协议：本项目不接受联合体投标。</w:t>
      </w:r>
      <w:r/>
    </w:p>
    <w:p>
      <w:pPr>
        <w:jc w:val="left"/>
        <w:widowControl/>
        <w:rPr>
          <w:b/>
          <w:bCs/>
          <w:color w:val="auto"/>
          <w:sz w:val="24"/>
          <w:szCs w:val="20"/>
          <w:highlight w:val="none"/>
        </w:rPr>
      </w:pPr>
      <w:r>
        <w:rPr>
          <w:rFonts w:hint="eastAsia" w:ascii="宋体" w:hAnsi="宋体" w:cs="宋体"/>
          <w:color w:val="auto"/>
          <w:sz w:val="24"/>
          <w:szCs w:val="20"/>
          <w:highlight w:val="none"/>
        </w:rPr>
        <w:t xml:space="preserve">3.2其他特定资格要求：无</w:t>
      </w:r>
      <w:r>
        <w:rPr>
          <w:rFonts w:hint="eastAsia"/>
          <w:color w:val="auto"/>
          <w:sz w:val="24"/>
          <w:szCs w:val="20"/>
          <w:highlight w:val="none"/>
        </w:rPr>
        <w:t xml:space="preserve">。</w:t>
      </w:r>
      <w:r/>
    </w:p>
    <w:p>
      <w:pPr>
        <w:spacing w:line="360" w:lineRule="auto"/>
        <w:rPr>
          <w:color w:val="auto"/>
          <w:sz w:val="24"/>
          <w:szCs w:val="20"/>
          <w:highlight w:val="none"/>
        </w:rPr>
        <w:outlineLvl w:val="2"/>
      </w:pPr>
      <w:r>
        <w:rPr>
          <w:b/>
          <w:color w:val="auto"/>
          <w:sz w:val="24"/>
          <w:highlight w:val="none"/>
        </w:rPr>
        <w:br w:type="page" w:clear="all"/>
      </w:r>
      <w:bookmarkStart w:id="672" w:name="_Toc520356218"/>
      <w:r/>
      <w:bookmarkStart w:id="673" w:name="_Toc226965747"/>
      <w:r/>
      <w:bookmarkStart w:id="674" w:name="_Ref467988705"/>
      <w:r/>
      <w:bookmarkStart w:id="675" w:name="_Toc150480795"/>
      <w:r/>
      <w:bookmarkStart w:id="676" w:name="_Toc226965830"/>
      <w:r/>
      <w:bookmarkStart w:id="677" w:name="_Toc142311059"/>
      <w:r/>
      <w:bookmarkStart w:id="678" w:name="_Toc127151557"/>
      <w:r/>
      <w:bookmarkStart w:id="679" w:name="_Toc265228395"/>
      <w:r/>
      <w:bookmarkStart w:id="680" w:name="_Toc305158899"/>
      <w:r/>
      <w:bookmarkStart w:id="681" w:name="_Toc195842922"/>
      <w:r/>
      <w:bookmarkStart w:id="682" w:name="_Toc480942350"/>
      <w:r/>
      <w:bookmarkStart w:id="683" w:name="_Toc305158825"/>
      <w:r/>
      <w:bookmarkStart w:id="684" w:name="_Toc264969247"/>
      <w:r/>
      <w:bookmarkStart w:id="685" w:name="_Toc150774762"/>
      <w:r/>
      <w:bookmarkStart w:id="686" w:name="_Toc226309801"/>
      <w:r/>
      <w:bookmarkStart w:id="687" w:name="_Toc226337253"/>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w:t>
      </w:r>
      <w:r>
        <w:rPr>
          <w:rFonts w:hint="eastAsia"/>
          <w:color w:val="auto"/>
          <w:sz w:val="24"/>
          <w:szCs w:val="20"/>
          <w:highlight w:val="none"/>
        </w:rPr>
        <w:t xml:space="preserve">：</w:t>
      </w:r>
      <w:r>
        <w:rPr>
          <w:color w:val="auto"/>
          <w:sz w:val="24"/>
          <w:szCs w:val="20"/>
          <w:highlight w:val="none"/>
        </w:rPr>
        <w:t xml:space="preserve">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88" w:name="_Hlt520356243"/>
      <w:r/>
      <w:bookmarkEnd w:id="688"/>
      <w:r/>
      <w:bookmarkStart w:id="689" w:name="_Hlt520355938"/>
      <w:r/>
      <w:bookmarkEnd w:id="689"/>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264"/>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6 法人授权委托书（实质性格式）</w:t>
      </w:r>
      <w:r/>
    </w:p>
    <w:p>
      <w:pPr>
        <w:jc w:val="center"/>
        <w:spacing w:line="312" w:lineRule="auto"/>
        <w:rPr>
          <w:rFonts w:ascii="宋体" w:hAnsi="宋体" w:cs="宋体"/>
          <w:b/>
          <w:color w:val="auto"/>
          <w:sz w:val="24"/>
          <w:highlight w:val="none"/>
        </w:rPr>
      </w:pPr>
      <w:r/>
      <w:bookmarkStart w:id="690" w:name="_Toc20050"/>
      <w:r/>
      <w:bookmarkStart w:id="691" w:name="_Toc1214"/>
      <w:r/>
      <w:bookmarkStart w:id="692" w:name="_Toc19862"/>
      <w:r/>
      <w:r/>
    </w:p>
    <w:p>
      <w:pPr>
        <w:jc w:val="center"/>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法人授权委托书</w:t>
      </w:r>
      <w:bookmarkEnd w:id="690"/>
      <w:r/>
      <w:bookmarkEnd w:id="691"/>
      <w:r/>
      <w:bookmarkEnd w:id="692"/>
      <w:r/>
      <w:r/>
    </w:p>
    <w:p>
      <w:pPr>
        <w:pStyle w:val="1057"/>
        <w:tabs>
          <w:tab w:val="left" w:pos="567" w:leader="none"/>
        </w:tabs>
        <w:rPr>
          <w:color w:val="auto"/>
          <w:highlight w:val="none"/>
          <w:lang w:eastAsia="zh-CN"/>
        </w:rPr>
      </w:pPr>
      <w:r>
        <w:rPr>
          <w:color w:val="auto"/>
          <w:highlight w:val="none"/>
          <w:lang w:eastAsia="zh-CN"/>
        </w:rPr>
      </w:r>
      <w:r/>
    </w:p>
    <w:p>
      <w:pPr>
        <w:ind w:firstLine="720"/>
        <w:jc w:val="left"/>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（供应商名称）的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（法定代表人姓名、职务）代表供应商授权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（被授权人的姓名、职务）为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本授权书于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日签字生效，特此声明。</w:t>
      </w:r>
      <w:r/>
    </w:p>
    <w:p>
      <w:pPr>
        <w:pStyle w:val="1057"/>
        <w:tabs>
          <w:tab w:val="left" w:pos="567" w:leader="none"/>
        </w:tabs>
        <w:rPr>
          <w:color w:val="auto"/>
          <w:highlight w:val="none"/>
          <w:lang w:eastAsia="zh-CN"/>
        </w:rPr>
      </w:pPr>
      <w:r>
        <w:rPr>
          <w:color w:val="auto"/>
          <w:highlight w:val="none"/>
          <w:lang w:eastAsia="zh-CN"/>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委托代理人签字或盖章：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供应商公章：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邮编：</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账号：</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代理人身份证</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（双面复印件）粘贴处：</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rFonts w:ascii="宋体" w:hAnsi="宋体" w:cs="宋体"/>
          <w:color w:val="auto"/>
          <w:sz w:val="24"/>
          <w:highlight w:val="none"/>
        </w:rPr>
        <w:outlineLvl w:val="2"/>
      </w:pPr>
      <w:r>
        <w:rPr>
          <w:rFonts w:ascii="宋体" w:hAnsi="宋体" w:cs="宋体"/>
          <w:color w:val="auto"/>
          <w:sz w:val="24"/>
          <w:highlight w:val="none"/>
        </w:rPr>
      </w:r>
      <w:r/>
    </w:p>
    <w:p>
      <w:pPr>
        <w:jc w:val="left"/>
        <w:widowControl/>
        <w:rPr>
          <w:rFonts w:ascii="宋体" w:hAnsi="宋体" w:cs="宋体"/>
          <w:color w:val="auto"/>
          <w:sz w:val="24"/>
          <w:highlight w:val="none"/>
        </w:rPr>
        <w:outlineLvl w:val="2"/>
      </w:pPr>
      <w:r>
        <w:rPr>
          <w:rFonts w:hint="eastAsia" w:ascii="宋体" w:hAnsi="宋体" w:cs="宋体"/>
          <w:color w:val="auto"/>
          <w:sz w:val="24"/>
          <w:highlight w:val="none"/>
        </w:rPr>
        <w:t xml:space="preserve">7  政府采购供应商信用承诺书</w:t>
      </w:r>
      <w:r>
        <w:rPr>
          <w:rFonts w:hint="eastAsia" w:ascii="宋体" w:hAnsi="宋体" w:cs="宋体"/>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outlineLvl w:val="1"/>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7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jc w:val="left"/>
        <w:widowControl/>
        <w:rPr>
          <w:color w:val="auto"/>
          <w:sz w:val="24"/>
          <w:highlight w:val="none"/>
        </w:rPr>
      </w:pPr>
      <w:r>
        <w:rPr>
          <w:color w:val="auto"/>
          <w:sz w:val="24"/>
          <w:highlight w:val="none"/>
        </w:rPr>
      </w:r>
      <w:r/>
    </w:p>
    <w:p>
      <w:pPr>
        <w:jc w:val="left"/>
        <w:widowControl/>
        <w:rPr>
          <w:rFonts w:ascii="宋体" w:hAnsi="宋体"/>
          <w:b/>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w:t>
      </w:r>
      <w:r>
        <w:rPr>
          <w:rFonts w:hint="eastAsia" w:ascii="宋体" w:hAnsi="宋体" w:cs="宋体"/>
          <w:b/>
          <w:color w:val="auto"/>
          <w:sz w:val="24"/>
          <w:highlight w:val="none"/>
        </w:rPr>
        <w:t xml:space="preserve">供应商管理关系或控股关系信息情况表</w:t>
      </w:r>
      <w:r/>
    </w:p>
    <w:p>
      <w:pPr>
        <w:ind w:firstLine="560"/>
        <w:jc w:val="center"/>
        <w:spacing w:line="52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2073"/>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1"/>
              </w:num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1"/>
              </w:numPr>
              <w:ind w:firstLine="561"/>
              <w:jc w:val="left"/>
              <w:spacing w:line="500" w:lineRule="exact"/>
              <w:rPr>
                <w:rFonts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9</w:t>
      </w:r>
      <w:r>
        <w:rPr>
          <w:color w:val="auto"/>
          <w:sz w:val="24"/>
          <w:szCs w:val="20"/>
          <w:highlight w:val="none"/>
        </w:rPr>
        <w:t xml:space="preserve">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auto"/>
          <w:sz w:val="36"/>
          <w:szCs w:val="36"/>
          <w:highlight w:val="none"/>
        </w:rPr>
      </w:pPr>
      <w:r/>
      <w:bookmarkStart w:id="693" w:name="_Toc305158826"/>
      <w:r/>
      <w:bookmarkStart w:id="694" w:name="_Toc195842923"/>
      <w:r/>
      <w:bookmarkStart w:id="695" w:name="_Toc226337254"/>
      <w:r/>
      <w:bookmarkStart w:id="696" w:name="_Toc226965831"/>
      <w:r/>
      <w:bookmarkStart w:id="697" w:name="_Toc226309802"/>
      <w:r/>
      <w:bookmarkStart w:id="698" w:name="_Toc265228396"/>
      <w:r/>
      <w:bookmarkStart w:id="699" w:name="_Toc305158900"/>
      <w:r/>
      <w:bookmarkStart w:id="700" w:name="_Toc164608827"/>
      <w:r/>
      <w:bookmarkStart w:id="701" w:name="_Toc226965748"/>
      <w:r/>
      <w:bookmarkStart w:id="702" w:name="_Toc164608672"/>
      <w:r/>
      <w:bookmarkStart w:id="703" w:name="_Toc264969248"/>
      <w:r>
        <w:rPr>
          <w:rFonts w:hint="eastAsia"/>
          <w:b/>
          <w:color w:val="auto"/>
          <w:sz w:val="36"/>
          <w:szCs w:val="36"/>
          <w:highlight w:val="none"/>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2"/>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3317"/>
        <w:gridCol w:w="2097"/>
        <w:gridCol w:w="2206"/>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7"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430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spacing w:line="312" w:lineRule="auto"/>
        <w:rPr>
          <w:rFonts w:ascii="宋体" w:hAnsi="宋体" w:cs="宋体"/>
          <w:bCs/>
          <w:color w:val="auto"/>
          <w:sz w:val="24"/>
          <w:highlight w:val="none"/>
        </w:rPr>
      </w:pPr>
      <w:r/>
      <w:bookmarkStart w:id="704" w:name="_Toc264969249"/>
      <w:r/>
      <w:bookmarkStart w:id="705" w:name="_Toc226965749"/>
      <w:r/>
      <w:bookmarkStart w:id="706" w:name="_Toc226309803"/>
      <w:r/>
      <w:bookmarkStart w:id="707" w:name="_Toc265228397"/>
      <w:r/>
      <w:bookmarkStart w:id="708" w:name="_Toc195842924"/>
      <w:r/>
      <w:bookmarkStart w:id="709" w:name="_Toc127151558"/>
      <w:r/>
      <w:bookmarkStart w:id="710" w:name="_Toc226965832"/>
      <w:r/>
      <w:bookmarkStart w:id="711" w:name="_Toc305158827"/>
      <w:r/>
      <w:bookmarkStart w:id="712" w:name="_Toc226337255"/>
      <w:r/>
      <w:bookmarkStart w:id="713" w:name="_Toc150774763"/>
      <w:r/>
      <w:bookmarkStart w:id="714" w:name="_Toc150480796"/>
      <w:r/>
      <w:bookmarkStart w:id="715" w:name="_Toc142311060"/>
      <w:r/>
      <w:bookmarkStart w:id="716" w:name="_Toc305158901"/>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7" w:name="_Toc150480798"/>
      <w:r/>
      <w:bookmarkStart w:id="718" w:name="_Toc265228400"/>
      <w:r/>
      <w:bookmarkStart w:id="719" w:name="_Toc264969252"/>
      <w:r/>
      <w:bookmarkStart w:id="720" w:name="_Toc226309806"/>
      <w:r/>
      <w:bookmarkStart w:id="721" w:name="_Toc195842927"/>
      <w:r/>
      <w:bookmarkStart w:id="722" w:name="_Toc226337258"/>
      <w:r/>
      <w:bookmarkStart w:id="723" w:name="_Toc226965835"/>
      <w:r/>
      <w:bookmarkStart w:id="724" w:name="_Toc150774765"/>
      <w:r/>
      <w:bookmarkStart w:id="725" w:name="_Toc305158830"/>
      <w:r/>
      <w:bookmarkStart w:id="726" w:name="_Toc127151562"/>
      <w:r/>
      <w:bookmarkStart w:id="727" w:name="_Toc142311062"/>
      <w:r/>
      <w:bookmarkStart w:id="728" w:name="_Toc305158904"/>
      <w:r/>
      <w:bookmarkStart w:id="729" w:name="_Toc226965752"/>
      <w:r/>
      <w:bookmarkStart w:id="730" w:name="_Toc226965751"/>
      <w:r/>
      <w:bookmarkStart w:id="731" w:name="_Toc195842926"/>
      <w:r/>
      <w:bookmarkStart w:id="732" w:name="_Toc226965834"/>
      <w:r/>
      <w:bookmarkStart w:id="733" w:name="_Toc305158903"/>
      <w:r/>
      <w:bookmarkStart w:id="734" w:name="_Toc142311061"/>
      <w:r/>
      <w:bookmarkStart w:id="735" w:name="_Toc264969251"/>
      <w:r/>
      <w:bookmarkStart w:id="736" w:name="_Toc265228399"/>
      <w:r/>
      <w:bookmarkStart w:id="737" w:name="_Toc226337257"/>
      <w:r/>
      <w:bookmarkStart w:id="738" w:name="_Toc150480797"/>
      <w:r/>
      <w:bookmarkStart w:id="739" w:name="_Toc150774764"/>
      <w:r/>
      <w:bookmarkStart w:id="740" w:name="_Toc305158829"/>
      <w:r/>
      <w:bookmarkStart w:id="741" w:name="_Toc226309805"/>
      <w:r/>
      <w:bookmarkStart w:id="742" w:name="_Toc127151561"/>
      <w:r>
        <w:rPr>
          <w:rFonts w:hint="eastAsia" w:ascii="宋体" w:hAnsi="宋体" w:cs="宋体"/>
          <w:bCs/>
          <w:color w:val="auto"/>
          <w:sz w:val="24"/>
          <w:highlight w:val="none"/>
        </w:rPr>
        <w:t xml:space="preserve">分项报价表</w:t>
      </w:r>
      <w:r/>
    </w:p>
    <w:p>
      <w:pPr>
        <w:spacing w:line="360" w:lineRule="auto"/>
        <w:rPr>
          <w:color w:val="auto"/>
          <w:sz w:val="24"/>
          <w:szCs w:val="20"/>
          <w:highlight w:val="none"/>
        </w:rPr>
      </w:pPr>
      <w:r/>
      <w:bookmarkStart w:id="743" w:name="_Toc25130"/>
      <w:r/>
      <w:bookmarkStart w:id="744" w:name="_Toc22479"/>
      <w:r/>
      <w:bookmarkStart w:id="745" w:name="_Toc23177"/>
      <w:r/>
      <w:bookmarkStart w:id="746" w:name="_Toc29062"/>
      <w:r/>
      <w:bookmarkEnd w:id="743"/>
      <w:r/>
      <w:bookmarkEnd w:id="744"/>
      <w:r/>
      <w:bookmarkEnd w:id="745"/>
      <w:r/>
      <w:bookmarkEnd w:id="746"/>
      <w:r/>
      <w:r/>
    </w:p>
    <w:p>
      <w:pPr>
        <w:jc w:val="center"/>
        <w:rPr>
          <w:b/>
          <w:color w:val="auto"/>
          <w:sz w:val="36"/>
          <w:szCs w:val="36"/>
          <w:highlight w:val="none"/>
        </w:rPr>
      </w:pPr>
      <w:r>
        <w:rPr>
          <w:rFonts w:hint="eastAsia"/>
          <w:b/>
          <w:color w:val="auto"/>
          <w:sz w:val="36"/>
          <w:szCs w:val="36"/>
          <w:highlight w:val="none"/>
        </w:rPr>
        <w:t xml:space="preserve">分项报价表</w:t>
      </w:r>
      <w:r/>
    </w:p>
    <w:p>
      <w:pPr>
        <w:jc w:val="left"/>
        <w:rPr>
          <w:rFonts w:ascii="宋体" w:hAnsi="宋体"/>
          <w:color w:val="auto"/>
          <w:sz w:val="24"/>
          <w:highlight w:val="none"/>
        </w:rPr>
      </w:pPr>
      <w:r>
        <w:rPr>
          <w:rFonts w:ascii="宋体" w:hAnsi="宋体"/>
          <w:color w:val="auto"/>
          <w:sz w:val="24"/>
          <w:highlight w:val="none"/>
        </w:rPr>
      </w:r>
      <w:r/>
    </w:p>
    <w:tbl>
      <w:tblPr>
        <w:tblStyle w:val="1052"/>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jc w:val="center"/>
          <w:trHeight w:val="296"/>
        </w:trPr>
        <w:tc>
          <w:tcPr>
            <w:tcW w:w="75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92"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  目 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p>
        </w:tc>
        <w:tc>
          <w:tcPr>
            <w:tcW w:w="270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 务 内 容</w:t>
            </w:r>
            <w:r/>
          </w:p>
        </w:tc>
        <w:tc>
          <w:tcPr>
            <w:tcW w:w="803"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07"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2"/>
            <w:tcW w:w="190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人民币价格</w:t>
            </w:r>
            <w:r/>
          </w:p>
        </w:tc>
      </w:tr>
      <w:tr>
        <w:trPr>
          <w:cantSplit/>
          <w:jc w:val="center"/>
          <w:trHeight w:val="56"/>
        </w:trPr>
        <w:tc>
          <w:tcPr>
            <w:tcW w:w="759"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93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0"/>
        </w:trPr>
        <w:tc>
          <w:tcPr>
            <w:gridSpan w:val="5"/>
            <w:tcW w:w="746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gridSpan w:val="2"/>
            <w:tcW w:w="1908"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ind w:firstLine="240"/>
        <w:jc w:val="left"/>
        <w:rPr>
          <w:rFonts w:ascii="宋体" w:hAnsi="宋体"/>
          <w:color w:val="auto"/>
          <w:sz w:val="24"/>
          <w:highlight w:val="none"/>
        </w:rPr>
      </w:pPr>
      <w:r>
        <w:rPr>
          <w:rFonts w:ascii="宋体" w:hAnsi="宋体"/>
          <w:color w:val="auto"/>
          <w:sz w:val="24"/>
          <w:highlight w:val="none"/>
        </w:rPr>
      </w:r>
      <w:r/>
    </w:p>
    <w:p>
      <w:pPr>
        <w:ind w:firstLine="240"/>
        <w:jc w:val="left"/>
        <w:rPr>
          <w:rFonts w:ascii="宋体" w:hAnsi="宋体"/>
          <w:color w:val="auto"/>
          <w:sz w:val="24"/>
          <w:highlight w:val="none"/>
        </w:rPr>
      </w:pPr>
      <w:r>
        <w:rPr>
          <w:rFonts w:hint="eastAsia" w:ascii="宋体" w:hAnsi="宋体"/>
          <w:color w:val="auto"/>
          <w:sz w:val="24"/>
          <w:highlight w:val="none"/>
        </w:rPr>
        <w:t xml:space="preserve">此表仅供参考。</w:t>
      </w:r>
      <w:r/>
    </w:p>
    <w:p>
      <w:pPr>
        <w:ind w:firstLine="3360"/>
        <w:jc w:val="left"/>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供应商名称（公章）：</w:t>
      </w:r>
      <w:r/>
    </w:p>
    <w:p>
      <w:pPr>
        <w:ind w:firstLine="283"/>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widowControl/>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11</w:t>
      </w:r>
      <w:r>
        <w:rPr>
          <w:color w:val="auto"/>
          <w:sz w:val="24"/>
          <w:szCs w:val="20"/>
          <w:highlight w:val="none"/>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1052"/>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rFonts w:hint="eastAsia"/>
                <w:b/>
                <w:color w:val="auto"/>
                <w:sz w:val="24"/>
                <w:highlight w:val="none"/>
              </w:rPr>
              <w:t xml:space="preserve">□</w:t>
            </w: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rFonts w:hint="eastAsia"/>
                <w:b/>
                <w:color w:val="auto"/>
                <w:sz w:val="24"/>
                <w:highlight w:val="none"/>
              </w:rPr>
              <w:t xml:space="preserve">□</w:t>
            </w: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2</w:t>
      </w:r>
      <w:r>
        <w:rPr>
          <w:color w:val="auto"/>
          <w:sz w:val="24"/>
          <w:szCs w:val="20"/>
          <w:highlight w:val="none"/>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13</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301"/>
          <w:color w:val="auto"/>
          <w:sz w:val="24"/>
          <w:highlight w:val="none"/>
        </w:rPr>
        <w:t xml:space="preserve">http://202.106.120.146/baosong/appweb/orgScale.html</w:t>
      </w:r>
      <w:r>
        <w:rPr>
          <w:rStyle w:val="1301"/>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szCs w:val="20"/>
          <w:highlight w:val="none"/>
        </w:rPr>
      </w:pPr>
      <w:r>
        <w:rPr>
          <w:b/>
          <w:bCs/>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2"/>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before="240" w:after="240" w:line="360" w:lineRule="auto"/>
        <w:rPr>
          <w:color w:val="auto"/>
          <w:sz w:val="36"/>
          <w:szCs w:val="36"/>
          <w:highlight w:val="none"/>
        </w:rPr>
      </w:pPr>
      <w:r>
        <w:rPr>
          <w:color w:val="auto"/>
          <w:sz w:val="24"/>
          <w:szCs w:val="20"/>
          <w:highlight w:val="none"/>
        </w:rPr>
        <w:br w:type="page" w:clear="all"/>
      </w: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rFonts w:hint="eastAsia"/>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rFonts w:hint="eastAsia"/>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14</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1）项目组织实施方案；</w:t>
      </w:r>
      <w:r/>
    </w:p>
    <w:p>
      <w:pPr>
        <w:ind w:firstLine="480"/>
        <w:spacing w:line="560" w:lineRule="exact"/>
        <w:rPr>
          <w:color w:val="auto"/>
          <w:sz w:val="24"/>
          <w:szCs w:val="20"/>
          <w:highlight w:val="none"/>
        </w:rPr>
      </w:pPr>
      <w:r>
        <w:rPr>
          <w:rFonts w:hint="eastAsia"/>
          <w:color w:val="auto"/>
          <w:sz w:val="24"/>
          <w:szCs w:val="20"/>
          <w:highlight w:val="none"/>
        </w:rPr>
        <w:t xml:space="preserve">2）项目管理方案；</w:t>
      </w:r>
      <w:r/>
    </w:p>
    <w:p>
      <w:pPr>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p>
    <w:p>
      <w:pPr>
        <w:ind w:firstLine="480"/>
        <w:spacing w:line="560" w:lineRule="exact"/>
        <w:rPr>
          <w:color w:val="auto"/>
          <w:sz w:val="24"/>
          <w:szCs w:val="20"/>
          <w:highlight w:val="none"/>
        </w:rPr>
      </w:pPr>
      <w:r>
        <w:rPr>
          <w:rFonts w:hint="eastAsia"/>
          <w:color w:val="auto"/>
          <w:sz w:val="24"/>
          <w:szCs w:val="20"/>
          <w:highlight w:val="none"/>
        </w:rPr>
        <w:t xml:space="preserve">5）优惠条款或承诺；</w:t>
      </w:r>
      <w:r/>
    </w:p>
    <w:p>
      <w:pPr>
        <w:ind w:firstLine="480"/>
        <w:spacing w:line="560" w:lineRule="exact"/>
        <w:rPr>
          <w:color w:val="auto"/>
          <w:sz w:val="24"/>
          <w:szCs w:val="20"/>
          <w:highlight w:val="none"/>
        </w:rPr>
      </w:pPr>
      <w:r>
        <w:rPr>
          <w:rFonts w:hint="eastAsia"/>
          <w:color w:val="auto"/>
          <w:sz w:val="24"/>
          <w:szCs w:val="20"/>
          <w:highlight w:val="none"/>
        </w:rPr>
        <w:t xml:space="preserve">6）其他。</w:t>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15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rPr>
          <w:color w:val="auto"/>
          <w:highlight w:val="none"/>
          <w:lang w:val="zh-CN"/>
        </w:rPr>
      </w:pPr>
      <w:r>
        <w:rPr>
          <w:color w:val="auto"/>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rPr>
          <w:color w:val="auto"/>
          <w:sz w:val="24"/>
          <w:szCs w:val="20"/>
          <w:highlight w:val="none"/>
        </w:rPr>
      </w:pPr>
      <w:r>
        <w:rPr>
          <w:color w:val="auto"/>
          <w:sz w:val="22"/>
          <w:highlight w:val="none"/>
        </w:rPr>
        <w:br w:type="page" w:clear="all"/>
      </w:r>
      <w:bookmarkStart w:id="747" w:name="_Toc288738397"/>
      <w:r/>
      <w:bookmarkStart w:id="748" w:name="_Toc288738839"/>
      <w:r>
        <w:rPr>
          <w:rFonts w:hint="eastAsia"/>
          <w:color w:val="auto"/>
          <w:sz w:val="24"/>
          <w:szCs w:val="20"/>
          <w:highlight w:val="none"/>
        </w:rPr>
        <w:t xml:space="preserve">16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7"/>
      <w:r/>
      <w:bookmarkEnd w:id="74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7</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3"/>
      <w:footerReference w:type="first" r:id="rId24"/>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egoe UI Symbol">
    <w:panose1 w:val="020B0502040204020203"/>
  </w:font>
  <w:font w:name="SimSun">
    <w:panose1 w:val="0201060003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rPr>
        <w:rStyle w:val="1298"/>
      </w:rPr>
      <w:framePr w:wrap="around" w:vAnchor="text" w:hAnchor="margin" w:xAlign="center" w:y="1"/>
    </w:pPr>
    <w:r>
      <w:fldChar w:fldCharType="begin"/>
    </w:r>
    <w:r>
      <w:rPr>
        <w:rStyle w:val="1298"/>
      </w:rPr>
      <w:instrText xml:space="preserve">PAGE  </w:instrText>
    </w:r>
    <w:r>
      <w:fldChar w:fldCharType="end"/>
    </w:r>
    <w:r/>
  </w:p>
  <w:p>
    <w:pPr>
      <w:pStyle w:val="127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153" w:leader="none"/>
        <w:tab w:val="clear" w:pos="7143" w:leader="none"/>
        <w:tab w:val="right" w:pos="8306" w:leader="none"/>
        <w:tab w:val="clear" w:pos="14287" w:leader="none"/>
      </w:tabs>
      <w:rPr>
        <w:rStyle w:val="1081"/>
      </w:rPr>
    </w:pPr>
    <w:r>
      <w:rPr>
        <w:rStyle w:val="1081"/>
      </w:rPr>
      <w:fldChar w:fldCharType="begin"/>
    </w:r>
    <w:r>
      <w:rPr>
        <w:rStyle w:val="1081"/>
      </w:rPr>
      <w:instrText xml:space="preserve">PAGE  </w:instrText>
    </w:r>
    <w:r>
      <w:rPr>
        <w:rStyle w:val="1081"/>
      </w:rPr>
      <w:fldChar w:fldCharType="end"/>
    </w:r>
    <w:r/>
  </w:p>
  <w:p>
    <w:pPr>
      <w:pStyle w:val="1065"/>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rPr>
        <w:rStyle w:val="1298"/>
      </w:rPr>
      <w:framePr w:wrap="around" w:vAnchor="text" w:hAnchor="margin" w:xAlign="right" w:y="1"/>
    </w:pPr>
    <w:r>
      <w:rPr>
        <w:rStyle w:val="1298"/>
      </w:rPr>
      <w:fldChar w:fldCharType="begin"/>
    </w:r>
    <w:r>
      <w:rPr>
        <w:rStyle w:val="1298"/>
      </w:rPr>
      <w:instrText xml:space="preserve">PAGE  </w:instrText>
    </w:r>
    <w:r>
      <w:rPr>
        <w:rStyle w:val="1298"/>
      </w:rPr>
      <w:fldChar w:fldCharType="end"/>
    </w:r>
    <w:r/>
  </w:p>
  <w:p>
    <w:pPr>
      <w:pStyle w:val="1278"/>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right"/>
      <w:pBdr>
        <w:bottom w:val="single" w:color="000000" w:sz="4" w:space="1"/>
      </w:pBdr>
    </w:pPr>
    <w:r>
      <w:rPr>
        <w:rFonts w:hint="eastAsia"/>
      </w:rPr>
      <w:t xml:space="preserve">常州市政府采购项目竞争性磋商文件</w:t>
    </w:r>
    <w:r/>
  </w:p>
  <w:p>
    <w:pPr>
      <w:pStyle w:val="1281"/>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right"/>
      <w:pBdr>
        <w:bottom w:val="single" w:color="000000" w:sz="4" w:space="1"/>
      </w:pBdr>
    </w:pPr>
    <w:r>
      <w:rPr>
        <w:rFonts w:hint="eastAsia"/>
      </w:rPr>
      <w:t xml:space="preserve">常州市政府采购项目竞争性磋商文件</w:t>
    </w:r>
    <w:r/>
  </w:p>
  <w:p>
    <w:pPr>
      <w:pStyle w:val="1281"/>
      <w:jc w:val="right"/>
      <w:rPr>
        <w:rFonts w:ascii="宋体" w:hAnsi="宋体"/>
      </w:rPr>
    </w:pPr>
    <w:r>
      <w:rPr>
        <w:rFonts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right"/>
      <w:pBdr>
        <w:bottom w:val="single" w:color="000000" w:sz="4" w:space="1"/>
      </w:pBdr>
    </w:pPr>
    <w:r>
      <w:rPr>
        <w:rFonts w:hint="eastAsia"/>
      </w:rPr>
      <w:t xml:space="preserve">常州市政府采购项目竞争性磋商文件</w:t>
    </w:r>
    <w:r/>
  </w:p>
  <w:p>
    <w:pPr>
      <w:pStyle w:val="12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8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3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32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2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6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6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3"/>
      <w:isLgl w:val="false"/>
      <w:suff w:val="nothing"/>
      <w:lvlText w:val="%1.%2.%3.%4.%5.%6　"/>
      <w:lvlJc w:val="left"/>
      <w:pPr>
        <w:ind w:left="-25" w:firstLine="0"/>
      </w:pPr>
      <w:rPr>
        <w:rFonts w:ascii="Times New Roman" w:hAnsi="Times New Roman" w:eastAsia="宋体"/>
        <w:b/>
        <w:i w:val="0"/>
        <w:sz w:val="28"/>
      </w:rPr>
    </w:lvl>
    <w:lvl w:ilvl="6">
      <w:start w:val="1"/>
      <w:numFmt w:val="lowerLetter"/>
      <w:pStyle w:val="138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lowerLetter"/>
      <w:pStyle w:val="140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34"/>
      <w:isLgl w:val="false"/>
      <w:suff w:val="tab"/>
      <w:lvlText w:val="%1"/>
      <w:lvlJc w:val="left"/>
      <w:pPr>
        <w:ind w:left="680" w:hanging="680"/>
      </w:pPr>
      <w:rPr>
        <w:rFonts w:hint="eastAsia" w:ascii="宋体" w:hAnsi="宋体" w:eastAsia="宋体"/>
      </w:rPr>
    </w:lvl>
    <w:lvl w:ilvl="1">
      <w:start w:val="1"/>
      <w:numFmt w:val="decimal"/>
      <w:pStyle w:val="1435"/>
      <w:isLgl w:val="false"/>
      <w:suff w:val="tab"/>
      <w:lvlText w:val="%1.%2"/>
      <w:lvlJc w:val="left"/>
      <w:pPr>
        <w:ind w:left="851" w:hanging="851"/>
      </w:pPr>
      <w:rPr>
        <w:rFonts w:hint="eastAsia" w:ascii="宋体" w:hAnsi="宋体" w:eastAsia="宋体"/>
        <w:color w:val="000000"/>
      </w:rPr>
    </w:lvl>
    <w:lvl w:ilvl="2">
      <w:start w:val="1"/>
      <w:numFmt w:val="decimal"/>
      <w:pStyle w:val="143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3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3"/>
  </w:num>
  <w:num w:numId="3">
    <w:abstractNumId w:val="10"/>
  </w:num>
  <w:num w:numId="4">
    <w:abstractNumId w:val="2"/>
  </w:num>
  <w:num w:numId="5">
    <w:abstractNumId w:val="1"/>
  </w:num>
  <w:num w:numId="6">
    <w:abstractNumId w:val="7"/>
  </w:num>
  <w:num w:numId="7">
    <w:abstractNumId w:val="8"/>
  </w:num>
  <w:num w:numId="8">
    <w:abstractNumId w:val="5"/>
  </w:num>
  <w:num w:numId="9">
    <w:abstractNumId w:val="9"/>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4">
    <w:name w:val="Heading 1 Char"/>
    <w:basedOn w:val="1051"/>
    <w:link w:val="1042"/>
    <w:uiPriority w:val="9"/>
    <w:rPr>
      <w:rFonts w:ascii="Arial" w:hAnsi="Arial" w:eastAsia="Arial" w:cs="Arial"/>
      <w:sz w:val="40"/>
      <w:szCs w:val="40"/>
    </w:rPr>
  </w:style>
  <w:style w:type="character" w:styleId="1005">
    <w:name w:val="Heading 2 Char"/>
    <w:basedOn w:val="1051"/>
    <w:link w:val="1043"/>
    <w:uiPriority w:val="9"/>
    <w:rPr>
      <w:rFonts w:ascii="Arial" w:hAnsi="Arial" w:eastAsia="Arial" w:cs="Arial"/>
      <w:sz w:val="34"/>
    </w:rPr>
  </w:style>
  <w:style w:type="character" w:styleId="1006">
    <w:name w:val="Heading 3 Char"/>
    <w:basedOn w:val="1051"/>
    <w:link w:val="1044"/>
    <w:uiPriority w:val="9"/>
    <w:rPr>
      <w:rFonts w:ascii="Arial" w:hAnsi="Arial" w:eastAsia="Arial" w:cs="Arial"/>
      <w:sz w:val="30"/>
      <w:szCs w:val="30"/>
    </w:rPr>
  </w:style>
  <w:style w:type="character" w:styleId="1007">
    <w:name w:val="Heading 4 Char"/>
    <w:basedOn w:val="1051"/>
    <w:link w:val="1045"/>
    <w:uiPriority w:val="9"/>
    <w:rPr>
      <w:rFonts w:ascii="Arial" w:hAnsi="Arial" w:eastAsia="Arial" w:cs="Arial"/>
      <w:b/>
      <w:bCs/>
      <w:sz w:val="26"/>
      <w:szCs w:val="26"/>
    </w:rPr>
  </w:style>
  <w:style w:type="character" w:styleId="1008">
    <w:name w:val="Heading 5 Char"/>
    <w:basedOn w:val="1051"/>
    <w:link w:val="1046"/>
    <w:uiPriority w:val="9"/>
    <w:rPr>
      <w:rFonts w:ascii="Arial" w:hAnsi="Arial" w:eastAsia="Arial" w:cs="Arial"/>
      <w:b/>
      <w:bCs/>
      <w:sz w:val="24"/>
      <w:szCs w:val="24"/>
    </w:rPr>
  </w:style>
  <w:style w:type="character" w:styleId="1009">
    <w:name w:val="Heading 6 Char"/>
    <w:basedOn w:val="1051"/>
    <w:link w:val="1047"/>
    <w:uiPriority w:val="9"/>
    <w:rPr>
      <w:rFonts w:ascii="Arial" w:hAnsi="Arial" w:eastAsia="Arial" w:cs="Arial"/>
      <w:b/>
      <w:bCs/>
      <w:sz w:val="22"/>
      <w:szCs w:val="22"/>
    </w:rPr>
  </w:style>
  <w:style w:type="character" w:styleId="1010">
    <w:name w:val="Heading 7 Char"/>
    <w:basedOn w:val="1051"/>
    <w:link w:val="1048"/>
    <w:uiPriority w:val="9"/>
    <w:rPr>
      <w:rFonts w:ascii="Arial" w:hAnsi="Arial" w:eastAsia="Arial" w:cs="Arial"/>
      <w:b/>
      <w:bCs/>
      <w:i/>
      <w:iCs/>
      <w:sz w:val="22"/>
      <w:szCs w:val="22"/>
    </w:rPr>
  </w:style>
  <w:style w:type="character" w:styleId="1011">
    <w:name w:val="Heading 8 Char"/>
    <w:basedOn w:val="1051"/>
    <w:link w:val="1049"/>
    <w:uiPriority w:val="9"/>
    <w:rPr>
      <w:rFonts w:ascii="Arial" w:hAnsi="Arial" w:eastAsia="Arial" w:cs="Arial"/>
      <w:i/>
      <w:iCs/>
      <w:sz w:val="22"/>
      <w:szCs w:val="22"/>
    </w:rPr>
  </w:style>
  <w:style w:type="character" w:styleId="1012">
    <w:name w:val="Heading 9 Char"/>
    <w:basedOn w:val="1051"/>
    <w:link w:val="1050"/>
    <w:uiPriority w:val="9"/>
    <w:rPr>
      <w:rFonts w:ascii="Arial" w:hAnsi="Arial" w:eastAsia="Arial" w:cs="Arial"/>
      <w:i/>
      <w:iCs/>
      <w:sz w:val="21"/>
      <w:szCs w:val="21"/>
    </w:rPr>
  </w:style>
  <w:style w:type="character" w:styleId="1013">
    <w:name w:val="Title Char"/>
    <w:basedOn w:val="1051"/>
    <w:link w:val="1076"/>
    <w:uiPriority w:val="10"/>
    <w:rPr>
      <w:sz w:val="48"/>
      <w:szCs w:val="48"/>
    </w:rPr>
  </w:style>
  <w:style w:type="character" w:styleId="1014">
    <w:name w:val="Subtitle Char"/>
    <w:basedOn w:val="1051"/>
    <w:link w:val="1069"/>
    <w:uiPriority w:val="11"/>
    <w:rPr>
      <w:sz w:val="24"/>
      <w:szCs w:val="24"/>
    </w:rPr>
  </w:style>
  <w:style w:type="character" w:styleId="1015">
    <w:name w:val="Quote Char"/>
    <w:link w:val="1100"/>
    <w:uiPriority w:val="29"/>
    <w:rPr>
      <w:i/>
    </w:rPr>
  </w:style>
  <w:style w:type="character" w:styleId="1016">
    <w:name w:val="Intense Quote Char"/>
    <w:link w:val="1102"/>
    <w:uiPriority w:val="30"/>
    <w:rPr>
      <w:i/>
    </w:rPr>
  </w:style>
  <w:style w:type="character" w:styleId="1017">
    <w:name w:val="Header Char"/>
    <w:basedOn w:val="1051"/>
    <w:link w:val="1066"/>
    <w:uiPriority w:val="99"/>
  </w:style>
  <w:style w:type="character" w:styleId="1018">
    <w:name w:val="Caption Char"/>
    <w:basedOn w:val="1055"/>
    <w:link w:val="1065"/>
    <w:uiPriority w:val="99"/>
  </w:style>
  <w:style w:type="table" w:styleId="101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5">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6">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8">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0">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1">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3">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38">
    <w:name w:val="Footnote Text Char"/>
    <w:link w:val="1070"/>
    <w:uiPriority w:val="99"/>
    <w:rPr>
      <w:sz w:val="18"/>
    </w:rPr>
  </w:style>
  <w:style w:type="character" w:styleId="1039">
    <w:name w:val="Endnote Text Char"/>
    <w:link w:val="1064"/>
    <w:uiPriority w:val="99"/>
    <w:rPr>
      <w:sz w:val="20"/>
    </w:rPr>
  </w:style>
  <w:style w:type="paragraph" w:styleId="1040">
    <w:name w:val="TOC Heading"/>
    <w:uiPriority w:val="39"/>
    <w:unhideWhenUsed/>
  </w:style>
  <w:style w:type="paragraph" w:styleId="10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087"/>
    <w:uiPriority w:val="9"/>
    <w:qFormat/>
    <w:pPr>
      <w:keepLines/>
      <w:keepNext/>
      <w:spacing w:before="480" w:after="200"/>
      <w:outlineLvl w:val="0"/>
    </w:pPr>
    <w:rPr>
      <w:rFonts w:ascii="Arial" w:hAnsi="Arial" w:eastAsia="Arial" w:cs="Arial"/>
      <w:sz w:val="40"/>
      <w:szCs w:val="40"/>
    </w:rPr>
  </w:style>
  <w:style w:type="paragraph" w:styleId="1043">
    <w:name w:val="Heading 2"/>
    <w:basedOn w:val="1041"/>
    <w:next w:val="1053"/>
    <w:link w:val="1088"/>
    <w:uiPriority w:val="9"/>
    <w:unhideWhenUsed/>
    <w:qFormat/>
    <w:pPr>
      <w:keepLines/>
      <w:keepNext/>
      <w:spacing w:before="360" w:after="200"/>
      <w:outlineLvl w:val="1"/>
    </w:pPr>
    <w:rPr>
      <w:rFonts w:ascii="Arial" w:hAnsi="Arial" w:eastAsia="Arial" w:cs="Arial"/>
      <w:sz w:val="34"/>
    </w:rPr>
  </w:style>
  <w:style w:type="paragraph" w:styleId="1044">
    <w:name w:val="Heading 3"/>
    <w:basedOn w:val="1041"/>
    <w:next w:val="1041"/>
    <w:link w:val="1089"/>
    <w:uiPriority w:val="9"/>
    <w:unhideWhenUsed/>
    <w:qFormat/>
    <w:pPr>
      <w:keepLines/>
      <w:keepNext/>
      <w:spacing w:before="320" w:after="200"/>
      <w:outlineLvl w:val="2"/>
    </w:pPr>
    <w:rPr>
      <w:rFonts w:ascii="Arial" w:hAnsi="Arial" w:eastAsia="Arial" w:cs="Arial"/>
      <w:sz w:val="30"/>
      <w:szCs w:val="30"/>
    </w:rPr>
  </w:style>
  <w:style w:type="paragraph" w:styleId="1045">
    <w:name w:val="Heading 4"/>
    <w:basedOn w:val="1041"/>
    <w:next w:val="1041"/>
    <w:link w:val="1090"/>
    <w:uiPriority w:val="9"/>
    <w:unhideWhenUsed/>
    <w:qFormat/>
    <w:pPr>
      <w:keepLines/>
      <w:keepNext/>
      <w:spacing w:before="320" w:after="200"/>
      <w:outlineLvl w:val="3"/>
    </w:pPr>
    <w:rPr>
      <w:rFonts w:ascii="Arial" w:hAnsi="Arial" w:eastAsia="Arial" w:cs="Arial"/>
      <w:b/>
      <w:bCs/>
      <w:sz w:val="26"/>
      <w:szCs w:val="26"/>
    </w:rPr>
  </w:style>
  <w:style w:type="paragraph" w:styleId="1046">
    <w:name w:val="Heading 5"/>
    <w:basedOn w:val="1041"/>
    <w:next w:val="1041"/>
    <w:link w:val="1091"/>
    <w:uiPriority w:val="9"/>
    <w:unhideWhenUsed/>
    <w:qFormat/>
    <w:pPr>
      <w:keepLines/>
      <w:keepNext/>
      <w:spacing w:before="320" w:after="200"/>
      <w:outlineLvl w:val="4"/>
    </w:pPr>
    <w:rPr>
      <w:rFonts w:ascii="Arial" w:hAnsi="Arial" w:eastAsia="Arial" w:cs="Arial"/>
      <w:b/>
      <w:bCs/>
      <w:sz w:val="24"/>
    </w:rPr>
  </w:style>
  <w:style w:type="paragraph" w:styleId="1047">
    <w:name w:val="Heading 6"/>
    <w:basedOn w:val="1041"/>
    <w:next w:val="1041"/>
    <w:link w:val="1092"/>
    <w:uiPriority w:val="9"/>
    <w:unhideWhenUsed/>
    <w:qFormat/>
    <w:pPr>
      <w:keepLines/>
      <w:keepNext/>
      <w:spacing w:before="320" w:after="200"/>
      <w:outlineLvl w:val="5"/>
    </w:pPr>
    <w:rPr>
      <w:rFonts w:ascii="Arial" w:hAnsi="Arial" w:eastAsia="Arial" w:cs="Arial"/>
      <w:b/>
      <w:bCs/>
      <w:sz w:val="22"/>
      <w:szCs w:val="22"/>
    </w:rPr>
  </w:style>
  <w:style w:type="paragraph" w:styleId="1048">
    <w:name w:val="Heading 7"/>
    <w:basedOn w:val="1041"/>
    <w:next w:val="1041"/>
    <w:link w:val="1093"/>
    <w:uiPriority w:val="9"/>
    <w:unhideWhenUsed/>
    <w:qFormat/>
    <w:pPr>
      <w:keepLines/>
      <w:keepNext/>
      <w:spacing w:before="320" w:after="200"/>
      <w:outlineLvl w:val="6"/>
    </w:pPr>
    <w:rPr>
      <w:rFonts w:ascii="Arial" w:hAnsi="Arial" w:eastAsia="Arial" w:cs="Arial"/>
      <w:b/>
      <w:bCs/>
      <w:i/>
      <w:iCs/>
      <w:sz w:val="22"/>
      <w:szCs w:val="22"/>
    </w:rPr>
  </w:style>
  <w:style w:type="paragraph" w:styleId="1049">
    <w:name w:val="Heading 8"/>
    <w:basedOn w:val="1041"/>
    <w:next w:val="1041"/>
    <w:link w:val="1094"/>
    <w:uiPriority w:val="9"/>
    <w:unhideWhenUsed/>
    <w:qFormat/>
    <w:pPr>
      <w:keepLines/>
      <w:keepNext/>
      <w:spacing w:before="320" w:after="200"/>
      <w:outlineLvl w:val="7"/>
    </w:pPr>
    <w:rPr>
      <w:rFonts w:ascii="Arial" w:hAnsi="Arial" w:eastAsia="Arial" w:cs="Arial"/>
      <w:i/>
      <w:iCs/>
      <w:sz w:val="22"/>
      <w:szCs w:val="22"/>
    </w:rPr>
  </w:style>
  <w:style w:type="paragraph" w:styleId="1050">
    <w:name w:val="Heading 9"/>
    <w:basedOn w:val="1041"/>
    <w:next w:val="1041"/>
    <w:link w:val="1095"/>
    <w:uiPriority w:val="9"/>
    <w:unhideWhenUsed/>
    <w:qFormat/>
    <w:pPr>
      <w:keepLines/>
      <w:keepNext/>
      <w:spacing w:before="320" w:after="200"/>
      <w:outlineLvl w:val="8"/>
    </w:pPr>
    <w:rPr>
      <w:rFonts w:ascii="Arial" w:hAnsi="Arial" w:eastAsia="Arial" w:cs="Arial"/>
      <w:i/>
      <w:iCs/>
      <w:szCs w:val="21"/>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Normal Indent"/>
    <w:basedOn w:val="1041"/>
    <w:uiPriority w:val="0"/>
    <w:qFormat/>
    <w:pPr>
      <w:ind w:firstLine="420"/>
      <w:jc w:val="left"/>
    </w:pPr>
    <w:rPr>
      <w:rFonts w:ascii="宋体" w:hAnsiTheme="minorHAnsi" w:cstheme="minorBidi"/>
      <w:sz w:val="24"/>
    </w:rPr>
  </w:style>
  <w:style w:type="paragraph" w:styleId="1054">
    <w:name w:val="toc 7"/>
    <w:basedOn w:val="1041"/>
    <w:next w:val="1041"/>
    <w:uiPriority w:val="0"/>
    <w:qFormat/>
    <w:pPr>
      <w:ind w:left="2520"/>
    </w:pPr>
  </w:style>
  <w:style w:type="paragraph" w:styleId="1055">
    <w:name w:val="Caption"/>
    <w:basedOn w:val="1041"/>
    <w:next w:val="10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56">
    <w:name w:val="annotation text"/>
    <w:basedOn w:val="1041"/>
    <w:uiPriority w:val="99"/>
    <w:unhideWhenUsed/>
    <w:qFormat/>
    <w:pPr>
      <w:jc w:val="left"/>
    </w:pPr>
  </w:style>
  <w:style w:type="paragraph" w:styleId="1057">
    <w:name w:val="Body Text"/>
    <w:basedOn w:val="1041"/>
    <w:uiPriority w:val="0"/>
    <w:semiHidden/>
    <w:qFormat/>
    <w:rPr>
      <w:rFonts w:ascii="Arial" w:hAnsi="Arial" w:eastAsia="Arial" w:cs="Arial"/>
      <w:szCs w:val="21"/>
      <w:lang w:eastAsia="en-US"/>
    </w:rPr>
  </w:style>
  <w:style w:type="paragraph" w:styleId="1058">
    <w:name w:val="Body Text Indent"/>
    <w:basedOn w:val="1041"/>
    <w:next w:val="1059"/>
    <w:uiPriority w:val="0"/>
    <w:qFormat/>
    <w:pPr>
      <w:ind w:firstLine="560"/>
      <w:spacing w:line="360" w:lineRule="auto"/>
    </w:pPr>
    <w:rPr>
      <w:sz w:val="24"/>
    </w:rPr>
  </w:style>
  <w:style w:type="paragraph" w:styleId="1059">
    <w:name w:val="envelope return"/>
    <w:basedOn w:val="1041"/>
    <w:uiPriority w:val="0"/>
    <w:qFormat/>
    <w:rPr>
      <w:rFonts w:ascii="Arial" w:hAnsi="Arial"/>
    </w:rPr>
  </w:style>
  <w:style w:type="paragraph" w:styleId="1060">
    <w:name w:val="toc 5"/>
    <w:basedOn w:val="1041"/>
    <w:next w:val="1041"/>
    <w:uiPriority w:val="0"/>
    <w:qFormat/>
    <w:pPr>
      <w:ind w:left="1680"/>
    </w:pPr>
  </w:style>
  <w:style w:type="paragraph" w:styleId="1061">
    <w:name w:val="toc 3"/>
    <w:basedOn w:val="1041"/>
    <w:next w:val="1041"/>
    <w:uiPriority w:val="39"/>
    <w:qFormat/>
    <w:pPr>
      <w:ind w:left="840"/>
    </w:pPr>
  </w:style>
  <w:style w:type="paragraph" w:styleId="1062">
    <w:name w:val="Plain Text"/>
    <w:basedOn w:val="1041"/>
    <w:uiPriority w:val="0"/>
    <w:qFormat/>
    <w:rPr>
      <w:rFonts w:hint="eastAsia" w:ascii="宋体" w:hAnsi="Courier New" w:cs="宋体"/>
      <w:szCs w:val="22"/>
    </w:rPr>
  </w:style>
  <w:style w:type="paragraph" w:styleId="1063">
    <w:name w:val="toc 8"/>
    <w:basedOn w:val="1041"/>
    <w:next w:val="1041"/>
    <w:uiPriority w:val="0"/>
    <w:qFormat/>
    <w:pPr>
      <w:ind w:left="2940"/>
    </w:pPr>
  </w:style>
  <w:style w:type="paragraph" w:styleId="1064">
    <w:name w:val="endnote text"/>
    <w:basedOn w:val="1041"/>
    <w:link w:val="1233"/>
    <w:uiPriority w:val="99"/>
    <w:semiHidden/>
    <w:unhideWhenUsed/>
    <w:qFormat/>
    <w:rPr>
      <w:sz w:val="20"/>
    </w:rPr>
  </w:style>
  <w:style w:type="paragraph" w:styleId="1065">
    <w:name w:val="Footer"/>
    <w:basedOn w:val="1041"/>
    <w:link w:val="1106"/>
    <w:uiPriority w:val="99"/>
    <w:unhideWhenUsed/>
    <w:qFormat/>
    <w:pPr>
      <w:tabs>
        <w:tab w:val="center" w:pos="7143" w:leader="none"/>
        <w:tab w:val="right" w:pos="14287" w:leader="none"/>
      </w:tabs>
    </w:pPr>
  </w:style>
  <w:style w:type="paragraph" w:styleId="1066">
    <w:name w:val="Header"/>
    <w:basedOn w:val="1041"/>
    <w:link w:val="1104"/>
    <w:uiPriority w:val="99"/>
    <w:unhideWhenUsed/>
    <w:qFormat/>
    <w:pPr>
      <w:tabs>
        <w:tab w:val="center" w:pos="7143" w:leader="none"/>
        <w:tab w:val="right" w:pos="14287" w:leader="none"/>
      </w:tabs>
    </w:pPr>
  </w:style>
  <w:style w:type="paragraph" w:styleId="1067">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68">
    <w:name w:val="toc 4"/>
    <w:basedOn w:val="1041"/>
    <w:next w:val="1041"/>
    <w:uiPriority w:val="0"/>
    <w:qFormat/>
    <w:pPr>
      <w:ind w:left="1260"/>
    </w:pPr>
  </w:style>
  <w:style w:type="paragraph" w:styleId="1069">
    <w:name w:val="Subtitle"/>
    <w:basedOn w:val="1041"/>
    <w:next w:val="1041"/>
    <w:link w:val="1099"/>
    <w:uiPriority w:val="11"/>
    <w:qFormat/>
    <w:pPr>
      <w:spacing w:before="200" w:after="200"/>
    </w:pPr>
    <w:rPr>
      <w:sz w:val="24"/>
    </w:rPr>
  </w:style>
  <w:style w:type="paragraph" w:styleId="1070">
    <w:name w:val="footnote text"/>
    <w:basedOn w:val="1041"/>
    <w:link w:val="1232"/>
    <w:uiPriority w:val="99"/>
    <w:semiHidden/>
    <w:unhideWhenUsed/>
    <w:qFormat/>
    <w:pPr>
      <w:spacing w:after="40"/>
    </w:pPr>
    <w:rPr>
      <w:sz w:val="18"/>
    </w:rPr>
  </w:style>
  <w:style w:type="paragraph" w:styleId="1071">
    <w:name w:val="toc 6"/>
    <w:basedOn w:val="1041"/>
    <w:next w:val="1041"/>
    <w:uiPriority w:val="0"/>
    <w:qFormat/>
    <w:pPr>
      <w:ind w:left="2100"/>
    </w:pPr>
  </w:style>
  <w:style w:type="paragraph" w:styleId="1072">
    <w:name w:val="table of figures"/>
    <w:basedOn w:val="1041"/>
    <w:next w:val="1041"/>
    <w:uiPriority w:val="99"/>
    <w:unhideWhenUsed/>
    <w:qFormat/>
  </w:style>
  <w:style w:type="paragraph" w:styleId="1073">
    <w:name w:val="toc 2"/>
    <w:basedOn w:val="1041"/>
    <w:next w:val="1041"/>
    <w:uiPriority w:val="39"/>
    <w:qFormat/>
    <w:pPr>
      <w:ind w:left="420"/>
      <w:spacing w:line="312" w:lineRule="auto"/>
      <w:tabs>
        <w:tab w:val="right" w:pos="8937" w:leader="dot"/>
      </w:tabs>
    </w:pPr>
  </w:style>
  <w:style w:type="paragraph" w:styleId="1074">
    <w:name w:val="toc 9"/>
    <w:basedOn w:val="1041"/>
    <w:next w:val="1041"/>
    <w:uiPriority w:val="0"/>
    <w:qFormat/>
    <w:pPr>
      <w:ind w:left="3360"/>
    </w:pPr>
  </w:style>
  <w:style w:type="paragraph" w:styleId="1075">
    <w:name w:val="Normal (Web)"/>
    <w:basedOn w:val="1041"/>
    <w:uiPriority w:val="0"/>
    <w:qFormat/>
    <w:rPr>
      <w:sz w:val="24"/>
    </w:rPr>
  </w:style>
  <w:style w:type="paragraph" w:styleId="1076">
    <w:name w:val="Title"/>
    <w:basedOn w:val="1041"/>
    <w:next w:val="1041"/>
    <w:link w:val="1098"/>
    <w:uiPriority w:val="10"/>
    <w:qFormat/>
    <w:pPr>
      <w:contextualSpacing/>
      <w:spacing w:before="300" w:after="200"/>
    </w:pPr>
    <w:rPr>
      <w:sz w:val="48"/>
      <w:szCs w:val="48"/>
    </w:rPr>
  </w:style>
  <w:style w:type="paragraph" w:styleId="1077">
    <w:name w:val="Body Text First Indent"/>
    <w:basedOn w:val="1057"/>
    <w:uiPriority w:val="99"/>
    <w:unhideWhenUsed/>
    <w:qFormat/>
    <w:pPr>
      <w:ind w:firstLine="420"/>
      <w:tabs>
        <w:tab w:val="left" w:pos="567" w:leader="none"/>
      </w:tabs>
    </w:pPr>
    <w:rPr>
      <w:rFonts w:ascii="Times New Roman" w:hAnsi="Times New Roman"/>
    </w:rPr>
  </w:style>
  <w:style w:type="paragraph" w:styleId="1078">
    <w:name w:val="Body Text First Indent 2"/>
    <w:basedOn w:val="1058"/>
    <w:uiPriority w:val="0"/>
    <w:qFormat/>
    <w:pPr>
      <w:ind w:left="420" w:firstLine="420"/>
      <w:spacing w:after="120" w:line="480" w:lineRule="exact"/>
    </w:pPr>
    <w:rPr>
      <w:szCs w:val="20"/>
    </w:rPr>
  </w:style>
  <w:style w:type="table" w:styleId="10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0">
    <w:name w:val="endnote reference"/>
    <w:uiPriority w:val="99"/>
    <w:semiHidden/>
    <w:unhideWhenUsed/>
    <w:qFormat/>
    <w:rPr>
      <w:vertAlign w:val="superscript"/>
    </w:rPr>
  </w:style>
  <w:style w:type="character" w:styleId="1081">
    <w:name w:val="page number"/>
    <w:basedOn w:val="1051"/>
    <w:uiPriority w:val="0"/>
    <w:qFormat/>
  </w:style>
  <w:style w:type="character" w:styleId="1082">
    <w:name w:val="Hyperlink"/>
    <w:uiPriority w:val="99"/>
    <w:unhideWhenUsed/>
    <w:qFormat/>
    <w:rPr>
      <w:color w:val="0000ff" w:themeColor="hyperlink"/>
      <w:u w:val="single"/>
      <w14:textFill>
        <w14:solidFill>
          <w14:schemeClr w14:val="hlink"/>
        </w14:solidFill>
      </w14:textFill>
    </w:rPr>
  </w:style>
  <w:style w:type="character" w:styleId="1083">
    <w:name w:val="annotation reference"/>
    <w:basedOn w:val="1051"/>
    <w:uiPriority w:val="99"/>
    <w:semiHidden/>
    <w:unhideWhenUsed/>
    <w:rPr>
      <w:sz w:val="21"/>
      <w:szCs w:val="21"/>
    </w:rPr>
  </w:style>
  <w:style w:type="character" w:styleId="1084">
    <w:name w:val="footnote reference"/>
    <w:uiPriority w:val="99"/>
    <w:unhideWhenUsed/>
    <w:qFormat/>
    <w:rPr>
      <w:vertAlign w:val="superscript"/>
    </w:rPr>
  </w:style>
  <w:style w:type="paragraph" w:styleId="1085" w:customStyle="1">
    <w:name w:val="Default"/>
    <w:next w:val="1041"/>
    <w:uiPriority w:val="0"/>
    <w:qFormat/>
    <w:pPr>
      <w:widowControl w:val="off"/>
    </w:pPr>
    <w:rPr>
      <w:rFonts w:ascii="Symbol" w:hAnsi="Symbol" w:eastAsia="宋体" w:cs="Symbol"/>
      <w:color w:val="000000"/>
      <w:sz w:val="24"/>
      <w:szCs w:val="24"/>
      <w:lang w:val="en-US" w:eastAsia="zh-CN" w:bidi="ar-SA"/>
    </w:rPr>
  </w:style>
  <w:style w:type="paragraph" w:styleId="1086" w:customStyle="1">
    <w:name w:val="目录 11"/>
    <w:basedOn w:val="1041"/>
    <w:next w:val="1041"/>
    <w:uiPriority w:val="39"/>
    <w:unhideWhenUsed/>
    <w:qFormat/>
    <w:pPr>
      <w:jc w:val="left"/>
      <w:spacing w:after="100" w:line="259" w:lineRule="auto"/>
      <w:widowControl/>
    </w:pPr>
    <w:rPr>
      <w:rFonts w:ascii="Calibri" w:hAnsi="Calibri"/>
      <w:sz w:val="22"/>
      <w:szCs w:val="22"/>
    </w:rPr>
  </w:style>
  <w:style w:type="character" w:styleId="1087" w:customStyle="1">
    <w:name w:val="标题 1 Char"/>
    <w:link w:val="1042"/>
    <w:uiPriority w:val="9"/>
    <w:qFormat/>
    <w:rPr>
      <w:rFonts w:ascii="Arial" w:hAnsi="Arial" w:eastAsia="Arial" w:cs="Arial"/>
      <w:sz w:val="40"/>
      <w:szCs w:val="40"/>
    </w:rPr>
  </w:style>
  <w:style w:type="character" w:styleId="1088" w:customStyle="1">
    <w:name w:val="标题 2 Char2"/>
    <w:link w:val="1043"/>
    <w:uiPriority w:val="9"/>
    <w:qFormat/>
    <w:rPr>
      <w:rFonts w:ascii="Arial" w:hAnsi="Arial" w:eastAsia="Arial" w:cs="Arial"/>
      <w:sz w:val="34"/>
    </w:rPr>
  </w:style>
  <w:style w:type="character" w:styleId="1089" w:customStyle="1">
    <w:name w:val="标题 3 Char1"/>
    <w:link w:val="1044"/>
    <w:uiPriority w:val="9"/>
    <w:qFormat/>
    <w:rPr>
      <w:rFonts w:ascii="Arial" w:hAnsi="Arial" w:eastAsia="Arial" w:cs="Arial"/>
      <w:sz w:val="30"/>
      <w:szCs w:val="30"/>
    </w:rPr>
  </w:style>
  <w:style w:type="character" w:styleId="1090" w:customStyle="1">
    <w:name w:val="标题 4 Char"/>
    <w:link w:val="1045"/>
    <w:uiPriority w:val="9"/>
    <w:qFormat/>
    <w:rPr>
      <w:rFonts w:ascii="Arial" w:hAnsi="Arial" w:eastAsia="Arial" w:cs="Arial"/>
      <w:b/>
      <w:bCs/>
      <w:sz w:val="26"/>
      <w:szCs w:val="26"/>
    </w:rPr>
  </w:style>
  <w:style w:type="character" w:styleId="1091" w:customStyle="1">
    <w:name w:val="标题 5 Char"/>
    <w:link w:val="1046"/>
    <w:uiPriority w:val="9"/>
    <w:qFormat/>
    <w:rPr>
      <w:rFonts w:ascii="Arial" w:hAnsi="Arial" w:eastAsia="Arial" w:cs="Arial"/>
      <w:b/>
      <w:bCs/>
      <w:sz w:val="24"/>
      <w:szCs w:val="24"/>
    </w:rPr>
  </w:style>
  <w:style w:type="character" w:styleId="1092" w:customStyle="1">
    <w:name w:val="标题 6 Char"/>
    <w:link w:val="1047"/>
    <w:uiPriority w:val="9"/>
    <w:qFormat/>
    <w:rPr>
      <w:rFonts w:ascii="Arial" w:hAnsi="Arial" w:eastAsia="Arial" w:cs="Arial"/>
      <w:b/>
      <w:bCs/>
      <w:sz w:val="22"/>
      <w:szCs w:val="22"/>
    </w:rPr>
  </w:style>
  <w:style w:type="character" w:styleId="1093" w:customStyle="1">
    <w:name w:val="标题 7 Char"/>
    <w:link w:val="1048"/>
    <w:uiPriority w:val="9"/>
    <w:qFormat/>
    <w:rPr>
      <w:rFonts w:ascii="Arial" w:hAnsi="Arial" w:eastAsia="Arial" w:cs="Arial"/>
      <w:b/>
      <w:bCs/>
      <w:i/>
      <w:iCs/>
      <w:sz w:val="22"/>
      <w:szCs w:val="22"/>
    </w:rPr>
  </w:style>
  <w:style w:type="character" w:styleId="1094" w:customStyle="1">
    <w:name w:val="标题 8 Char"/>
    <w:link w:val="1049"/>
    <w:uiPriority w:val="9"/>
    <w:qFormat/>
    <w:rPr>
      <w:rFonts w:ascii="Arial" w:hAnsi="Arial" w:eastAsia="Arial" w:cs="Arial"/>
      <w:i/>
      <w:iCs/>
      <w:sz w:val="22"/>
      <w:szCs w:val="22"/>
    </w:rPr>
  </w:style>
  <w:style w:type="character" w:styleId="1095" w:customStyle="1">
    <w:name w:val="标题 9 Char"/>
    <w:link w:val="1050"/>
    <w:uiPriority w:val="9"/>
    <w:qFormat/>
    <w:rPr>
      <w:rFonts w:ascii="Arial" w:hAnsi="Arial" w:eastAsia="Arial" w:cs="Arial"/>
      <w:i/>
      <w:iCs/>
      <w:sz w:val="21"/>
      <w:szCs w:val="21"/>
    </w:rPr>
  </w:style>
  <w:style w:type="paragraph" w:styleId="1096">
    <w:name w:val="List Paragraph"/>
    <w:basedOn w:val="1041"/>
    <w:uiPriority w:val="34"/>
    <w:qFormat/>
    <w:pPr>
      <w:contextualSpacing/>
      <w:ind w:left="720"/>
    </w:pPr>
  </w:style>
  <w:style w:type="paragraph" w:styleId="1097">
    <w:name w:val="No Spacing"/>
    <w:uiPriority w:val="1"/>
    <w:qFormat/>
    <w:rPr>
      <w:rFonts w:ascii="Times New Roman" w:hAnsi="Times New Roman" w:eastAsia="宋体" w:cs="Times New Roman"/>
      <w:lang w:val="en-US" w:eastAsia="zh-CN" w:bidi="ar-SA"/>
    </w:rPr>
  </w:style>
  <w:style w:type="character" w:styleId="1098" w:customStyle="1">
    <w:name w:val="标题 Char1"/>
    <w:link w:val="1076"/>
    <w:uiPriority w:val="10"/>
    <w:qFormat/>
    <w:rPr>
      <w:sz w:val="48"/>
      <w:szCs w:val="48"/>
    </w:rPr>
  </w:style>
  <w:style w:type="character" w:styleId="1099" w:customStyle="1">
    <w:name w:val="副标题 Char"/>
    <w:link w:val="1069"/>
    <w:uiPriority w:val="11"/>
    <w:qFormat/>
    <w:rPr>
      <w:sz w:val="24"/>
      <w:szCs w:val="24"/>
    </w:rPr>
  </w:style>
  <w:style w:type="paragraph" w:styleId="1100">
    <w:name w:val="Quote"/>
    <w:basedOn w:val="1041"/>
    <w:next w:val="1041"/>
    <w:link w:val="1101"/>
    <w:uiPriority w:val="29"/>
    <w:qFormat/>
    <w:pPr>
      <w:ind w:left="720" w:right="720"/>
    </w:pPr>
    <w:rPr>
      <w:i/>
    </w:rPr>
  </w:style>
  <w:style w:type="character" w:styleId="1101" w:customStyle="1">
    <w:name w:val="引用 Char"/>
    <w:link w:val="1100"/>
    <w:uiPriority w:val="29"/>
    <w:qFormat/>
    <w:rPr>
      <w:i/>
    </w:rPr>
  </w:style>
  <w:style w:type="paragraph" w:styleId="1102">
    <w:name w:val="Intense Quote"/>
    <w:basedOn w:val="1041"/>
    <w:next w:val="1041"/>
    <w:link w:val="11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3" w:customStyle="1">
    <w:name w:val="明显引用 Char"/>
    <w:link w:val="1102"/>
    <w:uiPriority w:val="30"/>
    <w:qFormat/>
    <w:rPr>
      <w:i/>
    </w:rPr>
  </w:style>
  <w:style w:type="character" w:styleId="1104" w:customStyle="1">
    <w:name w:val="页眉 Char1"/>
    <w:link w:val="1066"/>
    <w:uiPriority w:val="99"/>
    <w:qFormat/>
  </w:style>
  <w:style w:type="character" w:styleId="1105" w:customStyle="1">
    <w:name w:val="Footer Char"/>
    <w:uiPriority w:val="99"/>
    <w:qFormat/>
  </w:style>
  <w:style w:type="character" w:styleId="1106" w:customStyle="1">
    <w:name w:val="页脚 Char1"/>
    <w:link w:val="1065"/>
    <w:uiPriority w:val="99"/>
    <w:qFormat/>
  </w:style>
  <w:style w:type="table" w:styleId="11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2" w:customStyle="1">
    <w:name w:val="脚注文本 Char"/>
    <w:link w:val="1070"/>
    <w:uiPriority w:val="99"/>
    <w:qFormat/>
    <w:rPr>
      <w:sz w:val="18"/>
    </w:rPr>
  </w:style>
  <w:style w:type="character" w:styleId="1233" w:customStyle="1">
    <w:name w:val="尾注文本 Char"/>
    <w:link w:val="1064"/>
    <w:uiPriority w:val="99"/>
    <w:qFormat/>
    <w:rPr>
      <w:sz w:val="20"/>
    </w:rPr>
  </w:style>
  <w:style w:type="paragraph" w:styleId="1234" w:customStyle="1">
    <w:name w:val="TOC 标题1"/>
    <w:uiPriority w:val="39"/>
    <w:unhideWhenUsed/>
    <w:qFormat/>
    <w:rPr>
      <w:rFonts w:ascii="Times New Roman" w:hAnsi="Times New Roman" w:eastAsia="宋体" w:cs="Times New Roman"/>
      <w:lang w:val="en-US" w:eastAsia="zh-CN" w:bidi="ar-SA"/>
    </w:rPr>
  </w:style>
  <w:style w:type="paragraph" w:styleId="1235" w:customStyle="1">
    <w:name w:val="标题 11"/>
    <w:basedOn w:val="1041"/>
    <w:next w:val="1041"/>
    <w:link w:val="1247"/>
    <w:uiPriority w:val="0"/>
    <w:qFormat/>
    <w:pPr>
      <w:jc w:val="center"/>
      <w:keepLines/>
      <w:keepNext/>
      <w:spacing w:before="240" w:after="120" w:line="300" w:lineRule="auto"/>
      <w:outlineLvl w:val="0"/>
    </w:pPr>
    <w:rPr>
      <w:rFonts w:ascii="宋体"/>
      <w:b/>
      <w:sz w:val="32"/>
      <w:szCs w:val="20"/>
    </w:rPr>
  </w:style>
  <w:style w:type="paragraph" w:styleId="1236" w:customStyle="1">
    <w:name w:val="标题 21"/>
    <w:basedOn w:val="1041"/>
    <w:next w:val="1237"/>
    <w:link w:val="1248"/>
    <w:uiPriority w:val="0"/>
    <w:qFormat/>
    <w:pPr>
      <w:jc w:val="center"/>
      <w:keepLines/>
      <w:keepNext/>
      <w:spacing w:before="120" w:line="300" w:lineRule="auto"/>
      <w:outlineLvl w:val="1"/>
    </w:pPr>
    <w:rPr>
      <w:rFonts w:ascii="Arial" w:hAnsi="Arial" w:eastAsia="黑体"/>
      <w:b/>
      <w:sz w:val="30"/>
      <w:szCs w:val="20"/>
    </w:rPr>
  </w:style>
  <w:style w:type="paragraph" w:styleId="1237" w:customStyle="1">
    <w:name w:val="正文缩进11"/>
    <w:basedOn w:val="1041"/>
    <w:next w:val="1041"/>
    <w:link w:val="1249"/>
    <w:uiPriority w:val="0"/>
    <w:qFormat/>
    <w:pPr>
      <w:ind w:firstLine="420"/>
      <w:jc w:val="left"/>
    </w:pPr>
    <w:rPr>
      <w:rFonts w:ascii="宋体"/>
      <w:sz w:val="24"/>
    </w:rPr>
  </w:style>
  <w:style w:type="paragraph" w:styleId="1238" w:customStyle="1">
    <w:name w:val="标题 31"/>
    <w:basedOn w:val="1041"/>
    <w:next w:val="1237"/>
    <w:link w:val="1250"/>
    <w:uiPriority w:val="0"/>
    <w:qFormat/>
    <w:pPr>
      <w:jc w:val="left"/>
      <w:keepLines/>
      <w:keepNext/>
      <w:spacing w:before="360" w:after="120"/>
      <w:outlineLvl w:val="2"/>
    </w:pPr>
    <w:rPr>
      <w:rFonts w:ascii="宋体"/>
      <w:b/>
      <w:sz w:val="24"/>
      <w:szCs w:val="20"/>
      <w:u w:val="single"/>
    </w:rPr>
  </w:style>
  <w:style w:type="paragraph" w:styleId="1239" w:customStyle="1">
    <w:name w:val="标题 41"/>
    <w:basedOn w:val="1041"/>
    <w:next w:val="1041"/>
    <w:link w:val="1251"/>
    <w:uiPriority w:val="0"/>
    <w:qFormat/>
    <w:pPr>
      <w:keepLines/>
      <w:keepNext/>
      <w:spacing w:before="280" w:after="290" w:line="376" w:lineRule="atLeast"/>
      <w:outlineLvl w:val="3"/>
    </w:pPr>
    <w:rPr>
      <w:rFonts w:ascii="Arial" w:hAnsi="Arial" w:eastAsia="黑体"/>
      <w:b/>
      <w:sz w:val="28"/>
      <w:szCs w:val="20"/>
    </w:rPr>
  </w:style>
  <w:style w:type="paragraph" w:styleId="1240" w:customStyle="1">
    <w:name w:val="标题 51"/>
    <w:basedOn w:val="1041"/>
    <w:next w:val="1041"/>
    <w:link w:val="1252"/>
    <w:uiPriority w:val="0"/>
    <w:qFormat/>
    <w:pPr>
      <w:keepLines/>
      <w:keepNext/>
      <w:spacing w:before="280" w:after="290" w:line="376" w:lineRule="atLeast"/>
      <w:outlineLvl w:val="4"/>
    </w:pPr>
    <w:rPr>
      <w:b/>
      <w:sz w:val="28"/>
      <w:szCs w:val="20"/>
    </w:rPr>
  </w:style>
  <w:style w:type="paragraph" w:styleId="1241" w:customStyle="1">
    <w:name w:val="标题 61"/>
    <w:basedOn w:val="1041"/>
    <w:next w:val="1041"/>
    <w:link w:val="1253"/>
    <w:uiPriority w:val="0"/>
    <w:qFormat/>
    <w:pPr>
      <w:keepLines/>
      <w:keepNext/>
      <w:spacing w:before="240" w:after="64" w:line="320" w:lineRule="atLeast"/>
      <w:outlineLvl w:val="5"/>
    </w:pPr>
    <w:rPr>
      <w:rFonts w:ascii="Arial" w:hAnsi="Arial" w:eastAsia="黑体"/>
      <w:b/>
      <w:sz w:val="24"/>
      <w:szCs w:val="20"/>
    </w:rPr>
  </w:style>
  <w:style w:type="paragraph" w:styleId="1242" w:customStyle="1">
    <w:name w:val="标题 71"/>
    <w:basedOn w:val="1041"/>
    <w:next w:val="1041"/>
    <w:link w:val="1254"/>
    <w:uiPriority w:val="0"/>
    <w:qFormat/>
    <w:pPr>
      <w:keepLines/>
      <w:keepNext/>
      <w:spacing w:before="240" w:after="64" w:line="320" w:lineRule="atLeast"/>
      <w:outlineLvl w:val="6"/>
    </w:pPr>
    <w:rPr>
      <w:b/>
      <w:sz w:val="24"/>
      <w:szCs w:val="20"/>
    </w:rPr>
  </w:style>
  <w:style w:type="paragraph" w:styleId="1243" w:customStyle="1">
    <w:name w:val="标题 81"/>
    <w:basedOn w:val="1041"/>
    <w:next w:val="1041"/>
    <w:link w:val="1255"/>
    <w:uiPriority w:val="0"/>
    <w:qFormat/>
    <w:pPr>
      <w:keepLines/>
      <w:keepNext/>
      <w:spacing w:before="240" w:after="64" w:line="320" w:lineRule="atLeast"/>
      <w:outlineLvl w:val="7"/>
    </w:pPr>
    <w:rPr>
      <w:rFonts w:ascii="Arial" w:hAnsi="Arial" w:eastAsia="黑体"/>
      <w:sz w:val="24"/>
      <w:szCs w:val="20"/>
    </w:rPr>
  </w:style>
  <w:style w:type="paragraph" w:styleId="1244" w:customStyle="1">
    <w:name w:val="标题 91"/>
    <w:basedOn w:val="1041"/>
    <w:next w:val="1041"/>
    <w:link w:val="1256"/>
    <w:uiPriority w:val="0"/>
    <w:qFormat/>
    <w:pPr>
      <w:keepLines/>
      <w:keepNext/>
      <w:spacing w:before="240" w:after="64" w:line="320" w:lineRule="atLeast"/>
      <w:outlineLvl w:val="8"/>
    </w:pPr>
    <w:rPr>
      <w:rFonts w:ascii="Arial" w:hAnsi="Arial" w:eastAsia="黑体"/>
      <w:szCs w:val="20"/>
    </w:rPr>
  </w:style>
  <w:style w:type="character" w:styleId="1245" w:customStyle="1">
    <w:name w:val="默认段落字体1"/>
    <w:uiPriority w:val="1"/>
    <w:unhideWhenUsed/>
    <w:qFormat/>
  </w:style>
  <w:style w:type="table" w:styleId="1246" w:customStyle="1">
    <w:name w:val="普通表格1"/>
    <w:uiPriority w:val="99"/>
    <w:unhideWhenUsed/>
    <w:qFormat/>
    <w:tblPr>
      <w:tblCellMar>
        <w:left w:w="0" w:type="dxa"/>
        <w:top w:w="0" w:type="dxa"/>
        <w:right w:w="0" w:type="dxa"/>
        <w:bottom w:w="0" w:type="dxa"/>
      </w:tblCellMar>
    </w:tblPr>
  </w:style>
  <w:style w:type="character" w:styleId="1247" w:customStyle="1">
    <w:name w:val="标题 1 字符"/>
    <w:link w:val="1235"/>
    <w:uiPriority w:val="0"/>
    <w:qFormat/>
    <w:rPr>
      <w:rFonts w:ascii="宋体"/>
      <w:b/>
      <w:sz w:val="32"/>
    </w:rPr>
  </w:style>
  <w:style w:type="character" w:styleId="1248" w:customStyle="1">
    <w:name w:val="标题 2 字符"/>
    <w:link w:val="1236"/>
    <w:uiPriority w:val="0"/>
    <w:qFormat/>
    <w:rPr>
      <w:rFonts w:ascii="Arial" w:hAnsi="Arial" w:eastAsia="黑体"/>
      <w:b/>
      <w:sz w:val="30"/>
      <w:lang w:val="en-US" w:eastAsia="zh-CN" w:bidi="ar-SA"/>
    </w:rPr>
  </w:style>
  <w:style w:type="character" w:styleId="1249" w:customStyle="1">
    <w:name w:val="正文缩进 字符"/>
    <w:link w:val="1237"/>
    <w:uiPriority w:val="0"/>
    <w:qFormat/>
    <w:rPr>
      <w:rFonts w:ascii="宋体" w:eastAsia="宋体"/>
      <w:sz w:val="24"/>
      <w:szCs w:val="24"/>
      <w:lang w:val="en-US" w:eastAsia="zh-CN" w:bidi="ar-SA"/>
    </w:rPr>
  </w:style>
  <w:style w:type="character" w:styleId="1250" w:customStyle="1">
    <w:name w:val="标题 3 字符"/>
    <w:link w:val="1238"/>
    <w:uiPriority w:val="0"/>
    <w:qFormat/>
    <w:rPr>
      <w:rFonts w:ascii="宋体" w:eastAsia="宋体"/>
      <w:b/>
      <w:sz w:val="24"/>
      <w:u w:val="single"/>
      <w:lang w:val="en-US" w:eastAsia="zh-CN" w:bidi="ar-SA"/>
    </w:rPr>
  </w:style>
  <w:style w:type="character" w:styleId="1251" w:customStyle="1">
    <w:name w:val="标题 4 字符"/>
    <w:link w:val="1239"/>
    <w:uiPriority w:val="0"/>
    <w:qFormat/>
    <w:rPr>
      <w:rFonts w:ascii="Arial" w:hAnsi="Arial" w:eastAsia="黑体"/>
      <w:b/>
      <w:sz w:val="28"/>
    </w:rPr>
  </w:style>
  <w:style w:type="character" w:styleId="1252" w:customStyle="1">
    <w:name w:val="标题 5 字符"/>
    <w:link w:val="1240"/>
    <w:uiPriority w:val="0"/>
    <w:qFormat/>
    <w:rPr>
      <w:b/>
      <w:sz w:val="28"/>
    </w:rPr>
  </w:style>
  <w:style w:type="character" w:styleId="1253" w:customStyle="1">
    <w:name w:val="标题 6 字符"/>
    <w:link w:val="1241"/>
    <w:uiPriority w:val="0"/>
    <w:qFormat/>
    <w:rPr>
      <w:rFonts w:ascii="Arial" w:hAnsi="Arial" w:eastAsia="黑体"/>
      <w:b/>
      <w:sz w:val="24"/>
    </w:rPr>
  </w:style>
  <w:style w:type="character" w:styleId="1254" w:customStyle="1">
    <w:name w:val="标题 7 字符"/>
    <w:link w:val="1242"/>
    <w:uiPriority w:val="0"/>
    <w:qFormat/>
    <w:rPr>
      <w:b/>
      <w:sz w:val="24"/>
    </w:rPr>
  </w:style>
  <w:style w:type="character" w:styleId="1255" w:customStyle="1">
    <w:name w:val="标题 8 字符"/>
    <w:link w:val="1243"/>
    <w:uiPriority w:val="0"/>
    <w:qFormat/>
    <w:rPr>
      <w:rFonts w:ascii="Arial" w:hAnsi="Arial" w:eastAsia="黑体"/>
      <w:sz w:val="24"/>
    </w:rPr>
  </w:style>
  <w:style w:type="character" w:styleId="1256" w:customStyle="1">
    <w:name w:val="标题 9 字符"/>
    <w:link w:val="1244"/>
    <w:uiPriority w:val="0"/>
    <w:qFormat/>
    <w:rPr>
      <w:rFonts w:ascii="Arial" w:hAnsi="Arial" w:eastAsia="黑体"/>
      <w:sz w:val="21"/>
    </w:rPr>
  </w:style>
  <w:style w:type="paragraph" w:styleId="1257" w:customStyle="1">
    <w:name w:val="题注1"/>
    <w:basedOn w:val="1041"/>
    <w:next w:val="1041"/>
    <w:uiPriority w:val="0"/>
    <w:qFormat/>
    <w:pPr>
      <w:spacing w:line="480" w:lineRule="auto"/>
    </w:pPr>
    <w:rPr>
      <w:rFonts w:ascii="华文中宋" w:hAnsi="华文中宋" w:eastAsia="华文中宋"/>
      <w:sz w:val="36"/>
      <w:szCs w:val="20"/>
    </w:rPr>
  </w:style>
  <w:style w:type="paragraph" w:styleId="1258" w:customStyle="1">
    <w:name w:val="文档结构图1"/>
    <w:basedOn w:val="1041"/>
    <w:link w:val="1259"/>
    <w:uiPriority w:val="0"/>
    <w:qFormat/>
    <w:pPr>
      <w:shd w:val="clear" w:color="auto" w:fill="000080"/>
    </w:pPr>
  </w:style>
  <w:style w:type="character" w:styleId="1259" w:customStyle="1">
    <w:name w:val="文档结构图 字符"/>
    <w:link w:val="1258"/>
    <w:uiPriority w:val="0"/>
    <w:qFormat/>
    <w:rPr>
      <w:sz w:val="21"/>
      <w:szCs w:val="24"/>
      <w:shd w:val="clear" w:color="auto" w:fill="000080"/>
    </w:rPr>
  </w:style>
  <w:style w:type="paragraph" w:styleId="1260" w:customStyle="1">
    <w:name w:val="批注文字1"/>
    <w:basedOn w:val="1041"/>
    <w:link w:val="1261"/>
    <w:uiPriority w:val="99"/>
    <w:qFormat/>
    <w:pPr>
      <w:jc w:val="left"/>
    </w:pPr>
  </w:style>
  <w:style w:type="character" w:styleId="1261" w:customStyle="1">
    <w:name w:val="批注文字 字符1"/>
    <w:link w:val="1260"/>
    <w:uiPriority w:val="99"/>
    <w:qFormat/>
    <w:rPr>
      <w:sz w:val="21"/>
      <w:szCs w:val="24"/>
    </w:rPr>
  </w:style>
  <w:style w:type="paragraph" w:styleId="1262" w:customStyle="1">
    <w:name w:val="正文文本 31"/>
    <w:basedOn w:val="1041"/>
    <w:link w:val="1263"/>
    <w:uiPriority w:val="0"/>
    <w:qFormat/>
    <w:pPr>
      <w:spacing w:after="120"/>
    </w:pPr>
    <w:rPr>
      <w:sz w:val="16"/>
      <w:szCs w:val="16"/>
    </w:rPr>
  </w:style>
  <w:style w:type="character" w:styleId="1263" w:customStyle="1">
    <w:name w:val="正文文本 3 字符"/>
    <w:link w:val="1262"/>
    <w:uiPriority w:val="0"/>
    <w:qFormat/>
    <w:rPr>
      <w:sz w:val="16"/>
      <w:szCs w:val="16"/>
    </w:rPr>
  </w:style>
  <w:style w:type="paragraph" w:styleId="1264" w:customStyle="1">
    <w:name w:val="正文文本1"/>
    <w:basedOn w:val="1041"/>
    <w:next w:val="1057"/>
    <w:link w:val="1265"/>
    <w:uiPriority w:val="0"/>
    <w:qFormat/>
    <w:pPr>
      <w:spacing w:before="120" w:line="22" w:lineRule="atLeast"/>
      <w:tabs>
        <w:tab w:val="left" w:pos="567" w:leader="none"/>
      </w:tabs>
    </w:pPr>
    <w:rPr>
      <w:rFonts w:ascii="宋体" w:hAnsi="宋体"/>
      <w:sz w:val="24"/>
    </w:rPr>
  </w:style>
  <w:style w:type="character" w:styleId="1265" w:customStyle="1">
    <w:name w:val="正文文本 字符"/>
    <w:link w:val="1264"/>
    <w:uiPriority w:val="0"/>
    <w:qFormat/>
    <w:rPr>
      <w:rFonts w:ascii="宋体" w:hAnsi="宋体"/>
      <w:sz w:val="24"/>
      <w:szCs w:val="24"/>
    </w:rPr>
  </w:style>
  <w:style w:type="paragraph" w:styleId="1266" w:customStyle="1">
    <w:name w:val="正文文本缩进11"/>
    <w:basedOn w:val="1041"/>
    <w:link w:val="1267"/>
    <w:uiPriority w:val="0"/>
    <w:qFormat/>
    <w:pPr>
      <w:ind w:firstLine="570"/>
      <w:spacing w:line="360" w:lineRule="auto"/>
    </w:pPr>
    <w:rPr>
      <w:sz w:val="24"/>
    </w:rPr>
  </w:style>
  <w:style w:type="character" w:styleId="1267" w:customStyle="1">
    <w:name w:val="正文文本缩进 字符"/>
    <w:link w:val="1266"/>
    <w:uiPriority w:val="0"/>
    <w:qFormat/>
    <w:rPr>
      <w:rFonts w:eastAsia="宋体"/>
      <w:sz w:val="24"/>
      <w:szCs w:val="24"/>
      <w:lang w:val="en-US" w:eastAsia="zh-CN" w:bidi="ar-SA"/>
    </w:rPr>
  </w:style>
  <w:style w:type="paragraph" w:styleId="1268" w:customStyle="1">
    <w:name w:val="列表 21"/>
    <w:basedOn w:val="1041"/>
    <w:uiPriority w:val="0"/>
    <w:qFormat/>
    <w:pPr>
      <w:ind w:left="100" w:hanging="200"/>
    </w:pPr>
  </w:style>
  <w:style w:type="paragraph" w:styleId="1269" w:customStyle="1">
    <w:name w:val="文本块1"/>
    <w:basedOn w:val="1041"/>
    <w:uiPriority w:val="0"/>
    <w:qFormat/>
    <w:pPr>
      <w:ind w:left="480" w:right="-341" w:firstLine="513"/>
      <w:widowControl/>
    </w:pPr>
    <w:rPr>
      <w:sz w:val="24"/>
      <w:szCs w:val="20"/>
    </w:rPr>
  </w:style>
  <w:style w:type="paragraph" w:styleId="1270" w:customStyle="1">
    <w:name w:val="纯文本1"/>
    <w:basedOn w:val="1041"/>
    <w:next w:val="1237"/>
    <w:link w:val="1271"/>
    <w:uiPriority w:val="0"/>
    <w:qFormat/>
    <w:rPr>
      <w:rFonts w:hint="eastAsia" w:ascii="宋体" w:hAnsi="Courier New"/>
      <w:szCs w:val="20"/>
    </w:rPr>
  </w:style>
  <w:style w:type="character" w:styleId="1271" w:customStyle="1">
    <w:name w:val="纯文本 字符2"/>
    <w:link w:val="1270"/>
    <w:uiPriority w:val="0"/>
    <w:qFormat/>
    <w:rPr>
      <w:rFonts w:hint="eastAsia" w:ascii="宋体" w:hAnsi="Courier New" w:eastAsia="宋体" w:cs="宋体"/>
      <w:sz w:val="21"/>
    </w:rPr>
  </w:style>
  <w:style w:type="paragraph" w:styleId="1272" w:customStyle="1">
    <w:name w:val="日期1"/>
    <w:basedOn w:val="1041"/>
    <w:next w:val="1041"/>
    <w:link w:val="1273"/>
    <w:uiPriority w:val="0"/>
    <w:qFormat/>
    <w:pPr>
      <w:ind w:left="100"/>
    </w:pPr>
    <w:rPr>
      <w:rFonts w:ascii="仿宋_GB2312" w:hAnsi="宋体" w:eastAsia="仿宋_GB2312"/>
      <w:color w:val="000000"/>
      <w:sz w:val="24"/>
    </w:rPr>
  </w:style>
  <w:style w:type="character" w:styleId="1273" w:customStyle="1">
    <w:name w:val="日期 字符"/>
    <w:link w:val="1272"/>
    <w:uiPriority w:val="0"/>
    <w:qFormat/>
    <w:rPr>
      <w:rFonts w:ascii="仿宋_GB2312" w:hAnsi="宋体" w:eastAsia="仿宋_GB2312"/>
      <w:color w:val="000000"/>
      <w:sz w:val="24"/>
      <w:szCs w:val="24"/>
    </w:rPr>
  </w:style>
  <w:style w:type="paragraph" w:styleId="1274" w:customStyle="1">
    <w:name w:val="正文文本缩进 21"/>
    <w:basedOn w:val="1041"/>
    <w:link w:val="1275"/>
    <w:uiPriority w:val="0"/>
    <w:qFormat/>
    <w:pPr>
      <w:ind w:firstLine="480"/>
    </w:pPr>
    <w:rPr>
      <w:rFonts w:ascii="仿宋_GB2312" w:eastAsia="仿宋_GB2312"/>
      <w:sz w:val="24"/>
    </w:rPr>
  </w:style>
  <w:style w:type="character" w:styleId="1275" w:customStyle="1">
    <w:name w:val="正文文本缩进 2 字符"/>
    <w:link w:val="1274"/>
    <w:uiPriority w:val="0"/>
    <w:qFormat/>
    <w:rPr>
      <w:rFonts w:ascii="仿宋_GB2312" w:eastAsia="仿宋_GB2312"/>
      <w:sz w:val="24"/>
      <w:szCs w:val="24"/>
    </w:rPr>
  </w:style>
  <w:style w:type="paragraph" w:styleId="1276" w:customStyle="1">
    <w:name w:val="批注框文本1"/>
    <w:basedOn w:val="1041"/>
    <w:link w:val="1277"/>
    <w:uiPriority w:val="0"/>
    <w:qFormat/>
    <w:rPr>
      <w:sz w:val="18"/>
      <w:szCs w:val="18"/>
    </w:rPr>
  </w:style>
  <w:style w:type="character" w:styleId="1277" w:customStyle="1">
    <w:name w:val="批注框文本 字符"/>
    <w:link w:val="1276"/>
    <w:uiPriority w:val="0"/>
    <w:qFormat/>
    <w:rPr>
      <w:sz w:val="18"/>
      <w:szCs w:val="18"/>
    </w:rPr>
  </w:style>
  <w:style w:type="paragraph" w:styleId="1278" w:customStyle="1">
    <w:name w:val="页脚1"/>
    <w:basedOn w:val="1041"/>
    <w:link w:val="1279"/>
    <w:uiPriority w:val="99"/>
    <w:qFormat/>
    <w:pPr>
      <w:jc w:val="left"/>
      <w:tabs>
        <w:tab w:val="center" w:pos="4153" w:leader="none"/>
        <w:tab w:val="right" w:pos="8306" w:leader="none"/>
      </w:tabs>
    </w:pPr>
    <w:rPr>
      <w:rFonts w:ascii="宋体"/>
      <w:sz w:val="18"/>
      <w:szCs w:val="20"/>
    </w:rPr>
  </w:style>
  <w:style w:type="character" w:styleId="1279" w:customStyle="1">
    <w:name w:val="页脚 字符"/>
    <w:link w:val="1278"/>
    <w:uiPriority w:val="99"/>
    <w:qFormat/>
    <w:rPr>
      <w:rFonts w:ascii="宋体" w:eastAsia="宋体"/>
      <w:sz w:val="18"/>
      <w:lang w:val="en-US" w:eastAsia="zh-CN" w:bidi="ar-SA"/>
    </w:rPr>
  </w:style>
  <w:style w:type="paragraph" w:styleId="1280" w:customStyle="1">
    <w:name w:val="寄信人地址1"/>
    <w:basedOn w:val="1041"/>
    <w:uiPriority w:val="0"/>
    <w:qFormat/>
    <w:rPr>
      <w:rFonts w:ascii="Arial" w:hAnsi="Arial"/>
    </w:rPr>
  </w:style>
  <w:style w:type="paragraph" w:styleId="1281" w:customStyle="1">
    <w:name w:val="页眉1"/>
    <w:basedOn w:val="1041"/>
    <w:link w:val="1282"/>
    <w:uiPriority w:val="0"/>
    <w:qFormat/>
    <w:pPr>
      <w:jc w:val="center"/>
      <w:tabs>
        <w:tab w:val="center" w:pos="4153" w:leader="none"/>
        <w:tab w:val="right" w:pos="8306" w:leader="none"/>
      </w:tabs>
      <w:pBdr>
        <w:bottom w:val="none" w:color="000000" w:sz="0" w:space="1"/>
      </w:pBdr>
    </w:pPr>
    <w:rPr>
      <w:sz w:val="18"/>
      <w:szCs w:val="18"/>
    </w:rPr>
  </w:style>
  <w:style w:type="character" w:styleId="1282" w:customStyle="1">
    <w:name w:val="页眉 字符"/>
    <w:link w:val="1281"/>
    <w:uiPriority w:val="0"/>
    <w:qFormat/>
    <w:rPr>
      <w:rFonts w:eastAsia="宋体"/>
      <w:sz w:val="18"/>
      <w:szCs w:val="18"/>
      <w:lang w:val="en-US" w:eastAsia="zh-CN" w:bidi="ar-SA"/>
    </w:rPr>
  </w:style>
  <w:style w:type="paragraph" w:styleId="1283" w:customStyle="1">
    <w:name w:val="正文文本缩进 31"/>
    <w:basedOn w:val="1041"/>
    <w:link w:val="1284"/>
    <w:uiPriority w:val="0"/>
    <w:qFormat/>
    <w:pPr>
      <w:ind w:left="720" w:firstLine="480"/>
      <w:jc w:val="left"/>
      <w:spacing w:before="120" w:line="22" w:lineRule="atLeast"/>
    </w:pPr>
    <w:rPr>
      <w:rFonts w:ascii="宋体"/>
      <w:sz w:val="24"/>
      <w:szCs w:val="20"/>
    </w:rPr>
  </w:style>
  <w:style w:type="character" w:styleId="1284" w:customStyle="1">
    <w:name w:val="正文文本缩进 3 字符"/>
    <w:link w:val="1283"/>
    <w:uiPriority w:val="0"/>
    <w:qFormat/>
    <w:rPr>
      <w:rFonts w:ascii="宋体"/>
      <w:sz w:val="24"/>
    </w:rPr>
  </w:style>
  <w:style w:type="paragraph" w:styleId="1285" w:customStyle="1">
    <w:name w:val="HTML 预设格式1"/>
    <w:basedOn w:val="1041"/>
    <w:link w:val="12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6" w:customStyle="1">
    <w:name w:val="HTML 预设格式 字符"/>
    <w:link w:val="1285"/>
    <w:uiPriority w:val="0"/>
    <w:qFormat/>
    <w:rPr>
      <w:rFonts w:ascii="宋体" w:hAnsi="宋体" w:cs="宋体"/>
      <w:sz w:val="24"/>
      <w:szCs w:val="24"/>
    </w:rPr>
  </w:style>
  <w:style w:type="paragraph" w:styleId="1287" w:customStyle="1">
    <w:name w:val="普通(网站)1"/>
    <w:basedOn w:val="1041"/>
    <w:uiPriority w:val="0"/>
    <w:unhideWhenUsed/>
    <w:qFormat/>
    <w:pPr>
      <w:jc w:val="left"/>
      <w:spacing w:before="100" w:beforeAutospacing="1" w:after="100" w:afterAutospacing="1"/>
      <w:widowControl/>
    </w:pPr>
    <w:rPr>
      <w:rFonts w:ascii="宋体" w:hAnsi="宋体" w:cs="宋体"/>
      <w:sz w:val="24"/>
    </w:rPr>
  </w:style>
  <w:style w:type="paragraph" w:styleId="1288" w:customStyle="1">
    <w:name w:val="索引 11"/>
    <w:basedOn w:val="1041"/>
    <w:next w:val="1041"/>
    <w:uiPriority w:val="0"/>
    <w:qFormat/>
    <w:rPr>
      <w:szCs w:val="20"/>
    </w:rPr>
  </w:style>
  <w:style w:type="paragraph" w:styleId="1289" w:customStyle="1">
    <w:name w:val="标题1"/>
    <w:basedOn w:val="1041"/>
    <w:link w:val="1290"/>
    <w:uiPriority w:val="0"/>
    <w:qFormat/>
    <w:pPr>
      <w:jc w:val="center"/>
      <w:outlineLvl w:val="0"/>
    </w:pPr>
    <w:rPr>
      <w:b/>
      <w:sz w:val="32"/>
      <w:szCs w:val="20"/>
    </w:rPr>
  </w:style>
  <w:style w:type="character" w:styleId="1290" w:customStyle="1">
    <w:name w:val="标题 字符"/>
    <w:link w:val="1289"/>
    <w:uiPriority w:val="0"/>
    <w:qFormat/>
    <w:rPr>
      <w:b/>
      <w:sz w:val="32"/>
    </w:rPr>
  </w:style>
  <w:style w:type="paragraph" w:styleId="1291" w:customStyle="1">
    <w:name w:val="批注主题1"/>
    <w:basedOn w:val="1260"/>
    <w:next w:val="1260"/>
    <w:link w:val="1292"/>
    <w:uiPriority w:val="0"/>
    <w:qFormat/>
    <w:rPr>
      <w:b/>
      <w:bCs/>
    </w:rPr>
  </w:style>
  <w:style w:type="character" w:styleId="1292" w:customStyle="1">
    <w:name w:val="批注主题 字符"/>
    <w:link w:val="1291"/>
    <w:uiPriority w:val="0"/>
    <w:qFormat/>
    <w:rPr>
      <w:rFonts w:ascii="Times New Roman" w:hAnsi="Times New Roman" w:eastAsia="宋体" w:cs="Times New Roman"/>
      <w:b/>
      <w:bCs/>
      <w:sz w:val="21"/>
      <w:szCs w:val="24"/>
      <w:lang w:val="en-US" w:eastAsia="zh-CN" w:bidi="ar-SA"/>
    </w:rPr>
  </w:style>
  <w:style w:type="paragraph" w:styleId="1293" w:customStyle="1">
    <w:name w:val="正文文本首行缩进 21"/>
    <w:basedOn w:val="1266"/>
    <w:link w:val="1294"/>
    <w:uiPriority w:val="99"/>
    <w:qFormat/>
    <w:pPr>
      <w:ind w:left="420" w:firstLine="420"/>
      <w:spacing w:after="120" w:line="480" w:lineRule="exact"/>
    </w:pPr>
    <w:rPr>
      <w:szCs w:val="20"/>
    </w:rPr>
  </w:style>
  <w:style w:type="character" w:styleId="1294" w:customStyle="1">
    <w:name w:val="正文文本首行缩进 2 字符"/>
    <w:link w:val="1293"/>
    <w:uiPriority w:val="99"/>
    <w:qFormat/>
    <w:rPr>
      <w:rFonts w:eastAsia="宋体"/>
      <w:sz w:val="24"/>
      <w:szCs w:val="24"/>
      <w:lang w:val="en-US" w:eastAsia="zh-CN" w:bidi="ar-SA"/>
    </w:rPr>
  </w:style>
  <w:style w:type="table" w:styleId="1295" w:customStyle="1">
    <w:name w:val="网格型1"/>
    <w:basedOn w:val="1246"/>
    <w:uiPriority w:val="39"/>
    <w:qFormat/>
    <w:tblPr>
      <w:tblCellMar>
        <w:left w:w="0" w:type="dxa"/>
        <w:top w:w="0" w:type="dxa"/>
        <w:right w:w="0" w:type="dxa"/>
        <w:bottom w:w="0" w:type="dxa"/>
      </w:tblCellMar>
    </w:tblPr>
  </w:style>
  <w:style w:type="table" w:styleId="1296" w:customStyle="1">
    <w:name w:val="中等深浅网格 1 - 着色 21"/>
    <w:basedOn w:val="1246"/>
    <w:uiPriority w:val="0"/>
    <w:qFormat/>
    <w:rPr>
      <w:sz w:val="21"/>
      <w:szCs w:val="24"/>
    </w:rPr>
    <w:tblPr>
      <w:tblCellMar>
        <w:left w:w="0" w:type="dxa"/>
        <w:top w:w="0" w:type="dxa"/>
        <w:right w:w="0" w:type="dxa"/>
        <w:bottom w:w="0" w:type="dxa"/>
      </w:tblCellMar>
    </w:tblPr>
  </w:style>
  <w:style w:type="character" w:styleId="1297" w:customStyle="1">
    <w:name w:val="要点1"/>
    <w:uiPriority w:val="0"/>
    <w:qFormat/>
    <w:rPr>
      <w:b/>
      <w:bCs/>
    </w:rPr>
  </w:style>
  <w:style w:type="character" w:styleId="1298" w:customStyle="1">
    <w:name w:val="页码1"/>
    <w:uiPriority w:val="0"/>
    <w:qFormat/>
  </w:style>
  <w:style w:type="character" w:styleId="1299" w:customStyle="1">
    <w:name w:val="访问过的超链接1"/>
    <w:uiPriority w:val="0"/>
    <w:qFormat/>
    <w:rPr>
      <w:color w:val="800080"/>
      <w:u w:val="single"/>
    </w:rPr>
  </w:style>
  <w:style w:type="character" w:styleId="1300" w:customStyle="1">
    <w:name w:val="强调1"/>
    <w:uiPriority w:val="0"/>
    <w:qFormat/>
    <w:rPr>
      <w:color w:val="cc0033"/>
    </w:rPr>
  </w:style>
  <w:style w:type="character" w:styleId="1301" w:customStyle="1">
    <w:name w:val="超链接1"/>
    <w:uiPriority w:val="99"/>
    <w:qFormat/>
    <w:rPr>
      <w:color w:val="0000ff"/>
      <w:u w:val="single"/>
    </w:rPr>
  </w:style>
  <w:style w:type="character" w:styleId="1302" w:customStyle="1">
    <w:name w:val="批注引用1"/>
    <w:uiPriority w:val="99"/>
    <w:qFormat/>
    <w:rPr>
      <w:sz w:val="21"/>
      <w:szCs w:val="21"/>
    </w:rPr>
  </w:style>
  <w:style w:type="character" w:styleId="1303" w:customStyle="1">
    <w:name w:val="HTML 引文1"/>
    <w:uiPriority w:val="0"/>
    <w:qFormat/>
    <w:rPr>
      <w:i/>
      <w:iCs/>
    </w:rPr>
  </w:style>
  <w:style w:type="paragraph" w:styleId="1304" w:customStyle="1">
    <w:name w:val="段"/>
    <w:next w:val="1041"/>
    <w:uiPriority w:val="0"/>
    <w:qFormat/>
    <w:pPr>
      <w:ind w:firstLine="200"/>
      <w:jc w:val="both"/>
    </w:pPr>
    <w:rPr>
      <w:rFonts w:ascii="宋体" w:hAnsi="Times New Roman" w:eastAsia="宋体" w:cs="Times New Roman"/>
      <w:sz w:val="21"/>
      <w:lang w:val="en-US" w:eastAsia="zh-CN" w:bidi="ar-SA"/>
    </w:rPr>
  </w:style>
  <w:style w:type="character" w:styleId="1305" w:customStyle="1">
    <w:name w:val="批注文字 字符"/>
    <w:uiPriority w:val="99"/>
    <w:qFormat/>
    <w:rPr>
      <w:rFonts w:ascii="Times New Roman" w:hAnsi="Times New Roman" w:eastAsia="宋体" w:cs="Times New Roman"/>
      <w:sz w:val="24"/>
      <w:lang w:val="en-US" w:eastAsia="zh-CN" w:bidi="ar-SA"/>
    </w:rPr>
  </w:style>
  <w:style w:type="character" w:styleId="1306" w:customStyle="1">
    <w:name w:val="c21"/>
    <w:uiPriority w:val="0"/>
    <w:qFormat/>
    <w:rPr>
      <w:rFonts w:ascii="ˎ̥" w:hAnsi="ˎ̥"/>
      <w:color w:val="000000"/>
      <w:sz w:val="20"/>
      <w:szCs w:val="20"/>
      <w:u w:val="none"/>
    </w:rPr>
  </w:style>
  <w:style w:type="character" w:styleId="1307" w:customStyle="1">
    <w:name w:val="title4"/>
    <w:uiPriority w:val="0"/>
    <w:qFormat/>
    <w:rPr>
      <w:b/>
      <w:bCs/>
      <w:color w:val="1d87b3"/>
      <w:sz w:val="15"/>
      <w:szCs w:val="15"/>
    </w:rPr>
  </w:style>
  <w:style w:type="character" w:styleId="1308" w:customStyle="1">
    <w:name w:val="标题 2 Char Char"/>
    <w:uiPriority w:val="0"/>
    <w:qFormat/>
    <w:rPr>
      <w:rFonts w:ascii="Arial" w:hAnsi="Arial" w:eastAsia="黑体"/>
      <w:b/>
      <w:bCs/>
      <w:sz w:val="32"/>
      <w:szCs w:val="32"/>
      <w:lang w:val="en-US" w:eastAsia="zh-CN" w:bidi="ar-SA"/>
    </w:rPr>
  </w:style>
  <w:style w:type="character" w:styleId="1309" w:customStyle="1">
    <w:name w:val="black1"/>
    <w:uiPriority w:val="0"/>
    <w:qFormat/>
    <w:rPr>
      <w:color w:val="000000"/>
    </w:rPr>
  </w:style>
  <w:style w:type="character" w:styleId="1310" w:customStyle="1">
    <w:name w:val="street-address"/>
    <w:uiPriority w:val="0"/>
    <w:qFormat/>
  </w:style>
  <w:style w:type="character" w:styleId="1311" w:customStyle="1">
    <w:name w:val="locality"/>
    <w:uiPriority w:val="0"/>
    <w:qFormat/>
  </w:style>
  <w:style w:type="character" w:styleId="1312" w:customStyle="1">
    <w:name w:val="正文文本缩进 Char1"/>
    <w:link w:val="1313"/>
    <w:uiPriority w:val="0"/>
    <w:qFormat/>
    <w:rPr>
      <w:rFonts w:ascii="宋体" w:hAnsi="宋体" w:eastAsia="宋体"/>
      <w:sz w:val="24"/>
      <w:szCs w:val="24"/>
      <w:lang w:bidi="ar-SA"/>
    </w:rPr>
  </w:style>
  <w:style w:type="paragraph" w:styleId="1313" w:customStyle="1">
    <w:name w:val="正文文本缩进1"/>
    <w:basedOn w:val="1041"/>
    <w:link w:val="1312"/>
    <w:uiPriority w:val="0"/>
    <w:qFormat/>
    <w:pPr>
      <w:ind w:firstLine="480"/>
      <w:spacing w:line="480" w:lineRule="exact"/>
    </w:pPr>
    <w:rPr>
      <w:rFonts w:ascii="宋体" w:hAnsi="宋体"/>
      <w:sz w:val="24"/>
    </w:rPr>
  </w:style>
  <w:style w:type="character" w:styleId="1314" w:customStyle="1">
    <w:name w:val="Char Char11"/>
    <w:uiPriority w:val="0"/>
    <w:qFormat/>
    <w:rPr>
      <w:rFonts w:ascii="宋体" w:eastAsia="宋体"/>
      <w:b/>
      <w:sz w:val="24"/>
      <w:u w:val="single"/>
      <w:lang w:val="en-US" w:eastAsia="zh-CN" w:bidi="ar-SA"/>
    </w:rPr>
  </w:style>
  <w:style w:type="character" w:styleId="1315" w:customStyle="1">
    <w:name w:val="txt"/>
    <w:uiPriority w:val="0"/>
    <w:qFormat/>
  </w:style>
  <w:style w:type="character" w:styleId="1316" w:customStyle="1">
    <w:name w:val="正文缩进 Char Char"/>
    <w:link w:val="1317"/>
    <w:uiPriority w:val="0"/>
    <w:qFormat/>
    <w:rPr>
      <w:rFonts w:ascii="宋体" w:eastAsia="宋体"/>
      <w:color w:val="000000"/>
      <w:sz w:val="28"/>
      <w:lang w:bidi="ar-SA"/>
    </w:rPr>
  </w:style>
  <w:style w:type="paragraph" w:styleId="1317" w:customStyle="1">
    <w:name w:val="正文缩进1"/>
    <w:basedOn w:val="1041"/>
    <w:link w:val="1316"/>
    <w:uiPriority w:val="0"/>
    <w:qFormat/>
    <w:pPr>
      <w:ind w:firstLine="567"/>
      <w:spacing w:line="480" w:lineRule="exact"/>
      <w:widowControl/>
    </w:pPr>
    <w:rPr>
      <w:rFonts w:ascii="宋体"/>
      <w:color w:val="000000"/>
      <w:sz w:val="28"/>
      <w:szCs w:val="20"/>
    </w:rPr>
  </w:style>
  <w:style w:type="character" w:styleId="1318" w:customStyle="1">
    <w:name w:val="普通文字1 Char1"/>
    <w:uiPriority w:val="0"/>
    <w:qFormat/>
    <w:rPr>
      <w:rFonts w:ascii="宋体" w:hAnsi="Courier New" w:eastAsia="宋体"/>
      <w:sz w:val="21"/>
      <w:lang w:val="en-US" w:eastAsia="zh-CN" w:bidi="ar-SA"/>
    </w:rPr>
  </w:style>
  <w:style w:type="character" w:styleId="1319" w:customStyle="1">
    <w:name w:val="chanpin1"/>
    <w:uiPriority w:val="0"/>
    <w:qFormat/>
    <w:rPr>
      <w:rFonts w:ascii="ˎ̥" w:hAnsi="ˎ̥"/>
      <w:color w:val="000000"/>
      <w:sz w:val="20"/>
      <w:szCs w:val="20"/>
      <w:u w:val="none"/>
    </w:rPr>
  </w:style>
  <w:style w:type="character" w:styleId="1320" w:customStyle="1">
    <w:name w:val="列表段落 字符"/>
    <w:link w:val="1321"/>
    <w:uiPriority w:val="34"/>
    <w:qFormat/>
    <w:rPr>
      <w:rFonts w:ascii="Calibri" w:hAnsi="Calibri" w:eastAsia="宋体"/>
      <w:sz w:val="21"/>
      <w:szCs w:val="22"/>
      <w:lang w:val="en-US" w:eastAsia="zh-CN" w:bidi="ar-SA"/>
    </w:rPr>
  </w:style>
  <w:style w:type="paragraph" w:styleId="1321" w:customStyle="1">
    <w:name w:val="列表段落1"/>
    <w:basedOn w:val="1041"/>
    <w:link w:val="1320"/>
    <w:uiPriority w:val="34"/>
    <w:qFormat/>
    <w:pPr>
      <w:ind w:firstLine="420"/>
    </w:pPr>
    <w:rPr>
      <w:rFonts w:ascii="Calibri" w:hAnsi="Calibri"/>
      <w:szCs w:val="22"/>
    </w:rPr>
  </w:style>
  <w:style w:type="character" w:styleId="1322" w:customStyle="1">
    <w:name w:val="标题 3 Char Char"/>
    <w:uiPriority w:val="0"/>
    <w:qFormat/>
    <w:rPr>
      <w:rFonts w:eastAsia="宋体"/>
      <w:b/>
      <w:bCs/>
      <w:sz w:val="32"/>
      <w:szCs w:val="32"/>
      <w:lang w:val="en-US" w:eastAsia="zh-CN" w:bidi="ar-SA"/>
    </w:rPr>
  </w:style>
  <w:style w:type="character" w:styleId="1323" w:customStyle="1">
    <w:name w:val="段1 Char"/>
    <w:uiPriority w:val="0"/>
    <w:qFormat/>
    <w:rPr>
      <w:rFonts w:ascii="宋体" w:eastAsia="宋体"/>
      <w:sz w:val="24"/>
      <w:lang w:val="en-US" w:eastAsia="zh-CN" w:bidi="ar-SA"/>
    </w:rPr>
  </w:style>
  <w:style w:type="character" w:styleId="1324" w:customStyle="1">
    <w:name w:val="chanpin拷贝"/>
    <w:uiPriority w:val="0"/>
    <w:qFormat/>
  </w:style>
  <w:style w:type="character" w:styleId="1325" w:customStyle="1">
    <w:name w:val="纯文本 Char1"/>
    <w:uiPriority w:val="0"/>
    <w:qFormat/>
    <w:rPr>
      <w:rFonts w:ascii="宋体" w:hAnsi="Courier New" w:eastAsia="宋体"/>
      <w:sz w:val="21"/>
      <w:lang w:val="en-US" w:eastAsia="zh-CN" w:bidi="ar-SA"/>
    </w:rPr>
  </w:style>
  <w:style w:type="character" w:styleId="1326" w:customStyle="1">
    <w:name w:val="apple-style-span"/>
    <w:uiPriority w:val="0"/>
    <w:qFormat/>
    <w:rPr>
      <w:rFonts w:cs="Times New Roman"/>
    </w:rPr>
  </w:style>
  <w:style w:type="paragraph" w:styleId="1327" w:customStyle="1">
    <w:name w:val="二级条标题"/>
    <w:basedOn w:val="1328"/>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8" w:customStyle="1">
    <w:name w:val="一级条标题"/>
    <w:basedOn w:val="1329"/>
    <w:next w:val="1041"/>
    <w:uiPriority w:val="0"/>
    <w:qFormat/>
    <w:pPr>
      <w:numPr>
        <w:ilvl w:val="1"/>
      </w:numPr>
      <w:ind w:left="0" w:hanging="840"/>
      <w:tabs>
        <w:tab w:val="left" w:pos="360" w:leader="none"/>
        <w:tab w:val="left" w:pos="840" w:leader="none"/>
      </w:tabs>
      <w:outlineLvl w:val="1"/>
    </w:pPr>
  </w:style>
  <w:style w:type="paragraph" w:styleId="1329" w:customStyle="1">
    <w:name w:val="章标题"/>
    <w:next w:val="104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30"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331" w:customStyle="1">
    <w:name w:val="字元 字元"/>
    <w:basedOn w:val="1041"/>
    <w:uiPriority w:val="0"/>
    <w:qFormat/>
    <w:rPr>
      <w:rFonts w:ascii="Tahoma" w:hAnsi="Tahoma"/>
      <w:sz w:val="24"/>
      <w:szCs w:val="20"/>
    </w:rPr>
  </w:style>
  <w:style w:type="paragraph" w:styleId="1332" w:customStyle="1">
    <w:name w:val="Char3 Char Char Char"/>
    <w:basedOn w:val="1041"/>
    <w:uiPriority w:val="0"/>
    <w:qFormat/>
    <w:rPr>
      <w:rFonts w:ascii="Tahoma" w:hAnsi="Tahoma"/>
      <w:sz w:val="24"/>
      <w:szCs w:val="20"/>
    </w:rPr>
  </w:style>
  <w:style w:type="paragraph" w:styleId="1333"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334" w:customStyle="1">
    <w:name w:val="项目编号2"/>
    <w:basedOn w:val="1335"/>
    <w:uiPriority w:val="0"/>
    <w:qFormat/>
    <w:pPr>
      <w:numPr>
        <w:numId w:val="2"/>
      </w:numPr>
    </w:pPr>
  </w:style>
  <w:style w:type="paragraph" w:styleId="1335" w:customStyle="1">
    <w:name w:val="项目编号1"/>
    <w:basedOn w:val="1041"/>
    <w:uiPriority w:val="0"/>
    <w:qFormat/>
    <w:pPr>
      <w:numPr>
        <w:ilvl w:val="0"/>
        <w:numId w:val="3"/>
      </w:numPr>
      <w:spacing w:before="100" w:beforeAutospacing="1" w:after="100" w:afterAutospacing="1" w:line="360" w:lineRule="auto"/>
    </w:pPr>
    <w:rPr>
      <w:sz w:val="24"/>
    </w:rPr>
  </w:style>
  <w:style w:type="paragraph" w:styleId="1336" w:customStyle="1">
    <w:name w:val="图中文字"/>
    <w:basedOn w:val="1041"/>
    <w:uiPriority w:val="0"/>
    <w:qFormat/>
    <w:pPr>
      <w:jc w:val="center"/>
      <w:spacing w:line="0" w:lineRule="atLeast"/>
    </w:pPr>
    <w:rPr>
      <w:sz w:val="24"/>
      <w:szCs w:val="20"/>
    </w:rPr>
  </w:style>
  <w:style w:type="paragraph" w:styleId="1337" w:customStyle="1">
    <w:name w:val="xl46"/>
    <w:basedOn w:val="104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8" w:customStyle="1">
    <w:name w:val="xl25"/>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9" w:customStyle="1">
    <w:name w:val="Char2"/>
    <w:basedOn w:val="1041"/>
    <w:uiPriority w:val="0"/>
    <w:qFormat/>
    <w:rPr>
      <w:rFonts w:ascii="Tahoma" w:hAnsi="Tahoma"/>
      <w:sz w:val="24"/>
      <w:szCs w:val="20"/>
    </w:rPr>
  </w:style>
  <w:style w:type="paragraph" w:styleId="1340"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1" w:customStyle="1">
    <w:name w:val="xl40"/>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customStyle="1">
    <w:name w:val="xl52"/>
    <w:basedOn w:val="10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3" w:customStyle="1">
    <w:name w:val="xl43"/>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4"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345" w:customStyle="1">
    <w:name w:val="Char Char Char Char Char Char Char"/>
    <w:basedOn w:val="1041"/>
    <w:uiPriority w:val="0"/>
    <w:qFormat/>
    <w:pPr>
      <w:ind w:firstLine="200"/>
      <w:spacing w:line="360" w:lineRule="auto"/>
    </w:pPr>
    <w:rPr>
      <w:rFonts w:eastAsia="仿宋_GB2312"/>
      <w:sz w:val="24"/>
    </w:rPr>
  </w:style>
  <w:style w:type="paragraph" w:styleId="1346" w:customStyle="1">
    <w:name w:val="xl38"/>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7"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8"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349" w:customStyle="1">
    <w:name w:val="正文列项_数字"/>
    <w:basedOn w:val="104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50" w:customStyle="1">
    <w:name w:val="xl39"/>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1"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2" w:customStyle="1">
    <w:name w:val="xl32"/>
    <w:basedOn w:val="10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3" w:customStyle="1">
    <w:name w:val="font8"/>
    <w:basedOn w:val="1041"/>
    <w:uiPriority w:val="0"/>
    <w:qFormat/>
    <w:pPr>
      <w:jc w:val="left"/>
      <w:spacing w:before="100" w:beforeAutospacing="1" w:after="100" w:afterAutospacing="1"/>
      <w:widowControl/>
    </w:pPr>
    <w:rPr>
      <w:sz w:val="36"/>
      <w:szCs w:val="36"/>
    </w:rPr>
  </w:style>
  <w:style w:type="paragraph" w:styleId="1354" w:customStyle="1">
    <w:name w:val="Char"/>
    <w:basedOn w:val="1041"/>
    <w:uiPriority w:val="0"/>
    <w:qFormat/>
    <w:pPr>
      <w:tabs>
        <w:tab w:val="left" w:pos="360" w:leader="none"/>
      </w:tabs>
    </w:pPr>
    <w:rPr>
      <w:sz w:val="24"/>
    </w:rPr>
  </w:style>
  <w:style w:type="paragraph" w:styleId="1355"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356" w:customStyle="1">
    <w:name w:val="xl45"/>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7"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358" w:customStyle="1">
    <w:name w:val="Char Char1"/>
    <w:basedOn w:val="1258"/>
    <w:uiPriority w:val="0"/>
    <w:qFormat/>
    <w:rPr>
      <w:rFonts w:ascii="Tahoma" w:hAnsi="Tahoma"/>
      <w:sz w:val="24"/>
    </w:rPr>
  </w:style>
  <w:style w:type="paragraph" w:styleId="1359" w:customStyle="1">
    <w:name w:val="xl26"/>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60" w:customStyle="1">
    <w:name w:val="xl30"/>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1" w:customStyle="1">
    <w:name w:val="xl41"/>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2" w:customStyle="1">
    <w:name w:val="样式 宋体 五号 行距: 单倍行距"/>
    <w:basedOn w:val="1041"/>
    <w:uiPriority w:val="0"/>
    <w:qFormat/>
    <w:pPr>
      <w:jc w:val="left"/>
    </w:pPr>
    <w:rPr>
      <w:rFonts w:ascii="宋体" w:hAnsi="宋体"/>
      <w:szCs w:val="20"/>
    </w:rPr>
  </w:style>
  <w:style w:type="paragraph" w:styleId="1363" w:customStyle="1">
    <w:name w:val="Char1 Char Char Char1"/>
    <w:basedOn w:val="1041"/>
    <w:uiPriority w:val="0"/>
    <w:qFormat/>
    <w:rPr>
      <w:rFonts w:ascii="Tahoma" w:hAnsi="Tahoma" w:cs="仿宋_GB2312"/>
      <w:sz w:val="24"/>
      <w:szCs w:val="28"/>
    </w:rPr>
  </w:style>
  <w:style w:type="paragraph" w:styleId="1364" w:customStyle="1">
    <w:name w:val="四级条标题"/>
    <w:basedOn w:val="1365"/>
    <w:next w:val="1041"/>
    <w:uiPriority w:val="0"/>
    <w:qFormat/>
    <w:pPr>
      <w:numPr>
        <w:ilvl w:val="4"/>
      </w:numPr>
      <w:ind w:left="0" w:hanging="840"/>
      <w:tabs>
        <w:tab w:val="left" w:pos="360" w:leader="none"/>
        <w:tab w:val="left" w:pos="840" w:leader="none"/>
      </w:tabs>
      <w:outlineLvl w:val="4"/>
    </w:pPr>
  </w:style>
  <w:style w:type="paragraph" w:styleId="1365" w:customStyle="1">
    <w:name w:val="三级条标题"/>
    <w:basedOn w:val="1327"/>
    <w:next w:val="1041"/>
    <w:uiPriority w:val="0"/>
    <w:qFormat/>
    <w:pPr>
      <w:numPr>
        <w:ilvl w:val="3"/>
        <w:numId w:val="1"/>
      </w:numPr>
      <w:ind w:left="0" w:hanging="840"/>
      <w:outlineLvl w:val="3"/>
    </w:pPr>
  </w:style>
  <w:style w:type="paragraph" w:styleId="136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67" w:customStyle="1">
    <w:name w:val="样式 标题 2 + 宋体 五号 行距: 单倍行距"/>
    <w:basedOn w:val="1236"/>
    <w:uiPriority w:val="0"/>
    <w:qFormat/>
    <w:pPr>
      <w:numPr>
        <w:ilvl w:val="1"/>
        <w:numId w:val="4"/>
      </w:numPr>
      <w:jc w:val="left"/>
      <w:spacing w:before="260" w:after="260" w:line="240" w:lineRule="auto"/>
    </w:pPr>
    <w:rPr>
      <w:rFonts w:ascii="宋体" w:hAnsi="宋体" w:eastAsia="宋体"/>
      <w:bCs/>
      <w:sz w:val="21"/>
    </w:rPr>
  </w:style>
  <w:style w:type="paragraph" w:styleId="1368" w:customStyle="1">
    <w:name w:val="List Paragraph1"/>
    <w:basedOn w:val="1041"/>
    <w:uiPriority w:val="0"/>
    <w:qFormat/>
    <w:pPr>
      <w:ind w:firstLine="420"/>
    </w:pPr>
    <w:rPr>
      <w:rFonts w:ascii="Calibri" w:hAnsi="Calibri"/>
      <w:szCs w:val="22"/>
    </w:rPr>
  </w:style>
  <w:style w:type="paragraph" w:styleId="1369" w:customStyle="1">
    <w:name w:val="项目符号1"/>
    <w:basedOn w:val="1370"/>
    <w:uiPriority w:val="0"/>
    <w:qFormat/>
    <w:pPr>
      <w:ind w:left="-25" w:firstLine="0"/>
    </w:pPr>
  </w:style>
  <w:style w:type="paragraph" w:styleId="1370" w:customStyle="1">
    <w:name w:val="正文文本样式"/>
    <w:basedOn w:val="1041"/>
    <w:uiPriority w:val="0"/>
    <w:qFormat/>
    <w:pPr>
      <w:ind w:firstLine="482"/>
      <w:spacing w:line="360" w:lineRule="auto"/>
    </w:pPr>
    <w:rPr>
      <w:rFonts w:cs="宋体"/>
      <w:sz w:val="24"/>
      <w:szCs w:val="20"/>
    </w:rPr>
  </w:style>
  <w:style w:type="paragraph" w:styleId="1371" w:customStyle="1">
    <w:name w:val="xl27"/>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2"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373" w:customStyle="1">
    <w:name w:val="五级条标题"/>
    <w:basedOn w:val="1364"/>
    <w:next w:val="1041"/>
    <w:uiPriority w:val="0"/>
    <w:qFormat/>
    <w:pPr>
      <w:numPr>
        <w:ilvl w:val="5"/>
      </w:numPr>
      <w:ind w:left="0" w:hanging="840"/>
      <w:outlineLvl w:val="5"/>
    </w:pPr>
  </w:style>
  <w:style w:type="paragraph" w:styleId="1374" w:customStyle="1">
    <w:name w:val="xl49"/>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5" w:customStyle="1">
    <w:name w:val="文档正文"/>
    <w:basedOn w:val="1041"/>
    <w:uiPriority w:val="0"/>
    <w:qFormat/>
    <w:pPr>
      <w:spacing w:before="120" w:after="120" w:line="180" w:lineRule="auto"/>
    </w:pPr>
    <w:rPr>
      <w:rFonts w:ascii="Arial" w:hAnsi="Arial"/>
      <w:szCs w:val="20"/>
    </w:rPr>
  </w:style>
  <w:style w:type="paragraph" w:styleId="1376" w:customStyle="1">
    <w:name w:val="xl33"/>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7" w:customStyle="1">
    <w:name w:val="xl42"/>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8" w:customStyle="1">
    <w:name w:val="Char Char Char1 Char"/>
    <w:basedOn w:val="1041"/>
    <w:uiPriority w:val="0"/>
    <w:qFormat/>
    <w:rPr>
      <w:rFonts w:ascii="Tahoma" w:hAnsi="Tahoma"/>
      <w:sz w:val="24"/>
      <w:szCs w:val="20"/>
    </w:rPr>
  </w:style>
  <w:style w:type="paragraph" w:styleId="1379" w:customStyle="1">
    <w:name w:val="xl44"/>
    <w:basedOn w:val="10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0" w:customStyle="1">
    <w:name w:val="1名"/>
    <w:basedOn w:val="1041"/>
    <w:uiPriority w:val="0"/>
    <w:qFormat/>
    <w:pPr>
      <w:numPr>
        <w:ilvl w:val="0"/>
        <w:numId w:val="5"/>
      </w:numPr>
      <w:spacing w:before="120"/>
    </w:pPr>
    <w:rPr>
      <w:rFonts w:ascii="宋体"/>
      <w:sz w:val="28"/>
      <w:szCs w:val="20"/>
    </w:rPr>
  </w:style>
  <w:style w:type="paragraph" w:styleId="1381"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82" w:customStyle="1">
    <w:name w:val="Char Char Char1 Char1"/>
    <w:basedOn w:val="1041"/>
    <w:uiPriority w:val="0"/>
    <w:qFormat/>
    <w:rPr>
      <w:rFonts w:ascii="Tahoma" w:hAnsi="Tahoma"/>
      <w:sz w:val="24"/>
      <w:szCs w:val="20"/>
    </w:rPr>
  </w:style>
  <w:style w:type="paragraph" w:styleId="1383" w:customStyle="1">
    <w:name w:val="Char Char Char Char Char Char Char Char Char Char"/>
    <w:basedOn w:val="1041"/>
    <w:uiPriority w:val="0"/>
    <w:qFormat/>
  </w:style>
  <w:style w:type="paragraph" w:styleId="1384"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385" w:customStyle="1">
    <w:name w:val="Char1"/>
    <w:basedOn w:val="1041"/>
    <w:uiPriority w:val="0"/>
    <w:qFormat/>
    <w:pPr>
      <w:tabs>
        <w:tab w:val="left" w:pos="360" w:leader="none"/>
      </w:tabs>
    </w:pPr>
    <w:rPr>
      <w:sz w:val="24"/>
    </w:rPr>
  </w:style>
  <w:style w:type="paragraph" w:styleId="1386" w:customStyle="1">
    <w:name w:val="正文列项_字母"/>
    <w:basedOn w:val="104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7" w:customStyle="1">
    <w:name w:val="xl28"/>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8" w:customStyle="1">
    <w:name w:val="xl47"/>
    <w:basedOn w:val="10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9" w:customStyle="1">
    <w:name w:val="默认段落字体 Para Char Char Char Char"/>
    <w:basedOn w:val="1041"/>
    <w:uiPriority w:val="0"/>
    <w:qFormat/>
    <w:rPr>
      <w:rFonts w:ascii="Arial" w:hAnsi="Arial" w:cs="Arial"/>
      <w:szCs w:val="21"/>
    </w:rPr>
  </w:style>
  <w:style w:type="paragraph" w:styleId="1390" w:customStyle="1">
    <w:name w:val="xl48"/>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1" w:customStyle="1">
    <w:name w:val="xl31"/>
    <w:basedOn w:val="10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2" w:customStyle="1">
    <w:name w:val="xl53"/>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3" w:customStyle="1">
    <w:name w:val="Char Char Char"/>
    <w:basedOn w:val="1041"/>
    <w:uiPriority w:val="0"/>
    <w:qFormat/>
    <w:rPr>
      <w:rFonts w:ascii="Tahoma" w:hAnsi="Tahoma"/>
      <w:sz w:val="24"/>
      <w:szCs w:val="20"/>
    </w:rPr>
  </w:style>
  <w:style w:type="paragraph" w:styleId="1394" w:customStyle="1">
    <w:name w:val="xl50"/>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5" w:customStyle="1">
    <w:name w:val="缺省文本"/>
    <w:basedOn w:val="1041"/>
    <w:uiPriority w:val="0"/>
    <w:qFormat/>
    <w:pPr>
      <w:jc w:val="left"/>
    </w:pPr>
    <w:rPr>
      <w:sz w:val="24"/>
    </w:rPr>
  </w:style>
  <w:style w:type="paragraph" w:styleId="1396" w:customStyle="1">
    <w:name w:val="Char Char Char1"/>
    <w:basedOn w:val="1041"/>
    <w:uiPriority w:val="0"/>
    <w:qFormat/>
    <w:rPr>
      <w:rFonts w:ascii="Tahoma" w:hAnsi="Tahoma"/>
      <w:sz w:val="24"/>
      <w:szCs w:val="20"/>
    </w:rPr>
  </w:style>
  <w:style w:type="paragraph" w:styleId="1397" w:customStyle="1">
    <w:name w:val="Char Char Char Char Char Char Char1"/>
    <w:basedOn w:val="1041"/>
    <w:uiPriority w:val="0"/>
    <w:qFormat/>
    <w:pPr>
      <w:ind w:firstLine="200"/>
      <w:spacing w:line="360" w:lineRule="auto"/>
    </w:pPr>
    <w:rPr>
      <w:rFonts w:eastAsia="仿宋_GB2312"/>
      <w:sz w:val="24"/>
    </w:rPr>
  </w:style>
  <w:style w:type="paragraph" w:styleId="1398" w:customStyle="1">
    <w:name w:val="xl51"/>
    <w:basedOn w:val="10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9" w:customStyle="1">
    <w:name w:val="样式2"/>
    <w:basedOn w:val="1288"/>
    <w:uiPriority w:val="0"/>
    <w:qFormat/>
    <w:pPr>
      <w:jc w:val="center"/>
      <w:spacing w:line="360" w:lineRule="auto"/>
    </w:pPr>
    <w:rPr>
      <w:sz w:val="24"/>
    </w:rPr>
  </w:style>
  <w:style w:type="paragraph" w:styleId="1400" w:customStyle="1">
    <w:name w:val="xl24"/>
    <w:basedOn w:val="10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1" w:customStyle="1">
    <w:name w:val="xl29"/>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2" w:customStyle="1">
    <w:name w:val="正文 + 楷体_GB2312"/>
    <w:basedOn w:val="1041"/>
    <w:uiPriority w:val="0"/>
    <w:qFormat/>
    <w:pPr>
      <w:jc w:val="left"/>
      <w:widowControl/>
    </w:pPr>
    <w:rPr>
      <w:rFonts w:ascii="楷体_GB2312" w:eastAsia="楷体_GB2312" w:cs="Arial"/>
      <w:sz w:val="24"/>
    </w:rPr>
  </w:style>
  <w:style w:type="paragraph" w:styleId="1403" w:customStyle="1">
    <w:name w:val="xl34"/>
    <w:basedOn w:val="10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4" w:customStyle="1">
    <w:name w:val="1 Char Char Char Char"/>
    <w:basedOn w:val="1041"/>
    <w:uiPriority w:val="0"/>
    <w:qFormat/>
    <w:rPr>
      <w:rFonts w:ascii="Tahoma" w:hAnsi="Tahoma"/>
      <w:sz w:val="24"/>
      <w:szCs w:val="20"/>
    </w:rPr>
  </w:style>
  <w:style w:type="paragraph" w:styleId="1405" w:customStyle="1">
    <w:name w:val="列出段落1"/>
    <w:basedOn w:val="1041"/>
    <w:uiPriority w:val="0"/>
    <w:qFormat/>
    <w:pPr>
      <w:ind w:firstLine="420"/>
    </w:pPr>
    <w:rPr>
      <w:rFonts w:ascii="Calibri" w:hAnsi="Calibri"/>
      <w:szCs w:val="22"/>
    </w:rPr>
  </w:style>
  <w:style w:type="paragraph" w:styleId="1406"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407" w:customStyle="1">
    <w:name w:val="字元 字元1"/>
    <w:basedOn w:val="1041"/>
    <w:uiPriority w:val="0"/>
    <w:qFormat/>
    <w:rPr>
      <w:rFonts w:ascii="Tahoma" w:hAnsi="Tahoma"/>
      <w:sz w:val="24"/>
      <w:szCs w:val="20"/>
    </w:rPr>
  </w:style>
  <w:style w:type="paragraph" w:styleId="1408" w:customStyle="1">
    <w:name w:val="_Style 160"/>
    <w:uiPriority w:val="0"/>
    <w:qFormat/>
    <w:rPr>
      <w:rFonts w:ascii="Times New Roman" w:hAnsi="Times New Roman" w:eastAsia="宋体" w:cs="Times New Roman"/>
      <w:sz w:val="21"/>
      <w:szCs w:val="24"/>
      <w:lang w:val="en-US" w:eastAsia="zh-CN" w:bidi="ar-SA"/>
    </w:rPr>
  </w:style>
  <w:style w:type="paragraph" w:styleId="1409" w:customStyle="1">
    <w:name w:val="项目编号3"/>
    <w:basedOn w:val="1370"/>
    <w:uiPriority w:val="0"/>
    <w:qFormat/>
    <w:pPr>
      <w:numPr>
        <w:ilvl w:val="0"/>
        <w:numId w:val="6"/>
      </w:numPr>
    </w:pPr>
  </w:style>
  <w:style w:type="paragraph" w:styleId="1410" w:customStyle="1">
    <w:name w:val="Char21"/>
    <w:basedOn w:val="1041"/>
    <w:uiPriority w:val="0"/>
    <w:qFormat/>
    <w:rPr>
      <w:rFonts w:ascii="Tahoma" w:hAnsi="Tahoma"/>
      <w:sz w:val="24"/>
      <w:szCs w:val="20"/>
    </w:rPr>
  </w:style>
  <w:style w:type="paragraph" w:styleId="1411" w:customStyle="1">
    <w:name w:val="表格文字"/>
    <w:basedOn w:val="1266"/>
    <w:uiPriority w:val="0"/>
    <w:qFormat/>
    <w:pPr>
      <w:ind w:firstLine="0"/>
      <w:spacing w:before="20" w:after="20" w:line="240" w:lineRule="auto"/>
    </w:pPr>
    <w:rPr>
      <w:rFonts w:ascii="Century Gothic" w:hAnsi="Century Gothic"/>
      <w:sz w:val="20"/>
      <w:szCs w:val="20"/>
    </w:rPr>
  </w:style>
  <w:style w:type="paragraph" w:styleId="1412" w:customStyle="1">
    <w:name w:val="Char Char Char Char Char Char Char Char Char Char1"/>
    <w:basedOn w:val="1041"/>
    <w:uiPriority w:val="0"/>
    <w:qFormat/>
    <w:rPr>
      <w:rFonts w:ascii="宋体" w:hAnsi="宋体" w:cs="Courier New"/>
      <w:sz w:val="32"/>
      <w:szCs w:val="32"/>
    </w:rPr>
  </w:style>
  <w:style w:type="paragraph" w:styleId="1413" w:customStyle="1">
    <w:name w:val="正文文本样式 加粗"/>
    <w:basedOn w:val="1370"/>
    <w:uiPriority w:val="0"/>
    <w:qFormat/>
    <w:rPr>
      <w:b/>
    </w:rPr>
  </w:style>
  <w:style w:type="paragraph" w:styleId="1414" w:customStyle="1">
    <w:name w:val="Char2 Char Char Char Char Char Char"/>
    <w:basedOn w:val="1041"/>
    <w:uiPriority w:val="0"/>
    <w:qFormat/>
    <w:pPr>
      <w:jc w:val="center"/>
      <w:spacing w:line="400" w:lineRule="exact"/>
      <w:widowControl/>
    </w:pPr>
  </w:style>
  <w:style w:type="paragraph" w:styleId="1415" w:customStyle="1">
    <w:name w:val="Char Char4"/>
    <w:basedOn w:val="1041"/>
    <w:uiPriority w:val="0"/>
    <w:qFormat/>
    <w:pPr>
      <w:jc w:val="center"/>
      <w:spacing w:line="400" w:lineRule="exact"/>
      <w:widowControl/>
    </w:pPr>
  </w:style>
  <w:style w:type="paragraph" w:styleId="1416" w:customStyle="1">
    <w:name w:val="Char3 Char Char Char1"/>
    <w:basedOn w:val="1041"/>
    <w:uiPriority w:val="0"/>
    <w:qFormat/>
    <w:rPr>
      <w:rFonts w:ascii="Tahoma" w:hAnsi="Tahoma"/>
      <w:sz w:val="24"/>
      <w:szCs w:val="20"/>
    </w:rPr>
  </w:style>
  <w:style w:type="paragraph" w:styleId="141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18" w:customStyle="1">
    <w:name w:val="22222222222222"/>
    <w:basedOn w:val="1041"/>
    <w:uiPriority w:val="0"/>
    <w:qFormat/>
    <w:pPr>
      <w:ind w:firstLine="480"/>
      <w:jc w:val="left"/>
      <w:spacing w:line="360" w:lineRule="auto"/>
      <w:widowControl/>
    </w:pPr>
    <w:rPr>
      <w:color w:val="ff0000"/>
      <w:sz w:val="24"/>
      <w:szCs w:val="20"/>
    </w:rPr>
  </w:style>
  <w:style w:type="character" w:styleId="1419" w:customStyle="1">
    <w:name w:val="中等深浅网格 1 - 强调文字颜色 2 Char"/>
    <w:link w:val="1420"/>
    <w:uiPriority w:val="0"/>
    <w:qFormat/>
    <w:rPr>
      <w:sz w:val="21"/>
      <w:szCs w:val="24"/>
      <w:lang w:val="zh-CN" w:eastAsia="zh-CN" w:bidi="ar-SA"/>
    </w:rPr>
  </w:style>
  <w:style w:type="paragraph" w:styleId="1420" w:customStyle="1">
    <w:name w:val="1"/>
    <w:link w:val="1419"/>
    <w:uiPriority w:val="0"/>
    <w:qFormat/>
    <w:rPr>
      <w:rFonts w:ascii="Times New Roman" w:hAnsi="Times New Roman" w:eastAsia="宋体" w:cs="Times New Roman"/>
      <w:sz w:val="21"/>
      <w:szCs w:val="24"/>
      <w:lang w:val="zh-CN" w:eastAsia="zh-CN" w:bidi="ar-SA"/>
    </w:rPr>
  </w:style>
  <w:style w:type="paragraph" w:styleId="1421" w:customStyle="1">
    <w:name w:val="图文"/>
    <w:basedOn w:val="1041"/>
    <w:uiPriority w:val="0"/>
    <w:qFormat/>
    <w:pPr>
      <w:spacing w:after="50" w:line="360" w:lineRule="auto"/>
    </w:pPr>
    <w:rPr>
      <w:sz w:val="24"/>
    </w:rPr>
  </w:style>
  <w:style w:type="paragraph" w:styleId="1422" w:customStyle="1">
    <w:name w:val="xl23"/>
    <w:basedOn w:val="1041"/>
    <w:uiPriority w:val="0"/>
    <w:qFormat/>
    <w:pPr>
      <w:spacing w:before="100" w:beforeAutospacing="1" w:after="100" w:afterAutospacing="1" w:line="360" w:lineRule="auto"/>
      <w:widowControl/>
    </w:pPr>
    <w:rPr>
      <w:sz w:val="24"/>
      <w:szCs w:val="20"/>
    </w:rPr>
  </w:style>
  <w:style w:type="paragraph" w:styleId="1423" w:customStyle="1">
    <w:name w:val="正文表格"/>
    <w:basedOn w:val="1041"/>
    <w:link w:val="1424"/>
    <w:uiPriority w:val="0"/>
    <w:qFormat/>
    <w:pPr>
      <w:jc w:val="left"/>
    </w:pPr>
    <w:rPr>
      <w:rFonts w:ascii="宋体" w:hAnsi="宋体"/>
      <w:color w:val="000000"/>
      <w:szCs w:val="21"/>
    </w:rPr>
  </w:style>
  <w:style w:type="character" w:styleId="1424" w:customStyle="1">
    <w:name w:val="正文表格 Char"/>
    <w:link w:val="1423"/>
    <w:uiPriority w:val="0"/>
    <w:qFormat/>
    <w:rPr>
      <w:rFonts w:ascii="宋体" w:hAnsi="宋体"/>
      <w:color w:val="000000"/>
      <w:sz w:val="21"/>
      <w:szCs w:val="21"/>
    </w:rPr>
  </w:style>
  <w:style w:type="paragraph" w:styleId="1425" w:customStyle="1">
    <w:name w:val="正文重点"/>
    <w:basedOn w:val="1041"/>
    <w:link w:val="1426"/>
    <w:uiPriority w:val="0"/>
    <w:qFormat/>
    <w:pPr>
      <w:ind w:firstLine="482"/>
      <w:jc w:val="left"/>
      <w:spacing w:line="360" w:lineRule="auto"/>
    </w:pPr>
    <w:rPr>
      <w:b/>
      <w:sz w:val="24"/>
      <w:szCs w:val="20"/>
    </w:rPr>
  </w:style>
  <w:style w:type="character" w:styleId="1426" w:customStyle="1">
    <w:name w:val="正文重点 Char"/>
    <w:link w:val="1425"/>
    <w:uiPriority w:val="0"/>
    <w:qFormat/>
    <w:rPr>
      <w:b/>
      <w:sz w:val="24"/>
    </w:rPr>
  </w:style>
  <w:style w:type="paragraph" w:styleId="1427" w:customStyle="1">
    <w:name w:val="标题1-附件"/>
    <w:basedOn w:val="1235"/>
    <w:uiPriority w:val="0"/>
    <w:qFormat/>
    <w:pPr>
      <w:jc w:val="left"/>
    </w:pPr>
    <w:rPr>
      <w:sz w:val="24"/>
      <w:szCs w:val="24"/>
    </w:rPr>
  </w:style>
  <w:style w:type="paragraph" w:styleId="1428" w:customStyle="1">
    <w:name w:val="正文小标题"/>
    <w:basedOn w:val="1041"/>
    <w:next w:val="1237"/>
    <w:link w:val="1429"/>
    <w:uiPriority w:val="0"/>
    <w:qFormat/>
    <w:pPr>
      <w:ind w:firstLine="482"/>
      <w:jc w:val="left"/>
      <w:spacing w:before="312" w:after="312"/>
    </w:pPr>
    <w:rPr>
      <w:rFonts w:ascii="宋体" w:hAnsi="宋体"/>
      <w:b/>
      <w:i/>
      <w:color w:val="ff0000"/>
      <w:sz w:val="24"/>
      <w:szCs w:val="20"/>
    </w:rPr>
  </w:style>
  <w:style w:type="character" w:styleId="1429" w:customStyle="1">
    <w:name w:val="正文小标题 Char"/>
    <w:link w:val="1428"/>
    <w:uiPriority w:val="0"/>
    <w:qFormat/>
    <w:rPr>
      <w:rFonts w:ascii="宋体" w:hAnsi="宋体"/>
      <w:b/>
      <w:i/>
      <w:color w:val="ff0000"/>
      <w:sz w:val="24"/>
    </w:rPr>
  </w:style>
  <w:style w:type="paragraph" w:styleId="1430" w:customStyle="1">
    <w:name w:val="正文大标题"/>
    <w:basedOn w:val="1428"/>
    <w:next w:val="1237"/>
    <w:link w:val="1431"/>
    <w:uiPriority w:val="0"/>
    <w:qFormat/>
    <w:pPr>
      <w:jc w:val="center"/>
    </w:pPr>
    <w:rPr>
      <w:i w:val="0"/>
      <w:color w:val="000000"/>
      <w:sz w:val="28"/>
      <w:szCs w:val="21"/>
    </w:rPr>
  </w:style>
  <w:style w:type="character" w:styleId="1431" w:customStyle="1">
    <w:name w:val="正文大标题 Char"/>
    <w:link w:val="1430"/>
    <w:uiPriority w:val="0"/>
    <w:qFormat/>
    <w:rPr>
      <w:rFonts w:ascii="宋体" w:hAnsi="宋体"/>
      <w:b/>
      <w:color w:val="000000"/>
      <w:sz w:val="28"/>
      <w:szCs w:val="21"/>
    </w:rPr>
  </w:style>
  <w:style w:type="paragraph" w:styleId="1432" w:customStyle="1">
    <w:name w:val="注释"/>
    <w:basedOn w:val="1041"/>
    <w:link w:val="1433"/>
    <w:uiPriority w:val="0"/>
    <w:qFormat/>
    <w:pPr>
      <w:ind w:left="420" w:hanging="420"/>
      <w:jc w:val="left"/>
    </w:pPr>
    <w:rPr>
      <w:rFonts w:ascii="宋体" w:hAnsi="宋体"/>
      <w:szCs w:val="21"/>
    </w:rPr>
  </w:style>
  <w:style w:type="character" w:styleId="1433" w:customStyle="1">
    <w:name w:val="注释 Char"/>
    <w:link w:val="1432"/>
    <w:uiPriority w:val="0"/>
    <w:qFormat/>
    <w:rPr>
      <w:rFonts w:ascii="宋体" w:hAnsi="宋体"/>
      <w:sz w:val="21"/>
      <w:szCs w:val="21"/>
    </w:rPr>
  </w:style>
  <w:style w:type="paragraph" w:styleId="1434" w:customStyle="1">
    <w:name w:val="正文须知-1级"/>
    <w:basedOn w:val="1041"/>
    <w:next w:val="1041"/>
    <w:uiPriority w:val="0"/>
    <w:qFormat/>
    <w:pPr>
      <w:numPr>
        <w:ilvl w:val="0"/>
        <w:numId w:val="7"/>
      </w:numPr>
      <w:spacing w:line="300" w:lineRule="auto"/>
    </w:pPr>
    <w:rPr>
      <w:rFonts w:ascii="宋体" w:hAnsi="Calibri"/>
      <w:sz w:val="24"/>
      <w:szCs w:val="21"/>
    </w:rPr>
  </w:style>
  <w:style w:type="paragraph" w:styleId="1435" w:customStyle="1">
    <w:name w:val="正文须知-2级"/>
    <w:basedOn w:val="1041"/>
    <w:uiPriority w:val="0"/>
    <w:qFormat/>
    <w:pPr>
      <w:numPr>
        <w:ilvl w:val="1"/>
        <w:numId w:val="7"/>
      </w:numPr>
      <w:spacing w:line="300" w:lineRule="auto"/>
    </w:pPr>
    <w:rPr>
      <w:rFonts w:ascii="宋体" w:hAnsi="Calibri"/>
      <w:sz w:val="24"/>
      <w:szCs w:val="21"/>
    </w:rPr>
  </w:style>
  <w:style w:type="paragraph" w:styleId="1436" w:customStyle="1">
    <w:name w:val="正文须知-3级"/>
    <w:basedOn w:val="1041"/>
    <w:uiPriority w:val="0"/>
    <w:qFormat/>
    <w:pPr>
      <w:numPr>
        <w:ilvl w:val="2"/>
        <w:numId w:val="7"/>
      </w:numPr>
      <w:ind w:hanging="355"/>
      <w:spacing w:line="300" w:lineRule="auto"/>
    </w:pPr>
    <w:rPr>
      <w:rFonts w:ascii="宋体" w:hAnsi="Calibri"/>
      <w:sz w:val="24"/>
      <w:szCs w:val="21"/>
    </w:rPr>
  </w:style>
  <w:style w:type="character" w:styleId="1437" w:customStyle="1">
    <w:name w:val="纯文本 字符"/>
    <w:uiPriority w:val="99"/>
    <w:qFormat/>
    <w:rPr>
      <w:rFonts w:ascii="宋体" w:hAnsi="Courier New" w:eastAsia="宋体" w:cs="Times New Roman"/>
      <w:sz w:val="21"/>
      <w:szCs w:val="21"/>
      <w:lang w:val="en-US" w:eastAsia="zh-CN" w:bidi="ar-SA"/>
    </w:rPr>
  </w:style>
  <w:style w:type="paragraph" w:styleId="1438" w:customStyle="1">
    <w:name w:val="表格1"/>
    <w:basedOn w:val="1041"/>
    <w:uiPriority w:val="0"/>
    <w:qFormat/>
    <w:pPr>
      <w:ind w:firstLine="480"/>
      <w:jc w:val="center"/>
    </w:pPr>
    <w:rPr>
      <w:sz w:val="24"/>
      <w:szCs w:val="20"/>
    </w:rPr>
  </w:style>
  <w:style w:type="character" w:styleId="1439" w:customStyle="1">
    <w:name w:val="纯文本 字符1"/>
    <w:uiPriority w:val="0"/>
    <w:qFormat/>
    <w:rPr>
      <w:rFonts w:ascii="宋体" w:hAnsi="Courier New"/>
    </w:rPr>
  </w:style>
  <w:style w:type="character" w:styleId="1440" w:customStyle="1">
    <w:name w:val="bjh-p"/>
    <w:uiPriority w:val="0"/>
    <w:qFormat/>
  </w:style>
  <w:style w:type="paragraph" w:styleId="1441"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442" w:customStyle="1">
    <w:name w:val="正文格式 Char"/>
    <w:link w:val="1443"/>
    <w:uiPriority w:val="0"/>
    <w:qFormat/>
    <w:rPr>
      <w:rFonts w:ascii="宋体" w:hAnsi="宋体"/>
      <w:sz w:val="24"/>
      <w:szCs w:val="24"/>
      <w:lang w:val="en-GB"/>
    </w:rPr>
  </w:style>
  <w:style w:type="paragraph" w:styleId="1443" w:customStyle="1">
    <w:name w:val="正文格式"/>
    <w:basedOn w:val="1041"/>
    <w:link w:val="1442"/>
    <w:uiPriority w:val="0"/>
    <w:qFormat/>
    <w:pPr>
      <w:ind w:firstLine="480"/>
      <w:spacing w:line="360" w:lineRule="auto"/>
    </w:pPr>
    <w:rPr>
      <w:rFonts w:ascii="宋体" w:hAnsi="宋体"/>
      <w:sz w:val="24"/>
      <w:lang w:val="en-GB"/>
    </w:rPr>
  </w:style>
  <w:style w:type="character" w:styleId="1444" w:customStyle="1">
    <w:name w:val="标题 3 Char"/>
    <w:uiPriority w:val="0"/>
    <w:qFormat/>
    <w:rPr>
      <w:rFonts w:ascii="宋体" w:eastAsia="宋体"/>
      <w:b/>
      <w:sz w:val="24"/>
      <w:u w:val="single"/>
      <w:lang w:val="en-US" w:eastAsia="zh-CN" w:bidi="ar-SA"/>
    </w:rPr>
  </w:style>
  <w:style w:type="character" w:styleId="1445" w:customStyle="1">
    <w:name w:val="正文缩进 Char"/>
    <w:uiPriority w:val="0"/>
    <w:qFormat/>
    <w:rPr>
      <w:rFonts w:ascii="宋体" w:eastAsia="宋体"/>
      <w:sz w:val="24"/>
      <w:szCs w:val="24"/>
      <w:lang w:val="en-US" w:eastAsia="zh-CN" w:bidi="ar-SA"/>
    </w:rPr>
  </w:style>
  <w:style w:type="character" w:styleId="1446" w:customStyle="1">
    <w:name w:val="Char Char111"/>
    <w:uiPriority w:val="0"/>
    <w:qFormat/>
    <w:rPr>
      <w:rFonts w:ascii="宋体" w:eastAsia="宋体"/>
      <w:b/>
      <w:sz w:val="24"/>
      <w:u w:val="single"/>
      <w:lang w:val="en-US" w:eastAsia="zh-CN" w:bidi="ar-SA"/>
    </w:rPr>
  </w:style>
  <w:style w:type="character" w:styleId="1447" w:customStyle="1">
    <w:name w:val="正文文本缩进 Char"/>
    <w:uiPriority w:val="0"/>
    <w:qFormat/>
    <w:rPr>
      <w:rFonts w:eastAsia="宋体"/>
      <w:sz w:val="24"/>
      <w:szCs w:val="24"/>
      <w:lang w:val="en-US" w:eastAsia="zh-CN" w:bidi="ar-SA"/>
    </w:rPr>
  </w:style>
  <w:style w:type="character" w:styleId="1448" w:customStyle="1">
    <w:name w:val="列出段落 Char"/>
    <w:uiPriority w:val="0"/>
    <w:qFormat/>
    <w:rPr>
      <w:rFonts w:ascii="Calibri" w:hAnsi="Calibri" w:eastAsia="宋体"/>
      <w:sz w:val="21"/>
      <w:szCs w:val="22"/>
      <w:lang w:val="en-US" w:eastAsia="zh-CN" w:bidi="ar-SA"/>
    </w:rPr>
  </w:style>
  <w:style w:type="character" w:styleId="1449" w:customStyle="1">
    <w:name w:val="页眉 Char"/>
    <w:uiPriority w:val="0"/>
    <w:qFormat/>
    <w:rPr>
      <w:rFonts w:eastAsia="宋体"/>
      <w:sz w:val="18"/>
      <w:szCs w:val="18"/>
      <w:lang w:val="en-US" w:eastAsia="zh-CN" w:bidi="ar-SA"/>
    </w:rPr>
  </w:style>
  <w:style w:type="character" w:styleId="1450" w:customStyle="1">
    <w:name w:val="标题 2 Char"/>
    <w:uiPriority w:val="0"/>
    <w:qFormat/>
    <w:rPr>
      <w:rFonts w:ascii="Arial" w:hAnsi="Arial" w:eastAsia="黑体"/>
      <w:b/>
      <w:sz w:val="30"/>
      <w:lang w:val="en-US" w:eastAsia="zh-CN" w:bidi="ar-SA"/>
    </w:rPr>
  </w:style>
  <w:style w:type="paragraph" w:styleId="1451" w:customStyle="1">
    <w:name w:val="字元 字元2"/>
    <w:basedOn w:val="1041"/>
    <w:uiPriority w:val="0"/>
    <w:qFormat/>
    <w:rPr>
      <w:rFonts w:ascii="Tahoma" w:hAnsi="Tahoma"/>
      <w:sz w:val="24"/>
      <w:szCs w:val="20"/>
    </w:rPr>
  </w:style>
  <w:style w:type="paragraph" w:styleId="1452" w:customStyle="1">
    <w:name w:val="Char3 Char Char Char2"/>
    <w:basedOn w:val="1041"/>
    <w:uiPriority w:val="0"/>
    <w:qFormat/>
    <w:rPr>
      <w:rFonts w:ascii="Tahoma" w:hAnsi="Tahoma"/>
      <w:sz w:val="24"/>
      <w:szCs w:val="20"/>
    </w:rPr>
  </w:style>
  <w:style w:type="paragraph" w:styleId="1453" w:customStyle="1">
    <w:name w:val="正文文本缩进2"/>
    <w:basedOn w:val="1041"/>
    <w:uiPriority w:val="0"/>
    <w:qFormat/>
    <w:pPr>
      <w:ind w:firstLine="480"/>
      <w:spacing w:line="480" w:lineRule="exact"/>
    </w:pPr>
    <w:rPr>
      <w:rFonts w:ascii="宋体" w:hAnsi="宋体"/>
      <w:sz w:val="24"/>
      <w:lang w:val="zh-CN"/>
    </w:rPr>
  </w:style>
  <w:style w:type="paragraph" w:styleId="1454" w:customStyle="1">
    <w:name w:val="Char3"/>
    <w:basedOn w:val="1041"/>
    <w:uiPriority w:val="0"/>
    <w:qFormat/>
    <w:pPr>
      <w:tabs>
        <w:tab w:val="left" w:pos="360" w:leader="none"/>
      </w:tabs>
    </w:pPr>
    <w:rPr>
      <w:sz w:val="24"/>
    </w:rPr>
  </w:style>
  <w:style w:type="paragraph" w:styleId="1455"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456"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457" w:customStyle="1">
    <w:name w:val="列出段落2"/>
    <w:basedOn w:val="1041"/>
    <w:uiPriority w:val="0"/>
    <w:qFormat/>
    <w:pPr>
      <w:ind w:firstLine="420"/>
    </w:pPr>
    <w:rPr>
      <w:rFonts w:ascii="Calibri" w:hAnsi="Calibri"/>
      <w:szCs w:val="22"/>
    </w:rPr>
  </w:style>
  <w:style w:type="paragraph" w:styleId="1458" w:customStyle="1">
    <w:name w:val="Char Char Char1 Char2"/>
    <w:basedOn w:val="1041"/>
    <w:uiPriority w:val="0"/>
    <w:qFormat/>
    <w:rPr>
      <w:rFonts w:ascii="Tahoma" w:hAnsi="Tahoma"/>
      <w:sz w:val="24"/>
      <w:szCs w:val="20"/>
    </w:rPr>
  </w:style>
  <w:style w:type="paragraph" w:styleId="1459" w:customStyle="1">
    <w:name w:val="Char Char Char2"/>
    <w:basedOn w:val="1041"/>
    <w:uiPriority w:val="0"/>
    <w:qFormat/>
    <w:rPr>
      <w:rFonts w:ascii="Tahoma" w:hAnsi="Tahoma"/>
      <w:sz w:val="24"/>
      <w:szCs w:val="20"/>
    </w:rPr>
  </w:style>
  <w:style w:type="paragraph" w:styleId="1460" w:customStyle="1">
    <w:name w:val="Char Char Char Char Char Char Char2"/>
    <w:basedOn w:val="1041"/>
    <w:uiPriority w:val="0"/>
    <w:qFormat/>
    <w:pPr>
      <w:ind w:firstLine="200"/>
      <w:spacing w:line="360" w:lineRule="auto"/>
    </w:pPr>
    <w:rPr>
      <w:rFonts w:eastAsia="仿宋_GB2312"/>
      <w:sz w:val="24"/>
    </w:rPr>
  </w:style>
  <w:style w:type="paragraph" w:styleId="1461"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462" w:customStyle="1">
    <w:name w:val="修订1"/>
    <w:uiPriority w:val="0"/>
    <w:qFormat/>
    <w:rPr>
      <w:rFonts w:ascii="Times New Roman" w:hAnsi="Times New Roman" w:eastAsia="宋体" w:cs="Times New Roman"/>
      <w:sz w:val="21"/>
      <w:szCs w:val="24"/>
      <w:lang w:val="en-US" w:eastAsia="zh-CN" w:bidi="ar-SA"/>
    </w:rPr>
  </w:style>
  <w:style w:type="paragraph" w:styleId="1463" w:customStyle="1">
    <w:name w:val="Char22"/>
    <w:basedOn w:val="1041"/>
    <w:uiPriority w:val="0"/>
    <w:qFormat/>
    <w:rPr>
      <w:rFonts w:ascii="Tahoma" w:hAnsi="Tahoma"/>
      <w:sz w:val="24"/>
      <w:szCs w:val="20"/>
    </w:rPr>
  </w:style>
  <w:style w:type="paragraph" w:styleId="1464" w:customStyle="1">
    <w:name w:val="Char Char Char Char Char Char Char Char Char Char2"/>
    <w:basedOn w:val="1041"/>
    <w:uiPriority w:val="0"/>
    <w:qFormat/>
    <w:rPr>
      <w:rFonts w:ascii="宋体" w:hAnsi="宋体" w:cs="Courier New"/>
      <w:sz w:val="32"/>
      <w:szCs w:val="32"/>
    </w:rPr>
  </w:style>
  <w:style w:type="paragraph" w:styleId="1465" w:customStyle="1">
    <w:name w:val="Char2 Char Char Char Char Char Char1"/>
    <w:basedOn w:val="1041"/>
    <w:uiPriority w:val="0"/>
    <w:qFormat/>
    <w:pPr>
      <w:jc w:val="center"/>
      <w:spacing w:line="400" w:lineRule="exact"/>
      <w:widowControl/>
    </w:pPr>
  </w:style>
  <w:style w:type="character" w:styleId="1466" w:customStyle="1">
    <w:name w:val="页脚 Char"/>
    <w:uiPriority w:val="0"/>
    <w:qFormat/>
    <w:rPr>
      <w:rFonts w:ascii="宋体" w:eastAsia="宋体"/>
      <w:sz w:val="18"/>
      <w:lang w:val="en-US" w:eastAsia="zh-CN" w:bidi="ar-SA"/>
    </w:rPr>
  </w:style>
  <w:style w:type="paragraph" w:styleId="1467" w:customStyle="1">
    <w:name w:val="Char Char41"/>
    <w:basedOn w:val="1041"/>
    <w:uiPriority w:val="0"/>
    <w:qFormat/>
    <w:pPr>
      <w:jc w:val="center"/>
      <w:spacing w:line="400" w:lineRule="exact"/>
      <w:widowControl/>
    </w:pPr>
  </w:style>
  <w:style w:type="character" w:styleId="1468" w:customStyle="1">
    <w:name w:val="批注文字 Char"/>
    <w:uiPriority w:val="99"/>
    <w:qFormat/>
    <w:rPr>
      <w:sz w:val="21"/>
      <w:szCs w:val="24"/>
    </w:rPr>
  </w:style>
  <w:style w:type="character" w:styleId="1469" w:customStyle="1">
    <w:name w:val="标题 Char"/>
    <w:uiPriority w:val="0"/>
    <w:qFormat/>
    <w:rPr>
      <w:b/>
      <w:sz w:val="32"/>
    </w:rPr>
  </w:style>
  <w:style w:type="paragraph" w:styleId="1470" w:customStyle="1">
    <w:name w:val="图例"/>
    <w:basedOn w:val="1041"/>
    <w:uiPriority w:val="0"/>
    <w:qFormat/>
    <w:pPr>
      <w:jc w:val="center"/>
      <w:spacing w:before="120" w:after="120" w:line="360" w:lineRule="auto"/>
    </w:pPr>
    <w:rPr>
      <w:rFonts w:eastAsia="仿宋_GB2312"/>
      <w:b/>
      <w:sz w:val="24"/>
      <w:szCs w:val="20"/>
    </w:rPr>
  </w:style>
  <w:style w:type="paragraph" w:styleId="1471" w:customStyle="1">
    <w:name w:val="Table Paragraph"/>
    <w:basedOn w:val="1041"/>
    <w:uiPriority w:val="1"/>
    <w:qFormat/>
    <w:pPr>
      <w:jc w:val="left"/>
    </w:pPr>
    <w:rPr>
      <w:rFonts w:ascii="宋体" w:hAnsi="宋体" w:cs="宋体"/>
      <w:sz w:val="22"/>
      <w:szCs w:val="22"/>
      <w:lang w:eastAsia="en-US"/>
    </w:rPr>
  </w:style>
  <w:style w:type="table" w:styleId="147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3" w:customStyle="1">
    <w:name w:val="成文日期"/>
    <w:basedOn w:val="1041"/>
    <w:link w:val="1474"/>
    <w:uiPriority w:val="0"/>
    <w:qFormat/>
    <w:pPr>
      <w:ind w:right="400" w:firstLine="200"/>
      <w:jc w:val="right"/>
      <w:spacing w:line="570" w:lineRule="exact"/>
    </w:pPr>
    <w:rPr>
      <w:rFonts w:ascii="仿宋_GB2312" w:eastAsia="仿宋_GB2312"/>
      <w:sz w:val="32"/>
      <w:szCs w:val="20"/>
    </w:rPr>
  </w:style>
  <w:style w:type="character" w:styleId="1474" w:customStyle="1">
    <w:name w:val="成文日期 Char"/>
    <w:link w:val="1473"/>
    <w:uiPriority w:val="0"/>
    <w:qFormat/>
    <w:rPr>
      <w:rFonts w:ascii="仿宋_GB2312" w:eastAsia="仿宋_GB2312"/>
      <w:sz w:val="32"/>
    </w:rPr>
  </w:style>
  <w:style w:type="paragraph" w:styleId="1475" w:customStyle="1">
    <w:name w:val="_Style 15"/>
    <w:basedOn w:val="1041"/>
    <w:next w:val="1041"/>
    <w:uiPriority w:val="0"/>
    <w:qFormat/>
    <w:pPr>
      <w:ind w:left="420" w:firstLine="420"/>
      <w:spacing w:after="120"/>
    </w:pPr>
    <w:rPr>
      <w:szCs w:val="22"/>
    </w:rPr>
  </w:style>
  <w:style w:type="paragraph" w:styleId="1476" w:customStyle="1">
    <w:name w:val="修订2"/>
    <w:uiPriority w:val="99"/>
    <w:unhideWhenUsed/>
    <w:qFormat/>
    <w:rPr>
      <w:rFonts w:ascii="Times New Roman" w:hAnsi="Times New Roman" w:eastAsia="宋体" w:cs="Times New Roman"/>
      <w:sz w:val="21"/>
      <w:szCs w:val="24"/>
      <w:lang w:val="en-US" w:eastAsia="zh-CN" w:bidi="ar-SA"/>
    </w:rPr>
  </w:style>
  <w:style w:type="character" w:styleId="1477" w:customStyle="1">
    <w:name w:val="标题 2 Char1"/>
    <w:uiPriority w:val="0"/>
    <w:qFormat/>
    <w:rPr>
      <w:rFonts w:ascii="Arial" w:hAnsi="Arial" w:eastAsia="黑体"/>
      <w:b/>
      <w:sz w:val="30"/>
      <w:lang w:val="en-US" w:eastAsia="zh-CN" w:bidi="ar-SA"/>
    </w:rPr>
  </w:style>
  <w:style w:type="paragraph" w:styleId="1478" w:customStyle="1">
    <w:name w:val="Table Text"/>
    <w:basedOn w:val="1041"/>
    <w:uiPriority w:val="0"/>
    <w:semiHidden/>
    <w:qFormat/>
    <w:rPr>
      <w:rFonts w:ascii="宋体" w:hAnsi="宋体" w:cs="宋体"/>
      <w:sz w:val="24"/>
      <w:lang w:eastAsia="en-US"/>
    </w:rPr>
  </w:style>
  <w:style w:type="paragraph" w:styleId="1479" w:customStyle="1">
    <w:name w:val="Andy_正文"/>
    <w:basedOn w:val="1041"/>
    <w:uiPriority w:val="0"/>
    <w:qFormat/>
    <w:pPr>
      <w:ind w:firstLine="480"/>
      <w:spacing w:line="360" w:lineRule="auto"/>
    </w:pPr>
    <w:rPr>
      <w:sz w:val="24"/>
    </w:rPr>
  </w:style>
  <w:style w:type="paragraph" w:styleId="1480" w:customStyle="1">
    <w:name w:val="首行缩进"/>
    <w:basedOn w:val="1041"/>
    <w:uiPriority w:val="0"/>
    <w:qFormat/>
    <w:pPr>
      <w:ind w:firstLine="480"/>
    </w:pPr>
    <w:rPr>
      <w:szCs w:val="20"/>
      <w:lang w:val="zh-CN"/>
    </w:rPr>
  </w:style>
  <w:style w:type="numbering" w:styleId="1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CE198F-5EF7-493C-A39E-A75082E8D9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王女士</cp:lastModifiedBy>
  <cp:revision>6</cp:revision>
  <dcterms:created xsi:type="dcterms:W3CDTF">2026-09-17T06:06:00Z</dcterms:created>
  <dcterms:modified xsi:type="dcterms:W3CDTF">2026-09-21T01:06:06Z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B79F0BF886D74188800F231AF9F360B8_13</vt:lpwstr>
  </property>
  <property fmtid="{D5CDD505-2E9C-101B-9397-08002B2CF9AE}" pid="4" name="KSOTemplateDocerSaveRecord">
    <vt:lpwstr>eyJoZGlkIjoiOTNhMzI2NTRjOWZlOWViMDkyNmJiNTlmOGVhMDdjZGQiLCJ1c2VySWQiOiIyNDAyNDY5NjEifQ==</vt:lpwstr>
  </property>
</Properties>
</file>