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jc w:val="center"/>
        <w:rPr>
          <w:rFonts w:hint="eastAsia" w:ascii="仿宋" w:hAnsi="仿宋" w:eastAsia="仿宋" w:cs="仿宋"/>
          <w:b/>
          <w:bCs/>
          <w:sz w:val="84"/>
          <w:highlight w:val="none"/>
        </w:rPr>
        <w:outlineLvl w:val="9"/>
      </w:pPr>
      <w:r>
        <w:rPr>
          <w:rFonts w:hint="eastAsia" w:ascii="仿宋" w:hAnsi="仿宋" w:eastAsia="仿宋" w:cs="仿宋"/>
          <w:b/>
          <w:bCs/>
          <w:sz w:val="84"/>
          <w:highlight w:val="none"/>
        </w:rPr>
        <w:t xml:space="preserve">招　标　文　件</w:t>
      </w:r>
      <w:r/>
    </w:p>
    <w:p>
      <w:pPr>
        <w:jc w:val="center"/>
        <w:rPr>
          <w:b/>
          <w:sz w:val="84"/>
          <w:szCs w:val="84"/>
          <w:highlight w:val="none"/>
        </w:rPr>
      </w:pPr>
      <w:r>
        <w:rPr>
          <w:b/>
          <w:sz w:val="84"/>
          <w:szCs w:val="84"/>
          <w:highlight w:val="none"/>
        </w:rPr>
      </w:r>
      <w:r/>
    </w:p>
    <w:p>
      <w:pPr>
        <w:jc w:val="center"/>
        <w:rPr>
          <w:b/>
          <w:sz w:val="84"/>
          <w:szCs w:val="84"/>
          <w:highlight w:val="none"/>
        </w:rPr>
      </w:pPr>
      <w:r>
        <w:rPr>
          <w:b/>
          <w:sz w:val="84"/>
          <w:szCs w:val="84"/>
          <w:highlight w:val="none"/>
        </w:rPr>
      </w:r>
      <w:r/>
    </w:p>
    <w:p>
      <w:pPr>
        <w:pStyle w:val="1033"/>
        <w:ind w:left="0" w:firstLine="0"/>
        <w:jc w:val="center"/>
        <w:pageBreakBefore w:val="0"/>
        <w:spacing w:line="440" w:lineRule="exact"/>
        <w:rPr>
          <w:rFonts w:hint="eastAsia" w:ascii="Times New Roman" w:hAnsi="Times New Roman" w:eastAsia="仿宋" w:cs="Times New Roman"/>
          <w:b/>
          <w:bCs/>
          <w:sz w:val="32"/>
          <w:highlight w:val="none"/>
          <w:lang w:val="en-US" w:eastAsia="zh-CN"/>
        </w:rPr>
      </w:pPr>
      <w:r>
        <w:rPr>
          <w:rFonts w:ascii="Times New Roman" w:hAnsi="Times New Roman" w:eastAsia="仿宋" w:cs="Times New Roman"/>
          <w:b/>
          <w:bCs/>
          <w:sz w:val="32"/>
          <w:highlight w:val="none"/>
        </w:rPr>
        <w:t xml:space="preserve">项目名称：</w:t>
      </w:r>
      <w:r>
        <w:rPr>
          <w:rFonts w:hint="eastAsia" w:ascii="Times New Roman" w:hAnsi="Times New Roman" w:eastAsia="仿宋" w:cs="Times New Roman"/>
          <w:b/>
          <w:bCs/>
          <w:sz w:val="32"/>
          <w:highlight w:val="none"/>
          <w:lang w:eastAsia="zh-CN"/>
        </w:rPr>
        <w:t xml:space="preserve">如东县住房和城乡建设局采购2026-2028年度如东县县城市政基础设施养护服务、应急抢修服务项目（道路、桥梁、交通设施）</w:t>
      </w:r>
      <w:r/>
    </w:p>
    <w:p>
      <w:pPr>
        <w:pStyle w:val="1033"/>
        <w:ind w:left="0" w:firstLine="0"/>
        <w:jc w:val="center"/>
        <w:pageBreakBefore w:val="0"/>
        <w:spacing w:line="440" w:lineRule="exact"/>
        <w:rPr>
          <w:rFonts w:hint="eastAsia" w:ascii="Times New Roman" w:hAnsi="Times New Roman" w:eastAsia="仿宋" w:cs="Times New Roman"/>
          <w:b/>
          <w:sz w:val="30"/>
          <w:szCs w:val="30"/>
          <w:highlight w:val="none"/>
          <w:lang w:eastAsia="zh-CN"/>
        </w:rPr>
      </w:pPr>
      <w:r>
        <w:rPr>
          <w:rFonts w:ascii="Times New Roman" w:hAnsi="Times New Roman" w:eastAsia="仿宋" w:cs="Times New Roman"/>
          <w:b/>
          <w:bCs/>
          <w:sz w:val="32"/>
          <w:highlight w:val="none"/>
        </w:rPr>
        <w:t xml:space="preserve">项目编号：</w:t>
      </w:r>
      <w:r>
        <w:rPr>
          <w:rFonts w:hint="eastAsia" w:ascii="Times New Roman" w:hAnsi="Times New Roman" w:eastAsia="仿宋" w:cs="Times New Roman"/>
          <w:b/>
          <w:bCs/>
          <w:sz w:val="32"/>
          <w:highlight w:val="none"/>
          <w:lang w:eastAsia="zh-CN"/>
        </w:rPr>
        <w:t xml:space="preserve">JSZC-320623-NTJR-G2026-0031</w:t>
      </w:r>
      <w:r>
        <w:rPr>
          <w:rFonts w:hint="eastAsia" w:ascii="Times New Roman" w:hAnsi="Times New Roman" w:eastAsia="仿宋" w:cs="Times New Roman"/>
          <w:b w:val="0"/>
          <w:bCs w:val="0"/>
          <w:sz w:val="32"/>
          <w:highlight w:val="none"/>
          <w:lang w:val="en-US" w:eastAsia="zh-CN"/>
        </w:rPr>
        <w:t xml:space="preserve"> </w:t>
      </w:r>
      <w:r/>
    </w:p>
    <w:p>
      <w:pPr>
        <w:ind w:left="2811" w:hanging="2811"/>
        <w:jc w:val="center"/>
        <w:pageBreakBefore w:val="0"/>
        <w:spacing w:line="440" w:lineRule="exact"/>
        <w:rPr>
          <w:rFonts w:ascii="Times New Roman" w:hAnsi="Times New Roman" w:eastAsia="仿宋" w:cs="Times New Roman"/>
          <w:b/>
          <w:color w:val="ff0000"/>
          <w:sz w:val="28"/>
          <w:szCs w:val="28"/>
          <w:highlight w:val="none"/>
        </w:rPr>
      </w:pPr>
      <w:r>
        <w:rPr>
          <w:rFonts w:ascii="Times New Roman" w:hAnsi="Times New Roman" w:eastAsia="仿宋" w:cs="Times New Roman"/>
          <w:b/>
          <w:color w:val="ff0000"/>
          <w:sz w:val="28"/>
          <w:szCs w:val="28"/>
          <w:highlight w:val="none"/>
        </w:rPr>
        <w:t xml:space="preserve">（全流程电子化-</w:t>
      </w:r>
      <w:r>
        <w:rPr>
          <w:rFonts w:hint="eastAsia" w:eastAsia="仿宋" w:cs="Times New Roman"/>
          <w:b/>
          <w:color w:val="ff0000"/>
          <w:sz w:val="28"/>
          <w:szCs w:val="28"/>
          <w:highlight w:val="none"/>
          <w:lang w:val="en-US" w:eastAsia="zh-CN"/>
        </w:rPr>
        <w:t xml:space="preserve">服务</w:t>
      </w:r>
      <w:r>
        <w:rPr>
          <w:rFonts w:ascii="Times New Roman" w:hAnsi="Times New Roman" w:eastAsia="仿宋" w:cs="Times New Roman"/>
          <w:b/>
          <w:color w:val="ff0000"/>
          <w:sz w:val="28"/>
          <w:szCs w:val="28"/>
          <w:highlight w:val="none"/>
        </w:rPr>
        <w:t xml:space="preserve">类项目，适用苏采云系统）</w:t>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pageBreakBefore w:val="0"/>
        <w:spacing w:before="0" w:after="0" w:line="440" w:lineRule="exact"/>
        <w:rPr>
          <w:rFonts w:ascii="Times New Roman" w:hAnsi="Times New Roman" w:eastAsia="仿宋" w:cs="Times New Roman"/>
          <w:highlight w:val="none"/>
        </w:rPr>
      </w:pPr>
      <w:r>
        <w:rPr>
          <w:rFonts w:ascii="Times New Roman" w:hAnsi="Times New Roman" w:eastAsia="仿宋" w:cs="Times New Roman"/>
          <w:highlight w:val="none"/>
        </w:rPr>
      </w:r>
      <w:r/>
    </w:p>
    <w:p>
      <w:pPr>
        <w:pStyle w:val="1033"/>
        <w:ind w:firstLine="0"/>
        <w:jc w:val="center"/>
        <w:pageBreakBefore w:val="0"/>
        <w:spacing w:line="440" w:lineRule="exact"/>
        <w:rPr>
          <w:rFonts w:ascii="Times New Roman" w:hAnsi="Times New Roman" w:eastAsia="仿宋" w:cs="Times New Roman"/>
          <w:b/>
          <w:bCs/>
          <w:sz w:val="32"/>
          <w:highlight w:val="none"/>
        </w:rPr>
      </w:pPr>
      <w:r>
        <w:rPr>
          <w:rFonts w:ascii="Times New Roman" w:hAnsi="Times New Roman" w:eastAsia="仿宋" w:cs="Times New Roman"/>
          <w:b/>
          <w:bCs/>
          <w:sz w:val="32"/>
          <w:highlight w:val="none"/>
          <w:lang w:val="en-US" w:eastAsia="zh-CN"/>
        </w:rPr>
        <w:t xml:space="preserve">2026</w:t>
      </w:r>
      <w:r>
        <w:rPr>
          <w:rFonts w:ascii="Times New Roman" w:hAnsi="Times New Roman" w:eastAsia="仿宋" w:cs="Times New Roman"/>
          <w:b/>
          <w:bCs/>
          <w:sz w:val="32"/>
          <w:highlight w:val="none"/>
        </w:rPr>
        <w:t xml:space="preserve">年</w:t>
      </w:r>
      <w:r>
        <w:rPr>
          <w:rFonts w:hint="eastAsia" w:ascii="Times New Roman" w:hAnsi="Times New Roman" w:eastAsia="仿宋" w:cs="Times New Roman"/>
          <w:b/>
          <w:bCs/>
          <w:sz w:val="32"/>
          <w:highlight w:val="none"/>
          <w:lang w:val="en-US" w:eastAsia="zh-CN"/>
        </w:rPr>
        <w:t xml:space="preserve">10</w:t>
      </w:r>
      <w:r>
        <w:rPr>
          <w:rFonts w:ascii="Times New Roman" w:hAnsi="Times New Roman" w:eastAsia="仿宋" w:cs="Times New Roman"/>
          <w:b/>
          <w:bCs/>
          <w:sz w:val="32"/>
          <w:highlight w:val="none"/>
        </w:rPr>
        <w:t xml:space="preserve">月</w:t>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spacing w:line="499" w:lineRule="atLeast"/>
        <w:rPr>
          <w:bCs/>
          <w:sz w:val="36"/>
          <w:szCs w:val="36"/>
          <w:highlight w:val="none"/>
        </w:rPr>
        <w:pBdr>
          <w:top w:val="none" w:color="000000" w:sz="0" w:space="0"/>
          <w:left w:val="none" w:color="000000" w:sz="0" w:space="0"/>
          <w:bottom w:val="none" w:color="000000" w:sz="0" w:space="0"/>
          <w:right w:val="none" w:color="000000" w:sz="0" w:space="0"/>
        </w:pBdr>
      </w:pPr>
      <w:r>
        <w:rPr>
          <w:bCs/>
          <w:sz w:val="36"/>
          <w:szCs w:val="36"/>
          <w:highlight w:val="none"/>
        </w:rPr>
      </w:r>
      <w:r/>
    </w:p>
    <w:p>
      <w:pPr>
        <w:jc w:val="center"/>
        <w:spacing w:line="480" w:lineRule="auto"/>
        <w:rPr>
          <w:rFonts w:hint="eastAsia" w:ascii="仿宋" w:hAnsi="仿宋" w:eastAsia="仿宋" w:cs="仿宋"/>
          <w:b/>
          <w:sz w:val="44"/>
          <w:highlight w:val="none"/>
        </w:rPr>
        <w:outlineLvl w:val="9"/>
      </w:pPr>
      <w:r>
        <w:rPr>
          <w:rFonts w:hint="eastAsia" w:ascii="仿宋" w:hAnsi="仿宋" w:eastAsia="仿宋" w:cs="仿宋"/>
          <w:highlight w:val="none"/>
        </w:rPr>
        <w:t xml:space="preserve"> </w:t>
      </w:r>
      <w:r>
        <w:rPr>
          <w:rFonts w:hint="eastAsia" w:ascii="仿宋" w:hAnsi="仿宋" w:eastAsia="仿宋" w:cs="仿宋"/>
          <w:b/>
          <w:sz w:val="44"/>
          <w:highlight w:val="none"/>
        </w:rPr>
        <w:t xml:space="preserve">总  目  录</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751"/>
        <w:tabs>
          <w:tab w:val="right" w:pos="8953" w:leader="dot"/>
        </w:tabs>
        <w:rPr>
          <w:rFonts w:hint="eastAsia" w:ascii="仿宋" w:hAnsi="仿宋" w:eastAsia="仿宋" w:cs="仿宋"/>
          <w:sz w:val="36"/>
          <w:szCs w:val="36"/>
          <w:highlight w:val="none"/>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TOC \o "1-1" \h \u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_Toc24051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第一章  投标邀请</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PAGEREF _Toc24051 \h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2</w:t>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rPr>
        <w:fldChar w:fldCharType="end"/>
      </w:r>
      <w:r/>
    </w:p>
    <w:p>
      <w:pPr>
        <w:pStyle w:val="751"/>
        <w:tabs>
          <w:tab w:val="right" w:pos="8953" w:leader="dot"/>
        </w:tabs>
        <w:rPr>
          <w:rFonts w:hint="eastAsia" w:ascii="仿宋" w:hAnsi="仿宋" w:eastAsia="仿宋" w:cs="仿宋"/>
          <w:sz w:val="36"/>
          <w:szCs w:val="36"/>
          <w:highlight w:val="none"/>
          <w:lang w:val="en-US" w:eastAsia="zh-CN"/>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_Toc4711 </w:instrText>
      </w:r>
      <w:r>
        <w:rPr>
          <w:rFonts w:hint="eastAsia" w:ascii="仿宋" w:hAnsi="仿宋" w:eastAsia="仿宋" w:cs="仿宋"/>
          <w:sz w:val="36"/>
          <w:szCs w:val="36"/>
          <w:highlight w:val="none"/>
        </w:rPr>
        <w:fldChar w:fldCharType="separate"/>
      </w:r>
      <w:r>
        <w:rPr>
          <w:rFonts w:hint="eastAsia" w:ascii="仿宋" w:hAnsi="仿宋" w:eastAsia="仿宋" w:cs="仿宋"/>
          <w:sz w:val="36"/>
          <w:szCs w:val="36"/>
          <w:highlight w:val="none"/>
        </w:rPr>
        <w:t xml:space="preserve">第二章  投标人须知</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lang w:val="en-US" w:eastAsia="zh-CN"/>
        </w:rPr>
        <w:t xml:space="preserve">6</w:t>
      </w:r>
      <w:r/>
    </w:p>
    <w:p>
      <w:pPr>
        <w:pStyle w:val="751"/>
        <w:tabs>
          <w:tab w:val="right" w:pos="8953" w:leader="dot"/>
        </w:tabs>
        <w:rPr>
          <w:rFonts w:hint="default" w:ascii="仿宋" w:hAnsi="仿宋" w:eastAsia="仿宋" w:cs="仿宋"/>
          <w:sz w:val="36"/>
          <w:szCs w:val="36"/>
          <w:highlight w:val="none"/>
          <w:lang w:val="en-US" w:eastAsia="zh-CN"/>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_Toc6531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highlight w:val="none"/>
        </w:rPr>
        <w:t xml:space="preserve">第三章  合同文本</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lang w:val="en-US" w:eastAsia="zh-CN"/>
        </w:rPr>
        <w:t xml:space="preserve">18</w:t>
      </w:r>
      <w:r/>
    </w:p>
    <w:p>
      <w:pPr>
        <w:pStyle w:val="751"/>
        <w:tabs>
          <w:tab w:val="right" w:pos="8953" w:leader="dot"/>
        </w:tabs>
        <w:rPr>
          <w:rFonts w:hint="eastAsia" w:ascii="仿宋" w:hAnsi="仿宋" w:eastAsia="仿宋" w:cs="仿宋"/>
          <w:sz w:val="36"/>
          <w:szCs w:val="36"/>
          <w:highlight w:val="none"/>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_Toc26421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highlight w:val="none"/>
        </w:rPr>
        <w:t xml:space="preserve">第四章 </w:t>
      </w:r>
      <w:r>
        <w:rPr>
          <w:rFonts w:hint="eastAsia" w:ascii="仿宋" w:hAnsi="仿宋" w:eastAsia="仿宋" w:cs="仿宋"/>
          <w:bCs/>
          <w:sz w:val="36"/>
          <w:szCs w:val="36"/>
          <w:highlight w:val="none"/>
          <w:lang w:val="en-US" w:eastAsia="zh-CN"/>
        </w:rPr>
        <w:t xml:space="preserve"> </w:t>
      </w:r>
      <w:r>
        <w:rPr>
          <w:rFonts w:hint="eastAsia" w:ascii="仿宋" w:hAnsi="仿宋" w:eastAsia="仿宋" w:cs="仿宋"/>
          <w:bCs/>
          <w:sz w:val="36"/>
          <w:szCs w:val="36"/>
          <w:highlight w:val="none"/>
        </w:rPr>
        <w:t xml:space="preserve">采购需求</w:t>
      </w:r>
      <w:r>
        <w:rPr>
          <w:rFonts w:hint="eastAsia" w:ascii="仿宋" w:hAnsi="仿宋" w:eastAsia="仿宋" w:cs="仿宋"/>
          <w:sz w:val="36"/>
          <w:szCs w:val="36"/>
          <w:highlight w:val="none"/>
        </w:rPr>
        <w:tab/>
      </w:r>
      <w:r>
        <w:rPr>
          <w:rFonts w:hint="eastAsia" w:ascii="仿宋" w:hAnsi="仿宋" w:eastAsia="仿宋" w:cs="仿宋"/>
          <w:caps/>
          <w:sz w:val="36"/>
          <w:szCs w:val="36"/>
          <w:highlight w:val="none"/>
          <w:lang w:val="en-US" w:eastAsia="zh-CN"/>
        </w:rPr>
        <w:fldChar w:fldCharType="begin"/>
      </w:r>
      <w:r>
        <w:rPr>
          <w:rFonts w:hint="eastAsia" w:ascii="仿宋" w:hAnsi="仿宋" w:eastAsia="仿宋" w:cs="仿宋"/>
          <w:caps/>
          <w:sz w:val="36"/>
          <w:szCs w:val="36"/>
          <w:highlight w:val="none"/>
          <w:lang w:val="en-US" w:eastAsia="zh-CN"/>
        </w:rPr>
        <w:instrText xml:space="preserve"> PAGEREF _Toc26421 \h </w:instrText>
      </w:r>
      <w:r>
        <w:rPr>
          <w:rFonts w:hint="eastAsia" w:ascii="仿宋" w:hAnsi="仿宋" w:eastAsia="仿宋" w:cs="仿宋"/>
          <w:caps/>
          <w:sz w:val="36"/>
          <w:szCs w:val="36"/>
          <w:highlight w:val="none"/>
          <w:lang w:val="en-US" w:eastAsia="zh-CN"/>
        </w:rPr>
        <w:fldChar w:fldCharType="separate"/>
      </w:r>
      <w:r>
        <w:rPr>
          <w:rFonts w:hint="eastAsia" w:ascii="仿宋" w:hAnsi="仿宋" w:eastAsia="仿宋" w:cs="仿宋"/>
          <w:caps/>
          <w:sz w:val="36"/>
          <w:szCs w:val="36"/>
          <w:highlight w:val="none"/>
          <w:lang w:val="en-US" w:eastAsia="zh-CN"/>
        </w:rPr>
        <w:t xml:space="preserve">41</w:t>
      </w:r>
      <w:r>
        <w:rPr>
          <w:rFonts w:hint="eastAsia" w:ascii="仿宋" w:hAnsi="仿宋" w:eastAsia="仿宋" w:cs="仿宋"/>
          <w:caps/>
          <w:sz w:val="36"/>
          <w:szCs w:val="36"/>
          <w:highlight w:val="none"/>
          <w:lang w:val="en-US" w:eastAsia="zh-CN"/>
        </w:rPr>
        <w:fldChar w:fldCharType="end"/>
      </w:r>
      <w:r>
        <w:rPr>
          <w:rFonts w:hint="eastAsia" w:ascii="仿宋" w:hAnsi="仿宋" w:eastAsia="仿宋" w:cs="仿宋"/>
          <w:sz w:val="36"/>
          <w:szCs w:val="36"/>
          <w:highlight w:val="none"/>
        </w:rPr>
        <w:fldChar w:fldCharType="end"/>
      </w:r>
      <w:r/>
    </w:p>
    <w:p>
      <w:pPr>
        <w:pStyle w:val="751"/>
        <w:tabs>
          <w:tab w:val="right" w:pos="8953" w:leader="dot"/>
        </w:tabs>
        <w:rPr>
          <w:rFonts w:hint="default" w:ascii="仿宋" w:hAnsi="仿宋" w:eastAsia="仿宋" w:cs="仿宋"/>
          <w:sz w:val="36"/>
          <w:szCs w:val="36"/>
          <w:highlight w:val="none"/>
          <w:lang w:val="en-US" w:eastAsia="zh-CN"/>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_Toc9154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highlight w:val="none"/>
        </w:rPr>
        <w:t xml:space="preserve">第五章  评标方法与评标标准</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lang w:val="en-US" w:eastAsia="zh-CN"/>
        </w:rPr>
        <w:t xml:space="preserve">76</w:t>
      </w:r>
      <w:r/>
    </w:p>
    <w:p>
      <w:pPr>
        <w:pStyle w:val="751"/>
        <w:tabs>
          <w:tab w:val="right" w:pos="8953" w:leader="dot"/>
        </w:tabs>
        <w:rPr>
          <w:rFonts w:hint="default" w:ascii="仿宋" w:hAnsi="仿宋" w:eastAsia="仿宋" w:cs="仿宋"/>
          <w:sz w:val="36"/>
          <w:szCs w:val="36"/>
          <w:highlight w:val="none"/>
          <w:lang w:val="en-US" w:eastAsia="zh-CN"/>
        </w:rPr>
      </w:pPr>
      <w:r>
        <w:rPr>
          <w:rFonts w:hint="eastAsia" w:ascii="仿宋" w:hAnsi="仿宋" w:eastAsia="仿宋" w:cs="仿宋"/>
          <w:sz w:val="36"/>
          <w:szCs w:val="36"/>
          <w:highlight w:val="none"/>
        </w:rPr>
        <w:fldChar w:fldCharType="begin"/>
      </w:r>
      <w:r>
        <w:rPr>
          <w:rFonts w:hint="eastAsia" w:ascii="仿宋" w:hAnsi="仿宋" w:eastAsia="仿宋" w:cs="仿宋"/>
          <w:sz w:val="36"/>
          <w:szCs w:val="36"/>
          <w:highlight w:val="none"/>
        </w:rPr>
        <w:instrText xml:space="preserve"> HYPERLINK \l _Toc20765 </w:instrText>
      </w:r>
      <w:r>
        <w:rPr>
          <w:rFonts w:hint="eastAsia" w:ascii="仿宋" w:hAnsi="仿宋" w:eastAsia="仿宋" w:cs="仿宋"/>
          <w:sz w:val="36"/>
          <w:szCs w:val="36"/>
          <w:highlight w:val="none"/>
        </w:rPr>
        <w:fldChar w:fldCharType="separate"/>
      </w:r>
      <w:r>
        <w:rPr>
          <w:rFonts w:hint="eastAsia" w:ascii="仿宋" w:hAnsi="仿宋" w:eastAsia="仿宋" w:cs="仿宋"/>
          <w:bCs/>
          <w:sz w:val="36"/>
          <w:szCs w:val="36"/>
          <w:highlight w:val="none"/>
        </w:rPr>
        <w:t xml:space="preserve">第六章  投标文件格式</w:t>
      </w:r>
      <w:r>
        <w:rPr>
          <w:rFonts w:hint="eastAsia" w:ascii="仿宋" w:hAnsi="仿宋" w:eastAsia="仿宋" w:cs="仿宋"/>
          <w:sz w:val="36"/>
          <w:szCs w:val="36"/>
          <w:highlight w:val="none"/>
        </w:rPr>
        <w:tab/>
      </w:r>
      <w:r>
        <w:rPr>
          <w:rFonts w:hint="eastAsia" w:ascii="仿宋" w:hAnsi="仿宋" w:eastAsia="仿宋" w:cs="仿宋"/>
          <w:sz w:val="36"/>
          <w:szCs w:val="36"/>
          <w:highlight w:val="none"/>
        </w:rPr>
        <w:fldChar w:fldCharType="end"/>
      </w:r>
      <w:r>
        <w:rPr>
          <w:rFonts w:hint="eastAsia" w:ascii="仿宋" w:hAnsi="仿宋" w:eastAsia="仿宋" w:cs="仿宋"/>
          <w:sz w:val="36"/>
          <w:szCs w:val="36"/>
          <w:highlight w:val="none"/>
          <w:lang w:val="en-US" w:eastAsia="zh-CN"/>
        </w:rPr>
        <w:t xml:space="preserve">81</w:t>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fldChar w:fldCharType="end"/>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jc w:val="center"/>
        <w:spacing w:line="499" w:lineRule="atLeast"/>
        <w:rPr>
          <w:rFonts w:hint="eastAsia" w:ascii="仿宋" w:hAnsi="仿宋" w:eastAsia="仿宋" w:cs="仿宋"/>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6"/>
          <w:szCs w:val="36"/>
          <w:highlight w:val="none"/>
        </w:rPr>
      </w:r>
      <w:r/>
    </w:p>
    <w:p>
      <w:pPr>
        <w:pStyle w:val="722"/>
        <w:numPr>
          <w:ilvl w:val="0"/>
          <w:numId w:val="2"/>
        </w:numPr>
        <w:jc w:val="center"/>
        <w:rPr>
          <w:rFonts w:hint="eastAsia" w:ascii="仿宋" w:hAnsi="仿宋" w:eastAsia="仿宋" w:cs="仿宋"/>
          <w:b/>
          <w:bCs/>
          <w:sz w:val="44"/>
          <w:szCs w:val="44"/>
          <w:highlight w:val="none"/>
        </w:rPr>
        <w:outlineLvl w:val="0"/>
      </w:pPr>
      <w:r/>
      <w:bookmarkStart w:id="0" w:name="_Toc24051"/>
      <w:r>
        <w:rPr>
          <w:rFonts w:hint="eastAsia" w:ascii="仿宋" w:hAnsi="仿宋" w:eastAsia="仿宋" w:cs="仿宋"/>
          <w:b/>
          <w:bCs/>
          <w:sz w:val="44"/>
          <w:szCs w:val="44"/>
          <w:highlight w:val="none"/>
        </w:rPr>
        <w:t xml:space="preserve"> 投标邀请</w:t>
      </w:r>
      <w:bookmarkEnd w:id="0"/>
      <w:r/>
      <w:r/>
    </w:p>
    <w:p>
      <w:pPr>
        <w:ind w:firstLine="48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lang w:eastAsia="zh-CN"/>
        </w:rPr>
        <w:t xml:space="preserve">南通建仁房地产评估工程项目管理有限公司</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lang w:eastAsia="zh-CN"/>
        </w:rPr>
        <w:t xml:space="preserve">如东县住房和城乡建设局采购2026-2028年度如东县县城市政基础设施养护服务、应急抢修服务项目（道路、桥梁、交通设施）</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JSZC-320623-NTJR-G2026-0031</w:t>
      </w:r>
      <w:r>
        <w:rPr>
          <w:rFonts w:hint="eastAsia" w:ascii="仿宋" w:hAnsi="仿宋" w:eastAsia="仿宋" w:cs="仿宋"/>
          <w:sz w:val="24"/>
          <w:szCs w:val="24"/>
          <w:highlight w:val="none"/>
        </w:rPr>
        <w:t xml:space="preserve">)进行公开招标采购，欢迎符合条件的供应商投标。</w:t>
      </w:r>
      <w:r/>
    </w:p>
    <w:p>
      <w:pPr>
        <w:numPr>
          <w:ilvl w:val="0"/>
          <w:numId w:val="0"/>
        </w:numPr>
        <w:rPr>
          <w:rFonts w:hint="eastAsia" w:ascii="仿宋" w:hAnsi="仿宋" w:eastAsia="仿宋" w:cs="仿宋"/>
          <w:highlight w:val="none"/>
        </w:rPr>
      </w:pPr>
      <w:r>
        <w:rPr>
          <w:rFonts w:hint="eastAsia" w:ascii="仿宋" w:hAnsi="仿宋" w:eastAsia="仿宋" w:cs="仿宋"/>
          <w:highlight w:val="none"/>
        </w:rPr>
      </w:r>
      <w:r/>
    </w:p>
    <w:p>
      <w:pPr>
        <w:contextualSpacing/>
        <w:ind w:left="0" w:firstLine="480"/>
        <w:keepLines w:val="0"/>
        <w:keepNext w:val="0"/>
        <w:pageBreakBefore w:val="0"/>
        <w:spacing w:line="360" w:lineRule="auto"/>
        <w:widowControl w:val="off"/>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highlight w:val="none"/>
        </w:rPr>
        <w:t xml:space="preserve">项目概况</w:t>
      </w:r>
      <w:r/>
    </w:p>
    <w:p>
      <w:pPr>
        <w:contextualSpacing/>
        <w:ind w:left="0" w:firstLine="480"/>
        <w:keepLines w:val="0"/>
        <w:keepNext w:val="0"/>
        <w:pageBreakBefore w:val="0"/>
        <w:spacing w:line="360" w:lineRule="auto"/>
        <w:widowControl w:val="off"/>
        <w:rPr>
          <w:rFonts w:hint="eastAsia" w:ascii="仿宋" w:hAnsi="仿宋" w:eastAsia="仿宋" w:cs="仿宋"/>
          <w:sz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如东县住房和城乡建设局采购2026-2028年度如东县县城市政基础设施养护服务、应急抢修服务项目（道路、桥梁、交通设施）</w:t>
      </w:r>
      <w:r>
        <w:rPr>
          <w:rFonts w:hint="eastAsia" w:ascii="仿宋" w:hAnsi="仿宋" w:eastAsia="仿宋" w:cs="仿宋"/>
          <w:sz w:val="24"/>
          <w:highlight w:val="none"/>
        </w:rPr>
        <w:t xml:space="preserve">) 的潜在投标人可在“江苏政府采购网”自行免费下载招标文件，并于</w:t>
      </w:r>
      <w:r>
        <w:rPr>
          <w:rFonts w:hint="eastAsia" w:ascii="仿宋" w:hAnsi="仿宋" w:eastAsia="仿宋" w:cs="仿宋"/>
          <w:sz w:val="24"/>
          <w:highlight w:val="none"/>
          <w:lang w:val="en-US" w:eastAsia="zh-CN"/>
        </w:rPr>
        <w:t xml:space="preserve">2026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19</w:t>
      </w:r>
      <w:r>
        <w:rPr>
          <w:rFonts w:hint="eastAsia" w:ascii="仿宋" w:hAnsi="仿宋" w:eastAsia="仿宋" w:cs="仿宋"/>
          <w:sz w:val="24"/>
          <w:highlight w:val="none"/>
        </w:rPr>
        <w:t xml:space="preserve">日8点30分（北京时间）前递交投标文件。</w:t>
      </w:r>
      <w:r/>
    </w:p>
    <w:p>
      <w:pPr>
        <w:contextualSpacing/>
        <w:ind w:firstLine="510"/>
        <w:keepLines w:val="0"/>
        <w:keepNext w:val="0"/>
        <w:pageBreakBefore w:val="0"/>
        <w:spacing w:before="360" w:line="400" w:lineRule="exact"/>
        <w:shd w:val="clear" w:color="000000" w:fill="ffffff"/>
        <w:widowControl w:val="off"/>
        <w:rPr>
          <w:rFonts w:hint="eastAsia" w:ascii="仿宋" w:hAnsi="仿宋" w:eastAsia="仿宋" w:cs="仿宋"/>
          <w:b/>
          <w:spacing w:val="7"/>
          <w:sz w:val="24"/>
          <w:highlight w:val="none"/>
        </w:rPr>
      </w:pPr>
      <w:r>
        <w:rPr>
          <w:rFonts w:hint="eastAsia" w:ascii="仿宋" w:hAnsi="仿宋" w:eastAsia="仿宋" w:cs="仿宋"/>
          <w:b/>
          <w:spacing w:val="7"/>
          <w:sz w:val="24"/>
          <w:highlight w:val="none"/>
        </w:rPr>
        <w:t xml:space="preserve">一、项目基本情况</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lang w:val="en-US" w:eastAsia="zh-CN"/>
        </w:rPr>
      </w:pPr>
      <w:r>
        <w:rPr>
          <w:rFonts w:hint="eastAsia" w:ascii="仿宋" w:hAnsi="仿宋" w:eastAsia="仿宋" w:cs="仿宋"/>
          <w:spacing w:val="7"/>
          <w:sz w:val="24"/>
          <w:highlight w:val="none"/>
        </w:rPr>
        <w:t xml:space="preserve">1.项目编号：</w:t>
      </w:r>
      <w:r>
        <w:rPr>
          <w:rFonts w:hint="eastAsia" w:ascii="仿宋" w:hAnsi="仿宋" w:eastAsia="仿宋" w:cs="仿宋"/>
          <w:spacing w:val="7"/>
          <w:sz w:val="24"/>
          <w:highlight w:val="none"/>
          <w:lang w:eastAsia="zh-CN"/>
        </w:rPr>
        <w:t xml:space="preserve">JSZC-320623-NTJR-G2026-0031</w:t>
      </w:r>
      <w:r>
        <w:rPr>
          <w:rFonts w:hint="eastAsia" w:ascii="仿宋" w:hAnsi="仿宋" w:eastAsia="仿宋" w:cs="仿宋"/>
          <w:spacing w:val="7"/>
          <w:sz w:val="24"/>
          <w:highlight w:val="none"/>
          <w:lang w:val="en-US" w:eastAsia="zh-CN"/>
        </w:rPr>
        <w:t xml:space="preserve"> </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lang w:eastAsia="zh-CN"/>
        </w:rPr>
      </w:pPr>
      <w:r>
        <w:rPr>
          <w:rFonts w:hint="eastAsia" w:ascii="仿宋" w:hAnsi="仿宋" w:eastAsia="仿宋" w:cs="仿宋"/>
          <w:spacing w:val="7"/>
          <w:sz w:val="24"/>
          <w:highlight w:val="none"/>
        </w:rPr>
        <w:t xml:space="preserve">2.项目名称：</w:t>
      </w:r>
      <w:r>
        <w:rPr>
          <w:rFonts w:hint="eastAsia" w:ascii="仿宋" w:hAnsi="仿宋" w:eastAsia="仿宋" w:cs="仿宋"/>
          <w:spacing w:val="7"/>
          <w:sz w:val="24"/>
          <w:highlight w:val="none"/>
          <w:lang w:eastAsia="zh-CN"/>
        </w:rPr>
        <w:t xml:space="preserve">如东县住房和城乡建设局采购2026-2028年度如东县县城市政基础设施养护服务、应急抢修服务项目（道路、桥梁、交通设施）</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3.采购方式：公开招标</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4.项目类型：服务</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5.项目所属行业：建筑业</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6.预算金额：</w:t>
      </w:r>
      <w:r>
        <w:rPr>
          <w:rFonts w:hint="eastAsia" w:ascii="仿宋" w:hAnsi="仿宋" w:eastAsia="仿宋" w:cs="仿宋"/>
          <w:spacing w:val="7"/>
          <w:sz w:val="24"/>
          <w:highlight w:val="none"/>
          <w:lang w:val="en-US" w:eastAsia="zh-CN"/>
        </w:rPr>
        <w:t xml:space="preserve">2605</w:t>
      </w:r>
      <w:r>
        <w:rPr>
          <w:rFonts w:hint="eastAsia" w:ascii="仿宋" w:hAnsi="仿宋" w:eastAsia="仿宋" w:cs="仿宋"/>
          <w:spacing w:val="7"/>
          <w:sz w:val="24"/>
          <w:highlight w:val="none"/>
          <w:lang w:eastAsia="zh-CN"/>
        </w:rPr>
        <w:t xml:space="preserve">万元</w:t>
      </w:r>
      <w:r>
        <w:rPr>
          <w:rFonts w:hint="eastAsia" w:ascii="仿宋" w:hAnsi="仿宋" w:eastAsia="仿宋" w:cs="仿宋"/>
          <w:spacing w:val="7"/>
          <w:sz w:val="24"/>
          <w:highlight w:val="none"/>
        </w:rPr>
        <w:t xml:space="preserve">。</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color w:val="auto"/>
          <w:sz w:val="24"/>
          <w:szCs w:val="24"/>
          <w:highlight w:val="none"/>
        </w:rPr>
      </w:pPr>
      <w:r>
        <w:rPr>
          <w:rFonts w:hint="eastAsia" w:ascii="仿宋" w:hAnsi="仿宋" w:eastAsia="仿宋" w:cs="仿宋"/>
          <w:spacing w:val="7"/>
          <w:sz w:val="24"/>
          <w:highlight w:val="none"/>
        </w:rPr>
        <w:t xml:space="preserve">7.最高限价</w:t>
      </w:r>
      <w:r>
        <w:rPr>
          <w:rFonts w:hint="eastAsia" w:ascii="仿宋" w:hAnsi="仿宋" w:eastAsia="仿宋" w:cs="仿宋"/>
          <w:color w:val="auto"/>
          <w:spacing w:val="7"/>
          <w:sz w:val="24"/>
          <w:highlight w:val="none"/>
        </w:rPr>
        <w:t xml:space="preserve">：</w:t>
      </w:r>
      <w:r>
        <w:rPr>
          <w:rFonts w:hint="eastAsia" w:ascii="仿宋" w:hAnsi="仿宋" w:eastAsia="仿宋" w:cs="仿宋"/>
          <w:color w:val="auto"/>
          <w:sz w:val="24"/>
          <w:szCs w:val="24"/>
          <w:highlight w:val="none"/>
        </w:rPr>
        <w:t xml:space="preserve">最高限价为</w:t>
      </w:r>
      <w:r>
        <w:rPr>
          <w:rFonts w:hint="eastAsia" w:ascii="仿宋" w:hAnsi="仿宋" w:eastAsia="仿宋" w:cs="仿宋"/>
          <w:color w:val="auto"/>
          <w:sz w:val="24"/>
          <w:highlight w:val="none"/>
        </w:rPr>
        <w:t xml:space="preserve">清单中各项</w:t>
      </w:r>
      <w:r>
        <w:rPr>
          <w:rFonts w:hint="eastAsia" w:ascii="仿宋" w:hAnsi="仿宋" w:eastAsia="仿宋" w:cs="仿宋"/>
          <w:color w:val="auto"/>
          <w:sz w:val="24"/>
          <w:highlight w:val="none"/>
          <w:lang w:val="en-US" w:eastAsia="zh-CN"/>
        </w:rPr>
        <w:t xml:space="preserve">服务</w:t>
      </w:r>
      <w:r>
        <w:rPr>
          <w:rFonts w:hint="eastAsia" w:ascii="仿宋" w:hAnsi="仿宋" w:eastAsia="仿宋" w:cs="仿宋"/>
          <w:color w:val="auto"/>
          <w:sz w:val="24"/>
          <w:highlight w:val="none"/>
        </w:rPr>
        <w:t xml:space="preserve">全费用预算单价</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en-US" w:eastAsia="zh-CN"/>
        </w:rPr>
        <w:t xml:space="preserve">90.00</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优惠率为10.00%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优惠率低于10.00%的</w:t>
      </w:r>
      <w:r>
        <w:rPr>
          <w:rFonts w:hint="eastAsia" w:ascii="仿宋" w:hAnsi="仿宋" w:eastAsia="仿宋" w:cs="仿宋"/>
          <w:color w:val="auto"/>
          <w:sz w:val="24"/>
          <w:szCs w:val="24"/>
          <w:highlight w:val="none"/>
        </w:rPr>
        <w:t xml:space="preserve">为无效</w:t>
      </w:r>
      <w:r>
        <w:rPr>
          <w:rFonts w:hint="eastAsia" w:ascii="仿宋" w:hAnsi="仿宋" w:eastAsia="仿宋" w:cs="仿宋"/>
          <w:color w:val="auto"/>
          <w:sz w:val="24"/>
          <w:szCs w:val="24"/>
          <w:highlight w:val="none"/>
          <w:lang w:val="en-US" w:eastAsia="zh-CN"/>
        </w:rPr>
        <w:t xml:space="preserve">报价</w:t>
      </w:r>
      <w:r>
        <w:rPr>
          <w:rFonts w:hint="eastAsia" w:ascii="仿宋" w:hAnsi="仿宋" w:eastAsia="仿宋" w:cs="仿宋"/>
          <w:color w:val="auto"/>
          <w:sz w:val="24"/>
          <w:szCs w:val="24"/>
          <w:highlight w:val="none"/>
        </w:rPr>
        <w:t xml:space="preserve">。</w:t>
      </w:r>
      <w:r/>
    </w:p>
    <w:p>
      <w:pPr>
        <w:pStyle w:val="787"/>
        <w:ind w:firstLine="482"/>
        <w:keepLines w:val="0"/>
        <w:keepNext w:val="0"/>
        <w:pageBreakBefore w:val="0"/>
        <w:spacing w:before="0" w:after="0" w:line="400" w:lineRule="exact"/>
        <w:widowControl w:val="off"/>
        <w:rPr>
          <w:rFonts w:hint="eastAsia" w:ascii="仿宋" w:hAnsi="仿宋" w:eastAsia="仿宋" w:cs="仿宋"/>
          <w:color w:val="auto"/>
          <w:sz w:val="24"/>
          <w:highlight w:val="none"/>
        </w:rPr>
      </w:pPr>
      <w:r>
        <w:rPr>
          <w:rFonts w:hint="eastAsia" w:ascii="仿宋" w:hAnsi="仿宋" w:eastAsia="仿宋" w:cs="仿宋"/>
          <w:b/>
          <w:bCs/>
          <w:color w:val="auto"/>
          <w:sz w:val="24"/>
          <w:szCs w:val="24"/>
          <w:highlight w:val="none"/>
          <w:lang w:val="en-US" w:eastAsia="zh-CN"/>
        </w:rPr>
        <w:t xml:space="preserve">本项目采用优惠率报价方式</w:t>
      </w:r>
      <w:r>
        <w:rPr>
          <w:rFonts w:hint="eastAsia" w:ascii="仿宋" w:hAnsi="仿宋" w:eastAsia="仿宋" w:cs="仿宋"/>
          <w:color w:val="auto"/>
          <w:sz w:val="24"/>
          <w:szCs w:val="24"/>
          <w:highlight w:val="none"/>
          <w:lang w:val="en-US" w:eastAsia="zh-CN"/>
        </w:rPr>
        <w:t xml:space="preserve">，以清单中各项服务全费用预算单价为基础，优惠率为百分数，最多精确到小数点后两位。</w:t>
      </w:r>
      <w:r/>
    </w:p>
    <w:p>
      <w:pPr>
        <w:ind w:left="0" w:firstLine="482"/>
        <w:keepLines w:val="0"/>
        <w:keepNext w:val="0"/>
        <w:pageBreakBefore w:val="0"/>
        <w:spacing w:line="400" w:lineRule="exact"/>
        <w:widowControl w:val="off"/>
        <w:rPr>
          <w:rFonts w:hint="eastAsia" w:ascii="仿宋" w:hAnsi="仿宋" w:eastAsia="仿宋" w:cs="仿宋"/>
          <w:highlight w:val="none"/>
        </w:rPr>
      </w:pPr>
      <w:r>
        <w:rPr>
          <w:rFonts w:hint="eastAsia" w:ascii="仿宋" w:hAnsi="仿宋" w:eastAsia="仿宋" w:cs="仿宋"/>
          <w:b/>
          <w:bCs/>
          <w:sz w:val="24"/>
          <w:highlight w:val="none"/>
        </w:rPr>
        <w:t xml:space="preserve">(★特别提醒，因苏采云系统仅默认优惠率报价方式，供应商须统一按优惠率进行报价。优惠率是指价格下降幅度的百分比。投标单位应慎重报价，切勿报反。所报优惠率越高，则表示合同单价越低。)</w:t>
      </w:r>
      <w:r>
        <w:rPr>
          <w:rFonts w:hint="eastAsia" w:ascii="仿宋" w:hAnsi="仿宋" w:eastAsia="仿宋" w:cs="仿宋"/>
          <w:sz w:val="24"/>
          <w:highlight w:val="none"/>
        </w:rPr>
        <w:t xml:space="preserve"> </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8.采购需求：详见项目需求。</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9.合同履行期限：</w:t>
      </w:r>
      <w:r>
        <w:rPr>
          <w:rFonts w:hint="eastAsia" w:ascii="仿宋" w:hAnsi="仿宋" w:eastAsia="仿宋" w:cs="仿宋"/>
          <w:spacing w:val="7"/>
          <w:sz w:val="24"/>
          <w:highlight w:val="none"/>
          <w:lang w:val="en-US" w:eastAsia="zh-CN"/>
        </w:rPr>
        <w:t xml:space="preserve">二年</w:t>
      </w:r>
      <w:r>
        <w:rPr>
          <w:rFonts w:hint="eastAsia" w:ascii="仿宋" w:hAnsi="仿宋" w:eastAsia="仿宋" w:cs="仿宋"/>
          <w:spacing w:val="7"/>
          <w:sz w:val="24"/>
          <w:highlight w:val="none"/>
        </w:rPr>
        <w:t xml:space="preserve">。</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10.</w:t>
      </w:r>
      <w:r>
        <w:rPr>
          <w:rFonts w:hint="eastAsia" w:ascii="仿宋" w:hAnsi="仿宋" w:eastAsia="仿宋" w:cs="仿宋"/>
          <w:color w:val="auto"/>
          <w:sz w:val="24"/>
          <w:highlight w:val="none"/>
        </w:rPr>
        <w:t xml:space="preserve">本项目</w:t>
      </w:r>
      <w:r>
        <w:rPr>
          <w:rFonts w:hint="eastAsia" w:ascii="仿宋" w:hAnsi="仿宋" w:eastAsia="仿宋" w:cs="仿宋"/>
          <w:color w:val="auto"/>
          <w:sz w:val="24"/>
          <w:highlight w:val="none"/>
          <w:lang w:val="en-US" w:eastAsia="zh-CN"/>
        </w:rPr>
        <w:t xml:space="preserve">不</w:t>
      </w:r>
      <w:r>
        <w:rPr>
          <w:rFonts w:hint="eastAsia" w:ascii="仿宋" w:hAnsi="仿宋" w:eastAsia="仿宋" w:cs="仿宋"/>
          <w:color w:val="auto"/>
          <w:sz w:val="24"/>
          <w:highlight w:val="none"/>
        </w:rPr>
        <w:t xml:space="preserve">接受联合体投标。</w:t>
      </w:r>
      <w:r/>
    </w:p>
    <w:p>
      <w:pPr>
        <w:contextualSpacing/>
        <w:ind w:left="0" w:firstLine="510"/>
        <w:keepLines w:val="0"/>
        <w:keepNext w:val="0"/>
        <w:pageBreakBefore w:val="0"/>
        <w:spacing w:line="400" w:lineRule="exact"/>
        <w:shd w:val="clear" w:color="000000" w:fill="ffffff"/>
        <w:widowControl w:val="off"/>
        <w:rPr>
          <w:rFonts w:hint="eastAsia" w:ascii="仿宋" w:hAnsi="仿宋" w:eastAsia="仿宋" w:cs="仿宋"/>
          <w:b/>
          <w:spacing w:val="7"/>
          <w:sz w:val="24"/>
          <w:highlight w:val="none"/>
        </w:rPr>
      </w:pPr>
      <w:r>
        <w:rPr>
          <w:rFonts w:hint="eastAsia" w:ascii="仿宋" w:hAnsi="仿宋" w:eastAsia="仿宋" w:cs="仿宋"/>
          <w:b/>
          <w:spacing w:val="7"/>
          <w:sz w:val="24"/>
          <w:highlight w:val="none"/>
        </w:rPr>
        <w:t xml:space="preserve">二、申请人的资格要求</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（一）满足《中华人民共和国政府采购法》第二十二条规定：</w:t>
      </w:r>
      <w:r/>
    </w:p>
    <w:p>
      <w:pPr>
        <w:contextualSpacing/>
        <w:ind w:left="0" w:firstLine="480"/>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（二）落实政府采购政策需满足的资格要求：</w:t>
      </w:r>
      <w:r>
        <w:rPr>
          <w:rFonts w:hint="eastAsia" w:ascii="仿宋" w:hAnsi="仿宋" w:eastAsia="仿宋" w:cs="仿宋"/>
          <w:b w:val="0"/>
          <w:bCs w:val="0"/>
          <w:color w:val="000000"/>
          <w:sz w:val="24"/>
          <w:szCs w:val="24"/>
          <w:highlight w:val="none"/>
          <w:lang w:val="en-US" w:eastAsia="zh-CN" w:bidi="ar-SA"/>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rPr>
          <w:rFonts w:hint="eastAsia" w:ascii="仿宋" w:hAnsi="仿宋" w:eastAsia="仿宋" w:cs="仿宋"/>
          <w:bCs/>
          <w:color w:val="000000"/>
          <w:sz w:val="24"/>
          <w:szCs w:val="24"/>
          <w:highlight w:val="none"/>
          <w:lang w:val="en-US" w:eastAsia="zh-CN" w:bidi="ar-SA"/>
        </w:rPr>
        <w:t xml:space="preserve">。</w:t>
      </w:r>
      <w:r/>
    </w:p>
    <w:p>
      <w:pPr>
        <w:contextualSpacing/>
        <w:ind w:left="0" w:firstLine="480"/>
        <w:keepLines w:val="0"/>
        <w:keepNext w:val="0"/>
        <w:pageBreakBefore w:val="0"/>
        <w:spacing w:line="40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（三）本项目的特定资格要求：</w:t>
      </w:r>
      <w:r/>
    </w:p>
    <w:p>
      <w:pPr>
        <w:contextualSpacing/>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1.须具备市政公用工程施工总承包二级及以上资质和有效的安全生产许可证。</w:t>
      </w:r>
      <w:r/>
    </w:p>
    <w:p>
      <w:pPr>
        <w:contextualSpacing/>
        <w:ind w:left="0" w:firstLine="48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2.拟派项目负责人须具备工程类中级及以上职称和市政公用工程专业二级建造师执业资格（须注册在本投标单位），同时具备安全生产考核合格证书B证，且为本单位的正式员工，须提供社保部门盖章的近三个月任意一个月单位为其缴纳的基本养老保险证明。</w:t>
      </w:r>
      <w:r/>
    </w:p>
    <w:p>
      <w:pPr>
        <w:pStyle w:val="747"/>
        <w:ind w:left="0" w:firstLine="420"/>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注：如拟派项目负责人为一级注册建造师的，必须根据《办公厅关于全面实行一级建造师电子注册证书的通知》（建办市[2021]40号）文件要求执行，否则不予认可。</w:t>
      </w:r>
      <w:r/>
    </w:p>
    <w:p>
      <w:pPr>
        <w:pStyle w:val="747"/>
        <w:ind w:left="0" w:firstLine="420"/>
        <w:keepLines w:val="0"/>
        <w:keepNext w:val="0"/>
        <w:pageBreakBefore w:val="0"/>
        <w:spacing w:line="400" w:lineRule="exact"/>
        <w:widowControl w:val="off"/>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val="en-US" w:eastAsia="zh-CN" w:bidi="ar-SA"/>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contextualSpacing/>
        <w:ind w:left="0" w:firstLine="510"/>
        <w:keepLines w:val="0"/>
        <w:keepNext w:val="0"/>
        <w:pageBreakBefore w:val="0"/>
        <w:spacing w:line="400" w:lineRule="exact"/>
        <w:shd w:val="clear" w:color="000000" w:fill="ffffff"/>
        <w:widowControl w:val="off"/>
        <w:rPr>
          <w:rFonts w:hint="eastAsia" w:ascii="仿宋" w:hAnsi="仿宋" w:eastAsia="仿宋" w:cs="仿宋"/>
          <w:b/>
          <w:spacing w:val="7"/>
          <w:sz w:val="24"/>
          <w:highlight w:val="none"/>
        </w:rPr>
      </w:pPr>
      <w:r>
        <w:rPr>
          <w:rFonts w:hint="eastAsia" w:ascii="仿宋" w:hAnsi="仿宋" w:eastAsia="仿宋" w:cs="仿宋"/>
          <w:b/>
          <w:spacing w:val="7"/>
          <w:sz w:val="24"/>
          <w:highlight w:val="none"/>
        </w:rPr>
        <w:t xml:space="preserve">三、获取招标文件</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时间：自本公告发布之日起5个工作日。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地点：江苏政府采购网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方式：凡有意参与投标的供应商须登录江苏政府采购网首页点击“苏采云”→通过CA锁进行响应确认，并自行在招标文件有效获取期内及时下载获取。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售价：免费 </w:t>
      </w:r>
      <w:r/>
    </w:p>
    <w:p>
      <w:pPr>
        <w:contextualSpacing/>
        <w:ind w:left="0" w:firstLine="510"/>
        <w:keepLines w:val="0"/>
        <w:keepNext w:val="0"/>
        <w:pageBreakBefore w:val="0"/>
        <w:spacing w:line="400" w:lineRule="exact"/>
        <w:shd w:val="clear" w:color="000000" w:fill="ffffff"/>
        <w:widowControl w:val="off"/>
        <w:rPr>
          <w:rFonts w:hint="eastAsia" w:ascii="仿宋" w:hAnsi="仿宋" w:eastAsia="仿宋" w:cs="仿宋"/>
          <w:b/>
          <w:spacing w:val="7"/>
          <w:sz w:val="24"/>
          <w:highlight w:val="none"/>
        </w:rPr>
      </w:pPr>
      <w:r>
        <w:rPr>
          <w:rFonts w:hint="eastAsia" w:ascii="仿宋" w:hAnsi="仿宋" w:eastAsia="仿宋" w:cs="仿宋"/>
          <w:b/>
          <w:spacing w:val="7"/>
          <w:sz w:val="24"/>
          <w:highlight w:val="none"/>
        </w:rPr>
        <w:t xml:space="preserve">四、提交投标文件截止时间、开标时间和地点</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截止时间：</w:t>
      </w:r>
      <w:r>
        <w:rPr>
          <w:rFonts w:hint="eastAsia" w:ascii="仿宋" w:hAnsi="仿宋" w:eastAsia="仿宋" w:cs="仿宋"/>
          <w:sz w:val="24"/>
          <w:highlight w:val="none"/>
          <w:u w:val="single"/>
        </w:rPr>
        <w:t xml:space="preserve">202</w:t>
      </w:r>
      <w:r>
        <w:rPr>
          <w:rFonts w:hint="eastAsia" w:ascii="仿宋" w:hAnsi="仿宋" w:eastAsia="仿宋" w:cs="仿宋"/>
          <w:sz w:val="24"/>
          <w:highlight w:val="none"/>
          <w:u w:val="single"/>
          <w:lang w:val="en-US" w:eastAsia="zh-CN"/>
        </w:rPr>
        <w:t xml:space="preserve">6</w:t>
      </w:r>
      <w:r>
        <w:rPr>
          <w:rFonts w:hint="eastAsia" w:ascii="仿宋" w:hAnsi="仿宋" w:eastAsia="仿宋" w:cs="仿宋"/>
          <w:sz w:val="24"/>
          <w:highlight w:val="none"/>
          <w:u w:val="single"/>
        </w:rPr>
        <w:t xml:space="preserve">年</w:t>
      </w:r>
      <w:r>
        <w:rPr>
          <w:rFonts w:hint="eastAsia" w:ascii="仿宋" w:hAnsi="仿宋" w:eastAsia="仿宋" w:cs="仿宋"/>
          <w:sz w:val="24"/>
          <w:highlight w:val="none"/>
          <w:u w:val="single"/>
          <w:lang w:val="en-US" w:eastAsia="zh-CN"/>
        </w:rPr>
        <w:t xml:space="preserve">11</w:t>
      </w:r>
      <w:r>
        <w:rPr>
          <w:rFonts w:hint="eastAsia" w:ascii="仿宋" w:hAnsi="仿宋" w:eastAsia="仿宋" w:cs="仿宋"/>
          <w:sz w:val="24"/>
          <w:highlight w:val="none"/>
          <w:u w:val="single"/>
        </w:rPr>
        <w:t xml:space="preserve">月</w:t>
      </w:r>
      <w:r>
        <w:rPr>
          <w:rFonts w:hint="eastAsia" w:ascii="仿宋" w:hAnsi="仿宋" w:eastAsia="仿宋" w:cs="仿宋"/>
          <w:sz w:val="24"/>
          <w:highlight w:val="none"/>
          <w:u w:val="single"/>
          <w:lang w:val="en-US" w:eastAsia="zh-CN"/>
        </w:rPr>
        <w:t xml:space="preserve">19</w:t>
      </w:r>
      <w:r>
        <w:rPr>
          <w:rFonts w:hint="eastAsia" w:ascii="仿宋" w:hAnsi="仿宋" w:eastAsia="仿宋" w:cs="仿宋"/>
          <w:sz w:val="24"/>
          <w:highlight w:val="none"/>
          <w:u w:val="single"/>
        </w:rPr>
        <w:t xml:space="preserve">日</w:t>
      </w:r>
      <w:r>
        <w:rPr>
          <w:rFonts w:hint="eastAsia" w:ascii="仿宋" w:hAnsi="仿宋" w:eastAsia="仿宋" w:cs="仿宋"/>
          <w:sz w:val="24"/>
          <w:highlight w:val="none"/>
          <w:u w:val="single"/>
          <w:lang w:val="en-US" w:eastAsia="zh-CN"/>
        </w:rPr>
        <w:t xml:space="preserve">8</w:t>
      </w:r>
      <w:r>
        <w:rPr>
          <w:rFonts w:hint="eastAsia" w:ascii="仿宋" w:hAnsi="仿宋" w:eastAsia="仿宋" w:cs="仿宋"/>
          <w:sz w:val="24"/>
          <w:highlight w:val="none"/>
          <w:u w:val="single"/>
        </w:rPr>
        <w:t xml:space="preserve">点</w:t>
      </w:r>
      <w:r>
        <w:rPr>
          <w:rFonts w:hint="eastAsia" w:ascii="仿宋" w:hAnsi="仿宋" w:eastAsia="仿宋" w:cs="仿宋"/>
          <w:sz w:val="24"/>
          <w:highlight w:val="none"/>
          <w:u w:val="single"/>
          <w:lang w:val="en-US" w:eastAsia="zh-CN"/>
        </w:rPr>
        <w:t xml:space="preserve">3</w:t>
      </w:r>
      <w:r>
        <w:rPr>
          <w:rFonts w:hint="eastAsia" w:ascii="仿宋" w:hAnsi="仿宋" w:eastAsia="仿宋" w:cs="仿宋"/>
          <w:sz w:val="24"/>
          <w:highlight w:val="none"/>
          <w:u w:val="single"/>
        </w:rPr>
        <w:t xml:space="preserve">0分</w:t>
      </w:r>
      <w:r>
        <w:rPr>
          <w:rFonts w:hint="eastAsia" w:ascii="仿宋" w:hAnsi="仿宋" w:eastAsia="仿宋" w:cs="仿宋"/>
          <w:sz w:val="24"/>
          <w:highlight w:val="none"/>
        </w:rPr>
        <w:t xml:space="preserve">（北京时间）</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地点：“苏采云”政府采购一体化平台 </w:t>
      </w:r>
      <w:r/>
    </w:p>
    <w:p>
      <w:pPr>
        <w:contextualSpacing/>
        <w:ind w:left="0" w:firstLine="482"/>
        <w:keepLines w:val="0"/>
        <w:keepNext w:val="0"/>
        <w:pageBreakBefore w:val="0"/>
        <w:spacing w:line="4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五、公告期限</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自本公告发布之日起5个工作日。</w:t>
      </w:r>
      <w:r/>
    </w:p>
    <w:p>
      <w:pPr>
        <w:contextualSpacing/>
        <w:ind w:left="0" w:firstLine="482"/>
        <w:keepLines w:val="0"/>
        <w:keepNext w:val="0"/>
        <w:pageBreakBefore w:val="0"/>
        <w:spacing w:line="4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六、其他补充事宜</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1.项目开标活动模式：不见面远程开标模式。</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投标人（含潜在投标人）对采购方式、招标文件中项目需求、供应商资格条件、评标方法和评标标准、资格审查部分、合同文本等应当由采购人答复的质疑，请向采购人提出，由采购人负责答复。投标人对其他事项的质疑，请向招标代理提出，由招标代理负责答复。对在“苏采云”系统操作阶段的询问请向交易系统软件维护人员提出。</w:t>
      </w:r>
      <w:r/>
    </w:p>
    <w:p>
      <w:pPr>
        <w:ind w:firstLine="480"/>
        <w:keepLines w:val="0"/>
        <w:keepNext w:val="0"/>
        <w:pageBreakBefore w:val="0"/>
        <w:spacing w:line="4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keepLines w:val="0"/>
        <w:keepNext w:val="0"/>
        <w:pageBreakBefore w:val="0"/>
        <w:spacing w:line="400" w:lineRule="exact"/>
        <w:widowControl w:val="off"/>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rPr>
        <w:t xml:space="preserve">4.开标当天投标人应及时登录“苏采云</w:t>
      </w:r>
      <w:r>
        <w:rPr>
          <w:rFonts w:hint="eastAsia" w:ascii="仿宋" w:hAnsi="仿宋" w:eastAsia="仿宋" w:cs="仿宋"/>
          <w:sz w:val="24"/>
          <w:szCs w:val="24"/>
          <w:highlight w:val="none"/>
          <w:lang w:val="en-US" w:eastAsia="zh-CN"/>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contextualSpacing/>
        <w:ind w:left="0" w:firstLine="482"/>
        <w:keepLines w:val="0"/>
        <w:keepNext w:val="0"/>
        <w:pageBreakBefore w:val="0"/>
        <w:spacing w:line="400" w:lineRule="exact"/>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七、对本次招标提出询问，请按以下方式联系。</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1.采购人信息</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lang w:eastAsia="zh-CN"/>
        </w:rPr>
        <w:t xml:space="preserve">如东县住房和城乡建设局</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地    址：</w:t>
      </w:r>
      <w:r>
        <w:rPr>
          <w:rFonts w:hint="eastAsia" w:ascii="仿宋" w:hAnsi="仿宋" w:eastAsia="仿宋" w:cs="仿宋"/>
          <w:sz w:val="24"/>
          <w:highlight w:val="none"/>
          <w:lang w:eastAsia="zh-CN"/>
        </w:rPr>
        <w:t xml:space="preserve">如东县</w:t>
      </w:r>
      <w:r>
        <w:rPr>
          <w:rFonts w:hint="eastAsia" w:ascii="仿宋" w:hAnsi="仿宋" w:eastAsia="仿宋" w:cs="仿宋"/>
          <w:sz w:val="24"/>
          <w:highlight w:val="none"/>
        </w:rPr>
        <w:t xml:space="preserve">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联系方式：</w:t>
      </w:r>
      <w:r>
        <w:rPr>
          <w:rFonts w:hint="eastAsia" w:ascii="仿宋" w:hAnsi="仿宋" w:eastAsia="仿宋" w:cs="仿宋"/>
          <w:sz w:val="24"/>
          <w:highlight w:val="none"/>
          <w:lang w:val="en-US" w:eastAsia="zh-CN"/>
        </w:rPr>
        <w:t xml:space="preserve">王岩</w:t>
      </w:r>
      <w:r>
        <w:rPr>
          <w:rFonts w:hint="eastAsia" w:ascii="仿宋" w:hAnsi="仿宋" w:eastAsia="仿宋" w:cs="仿宋"/>
          <w:sz w:val="24"/>
          <w:highlight w:val="none"/>
        </w:rPr>
        <w:t xml:space="preserve">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联系电话：18068695667</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w:t>
      </w:r>
      <w:r/>
    </w:p>
    <w:p>
      <w:pPr>
        <w:contextualSpacing/>
        <w:ind w:left="0" w:firstLine="508"/>
        <w:keepLines w:val="0"/>
        <w:keepNext w:val="0"/>
        <w:pageBreakBefore w:val="0"/>
        <w:spacing w:line="400" w:lineRule="exact"/>
        <w:shd w:val="clear" w:color="000000" w:fill="ffffff"/>
        <w:widowControl w:val="off"/>
        <w:rPr>
          <w:rFonts w:hint="eastAsia" w:ascii="仿宋" w:hAnsi="仿宋" w:eastAsia="仿宋" w:cs="仿宋"/>
          <w:spacing w:val="7"/>
          <w:sz w:val="24"/>
          <w:highlight w:val="none"/>
        </w:rPr>
      </w:pPr>
      <w:r>
        <w:rPr>
          <w:rFonts w:hint="eastAsia" w:ascii="仿宋" w:hAnsi="仿宋" w:eastAsia="仿宋" w:cs="仿宋"/>
          <w:spacing w:val="7"/>
          <w:sz w:val="24"/>
          <w:highlight w:val="none"/>
        </w:rPr>
        <w:t xml:space="preserve">2.</w:t>
      </w:r>
      <w:r>
        <w:rPr>
          <w:rFonts w:hint="eastAsia" w:ascii="仿宋" w:hAnsi="仿宋" w:eastAsia="仿宋" w:cs="仿宋"/>
          <w:spacing w:val="7"/>
          <w:sz w:val="24"/>
          <w:highlight w:val="none"/>
          <w:lang w:val="en-US" w:eastAsia="zh-CN"/>
        </w:rPr>
        <w:t xml:space="preserve">招标</w:t>
      </w:r>
      <w:r>
        <w:rPr>
          <w:rFonts w:hint="eastAsia" w:ascii="仿宋" w:hAnsi="仿宋" w:eastAsia="仿宋" w:cs="仿宋"/>
          <w:spacing w:val="7"/>
          <w:sz w:val="24"/>
          <w:highlight w:val="none"/>
        </w:rPr>
        <w:t xml:space="preserve">代理机构信息</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rPr>
        <w:t xml:space="preserve">名    称：</w:t>
      </w:r>
      <w:r>
        <w:rPr>
          <w:rFonts w:hint="eastAsia" w:ascii="仿宋" w:hAnsi="仿宋" w:eastAsia="仿宋" w:cs="仿宋"/>
          <w:sz w:val="24"/>
          <w:highlight w:val="none"/>
          <w:lang w:eastAsia="zh-CN"/>
        </w:rPr>
        <w:t xml:space="preserve">南通建仁房地产评估工程项目管理有限公司</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rPr>
        <w:t xml:space="preserve">地　　址：</w:t>
      </w:r>
      <w:r>
        <w:rPr>
          <w:rFonts w:hint="eastAsia" w:ascii="仿宋" w:hAnsi="仿宋" w:eastAsia="仿宋" w:cs="仿宋"/>
          <w:sz w:val="24"/>
          <w:highlight w:val="none"/>
          <w:lang w:eastAsia="zh-CN"/>
        </w:rPr>
        <w:t xml:space="preserve">如东县</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联系方式：</w:t>
      </w:r>
      <w:r>
        <w:rPr>
          <w:rFonts w:hint="eastAsia" w:ascii="仿宋" w:hAnsi="仿宋" w:eastAsia="仿宋" w:cs="仿宋"/>
          <w:sz w:val="24"/>
          <w:highlight w:val="none"/>
          <w:lang w:eastAsia="zh-CN"/>
        </w:rPr>
        <w:t xml:space="preserve">高伟</w:t>
      </w:r>
      <w:r>
        <w:rPr>
          <w:rFonts w:hint="eastAsia" w:ascii="仿宋" w:hAnsi="仿宋" w:eastAsia="仿宋" w:cs="仿宋"/>
          <w:sz w:val="24"/>
          <w:highlight w:val="none"/>
        </w:rPr>
        <w:t xml:space="preserve">  　</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联系电话：</w:t>
      </w:r>
      <w:r>
        <w:rPr>
          <w:rFonts w:hint="eastAsia" w:ascii="仿宋" w:hAnsi="仿宋" w:eastAsia="仿宋" w:cs="仿宋"/>
          <w:sz w:val="24"/>
          <w:highlight w:val="none"/>
          <w:lang w:val="en-US" w:eastAsia="zh-CN"/>
        </w:rPr>
        <w:t xml:space="preserve">18862783422</w:t>
      </w:r>
      <w:r/>
    </w:p>
    <w:p>
      <w:pPr>
        <w:contextualSpacing/>
        <w:ind w:left="0" w:firstLine="480"/>
        <w:keepLines w:val="0"/>
        <w:keepNext w:val="0"/>
        <w:pageBreakBefore w:val="0"/>
        <w:spacing w:line="40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3.软件技术支持：0519-86722801</w:t>
      </w:r>
      <w:r/>
    </w:p>
    <w:p>
      <w:pPr>
        <w:ind w:firstLine="498"/>
        <w:keepLines/>
        <w:keepNext/>
        <w:pageBreakBefore w:val="0"/>
        <w:spacing w:before="145" w:after="145" w:line="400" w:lineRule="exact"/>
        <w:widowControl w:val="off"/>
        <w:rPr>
          <w:rFonts w:hint="eastAsia" w:ascii="仿宋" w:hAnsi="仿宋" w:eastAsia="仿宋" w:cs="仿宋"/>
          <w:b/>
          <w:bCs/>
          <w:color w:val="000000"/>
          <w:sz w:val="32"/>
          <w:szCs w:val="32"/>
          <w:highlight w:val="none"/>
        </w:rPr>
        <w:outlineLvl w:val="9"/>
      </w:pPr>
      <w:r/>
      <w:bookmarkStart w:id="1" w:name="OLE_LINK7"/>
      <w:r/>
      <w:bookmarkStart w:id="2" w:name="OLE_LINK5"/>
      <w:r/>
      <w:bookmarkStart w:id="3" w:name="OLE_LINK6"/>
      <w:r>
        <w:rPr>
          <w:rFonts w:hint="eastAsia" w:ascii="仿宋" w:hAnsi="仿宋" w:eastAsia="仿宋" w:cs="仿宋"/>
          <w:b/>
          <w:bCs/>
          <w:color w:val="000000"/>
          <w:sz w:val="32"/>
          <w:szCs w:val="32"/>
          <w:highlight w:val="none"/>
        </w:rPr>
        <w:t xml:space="preserve">八、其他</w:t>
      </w:r>
      <w:r/>
    </w:p>
    <w:p>
      <w:pPr>
        <w:ind w:firstLine="480"/>
        <w:jc w:val="left"/>
        <w:pageBreakBefore w:val="0"/>
        <w:spacing w:line="400" w:lineRule="exact"/>
        <w:widowControl w:val="off"/>
        <w:tabs>
          <w:tab w:val="left" w:pos="900" w:leader="none"/>
        </w:tabs>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hint="eastAsia" w:ascii="仿宋" w:hAnsi="仿宋" w:eastAsia="仿宋" w:cs="仿宋"/>
          <w:bCs/>
          <w:color w:val="auto"/>
          <w:sz w:val="24"/>
          <w:szCs w:val="24"/>
          <w:highlight w:val="none"/>
          <w:lang w:eastAsia="zh-CN"/>
        </w:rPr>
        <w:t xml:space="preserve">详见《</w:t>
      </w:r>
      <w:r>
        <w:rPr>
          <w:rFonts w:hint="eastAsia" w:ascii="仿宋" w:hAnsi="仿宋" w:eastAsia="仿宋" w:cs="仿宋"/>
          <w:bCs/>
          <w:color w:val="auto"/>
          <w:sz w:val="24"/>
          <w:szCs w:val="24"/>
          <w:highlight w:val="none"/>
          <w:lang w:val="en-US" w:eastAsia="zh-CN"/>
        </w:rPr>
        <w:t xml:space="preserve">江苏省政府采购管理交易系统(苏采云)供应商操作指南</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（以下简称《操作</w:t>
      </w:r>
      <w:r>
        <w:rPr>
          <w:rFonts w:hint="eastAsia" w:ascii="仿宋" w:hAnsi="仿宋" w:eastAsia="仿宋" w:cs="仿宋"/>
          <w:bCs/>
          <w:color w:val="auto"/>
          <w:sz w:val="24"/>
          <w:szCs w:val="24"/>
          <w:highlight w:val="none"/>
          <w:lang w:eastAsia="zh-CN"/>
        </w:rPr>
        <w:t xml:space="preserve">指南</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《操作</w:t>
      </w:r>
      <w:r>
        <w:rPr>
          <w:rFonts w:hint="eastAsia" w:ascii="仿宋" w:hAnsi="仿宋" w:eastAsia="仿宋" w:cs="仿宋"/>
          <w:bCs/>
          <w:color w:val="auto"/>
          <w:sz w:val="24"/>
          <w:szCs w:val="24"/>
          <w:highlight w:val="none"/>
          <w:lang w:eastAsia="zh-CN"/>
        </w:rPr>
        <w:t xml:space="preserve">指南</w:t>
      </w:r>
      <w:r>
        <w:rPr>
          <w:rFonts w:hint="eastAsia" w:ascii="仿宋" w:hAnsi="仿宋" w:eastAsia="仿宋" w:cs="仿宋"/>
          <w:bCs/>
          <w:color w:val="auto"/>
          <w:sz w:val="24"/>
          <w:szCs w:val="24"/>
          <w:highlight w:val="none"/>
        </w:rPr>
        <w:t xml:space="preserve">》链接：http://www.ccgp-jiangsu.gov.cn/jiangsu/zlxz/ee/ee3a4bc5a3454aa2b0d9312230633ce9.html。</w:t>
      </w:r>
      <w:r/>
    </w:p>
    <w:p>
      <w:pPr>
        <w:ind w:firstLine="480"/>
        <w:pageBreakBefore w:val="0"/>
        <w:spacing w:line="400" w:lineRule="exact"/>
        <w:widowControl w:val="off"/>
        <w:tabs>
          <w:tab w:val="left" w:pos="900" w:leader="none"/>
        </w:tabs>
        <w:rPr>
          <w:rFonts w:hint="eastAsia" w:ascii="仿宋" w:hAnsi="仿宋" w:eastAsia="仿宋" w:cs="仿宋"/>
          <w:bCs/>
          <w:color w:val="auto"/>
          <w:sz w:val="24"/>
          <w:szCs w:val="24"/>
          <w:highlight w:val="none"/>
          <w:lang w:val="en-US" w:eastAsia="zh-CN" w:bidi="ar-SA"/>
        </w:rPr>
        <w:outlineLvl w:val="9"/>
      </w:pPr>
      <w:r>
        <w:rPr>
          <w:rFonts w:hint="eastAsia" w:ascii="仿宋" w:hAnsi="仿宋" w:eastAsia="仿宋" w:cs="仿宋"/>
          <w:b w:val="0"/>
          <w:bCs w:val="0"/>
          <w:color w:val="000000"/>
          <w:sz w:val="24"/>
          <w:szCs w:val="24"/>
          <w:highlight w:val="none"/>
          <w:lang w:val="en-US" w:eastAsia="zh-CN" w:bidi="ar-SA"/>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pageBreakBefore w:val="0"/>
        <w:spacing w:line="400" w:lineRule="exact"/>
        <w:widowControl w:val="off"/>
        <w:tabs>
          <w:tab w:val="left" w:pos="900" w:leader="none"/>
        </w:tabs>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有关本次招标的事项若存在变动或修改，敬请及时关注</w:t>
      </w:r>
      <w:r>
        <w:rPr>
          <w:rFonts w:hint="eastAsia" w:ascii="仿宋" w:hAnsi="仿宋" w:eastAsia="仿宋" w:cs="仿宋"/>
          <w:bCs/>
          <w:color w:val="auto"/>
          <w:sz w:val="24"/>
          <w:szCs w:val="24"/>
          <w:highlight w:val="none"/>
          <w:lang w:eastAsia="zh-CN"/>
        </w:rPr>
        <w:t xml:space="preserve">如东县公共资源交易中心</w:t>
      </w:r>
      <w:r>
        <w:rPr>
          <w:rFonts w:hint="eastAsia" w:ascii="仿宋" w:hAnsi="仿宋" w:eastAsia="仿宋" w:cs="仿宋"/>
          <w:bCs/>
          <w:color w:val="auto"/>
          <w:sz w:val="24"/>
          <w:szCs w:val="24"/>
          <w:highlight w:val="none"/>
        </w:rPr>
        <w:t xml:space="preserve">在“江苏政府采购网”发布的更正公告。</w:t>
      </w:r>
      <w:r/>
    </w:p>
    <w:p>
      <w:pPr>
        <w:ind w:firstLine="480"/>
        <w:pageBreakBefore w:val="0"/>
        <w:spacing w:line="400" w:lineRule="exact"/>
        <w:widowControl w:val="off"/>
        <w:tabs>
          <w:tab w:val="left" w:pos="900" w:leader="none"/>
        </w:tabs>
        <w:rPr>
          <w:rFonts w:hint="eastAsia" w:ascii="仿宋" w:hAnsi="仿宋" w:eastAsia="仿宋" w:cs="仿宋"/>
          <w:bCs/>
          <w:sz w:val="24"/>
          <w:szCs w:val="24"/>
          <w:highlight w:val="none"/>
        </w:rPr>
        <w:outlineLvl w:val="9"/>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.本次招标不收取投标保证金。</w:t>
      </w:r>
      <w:r/>
    </w:p>
    <w:p>
      <w:pPr>
        <w:contextualSpacing/>
        <w:ind w:firstLine="480"/>
        <w:jc w:val="center"/>
        <w:pageBreakBefore w:val="0"/>
        <w:spacing w:line="400" w:lineRule="exact"/>
        <w:widowControl w:val="off"/>
        <w:rPr>
          <w:rFonts w:ascii="Times New Roman" w:hAnsi="Times New Roman" w:eastAsia="仿宋" w:cs="Times New Roman"/>
          <w:color w:val="000000"/>
          <w:sz w:val="44"/>
          <w:szCs w:val="44"/>
          <w:highlight w:val="none"/>
        </w:rPr>
      </w:pPr>
      <w:r>
        <w:rPr>
          <w:rFonts w:hint="eastAsia" w:ascii="仿宋" w:hAnsi="仿宋" w:eastAsia="仿宋" w:cs="仿宋"/>
          <w:sz w:val="24"/>
          <w:highlight w:val="none"/>
        </w:rPr>
        <w:br w:type="page" w:clear="all"/>
      </w:r>
      <w:bookmarkStart w:id="4" w:name="_Toc120614211"/>
      <w:r/>
      <w:bookmarkStart w:id="5" w:name="_Toc8900"/>
      <w:r/>
      <w:bookmarkStart w:id="6" w:name="_Toc3387"/>
      <w:r>
        <w:rPr>
          <w:rFonts w:ascii="Times New Roman" w:hAnsi="Times New Roman" w:eastAsia="仿宋" w:cs="Times New Roman"/>
          <w:b/>
          <w:bCs/>
          <w:color w:val="000000"/>
          <w:sz w:val="44"/>
          <w:szCs w:val="44"/>
          <w:highlight w:val="none"/>
        </w:rPr>
        <w:t xml:space="preserve">第二章  </w:t>
      </w:r>
      <w:bookmarkEnd w:id="4"/>
      <w:r/>
      <w:bookmarkStart w:id="7" w:name="_Toc513029202"/>
      <w:r/>
      <w:bookmarkStart w:id="8" w:name="_Toc120614213"/>
      <w:r/>
      <w:bookmarkStart w:id="9" w:name="_Toc20823274"/>
      <w:r/>
      <w:bookmarkStart w:id="10" w:name="_Toc16938518"/>
      <w:r>
        <w:rPr>
          <w:rFonts w:ascii="Times New Roman" w:hAnsi="Times New Roman" w:eastAsia="仿宋" w:cs="Times New Roman"/>
          <w:b/>
          <w:bCs/>
          <w:color w:val="000000"/>
          <w:sz w:val="44"/>
          <w:szCs w:val="44"/>
          <w:highlight w:val="none"/>
        </w:rPr>
        <w:t xml:space="preserve">投标人须知</w:t>
      </w:r>
      <w:bookmarkEnd w:id="5"/>
      <w:r/>
      <w:bookmarkEnd w:id="6"/>
      <w:r/>
      <w:bookmarkEnd w:id="7"/>
      <w:r/>
      <w:bookmarkEnd w:id="8"/>
      <w:r/>
      <w:bookmarkEnd w:id="9"/>
      <w:r/>
      <w:bookmarkEnd w:id="10"/>
      <w:r/>
      <w:r/>
    </w:p>
    <w:p>
      <w:pPr>
        <w:ind w:firstLine="498"/>
        <w:keepLines/>
        <w:keepNext/>
        <w:pageBreakBefore w:val="0"/>
        <w:spacing w:before="145" w:after="145" w:line="440" w:lineRule="exact"/>
        <w:rPr>
          <w:rFonts w:ascii="Times New Roman" w:hAnsi="Times New Roman" w:eastAsia="仿宋" w:cs="Times New Roman"/>
          <w:b/>
          <w:bCs/>
          <w:color w:val="000000"/>
          <w:sz w:val="32"/>
          <w:szCs w:val="32"/>
          <w:highlight w:val="none"/>
        </w:rPr>
        <w:outlineLvl w:val="9"/>
      </w:pPr>
      <w:r/>
      <w:bookmarkStart w:id="11" w:name="_Toc513029203"/>
      <w:r/>
      <w:bookmarkStart w:id="12" w:name="_Toc120614214"/>
      <w:r/>
      <w:bookmarkStart w:id="13" w:name="_Toc20823275"/>
      <w:r/>
      <w:bookmarkStart w:id="14" w:name="_Toc16938519"/>
      <w:r>
        <w:rPr>
          <w:rFonts w:ascii="Times New Roman" w:hAnsi="Times New Roman" w:eastAsia="仿宋" w:cs="Times New Roman"/>
          <w:b/>
          <w:bCs/>
          <w:color w:val="000000"/>
          <w:sz w:val="32"/>
          <w:szCs w:val="32"/>
          <w:highlight w:val="none"/>
        </w:rPr>
        <w:t xml:space="preserve">一、总则</w:t>
      </w:r>
      <w:bookmarkEnd w:id="11"/>
      <w:r/>
      <w:bookmarkEnd w:id="12"/>
      <w:r/>
      <w:bookmarkEnd w:id="13"/>
      <w:r/>
      <w:bookmarkEnd w:id="14"/>
      <w:r/>
      <w:r/>
    </w:p>
    <w:p>
      <w:pPr>
        <w:ind w:firstLine="422"/>
        <w:keepLines/>
        <w:keepNext/>
        <w:pageBreakBefore w:val="0"/>
        <w:spacing w:line="440" w:lineRule="exact"/>
        <w:rPr>
          <w:highlight w:val="none"/>
        </w:rPr>
        <w:outlineLvl w:val="9"/>
      </w:pPr>
      <w:r/>
      <w:bookmarkStart w:id="15" w:name="_Hlt16619475_ai"/>
      <w:r/>
      <w:bookmarkEnd w:id="15"/>
      <w:r/>
      <w:bookmarkStart w:id="16" w:name="_Hlt16619475"/>
      <w:r/>
      <w:bookmarkEnd w:id="16"/>
      <w:r/>
      <w:bookmarkStart w:id="17" w:name="_Toc458694821_ai"/>
      <w:r/>
      <w:bookmarkStart w:id="18" w:name="_Toc513029204_ai"/>
      <w:r/>
      <w:bookmarkStart w:id="19" w:name="_Toc20823276_ai"/>
      <w:r/>
      <w:bookmarkStart w:id="20" w:name="_Toc16938520_ai"/>
      <w:r>
        <w:rPr>
          <w:rFonts w:hint="default" w:ascii="Times New Roman" w:hAnsi="Times New Roman" w:eastAsia="仿宋" w:cs="Times New Roman"/>
          <w:b/>
          <w:bCs/>
          <w:color w:val="000000"/>
          <w:sz w:val="28"/>
          <w:szCs w:val="28"/>
          <w:highlight w:val="none"/>
          <w:lang w:val="en-US" w:eastAsia="zh-CN" w:bidi="ar-SA"/>
        </w:rPr>
        <w:t xml:space="preserve">1.</w:t>
      </w:r>
      <w:bookmarkEnd w:id="17"/>
      <w:r>
        <w:rPr>
          <w:rFonts w:hint="default" w:ascii="Times New Roman" w:hAnsi="Times New Roman" w:eastAsia="仿宋" w:cs="Times New Roman"/>
          <w:b/>
          <w:bCs/>
          <w:color w:val="000000"/>
          <w:sz w:val="28"/>
          <w:szCs w:val="28"/>
          <w:highlight w:val="none"/>
          <w:lang w:val="en-US" w:eastAsia="zh-CN" w:bidi="ar-SA"/>
        </w:rPr>
        <w:t xml:space="preserve">招标方式</w:t>
      </w:r>
      <w:bookmarkEnd w:id="18"/>
      <w:r/>
      <w:bookmarkEnd w:id="19"/>
      <w:r/>
      <w:bookmarkEnd w:id="20"/>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1.1 本次招标采取公开招标方式，本招标文件仅适用于招标公告中所述项目。</w:t>
      </w:r>
      <w:r/>
    </w:p>
    <w:p>
      <w:pPr>
        <w:ind w:firstLine="422"/>
        <w:keepLines/>
        <w:keepNext/>
        <w:pageBreakBefore w:val="0"/>
        <w:spacing w:line="440" w:lineRule="exact"/>
        <w:rPr>
          <w:highlight w:val="none"/>
        </w:rPr>
        <w:outlineLvl w:val="9"/>
      </w:pPr>
      <w:r/>
      <w:bookmarkStart w:id="21" w:name="_Toc16938521_ai"/>
      <w:r/>
      <w:bookmarkStart w:id="22" w:name="_Toc513029205_ai"/>
      <w:r/>
      <w:bookmarkStart w:id="23" w:name="_Toc20823277_ai"/>
      <w:r>
        <w:rPr>
          <w:rFonts w:hint="default" w:ascii="Times New Roman" w:hAnsi="Times New Roman" w:eastAsia="仿宋" w:cs="Times New Roman"/>
          <w:b/>
          <w:bCs/>
          <w:color w:val="000000"/>
          <w:sz w:val="28"/>
          <w:szCs w:val="28"/>
          <w:highlight w:val="none"/>
          <w:lang w:val="en-US" w:eastAsia="zh-CN" w:bidi="ar-SA"/>
        </w:rPr>
        <w:t xml:space="preserve">2. 合格的投标人</w:t>
      </w:r>
      <w:bookmarkEnd w:id="21"/>
      <w:r/>
      <w:bookmarkEnd w:id="22"/>
      <w:r/>
      <w:bookmarkEnd w:id="23"/>
      <w:r/>
      <w:r/>
    </w:p>
    <w:p>
      <w:pPr>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2.1满足招标公告中供应商的资格要求的规定。</w:t>
      </w:r>
      <w:r/>
    </w:p>
    <w:p>
      <w:pPr>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2.2 满足本文件实质性要求的规定。</w:t>
      </w:r>
      <w:r/>
    </w:p>
    <w:p>
      <w:pPr>
        <w:ind w:firstLine="422"/>
        <w:keepLines/>
        <w:keepNext/>
        <w:pageBreakBefore w:val="0"/>
        <w:spacing w:line="440" w:lineRule="exact"/>
        <w:rPr>
          <w:highlight w:val="none"/>
        </w:rPr>
        <w:outlineLvl w:val="9"/>
      </w:pPr>
      <w:r/>
      <w:bookmarkStart w:id="24" w:name="_Toc16938522_ai"/>
      <w:r/>
      <w:bookmarkStart w:id="25" w:name="_Toc20823278_ai"/>
      <w:r/>
      <w:bookmarkStart w:id="26" w:name="_Toc513029206_ai"/>
      <w:r>
        <w:rPr>
          <w:rFonts w:hint="default" w:ascii="Times New Roman" w:hAnsi="Times New Roman" w:eastAsia="仿宋" w:cs="Times New Roman"/>
          <w:b/>
          <w:bCs/>
          <w:color w:val="000000"/>
          <w:sz w:val="28"/>
          <w:szCs w:val="28"/>
          <w:highlight w:val="none"/>
          <w:lang w:val="en-US" w:eastAsia="zh-CN" w:bidi="ar-SA"/>
        </w:rPr>
        <w:t xml:space="preserve">3. 适用法律</w:t>
      </w:r>
      <w:bookmarkEnd w:id="24"/>
      <w:r/>
      <w:bookmarkEnd w:id="25"/>
      <w:r/>
      <w:bookmarkEnd w:id="26"/>
      <w:r>
        <w:rPr>
          <w:rFonts w:hint="default" w:ascii="Times New Roman" w:hAnsi="Times New Roman" w:eastAsia="仿宋" w:cs="Times New Roman"/>
          <w:b/>
          <w:bCs/>
          <w:color w:val="000000"/>
          <w:sz w:val="28"/>
          <w:szCs w:val="28"/>
          <w:highlight w:val="none"/>
          <w:lang w:val="en-US" w:eastAsia="zh-CN" w:bidi="ar-SA"/>
        </w:rPr>
        <w:t xml:space="preserve">和标准</w:t>
      </w:r>
      <w:r/>
    </w:p>
    <w:p>
      <w:pPr>
        <w:ind w:firstLine="42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3.1 本次招标及由此产生的合同受中华人民共和国有关的法律法规制约和保护。</w:t>
      </w:r>
      <w:r/>
    </w:p>
    <w:p>
      <w:pPr>
        <w:ind w:firstLine="420"/>
        <w:pageBreakBefore w:val="0"/>
        <w:spacing w:line="440" w:lineRule="exact"/>
        <w:rPr>
          <w:rFonts w:ascii="Times New Roman" w:hAnsi="Times New Roman" w:eastAsia="仿宋" w:cs="Times New Roman"/>
          <w:color w:val="000000"/>
          <w:highlight w:val="none"/>
        </w:rPr>
      </w:pPr>
      <w:r>
        <w:rPr>
          <w:rFonts w:ascii="Times New Roman" w:hAnsi="Times New Roman" w:eastAsia="仿宋" w:cs="Times New Roman"/>
          <w:color w:val="000000"/>
          <w:sz w:val="24"/>
          <w:szCs w:val="21"/>
          <w:highlight w:val="none"/>
        </w:rPr>
        <w:t xml:space="preserve">3.2 在本项目政府采购活动过程中，如果所执行的标准有更新的，按照最新标准执行。</w:t>
      </w:r>
      <w:r/>
    </w:p>
    <w:p>
      <w:pPr>
        <w:ind w:firstLine="422"/>
        <w:keepLines/>
        <w:keepNext/>
        <w:pageBreakBefore w:val="0"/>
        <w:spacing w:line="440" w:lineRule="exact"/>
        <w:rPr>
          <w:highlight w:val="none"/>
        </w:rPr>
        <w:outlineLvl w:val="9"/>
      </w:pPr>
      <w:r/>
      <w:bookmarkStart w:id="27" w:name="_Toc16938523_ai"/>
      <w:r/>
      <w:bookmarkStart w:id="28" w:name="_Toc462564067_ai"/>
      <w:r/>
      <w:bookmarkStart w:id="29" w:name="_Toc513029207_ai"/>
      <w:r/>
      <w:bookmarkStart w:id="30" w:name="_Toc20823279_ai"/>
      <w:r>
        <w:rPr>
          <w:rFonts w:hint="default" w:ascii="Times New Roman" w:hAnsi="Times New Roman" w:eastAsia="仿宋" w:cs="Times New Roman"/>
          <w:b/>
          <w:bCs/>
          <w:color w:val="000000"/>
          <w:sz w:val="28"/>
          <w:szCs w:val="28"/>
          <w:highlight w:val="none"/>
          <w:lang w:val="en-US" w:eastAsia="zh-CN" w:bidi="ar-SA"/>
        </w:rPr>
        <w:t xml:space="preserve">4. 投标费用</w:t>
      </w:r>
      <w:bookmarkEnd w:id="27"/>
      <w:r/>
      <w:bookmarkEnd w:id="28"/>
      <w:r/>
      <w:bookmarkEnd w:id="29"/>
      <w:r/>
      <w:bookmarkEnd w:id="30"/>
      <w:r/>
      <w:r/>
    </w:p>
    <w:p>
      <w:pPr>
        <w:ind w:firstLine="480"/>
        <w:pageBreakBefore w:val="0"/>
        <w:spacing w:line="440" w:lineRule="exact"/>
        <w:rPr>
          <w:rFonts w:hint="default" w:ascii="Times New Roman" w:hAnsi="Times New Roman" w:eastAsia="仿宋" w:cs="Times New Roman"/>
          <w:color w:val="000000"/>
          <w:sz w:val="24"/>
          <w:szCs w:val="21"/>
          <w:highlight w:val="none"/>
          <w:lang w:val="en-US" w:eastAsia="zh-CN" w:bidi="ar-SA"/>
        </w:rPr>
        <w:outlineLvl w:val="9"/>
      </w:pPr>
      <w:r>
        <w:rPr>
          <w:rFonts w:hint="default" w:ascii="Times New Roman" w:hAnsi="Times New Roman" w:eastAsia="仿宋" w:cs="Times New Roman"/>
          <w:color w:val="000000"/>
          <w:sz w:val="24"/>
          <w:szCs w:val="21"/>
          <w:highlight w:val="none"/>
          <w:lang w:val="en-US" w:eastAsia="zh-CN" w:bidi="ar-SA"/>
        </w:rPr>
        <w:t xml:space="preserve">4.1 投标人应自行承担所有与参加投标有关的费用，无论投标过程的进展和最终结果如何，南通建仁房地产评估工程项目管理有限公司（以下简称招标代理机构）在任何情况下均无义务和责任承担这些费用。</w:t>
      </w:r>
      <w:r/>
    </w:p>
    <w:p>
      <w:pPr>
        <w:ind w:firstLine="480"/>
        <w:pageBreakBefore w:val="0"/>
        <w:spacing w:line="440" w:lineRule="exact"/>
        <w:rPr>
          <w:rFonts w:hint="default" w:ascii="Times New Roman" w:hAnsi="Times New Roman" w:eastAsia="仿宋" w:cs="Times New Roman"/>
          <w:color w:val="000000"/>
          <w:sz w:val="24"/>
          <w:szCs w:val="21"/>
          <w:highlight w:val="none"/>
          <w:lang w:val="en-US" w:eastAsia="zh-CN" w:bidi="ar-SA"/>
        </w:rPr>
        <w:outlineLvl w:val="9"/>
      </w:pPr>
      <w:r>
        <w:rPr>
          <w:rFonts w:hint="default" w:ascii="Times New Roman" w:hAnsi="Times New Roman" w:eastAsia="仿宋" w:cs="Times New Roman"/>
          <w:color w:val="000000"/>
          <w:sz w:val="24"/>
          <w:szCs w:val="21"/>
          <w:highlight w:val="none"/>
          <w:lang w:val="en-US" w:eastAsia="zh-CN" w:bidi="ar-SA"/>
        </w:rPr>
        <w:t xml:space="preserve">4.2 本次招标，招标代理机构和采购人不收取标书工本费。</w:t>
      </w:r>
      <w:r/>
    </w:p>
    <w:p>
      <w:pPr>
        <w:ind w:firstLine="480"/>
        <w:pageBreakBefore w:val="0"/>
        <w:spacing w:line="440" w:lineRule="exact"/>
        <w:rPr>
          <w:rFonts w:hint="default" w:ascii="Times New Roman" w:hAnsi="Times New Roman" w:eastAsia="仿宋" w:cs="Times New Roman"/>
          <w:color w:val="000000"/>
          <w:sz w:val="24"/>
          <w:szCs w:val="21"/>
          <w:highlight w:val="none"/>
          <w:lang w:val="en-US" w:eastAsia="zh-CN" w:bidi="ar-SA"/>
        </w:rPr>
        <w:outlineLvl w:val="9"/>
      </w:pPr>
      <w:r>
        <w:rPr>
          <w:rFonts w:hint="default" w:ascii="Times New Roman" w:hAnsi="Times New Roman" w:eastAsia="仿宋" w:cs="Times New Roman"/>
          <w:color w:val="000000"/>
          <w:sz w:val="24"/>
          <w:szCs w:val="21"/>
          <w:highlight w:val="none"/>
          <w:lang w:val="en-US" w:eastAsia="zh-CN" w:bidi="ar-SA"/>
        </w:rPr>
        <w:t xml:space="preserve">4.3 本项目招标代理服务费按苏招协[2022]002号收费标准的30%执行，由中标供应商支付，此费用综合考虑在投标报价内，由中标供应商在签订合同前支付给招标代理单位。</w:t>
      </w:r>
      <w:r/>
    </w:p>
    <w:p>
      <w:pPr>
        <w:ind w:firstLine="452"/>
        <w:keepLines/>
        <w:keepNext/>
        <w:pageBreakBefore w:val="0"/>
        <w:spacing w:line="440" w:lineRule="exact"/>
        <w:rPr>
          <w:rFonts w:hint="default" w:ascii="Times New Roman" w:hAnsi="Times New Roman" w:eastAsia="仿宋" w:cs="Times New Roman"/>
          <w:b/>
          <w:bCs/>
          <w:color w:val="000000"/>
          <w:sz w:val="28"/>
          <w:szCs w:val="28"/>
          <w:highlight w:val="none"/>
          <w:lang w:val="en-US" w:eastAsia="zh-CN" w:bidi="ar-SA"/>
        </w:rPr>
        <w:outlineLvl w:val="9"/>
      </w:pPr>
      <w:r>
        <w:rPr>
          <w:rFonts w:hint="default" w:ascii="Times New Roman" w:hAnsi="Times New Roman" w:eastAsia="仿宋" w:cs="Times New Roman"/>
          <w:b/>
          <w:bCs/>
          <w:color w:val="000000"/>
          <w:sz w:val="30"/>
          <w:szCs w:val="28"/>
          <w:highlight w:val="none"/>
          <w:lang w:val="en-US" w:eastAsia="zh-CN" w:bidi="ar-SA"/>
        </w:rPr>
        <w:t xml:space="preserve">5.</w:t>
      </w:r>
      <w:r>
        <w:rPr>
          <w:rFonts w:hint="default" w:ascii="Times New Roman" w:hAnsi="Times New Roman" w:eastAsia="仿宋" w:cs="Times New Roman"/>
          <w:b/>
          <w:bCs/>
          <w:color w:val="000000"/>
          <w:sz w:val="28"/>
          <w:szCs w:val="28"/>
          <w:highlight w:val="none"/>
          <w:lang w:val="en-US" w:eastAsia="zh-CN" w:bidi="ar-SA"/>
        </w:rPr>
        <w:t xml:space="preserve">招标文件的约束力</w:t>
      </w:r>
      <w:r/>
    </w:p>
    <w:p>
      <w:pPr>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bCs/>
          <w:color w:val="000000"/>
          <w:sz w:val="24"/>
          <w:szCs w:val="24"/>
          <w:highlight w:val="none"/>
        </w:rPr>
        <w:t xml:space="preserve">5.1</w:t>
      </w:r>
      <w:r>
        <w:rPr>
          <w:rFonts w:ascii="Times New Roman" w:hAnsi="Times New Roman" w:eastAsia="仿宋" w:cs="Times New Roman"/>
          <w:color w:val="000000"/>
          <w:sz w:val="24"/>
          <w:szCs w:val="24"/>
          <w:highlight w:val="none"/>
        </w:rPr>
        <w:t xml:space="preserve"> 投标人一旦参加本项目采购活动，即被认为接受了本招标文件的规定和约束。</w:t>
      </w:r>
      <w:r/>
    </w:p>
    <w:p>
      <w:pPr>
        <w:ind w:firstLine="321"/>
        <w:keepLines/>
        <w:keepNext/>
        <w:pageBreakBefore w:val="0"/>
        <w:spacing w:before="145" w:after="145" w:line="440" w:lineRule="exact"/>
        <w:rPr>
          <w:rFonts w:ascii="Times New Roman" w:hAnsi="Times New Roman" w:eastAsia="仿宋" w:cs="Times New Roman"/>
          <w:b/>
          <w:bCs/>
          <w:color w:val="000000"/>
          <w:sz w:val="32"/>
          <w:szCs w:val="32"/>
          <w:highlight w:val="none"/>
        </w:rPr>
        <w:outlineLvl w:val="9"/>
      </w:pPr>
      <w:r/>
      <w:bookmarkStart w:id="31" w:name="_Toc16938525"/>
      <w:r/>
      <w:bookmarkStart w:id="32" w:name="_Toc20823281"/>
      <w:r/>
      <w:bookmarkStart w:id="33" w:name="_Toc120614215"/>
      <w:r/>
      <w:bookmarkStart w:id="34" w:name="_Toc513029209"/>
      <w:r>
        <w:rPr>
          <w:rFonts w:ascii="Times New Roman" w:hAnsi="Times New Roman" w:eastAsia="仿宋" w:cs="Times New Roman"/>
          <w:b/>
          <w:bCs/>
          <w:color w:val="000000"/>
          <w:sz w:val="32"/>
          <w:szCs w:val="32"/>
          <w:highlight w:val="none"/>
        </w:rPr>
        <w:t xml:space="preserve">二、招标文件</w:t>
      </w:r>
      <w:bookmarkEnd w:id="31"/>
      <w:r/>
      <w:bookmarkEnd w:id="32"/>
      <w:r/>
      <w:bookmarkEnd w:id="33"/>
      <w:r/>
      <w:bookmarkEnd w:id="34"/>
      <w:r/>
      <w:r/>
    </w:p>
    <w:p>
      <w:pPr>
        <w:ind w:firstLine="422"/>
        <w:keepLines/>
        <w:keepNext/>
        <w:pageBreakBefore w:val="0"/>
        <w:spacing w:line="440" w:lineRule="exact"/>
        <w:rPr>
          <w:highlight w:val="none"/>
        </w:rPr>
        <w:outlineLvl w:val="9"/>
      </w:pPr>
      <w:r/>
      <w:bookmarkStart w:id="35" w:name="_Toc513029210_ai"/>
      <w:r/>
      <w:bookmarkStart w:id="36" w:name="_Toc16938526_ai"/>
      <w:r/>
      <w:bookmarkStart w:id="37" w:name="_Toc20823282_ai"/>
      <w:r>
        <w:rPr>
          <w:rFonts w:hint="default" w:ascii="Times New Roman" w:hAnsi="Times New Roman" w:eastAsia="仿宋" w:cs="Times New Roman"/>
          <w:b/>
          <w:bCs/>
          <w:color w:val="000000"/>
          <w:sz w:val="28"/>
          <w:szCs w:val="28"/>
          <w:highlight w:val="none"/>
          <w:lang w:val="en-US" w:eastAsia="zh-CN" w:bidi="ar-SA"/>
        </w:rPr>
        <w:t xml:space="preserve">6. 招标文件构成</w:t>
      </w:r>
      <w:bookmarkEnd w:id="35"/>
      <w:r/>
      <w:bookmarkEnd w:id="36"/>
      <w:r/>
      <w:bookmarkEnd w:id="37"/>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6.1</w:t>
      </w:r>
      <w:r>
        <w:rPr>
          <w:rFonts w:ascii="Times New Roman" w:hAnsi="Times New Roman" w:eastAsia="仿宋" w:cs="Times New Roman"/>
          <w:color w:val="000000"/>
          <w:sz w:val="24"/>
          <w:szCs w:val="21"/>
          <w:highlight w:val="none"/>
        </w:rPr>
        <w:t xml:space="preserve"> 招标文件由以下部分组成：</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（1）投标邀请</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（2）投标人须知</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（3）合同文本</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（4）采购需求</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（5）评标方法与评标标准</w:t>
      </w:r>
      <w:r/>
    </w:p>
    <w:p>
      <w:pPr>
        <w:ind w:firstLine="36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（6）投标文件格式</w:t>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请仔细检查招标文件是否齐全，如有缺漏请立即与</w:t>
      </w:r>
      <w:r>
        <w:rPr>
          <w:rFonts w:hint="eastAsia" w:eastAsia="仿宋" w:cs="Times New Roman"/>
          <w:color w:val="000000"/>
          <w:sz w:val="24"/>
          <w:szCs w:val="21"/>
          <w:highlight w:val="none"/>
          <w:lang w:eastAsia="zh-CN"/>
        </w:rPr>
        <w:t xml:space="preserve">招标代理机构</w:t>
      </w:r>
      <w:r>
        <w:rPr>
          <w:rFonts w:ascii="Times New Roman" w:hAnsi="Times New Roman" w:eastAsia="仿宋" w:cs="Times New Roman"/>
          <w:color w:val="000000"/>
          <w:sz w:val="24"/>
          <w:szCs w:val="21"/>
          <w:highlight w:val="none"/>
        </w:rPr>
        <w:t xml:space="preserve">联系解决。</w:t>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6.2</w:t>
      </w:r>
      <w:r>
        <w:rPr>
          <w:rFonts w:ascii="Times New Roman" w:hAnsi="Times New Roman" w:eastAsia="仿宋" w:cs="Times New Roman"/>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pageBreakBefore w:val="0"/>
        <w:spacing w:line="440" w:lineRule="exact"/>
        <w:rPr>
          <w:highlight w:val="none"/>
        </w:rPr>
        <w:outlineLvl w:val="9"/>
      </w:pPr>
      <w:r/>
      <w:bookmarkStart w:id="38" w:name="_Toc462564070_ai"/>
      <w:r/>
      <w:bookmarkStart w:id="39" w:name="_Toc16938527_ai"/>
      <w:r/>
      <w:bookmarkStart w:id="40" w:name="_Toc20823283_ai"/>
      <w:r/>
      <w:bookmarkStart w:id="41" w:name="_Toc513029211_ai"/>
      <w:r/>
      <w:bookmarkStart w:id="42" w:name="_Toc513029212"/>
      <w:r/>
      <w:bookmarkStart w:id="43" w:name="_Toc20823284"/>
      <w:r/>
      <w:bookmarkStart w:id="44" w:name="_Toc16938528"/>
      <w:r/>
      <w:bookmarkStart w:id="45" w:name="_Toc462564071"/>
      <w:r>
        <w:rPr>
          <w:rFonts w:hint="default" w:ascii="Times New Roman" w:hAnsi="Times New Roman" w:eastAsia="仿宋" w:cs="Times New Roman"/>
          <w:b/>
          <w:bCs/>
          <w:color w:val="000000"/>
          <w:sz w:val="28"/>
          <w:szCs w:val="28"/>
          <w:highlight w:val="none"/>
          <w:lang w:val="en-US" w:eastAsia="zh-CN" w:bidi="ar-SA"/>
        </w:rPr>
        <w:t xml:space="preserve">7. 招标文件的澄清</w:t>
      </w:r>
      <w:bookmarkEnd w:id="38"/>
      <w:r/>
      <w:bookmarkEnd w:id="39"/>
      <w:r/>
      <w:bookmarkEnd w:id="40"/>
      <w:r/>
      <w:bookmarkEnd w:id="41"/>
      <w:r/>
      <w:r/>
    </w:p>
    <w:p>
      <w:pPr>
        <w:ind w:firstLine="480"/>
        <w:pageBreakBefore w:val="0"/>
        <w:spacing w:line="440" w:lineRule="exact"/>
        <w:rPr>
          <w:highlight w:val="none"/>
        </w:rPr>
        <w:outlineLvl w:val="9"/>
      </w:pPr>
      <w:r>
        <w:rPr>
          <w:rFonts w:hint="default" w:ascii="Times New Roman" w:hAnsi="Times New Roman" w:eastAsia="仿宋" w:cs="Times New Roman"/>
          <w:color w:val="000000"/>
          <w:sz w:val="24"/>
          <w:szCs w:val="21"/>
          <w:highlight w:val="none"/>
          <w:lang w:val="en-US" w:eastAsia="zh-CN" w:bidi="ar-SA"/>
        </w:rPr>
        <w:t xml:space="preserve">7.1 在投标截止时间前，代理机构可以对招标文件进行澄清或者修改，澄清或者修改的内容作为招标文件的组成部分。</w:t>
      </w:r>
      <w:r/>
    </w:p>
    <w:p>
      <w:pPr>
        <w:ind w:firstLine="480"/>
        <w:pageBreakBefore w:val="0"/>
        <w:spacing w:line="440" w:lineRule="exact"/>
        <w:rPr>
          <w:rFonts w:hint="eastAsia" w:ascii="Times New Roman" w:hAnsi="Times New Roman" w:eastAsia="仿宋" w:cs="Times New Roman"/>
          <w:color w:val="000000"/>
          <w:sz w:val="24"/>
          <w:szCs w:val="21"/>
          <w:highlight w:val="none"/>
          <w:lang w:val="en-US" w:eastAsia="zh-CN"/>
        </w:rPr>
        <w:outlineLvl w:val="9"/>
      </w:pPr>
      <w:r>
        <w:rPr>
          <w:rFonts w:hint="eastAsia" w:ascii="Times New Roman" w:hAnsi="Times New Roman" w:eastAsia="仿宋" w:cs="Times New Roman"/>
          <w:color w:val="000000"/>
          <w:sz w:val="24"/>
          <w:szCs w:val="21"/>
          <w:highlight w:val="none"/>
          <w:lang w:val="en-US" w:eastAsia="zh-CN"/>
        </w:rPr>
        <w:t xml:space="preserve">7.2采购人视情组织答疑会。</w:t>
      </w:r>
      <w:bookmarkEnd w:id="42"/>
      <w:r/>
      <w:bookmarkEnd w:id="43"/>
      <w:r/>
      <w:bookmarkEnd w:id="44"/>
      <w:r/>
      <w:bookmarkEnd w:id="45"/>
      <w:r/>
      <w:r/>
    </w:p>
    <w:p>
      <w:pPr>
        <w:ind w:firstLine="562"/>
        <w:keepLines/>
        <w:keepNext/>
        <w:pageBreakBefore w:val="0"/>
        <w:spacing w:line="440" w:lineRule="exact"/>
        <w:rPr>
          <w:rFonts w:hint="default" w:ascii="Times New Roman" w:hAnsi="Times New Roman" w:eastAsia="仿宋" w:cs="Times New Roman"/>
          <w:b/>
          <w:bCs/>
          <w:color w:val="000000"/>
          <w:sz w:val="28"/>
          <w:szCs w:val="28"/>
          <w:highlight w:val="none"/>
          <w:lang w:val="en-US" w:eastAsia="zh-CN" w:bidi="ar-SA"/>
        </w:rPr>
        <w:outlineLvl w:val="9"/>
      </w:pPr>
      <w:r>
        <w:rPr>
          <w:rFonts w:hint="default" w:ascii="Times New Roman" w:hAnsi="Times New Roman" w:eastAsia="仿宋" w:cs="Times New Roman"/>
          <w:b/>
          <w:bCs/>
          <w:color w:val="000000"/>
          <w:sz w:val="28"/>
          <w:szCs w:val="28"/>
          <w:highlight w:val="none"/>
          <w:lang w:val="en-US" w:eastAsia="zh-CN" w:bidi="ar-SA"/>
        </w:rPr>
        <w:t xml:space="preserve">8. 招标文件的修改</w:t>
      </w:r>
      <w:bookmarkStart w:id="46" w:name="_Toc16938528_ai"/>
      <w:r/>
      <w:bookmarkEnd w:id="46"/>
      <w:r/>
      <w:bookmarkStart w:id="47" w:name="_Toc462564071_ai"/>
      <w:r/>
      <w:bookmarkEnd w:id="47"/>
      <w:r/>
      <w:bookmarkStart w:id="48" w:name="_Toc513029212_ai"/>
      <w:r/>
      <w:bookmarkEnd w:id="48"/>
      <w:r/>
      <w:bookmarkStart w:id="49" w:name="_Toc20823284_ai"/>
      <w:r/>
      <w:bookmarkEnd w:id="49"/>
      <w:r/>
      <w:r/>
    </w:p>
    <w:p>
      <w:pPr>
        <w:ind w:firstLine="480"/>
        <w:pageBreakBefore w:val="0"/>
        <w:spacing w:line="440" w:lineRule="exact"/>
        <w:rPr>
          <w:rFonts w:hint="default" w:ascii="Times New Roman" w:hAnsi="Times New Roman" w:eastAsia="仿宋" w:cs="Times New Roman"/>
          <w:bCs/>
          <w:color w:val="000000"/>
          <w:sz w:val="24"/>
          <w:szCs w:val="21"/>
          <w:highlight w:val="none"/>
          <w:lang w:val="en-US" w:eastAsia="zh-CN" w:bidi="ar-SA"/>
        </w:rPr>
        <w:outlineLvl w:val="9"/>
      </w:pPr>
      <w:r>
        <w:rPr>
          <w:rFonts w:hint="default" w:ascii="Times New Roman" w:hAnsi="Times New Roman" w:eastAsia="仿宋" w:cs="Times New Roman"/>
          <w:color w:val="000000"/>
          <w:sz w:val="24"/>
          <w:szCs w:val="21"/>
          <w:highlight w:val="none"/>
          <w:lang w:val="en-US" w:eastAsia="zh-CN" w:bidi="ar-SA"/>
        </w:rPr>
        <w:t xml:space="preserve">8.1 澄清或者修改的内容可能影响投标文件编制的，代理机构将在提交首次投标文件截止时间至少15日前，在“江苏政府采购网”上以发布书面更正公告形式通知所有获取招标文件的供应商，更正公告内容将作为招标文件的组成部分，并对供应商具有约束力。不足15日的，代理机构将顺延提交首次投标文件截止时间。</w:t>
      </w:r>
      <w:r/>
    </w:p>
    <w:p>
      <w:pPr>
        <w:ind w:firstLine="480"/>
        <w:pageBreakBefore w:val="0"/>
        <w:spacing w:line="440" w:lineRule="exact"/>
        <w:rPr>
          <w:rFonts w:hint="eastAsia" w:ascii="Times New Roman" w:hAnsi="Times New Roman" w:eastAsia="仿宋" w:cs="Times New Roman"/>
          <w:color w:val="000000"/>
          <w:sz w:val="24"/>
          <w:szCs w:val="21"/>
          <w:highlight w:val="none"/>
          <w:lang w:val="en-US" w:eastAsia="zh-CN"/>
        </w:rPr>
        <w:outlineLvl w:val="9"/>
      </w:pPr>
      <w:r>
        <w:rPr>
          <w:rFonts w:hint="eastAsia" w:ascii="Times New Roman" w:hAnsi="Times New Roman" w:eastAsia="仿宋" w:cs="Times New Roman"/>
          <w:color w:val="000000"/>
          <w:sz w:val="24"/>
          <w:szCs w:val="21"/>
          <w:highlight w:val="none"/>
          <w:lang w:val="en-US" w:eastAsia="zh-CN"/>
        </w:rPr>
        <w:t xml:space="preserve">8.2 代理机构有权按照法定的要求推迟投标截止日期和开标日期。</w:t>
      </w:r>
      <w:r/>
    </w:p>
    <w:p>
      <w:pPr>
        <w:ind w:firstLine="482"/>
        <w:keepLines/>
        <w:keepNext/>
        <w:pageBreakBefore w:val="0"/>
        <w:spacing w:before="145" w:after="145" w:line="440" w:lineRule="exact"/>
        <w:rPr>
          <w:rFonts w:ascii="Times New Roman" w:hAnsi="Times New Roman" w:eastAsia="仿宋" w:cs="Times New Roman"/>
          <w:b/>
          <w:bCs/>
          <w:color w:val="000000"/>
          <w:sz w:val="32"/>
          <w:szCs w:val="32"/>
          <w:highlight w:val="none"/>
        </w:rPr>
        <w:outlineLvl w:val="9"/>
      </w:pPr>
      <w:r/>
      <w:bookmarkStart w:id="50" w:name="_Toc462564072"/>
      <w:r/>
      <w:bookmarkStart w:id="51" w:name="_Toc513029213"/>
      <w:r/>
      <w:bookmarkStart w:id="52" w:name="_Toc16938529"/>
      <w:r/>
      <w:bookmarkStart w:id="53" w:name="_Toc20823285"/>
      <w:r/>
      <w:bookmarkStart w:id="54" w:name="_Toc120614216"/>
      <w:r>
        <w:rPr>
          <w:rFonts w:ascii="Times New Roman" w:hAnsi="Times New Roman" w:eastAsia="仿宋" w:cs="Times New Roman"/>
          <w:b/>
          <w:bCs/>
          <w:color w:val="000000"/>
          <w:sz w:val="32"/>
          <w:szCs w:val="32"/>
          <w:highlight w:val="none"/>
        </w:rPr>
        <w:t xml:space="preserve">三、投标文件的编制</w:t>
      </w:r>
      <w:bookmarkEnd w:id="50"/>
      <w:r/>
      <w:bookmarkEnd w:id="51"/>
      <w:r/>
      <w:bookmarkEnd w:id="52"/>
      <w:r/>
      <w:bookmarkEnd w:id="53"/>
      <w:r/>
      <w:bookmarkEnd w:id="54"/>
      <w:r/>
      <w:r/>
    </w:p>
    <w:p>
      <w:pPr>
        <w:ind w:firstLine="562"/>
        <w:keepLines/>
        <w:keepNext/>
        <w:pageBreakBefore w:val="0"/>
        <w:spacing w:line="440" w:lineRule="exact"/>
        <w:rPr>
          <w:highlight w:val="none"/>
        </w:rPr>
        <w:outlineLvl w:val="9"/>
      </w:pPr>
      <w:r/>
      <w:bookmarkStart w:id="55" w:name="_Toc20823286_ai"/>
      <w:r/>
      <w:bookmarkStart w:id="56" w:name="_Toc513029214_ai"/>
      <w:r/>
      <w:bookmarkStart w:id="57" w:name="_Toc16938530_ai"/>
      <w:r/>
      <w:bookmarkStart w:id="58" w:name="_Toc462564073_ai"/>
      <w:r>
        <w:rPr>
          <w:rFonts w:hint="default" w:ascii="Times New Roman" w:hAnsi="Times New Roman" w:eastAsia="仿宋" w:cs="Times New Roman"/>
          <w:b/>
          <w:bCs/>
          <w:color w:val="000000"/>
          <w:sz w:val="28"/>
          <w:szCs w:val="28"/>
          <w:highlight w:val="none"/>
          <w:lang w:val="en-US" w:eastAsia="zh-CN" w:bidi="ar-SA"/>
        </w:rPr>
        <w:t xml:space="preserve">9. 投标文件的语言及度量衡单位</w:t>
      </w:r>
      <w:bookmarkEnd w:id="55"/>
      <w:r/>
      <w:bookmarkEnd w:id="56"/>
      <w:r/>
      <w:bookmarkEnd w:id="57"/>
      <w:r/>
      <w:bookmarkEnd w:id="58"/>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9.1</w:t>
      </w:r>
      <w:r>
        <w:rPr>
          <w:rFonts w:ascii="Times New Roman" w:hAnsi="Times New Roman" w:eastAsia="仿宋" w:cs="Times New Roman"/>
          <w:color w:val="000000"/>
          <w:sz w:val="24"/>
          <w:szCs w:val="21"/>
          <w:highlight w:val="none"/>
        </w:rPr>
        <w:t xml:space="preserve"> 投标人提交的投标文件以及投标人与</w:t>
      </w:r>
      <w:r>
        <w:rPr>
          <w:rFonts w:hint="eastAsia" w:eastAsia="仿宋" w:cs="Times New Roman"/>
          <w:color w:val="000000"/>
          <w:sz w:val="24"/>
          <w:szCs w:val="21"/>
          <w:highlight w:val="none"/>
          <w:lang w:eastAsia="zh-CN"/>
        </w:rPr>
        <w:t xml:space="preserve">招标代理机构</w:t>
      </w:r>
      <w:r>
        <w:rPr>
          <w:rFonts w:ascii="Times New Roman" w:hAnsi="Times New Roman" w:eastAsia="仿宋" w:cs="Times New Roman"/>
          <w:color w:val="000000"/>
          <w:sz w:val="24"/>
          <w:szCs w:val="21"/>
          <w:highlight w:val="none"/>
          <w:lang w:eastAsia="zh-CN"/>
        </w:rPr>
        <w:t xml:space="preserve">及采购人</w:t>
      </w:r>
      <w:r>
        <w:rPr>
          <w:rFonts w:ascii="Times New Roman" w:hAnsi="Times New Roman" w:eastAsia="仿宋" w:cs="Times New Roman"/>
          <w:color w:val="000000"/>
          <w:sz w:val="24"/>
          <w:szCs w:val="21"/>
          <w:highlight w:val="none"/>
        </w:rPr>
        <w:t xml:space="preserve">就有关投标的所有来往通知、函件和文件均应使用</w:t>
      </w:r>
      <w:r>
        <w:rPr>
          <w:rFonts w:ascii="Times New Roman" w:hAnsi="Times New Roman" w:eastAsia="仿宋" w:cs="Times New Roman"/>
          <w:b/>
          <w:bCs/>
          <w:color w:val="000000"/>
          <w:sz w:val="24"/>
          <w:szCs w:val="21"/>
          <w:highlight w:val="none"/>
        </w:rPr>
        <w:t xml:space="preserve">简体中文</w:t>
      </w:r>
      <w:r>
        <w:rPr>
          <w:rFonts w:ascii="Times New Roman" w:hAnsi="Times New Roman" w:eastAsia="仿宋" w:cs="Times New Roman"/>
          <w:color w:val="000000"/>
          <w:sz w:val="24"/>
          <w:szCs w:val="21"/>
          <w:highlight w:val="none"/>
        </w:rPr>
        <w:t xml:space="preserve">。</w:t>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color w:val="000000"/>
          <w:sz w:val="24"/>
          <w:szCs w:val="21"/>
          <w:highlight w:val="none"/>
        </w:rPr>
        <w:t xml:space="preserve">9.2</w:t>
      </w:r>
      <w:r>
        <w:rPr>
          <w:rFonts w:ascii="Times New Roman" w:hAnsi="Times New Roman" w:eastAsia="仿宋" w:cs="Times New Roman"/>
          <w:color w:val="000000"/>
          <w:sz w:val="24"/>
          <w:szCs w:val="21"/>
          <w:highlight w:val="none"/>
        </w:rPr>
        <w:t xml:space="preserve"> 除技术性能另有规定外，投标文件所使用的度量衡单位，均须采用国家法定计量单位。</w:t>
      </w:r>
      <w:r/>
    </w:p>
    <w:p>
      <w:pPr>
        <w:ind w:firstLine="422"/>
        <w:keepLines/>
        <w:keepNext/>
        <w:pageBreakBefore w:val="0"/>
        <w:spacing w:line="440" w:lineRule="exact"/>
        <w:rPr>
          <w:highlight w:val="none"/>
        </w:rPr>
        <w:outlineLvl w:val="9"/>
      </w:pPr>
      <w:r/>
      <w:bookmarkStart w:id="59" w:name="_Toc462564074_ai"/>
      <w:r/>
      <w:bookmarkStart w:id="60" w:name="_Toc16938531_ai"/>
      <w:r/>
      <w:bookmarkStart w:id="61" w:name="_Toc513029215_ai"/>
      <w:r/>
      <w:bookmarkStart w:id="62" w:name="_Toc20823287_ai"/>
      <w:r>
        <w:rPr>
          <w:rFonts w:hint="default" w:ascii="Times New Roman" w:hAnsi="Times New Roman" w:eastAsia="仿宋" w:cs="Times New Roman"/>
          <w:b/>
          <w:bCs/>
          <w:color w:val="000000"/>
          <w:sz w:val="28"/>
          <w:szCs w:val="28"/>
          <w:highlight w:val="none"/>
          <w:lang w:val="en-US" w:eastAsia="zh-CN" w:bidi="ar-SA"/>
        </w:rPr>
        <w:t xml:space="preserve">10. 投标文件构成</w:t>
      </w:r>
      <w:bookmarkEnd w:id="59"/>
      <w:r/>
      <w:bookmarkEnd w:id="60"/>
      <w:r/>
      <w:bookmarkEnd w:id="61"/>
      <w:r/>
      <w:bookmarkEnd w:id="62"/>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bCs/>
          <w:sz w:val="24"/>
          <w:szCs w:val="21"/>
          <w:highlight w:val="none"/>
        </w:rPr>
        <w:t xml:space="preserve">10.1</w:t>
      </w:r>
      <w:r>
        <w:rPr>
          <w:rFonts w:ascii="Times New Roman" w:hAnsi="Times New Roman" w:eastAsia="仿宋" w:cs="Times New Roman"/>
          <w:sz w:val="24"/>
          <w:szCs w:val="21"/>
          <w:highlight w:val="none"/>
        </w:rPr>
        <w:t xml:space="preserve"> 投标人编写的投标文件应包括资格证明文</w:t>
      </w:r>
      <w:r>
        <w:rPr>
          <w:rFonts w:ascii="Times New Roman" w:hAnsi="Times New Roman" w:eastAsia="仿宋" w:cs="Times New Roman"/>
          <w:color w:val="000000"/>
          <w:sz w:val="24"/>
          <w:szCs w:val="21"/>
          <w:highlight w:val="none"/>
        </w:rPr>
        <w:t xml:space="preserve">件、</w:t>
      </w:r>
      <w:r>
        <w:rPr>
          <w:rFonts w:ascii="Times New Roman" w:hAnsi="Times New Roman" w:eastAsia="仿宋" w:cs="Times New Roman"/>
          <w:color w:val="000000"/>
          <w:sz w:val="24"/>
          <w:szCs w:val="24"/>
          <w:highlight w:val="none"/>
        </w:rPr>
        <w:t xml:space="preserve">实质性要求响应及偏离表</w:t>
      </w:r>
      <w:r>
        <w:rPr>
          <w:rFonts w:ascii="Times New Roman" w:hAnsi="Times New Roman" w:eastAsia="仿宋" w:cs="Times New Roman"/>
          <w:color w:val="000000"/>
          <w:sz w:val="24"/>
          <w:szCs w:val="21"/>
          <w:highlight w:val="none"/>
        </w:rPr>
        <w:t xml:space="preserve">、投</w:t>
      </w:r>
      <w:r>
        <w:rPr>
          <w:rFonts w:ascii="Times New Roman" w:hAnsi="Times New Roman" w:eastAsia="仿宋" w:cs="Times New Roman"/>
          <w:sz w:val="24"/>
          <w:szCs w:val="21"/>
          <w:highlight w:val="none"/>
        </w:rPr>
        <w:t xml:space="preserve">标分项报价表、技术要求响应及偏离表、商务要求响应及偏离表、其他证明文件、投标函、开标一览表等部分</w:t>
      </w:r>
      <w:r>
        <w:rPr>
          <w:rFonts w:ascii="Times New Roman" w:hAnsi="Times New Roman" w:eastAsia="仿宋" w:cs="Times New Roman"/>
          <w:color w:val="000000"/>
          <w:sz w:val="24"/>
          <w:szCs w:val="21"/>
          <w:highlight w:val="none"/>
        </w:rPr>
        <w:t xml:space="preserve">。</w:t>
      </w:r>
      <w:r>
        <w:rPr>
          <w:rFonts w:ascii="Times New Roman" w:hAnsi="Times New Roman" w:eastAsia="仿宋" w:cs="Times New Roman"/>
          <w:color w:val="000000"/>
          <w:sz w:val="24"/>
          <w:szCs w:val="21"/>
          <w:highlight w:val="none"/>
          <w:lang w:eastAsia="zh-CN"/>
        </w:rPr>
        <w:t xml:space="preserve">投标人</w:t>
      </w:r>
      <w:r>
        <w:rPr>
          <w:rFonts w:ascii="Times New Roman" w:hAnsi="Times New Roman" w:eastAsia="仿宋" w:cs="Times New Roman"/>
          <w:color w:val="000000"/>
          <w:sz w:val="24"/>
          <w:szCs w:val="21"/>
          <w:highlight w:val="none"/>
        </w:rPr>
        <w:t xml:space="preserve">按“第</w:t>
      </w:r>
      <w:r>
        <w:rPr>
          <w:rFonts w:ascii="Times New Roman" w:hAnsi="Times New Roman" w:eastAsia="仿宋" w:cs="Times New Roman"/>
          <w:color w:val="000000"/>
          <w:sz w:val="24"/>
          <w:szCs w:val="21"/>
          <w:highlight w:val="none"/>
          <w:lang w:val="en-US" w:eastAsia="zh-CN"/>
        </w:rPr>
        <w:t xml:space="preserve">六章</w:t>
      </w:r>
      <w:r>
        <w:rPr>
          <w:rFonts w:ascii="Times New Roman" w:hAnsi="Times New Roman" w:eastAsia="仿宋" w:cs="Times New Roman"/>
          <w:color w:val="000000"/>
          <w:sz w:val="24"/>
          <w:szCs w:val="21"/>
          <w:highlight w:val="none"/>
        </w:rPr>
        <w:t xml:space="preserve">  </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rPr>
          <w:rFonts w:ascii="Times New Roman" w:hAnsi="Times New Roman" w:eastAsia="仿宋" w:cs="Times New Roman"/>
          <w:color w:val="000000"/>
          <w:sz w:val="24"/>
          <w:szCs w:val="21"/>
          <w:highlight w:val="none"/>
          <w:lang w:eastAsia="zh-CN"/>
        </w:rPr>
        <w:t xml:space="preserve">格式</w:t>
      </w:r>
      <w:r>
        <w:rPr>
          <w:rFonts w:ascii="Times New Roman" w:hAnsi="Times New Roman" w:eastAsia="仿宋" w:cs="Times New Roman"/>
          <w:color w:val="000000"/>
          <w:sz w:val="24"/>
          <w:szCs w:val="21"/>
          <w:highlight w:val="none"/>
        </w:rPr>
        <w:t xml:space="preserve">”要求编写</w:t>
      </w:r>
      <w:r>
        <w:rPr>
          <w:rFonts w:ascii="Times New Roman" w:hAnsi="Times New Roman" w:eastAsia="仿宋" w:cs="Times New Roman"/>
          <w:color w:val="000000"/>
          <w:sz w:val="24"/>
          <w:szCs w:val="21"/>
          <w:highlight w:val="none"/>
          <w:lang w:eastAsia="zh-CN"/>
        </w:rPr>
        <w:t xml:space="preserve">投标</w:t>
      </w:r>
      <w:r>
        <w:rPr>
          <w:rFonts w:ascii="Times New Roman" w:hAnsi="Times New Roman" w:eastAsia="仿宋" w:cs="Times New Roman"/>
          <w:color w:val="000000"/>
          <w:sz w:val="24"/>
          <w:szCs w:val="21"/>
          <w:highlight w:val="none"/>
        </w:rPr>
        <w:t xml:space="preserve">文件。</w:t>
      </w:r>
      <w:r/>
    </w:p>
    <w:p>
      <w:pPr>
        <w:ind w:firstLine="480"/>
        <w:pageBreakBefore w:val="0"/>
        <w:spacing w:line="440" w:lineRule="exact"/>
        <w:rPr>
          <w:rFonts w:ascii="Times New Roman" w:hAnsi="Times New Roman" w:eastAsia="仿宋" w:cs="Times New Roman"/>
          <w:color w:val="000000"/>
          <w:sz w:val="24"/>
          <w:szCs w:val="21"/>
          <w:highlight w:val="none"/>
        </w:rPr>
        <w:outlineLvl w:val="9"/>
      </w:pPr>
      <w:r>
        <w:rPr>
          <w:rFonts w:ascii="Times New Roman" w:hAnsi="Times New Roman" w:eastAsia="仿宋" w:cs="Times New Roman"/>
          <w:color w:val="000000"/>
          <w:sz w:val="24"/>
          <w:szCs w:val="21"/>
          <w:highlight w:val="none"/>
        </w:rPr>
        <w:t xml:space="preserve">10.2 如标书制作工具中格式和内容与“江苏政府采购网”发布的招标文件不一致，请以“江苏政府采购网”发布的招标文件为准。</w:t>
      </w:r>
      <w:r/>
    </w:p>
    <w:p>
      <w:pPr>
        <w:ind w:firstLine="422"/>
        <w:keepLines/>
        <w:keepNext/>
        <w:pageBreakBefore w:val="0"/>
        <w:spacing w:line="440" w:lineRule="exact"/>
        <w:rPr>
          <w:highlight w:val="none"/>
        </w:rPr>
        <w:outlineLvl w:val="9"/>
      </w:pPr>
      <w:r/>
      <w:bookmarkStart w:id="63" w:name="_Hlt26954838"/>
      <w:r/>
      <w:bookmarkEnd w:id="63"/>
      <w:r/>
      <w:bookmarkStart w:id="64" w:name="_Hlt26670360_ai"/>
      <w:r/>
      <w:bookmarkEnd w:id="64"/>
      <w:r/>
      <w:bookmarkStart w:id="65" w:name="_Hlt26954838_ai"/>
      <w:r/>
      <w:bookmarkEnd w:id="65"/>
      <w:r/>
      <w:bookmarkStart w:id="66" w:name="_Hlt26668975"/>
      <w:r/>
      <w:bookmarkEnd w:id="66"/>
      <w:r/>
      <w:bookmarkStart w:id="67" w:name="_Hlt26668975_ai"/>
      <w:r/>
      <w:bookmarkEnd w:id="67"/>
      <w:r/>
      <w:bookmarkStart w:id="68" w:name="_Hlt26670360"/>
      <w:r/>
      <w:bookmarkEnd w:id="68"/>
      <w:r/>
      <w:bookmarkStart w:id="69" w:name="_Toc14577357_ai"/>
      <w:r/>
      <w:bookmarkStart w:id="70" w:name="_Toc49090509_ai"/>
      <w:r/>
      <w:bookmarkStart w:id="71" w:name="_Toc14577354_ai"/>
      <w:r/>
      <w:bookmarkStart w:id="72" w:name="_Toc513029216_ai"/>
      <w:r/>
      <w:bookmarkStart w:id="73" w:name="_Toc513029219_ai"/>
      <w:r/>
      <w:bookmarkStart w:id="74" w:name="_Toc49090507_ai"/>
      <w:r/>
      <w:bookmarkStart w:id="75" w:name="_Toc14577355"/>
      <w:r/>
      <w:bookmarkStart w:id="76" w:name="_Toc49090508"/>
      <w:r>
        <w:rPr>
          <w:rFonts w:hint="default" w:ascii="Times New Roman" w:hAnsi="Times New Roman" w:eastAsia="仿宋" w:cs="Times New Roman"/>
          <w:b/>
          <w:bCs/>
          <w:color w:val="000000"/>
          <w:sz w:val="28"/>
          <w:szCs w:val="28"/>
          <w:highlight w:val="none"/>
          <w:lang w:val="en-US" w:eastAsia="zh-CN" w:bidi="ar-SA"/>
        </w:rPr>
        <w:t xml:space="preserve">11. 证明投标人及投标标的符合招标文件规定的文件</w:t>
      </w:r>
      <w:bookmarkEnd w:id="69"/>
      <w:r/>
      <w:bookmarkEnd w:id="70"/>
      <w:r/>
      <w:bookmarkEnd w:id="71"/>
      <w:r/>
      <w:bookmarkEnd w:id="72"/>
      <w:r/>
      <w:bookmarkEnd w:id="73"/>
      <w:r/>
      <w:bookmarkEnd w:id="74"/>
      <w:r/>
      <w:r/>
    </w:p>
    <w:p>
      <w:pPr>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    11.1 投标人应按照招标文件要求提交证明文件，证明其及投标标的符合招标文件规定。</w:t>
      </w:r>
      <w:r/>
    </w:p>
    <w:p>
      <w:pPr>
        <w:ind w:firstLine="480"/>
        <w:pageBreakBefore w:val="0"/>
        <w:spacing w:line="440" w:lineRule="exact"/>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11.2招标文件对证明文件无明确形式要求的，证明文件可以以文字资料、图纸和数据等形式提交。</w:t>
      </w:r>
      <w:bookmarkEnd w:id="75"/>
      <w:r/>
      <w:bookmarkEnd w:id="76"/>
      <w:r/>
      <w:r/>
    </w:p>
    <w:p>
      <w:pPr>
        <w:ind w:firstLine="422"/>
        <w:keepLines/>
        <w:keepNext/>
        <w:pageBreakBefore w:val="0"/>
        <w:spacing w:line="440" w:lineRule="exact"/>
        <w:rPr>
          <w:rFonts w:hint="default" w:ascii="Times New Roman" w:hAnsi="Times New Roman" w:eastAsia="仿宋" w:cs="Times New Roman"/>
          <w:b/>
          <w:bCs/>
          <w:color w:val="000000"/>
          <w:sz w:val="28"/>
          <w:szCs w:val="28"/>
          <w:highlight w:val="none"/>
          <w:lang w:val="en-US" w:eastAsia="zh-CN" w:bidi="ar-SA"/>
        </w:rPr>
        <w:outlineLvl w:val="9"/>
      </w:pPr>
      <w:r>
        <w:rPr>
          <w:rFonts w:hint="default" w:ascii="Times New Roman" w:hAnsi="Times New Roman" w:eastAsia="仿宋" w:cs="Times New Roman"/>
          <w:b/>
          <w:bCs/>
          <w:color w:val="000000"/>
          <w:sz w:val="28"/>
          <w:szCs w:val="28"/>
          <w:highlight w:val="none"/>
          <w:lang w:val="en-US" w:eastAsia="zh-CN" w:bidi="ar-SA"/>
        </w:rPr>
        <w:t xml:space="preserve">12. 投标分项报价表</w:t>
      </w:r>
      <w:r/>
    </w:p>
    <w:p>
      <w:pPr>
        <w:ind w:firstLine="480"/>
        <w:pageBreakBefore w:val="0"/>
        <w:spacing w:line="440" w:lineRule="exact"/>
        <w:rPr>
          <w:rFonts w:ascii="Times New Roman" w:hAnsi="Times New Roman" w:eastAsia="仿宋" w:cs="Times New Roman"/>
          <w:bCs/>
          <w:color w:val="000000"/>
          <w:sz w:val="24"/>
          <w:szCs w:val="21"/>
          <w:highlight w:val="none"/>
        </w:rPr>
        <w:outlineLvl w:val="9"/>
      </w:pPr>
      <w:r>
        <w:rPr>
          <w:rFonts w:ascii="Times New Roman" w:hAnsi="Times New Roman" w:eastAsia="仿宋" w:cs="Times New Roman"/>
          <w:bCs/>
          <w:color w:val="000000"/>
          <w:sz w:val="24"/>
          <w:szCs w:val="21"/>
          <w:highlight w:val="none"/>
        </w:rPr>
        <w:t xml:space="preserve">12.1</w:t>
      </w:r>
      <w:r>
        <w:rPr>
          <w:rFonts w:ascii="Times New Roman" w:hAnsi="Times New Roman" w:eastAsia="仿宋" w:cs="Times New Roman"/>
          <w:color w:val="000000"/>
          <w:sz w:val="24"/>
          <w:szCs w:val="21"/>
          <w:highlight w:val="none"/>
        </w:rPr>
        <w:t xml:space="preserve"> 投</w:t>
      </w:r>
      <w:bookmarkStart w:id="77" w:name="_Hlt26954840"/>
      <w:r/>
      <w:bookmarkEnd w:id="77"/>
      <w:r>
        <w:rPr>
          <w:rFonts w:ascii="Times New Roman" w:hAnsi="Times New Roman" w:eastAsia="仿宋" w:cs="Times New Roman"/>
          <w:color w:val="000000"/>
          <w:sz w:val="24"/>
          <w:szCs w:val="21"/>
          <w:highlight w:val="none"/>
        </w:rPr>
        <w:t xml:space="preserve">标人按照招标文件规定格式填报投标分项报价表</w:t>
      </w:r>
      <w:bookmarkStart w:id="78" w:name="_Hlt26670399"/>
      <w:r/>
      <w:bookmarkEnd w:id="78"/>
      <w:r>
        <w:rPr>
          <w:rFonts w:ascii="Times New Roman" w:hAnsi="Times New Roman" w:eastAsia="仿宋" w:cs="Times New Roman"/>
          <w:color w:val="000000"/>
          <w:sz w:val="24"/>
          <w:szCs w:val="21"/>
          <w:highlight w:val="none"/>
        </w:rPr>
        <w:t xml:space="preserve">。</w:t>
      </w:r>
      <w:r/>
    </w:p>
    <w:p>
      <w:pPr>
        <w:ind w:firstLine="480"/>
        <w:pageBreakBefore w:val="0"/>
        <w:spacing w:line="440" w:lineRule="exact"/>
        <w:rPr>
          <w:rFonts w:ascii="Times New Roman" w:hAnsi="Times New Roman" w:eastAsia="仿宋" w:cs="Times New Roman"/>
          <w:bCs/>
          <w:color w:val="000000"/>
          <w:sz w:val="24"/>
          <w:szCs w:val="21"/>
          <w:highlight w:val="none"/>
        </w:rPr>
        <w:outlineLvl w:val="9"/>
      </w:pPr>
      <w:r>
        <w:rPr>
          <w:rFonts w:ascii="Times New Roman" w:hAnsi="Times New Roman" w:eastAsia="仿宋" w:cs="Times New Roman"/>
          <w:color w:val="000000"/>
          <w:sz w:val="24"/>
          <w:szCs w:val="21"/>
          <w:highlight w:val="none"/>
        </w:rPr>
        <w:t xml:space="preserve">12.2</w:t>
      </w:r>
      <w:r>
        <w:rPr>
          <w:rFonts w:ascii="Times New Roman" w:hAnsi="Times New Roman" w:eastAsia="仿宋"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仿宋" w:cs="Times New Roman"/>
          <w:color w:val="000000"/>
          <w:sz w:val="24"/>
          <w:szCs w:val="21"/>
          <w:highlight w:val="none"/>
        </w:rPr>
        <w:t xml:space="preserve">招标文件中另有规定的按规定执行。</w:t>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bookmarkStart w:id="79" w:name="_Hlt26670486"/>
      <w:r/>
      <w:bookmarkEnd w:id="79"/>
      <w:r/>
      <w:bookmarkStart w:id="80" w:name="_Hlt26954846"/>
      <w:r/>
      <w:bookmarkEnd w:id="80"/>
      <w:r/>
      <w:bookmarkStart w:id="81" w:name="_Hlt26670482"/>
      <w:r/>
      <w:bookmarkEnd w:id="81"/>
      <w:r/>
      <w:bookmarkStart w:id="82" w:name="_Hlt26954731"/>
      <w:r/>
      <w:bookmarkEnd w:id="82"/>
      <w:r/>
      <w:bookmarkStart w:id="83" w:name="_Hlt26954848"/>
      <w:r/>
      <w:bookmarkEnd w:id="83"/>
      <w:r>
        <w:rPr>
          <w:rFonts w:hint="eastAsia" w:ascii="仿宋" w:hAnsi="仿宋" w:eastAsia="仿宋" w:cs="仿宋"/>
          <w:b/>
          <w:bCs/>
          <w:color w:val="000000"/>
          <w:sz w:val="28"/>
          <w:szCs w:val="28"/>
          <w:highlight w:val="none"/>
          <w:lang w:val="en-US" w:eastAsia="zh-CN" w:bidi="ar-SA"/>
        </w:rPr>
        <w:t xml:space="preserve">13. 技术要求响应及偏离表、商务要求响应及偏离表</w:t>
      </w:r>
      <w:r/>
    </w:p>
    <w:p>
      <w:pPr>
        <w:ind w:firstLine="480"/>
        <w:spacing w:line="500" w:lineRule="exact"/>
        <w:rPr>
          <w:rFonts w:hint="eastAsia" w:ascii="仿宋" w:hAnsi="仿宋" w:eastAsia="仿宋" w:cs="仿宋"/>
          <w:color w:val="auto"/>
          <w:sz w:val="24"/>
          <w:highlight w:val="none"/>
          <w:lang w:val="zh-CN"/>
        </w:rPr>
        <w:outlineLvl w:val="9"/>
      </w:pPr>
      <w:r>
        <w:rPr>
          <w:rFonts w:hint="eastAsia" w:ascii="仿宋" w:hAnsi="仿宋" w:eastAsia="仿宋" w:cs="仿宋"/>
          <w:bCs/>
          <w:color w:val="auto"/>
          <w:sz w:val="24"/>
          <w:highlight w:val="none"/>
          <w:lang w:val="zh-CN"/>
        </w:rPr>
        <w:t xml:space="preserve">13.1</w:t>
      </w:r>
      <w:r>
        <w:rPr>
          <w:rFonts w:hint="eastAsia" w:ascii="仿宋" w:hAnsi="仿宋" w:eastAsia="仿宋" w:cs="仿宋"/>
          <w:color w:val="auto"/>
          <w:sz w:val="24"/>
          <w:highlight w:val="none"/>
          <w:lang w:val="zh-CN"/>
        </w:rPr>
        <w:t xml:space="preserve"> 投标人需对招标文件中的技术要求与商务要求逐项作出响应，</w:t>
      </w:r>
      <w:r>
        <w:rPr>
          <w:rFonts w:hint="eastAsia" w:ascii="仿宋" w:hAnsi="仿宋" w:eastAsia="仿宋" w:cs="仿宋"/>
          <w:color w:val="auto"/>
          <w:sz w:val="24"/>
          <w:szCs w:val="21"/>
          <w:highlight w:val="none"/>
        </w:rPr>
        <w:t xml:space="preserve">如有偏离的</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应逐条填列在偏离表中</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highlight w:val="none"/>
          <w:lang w:val="zh-CN"/>
        </w:rPr>
        <w:t xml:space="preserve">并说明偏离情况。</w:t>
      </w:r>
      <w:r/>
    </w:p>
    <w:p>
      <w:pPr>
        <w:ind w:firstLine="480"/>
        <w:spacing w:line="500" w:lineRule="exact"/>
        <w:rPr>
          <w:rFonts w:hint="eastAsia" w:ascii="仿宋" w:hAnsi="仿宋" w:eastAsia="仿宋" w:cs="仿宋"/>
          <w:color w:val="auto"/>
          <w:sz w:val="24"/>
          <w:highlight w:val="none"/>
          <w:lang w:val="zh-CN"/>
        </w:rPr>
        <w:outlineLvl w:val="9"/>
      </w:pPr>
      <w:r/>
      <w:bookmarkStart w:id="84" w:name="_Toc14577359"/>
      <w:r/>
      <w:bookmarkStart w:id="85" w:name="_Toc49090510"/>
      <w:r>
        <w:rPr>
          <w:rFonts w:hint="eastAsia" w:ascii="仿宋" w:hAnsi="仿宋" w:eastAsia="仿宋" w:cs="仿宋"/>
          <w:color w:val="auto"/>
          <w:sz w:val="24"/>
          <w:highlight w:val="none"/>
          <w:lang w:val="zh-CN"/>
        </w:rPr>
        <w:t xml:space="preserve">13.2 投标人需按照招标文件要求，在投标文件中提供与技术要求和商务要求相关的证明材料。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14. 投标函和开标一览表</w:t>
      </w:r>
      <w:r/>
    </w:p>
    <w:p>
      <w:pPr>
        <w:ind w:firstLine="480"/>
        <w:spacing w:line="500" w:lineRule="exact"/>
        <w:rPr>
          <w:rFonts w:hint="eastAsia" w:ascii="仿宋" w:hAnsi="仿宋" w:eastAsia="仿宋" w:cs="仿宋"/>
          <w:sz w:val="24"/>
          <w:highlight w:val="none"/>
        </w:rPr>
        <w:outlineLvl w:val="9"/>
      </w:pPr>
      <w:r>
        <w:rPr>
          <w:rFonts w:hint="eastAsia" w:ascii="仿宋" w:hAnsi="仿宋" w:eastAsia="仿宋" w:cs="仿宋"/>
          <w:bCs/>
          <w:sz w:val="24"/>
          <w:highlight w:val="none"/>
        </w:rPr>
        <w:t xml:space="preserve">14.1</w:t>
      </w:r>
      <w:r>
        <w:rPr>
          <w:rFonts w:hint="eastAsia" w:ascii="仿宋" w:hAnsi="仿宋" w:eastAsia="仿宋" w:cs="仿宋"/>
          <w:sz w:val="24"/>
          <w:highlight w:val="none"/>
        </w:rPr>
        <w:t xml:space="preserve"> 投标人应按照招标文件中提供的格式完整、正确填写投标函、开标一览表。</w:t>
      </w:r>
      <w:r/>
    </w:p>
    <w:p>
      <w:pPr>
        <w:ind w:firstLine="480"/>
        <w:spacing w:line="500" w:lineRule="exact"/>
        <w:rPr>
          <w:rFonts w:hint="eastAsia" w:ascii="仿宋" w:hAnsi="仿宋" w:eastAsia="仿宋" w:cs="仿宋"/>
          <w:sz w:val="24"/>
          <w:highlight w:val="none"/>
        </w:rPr>
        <w:outlineLvl w:val="9"/>
      </w:pPr>
      <w:r>
        <w:rPr>
          <w:rFonts w:hint="eastAsia" w:ascii="仿宋" w:hAnsi="仿宋" w:eastAsia="仿宋" w:cs="仿宋"/>
          <w:bCs/>
          <w:sz w:val="24"/>
          <w:highlight w:val="none"/>
        </w:rPr>
        <w:t xml:space="preserve">14.2</w:t>
      </w:r>
      <w:r>
        <w:rPr>
          <w:rFonts w:hint="eastAsia" w:ascii="仿宋" w:hAnsi="仿宋" w:eastAsia="仿宋" w:cs="仿宋"/>
          <w:sz w:val="24"/>
          <w:highlight w:val="none"/>
        </w:rPr>
        <w:t xml:space="preserve"> 对于采用货币报价的项目，</w:t>
      </w:r>
      <w:r>
        <w:rPr>
          <w:rFonts w:hint="eastAsia" w:ascii="仿宋" w:hAnsi="仿宋" w:eastAsia="仿宋" w:cs="仿宋"/>
          <w:bCs/>
          <w:sz w:val="24"/>
          <w:highlight w:val="none"/>
        </w:rPr>
        <w:t xml:space="preserve">开标一览表中的投标总报价应与投标分项报价表中的投标总报价一致，如不一致，</w:t>
      </w:r>
      <w:r>
        <w:rPr>
          <w:rFonts w:hint="eastAsia" w:ascii="仿宋" w:hAnsi="仿宋" w:eastAsia="仿宋" w:cs="仿宋"/>
          <w:sz w:val="24"/>
          <w:szCs w:val="24"/>
          <w:highlight w:val="none"/>
        </w:rPr>
        <w:t xml:space="preserve">不作为无效投标处理</w:t>
      </w:r>
      <w:r>
        <w:rPr>
          <w:rFonts w:hint="eastAsia" w:ascii="仿宋" w:hAnsi="仿宋" w:eastAsia="仿宋" w:cs="仿宋"/>
          <w:bCs/>
          <w:sz w:val="24"/>
          <w:highlight w:val="none"/>
        </w:rPr>
        <w:t xml:space="preserve">，但评标时按开标一览表中价格为准</w:t>
      </w:r>
      <w:r>
        <w:rPr>
          <w:rFonts w:hint="eastAsia" w:ascii="仿宋" w:hAnsi="仿宋" w:eastAsia="仿宋" w:cs="仿宋"/>
          <w:b/>
          <w:bCs/>
          <w:sz w:val="24"/>
          <w:highlight w:val="none"/>
        </w:rPr>
        <w:t xml:space="preserve">。</w:t>
      </w:r>
      <w:bookmarkEnd w:id="84"/>
      <w:r/>
      <w:bookmarkEnd w:id="85"/>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bookmarkStart w:id="86" w:name="_Hlt26670489"/>
      <w:r/>
      <w:bookmarkEnd w:id="86"/>
      <w:r/>
      <w:bookmarkStart w:id="87" w:name="_Hlt26954850"/>
      <w:r/>
      <w:bookmarkEnd w:id="87"/>
      <w:r/>
      <w:bookmarkStart w:id="88" w:name="_Hlt26954734"/>
      <w:r/>
      <w:bookmarkEnd w:id="88"/>
      <w:r>
        <w:rPr>
          <w:rFonts w:hint="eastAsia" w:ascii="仿宋" w:hAnsi="仿宋" w:eastAsia="仿宋" w:cs="仿宋"/>
          <w:b/>
          <w:bCs/>
          <w:color w:val="000000"/>
          <w:sz w:val="28"/>
          <w:szCs w:val="28"/>
          <w:highlight w:val="none"/>
          <w:lang w:val="en-US" w:eastAsia="zh-CN" w:bidi="ar-SA"/>
        </w:rPr>
        <w:t xml:space="preserve">15. 投标有效期</w:t>
      </w:r>
      <w:bookmarkStart w:id="89" w:name="_Toc49090511_ai"/>
      <w:r/>
      <w:bookmarkEnd w:id="89"/>
      <w:r/>
      <w:bookmarkStart w:id="90" w:name="_Toc14577360_ai"/>
      <w:r/>
      <w:bookmarkEnd w:id="90"/>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15.1</w:t>
      </w:r>
      <w:r>
        <w:rPr>
          <w:rFonts w:hint="eastAsia" w:ascii="仿宋" w:hAnsi="仿宋" w:eastAsia="仿宋" w:cs="仿宋"/>
          <w:bCs/>
          <w:sz w:val="24"/>
          <w:highlight w:val="none"/>
        </w:rPr>
        <w:t xml:space="preserve"> 投标有效期为</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规定的开标之日后</w:t>
      </w:r>
      <w:r>
        <w:rPr>
          <w:rFonts w:hint="eastAsia" w:ascii="仿宋" w:hAnsi="仿宋" w:eastAsia="仿宋" w:cs="仿宋"/>
          <w:b/>
          <w:sz w:val="24"/>
          <w:highlight w:val="none"/>
          <w:u w:val="single"/>
        </w:rPr>
        <w:t xml:space="preserve">六十（60）天</w:t>
      </w:r>
      <w:r>
        <w:rPr>
          <w:rFonts w:hint="eastAsia" w:ascii="仿宋" w:hAnsi="仿宋" w:eastAsia="仿宋" w:cs="仿宋"/>
          <w:bCs/>
          <w:sz w:val="24"/>
          <w:highlight w:val="none"/>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16. 投标有效期的延长</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16.1</w:t>
      </w:r>
      <w:r>
        <w:rPr>
          <w:rFonts w:hint="eastAsia" w:ascii="仿宋" w:hAnsi="仿宋" w:eastAsia="仿宋" w:cs="仿宋"/>
          <w:bCs/>
          <w:sz w:val="24"/>
          <w:highlight w:val="none"/>
        </w:rPr>
        <w:t xml:space="preserve"> 在特殊情况下，</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于原投标有效期满之前，可向投标人提出延长投标有效期的要求。这种要求与答复均应采用书面形式。投标人可以拒绝</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的这一要求而放弃投标</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同意延长投标有效期的投标人既不能要求也不允许修改其投标文件</w:t>
      </w:r>
      <w:r>
        <w:rPr>
          <w:rFonts w:hint="eastAsia" w:ascii="仿宋" w:hAnsi="仿宋" w:eastAsia="仿宋" w:cs="仿宋"/>
          <w:sz w:val="24"/>
          <w:szCs w:val="24"/>
          <w:highlight w:val="none"/>
        </w:rPr>
        <w:t xml:space="preserve">，同时受投标有效期约束的所有权利与义务均延长至新的有效期</w:t>
      </w:r>
      <w:r>
        <w:rPr>
          <w:rFonts w:hint="eastAsia" w:ascii="仿宋" w:hAnsi="仿宋" w:eastAsia="仿宋" w:cs="仿宋"/>
          <w:bCs/>
          <w:sz w:val="24"/>
          <w:highlight w:val="none"/>
        </w:rPr>
        <w:t xml:space="preserve">。</w:t>
      </w:r>
      <w:r/>
    </w:p>
    <w:p>
      <w:pPr>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bookmarkStart w:id="91" w:name="_Hlt26954739"/>
      <w:r/>
      <w:bookmarkEnd w:id="91"/>
      <w:r/>
      <w:bookmarkStart w:id="92" w:name="_Hlt26954852"/>
      <w:r/>
      <w:bookmarkEnd w:id="92"/>
      <w:r/>
      <w:bookmarkStart w:id="93" w:name="_Toc513029224"/>
      <w:r/>
      <w:bookmarkStart w:id="94" w:name="_Toc20823296"/>
      <w:r/>
      <w:bookmarkStart w:id="95" w:name="_Toc120614217"/>
      <w:r/>
      <w:bookmarkStart w:id="96" w:name="_Toc16938540"/>
      <w:r>
        <w:rPr>
          <w:rFonts w:hint="eastAsia" w:ascii="仿宋" w:hAnsi="仿宋" w:eastAsia="仿宋" w:cs="仿宋"/>
          <w:b/>
          <w:bCs/>
          <w:color w:val="000000"/>
          <w:sz w:val="32"/>
          <w:szCs w:val="32"/>
          <w:highlight w:val="none"/>
        </w:rPr>
        <w:t xml:space="preserve">四、投标文件的递交</w:t>
      </w:r>
      <w:bookmarkEnd w:id="93"/>
      <w:r/>
      <w:bookmarkEnd w:id="94"/>
      <w:r/>
      <w:bookmarkEnd w:id="95"/>
      <w:r/>
      <w:bookmarkEnd w:id="96"/>
      <w:r/>
      <w:r/>
    </w:p>
    <w:p>
      <w:pPr>
        <w:ind w:firstLine="422"/>
        <w:keepLines/>
        <w:keepNext/>
        <w:spacing w:line="400" w:lineRule="exact"/>
        <w:rPr>
          <w:highlight w:val="none"/>
        </w:rPr>
        <w:outlineLvl w:val="9"/>
      </w:pPr>
      <w:r/>
      <w:bookmarkStart w:id="97" w:name="_Toc513029225_ai"/>
      <w:r/>
      <w:bookmarkStart w:id="98" w:name="_Toc16938541_ai"/>
      <w:r/>
      <w:bookmarkStart w:id="99" w:name="_Toc462564084_ai"/>
      <w:r/>
      <w:bookmarkStart w:id="100" w:name="_Toc20823297_ai"/>
      <w:r>
        <w:rPr>
          <w:rFonts w:hint="eastAsia" w:ascii="仿宋" w:hAnsi="仿宋" w:eastAsia="仿宋" w:cs="仿宋"/>
          <w:b/>
          <w:bCs/>
          <w:color w:val="000000"/>
          <w:sz w:val="28"/>
          <w:szCs w:val="28"/>
          <w:highlight w:val="none"/>
          <w:lang w:val="en-US" w:eastAsia="zh-CN" w:bidi="ar-SA"/>
        </w:rPr>
        <w:t xml:space="preserve">17. 投标文件</w:t>
      </w:r>
      <w:bookmarkEnd w:id="97"/>
      <w:r/>
      <w:bookmarkEnd w:id="98"/>
      <w:r/>
      <w:bookmarkEnd w:id="99"/>
      <w:r/>
      <w:bookmarkEnd w:id="100"/>
      <w:r>
        <w:rPr>
          <w:rFonts w:hint="eastAsia" w:ascii="仿宋" w:hAnsi="仿宋" w:eastAsia="仿宋" w:cs="仿宋"/>
          <w:b/>
          <w:bCs/>
          <w:color w:val="000000"/>
          <w:sz w:val="28"/>
          <w:szCs w:val="28"/>
          <w:highlight w:val="none"/>
          <w:lang w:val="en-US" w:eastAsia="zh-CN" w:bidi="ar-SA"/>
        </w:rPr>
        <w:t xml:space="preserve">的递交</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17.1</w:t>
      </w:r>
      <w:r>
        <w:rPr>
          <w:rFonts w:hint="eastAsia" w:ascii="仿宋" w:hAnsi="仿宋" w:eastAsia="仿宋" w:cs="仿宋"/>
          <w:bCs/>
          <w:sz w:val="24"/>
          <w:highlight w:val="none"/>
        </w:rPr>
        <w:t xml:space="preserve"> 电子投标文件的递交</w:t>
      </w:r>
      <w:r/>
    </w:p>
    <w:p>
      <w:pPr>
        <w:pStyle w:val="851"/>
        <w:ind w:left="525"/>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投标人应当按照《操作</w:t>
      </w:r>
      <w:r>
        <w:rPr>
          <w:rFonts w:hint="eastAsia" w:ascii="仿宋" w:hAnsi="仿宋" w:eastAsia="仿宋" w:cs="仿宋"/>
          <w:bCs/>
          <w:sz w:val="24"/>
          <w:highlight w:val="none"/>
          <w:lang w:eastAsia="zh-CN"/>
        </w:rPr>
        <w:t xml:space="preserve">指南</w:t>
      </w:r>
      <w:r>
        <w:rPr>
          <w:rFonts w:hint="eastAsia" w:ascii="仿宋" w:hAnsi="仿宋" w:eastAsia="仿宋" w:cs="仿宋"/>
          <w:bCs/>
          <w:sz w:val="24"/>
          <w:highlight w:val="none"/>
        </w:rPr>
        <w:t xml:space="preserve">》规定，在投标截止时间前制作并上传电子投标文件。</w:t>
      </w:r>
      <w:bookmarkStart w:id="101" w:name="_Toc20823298"/>
      <w:r/>
      <w:bookmarkStart w:id="102" w:name="_Toc513029226"/>
      <w:r/>
      <w:bookmarkStart w:id="103" w:name="_Toc16938542"/>
      <w:r/>
      <w:bookmarkEnd w:id="101"/>
      <w:r/>
      <w:bookmarkEnd w:id="102"/>
      <w:r/>
      <w:bookmarkEnd w:id="103"/>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18. 投标截止</w:t>
      </w:r>
      <w:bookmarkStart w:id="104" w:name="_Toc16938542_ai"/>
      <w:r/>
      <w:bookmarkEnd w:id="104"/>
      <w:r/>
      <w:bookmarkStart w:id="105" w:name="_Toc513029226_ai"/>
      <w:r/>
      <w:bookmarkEnd w:id="105"/>
      <w:r/>
      <w:bookmarkStart w:id="106" w:name="_Toc20823298_ai"/>
      <w:r/>
      <w:bookmarkEnd w:id="106"/>
      <w:r>
        <w:rPr>
          <w:rFonts w:hint="eastAsia" w:ascii="仿宋" w:hAnsi="仿宋" w:eastAsia="仿宋" w:cs="仿宋"/>
          <w:b/>
          <w:bCs/>
          <w:color w:val="000000"/>
          <w:sz w:val="28"/>
          <w:szCs w:val="28"/>
          <w:highlight w:val="none"/>
          <w:lang w:val="en-US" w:eastAsia="zh-CN" w:bidi="ar-SA"/>
        </w:rPr>
        <w:t xml:space="preserve">时间</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18.1</w:t>
      </w:r>
      <w:r>
        <w:rPr>
          <w:rFonts w:hint="eastAsia" w:ascii="仿宋" w:hAnsi="仿宋" w:eastAsia="仿宋" w:cs="仿宋"/>
          <w:bCs/>
          <w:sz w:val="24"/>
          <w:highlight w:val="none"/>
        </w:rPr>
        <w:t xml:space="preserve"> 投标人上传电子投标文件的时间不得迟于招标公告中规定的投标截止时间。</w:t>
      </w:r>
      <w:r/>
    </w:p>
    <w:p>
      <w:pPr>
        <w:ind w:firstLine="480"/>
        <w:spacing w:line="500" w:lineRule="exact"/>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投标人应充分考虑到网络环境、网络带宽等风险因素，如因投标人自身原因造成电子投标文件上传不成功的，按照本招标文件第二章第26.1.2条规定作无效投标处理。</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18.2</w:t>
      </w:r>
      <w:r>
        <w:rPr>
          <w:rFonts w:hint="eastAsia" w:ascii="仿宋" w:hAnsi="仿宋" w:eastAsia="仿宋" w:cs="仿宋"/>
          <w:bCs/>
          <w:sz w:val="24"/>
          <w:highlight w:val="none"/>
        </w:rPr>
        <w:t xml:space="preserve"> </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2"/>
        <w:keepLines/>
        <w:keepNext/>
        <w:spacing w:line="400" w:lineRule="exact"/>
        <w:rPr>
          <w:highlight w:val="none"/>
        </w:rPr>
        <w:outlineLvl w:val="9"/>
      </w:pPr>
      <w:r/>
      <w:bookmarkStart w:id="107" w:name="_Toc16938543_ai"/>
      <w:r/>
      <w:bookmarkStart w:id="108" w:name="_Toc20823299_ai"/>
      <w:r/>
      <w:bookmarkStart w:id="109" w:name="_Toc513029227_ai"/>
      <w:r>
        <w:rPr>
          <w:rFonts w:hint="eastAsia" w:ascii="仿宋" w:hAnsi="仿宋" w:eastAsia="仿宋" w:cs="仿宋"/>
          <w:b/>
          <w:bCs/>
          <w:color w:val="000000"/>
          <w:sz w:val="28"/>
          <w:szCs w:val="28"/>
          <w:highlight w:val="none"/>
          <w:lang w:val="en-US" w:eastAsia="zh-CN" w:bidi="ar-SA"/>
        </w:rPr>
        <w:t xml:space="preserve">19. 投标文件</w:t>
      </w:r>
      <w:bookmarkEnd w:id="107"/>
      <w:r/>
      <w:bookmarkEnd w:id="108"/>
      <w:r/>
      <w:bookmarkEnd w:id="109"/>
      <w:r>
        <w:rPr>
          <w:rFonts w:hint="eastAsia" w:ascii="仿宋" w:hAnsi="仿宋" w:eastAsia="仿宋" w:cs="仿宋"/>
          <w:b/>
          <w:bCs/>
          <w:color w:val="000000"/>
          <w:sz w:val="28"/>
          <w:szCs w:val="28"/>
          <w:highlight w:val="none"/>
          <w:lang w:val="en-US" w:eastAsia="zh-CN" w:bidi="ar-SA"/>
        </w:rPr>
        <w:t xml:space="preserve">的拒收</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19.1</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拒绝接收在其规定的投标截止时间后上传的任何投标文件。</w:t>
      </w:r>
      <w:r/>
    </w:p>
    <w:p>
      <w:pPr>
        <w:ind w:firstLine="422"/>
        <w:keepLines/>
        <w:keepNext/>
        <w:spacing w:line="400" w:lineRule="exact"/>
        <w:rPr>
          <w:highlight w:val="none"/>
        </w:rPr>
        <w:outlineLvl w:val="9"/>
      </w:pPr>
      <w:r/>
      <w:bookmarkStart w:id="110" w:name="_Toc513029228_ai"/>
      <w:r/>
      <w:bookmarkStart w:id="111" w:name="_Toc20823300_ai"/>
      <w:r/>
      <w:bookmarkStart w:id="112" w:name="_Toc16938544_ai"/>
      <w:r>
        <w:rPr>
          <w:rFonts w:hint="eastAsia" w:ascii="仿宋" w:hAnsi="仿宋" w:eastAsia="仿宋" w:cs="仿宋"/>
          <w:b/>
          <w:bCs/>
          <w:color w:val="000000"/>
          <w:sz w:val="28"/>
          <w:szCs w:val="28"/>
          <w:highlight w:val="none"/>
          <w:lang w:val="en-US" w:eastAsia="zh-CN" w:bidi="ar-SA"/>
        </w:rPr>
        <w:t xml:space="preserve">20. 投标文件的撤回和修改</w:t>
      </w:r>
      <w:bookmarkEnd w:id="110"/>
      <w:r/>
      <w:bookmarkEnd w:id="111"/>
      <w:r/>
      <w:bookmarkEnd w:id="112"/>
      <w:r/>
      <w:r/>
    </w:p>
    <w:p>
      <w:pPr>
        <w:ind w:firstLine="480"/>
        <w:spacing w:line="48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20.1 投标文件的撤回</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20.1.1 电子投标文件的撤回</w:t>
      </w:r>
      <w:r/>
    </w:p>
    <w:p>
      <w:pPr>
        <w:ind w:firstLine="480"/>
        <w:spacing w:line="48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投标人可在投标截止时间前，撤回其电子投标文件，具体操作方法见《操作</w:t>
      </w:r>
      <w:r>
        <w:rPr>
          <w:rFonts w:hint="eastAsia" w:ascii="仿宋" w:hAnsi="仿宋" w:eastAsia="仿宋" w:cs="仿宋"/>
          <w:sz w:val="24"/>
          <w:highlight w:val="none"/>
          <w:lang w:eastAsia="zh-CN"/>
        </w:rPr>
        <w:t xml:space="preserve">指南</w:t>
      </w:r>
      <w:r>
        <w:rPr>
          <w:rFonts w:hint="eastAsia" w:ascii="仿宋" w:hAnsi="仿宋" w:eastAsia="仿宋" w:cs="仿宋"/>
          <w:sz w:val="24"/>
          <w:highlight w:val="none"/>
        </w:rPr>
        <w:t xml:space="preserve">》。</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20.1.2 投标人撤回电子投标文件，则认为其不再参与本项目投标活动。</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20.2 投标文件的修改</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20.2.1 投标人可在投标截止时间前，对其电子投标文件进行修改，具体操作方法见《操作指南》。</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20.2.2</w:t>
      </w:r>
      <w:r>
        <w:rPr>
          <w:rFonts w:hint="eastAsia" w:ascii="仿宋" w:hAnsi="仿宋" w:eastAsia="仿宋" w:cs="仿宋"/>
          <w:bCs/>
          <w:sz w:val="24"/>
          <w:highlight w:val="none"/>
        </w:rPr>
        <w:t xml:space="preserve"> 在投标截止时间之后，投标人不得对其电子投标文件作任何修改。</w:t>
      </w:r>
      <w:r/>
    </w:p>
    <w:p>
      <w:pPr>
        <w:ind w:firstLine="480"/>
        <w:spacing w:line="50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20.3</w:t>
      </w:r>
      <w:r>
        <w:rPr>
          <w:rFonts w:hint="eastAsia" w:ascii="仿宋" w:hAnsi="仿宋" w:eastAsia="仿宋" w:cs="仿宋"/>
          <w:bCs/>
          <w:sz w:val="24"/>
          <w:highlight w:val="none"/>
        </w:rPr>
        <w:t xml:space="preserve"> 在投标截止时间至招标文件中规定的投标有效期满之间的这段时间内，投标人不得撤回其投标。</w:t>
      </w:r>
      <w:r/>
    </w:p>
    <w:p>
      <w:pPr>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bookmarkStart w:id="113" w:name="_Toc120614218"/>
      <w:r/>
      <w:bookmarkStart w:id="114" w:name="_Toc20823301"/>
      <w:r/>
      <w:bookmarkStart w:id="115" w:name="_Toc513029229"/>
      <w:r/>
      <w:bookmarkStart w:id="116" w:name="_Toc16938545"/>
      <w:r>
        <w:rPr>
          <w:rFonts w:hint="eastAsia" w:ascii="仿宋" w:hAnsi="仿宋" w:eastAsia="仿宋" w:cs="仿宋"/>
          <w:b/>
          <w:bCs/>
          <w:color w:val="000000"/>
          <w:sz w:val="32"/>
          <w:szCs w:val="32"/>
          <w:highlight w:val="none"/>
        </w:rPr>
        <w:t xml:space="preserve">五、开标与评标</w:t>
      </w:r>
      <w:bookmarkEnd w:id="113"/>
      <w:r/>
      <w:bookmarkEnd w:id="114"/>
      <w:r/>
      <w:bookmarkEnd w:id="115"/>
      <w:r/>
      <w:bookmarkEnd w:id="116"/>
      <w:r/>
      <w:r/>
    </w:p>
    <w:p>
      <w:pPr>
        <w:ind w:firstLine="422"/>
        <w:keepLines/>
        <w:keepNext/>
        <w:spacing w:line="400" w:lineRule="exact"/>
        <w:rPr>
          <w:highlight w:val="none"/>
        </w:rPr>
        <w:outlineLvl w:val="9"/>
      </w:pPr>
      <w:r/>
      <w:bookmarkStart w:id="117" w:name="_Toc513029230_ai"/>
      <w:r/>
      <w:bookmarkStart w:id="118" w:name="_Toc20823302_ai"/>
      <w:r/>
      <w:bookmarkStart w:id="119" w:name="_Toc16938546_ai"/>
      <w:r>
        <w:rPr>
          <w:rFonts w:hint="eastAsia" w:ascii="仿宋" w:hAnsi="仿宋" w:eastAsia="仿宋" w:cs="仿宋"/>
          <w:b/>
          <w:bCs/>
          <w:color w:val="000000"/>
          <w:sz w:val="28"/>
          <w:szCs w:val="28"/>
          <w:highlight w:val="none"/>
          <w:lang w:val="en-US" w:eastAsia="zh-CN" w:bidi="ar-SA"/>
        </w:rPr>
        <w:t xml:space="preserve">21. 开标</w:t>
      </w:r>
      <w:bookmarkEnd w:id="117"/>
      <w:r/>
      <w:bookmarkEnd w:id="118"/>
      <w:r/>
      <w:bookmarkEnd w:id="119"/>
      <w:r/>
      <w:r/>
    </w:p>
    <w:p>
      <w:pPr>
        <w:ind w:firstLine="480"/>
        <w:rPr>
          <w:rFonts w:hint="eastAsia" w:ascii="仿宋" w:hAnsi="仿宋" w:eastAsia="仿宋" w:cs="仿宋"/>
          <w:highlight w:val="none"/>
        </w:rPr>
        <w:outlineLvl w:val="9"/>
      </w:pPr>
      <w:r>
        <w:rPr>
          <w:rFonts w:hint="eastAsia" w:ascii="仿宋" w:hAnsi="仿宋" w:eastAsia="仿宋" w:cs="仿宋"/>
          <w:sz w:val="24"/>
          <w:highlight w:val="none"/>
        </w:rPr>
        <w:t xml:space="preserve">21.1</w:t>
      </w:r>
      <w:r>
        <w:rPr>
          <w:rFonts w:hint="eastAsia" w:ascii="仿宋" w:hAnsi="仿宋" w:eastAsia="仿宋" w:cs="仿宋"/>
          <w:bCs/>
          <w:sz w:val="24"/>
          <w:highlight w:val="none"/>
        </w:rPr>
        <w:t xml:space="preserve"> </w:t>
      </w:r>
      <w:r>
        <w:rPr>
          <w:rFonts w:hint="eastAsia" w:ascii="仿宋" w:hAnsi="仿宋" w:eastAsia="仿宋" w:cs="仿宋"/>
          <w:bCs/>
          <w:sz w:val="24"/>
          <w:highlight w:val="none"/>
          <w:lang w:val="en-US" w:eastAsia="zh-CN"/>
        </w:rPr>
        <w:t xml:space="preserve">代理机构</w:t>
      </w:r>
      <w:r>
        <w:rPr>
          <w:rFonts w:hint="eastAsia" w:ascii="仿宋" w:hAnsi="仿宋" w:eastAsia="仿宋" w:cs="仿宋"/>
          <w:bCs/>
          <w:sz w:val="24"/>
          <w:highlight w:val="none"/>
        </w:rPr>
        <w:t xml:space="preserve">将在招标公告中规定的时间和地点组织公开开标</w:t>
      </w:r>
      <w:r>
        <w:rPr>
          <w:rFonts w:hint="eastAsia" w:ascii="仿宋" w:hAnsi="仿宋" w:eastAsia="仿宋" w:cs="仿宋"/>
          <w:sz w:val="24"/>
          <w:szCs w:val="24"/>
          <w:highlight w:val="none"/>
        </w:rPr>
        <w:t xml:space="preserve">。投标人应当按照《操作</w:t>
      </w:r>
      <w:r>
        <w:rPr>
          <w:rFonts w:hint="eastAsia" w:ascii="仿宋" w:hAnsi="仿宋" w:eastAsia="仿宋" w:cs="仿宋"/>
          <w:sz w:val="24"/>
          <w:szCs w:val="24"/>
          <w:highlight w:val="none"/>
          <w:lang w:eastAsia="zh-CN"/>
        </w:rPr>
        <w:t xml:space="preserve">指南</w:t>
      </w:r>
      <w:r>
        <w:rPr>
          <w:rFonts w:hint="eastAsia" w:ascii="仿宋" w:hAnsi="仿宋" w:eastAsia="仿宋" w:cs="仿宋"/>
          <w:sz w:val="24"/>
          <w:szCs w:val="24"/>
          <w:highlight w:val="none"/>
        </w:rPr>
        <w:t xml:space="preserve">》规定，参加开标活动和在苏采云系统规定的时间内对投标文件进行解密。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bCs/>
          <w:sz w:val="24"/>
          <w:szCs w:val="24"/>
          <w:highlight w:val="none"/>
        </w:rPr>
        <w:t xml:space="preserve">21.2</w:t>
      </w:r>
      <w:r>
        <w:rPr>
          <w:rFonts w:hint="eastAsia" w:ascii="仿宋" w:hAnsi="仿宋" w:eastAsia="仿宋" w:cs="仿宋"/>
          <w:sz w:val="24"/>
          <w:szCs w:val="24"/>
          <w:highlight w:val="none"/>
        </w:rPr>
        <w:t xml:space="preserve">开标仪式由</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组织。苏采云系统将自动对项目进行开标，并宣布各投标人名称和投标价格。</w:t>
      </w:r>
      <w:r/>
    </w:p>
    <w:p>
      <w:pPr>
        <w:ind w:firstLine="480"/>
        <w:spacing w:line="500" w:lineRule="exact"/>
        <w:rPr>
          <w:rFonts w:hint="eastAsia" w:ascii="仿宋" w:hAnsi="仿宋" w:eastAsia="仿宋" w:cs="仿宋"/>
          <w:sz w:val="24"/>
          <w:szCs w:val="24"/>
          <w:highlight w:val="none"/>
        </w:rPr>
        <w:outlineLvl w:val="9"/>
      </w:pPr>
      <w:r>
        <w:rPr>
          <w:rFonts w:hint="eastAsia" w:ascii="仿宋" w:hAnsi="仿宋" w:eastAsia="仿宋" w:cs="仿宋"/>
          <w:bCs/>
          <w:sz w:val="24"/>
          <w:highlight w:val="none"/>
        </w:rPr>
        <w:t xml:space="preserve">21.3投标人在开标过程中涉及到的投标文件解密、开标结果确认等工作，应按照《操作</w:t>
      </w:r>
      <w:r>
        <w:rPr>
          <w:rFonts w:hint="eastAsia" w:ascii="仿宋" w:hAnsi="仿宋" w:eastAsia="仿宋" w:cs="仿宋"/>
          <w:bCs/>
          <w:sz w:val="24"/>
          <w:highlight w:val="none"/>
          <w:lang w:eastAsia="zh-CN"/>
        </w:rPr>
        <w:t xml:space="preserve">指南</w:t>
      </w:r>
      <w:r>
        <w:rPr>
          <w:rFonts w:hint="eastAsia" w:ascii="仿宋" w:hAnsi="仿宋" w:eastAsia="仿宋" w:cs="仿宋"/>
          <w:bCs/>
          <w:sz w:val="24"/>
          <w:highlight w:val="none"/>
        </w:rPr>
        <w:t xml:space="preserve">》规定执行。</w:t>
      </w:r>
      <w:r/>
    </w:p>
    <w:p>
      <w:pPr>
        <w:ind w:firstLine="480"/>
        <w:spacing w:line="50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21.4投标人如果对开标过程和开标记录有疑义，应当根据《操作</w:t>
      </w:r>
      <w:r>
        <w:rPr>
          <w:rFonts w:hint="eastAsia" w:ascii="仿宋" w:hAnsi="仿宋" w:eastAsia="仿宋" w:cs="仿宋"/>
          <w:sz w:val="24"/>
          <w:szCs w:val="24"/>
          <w:highlight w:val="none"/>
          <w:lang w:eastAsia="zh-CN"/>
        </w:rPr>
        <w:t xml:space="preserve">指南</w:t>
      </w:r>
      <w:r>
        <w:rPr>
          <w:rFonts w:hint="eastAsia" w:ascii="仿宋" w:hAnsi="仿宋" w:eastAsia="仿宋" w:cs="仿宋"/>
          <w:sz w:val="24"/>
          <w:szCs w:val="24"/>
          <w:highlight w:val="none"/>
        </w:rPr>
        <w:t xml:space="preserve">》规定提出，如苏采云系统中《开标记录表》宣布后5分钟内未提出的，视同认可开标结果。</w:t>
      </w:r>
      <w:r/>
    </w:p>
    <w:p>
      <w:pPr>
        <w:ind w:firstLine="422"/>
        <w:keepLines/>
        <w:keepNext/>
        <w:spacing w:line="400" w:lineRule="exact"/>
        <w:rPr>
          <w:highlight w:val="none"/>
        </w:rPr>
        <w:outlineLvl w:val="9"/>
      </w:pPr>
      <w:r/>
      <w:bookmarkStart w:id="120" w:name="_Toc16938547"/>
      <w:r/>
      <w:bookmarkStart w:id="121" w:name="_Toc20823303"/>
      <w:r/>
      <w:bookmarkStart w:id="122" w:name="_Toc513029231"/>
      <w:r>
        <w:rPr>
          <w:rFonts w:hint="eastAsia" w:ascii="仿宋" w:hAnsi="仿宋" w:eastAsia="仿宋" w:cs="仿宋"/>
          <w:b/>
          <w:bCs/>
          <w:color w:val="000000"/>
          <w:sz w:val="28"/>
          <w:szCs w:val="28"/>
          <w:highlight w:val="none"/>
          <w:lang w:val="en-US" w:eastAsia="zh-CN" w:bidi="ar-SA"/>
        </w:rPr>
        <w:t xml:space="preserve">22. 评标委员会</w:t>
      </w:r>
      <w:r/>
    </w:p>
    <w:p>
      <w:pPr>
        <w:ind w:firstLine="480"/>
        <w:keepLines w:val="0"/>
        <w:keepNext w:val="0"/>
        <w:pageBreakBefore w:val="0"/>
        <w:spacing w:line="480" w:lineRule="exact"/>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22.1 开标后，</w:t>
      </w:r>
      <w:r>
        <w:rPr>
          <w:rFonts w:hint="eastAsia" w:ascii="仿宋" w:hAnsi="仿宋" w:eastAsia="仿宋" w:cs="仿宋"/>
          <w:bCs/>
          <w:sz w:val="24"/>
          <w:highlight w:val="none"/>
          <w:lang w:val="en-US" w:eastAsia="zh-CN"/>
        </w:rPr>
        <w:t xml:space="preserve">代理机构</w:t>
      </w:r>
      <w:r>
        <w:rPr>
          <w:rFonts w:hint="eastAsia" w:ascii="仿宋" w:hAnsi="仿宋" w:eastAsia="仿宋" w:cs="仿宋"/>
          <w:b w:val="0"/>
          <w:bCs/>
          <w:sz w:val="24"/>
          <w:szCs w:val="24"/>
          <w:highlight w:val="none"/>
        </w:rPr>
        <w:t xml:space="preserve">将立即组织评标委员会（以下简称评委会）进行评标。</w:t>
      </w:r>
      <w:r/>
    </w:p>
    <w:p>
      <w:pPr>
        <w:ind w:firstLine="480"/>
        <w:keepLines w:val="0"/>
        <w:keepNext w:val="0"/>
        <w:pageBreakBefore w:val="0"/>
        <w:spacing w:line="480" w:lineRule="exact"/>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22.2 评委会由采购人代表和有关技术、经济等方面的专家组成，且人员构成符合政府采购有关规定。</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22.3 评委会独立工作，负责评审所有投标文件并确定中标候选人。</w:t>
      </w:r>
      <w:bookmarkEnd w:id="120"/>
      <w:r/>
      <w:bookmarkEnd w:id="121"/>
      <w:r/>
      <w:bookmarkEnd w:id="122"/>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23. 评标过程的保密与公正</w:t>
      </w:r>
      <w:bookmarkStart w:id="123" w:name="_Toc20823303_ai"/>
      <w:r/>
      <w:bookmarkEnd w:id="123"/>
      <w:r/>
      <w:bookmarkStart w:id="124" w:name="_Toc16938547_ai"/>
      <w:r/>
      <w:bookmarkEnd w:id="124"/>
      <w:r/>
      <w:bookmarkStart w:id="125" w:name="_Toc513029231_ai"/>
      <w:r/>
      <w:bookmarkEnd w:id="125"/>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23.1 公开开标后，直至向中标的投标人授予合同时止，凡是与审查、澄清、评价和比较投标的有关资料以及授标建议等，采购人、评委、代理机构均不得向投标人或与评标无关的其他人员透露。</w:t>
      </w:r>
      <w:r/>
    </w:p>
    <w:p>
      <w:pPr>
        <w:ind w:firstLine="480"/>
        <w:keepLines w:val="0"/>
        <w:keepNext w:val="0"/>
        <w:pageBreakBefore w:val="0"/>
        <w:spacing w:line="480" w:lineRule="exact"/>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23.2在评标过程中，投标人不得以任何行为影响评标过程，否则其投标文件将被作为无效投标文件。</w:t>
      </w:r>
      <w:r/>
    </w:p>
    <w:p>
      <w:pPr>
        <w:ind w:firstLine="480"/>
        <w:keepLines w:val="0"/>
        <w:keepNext w:val="0"/>
        <w:pageBreakBefore w:val="0"/>
        <w:spacing w:line="480" w:lineRule="exact"/>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lang w:val="en-US" w:eastAsia="zh-CN"/>
        </w:rPr>
        <w:t xml:space="preserve">23</w:t>
      </w:r>
      <w:r>
        <w:rPr>
          <w:rFonts w:hint="eastAsia" w:ascii="仿宋" w:hAnsi="仿宋" w:eastAsia="仿宋" w:cs="仿宋"/>
          <w:b w:val="0"/>
          <w:bCs/>
          <w:sz w:val="24"/>
          <w:szCs w:val="24"/>
          <w:highlight w:val="none"/>
        </w:rPr>
        <w:t xml:space="preserve">.3在评标期间，</w:t>
      </w:r>
      <w:r>
        <w:rPr>
          <w:rFonts w:hint="eastAsia" w:ascii="仿宋" w:hAnsi="仿宋" w:eastAsia="仿宋" w:cs="仿宋"/>
          <w:bCs/>
          <w:sz w:val="24"/>
          <w:highlight w:val="none"/>
          <w:lang w:val="en-US" w:eastAsia="zh-CN"/>
        </w:rPr>
        <w:t xml:space="preserve">代理机构</w:t>
      </w:r>
      <w:r>
        <w:rPr>
          <w:rFonts w:hint="eastAsia" w:ascii="仿宋" w:hAnsi="仿宋" w:eastAsia="仿宋" w:cs="仿宋"/>
          <w:b w:val="0"/>
          <w:bCs/>
          <w:sz w:val="24"/>
          <w:szCs w:val="24"/>
          <w:highlight w:val="none"/>
        </w:rPr>
        <w:t xml:space="preserve">将设专门人员与投标人联系。</w:t>
      </w:r>
      <w:r/>
    </w:p>
    <w:p>
      <w:pPr>
        <w:ind w:firstLine="480"/>
        <w:keepLines w:val="0"/>
        <w:keepNext w:val="0"/>
        <w:pageBreakBefore w:val="0"/>
        <w:spacing w:line="480" w:lineRule="exact"/>
        <w:widowControl w:val="off"/>
        <w:rPr>
          <w:rFonts w:hint="eastAsia" w:ascii="仿宋" w:hAnsi="仿宋" w:eastAsia="仿宋" w:cs="仿宋"/>
          <w:b w:val="0"/>
          <w:bCs/>
          <w:sz w:val="24"/>
          <w:szCs w:val="24"/>
          <w:highlight w:val="none"/>
        </w:rPr>
        <w:outlineLvl w:val="9"/>
      </w:pPr>
      <w:r>
        <w:rPr>
          <w:rFonts w:hint="eastAsia" w:ascii="仿宋" w:hAnsi="仿宋" w:eastAsia="仿宋" w:cs="仿宋"/>
          <w:b w:val="0"/>
          <w:bCs/>
          <w:sz w:val="24"/>
          <w:szCs w:val="24"/>
          <w:highlight w:val="none"/>
        </w:rPr>
        <w:t xml:space="preserve">23.</w:t>
      </w:r>
      <w:r>
        <w:rPr>
          <w:rFonts w:hint="eastAsia" w:ascii="仿宋" w:hAnsi="仿宋" w:eastAsia="仿宋" w:cs="仿宋"/>
          <w:b w:val="0"/>
          <w:bCs/>
          <w:sz w:val="24"/>
          <w:szCs w:val="24"/>
          <w:highlight w:val="none"/>
          <w:lang w:val="en-US" w:eastAsia="zh-CN"/>
        </w:rPr>
        <w:t xml:space="preserve">4</w:t>
      </w:r>
      <w:r>
        <w:rPr>
          <w:rFonts w:hint="eastAsia" w:ascii="仿宋" w:hAnsi="仿宋" w:eastAsia="仿宋" w:cs="仿宋"/>
          <w:b w:val="0"/>
          <w:bCs/>
          <w:sz w:val="24"/>
          <w:szCs w:val="24"/>
          <w:highlight w:val="none"/>
        </w:rPr>
        <w:t xml:space="preserve"> </w:t>
      </w:r>
      <w:r>
        <w:rPr>
          <w:rFonts w:hint="eastAsia" w:ascii="仿宋" w:hAnsi="仿宋" w:eastAsia="仿宋" w:cs="仿宋"/>
          <w:bCs/>
          <w:sz w:val="24"/>
          <w:highlight w:val="none"/>
          <w:lang w:val="en-US" w:eastAsia="zh-CN"/>
        </w:rPr>
        <w:t xml:space="preserve">代理机构</w:t>
      </w:r>
      <w:r>
        <w:rPr>
          <w:rFonts w:hint="eastAsia" w:ascii="仿宋" w:hAnsi="仿宋" w:eastAsia="仿宋" w:cs="仿宋"/>
          <w:b w:val="0"/>
          <w:bCs/>
          <w:sz w:val="24"/>
          <w:szCs w:val="24"/>
          <w:highlight w:val="none"/>
        </w:rPr>
        <w:t xml:space="preserve">和评标委员会不向未中标的投标人解释未中标原因，也不公布评标过程中的相关细节。</w:t>
      </w:r>
      <w:r/>
    </w:p>
    <w:p>
      <w:pPr>
        <w:ind w:firstLine="480"/>
        <w:keepLines w:val="0"/>
        <w:keepNext w:val="0"/>
        <w:pageBreakBefore w:val="0"/>
        <w:spacing w:line="480" w:lineRule="exact"/>
        <w:widowControl w:val="off"/>
        <w:rPr>
          <w:rFonts w:hint="eastAsia" w:ascii="仿宋" w:hAnsi="仿宋" w:eastAsia="仿宋" w:cs="仿宋"/>
          <w:b/>
          <w:sz w:val="24"/>
          <w:szCs w:val="24"/>
          <w:highlight w:val="none"/>
        </w:rPr>
        <w:outlineLvl w:val="9"/>
      </w:pPr>
      <w:r>
        <w:rPr>
          <w:rFonts w:hint="eastAsia" w:ascii="仿宋" w:hAnsi="仿宋" w:eastAsia="仿宋" w:cs="仿宋"/>
          <w:b w:val="0"/>
          <w:bCs/>
          <w:sz w:val="24"/>
          <w:szCs w:val="24"/>
          <w:highlight w:val="none"/>
        </w:rPr>
        <w:t xml:space="preserve">23.</w:t>
      </w:r>
      <w:r>
        <w:rPr>
          <w:rFonts w:hint="eastAsia" w:ascii="仿宋" w:hAnsi="仿宋" w:eastAsia="仿宋" w:cs="仿宋"/>
          <w:b w:val="0"/>
          <w:bCs/>
          <w:sz w:val="24"/>
          <w:szCs w:val="24"/>
          <w:highlight w:val="none"/>
          <w:lang w:val="en-US" w:eastAsia="zh-CN"/>
        </w:rPr>
        <w:t xml:space="preserve">5</w:t>
      </w:r>
      <w:r>
        <w:rPr>
          <w:rFonts w:hint="eastAsia" w:ascii="仿宋" w:hAnsi="仿宋" w:eastAsia="仿宋" w:cs="仿宋"/>
          <w:b w:val="0"/>
          <w:bCs/>
          <w:sz w:val="24"/>
          <w:szCs w:val="24"/>
          <w:highlight w:val="none"/>
        </w:rPr>
        <w:t xml:space="preserve"> 采用综合评分法的项目，未中标的投标人可于中标结果公告期限届满之日起通过苏采云系统查看自己的评审得分及排序情况。</w:t>
      </w:r>
      <w:r/>
    </w:p>
    <w:p>
      <w:pPr>
        <w:ind w:firstLine="422"/>
        <w:keepLines/>
        <w:keepNext/>
        <w:spacing w:line="400" w:lineRule="exact"/>
        <w:rPr>
          <w:highlight w:val="none"/>
        </w:rPr>
        <w:outlineLvl w:val="9"/>
      </w:pPr>
      <w:r/>
      <w:bookmarkStart w:id="126" w:name="_Toc16938548_ai"/>
      <w:r/>
      <w:bookmarkStart w:id="127" w:name="_Toc20823304_ai"/>
      <w:r/>
      <w:bookmarkStart w:id="128" w:name="_Toc513029232_ai"/>
      <w:r>
        <w:rPr>
          <w:rFonts w:hint="eastAsia" w:ascii="仿宋" w:hAnsi="仿宋" w:eastAsia="仿宋" w:cs="仿宋"/>
          <w:b/>
          <w:bCs/>
          <w:color w:val="000000"/>
          <w:sz w:val="28"/>
          <w:szCs w:val="28"/>
          <w:highlight w:val="none"/>
          <w:lang w:val="en-US" w:eastAsia="zh-CN" w:bidi="ar-SA"/>
        </w:rPr>
        <w:t xml:space="preserve">24. 投标文件的澄清</w:t>
      </w:r>
      <w:bookmarkEnd w:id="126"/>
      <w:r/>
      <w:bookmarkEnd w:id="127"/>
      <w:r/>
      <w:bookmarkEnd w:id="128"/>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评标委员会并非对每个投标人都做澄清要求。</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24.2需要</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进行澄清、说明和补正的，评委会将通过苏采云系统向</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w:t>
      </w:r>
      <w:r>
        <w:rPr>
          <w:rFonts w:hint="eastAsia" w:ascii="仿宋" w:hAnsi="仿宋" w:eastAsia="仿宋" w:cs="仿宋"/>
          <w:sz w:val="24"/>
          <w:szCs w:val="24"/>
          <w:highlight w:val="none"/>
          <w:lang w:eastAsia="zh-CN"/>
        </w:rPr>
        <w:t xml:space="preserve">指南</w:t>
      </w:r>
      <w:r>
        <w:rPr>
          <w:rFonts w:hint="eastAsia" w:ascii="仿宋" w:hAnsi="仿宋" w:eastAsia="仿宋" w:cs="仿宋"/>
          <w:sz w:val="24"/>
          <w:szCs w:val="24"/>
          <w:highlight w:val="none"/>
        </w:rPr>
        <w:t xml:space="preserve">》。</w:t>
      </w:r>
      <w:r/>
    </w:p>
    <w:p>
      <w:pPr>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24.3 接到评委会澄清、说明和补正要求的投标人如未按规定做出澄清、说明和补正，其风险由投标人自行承担。</w:t>
      </w:r>
      <w:r/>
    </w:p>
    <w:p>
      <w:pPr>
        <w:ind w:firstLine="422"/>
        <w:keepLines/>
        <w:keepNext/>
        <w:spacing w:line="400" w:lineRule="exact"/>
        <w:rPr>
          <w:highlight w:val="none"/>
        </w:rPr>
        <w:outlineLvl w:val="9"/>
      </w:pPr>
      <w:r/>
      <w:bookmarkStart w:id="129" w:name="_Toc16938549_ai"/>
      <w:r/>
      <w:bookmarkStart w:id="130" w:name="_Toc20823305_ai"/>
      <w:r/>
      <w:bookmarkStart w:id="131" w:name="_Toc513029233_ai"/>
      <w:r>
        <w:rPr>
          <w:rFonts w:hint="eastAsia" w:ascii="仿宋" w:hAnsi="仿宋" w:eastAsia="仿宋" w:cs="仿宋"/>
          <w:b/>
          <w:bCs/>
          <w:color w:val="000000"/>
          <w:sz w:val="28"/>
          <w:szCs w:val="28"/>
          <w:highlight w:val="none"/>
          <w:lang w:val="en-US" w:eastAsia="zh-CN" w:bidi="ar-SA"/>
        </w:rPr>
        <w:t xml:space="preserve">25. 对投标文件的初审</w:t>
      </w:r>
      <w:bookmarkEnd w:id="129"/>
      <w:r/>
      <w:bookmarkEnd w:id="130"/>
      <w:r/>
      <w:bookmarkEnd w:id="131"/>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25.1</w:t>
      </w:r>
      <w:r>
        <w:rPr>
          <w:rFonts w:hint="eastAsia" w:ascii="仿宋" w:hAnsi="仿宋" w:eastAsia="仿宋" w:cs="仿宋"/>
          <w:bCs/>
          <w:sz w:val="24"/>
          <w:highlight w:val="none"/>
        </w:rPr>
        <w:t xml:space="preserve">投标文件初审分为资格审查和符合性审查。</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25.1.3 未通过资格审查或符合性审查的投标人，评标委员会将在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中告知未通过资格审查或符合性审查的原因，评标结束后，评标委员会将不再告知未通过资格审查和符合性审查的原因。</w:t>
      </w:r>
      <w:r/>
    </w:p>
    <w:p>
      <w:pPr>
        <w:ind w:firstLine="480"/>
        <w:spacing w:line="46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所谓重大偏离或保留是指与招标文件规定的实质性要求存在负偏离，或者在实质上与招标文件不一致，而且限制了合同中买方和</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25.4</w:t>
      </w:r>
      <w:r>
        <w:rPr>
          <w:rFonts w:hint="eastAsia" w:ascii="仿宋" w:hAnsi="仿宋" w:eastAsia="仿宋" w:cs="仿宋"/>
          <w:bCs/>
          <w:sz w:val="24"/>
          <w:highlight w:val="none"/>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（1）投标文件中开标一览表内容与投标文件中相应内容不一致的，以开标一览表为准。</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（2）大写金额和小写金额不一致的，以大写金额为准。</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（3）单价金额小数点或者百分比有明显错位的，以开标一览表的总价为准，并修改单价。</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（4）总价金额与按单价汇总金额不一致的，以单价金额计算结果为准。</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同时出现两种以上错误的，按照前款规定的顺序修正。</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sz w:val="24"/>
          <w:highlight w:val="none"/>
        </w:rPr>
        <w:t xml:space="preserve">25.5 </w:t>
      </w:r>
      <w:r>
        <w:rPr>
          <w:rFonts w:hint="eastAsia" w:ascii="仿宋" w:hAnsi="仿宋" w:eastAsia="仿宋" w:cs="仿宋"/>
          <w:bCs/>
          <w:sz w:val="24"/>
          <w:highlight w:val="none"/>
        </w:rPr>
        <w:t xml:space="preserve">评委会将按上述修正错误的方法调整投标文件中的投标报价，并通过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告知投标人，调整后的价格应对投标人具有约束力。如果投标人不接受修正后的价格，则其投标将被拒绝。</w:t>
      </w:r>
      <w:r/>
    </w:p>
    <w:p>
      <w:pPr>
        <w:ind w:firstLine="420"/>
        <w:spacing w:line="46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bookmarkStart w:id="132" w:name="_Toc20823306"/>
      <w:r/>
      <w:bookmarkStart w:id="133" w:name="_Toc513029234"/>
      <w:r/>
      <w:bookmarkStart w:id="134" w:name="_Toc16938550"/>
      <w:r/>
      <w:r/>
    </w:p>
    <w:p>
      <w:pPr>
        <w:ind w:firstLine="420"/>
        <w:spacing w:line="460" w:lineRule="exact"/>
        <w:rPr>
          <w:rFonts w:hint="eastAsia" w:ascii="仿宋" w:hAnsi="仿宋" w:eastAsia="仿宋" w:cs="仿宋"/>
          <w:sz w:val="24"/>
          <w:highlight w:val="none"/>
        </w:rPr>
        <w:outlineLvl w:val="9"/>
      </w:pPr>
      <w:r>
        <w:rPr>
          <w:rFonts w:hint="eastAsia" w:ascii="仿宋" w:hAnsi="仿宋" w:eastAsia="仿宋" w:cs="仿宋"/>
          <w:sz w:val="24"/>
          <w:highlight w:val="none"/>
        </w:rPr>
        <w:t xml:space="preserve">25.</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投标人在开、评标全过程中应保持通讯畅通，及时登录</w:t>
      </w:r>
      <w:r>
        <w:rPr>
          <w:rFonts w:hint="eastAsia" w:ascii="仿宋" w:hAnsi="仿宋" w:eastAsia="仿宋" w:cs="仿宋"/>
          <w:sz w:val="24"/>
          <w:szCs w:val="24"/>
          <w:highlight w:val="none"/>
        </w:rPr>
        <w:t xml:space="preserve">苏采云系统</w:t>
      </w:r>
      <w:r>
        <w:rPr>
          <w:rFonts w:hint="eastAsia" w:ascii="仿宋" w:hAnsi="仿宋" w:eastAsia="仿宋" w:cs="仿宋"/>
          <w:sz w:val="24"/>
          <w:highlight w:val="none"/>
        </w:rPr>
        <w:t xml:space="preserve">查阅、答复相关信息，并安排专人与</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highlight w:val="none"/>
        </w:rPr>
        <w:t xml:space="preserve">及评标委员会联系。</w:t>
      </w:r>
      <w:r/>
    </w:p>
    <w:p>
      <w:pPr>
        <w:ind w:firstLine="420"/>
        <w:spacing w:line="400" w:lineRule="exact"/>
        <w:rPr>
          <w:rFonts w:hint="eastAsia" w:ascii="仿宋" w:hAnsi="仿宋" w:eastAsia="仿宋" w:cs="仿宋"/>
          <w:b/>
          <w:bCs/>
          <w:color w:val="000000"/>
          <w:sz w:val="24"/>
          <w:szCs w:val="21"/>
          <w:highlight w:val="none"/>
          <w:lang w:val="en-US" w:eastAsia="zh-CN" w:bidi="ar-SA"/>
        </w:rPr>
        <w:outlineLvl w:val="9"/>
      </w:pPr>
      <w:r>
        <w:rPr>
          <w:rFonts w:hint="eastAsia" w:ascii="仿宋" w:hAnsi="仿宋" w:eastAsia="仿宋" w:cs="仿宋"/>
          <w:b/>
          <w:sz w:val="24"/>
          <w:szCs w:val="24"/>
          <w:highlight w:val="none"/>
          <w:lang w:val="en-US" w:eastAsia="zh-CN" w:bidi="ar-SA"/>
        </w:rPr>
        <w:t xml:space="preserve">25.8异常低价审查</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25.8.1评标过程中出现下列情形之一的，评标小组应当启动异常低价投标审查程序：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1-优惠率报价）低于全部通过符合性审查供应商投标（响应）（1-优惠率报价）平均值50%的，即投标（响应）（1-优惠率报价）&lt;全部通过符合性审查供应商投标（响应）（1-优惠率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1-优惠率报价）低于通过符合性审查的次低报价供应商投标（响应）（1-优惠率报价）50%的，即投标（响应）（1-优惠率报价）&lt;通过符合性审查的次低报价供应商投标（响应）（1-优惠率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（3）投标（响应）（1-优惠率报价）低于采购项目最高限价45%的，即投标（响应）（1-优惠率报价）&lt;采购项目最高限价×45%；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bookmarkEnd w:id="132"/>
      <w:r/>
      <w:bookmarkEnd w:id="133"/>
      <w:r/>
      <w:bookmarkEnd w:id="134"/>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bookmarkStart w:id="135" w:name="_Toc20823307"/>
      <w:r/>
      <w:bookmarkStart w:id="136" w:name="_Toc513029235"/>
      <w:r/>
      <w:bookmarkStart w:id="137" w:name="_Toc16938551"/>
      <w:r>
        <w:rPr>
          <w:rFonts w:hint="eastAsia" w:ascii="仿宋" w:hAnsi="仿宋" w:eastAsia="仿宋" w:cs="仿宋"/>
          <w:b/>
          <w:bCs/>
          <w:color w:val="000000"/>
          <w:sz w:val="28"/>
          <w:szCs w:val="28"/>
          <w:highlight w:val="none"/>
          <w:lang w:val="en-US" w:eastAsia="zh-CN" w:bidi="ar-SA"/>
        </w:rPr>
        <w:t xml:space="preserve">26.</w:t>
      </w:r>
      <w:bookmarkStart w:id="138" w:name="_Toc16938550_ai"/>
      <w:r/>
      <w:bookmarkEnd w:id="138"/>
      <w:r/>
      <w:bookmarkStart w:id="139" w:name="_Toc20823306_ai"/>
      <w:r/>
      <w:bookmarkEnd w:id="139"/>
      <w:r/>
      <w:bookmarkStart w:id="140" w:name="_Toc513029234_ai"/>
      <w:r/>
      <w:bookmarkEnd w:id="140"/>
      <w:r>
        <w:rPr>
          <w:rFonts w:hint="eastAsia" w:ascii="仿宋" w:hAnsi="仿宋" w:eastAsia="仿宋" w:cs="仿宋"/>
          <w:b/>
          <w:bCs/>
          <w:color w:val="000000"/>
          <w:sz w:val="28"/>
          <w:szCs w:val="28"/>
          <w:highlight w:val="none"/>
          <w:lang w:val="en-US" w:eastAsia="zh-CN" w:bidi="ar-SA"/>
        </w:rPr>
        <w:t xml:space="preserve">无效投标条款和废标条款</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26.1无效投标条款</w:t>
      </w:r>
      <w:r/>
    </w:p>
    <w:p>
      <w:pPr>
        <w:ind w:firstLine="480"/>
        <w:spacing w:line="440" w:lineRule="exact"/>
        <w:rPr>
          <w:rFonts w:hint="eastAsia" w:ascii="仿宋" w:hAnsi="仿宋" w:eastAsia="仿宋" w:cs="仿宋"/>
          <w:bCs/>
          <w:sz w:val="24"/>
          <w:szCs w:val="24"/>
          <w:highlight w:val="none"/>
        </w:rPr>
        <w:outlineLvl w:val="9"/>
      </w:pPr>
      <w:r>
        <w:rPr>
          <w:rFonts w:hint="eastAsia" w:ascii="仿宋" w:hAnsi="仿宋" w:eastAsia="仿宋" w:cs="仿宋"/>
          <w:bCs/>
          <w:sz w:val="24"/>
          <w:highlight w:val="none"/>
        </w:rPr>
        <w:t xml:space="preserve">26</w:t>
      </w:r>
      <w:r>
        <w:rPr>
          <w:rFonts w:hint="eastAsia" w:ascii="仿宋" w:hAnsi="仿宋" w:eastAsia="仿宋" w:cs="仿宋"/>
          <w:bCs/>
          <w:sz w:val="24"/>
          <w:szCs w:val="24"/>
          <w:highlight w:val="none"/>
        </w:rPr>
        <w:t xml:space="preserve">.1.1 投标人在</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规定的时间内未成功解密电子投标文件的。</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26.1.2 投标人未按照招标文件要求上传电子投标文件的。</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26.1.3 投标人同一分包提交两个（含两个）以上不同的投标报价的。</w:t>
      </w:r>
      <w:r/>
    </w:p>
    <w:p>
      <w:pPr>
        <w:ind w:firstLine="480"/>
        <w:spacing w:line="44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26.1.4 投标人不具备招标文件中规定资格要求的。</w:t>
      </w:r>
      <w:r/>
    </w:p>
    <w:p>
      <w:pPr>
        <w:ind w:firstLine="480"/>
        <w:spacing w:line="44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26.1.5 投标人的报价超过了采购预算或最高限价的。</w:t>
      </w:r>
      <w:r/>
    </w:p>
    <w:p>
      <w:pPr>
        <w:ind w:firstLine="480"/>
        <w:spacing w:line="440" w:lineRule="exact"/>
        <w:rPr>
          <w:rFonts w:hint="eastAsia" w:ascii="仿宋" w:hAnsi="仿宋" w:eastAsia="仿宋" w:cs="仿宋"/>
          <w:bCs/>
          <w:i/>
          <w:sz w:val="24"/>
          <w:szCs w:val="24"/>
          <w:highlight w:val="none"/>
          <w:u w:val="single"/>
          <w:lang w:val="en-US" w:eastAsia="zh-CN" w:bidi="ar-SA"/>
        </w:rPr>
        <w:outlineLvl w:val="9"/>
      </w:pPr>
      <w:r>
        <w:rPr>
          <w:rFonts w:hint="eastAsia" w:ascii="仿宋" w:hAnsi="仿宋" w:eastAsia="仿宋" w:cs="仿宋"/>
          <w:color w:val="auto"/>
          <w:sz w:val="24"/>
          <w:szCs w:val="24"/>
          <w:highlight w:val="none"/>
          <w:lang w:val="en-US" w:eastAsia="zh-CN" w:bidi="ar-SA"/>
        </w:rPr>
        <w:t xml:space="preserve">26.1.6 未通过符合性审查的。</w:t>
      </w:r>
      <w:r/>
    </w:p>
    <w:p>
      <w:pPr>
        <w:ind w:firstLine="360"/>
        <w:spacing w:line="440" w:lineRule="exact"/>
        <w:rPr>
          <w:rFonts w:hint="eastAsia" w:ascii="仿宋" w:hAnsi="仿宋" w:eastAsia="仿宋" w:cs="仿宋"/>
          <w:bCs/>
          <w:i/>
          <w:sz w:val="24"/>
          <w:szCs w:val="24"/>
          <w:highlight w:val="none"/>
          <w:u w:val="single"/>
          <w:lang w:val="en-US" w:eastAsia="zh-CN" w:bidi="ar-SA"/>
        </w:rPr>
        <w:outlineLvl w:val="9"/>
      </w:pPr>
      <w:r>
        <w:rPr>
          <w:rFonts w:hint="eastAsia" w:ascii="仿宋" w:hAnsi="仿宋" w:eastAsia="仿宋" w:cs="仿宋"/>
          <w:color w:val="auto"/>
          <w:sz w:val="24"/>
          <w:szCs w:val="24"/>
          <w:highlight w:val="none"/>
          <w:lang w:val="en-US" w:eastAsia="zh-CN" w:bidi="ar-SA"/>
        </w:rPr>
        <w:t xml:space="preserve">26.1.7 不符合招标文件中规定的实质性要求的</w:t>
      </w:r>
      <w:r>
        <w:rPr>
          <w:rFonts w:hint="eastAsia" w:ascii="仿宋" w:hAnsi="仿宋" w:eastAsia="仿宋" w:cs="仿宋"/>
          <w:bCs/>
          <w:i/>
          <w:color w:val="0000ff"/>
          <w:sz w:val="24"/>
          <w:szCs w:val="21"/>
          <w:highlight w:val="none"/>
          <w:u w:val="single"/>
          <w:lang w:val="en-US" w:eastAsia="zh-CN" w:bidi="ar-SA"/>
        </w:rPr>
        <w:t xml:space="preserve">（本招标文件中斜体且有下划线部分为实质性要求）</w:t>
      </w:r>
      <w:r>
        <w:rPr>
          <w:rFonts w:hint="eastAsia" w:ascii="仿宋" w:hAnsi="仿宋" w:eastAsia="仿宋" w:cs="仿宋"/>
          <w:i/>
          <w:iCs/>
          <w:color w:val="auto"/>
          <w:sz w:val="24"/>
          <w:szCs w:val="24"/>
          <w:highlight w:val="none"/>
          <w:u w:val="single"/>
          <w:lang w:val="en-US" w:eastAsia="zh-CN" w:bidi="ar-SA"/>
        </w:rPr>
        <w:t xml:space="preserve">。</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26.1.9 投标文件含有采购人不能接受的附加条件的。</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26.1.10评标委员会认为投标人的报价明显低于其他通过符合性审查投标人的报价，有可能影响产品质量或者不能诚信履约的，将通过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26.1.11 投标文件未按照招标文件要求加盖CA电子公章的。</w:t>
      </w:r>
      <w:r/>
    </w:p>
    <w:p>
      <w:pPr>
        <w:ind w:firstLine="480"/>
        <w:pageBreakBefore w:val="0"/>
        <w:spacing w:line="500" w:lineRule="exact"/>
        <w:widowControl w:val="off"/>
        <w:rPr>
          <w:rFonts w:hint="eastAsia" w:ascii="仿宋" w:hAnsi="仿宋" w:eastAsia="仿宋" w:cs="仿宋"/>
          <w:color w:val="0000ff"/>
          <w:sz w:val="24"/>
          <w:szCs w:val="21"/>
          <w:highlight w:val="none"/>
          <w:lang w:val="en-US" w:eastAsia="zh-CN" w:bidi="ar-SA"/>
        </w:rPr>
      </w:pPr>
      <w:r>
        <w:rPr>
          <w:rFonts w:hint="eastAsia" w:ascii="仿宋" w:hAnsi="仿宋" w:eastAsia="仿宋" w:cs="仿宋"/>
          <w:color w:val="auto"/>
          <w:sz w:val="24"/>
          <w:szCs w:val="24"/>
          <w:highlight w:val="none"/>
          <w:lang w:val="en-US" w:eastAsia="zh-CN" w:bidi="ar-SA"/>
        </w:rPr>
        <w:t xml:space="preserve">26.1.12</w:t>
      </w:r>
      <w:r>
        <w:rPr>
          <w:rFonts w:hint="eastAsia" w:ascii="仿宋" w:hAnsi="仿宋" w:eastAsia="仿宋" w:cs="仿宋"/>
          <w:color w:val="0000ff"/>
          <w:sz w:val="24"/>
          <w:szCs w:val="21"/>
          <w:highlight w:val="none"/>
          <w:lang w:val="en-US" w:eastAsia="zh-CN" w:bidi="ar-SA"/>
        </w:rPr>
        <w:t xml:space="preserve">供应商所投标产品不符合采购文件中所列国家强制性标准的。</w:t>
      </w:r>
      <w:r/>
    </w:p>
    <w:p>
      <w:pPr>
        <w:ind w:firstLine="480"/>
        <w:spacing w:line="480" w:lineRule="exact"/>
        <w:rPr>
          <w:rFonts w:hint="default" w:ascii="仿宋" w:hAnsi="仿宋" w:eastAsia="仿宋" w:cs="仿宋"/>
          <w:color w:val="0000ff"/>
          <w:sz w:val="24"/>
          <w:szCs w:val="21"/>
          <w:highlight w:val="none"/>
          <w:lang w:val="en-US" w:eastAsia="zh-CN" w:bidi="ar-SA"/>
        </w:rPr>
      </w:pPr>
      <w:r>
        <w:rPr>
          <w:rFonts w:hint="eastAsia" w:ascii="仿宋" w:hAnsi="仿宋" w:eastAsia="仿宋" w:cs="仿宋"/>
          <w:bCs/>
          <w:color w:val="0000ff"/>
          <w:sz w:val="24"/>
          <w:szCs w:val="21"/>
          <w:highlight w:val="none"/>
          <w:lang w:val="en-US" w:eastAsia="zh-CN" w:bidi="ar-SA"/>
        </w:rPr>
        <w:t xml:space="preserve">26.1.13不同供应商的响应文件经系统查询Mac地址或标书制作工具客户端标识码一致的（并移送政府采购监管部门进行处理）。</w:t>
      </w:r>
      <w:r/>
    </w:p>
    <w:p>
      <w:pPr>
        <w:ind w:firstLine="480"/>
        <w:spacing w:line="44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26.1.14其他法律、法规及本招标文件规定的属无效投标的情形。</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26.2废标条款</w:t>
      </w:r>
      <w:r/>
    </w:p>
    <w:p>
      <w:pPr>
        <w:ind w:left="479"/>
        <w:spacing w:line="44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26.2.1 符合专业条件的投标人或者对招标文件作实质响应的投标人不足三家的。</w:t>
      </w:r>
      <w:r/>
    </w:p>
    <w:p>
      <w:pPr>
        <w:ind w:left="479"/>
        <w:spacing w:line="440" w:lineRule="exact"/>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26.2.2 出现影响采购公正的违法、违规行为的。</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26.2.3因重大变故，采购任务取消的。</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26.2.4评标委员会认定招标文件存在歧义、重大缺陷导致评审工作无法进行。</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26.2.5 因</w:t>
      </w:r>
      <w:r>
        <w:rPr>
          <w:rFonts w:hint="eastAsia" w:ascii="仿宋" w:hAnsi="仿宋" w:eastAsia="仿宋" w:cs="仿宋"/>
          <w:sz w:val="24"/>
          <w:szCs w:val="24"/>
          <w:highlight w:val="none"/>
        </w:rPr>
        <w:t xml:space="preserve">苏采云</w:t>
      </w:r>
      <w:r>
        <w:rPr>
          <w:rFonts w:hint="eastAsia" w:ascii="仿宋" w:hAnsi="仿宋" w:eastAsia="仿宋" w:cs="仿宋"/>
          <w:bCs/>
          <w:sz w:val="24"/>
          <w:highlight w:val="none"/>
        </w:rPr>
        <w:t xml:space="preserve">系统故障原因造成开标不成功的。</w:t>
      </w:r>
      <w:r/>
    </w:p>
    <w:p>
      <w:pPr>
        <w:ind w:left="479"/>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26.3 投标截止时间结束后参加投标的供应商不足三家的处理：</w:t>
      </w:r>
      <w:r/>
    </w:p>
    <w:p>
      <w:pPr>
        <w:ind w:firstLine="480"/>
        <w:spacing w:line="440" w:lineRule="exact"/>
        <w:rPr>
          <w:rFonts w:hint="eastAsia" w:ascii="仿宋" w:hAnsi="仿宋" w:eastAsia="仿宋" w:cs="仿宋"/>
          <w:bCs/>
          <w:sz w:val="24"/>
          <w:highlight w:val="none"/>
        </w:rPr>
        <w:outlineLvl w:val="9"/>
      </w:pPr>
      <w:r>
        <w:rPr>
          <w:rFonts w:hint="eastAsia" w:ascii="仿宋" w:hAnsi="仿宋" w:eastAsia="仿宋" w:cs="仿宋"/>
          <w:bCs/>
          <w:sz w:val="24"/>
          <w:highlight w:val="none"/>
        </w:rPr>
        <w:t xml:space="preserve">26.3.1如出现投标截止时间结束后参加投标的供应商或者在评标期间对招标文件做出实质响应的供应商不足三家情况，按政府采购相关规定执行。</w:t>
      </w:r>
      <w:r/>
    </w:p>
    <w:p>
      <w:pPr>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bookmarkStart w:id="141" w:name="_Toc120614219"/>
      <w:r>
        <w:rPr>
          <w:rFonts w:hint="eastAsia" w:ascii="仿宋" w:hAnsi="仿宋" w:eastAsia="仿宋" w:cs="仿宋"/>
          <w:b/>
          <w:bCs/>
          <w:color w:val="000000"/>
          <w:sz w:val="32"/>
          <w:szCs w:val="32"/>
          <w:highlight w:val="none"/>
        </w:rPr>
        <w:t xml:space="preserve">六、</w:t>
      </w:r>
      <w:bookmarkEnd w:id="135"/>
      <w:r/>
      <w:bookmarkEnd w:id="136"/>
      <w:r/>
      <w:bookmarkEnd w:id="137"/>
      <w:r>
        <w:rPr>
          <w:rFonts w:hint="eastAsia" w:ascii="仿宋" w:hAnsi="仿宋" w:eastAsia="仿宋" w:cs="仿宋"/>
          <w:b/>
          <w:bCs/>
          <w:color w:val="000000"/>
          <w:sz w:val="32"/>
          <w:szCs w:val="32"/>
          <w:highlight w:val="none"/>
        </w:rPr>
        <w:t xml:space="preserve">定标</w:t>
      </w:r>
      <w:bookmarkEnd w:id="141"/>
      <w:r/>
      <w:r/>
    </w:p>
    <w:p>
      <w:pPr>
        <w:ind w:firstLine="422"/>
        <w:keepLines/>
        <w:keepNext/>
        <w:spacing w:line="400" w:lineRule="exact"/>
        <w:rPr>
          <w:highlight w:val="none"/>
        </w:rPr>
        <w:outlineLvl w:val="9"/>
      </w:pPr>
      <w:r/>
      <w:bookmarkStart w:id="142" w:name="_Toc513029238_ai"/>
      <w:r/>
      <w:bookmarkStart w:id="143" w:name="_Toc16938554_ai"/>
      <w:r/>
      <w:bookmarkStart w:id="144" w:name="_Toc20823310_ai"/>
      <w:r>
        <w:rPr>
          <w:rFonts w:hint="eastAsia" w:ascii="仿宋" w:hAnsi="仿宋" w:eastAsia="仿宋" w:cs="仿宋"/>
          <w:b/>
          <w:bCs/>
          <w:color w:val="000000"/>
          <w:sz w:val="28"/>
          <w:szCs w:val="28"/>
          <w:highlight w:val="none"/>
          <w:lang w:val="en-US" w:eastAsia="zh-CN" w:bidi="ar-SA"/>
        </w:rPr>
        <w:t xml:space="preserve">27.</w:t>
      </w:r>
      <w:bookmarkEnd w:id="142"/>
      <w:r>
        <w:rPr>
          <w:rFonts w:hint="eastAsia" w:ascii="仿宋" w:hAnsi="仿宋" w:eastAsia="仿宋" w:cs="仿宋"/>
          <w:b/>
          <w:bCs/>
          <w:color w:val="000000"/>
          <w:sz w:val="28"/>
          <w:szCs w:val="28"/>
          <w:highlight w:val="none"/>
          <w:lang w:val="en-US" w:eastAsia="zh-CN" w:bidi="ar-SA"/>
        </w:rPr>
        <w:t xml:space="preserve">确定</w:t>
      </w:r>
      <w:bookmarkEnd w:id="143"/>
      <w:r/>
      <w:bookmarkEnd w:id="144"/>
      <w:r>
        <w:rPr>
          <w:rFonts w:hint="eastAsia" w:ascii="仿宋" w:hAnsi="仿宋" w:eastAsia="仿宋" w:cs="仿宋"/>
          <w:b/>
          <w:bCs/>
          <w:color w:val="000000"/>
          <w:sz w:val="28"/>
          <w:szCs w:val="28"/>
          <w:highlight w:val="none"/>
          <w:lang w:val="en-US" w:eastAsia="zh-CN" w:bidi="ar-SA"/>
        </w:rPr>
        <w:t xml:space="preserve">中标单位</w:t>
      </w:r>
      <w:r/>
    </w:p>
    <w:p>
      <w:pPr>
        <w:ind w:firstLine="480"/>
        <w:spacing w:line="40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27.1</w:t>
      </w:r>
      <w:r>
        <w:rPr>
          <w:rFonts w:hint="eastAsia" w:ascii="仿宋" w:hAnsi="仿宋" w:eastAsia="仿宋" w:cs="仿宋"/>
          <w:sz w:val="24"/>
          <w:szCs w:val="24"/>
          <w:highlight w:val="none"/>
          <w:lang w:val="en-US" w:eastAsia="zh-CN" w:bidi="ar-SA"/>
        </w:rPr>
        <w:t xml:space="preserve">中标候选人的选取原则和数量见招标文件第五章规定。</w:t>
      </w:r>
      <w:r/>
    </w:p>
    <w:p>
      <w:pPr>
        <w:ind w:firstLine="480"/>
        <w:spacing w:line="440" w:lineRule="exact"/>
        <w:rPr>
          <w:rFonts w:hint="eastAsia" w:ascii="仿宋" w:hAnsi="仿宋" w:eastAsia="仿宋" w:cs="仿宋"/>
          <w:bCs/>
          <w:color w:val="ff0000"/>
          <w:sz w:val="24"/>
          <w:highlight w:val="none"/>
        </w:rPr>
        <w:outlineLvl w:val="9"/>
      </w:pPr>
      <w:r>
        <w:rPr>
          <w:rFonts w:hint="eastAsia" w:ascii="仿宋" w:hAnsi="仿宋" w:eastAsia="仿宋" w:cs="仿宋"/>
          <w:bCs/>
          <w:sz w:val="24"/>
          <w:highlight w:val="none"/>
        </w:rPr>
        <w:t xml:space="preserve">27.2 </w:t>
      </w:r>
      <w:r>
        <w:rPr>
          <w:rFonts w:hint="eastAsia" w:ascii="仿宋" w:hAnsi="仿宋" w:eastAsia="仿宋" w:cs="仿宋"/>
          <w:bCs/>
          <w:color w:val="0000ff"/>
          <w:sz w:val="24"/>
          <w:szCs w:val="21"/>
          <w:highlight w:val="none"/>
        </w:rPr>
        <w:t xml:space="preserve">采购人在评标报告确定的中标候选人名单中按顺序确定中标人。</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bCs/>
          <w:sz w:val="24"/>
          <w:szCs w:val="24"/>
          <w:highlight w:val="none"/>
        </w:rPr>
        <w:t xml:space="preserve">27.3 </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将在“江苏政府采购网”发布中标公告，公告期限为1个工作日。</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27.4  若有充分证据证明，中标人出现下列情况之一的，一经查实，将被取消中标资格：</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27.4.1 提供虚假材料谋取中标的。</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27.4.2 向采购人、代理机构行贿或者提供其他不正当利益的。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lang w:val="en-US" w:eastAsia="zh-CN"/>
        </w:rPr>
        <w:t xml:space="preserve">27.4.3 </w:t>
      </w:r>
      <w:r>
        <w:rPr>
          <w:rFonts w:hint="eastAsia" w:ascii="仿宋" w:hAnsi="仿宋" w:eastAsia="仿宋" w:cs="仿宋"/>
          <w:sz w:val="24"/>
          <w:szCs w:val="24"/>
          <w:highlight w:val="none"/>
        </w:rPr>
        <w:t xml:space="preserve">属于本文件规定的无效条件，但在评标过程中又未被评委会发现的。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27.4.</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与采购人或者其他供应商恶意串通的。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27.4.</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采取不正当手段诋毁、排挤其他供应商的。</w:t>
      </w:r>
      <w:r/>
    </w:p>
    <w:p>
      <w:pPr>
        <w:ind w:firstLine="480"/>
        <w:spacing w:line="480" w:lineRule="exact"/>
        <w:rPr>
          <w:rFonts w:hint="eastAsia" w:ascii="仿宋" w:hAnsi="仿宋" w:eastAsia="仿宋" w:cs="仿宋"/>
          <w:sz w:val="24"/>
          <w:szCs w:val="24"/>
          <w:highlight w:val="none"/>
        </w:rPr>
        <w:outlineLvl w:val="9"/>
      </w:pPr>
      <w:r/>
      <w:bookmarkStart w:id="145" w:name="_Toc200451960"/>
      <w:r>
        <w:rPr>
          <w:rFonts w:hint="eastAsia" w:ascii="仿宋" w:hAnsi="仿宋" w:eastAsia="仿宋" w:cs="仿宋"/>
          <w:sz w:val="24"/>
          <w:szCs w:val="24"/>
          <w:highlight w:val="none"/>
        </w:rPr>
        <w:t xml:space="preserve">27.5 </w:t>
      </w:r>
      <w:r>
        <w:rPr>
          <w:rFonts w:hint="eastAsia" w:ascii="仿宋" w:hAnsi="仿宋" w:eastAsia="仿宋" w:cs="仿宋"/>
          <w:sz w:val="24"/>
          <w:szCs w:val="24"/>
          <w:highlight w:val="none"/>
        </w:rPr>
        <w:t xml:space="preserve">有下列情形之一的，视为投标人串通投标，投标无效：</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27.5.1 不同投标人的投标文件由同一单位或者个人编制的。</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27.5.2 不同投标人委托同一单位或者个人办理投标事宜的。</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27.5.3 不同投标人的投标文件载明的项目管理成员或者联系人员为同一人的。</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27.5.4 不同投标人的投标文件异常一致或者投标报价呈规律性差异的。</w:t>
      </w:r>
      <w:bookmarkEnd w:id="145"/>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28. 质疑处理</w:t>
      </w:r>
      <w:bookmarkStart w:id="146" w:name="_Toc200451960_ai"/>
      <w:r/>
      <w:bookmarkEnd w:id="146"/>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28.2 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28.2.1</w:t>
      </w:r>
      <w:r>
        <w:rPr>
          <w:rFonts w:hint="eastAsia" w:ascii="仿宋" w:hAnsi="仿宋" w:eastAsia="仿宋" w:cs="仿宋"/>
          <w:sz w:val="24"/>
          <w:szCs w:val="24"/>
          <w:highlight w:val="none"/>
        </w:rPr>
        <w:t xml:space="preserve">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28.2.2</w:t>
      </w:r>
      <w:r>
        <w:rPr>
          <w:rFonts w:hint="eastAsia" w:ascii="仿宋" w:hAnsi="仿宋" w:eastAsia="仿宋" w:cs="仿宋"/>
          <w:sz w:val="24"/>
          <w:szCs w:val="24"/>
          <w:highlight w:val="none"/>
        </w:rPr>
        <w:t xml:space="preserve">对采购过程提出质疑的，为各采购程序环节结束之日；</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28.2.3</w:t>
      </w:r>
      <w:r>
        <w:rPr>
          <w:rFonts w:hint="eastAsia" w:ascii="仿宋" w:hAnsi="仿宋" w:eastAsia="仿宋" w:cs="仿宋"/>
          <w:sz w:val="24"/>
          <w:szCs w:val="24"/>
          <w:highlight w:val="none"/>
        </w:rPr>
        <w:t xml:space="preserve">对中标或者成交结果提出质疑的，为中标或者成交结果公告期限届满之日。</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将只对供应商第一次质疑作出答复。</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sz w:val="24"/>
          <w:szCs w:val="24"/>
          <w:highlight w:val="none"/>
          <w:lang w:val="en-US" w:eastAsia="zh-CN" w:bidi="ar-SA"/>
        </w:rPr>
        <w:t xml:space="preserve">28.3 质疑函必须按照本招标文件中《质疑函范本》（附件13）要求的格式和内</w:t>
      </w:r>
      <w:r>
        <w:rPr>
          <w:rFonts w:hint="eastAsia" w:ascii="仿宋" w:hAnsi="仿宋" w:eastAsia="仿宋" w:cs="仿宋"/>
          <w:color w:val="auto"/>
          <w:sz w:val="24"/>
          <w:szCs w:val="24"/>
          <w:highlight w:val="none"/>
          <w:lang w:val="en-US" w:eastAsia="zh-CN" w:bidi="ar-SA"/>
        </w:rPr>
        <w:t xml:space="preserve">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28.4 投标人（含潜在投标人）对采购方式、招标文件中采购需求、供应商资格条件、评标方法和评标标准、合同文本及资格审查结果的询问、质疑请向采购人提出，由采购人负责答复。投标人对除上述事项以外其他事项的询问、质疑请向代理机构提出，由代理机构负责答复。</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采购人及</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只接收以纸质原件形式送达的质疑,建议</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尽量通过邮寄方式提交质疑（采购人和</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不接受</w:t>
      </w:r>
      <w:r>
        <w:rPr>
          <w:rFonts w:hint="eastAsia" w:ascii="仿宋" w:hAnsi="仿宋" w:eastAsia="仿宋" w:cs="仿宋"/>
          <w:color w:val="ff0000"/>
          <w:sz w:val="24"/>
          <w:szCs w:val="24"/>
          <w:highlight w:val="none"/>
        </w:rPr>
        <w:t xml:space="preserve">无快递运单号的快递</w:t>
      </w:r>
      <w:r>
        <w:rPr>
          <w:rFonts w:hint="eastAsia" w:ascii="仿宋" w:hAnsi="仿宋" w:eastAsia="仿宋" w:cs="仿宋"/>
          <w:sz w:val="24"/>
          <w:szCs w:val="24"/>
          <w:highlight w:val="none"/>
        </w:rPr>
        <w:t xml:space="preserve">）。</w:t>
      </w:r>
      <w:r/>
    </w:p>
    <w:p>
      <w:pPr>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采购人质疑接收人及联系方式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见</w:t>
      </w:r>
      <w:r>
        <w:rPr>
          <w:rFonts w:hint="eastAsia" w:ascii="仿宋" w:hAnsi="仿宋" w:eastAsia="仿宋" w:cs="仿宋"/>
          <w:color w:val="000000"/>
          <w:sz w:val="24"/>
          <w:szCs w:val="24"/>
          <w:highlight w:val="none"/>
          <w:lang w:eastAsia="zh-CN"/>
        </w:rPr>
        <w:t xml:space="preserve">本</w:t>
      </w:r>
      <w:r>
        <w:rPr>
          <w:rFonts w:hint="eastAsia" w:ascii="仿宋" w:hAnsi="仿宋" w:eastAsia="仿宋" w:cs="仿宋"/>
          <w:color w:val="000000"/>
          <w:sz w:val="24"/>
          <w:szCs w:val="24"/>
          <w:highlight w:val="none"/>
        </w:rPr>
        <w:t xml:space="preserve">招标文件第一章。</w:t>
      </w:r>
      <w:r/>
    </w:p>
    <w:p>
      <w:pPr>
        <w:ind w:firstLine="480"/>
        <w:spacing w:line="400" w:lineRule="exact"/>
        <w:rPr>
          <w:rFonts w:hint="eastAsia" w:ascii="仿宋" w:hAnsi="仿宋" w:eastAsia="仿宋" w:cs="仿宋"/>
          <w:color w:val="000000"/>
          <w:sz w:val="24"/>
          <w:szCs w:val="24"/>
          <w:highlight w:val="none"/>
        </w:rPr>
        <w:outlineLvl w:val="9"/>
      </w:pPr>
      <w:r>
        <w:rPr>
          <w:rFonts w:hint="eastAsia" w:ascii="仿宋" w:hAnsi="仿宋" w:eastAsia="仿宋" w:cs="仿宋"/>
          <w:bCs/>
          <w:sz w:val="24"/>
          <w:highlight w:val="none"/>
          <w:lang w:val="en-US" w:eastAsia="zh-CN"/>
        </w:rPr>
        <w:t xml:space="preserve">代理机构</w:t>
      </w:r>
      <w:r>
        <w:rPr>
          <w:rFonts w:hint="eastAsia" w:ascii="仿宋" w:hAnsi="仿宋" w:eastAsia="仿宋" w:cs="仿宋"/>
          <w:color w:val="000000"/>
          <w:sz w:val="24"/>
          <w:szCs w:val="24"/>
          <w:highlight w:val="none"/>
        </w:rPr>
        <w:t xml:space="preserve">质疑受理部门及联系方式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rPr>
        <w:t xml:space="preserve">招标文件第一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28.5 以下情形的质疑不予受理：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28.5.1 内容不符合《政府采购质疑和投诉办法》第十二条规定的质疑。</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28.5.2 超出政府采购法定期限的质疑。</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28.5.3 以传真、电子邮件等方式递交的非原件形式的质疑。</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28.5.4 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28.5.5 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highlight w:val="none"/>
        </w:rPr>
        <w:outlineLvl w:val="9"/>
      </w:pPr>
      <w:r>
        <w:rPr>
          <w:rFonts w:hint="eastAsia" w:ascii="仿宋" w:hAnsi="仿宋" w:eastAsia="仿宋" w:cs="仿宋"/>
          <w:sz w:val="24"/>
          <w:szCs w:val="24"/>
          <w:highlight w:val="none"/>
        </w:rPr>
        <w:t xml:space="preserve">28.6  供应商提出书面质疑必须有理、有据，不得捏造事实、提供虚假材料进行恶意质疑。否则，一经查实，</w:t>
      </w:r>
      <w:r>
        <w:rPr>
          <w:rFonts w:hint="eastAsia" w:ascii="仿宋" w:hAnsi="仿宋" w:eastAsia="仿宋" w:cs="仿宋"/>
          <w:sz w:val="24"/>
          <w:szCs w:val="24"/>
          <w:highlight w:val="none"/>
          <w:lang w:eastAsia="zh-CN"/>
        </w:rPr>
        <w:t xml:space="preserve">采购人及</w:t>
      </w:r>
      <w:r>
        <w:rPr>
          <w:rFonts w:hint="eastAsia" w:ascii="仿宋" w:hAnsi="仿宋" w:eastAsia="仿宋" w:cs="仿宋"/>
          <w:bCs/>
          <w:sz w:val="24"/>
          <w:highlight w:val="none"/>
          <w:lang w:val="en-US" w:eastAsia="zh-CN"/>
        </w:rPr>
        <w:t xml:space="preserve">代理机构</w:t>
      </w:r>
      <w:r>
        <w:rPr>
          <w:rFonts w:hint="eastAsia" w:ascii="仿宋" w:hAnsi="仿宋" w:eastAsia="仿宋" w:cs="仿宋"/>
          <w:sz w:val="24"/>
          <w:szCs w:val="24"/>
          <w:highlight w:val="none"/>
        </w:rPr>
        <w:t xml:space="preserve">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29. 中标通知书</w:t>
      </w:r>
      <w:r/>
    </w:p>
    <w:p>
      <w:pPr>
        <w:ind w:firstLine="600"/>
        <w:spacing w:line="480" w:lineRule="exact"/>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29.1</w:t>
      </w:r>
      <w:r>
        <w:rPr>
          <w:rFonts w:hint="eastAsia" w:ascii="仿宋" w:hAnsi="仿宋" w:eastAsia="仿宋" w:cs="仿宋"/>
          <w:b/>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en-US" w:eastAsia="zh-CN" w:bidi="ar-SA"/>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仿宋" w:hAnsi="仿宋" w:eastAsia="仿宋" w:cs="仿宋"/>
          <w:sz w:val="24"/>
          <w:szCs w:val="24"/>
          <w:highlight w:val="none"/>
          <w:lang w:val="en-US" w:eastAsia="zh-CN" w:bidi="ar-SA"/>
        </w:rPr>
        <w:outlineLvl w:val="9"/>
      </w:pPr>
      <w:r/>
      <w:bookmarkStart w:id="147" w:name="_Toc120614220"/>
      <w:r/>
      <w:bookmarkStart w:id="148" w:name="_Toc20823308"/>
      <w:r/>
      <w:bookmarkStart w:id="149" w:name="_Toc513029236"/>
      <w:r/>
      <w:bookmarkStart w:id="150" w:name="_Toc16938552"/>
      <w:r>
        <w:rPr>
          <w:rFonts w:hint="eastAsia" w:ascii="仿宋" w:hAnsi="仿宋" w:eastAsia="仿宋" w:cs="仿宋"/>
          <w:color w:val="auto"/>
          <w:sz w:val="24"/>
          <w:szCs w:val="24"/>
          <w:highlight w:val="none"/>
          <w:lang w:val="en-US" w:eastAsia="zh-CN" w:bidi="ar-SA"/>
        </w:rPr>
        <w:t xml:space="preserve">29.2 中标通知书是合同的组成部分，对采购人和中标人均具有法律效力。中标通知书发出后，采购人改变中标结果的，或者中标人放弃中标项目的，应当依法承担法律责任。</w:t>
      </w:r>
      <w:r/>
    </w:p>
    <w:p>
      <w:pPr>
        <w:ind w:left="0" w:firstLine="421"/>
        <w:keepLines/>
        <w:keepNext/>
        <w:spacing w:before="145" w:after="145" w:line="400" w:lineRule="exact"/>
        <w:rPr>
          <w:rFonts w:hint="eastAsia" w:ascii="仿宋" w:hAnsi="仿宋" w:eastAsia="仿宋" w:cs="仿宋"/>
          <w:b/>
          <w:bCs/>
          <w:color w:val="000000"/>
          <w:sz w:val="32"/>
          <w:szCs w:val="32"/>
          <w:highlight w:val="none"/>
        </w:rPr>
        <w:outlineLvl w:val="9"/>
      </w:pPr>
      <w:r>
        <w:rPr>
          <w:rFonts w:hint="eastAsia" w:ascii="仿宋" w:hAnsi="仿宋" w:eastAsia="仿宋" w:cs="仿宋"/>
          <w:b/>
          <w:bCs/>
          <w:color w:val="000000"/>
          <w:sz w:val="32"/>
          <w:szCs w:val="32"/>
          <w:highlight w:val="none"/>
        </w:rPr>
        <w:t xml:space="preserve">七、授予合同</w:t>
      </w:r>
      <w:bookmarkEnd w:id="147"/>
      <w:r/>
      <w:bookmarkEnd w:id="148"/>
      <w:r/>
      <w:bookmarkEnd w:id="149"/>
      <w:r/>
      <w:bookmarkEnd w:id="150"/>
      <w:r/>
      <w:r/>
    </w:p>
    <w:p>
      <w:pPr>
        <w:ind w:firstLine="422"/>
        <w:keepLines/>
        <w:keepNext/>
        <w:spacing w:line="400" w:lineRule="exact"/>
        <w:rPr>
          <w:highlight w:val="none"/>
        </w:rPr>
        <w:outlineLvl w:val="9"/>
      </w:pPr>
      <w:r/>
      <w:bookmarkStart w:id="151" w:name="_Toc513029237"/>
      <w:r/>
      <w:bookmarkStart w:id="152" w:name="_Toc16938553"/>
      <w:r/>
      <w:bookmarkStart w:id="153" w:name="_Toc20823309"/>
      <w:r>
        <w:rPr>
          <w:rFonts w:hint="eastAsia" w:ascii="仿宋" w:hAnsi="仿宋" w:eastAsia="仿宋" w:cs="仿宋"/>
          <w:b/>
          <w:bCs/>
          <w:color w:val="000000"/>
          <w:sz w:val="28"/>
          <w:szCs w:val="28"/>
          <w:highlight w:val="none"/>
          <w:lang w:val="en-US" w:eastAsia="zh-CN" w:bidi="ar-SA"/>
        </w:rPr>
        <w:t xml:space="preserve">30. 签订合同</w:t>
      </w:r>
      <w:r/>
    </w:p>
    <w:p>
      <w:pPr>
        <w:ind w:firstLine="600"/>
        <w:spacing w:line="480" w:lineRule="exact"/>
        <w:rPr>
          <w:rFonts w:hint="eastAsia" w:ascii="仿宋" w:hAnsi="仿宋" w:eastAsia="仿宋" w:cs="仿宋"/>
          <w:sz w:val="24"/>
          <w:szCs w:val="24"/>
          <w:highlight w:val="none"/>
        </w:rPr>
        <w:outlineLvl w:val="9"/>
      </w:pPr>
      <w:r>
        <w:rPr>
          <w:rFonts w:hint="eastAsia" w:ascii="仿宋" w:hAnsi="仿宋" w:eastAsia="仿宋" w:cs="仿宋"/>
          <w:bCs/>
          <w:sz w:val="24"/>
          <w:szCs w:val="24"/>
          <w:highlight w:val="none"/>
        </w:rPr>
        <w:t xml:space="preserve">30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中标人应当在中标通知书发出之日起三十日内，按照招标文件确定的事项与</w:t>
      </w:r>
      <w:r>
        <w:rPr>
          <w:rFonts w:hint="eastAsia" w:ascii="仿宋" w:hAnsi="仿宋" w:eastAsia="仿宋" w:cs="仿宋"/>
          <w:sz w:val="24"/>
          <w:szCs w:val="24"/>
          <w:highlight w:val="none"/>
          <w:lang w:eastAsia="zh-CN"/>
        </w:rPr>
        <w:t xml:space="preserve">采购人</w:t>
      </w:r>
      <w:r>
        <w:rPr>
          <w:rFonts w:hint="eastAsia" w:ascii="仿宋" w:hAnsi="仿宋" w:eastAsia="仿宋" w:cs="仿宋"/>
          <w:sz w:val="24"/>
          <w:szCs w:val="24"/>
          <w:highlight w:val="none"/>
        </w:rPr>
        <w:t xml:space="preserve">签订政府采购合同。</w:t>
      </w:r>
      <w:r>
        <w:rPr>
          <w:rFonts w:hint="eastAsia" w:ascii="仿宋" w:hAnsi="仿宋" w:eastAsia="仿宋" w:cs="仿宋"/>
          <w:b/>
          <w:bCs/>
          <w:color w:val="000000"/>
          <w:sz w:val="24"/>
          <w:szCs w:val="24"/>
          <w:highlight w:val="none"/>
          <w:lang w:eastAsia="zh-CN"/>
        </w:rPr>
        <w:t xml:space="preserve">中标</w:t>
      </w:r>
      <w:r>
        <w:rPr>
          <w:rFonts w:hint="eastAsia" w:ascii="仿宋" w:hAnsi="仿宋" w:eastAsia="仿宋" w:cs="仿宋"/>
          <w:b/>
          <w:bCs/>
          <w:sz w:val="24"/>
          <w:szCs w:val="24"/>
          <w:highlight w:val="none"/>
          <w:lang w:val="zh-CN"/>
        </w:rPr>
        <w:t xml:space="preserve">人应在中标结果公告之日起五个工作日内向</w:t>
      </w:r>
      <w:r>
        <w:rPr>
          <w:rFonts w:hint="eastAsia" w:ascii="仿宋" w:hAnsi="仿宋" w:eastAsia="仿宋" w:cs="仿宋"/>
          <w:b/>
          <w:bCs/>
          <w:sz w:val="24"/>
          <w:szCs w:val="24"/>
          <w:highlight w:val="none"/>
          <w:lang w:val="zh-CN" w:eastAsia="zh-CN"/>
        </w:rPr>
        <w:t xml:space="preserve">代理机构</w:t>
      </w:r>
      <w:r>
        <w:rPr>
          <w:rFonts w:hint="eastAsia" w:ascii="仿宋" w:hAnsi="仿宋" w:eastAsia="仿宋" w:cs="仿宋"/>
          <w:b/>
          <w:bCs/>
          <w:sz w:val="24"/>
          <w:szCs w:val="24"/>
          <w:highlight w:val="none"/>
        </w:rPr>
        <w:t xml:space="preserve">和采购</w:t>
      </w:r>
      <w:r>
        <w:rPr>
          <w:rFonts w:hint="eastAsia" w:ascii="仿宋" w:hAnsi="仿宋" w:eastAsia="仿宋" w:cs="仿宋"/>
          <w:b/>
          <w:bCs/>
          <w:sz w:val="24"/>
          <w:szCs w:val="24"/>
          <w:highlight w:val="none"/>
          <w:lang w:eastAsia="zh-CN"/>
        </w:rPr>
        <w:t xml:space="preserve">人</w:t>
      </w:r>
      <w:r>
        <w:rPr>
          <w:rFonts w:hint="eastAsia" w:ascii="仿宋" w:hAnsi="仿宋" w:eastAsia="仿宋" w:cs="仿宋"/>
          <w:b/>
          <w:bCs/>
          <w:sz w:val="24"/>
          <w:szCs w:val="24"/>
          <w:highlight w:val="none"/>
        </w:rPr>
        <w:t xml:space="preserve">各提供</w:t>
      </w:r>
      <w:r>
        <w:rPr>
          <w:rFonts w:hint="eastAsia" w:ascii="仿宋" w:hAnsi="仿宋" w:eastAsia="仿宋" w:cs="仿宋"/>
          <w:b/>
          <w:bCs/>
          <w:sz w:val="24"/>
          <w:szCs w:val="24"/>
          <w:highlight w:val="none"/>
          <w:lang w:eastAsia="zh-CN"/>
        </w:rPr>
        <w:t xml:space="preserve">三</w:t>
      </w:r>
      <w:r>
        <w:rPr>
          <w:rFonts w:hint="eastAsia" w:ascii="仿宋" w:hAnsi="仿宋" w:eastAsia="仿宋" w:cs="仿宋"/>
          <w:b/>
          <w:bCs/>
          <w:sz w:val="24"/>
          <w:szCs w:val="24"/>
          <w:highlight w:val="none"/>
        </w:rPr>
        <w:t xml:space="preserve">份纸质版</w:t>
      </w:r>
      <w:r>
        <w:rPr>
          <w:rFonts w:hint="eastAsia" w:ascii="仿宋" w:hAnsi="仿宋" w:eastAsia="仿宋" w:cs="仿宋"/>
          <w:b/>
          <w:bCs/>
          <w:sz w:val="24"/>
          <w:szCs w:val="24"/>
          <w:highlight w:val="none"/>
          <w:lang w:eastAsia="zh-CN"/>
        </w:rPr>
        <w:t xml:space="preserve">投标</w:t>
      </w:r>
      <w:r>
        <w:rPr>
          <w:rFonts w:hint="eastAsia" w:ascii="仿宋" w:hAnsi="仿宋" w:eastAsia="仿宋" w:cs="仿宋"/>
          <w:b/>
          <w:bCs/>
          <w:sz w:val="24"/>
          <w:szCs w:val="24"/>
          <w:highlight w:val="none"/>
        </w:rPr>
        <w:t xml:space="preserve">文件</w:t>
      </w:r>
      <w:r>
        <w:rPr>
          <w:rFonts w:hint="eastAsia" w:ascii="仿宋" w:hAnsi="仿宋" w:eastAsia="仿宋" w:cs="仿宋"/>
          <w:b/>
          <w:bCs/>
          <w:sz w:val="24"/>
          <w:szCs w:val="24"/>
          <w:highlight w:val="none"/>
          <w:lang w:val="zh-CN"/>
        </w:rPr>
        <w:t xml:space="preserve">（须与上传电子档内容一致）</w:t>
      </w:r>
      <w:r>
        <w:rPr>
          <w:rFonts w:hint="eastAsia" w:ascii="仿宋" w:hAnsi="仿宋" w:eastAsia="仿宋" w:cs="仿宋"/>
          <w:b/>
          <w:bCs/>
          <w:sz w:val="24"/>
          <w:szCs w:val="24"/>
          <w:highlight w:val="none"/>
        </w:rPr>
        <w:t xml:space="preserve">。</w:t>
      </w:r>
      <w:r/>
    </w:p>
    <w:p>
      <w:pPr>
        <w:ind w:firstLine="60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30.2</w:t>
      </w: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t xml:space="preserve">招标文件、中标人的投标文件及招标过程中有关澄清、承诺文件均应作为合同附件。</w:t>
      </w:r>
      <w:r/>
    </w:p>
    <w:p>
      <w:pPr>
        <w:ind w:firstLine="60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31. 服务（包含与服务相关的货物）的追加、减少</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151"/>
      <w:r/>
      <w:bookmarkEnd w:id="152"/>
      <w:r/>
      <w:bookmarkEnd w:id="153"/>
      <w:r/>
      <w:r/>
    </w:p>
    <w:p>
      <w:pPr>
        <w:ind w:firstLine="480"/>
        <w:spacing w:line="500" w:lineRule="exact"/>
        <w:rPr>
          <w:rFonts w:hint="eastAsia" w:ascii="仿宋" w:hAnsi="仿宋" w:eastAsia="仿宋" w:cs="仿宋"/>
          <w:sz w:val="21"/>
          <w:szCs w:val="24"/>
          <w:highlight w:val="none"/>
          <w:lang w:val="en-US" w:eastAsia="zh-CN" w:bidi="ar-SA"/>
        </w:rPr>
        <w:outlineLvl w:val="9"/>
      </w:pPr>
      <w:r>
        <w:rPr>
          <w:rFonts w:hint="eastAsia" w:ascii="仿宋" w:hAnsi="仿宋" w:eastAsia="仿宋" w:cs="仿宋"/>
          <w:sz w:val="24"/>
          <w:szCs w:val="24"/>
          <w:highlight w:val="none"/>
          <w:lang w:val="en-US" w:eastAsia="zh-CN" w:bidi="ar-SA"/>
        </w:rPr>
        <w:t xml:space="preserve">31.2 采购结束后，采购人若由于各种客观原因，必须对采购项目所牵涉的服务进行适当的减少时，在双方协商一致的前提下，可以按照招标采购时的价格水平做相应的调减，并据此签订补充合同。</w:t>
      </w:r>
      <w:bookmarkStart w:id="154" w:name="_Toc16938553_ai"/>
      <w:r/>
      <w:bookmarkEnd w:id="154"/>
      <w:r/>
      <w:bookmarkStart w:id="155" w:name="_Toc513029237_ai"/>
      <w:r/>
      <w:bookmarkEnd w:id="155"/>
      <w:r/>
      <w:bookmarkStart w:id="156" w:name="_Toc20823309_ai"/>
      <w:r/>
      <w:bookmarkEnd w:id="156"/>
      <w:r/>
      <w:r/>
    </w:p>
    <w:p>
      <w:pPr>
        <w:ind w:firstLine="422"/>
        <w:keepLines/>
        <w:keepNext/>
        <w:spacing w:line="400" w:lineRule="exact"/>
        <w:rPr>
          <w:rFonts w:hint="eastAsia" w:ascii="仿宋" w:hAnsi="仿宋" w:eastAsia="仿宋" w:cs="仿宋"/>
          <w:b/>
          <w:bCs/>
          <w:color w:val="000000"/>
          <w:sz w:val="28"/>
          <w:szCs w:val="28"/>
          <w:highlight w:val="none"/>
          <w:lang w:val="en-US" w:eastAsia="zh-CN" w:bidi="ar-SA"/>
        </w:rPr>
        <w:outlineLvl w:val="9"/>
      </w:pPr>
      <w:r>
        <w:rPr>
          <w:rFonts w:hint="eastAsia" w:ascii="仿宋" w:hAnsi="仿宋" w:eastAsia="仿宋" w:cs="仿宋"/>
          <w:b/>
          <w:bCs/>
          <w:color w:val="000000"/>
          <w:sz w:val="28"/>
          <w:szCs w:val="28"/>
          <w:highlight w:val="none"/>
          <w:lang w:val="en-US" w:eastAsia="zh-CN" w:bidi="ar-SA"/>
        </w:rPr>
        <w:t xml:space="preserve">32. 政府采购履约资金扶持政策</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32.1</w:t>
      </w:r>
      <w:r>
        <w:rPr>
          <w:rFonts w:hint="eastAsia" w:ascii="仿宋" w:hAnsi="仿宋" w:eastAsia="仿宋" w:cs="仿宋"/>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w:t>
      </w:r>
      <w:r>
        <w:rPr>
          <w:rFonts w:hint="eastAsia" w:ascii="仿宋" w:hAnsi="仿宋" w:eastAsia="仿宋" w:cs="仿宋"/>
          <w:sz w:val="24"/>
          <w:szCs w:val="24"/>
          <w:highlight w:val="none"/>
          <w:lang w:val="en-US" w:eastAsia="zh-CN"/>
        </w:rPr>
        <w:t xml:space="preserve">登录</w:t>
      </w:r>
      <w:r>
        <w:rPr>
          <w:rFonts w:hint="eastAsia" w:ascii="仿宋" w:hAnsi="仿宋" w:eastAsia="仿宋" w:cs="仿宋"/>
          <w:bCs/>
          <w:color w:val="000000"/>
          <w:sz w:val="24"/>
          <w:szCs w:val="24"/>
          <w:highlight w:val="none"/>
        </w:rPr>
        <w:t xml:space="preserve">江苏政府采购网“资料下载”栏目下载“政府采购电子履约（保函）保险操作手册（网址：</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sz w:val="24"/>
          <w:szCs w:val="24"/>
          <w:highlight w:val="none"/>
          <w:lang w:val="en-US" w:eastAsia="zh-CN"/>
        </w:rPr>
        <w:t xml:space="preserve">www.ccgp-jiangsu.gov.cn/jiangsu/zlxz/</w:t>
      </w:r>
      <w:r>
        <w:rPr>
          <w:rFonts w:hint="eastAsia" w:ascii="仿宋" w:hAnsi="仿宋" w:eastAsia="仿宋" w:cs="仿宋"/>
          <w:bCs/>
          <w:color w:val="000000"/>
          <w:sz w:val="24"/>
          <w:szCs w:val="24"/>
          <w:highlight w:val="none"/>
        </w:rPr>
        <w:t xml:space="preserve">)。</w:t>
      </w:r>
      <w:r/>
    </w:p>
    <w:p>
      <w:pPr>
        <w:ind w:firstLine="555"/>
        <w:jc w:val="left"/>
        <w:pageBreakBefore w:val="0"/>
        <w:spacing w:line="440" w:lineRule="exact"/>
        <w:rPr>
          <w:rFonts w:ascii="Times New Roman" w:hAnsi="Times New Roman" w:eastAsia="仿宋" w:cs="Times New Roman"/>
          <w:bCs/>
          <w:color w:val="000000"/>
          <w:sz w:val="24"/>
          <w:szCs w:val="24"/>
          <w:highlight w:val="none"/>
        </w:rPr>
        <w:outlineLvl w:val="9"/>
      </w:pPr>
      <w:r>
        <w:rPr>
          <w:rFonts w:ascii="Times New Roman" w:hAnsi="Times New Roman" w:eastAsia="仿宋" w:cs="Times New Roman"/>
          <w:bCs/>
          <w:color w:val="000000"/>
          <w:sz w:val="24"/>
          <w:szCs w:val="24"/>
          <w:highlight w:val="none"/>
        </w:rPr>
      </w:r>
      <w:r/>
    </w:p>
    <w:p>
      <w:pPr>
        <w:ind w:firstLine="561"/>
        <w:keepLines w:val="0"/>
        <w:keepNext w:val="0"/>
        <w:pageBreakBefore w:val="0"/>
        <w:spacing w:line="360" w:lineRule="exact"/>
        <w:widowControl w:val="off"/>
        <w:rPr>
          <w:rFonts w:hint="eastAsia"/>
          <w:sz w:val="24"/>
          <w:highlight w:val="none"/>
        </w:rPr>
      </w:pPr>
      <w:r>
        <w:rPr>
          <w:rFonts w:hint="eastAsia"/>
          <w:sz w:val="24"/>
          <w:highlight w:val="none"/>
        </w:rPr>
      </w:r>
      <w:r/>
    </w:p>
    <w:p>
      <w:pPr>
        <w:pStyle w:val="787"/>
        <w:rPr>
          <w:rFonts w:hint="eastAsia"/>
          <w:sz w:val="24"/>
          <w:highlight w:val="none"/>
        </w:rPr>
      </w:pPr>
      <w:r>
        <w:rPr>
          <w:rFonts w:hint="eastAsia"/>
          <w:sz w:val="24"/>
          <w:highlight w:val="none"/>
        </w:rPr>
      </w:r>
      <w:r/>
    </w:p>
    <w:p>
      <w:pPr>
        <w:pStyle w:val="787"/>
        <w:rPr>
          <w:rFonts w:hint="eastAsia"/>
          <w:sz w:val="24"/>
          <w:highlight w:val="none"/>
        </w:rPr>
      </w:pPr>
      <w:r>
        <w:rPr>
          <w:rFonts w:hint="eastAsia"/>
          <w:sz w:val="24"/>
          <w:highlight w:val="none"/>
        </w:rPr>
      </w:r>
      <w:r/>
    </w:p>
    <w:p>
      <w:pPr>
        <w:ind w:firstLine="561"/>
        <w:keepLines w:val="0"/>
        <w:keepNext w:val="0"/>
        <w:pageBreakBefore w:val="0"/>
        <w:spacing w:line="360" w:lineRule="exact"/>
        <w:widowControl w:val="off"/>
        <w:rPr>
          <w:rFonts w:hint="eastAsia"/>
          <w:sz w:val="24"/>
          <w:highlight w:val="none"/>
        </w:rPr>
      </w:pPr>
      <w:r>
        <w:rPr>
          <w:rFonts w:hint="eastAsia"/>
          <w:sz w:val="24"/>
          <w:highlight w:val="none"/>
        </w:rPr>
      </w:r>
      <w:r/>
    </w:p>
    <w:p>
      <w:pPr>
        <w:ind w:firstLine="561"/>
        <w:keepLines w:val="0"/>
        <w:keepNext w:val="0"/>
        <w:pageBreakBefore w:val="0"/>
        <w:spacing w:line="360" w:lineRule="exact"/>
        <w:widowControl w:val="off"/>
        <w:rPr>
          <w:rFonts w:hint="eastAsia"/>
          <w:sz w:val="24"/>
          <w:szCs w:val="24"/>
          <w:highlight w:val="none"/>
        </w:rPr>
      </w:pPr>
      <w:r>
        <w:rPr>
          <w:rFonts w:hint="eastAsia"/>
          <w:sz w:val="24"/>
          <w:szCs w:val="24"/>
          <w:highlight w:val="none"/>
        </w:rPr>
      </w:r>
      <w:r/>
    </w:p>
    <w:p>
      <w:pPr>
        <w:ind w:firstLine="561"/>
        <w:keepLines w:val="0"/>
        <w:keepNext w:val="0"/>
        <w:pageBreakBefore w:val="0"/>
        <w:spacing w:line="360" w:lineRule="exact"/>
        <w:widowControl w:val="off"/>
        <w:rPr>
          <w:rFonts w:hint="eastAsia"/>
          <w:sz w:val="24"/>
          <w:szCs w:val="24"/>
          <w:highlight w:val="none"/>
        </w:rPr>
      </w:pPr>
      <w:r>
        <w:rPr>
          <w:rFonts w:hint="eastAsia"/>
          <w:sz w:val="24"/>
          <w:szCs w:val="24"/>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87"/>
        <w:rPr>
          <w:rFonts w:hint="eastAsia"/>
          <w:highlight w:val="none"/>
        </w:rPr>
      </w:pPr>
      <w:r>
        <w:rPr>
          <w:rFonts w:hint="eastAsia"/>
          <w:highlight w:val="none"/>
        </w:rPr>
      </w:r>
      <w:r/>
    </w:p>
    <w:p>
      <w:pPr>
        <w:pStyle w:val="722"/>
        <w:jc w:val="center"/>
        <w:rPr>
          <w:rFonts w:hint="eastAsia" w:ascii="仿宋" w:hAnsi="仿宋" w:eastAsia="仿宋" w:cs="仿宋"/>
          <w:b/>
          <w:bCs w:val="0"/>
          <w:sz w:val="44"/>
          <w:highlight w:val="none"/>
        </w:rPr>
        <w:outlineLvl w:val="0"/>
      </w:pPr>
      <w:r/>
      <w:bookmarkStart w:id="157" w:name="_Toc6531"/>
      <w:r>
        <w:rPr>
          <w:rFonts w:hint="eastAsia" w:ascii="仿宋" w:hAnsi="仿宋" w:eastAsia="仿宋" w:cs="仿宋"/>
          <w:b/>
          <w:bCs w:val="0"/>
          <w:sz w:val="44"/>
          <w:highlight w:val="none"/>
        </w:rPr>
        <w:t xml:space="preserve">第三章  合同文本</w:t>
      </w:r>
      <w:bookmarkEnd w:id="157"/>
      <w:r/>
      <w:r/>
    </w:p>
    <w:p>
      <w:pPr>
        <w:ind w:firstLine="480"/>
        <w:spacing w:line="500" w:lineRule="exact"/>
        <w:rPr>
          <w:highlight w:val="none"/>
        </w:rPr>
        <w:outlineLvl w:val="9"/>
      </w:pPr>
      <w:r/>
      <w:bookmarkStart w:id="158" w:name="_Toc16938559"/>
      <w:r/>
      <w:bookmarkStart w:id="159" w:name="_Toc513029243"/>
      <w:r/>
      <w:bookmarkStart w:id="160" w:name="_Toc20823315"/>
      <w:r>
        <w:rPr>
          <w:rFonts w:hint="eastAsia" w:ascii="仿宋" w:hAnsi="仿宋" w:eastAsia="仿宋" w:cs="仿宋"/>
          <w:color w:val="auto"/>
          <w:sz w:val="24"/>
          <w:szCs w:val="24"/>
          <w:highlight w:val="none"/>
          <w:lang w:val="en-US" w:eastAsia="zh-CN" w:bidi="ar-SA"/>
        </w:rPr>
        <w:t xml:space="preserve">以下为中标后签订本项目合同的通用条款，中标人不得提出实质性的修改。</w:t>
      </w:r>
      <w:r/>
    </w:p>
    <w:p>
      <w:pPr>
        <w:jc w:val="center"/>
        <w:spacing w:before="145" w:after="145"/>
        <w:rPr>
          <w:rFonts w:hint="eastAsia" w:ascii="仿宋" w:hAnsi="仿宋" w:eastAsia="仿宋" w:cs="仿宋"/>
          <w:b/>
          <w:bCs/>
          <w:sz w:val="30"/>
          <w:szCs w:val="20"/>
          <w:highlight w:val="none"/>
        </w:rPr>
        <w:outlineLvl w:val="9"/>
      </w:pPr>
      <w:r>
        <w:rPr>
          <w:rFonts w:hint="eastAsia" w:ascii="仿宋" w:hAnsi="仿宋" w:eastAsia="仿宋" w:cs="仿宋"/>
          <w:b/>
          <w:sz w:val="30"/>
          <w:highlight w:val="none"/>
        </w:rPr>
        <w:t xml:space="preserve">江苏省政府采购合同（服务）（合同编号）</w:t>
      </w:r>
      <w:r/>
    </w:p>
    <w:p>
      <w:pPr>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                   </w:t>
      </w:r>
      <w:r/>
    </w:p>
    <w:p>
      <w:pPr>
        <w:spacing w:before="120" w:after="120"/>
        <w:rPr>
          <w:rFonts w:hint="eastAsia" w:ascii="仿宋" w:hAnsi="仿宋" w:eastAsia="仿宋" w:cs="仿宋"/>
          <w:color w:val="ff0000"/>
          <w:sz w:val="24"/>
          <w:szCs w:val="24"/>
          <w:highlight w:val="none"/>
        </w:rPr>
        <w:outlineLvl w:val="9"/>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ff0000"/>
          <w:sz w:val="24"/>
          <w:szCs w:val="24"/>
          <w:highlight w:val="none"/>
        </w:rPr>
        <w:t xml:space="preserve"> </w:t>
      </w:r>
      <w:r/>
    </w:p>
    <w:p>
      <w:pPr>
        <w:spacing w:before="120" w:after="120"/>
        <w:rPr>
          <w:rFonts w:hint="eastAsia" w:ascii="仿宋" w:hAnsi="仿宋" w:eastAsia="仿宋" w:cs="仿宋"/>
          <w:color w:val="000000"/>
          <w:sz w:val="24"/>
          <w:szCs w:val="24"/>
          <w:highlight w:val="none"/>
        </w:rPr>
        <w:outlineLvl w:val="9"/>
      </w:pPr>
      <w:r>
        <w:rPr>
          <w:rFonts w:hint="eastAsia" w:ascii="仿宋" w:hAnsi="仿宋" w:eastAsia="仿宋" w:cs="仿宋"/>
          <w:color w:val="ff0000"/>
          <w:sz w:val="24"/>
          <w:szCs w:val="24"/>
          <w:highlight w:val="none"/>
        </w:rPr>
        <w:t xml:space="preserve">分包号：*****</w:t>
      </w:r>
      <w:r/>
    </w:p>
    <w:p>
      <w:pPr>
        <w:pStyle w:val="745"/>
        <w:spacing w:before="120" w:after="120"/>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甲方：（买方）</w:t>
      </w:r>
      <w:r>
        <w:rPr>
          <w:rFonts w:hint="eastAsia" w:ascii="仿宋" w:hAnsi="仿宋" w:eastAsia="仿宋" w:cs="仿宋"/>
          <w:sz w:val="24"/>
          <w:szCs w:val="24"/>
          <w:highlight w:val="none"/>
          <w:u w:val="single"/>
        </w:rPr>
        <w:t xml:space="preserve">*****</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乙方：（卖方）</w:t>
      </w:r>
      <w:r>
        <w:rPr>
          <w:rFonts w:hint="eastAsia" w:ascii="仿宋" w:hAnsi="仿宋" w:eastAsia="仿宋" w:cs="仿宋"/>
          <w:color w:val="000000"/>
          <w:sz w:val="24"/>
          <w:szCs w:val="24"/>
          <w:highlight w:val="none"/>
          <w:u w:val="single"/>
        </w:rPr>
        <w:t xml:space="preserve">*****</w:t>
      </w:r>
      <w:r/>
    </w:p>
    <w:p>
      <w:pPr>
        <w:rPr>
          <w:rFonts w:hint="eastAsia" w:ascii="仿宋" w:hAnsi="仿宋" w:eastAsia="仿宋" w:cs="仿宋"/>
          <w:b/>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  </w:t>
      </w:r>
      <w:r>
        <w:rPr>
          <w:rFonts w:hint="eastAsia" w:ascii="仿宋" w:hAnsi="仿宋" w:eastAsia="仿宋" w:cs="仿宋"/>
          <w:b/>
          <w:sz w:val="24"/>
          <w:szCs w:val="24"/>
          <w:highlight w:val="none"/>
          <w:lang w:val="en-US" w:eastAsia="zh-CN" w:bidi="ar-SA"/>
        </w:rPr>
        <w:t xml:space="preserve"> </w:t>
      </w:r>
      <w:r>
        <w:rPr>
          <w:rFonts w:hint="eastAsia" w:ascii="仿宋" w:hAnsi="仿宋" w:eastAsia="仿宋" w:cs="仿宋"/>
          <w:sz w:val="24"/>
          <w:szCs w:val="24"/>
          <w:highlight w:val="none"/>
          <w:lang w:val="en-US" w:eastAsia="zh-CN" w:bidi="ar-SA"/>
        </w:rPr>
        <w:t xml:space="preserve">依据《中华人民共和国民法典》、《中华人民共和国政府采购法》等有关的法律法规，以及本采购项目的招标文件、乙方的《投标文件》及《中标通知书》，甲乙双方同意签订本合同。具体情况及要求如下：</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一、合同内容</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 标的名称：</w:t>
      </w:r>
      <w:r>
        <w:rPr>
          <w:rFonts w:hint="eastAsia" w:ascii="仿宋" w:hAnsi="仿宋" w:eastAsia="仿宋" w:cs="仿宋"/>
          <w:sz w:val="24"/>
          <w:szCs w:val="24"/>
          <w:highlight w:val="none"/>
          <w:u w:val="single"/>
          <w:lang w:val="en-US" w:eastAsia="zh-CN"/>
        </w:rPr>
        <w:t xml:space="preserve">如东县住房和城乡建设局采购2026-2028年度如东县县城市政基础设施养护服务、应急抢修服务项目（道路、桥梁、交通设施） </w:t>
      </w:r>
      <w:r/>
    </w:p>
    <w:p>
      <w:pPr>
        <w:pStyle w:val="745"/>
        <w:spacing w:before="120" w:after="120"/>
        <w:rPr>
          <w:rFonts w:hint="eastAsia" w:ascii="仿宋" w:hAnsi="仿宋" w:eastAsia="仿宋" w:cs="仿宋"/>
          <w:sz w:val="24"/>
          <w:szCs w:val="24"/>
          <w:highlight w:val="none"/>
          <w:u w:val="single"/>
          <w:lang w:val="en-US" w:eastAsia="zh-CN" w:bidi="ar-SA"/>
        </w:rPr>
        <w:outlineLvl w:val="9"/>
      </w:pPr>
      <w:r>
        <w:rPr>
          <w:rFonts w:hint="eastAsia" w:ascii="仿宋" w:hAnsi="仿宋" w:eastAsia="仿宋" w:cs="仿宋"/>
          <w:color w:val="auto"/>
          <w:sz w:val="24"/>
          <w:szCs w:val="24"/>
          <w:highlight w:val="none"/>
          <w:lang w:val="en-US" w:eastAsia="zh-CN" w:bidi="ar-SA"/>
        </w:rPr>
        <w:t xml:space="preserve">1.2 标的质量：</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1.2.1维护项目质量标准满足《城镇道路养护技术规范》（CJJ36-2016）、《城市桥梁养护技术标准》（CJJ99-2017）的标准。</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1.2.2乙方必须保证项目质量。如因养护作业质量问题发生重大事故，乙方应承担一切责任和费用，同时扣除20%的履约保证金，且甲方有权单方解除合同。</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1.2.3乙方应严格执行《中华人民共和国安全生产法》、《中华人民共和国建筑法》、《建设工程安全生产管理条例》、《安全生产许可证条例》等法律和法规的规定。</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1.2.4养护作业过程中养护人员的病、伤、亡事故责任及一切费用均由乙方承担。</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1.2.5 养护作业过程中，乙方对安全作业负全责。</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u w:val="single"/>
          <w:lang w:val="en-US" w:eastAsia="zh-CN"/>
        </w:rPr>
        <w:t xml:space="preserve">1.2.6养护单位在养护现场，必须设有明显的安全生产标牌和警示牌，安全维护措施布置合理，作业人员正确穿戴反光工作服、安全帽；现场配备施工员、安全员、管理人员，并安排专人指挥交通，做到安全文明作业。在养护现场发生的安全事故，责任及一切费用均由乙方承担。  </w:t>
      </w:r>
      <w:r/>
    </w:p>
    <w:p>
      <w:pPr>
        <w:pStyle w:val="745"/>
        <w:spacing w:before="120" w:after="120"/>
        <w:rPr>
          <w:rFonts w:hint="eastAsia" w:ascii="仿宋" w:hAnsi="仿宋" w:eastAsia="仿宋" w:cs="仿宋"/>
          <w:sz w:val="24"/>
          <w:szCs w:val="24"/>
          <w:highlight w:val="none"/>
          <w:u w:val="single"/>
          <w:lang w:val="en-US" w:eastAsia="zh-CN" w:bidi="ar-SA"/>
        </w:rPr>
        <w:outlineLvl w:val="9"/>
      </w:pPr>
      <w:r>
        <w:rPr>
          <w:rFonts w:hint="eastAsia" w:ascii="仿宋" w:hAnsi="仿宋" w:eastAsia="仿宋" w:cs="仿宋"/>
          <w:color w:val="auto"/>
          <w:sz w:val="24"/>
          <w:szCs w:val="24"/>
          <w:highlight w:val="none"/>
          <w:lang w:val="en-US" w:eastAsia="zh-CN" w:bidi="ar-SA"/>
        </w:rPr>
        <w:t xml:space="preserve">1.3 标的数量（规模）：</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日常巡查：I等养护的城市道路一日一巡，II等养护的城市道路二日一巡，III等养护的道路三日一巡；I等养护的城市桥梁一日一巡，II等养护的城市桥梁三日一巡，III等养护的城市桥梁六日一巡。养护作业单位根据巡查内容、频率配备足量的巡查设备和专职的巡查人员，所有道路、桥梁的巡查责任都必须落实到个人，同时不得随意更换、调整巡查人员，如确需调整的，应经县城市基础设施管理处批准。</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(2)巡查过程中发现问题要及时做好相应记录，做到事项、位置（必要时附相关参考影像资料）、数量、日期准确无误，记录详实，巡查记录由养护作业单位项目负责人审核、签字后每三日上交县城市基础设施管理处。并建立、完善“一路一档”、“一桥一档”的巡查台账资料。</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(3)巡查过程中发现的危及车辆和行人安全的问题要立即采取相关措施，并及时向养护管理部门报告。如因未发现或未及时采取相关措施而发生的事故，乙方承担一切责任和费用。</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(4)在巡查中发现非法挖掘、占道、非法接道等行为，立即向城市基础设施管理处报告，经核实后，巡查单位及时向12345政府平台反映，并积极协助城管执法，督促责任单位按照相关程序办理相关手续，并恢复挖掘占用道路，做好相应台账记录。如因巡查单位未发现或未及时上报，后续跟踪不力而造成的相关损失，由巡查单位承担。</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(5)乙方接到甲方派工单后，在规定时间期限内及时完成各类道路、桥梁等市政设施维护工作，保证作业安全、质量合格。</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(6)乙方及时做好相关内业台账资料，内业台账资料每月1号上交城市基础设施管理处。</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(7)需要签证的项目在作业完成后3日内完成工程量签证。逾期未签证的，以甲方单方核定量作为结算依据，乙方不得异议。逾期签证每发生一次，扣减当月养护费的1%；一个月内累计逾期超过3次的，当月考核直接评定为不合格。</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(8)适时修订应急预案，落实值班制度，积极妥善处置突发事件，设置专项应急值班记录，记录齐全真实。接通知后30分钟内应到现场查看，提出处理意见，落实处置措施，处置完毕后立即向甲方通报相关信息。迟延到达现场的，每发生一次扣减当月养护费的2%；未及时处置造成损失扩大的，乙方承担全部赔偿责任。</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(9)气象部门发布暴雨预警、台风预警等灾害性天气预警后，要及时启动应急预案，落实相关人员、物资、设备。要提前巡查，发现隐患即时处置；灾害性天气持续过程中，应随时巡查、随时处置。</w:t>
      </w:r>
      <w:r/>
    </w:p>
    <w:p>
      <w:pPr>
        <w:pStyle w:val="745"/>
        <w:spacing w:before="120" w:after="120"/>
        <w:rPr>
          <w:rFonts w:hint="eastAsia" w:ascii="仿宋" w:hAnsi="仿宋" w:eastAsia="仿宋" w:cs="仿宋"/>
          <w:sz w:val="24"/>
          <w:szCs w:val="24"/>
          <w:highlight w:val="none"/>
          <w:u w:val="single"/>
          <w:lang w:val="en-US" w:eastAsia="zh-CN" w:bidi="ar-SA"/>
        </w:rPr>
        <w:outlineLvl w:val="9"/>
      </w:pPr>
      <w:r>
        <w:rPr>
          <w:rFonts w:hint="eastAsia" w:ascii="仿宋" w:hAnsi="仿宋" w:eastAsia="仿宋" w:cs="仿宋"/>
          <w:sz w:val="24"/>
          <w:szCs w:val="24"/>
          <w:highlight w:val="none"/>
          <w:u w:val="single"/>
          <w:lang w:val="en-US" w:eastAsia="zh-CN" w:bidi="ar-SA"/>
        </w:rPr>
        <w:t xml:space="preserve">(10)对于12345、信访、数字化城管平台反映的问题应在规定时间内及时处置。未在规定时限内处置的，每发生一次扣减1000元作为违约金；同一问题两次被投诉的，按双倍扣罚。</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(11)承担养护作业期间的安全保卫工作：由于乙方安全措施不到位而发生事故，责任及一切费用均由乙方承担。</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(12)养护作业期间须做好安全生产与文明作业管理工作，维护交通安全，如由此发生的安全或交通事故，其责任和一切费用由乙方承担。</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(13) 双方约定乙方应做的其他工作：1.负责协调和处理因养护作业引起的周边地段民事纠纷，并承担由此发生的一切费用；因民事纠纷处理不力导致甲方被投诉或卷入诉讼的，乙方应承担甲方因此支出的全部费用（包括但不限于赔偿款、诉讼费、律师费等）。2.乙方应及时清理作业中占压的城市道路、绿化带，并承担相应恢复费用。</w:t>
      </w:r>
      <w:r/>
    </w:p>
    <w:p>
      <w:pPr>
        <w:pStyle w:val="745"/>
        <w:spacing w:before="120" w:after="120"/>
        <w:rPr>
          <w:rFonts w:hint="eastAsia" w:ascii="仿宋" w:hAnsi="仿宋" w:eastAsia="仿宋" w:cs="仿宋"/>
          <w:sz w:val="24"/>
          <w:szCs w:val="24"/>
          <w:highlight w:val="none"/>
          <w:u w:val="single"/>
          <w:lang w:val="en-US" w:eastAsia="zh-CN" w:bidi="ar-SA"/>
        </w:rPr>
        <w:outlineLvl w:val="9"/>
      </w:pPr>
      <w:r>
        <w:rPr>
          <w:rFonts w:hint="eastAsia" w:ascii="仿宋" w:hAnsi="仿宋" w:eastAsia="仿宋" w:cs="仿宋"/>
          <w:sz w:val="24"/>
          <w:szCs w:val="24"/>
          <w:highlight w:val="none"/>
          <w:u w:val="single"/>
          <w:lang w:val="en-US" w:eastAsia="zh-CN" w:bidi="ar-SA"/>
        </w:rPr>
        <w:t xml:space="preserve">(14) 未尽事宜，按《如东县城区市政道路（含交通设施）、桥梁养护考核细则（试行）》执行。</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rPr>
        <w:t xml:space="preserve">1.4 履行时间（期限）：</w:t>
      </w:r>
      <w:r>
        <w:rPr>
          <w:rFonts w:hint="eastAsia" w:ascii="仿宋" w:hAnsi="仿宋" w:eastAsia="仿宋" w:cs="仿宋"/>
          <w:sz w:val="24"/>
          <w:szCs w:val="24"/>
          <w:highlight w:val="none"/>
          <w:u w:val="single"/>
          <w:lang w:val="en-US" w:eastAsia="zh-CN"/>
        </w:rPr>
        <w:t xml:space="preserve"> 二年  </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1）沥青路面零星损坏修复处置时间为3日历天内完成；砼路面零星损坏修复处置时间为7日历天内完成；人行道、盲道损坏处置时间为5日历天内完成；掘路修复、专项修复、应急修复等需指定时间内完成的维修项目，处置时间在派工任务单上明确。</w:t>
      </w:r>
      <w:r/>
    </w:p>
    <w:p>
      <w:pPr>
        <w:pStyle w:val="745"/>
        <w:spacing w:before="120" w:after="120"/>
        <w:rPr>
          <w:rFonts w:hint="eastAsia" w:ascii="仿宋" w:hAnsi="仿宋" w:eastAsia="仿宋" w:cs="仿宋"/>
          <w:sz w:val="24"/>
          <w:szCs w:val="24"/>
          <w:highlight w:val="none"/>
          <w:u w:val="single"/>
          <w:lang w:val="en-US" w:eastAsia="zh-CN"/>
        </w:rPr>
        <w:outlineLvl w:val="9"/>
      </w:pPr>
      <w:r>
        <w:rPr>
          <w:rFonts w:hint="eastAsia" w:ascii="仿宋" w:hAnsi="仿宋" w:eastAsia="仿宋" w:cs="仿宋"/>
          <w:sz w:val="24"/>
          <w:szCs w:val="24"/>
          <w:highlight w:val="none"/>
          <w:u w:val="single"/>
          <w:lang w:val="en-US" w:eastAsia="zh-CN"/>
        </w:rPr>
        <w:t xml:space="preserve">（2）因天气因素影响造成供应商无法在规定时间内完成的，供应商应及时书面上报监理单位和养护管理部门，经批准后方可延期。</w:t>
      </w:r>
      <w:r/>
    </w:p>
    <w:p>
      <w:pPr>
        <w:pStyle w:val="745"/>
        <w:spacing w:before="120" w:after="120"/>
        <w:rPr>
          <w:rFonts w:hint="eastAsia" w:ascii="仿宋" w:hAnsi="仿宋" w:eastAsia="仿宋" w:cs="仿宋"/>
          <w:sz w:val="24"/>
          <w:szCs w:val="24"/>
          <w:highlight w:val="none"/>
          <w:u w:val="single"/>
          <w:lang w:val="en-US" w:eastAsia="zh-CN" w:bidi="ar-SA"/>
        </w:rPr>
        <w:outlineLvl w:val="9"/>
      </w:pPr>
      <w:r>
        <w:rPr>
          <w:rFonts w:hint="eastAsia" w:ascii="仿宋" w:hAnsi="仿宋" w:eastAsia="仿宋" w:cs="仿宋"/>
          <w:sz w:val="24"/>
          <w:szCs w:val="24"/>
          <w:highlight w:val="none"/>
          <w:u w:val="single"/>
          <w:lang w:val="en-US" w:eastAsia="zh-CN" w:bidi="ar-SA"/>
        </w:rPr>
        <w:t xml:space="preserve">（3）因其它不可抗力因素及养护管理部门原因造成作业单位无法在规定时间内完成维修的，不作处罚，但对于暴雨、台风等常见气象灾害且已由政府部门发出预警的，不视为不可抗力，乙方需提前制定应急预案。</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1.5 履行地点：</w:t>
      </w:r>
      <w:r>
        <w:rPr>
          <w:rFonts w:hint="eastAsia" w:ascii="仿宋" w:hAnsi="仿宋" w:eastAsia="仿宋" w:cs="仿宋"/>
          <w:sz w:val="24"/>
          <w:szCs w:val="24"/>
          <w:highlight w:val="none"/>
          <w:u w:val="single"/>
          <w:lang w:val="en-US" w:eastAsia="zh-CN"/>
        </w:rPr>
        <w:t xml:space="preserve">如东县 </w:t>
      </w:r>
      <w:r/>
    </w:p>
    <w:p>
      <w:pPr>
        <w:pStyle w:val="745"/>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1.6 履行方式：</w:t>
      </w:r>
      <w:r>
        <w:rPr>
          <w:rFonts w:hint="eastAsia" w:ascii="仿宋" w:hAnsi="仿宋" w:eastAsia="仿宋" w:cs="仿宋"/>
          <w:sz w:val="24"/>
          <w:szCs w:val="24"/>
          <w:highlight w:val="none"/>
          <w:u w:val="single"/>
          <w:lang w:val="en-US" w:eastAsia="zh-CN" w:bidi="ar-SA"/>
        </w:rPr>
        <w:t xml:space="preserve">        </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二、合同金额</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2.1 本项目暂定合同价为人民币2605万元，维护项目结算以实际发生的工程量，按全费用预算单价*（1-优惠率%）按实结算，最多不超2605万元。对于维护项目中缺项漏项的工作内容，按工程量签证单或竣工图，由预算编制单位编制结算，按中标下浮率</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下浮后进入结算，最多不超过预算金额的5%(定额套用2026年《江苏省工程计价定额》进行组价，人工工资按建函价[2026]27号文执行，工程量清单计量依据《建设工程工程量清单计价标准》（GB/T 50500-2024），材料价格参照《南通建设工程造价信息》（2026年）第7期及市场价)，最终结算价以审计为准。</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合同价款中包括的风险范围：</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①国家政策性调整、市场材料价格风险；</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②项目实施期间，遇到甲方以外的单位、个人和其他可能出现的阻挠作业所发生的费用；</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③招标文件中已明确的由乙方承担的费用。</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风险费用的计算方法：视为乙方已预见上述合同价款中风险并足额把风险费用计入含有价格的项目中，在结算时一律不予计算风险费用。</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甲方有权根据实际需求调整养护范围或技术要求，乙方需在7日内响应，无正当理由未在7日内响应的，视为乙方认可并同意按甲方要求执行，费用增减由甲方核定。甲方核定的费用对双方均有约束力，乙方不得以任何理由拒绝执行或拖延执行。</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三、技术资料</w:t>
      </w:r>
      <w:r/>
    </w:p>
    <w:p>
      <w:pPr>
        <w:pStyle w:val="745"/>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3.1乙方应按招标文件规定的时间向甲方提供服务（包含与服务相关的货物）的有关技术资料。</w:t>
      </w:r>
      <w:r/>
    </w:p>
    <w:p>
      <w:pPr>
        <w:pStyle w:val="745"/>
        <w:ind w:left="410" w:hanging="41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5"/>
        <w:ind w:left="412" w:hanging="412"/>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四、知识产权</w:t>
      </w:r>
      <w:r/>
    </w:p>
    <w:p>
      <w:pPr>
        <w:pStyle w:val="745"/>
        <w:ind w:left="408" w:hanging="408"/>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45"/>
        <w:spacing w:before="120" w:after="120"/>
        <w:rPr>
          <w:rFonts w:hint="eastAsia" w:ascii="仿宋" w:hAnsi="仿宋" w:eastAsia="仿宋" w:cs="仿宋"/>
          <w:sz w:val="24"/>
          <w:szCs w:val="24"/>
          <w:highlight w:val="none"/>
          <w:u w:val="single"/>
        </w:rPr>
        <w:outlineLvl w:val="9"/>
      </w:pPr>
      <w:r>
        <w:rPr>
          <w:rFonts w:hint="eastAsia" w:ascii="仿宋" w:hAnsi="仿宋" w:eastAsia="仿宋" w:cs="仿宋"/>
          <w:b/>
          <w:sz w:val="24"/>
          <w:szCs w:val="24"/>
          <w:highlight w:val="none"/>
        </w:rPr>
        <w:t xml:space="preserve">五、产权担保</w:t>
      </w:r>
      <w:r/>
    </w:p>
    <w:p>
      <w:pPr>
        <w:pStyle w:val="745"/>
        <w:ind w:left="408" w:hanging="408"/>
        <w:spacing w:before="120" w:after="120"/>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5.1 乙方保证所交付的服务（包含与服务相关的货物）的所有权完全属于乙方且无任何抵押、查封等产权瑕疵。</w:t>
      </w:r>
      <w:r/>
    </w:p>
    <w:p>
      <w:pPr>
        <w:pStyle w:val="745"/>
        <w:ind w:left="410" w:hanging="410"/>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六、履约保证金</w:t>
      </w:r>
      <w:r/>
    </w:p>
    <w:p>
      <w:pPr>
        <w:pStyle w:val="745"/>
        <w:ind w:left="408" w:hanging="408"/>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6.1 乙方交纳人民币</w:t>
      </w:r>
      <w:r>
        <w:rPr>
          <w:rFonts w:hint="eastAsia" w:ascii="仿宋" w:hAnsi="仿宋" w:eastAsia="仿宋" w:cs="仿宋"/>
          <w:sz w:val="24"/>
          <w:szCs w:val="24"/>
          <w:highlight w:val="none"/>
          <w:u w:val="single"/>
          <w:lang w:val="en-US" w:eastAsia="zh-CN"/>
        </w:rPr>
        <w:t xml:space="preserve"> 1000000 </w:t>
      </w:r>
      <w:r>
        <w:rPr>
          <w:rFonts w:hint="eastAsia" w:ascii="仿宋" w:hAnsi="仿宋" w:eastAsia="仿宋" w:cs="仿宋"/>
          <w:sz w:val="24"/>
          <w:szCs w:val="24"/>
          <w:highlight w:val="none"/>
        </w:rPr>
        <w:t xml:space="preserve">元作为本合同的履约保证金。</w:t>
      </w:r>
      <w:r/>
    </w:p>
    <w:p>
      <w:pPr>
        <w:pStyle w:val="745"/>
        <w:ind w:left="408" w:hanging="408"/>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sz w:val="24"/>
          <w:szCs w:val="24"/>
          <w:highlight w:val="none"/>
          <w:lang w:val="en-US" w:eastAsia="zh-CN" w:bidi="ar-SA"/>
        </w:rPr>
        <w:t xml:space="preserve">6.2 合同履行结束后，甲方应及时退还乙方交纳的履约保证金。</w:t>
      </w:r>
      <w:r/>
    </w:p>
    <w:p>
      <w:pPr>
        <w:pStyle w:val="745"/>
        <w:ind w:left="408" w:hanging="408"/>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6.2.1履约保证金退还方式：</w:t>
      </w:r>
      <w:r>
        <w:rPr>
          <w:rFonts w:hint="eastAsia" w:ascii="仿宋" w:hAnsi="仿宋" w:eastAsia="仿宋" w:cs="仿宋"/>
          <w:sz w:val="24"/>
          <w:szCs w:val="24"/>
          <w:highlight w:val="none"/>
          <w:u w:val="single"/>
          <w:lang w:val="en-US" w:eastAsia="zh-CN"/>
        </w:rPr>
        <w:t xml:space="preserve">原路退还 </w:t>
      </w:r>
      <w:r/>
    </w:p>
    <w:p>
      <w:pPr>
        <w:pStyle w:val="745"/>
        <w:ind w:left="408" w:hanging="408"/>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6.2.2履约保证金退还时间：</w:t>
      </w:r>
      <w:r>
        <w:rPr>
          <w:rFonts w:hint="eastAsia" w:ascii="仿宋" w:hAnsi="仿宋" w:eastAsia="仿宋" w:cs="仿宋"/>
          <w:sz w:val="24"/>
          <w:szCs w:val="24"/>
          <w:highlight w:val="none"/>
          <w:u w:val="single"/>
          <w:lang w:val="en-US" w:eastAsia="zh-CN"/>
        </w:rPr>
        <w:t xml:space="preserve"> 本合同期满或提前终止后，乙方在完全履行合同义务且未发生本合同第十一条约定的甲方有权扣除履约保证金之情形的，甲方在乙方办理完毕全部交接手续后30日内，将履约保证金全额返还给乙方。  </w:t>
      </w:r>
      <w:r/>
    </w:p>
    <w:p>
      <w:pPr>
        <w:ind w:left="480" w:hanging="480"/>
        <w:jc w:val="both"/>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6.2.3 履约保证金退还条件：乙方全部履行合同义务，经甲方验收合格无质量、进度等问题的，甲方在验收合格后一次性退还履约保证金；甲方若逾期退还履约保证金的，按照逾期部分的每日0.05%支付违约金。</w:t>
      </w:r>
      <w:r/>
    </w:p>
    <w:p>
      <w:pPr>
        <w:ind w:left="0" w:firstLine="0"/>
        <w:jc w:val="both"/>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6.2.4发生以下情况的，履约保证金不予退还或部分退还：</w:t>
      </w:r>
      <w:r/>
    </w:p>
    <w:p>
      <w:pPr>
        <w:ind w:left="480" w:hanging="480"/>
        <w:jc w:val="both"/>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6.2.4.1 签订合同后，乙方不履行合同义务的，甲方有权全额扣除履约保证金，不予退还，同时甲方亦有权终止合同，乙方还须承担相应的法律赔偿责任。</w:t>
      </w:r>
      <w:r/>
    </w:p>
    <w:p>
      <w:pPr>
        <w:ind w:left="480" w:hanging="480"/>
        <w:jc w:val="both"/>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七、合同转包或分包</w:t>
      </w:r>
      <w:r/>
    </w:p>
    <w:p>
      <w:pPr>
        <w:spacing w:before="145" w:after="145"/>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7.1乙方不得将合同标的转包给他人履行。</w:t>
      </w:r>
      <w:r/>
    </w:p>
    <w:p>
      <w:pPr>
        <w:spacing w:before="145" w:after="145"/>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7.2乙方不得将合同标的分包给他人履行。</w:t>
      </w:r>
      <w:r/>
    </w:p>
    <w:p>
      <w:pPr>
        <w:spacing w:before="145" w:after="145"/>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7.3乙方如有转包或未经甲方同意的分包行为，甲方有权解除合同。</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八、合同款项支付</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8.1 合同款项的支付方式及进度安排：</w:t>
      </w:r>
      <w:r/>
    </w:p>
    <w:p>
      <w:pPr>
        <w:rPr>
          <w:rFonts w:hint="default" w:ascii="Times New Roman" w:hAnsi="Times New Roman" w:eastAsia="宋体" w:cs="Times New Roman"/>
          <w:sz w:val="21"/>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8.1.1 养护期内每半年支付一次，每次支付实际已完成合格工程量价款的60%；工程竣工验收合格且审计结束后，支付至审计价的100%。乙方应如实提交审计资料，若审计核减率超过5%，相应审计费用由乙方承担，并在付款时一并扣除。  </w:t>
      </w:r>
      <w:r/>
    </w:p>
    <w:p>
      <w:pPr>
        <w:pStyle w:val="770"/>
        <w:numPr>
          <w:ilvl w:val="0"/>
          <w:numId w:val="0"/>
        </w:num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注：月综合得分将直接作为当月养护费用的核算依据。</w:t>
      </w:r>
      <w:r/>
    </w:p>
    <w:p>
      <w:pPr>
        <w:ind w:firstLine="480"/>
        <w:keepLines w:val="0"/>
        <w:keepNext w:val="0"/>
        <w:pageBreakBefore w:val="0"/>
        <w:spacing w:before="145" w:after="145"/>
        <w:widowControl w:val="off"/>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8.1.2 甲方有权直接扣除按合同规定对乙方的扣款，包括但不限于违约金、赔偿金、审计核减款及代为委托修理费用等。</w:t>
      </w:r>
      <w:r/>
    </w:p>
    <w:p>
      <w:pPr>
        <w:ind w:firstLine="480"/>
        <w:keepLines w:val="0"/>
        <w:keepNext w:val="0"/>
        <w:pageBreakBefore w:val="0"/>
        <w:spacing w:before="145" w:after="145"/>
        <w:widowControl w:val="off"/>
        <w:rPr>
          <w:rFonts w:hint="eastAsia" w:ascii="仿宋" w:hAnsi="仿宋" w:eastAsia="仿宋" w:cs="仿宋"/>
          <w:bCs/>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8.1.3 所有项目付款必须经总监理工程师和甲方代表及项目负责人签发付款证书后甲方才予以支付。甲方支付进度款及结算款需以乙方提供相应金额的发票为前提，乙方未提供或者提供错误的发票，甲方不承担延期付款的责任。</w:t>
      </w:r>
      <w:r/>
    </w:p>
    <w:p>
      <w:pPr>
        <w:ind w:firstLine="480"/>
        <w:keepLines w:val="0"/>
        <w:keepNext w:val="0"/>
        <w:pageBreakBefore w:val="0"/>
        <w:spacing w:before="145" w:after="145"/>
        <w:widowControl w:val="off"/>
        <w:rPr>
          <w:rFonts w:hint="eastAsia" w:ascii="Times New Roman" w:hAnsi="Times New Roman" w:eastAsia="宋体" w:cs="Times New Roman"/>
          <w:sz w:val="21"/>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8.1.4 若发生甲方资金暂时不到位情况，乙方应保证后续养护作业不停工，保障农民工工资的足额发放，不发生任何讨薪事件。乙方因甲方资金临时不到位而停工的，视为乙方违约，甲方有权按合同约定追究违约责任。</w:t>
      </w:r>
      <w:r/>
    </w:p>
    <w:p>
      <w:pPr>
        <w:spacing w:before="145" w:after="145"/>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九、税费</w:t>
      </w:r>
      <w:r/>
    </w:p>
    <w:p>
      <w:pPr>
        <w:pStyle w:val="745"/>
        <w:spacing w:before="120" w:after="120"/>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9.1本合同执行中相关的一切税费均由乙方负担。</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十、项目验收</w:t>
      </w:r>
      <w:r/>
    </w:p>
    <w:p>
      <w:pPr>
        <w:pStyle w:val="745"/>
        <w:ind w:left="480" w:hanging="480"/>
        <w:keepLines w:val="0"/>
        <w:keepNext w:val="0"/>
        <w:pageBreakBefore w:val="0"/>
        <w:spacing w:before="120" w:after="120"/>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10.1 甲方依法组织履约验收工作。</w:t>
      </w:r>
      <w:r/>
    </w:p>
    <w:p>
      <w:pPr>
        <w:pStyle w:val="745"/>
        <w:ind w:left="480" w:hanging="480"/>
        <w:keepLines w:val="0"/>
        <w:keepNext w:val="0"/>
        <w:pageBreakBefore w:val="0"/>
        <w:spacing w:before="120" w:after="120"/>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5"/>
        <w:ind w:left="480" w:hanging="480"/>
        <w:keepLines w:val="0"/>
        <w:keepNext w:val="0"/>
        <w:pageBreakBefore w:val="0"/>
        <w:spacing w:before="120" w:after="120"/>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10.3 对于实际使用人和甲方分离的项目，甲方邀请实际使用人参与验收。</w:t>
      </w:r>
      <w:r/>
    </w:p>
    <w:p>
      <w:pPr>
        <w:pStyle w:val="745"/>
        <w:ind w:left="480" w:hanging="480"/>
        <w:keepLines w:val="0"/>
        <w:keepNext w:val="0"/>
        <w:pageBreakBefore w:val="0"/>
        <w:spacing w:before="120" w:after="120"/>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10.4 如有必要，甲方邀请参加本项目的其他供应商或第三方专业机构及专家参与验收，相关意见将作为验收书的参考资料。</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10.7 月度考核得分70分（含）以上为合格；年度考核得分为月度考核得分的平均分，得分在60分（含）以上为合格。</w:t>
      </w:r>
      <w:r/>
    </w:p>
    <w:p>
      <w:pPr>
        <w:pStyle w:val="745"/>
        <w:ind w:left="480" w:hanging="480"/>
        <w:keepLines w:val="0"/>
        <w:keepNext w:val="0"/>
        <w:pageBreakBefore w:val="0"/>
        <w:spacing w:before="120" w:after="120"/>
        <w:widowControl w:val="off"/>
        <w:rPr>
          <w:rFonts w:hint="eastAsia" w:ascii="仿宋" w:hAnsi="仿宋" w:eastAsia="仿宋" w:cs="仿宋"/>
          <w:bCs/>
          <w:sz w:val="24"/>
          <w:szCs w:val="24"/>
          <w:highlight w:val="none"/>
        </w:rPr>
        <w:outlineLvl w:val="9"/>
      </w:pPr>
      <w:r>
        <w:rPr>
          <w:rFonts w:hint="eastAsia" w:ascii="仿宋" w:hAnsi="仿宋" w:eastAsia="仿宋" w:cs="仿宋"/>
          <w:bCs/>
          <w:sz w:val="24"/>
          <w:szCs w:val="24"/>
          <w:highlight w:val="none"/>
        </w:rPr>
        <w:t xml:space="preserve">养护时间满一年，一年度内年度考核合格，月度考核不超过3次不合格，承包单位可提出竣工验收申请，预验收合格后20天内组织竣工验收。</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10.8 养护单位按照派工单任务要求，完成养护工作后，3天内完成相应工程量签证。每月10日前必须完成上月工程量结算，并上报甲方。</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10.9 当月月度考核分与当月结算养护费用挂钩。当月考核分90分（含）以上的全额支付；80分（含）-89分扣减当月完成养护维修费用的1%；70分（含）-79分扣减当月完成养护维修费用的2%；60分（含）-69分扣减当月完成养护维修费用的5%；60分以下扣减当月完成养护维修费用的10%。</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十一、违约责任</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11.1 甲方无正当理由拒绝接受乙方提供服务的，甲方向乙方偿付拒绝接受服务合同价款总值</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2%</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的违约金。</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11.2 甲方无故逾期验收和办理合同款项支付手续的,甲方应按逾期付款总额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万分之0.01</w:t>
      </w:r>
      <w:r>
        <w:rPr>
          <w:rFonts w:hint="eastAsia" w:ascii="仿宋" w:hAnsi="仿宋" w:eastAsia="仿宋" w:cs="仿宋"/>
          <w:sz w:val="24"/>
          <w:szCs w:val="24"/>
          <w:highlight w:val="none"/>
        </w:rPr>
        <w:t xml:space="preserve">每日向乙方支付违约金。</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11.3 乙方逾期提供服务的，乙方应按逾期提供服务合同总额每日</w:t>
      </w:r>
      <w:r>
        <w:rPr>
          <w:rFonts w:hint="eastAsia" w:ascii="仿宋" w:hAnsi="仿宋" w:eastAsia="仿宋" w:cs="仿宋"/>
          <w:sz w:val="24"/>
          <w:szCs w:val="24"/>
          <w:highlight w:val="none"/>
          <w:u w:val="single"/>
          <w:lang w:val="en-US" w:eastAsia="zh-CN"/>
        </w:rPr>
        <w:t xml:space="preserve"> 10000元 </w:t>
      </w:r>
      <w:r>
        <w:rPr>
          <w:rFonts w:hint="eastAsia" w:ascii="仿宋" w:hAnsi="仿宋" w:eastAsia="仿宋" w:cs="仿宋"/>
          <w:sz w:val="24"/>
          <w:szCs w:val="24"/>
          <w:highlight w:val="none"/>
        </w:rPr>
        <w:t xml:space="preserve">向甲方支付违约金，由甲方从待付合同款项中扣除。逾期超过约定日期</w:t>
      </w:r>
      <w:r>
        <w:rPr>
          <w:rFonts w:hint="eastAsia" w:ascii="仿宋" w:hAnsi="仿宋" w:eastAsia="仿宋" w:cs="仿宋"/>
          <w:sz w:val="24"/>
          <w:szCs w:val="24"/>
          <w:highlight w:val="none"/>
          <w:u w:val="single"/>
          <w:lang w:val="en-US" w:eastAsia="zh-CN"/>
        </w:rPr>
        <w:t xml:space="preserve">5 </w:t>
      </w:r>
      <w:r>
        <w:rPr>
          <w:rFonts w:hint="eastAsia" w:ascii="仿宋" w:hAnsi="仿宋" w:eastAsia="仿宋" w:cs="仿宋"/>
          <w:sz w:val="24"/>
          <w:szCs w:val="24"/>
          <w:highlight w:val="none"/>
          <w:u w:val="none"/>
        </w:rPr>
        <w:t xml:space="preserve">个工作日</w:t>
      </w:r>
      <w:r>
        <w:rPr>
          <w:rFonts w:hint="eastAsia" w:ascii="仿宋" w:hAnsi="仿宋" w:eastAsia="仿宋" w:cs="仿宋"/>
          <w:sz w:val="24"/>
          <w:szCs w:val="24"/>
          <w:highlight w:val="none"/>
        </w:rPr>
        <w:t xml:space="preserve">不能提供服务的，甲方可解除本合同。乙方因逾期提供服务或因其他违约行为导致甲方解除合同的，乙方应向甲方支付合同价款总额</w:t>
      </w:r>
      <w:r>
        <w:rPr>
          <w:rFonts w:hint="eastAsia" w:ascii="仿宋" w:hAnsi="仿宋" w:eastAsia="仿宋" w:cs="仿宋"/>
          <w:sz w:val="24"/>
          <w:szCs w:val="24"/>
          <w:highlight w:val="none"/>
          <w:u w:val="single"/>
          <w:lang w:val="en-US" w:eastAsia="zh-CN"/>
        </w:rPr>
        <w:t xml:space="preserve"> 10% </w:t>
      </w:r>
      <w:r>
        <w:rPr>
          <w:rFonts w:hint="eastAsia" w:ascii="仿宋" w:hAnsi="仿宋" w:eastAsia="仿宋" w:cs="仿宋"/>
          <w:sz w:val="24"/>
          <w:szCs w:val="24"/>
          <w:highlight w:val="none"/>
        </w:rPr>
        <w:t xml:space="preserve">的违约金，如造成甲方损失超过违约金的，超出部分由乙方继续承担赔偿责任。 </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11.4 乙方所提供服务的标准不符合合同规定及招标文件规定标准的，甲方有权拒绝接受服务，并可单方面解除合同。</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11.5 乙方应严格执行《如东县城区市政道路（含交通设施）、桥梁养护考核细则（试行）》、《如东县城区市政道路（含交通设施）、桥梁养护考核评分表》，甲方将定期</w:t>
      </w:r>
      <w:r>
        <w:rPr>
          <w:rFonts w:hint="eastAsia" w:ascii="仿宋" w:hAnsi="仿宋" w:eastAsia="仿宋" w:cs="仿宋"/>
          <w:color w:val="auto"/>
          <w:sz w:val="24"/>
          <w:szCs w:val="24"/>
          <w:highlight w:val="none"/>
          <w:lang w:val="en-US" w:eastAsia="zh-CN" w:bidi="ar-SA"/>
        </w:rPr>
        <w:t xml:space="preserve">或不定期组织考核，如发现违约情况按《如东县城区市政道路（含交通设施）、桥梁养护考核细则（试行）》、《如东县城区市政道路（含交通设施）、桥梁养护考核评分表》各项规定处理。因质量问题导致月度考核扣分的，养护单位应负责返工、修理，并不予计取返工工程量。若在规定时间内，返工项目两次验收质量达不到规范要求的，当月度考核直接评定为不合格，并承担修复至达到约定质量标准的所有费用。因巡查、内业资料、安全文明作业、例会制度等问题考核扣分的，养护单位应在规定时间内整改，若未整改或整改后仍达不到要求的，则在当月度考核中双倍扣分。</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乙方有以下情形之一的，甲方有权终止合同：⑴一年度内，月度考核</w:t>
      </w:r>
      <w:r>
        <w:rPr>
          <w:rFonts w:hint="eastAsia" w:ascii="仿宋" w:hAnsi="仿宋" w:eastAsia="仿宋" w:cs="仿宋"/>
          <w:sz w:val="24"/>
          <w:szCs w:val="24"/>
          <w:highlight w:val="none"/>
          <w:lang w:val="en-US" w:eastAsia="zh-CN"/>
        </w:rPr>
        <w:t xml:space="preserve">累计</w:t>
      </w:r>
      <w:r>
        <w:rPr>
          <w:rFonts w:hint="eastAsia" w:ascii="仿宋" w:hAnsi="仿宋" w:eastAsia="仿宋" w:cs="仿宋"/>
          <w:sz w:val="24"/>
          <w:szCs w:val="24"/>
          <w:highlight w:val="none"/>
        </w:rPr>
        <w:t xml:space="preserve">超过3次得分不合格</w:t>
      </w:r>
      <w:r>
        <w:rPr>
          <w:rFonts w:hint="eastAsia" w:ascii="仿宋" w:hAnsi="仿宋" w:eastAsia="仿宋" w:cs="仿宋"/>
          <w:sz w:val="24"/>
          <w:szCs w:val="24"/>
          <w:highlight w:val="none"/>
          <w:lang w:val="en-US" w:eastAsia="zh-CN"/>
        </w:rPr>
        <w:t xml:space="preserve">或者月度考核连续三次不合格</w:t>
      </w:r>
      <w:r>
        <w:rPr>
          <w:rFonts w:hint="eastAsia" w:ascii="仿宋" w:hAnsi="仿宋" w:eastAsia="仿宋" w:cs="仿宋"/>
          <w:sz w:val="24"/>
          <w:szCs w:val="24"/>
          <w:highlight w:val="none"/>
        </w:rPr>
        <w:t xml:space="preserve">；⑵年度考核得分不合格。终止合同后，甲方支付乙方已完成合格工程量的50%，并扣除全部履约保证金。</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除上述终止合同情形外，乙方有下列情形之一的，甲方有权单方处以每次2万至10万元的违约金，并从未付工程款中直接扣除：⑴未按合同约定配备足额巡查人员和巡查设备的；⑵养护基地机械设备、应急物资未按合同约定配置到位的；⑶未按合同要求在养护基地24小时值班的；⑷未按时提交巡查记录、内业台账资料的；⑸养护作业完成后未及时清理场地造成安全隐患或市容问题的；⑹未按甲方要求配合迎接检查、考核、创建等工作的。</w:t>
      </w:r>
      <w:r/>
    </w:p>
    <w:p>
      <w:pPr>
        <w:pStyle w:val="745"/>
        <w:ind w:firstLine="480"/>
        <w:keepLines w:val="0"/>
        <w:keepNext w:val="0"/>
        <w:pageBreakBefore w:val="0"/>
        <w:spacing w:before="120" w:after="120"/>
        <w:widowControl w:val="off"/>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11.6 所有人员原则上不得更换，如因特殊原因确需人员变动，应及时书面通知甲方，将变动相关人员资料交由甲方审核，并经甲方同意方可变更，所有变更后的人员资格不得低于变更前人员资格要求。乙方关键人员（项目经理、技术负责人）未经甲方书面同意不得更换，否则按每人次5万元扣款。项目负责人连续缺勤超过5日或累计缺勤超过15日的，甲方有权要求更换项目负责人，并视为乙方违约，扣减履约保证金的5%。</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十二、不可抗力事件处理</w:t>
      </w:r>
      <w:r/>
    </w:p>
    <w:p>
      <w:pPr>
        <w:pStyle w:val="745"/>
        <w:ind w:left="480" w:hanging="480"/>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12.1 在合同有效期内，任何一方因不可抗力事件导致不能履行合同，则合同履行期可延长，其延长期与不可抗力影响期相同。</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12.2 不可抗力事件发生后，应立即通知对方，并寄送有关权威机构出具的证明。</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12.3 不可抗力事件延续</w:t>
      </w:r>
      <w:r>
        <w:rPr>
          <w:rFonts w:hint="eastAsia" w:ascii="仿宋" w:hAnsi="仿宋" w:eastAsia="仿宋" w:cs="仿宋"/>
          <w:sz w:val="24"/>
          <w:szCs w:val="24"/>
          <w:highlight w:val="none"/>
          <w:u w:val="single"/>
          <w:lang w:val="en-US" w:eastAsia="zh-CN"/>
        </w:rPr>
        <w:t xml:space="preserve"> 30   </w:t>
      </w:r>
      <w:r>
        <w:rPr>
          <w:rFonts w:hint="eastAsia" w:ascii="仿宋" w:hAnsi="仿宋" w:eastAsia="仿宋" w:cs="仿宋"/>
          <w:sz w:val="24"/>
          <w:szCs w:val="24"/>
          <w:highlight w:val="none"/>
        </w:rPr>
        <w:t xml:space="preserve">天以上，双方应通过友好协商，确定是否继续履行合同。</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十三、解决争议的方法</w:t>
      </w:r>
      <w:r/>
    </w:p>
    <w:p>
      <w:pPr>
        <w:pStyle w:val="745"/>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13.1 双方在签订、履行合同中所发生的一切争议，应通过友好协商解决。如协商不成，由甲方住所地人民法院管辖。</w:t>
      </w:r>
      <w:r/>
    </w:p>
    <w:p>
      <w:pPr>
        <w:pStyle w:val="745"/>
        <w:spacing w:before="120" w:after="120"/>
        <w:rPr>
          <w:rFonts w:hint="eastAsia" w:ascii="仿宋" w:hAnsi="仿宋" w:eastAsia="仿宋" w:cs="仿宋"/>
          <w:b/>
          <w:sz w:val="24"/>
          <w:szCs w:val="24"/>
          <w:highlight w:val="none"/>
        </w:rPr>
        <w:outlineLvl w:val="9"/>
      </w:pPr>
      <w:r>
        <w:rPr>
          <w:rFonts w:hint="eastAsia" w:ascii="仿宋" w:hAnsi="仿宋" w:eastAsia="仿宋" w:cs="仿宋"/>
          <w:b/>
          <w:sz w:val="24"/>
          <w:szCs w:val="24"/>
          <w:highlight w:val="none"/>
        </w:rPr>
        <w:t xml:space="preserve">十四、合同生效及其它</w:t>
      </w:r>
      <w:r/>
    </w:p>
    <w:p>
      <w:pPr>
        <w:pStyle w:val="745"/>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14.1 合同经双方法定代表人或授权委托代表人签字并加盖单位公章后生效。</w:t>
      </w:r>
      <w:r/>
    </w:p>
    <w:p>
      <w:pPr>
        <w:pStyle w:val="745"/>
        <w:spacing w:before="120" w:after="120"/>
        <w:rPr>
          <w:rFonts w:hint="eastAsia" w:ascii="仿宋" w:hAnsi="仿宋" w:eastAsia="仿宋" w:cs="仿宋"/>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14.2 本合同未尽事宜，遵照中华人民共和国现行法律法规有关条文执行。</w:t>
      </w:r>
      <w:r/>
    </w:p>
    <w:p>
      <w:pPr>
        <w:pStyle w:val="745"/>
        <w:ind w:left="480" w:hanging="480"/>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14.3 本合同正本一式</w:t>
      </w:r>
      <w:r>
        <w:rPr>
          <w:rFonts w:hint="eastAsia" w:ascii="仿宋" w:hAnsi="仿宋" w:eastAsia="仿宋" w:cs="仿宋"/>
          <w:sz w:val="24"/>
          <w:szCs w:val="24"/>
          <w:highlight w:val="none"/>
          <w:u w:val="single"/>
          <w:lang w:val="en-US" w:eastAsia="zh-CN"/>
        </w:rPr>
        <w:t xml:space="preserve"> ****  </w:t>
      </w:r>
      <w:r>
        <w:rPr>
          <w:rFonts w:hint="eastAsia" w:ascii="仿宋" w:hAnsi="仿宋" w:eastAsia="仿宋" w:cs="仿宋"/>
          <w:sz w:val="24"/>
          <w:szCs w:val="24"/>
          <w:highlight w:val="none"/>
        </w:rPr>
        <w:t xml:space="preserve">份，具有同等法律效力。</w:t>
      </w:r>
      <w:r/>
    </w:p>
    <w:p>
      <w:pPr>
        <w:pStyle w:val="745"/>
        <w:ind w:left="480" w:hanging="480"/>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甲方：                        乙方： </w:t>
      </w:r>
      <w:r/>
    </w:p>
    <w:p>
      <w:pPr>
        <w:pStyle w:val="745"/>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地址：                        地址： </w:t>
      </w:r>
      <w:r/>
    </w:p>
    <w:p>
      <w:pPr>
        <w:pStyle w:val="745"/>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  法定代表人或授权代表：        法定代表人或授权代表：</w:t>
      </w:r>
      <w:r/>
    </w:p>
    <w:p>
      <w:pPr>
        <w:pStyle w:val="745"/>
        <w:ind w:firstLine="240"/>
        <w:spacing w:before="120" w:after="120" w:line="0" w:lineRule="atLeast"/>
        <w:rPr>
          <w:rFonts w:hint="eastAsia" w:ascii="仿宋" w:hAnsi="仿宋" w:eastAsia="仿宋" w:cs="仿宋"/>
          <w:highlight w:val="none"/>
        </w:rPr>
        <w:outlineLvl w:val="9"/>
      </w:pPr>
      <w:r>
        <w:rPr>
          <w:rFonts w:hint="eastAsia" w:ascii="仿宋" w:hAnsi="仿宋" w:eastAsia="仿宋" w:cs="仿宋"/>
          <w:sz w:val="24"/>
          <w:szCs w:val="24"/>
          <w:highlight w:val="none"/>
        </w:rPr>
        <w:t xml:space="preserve">联系电话：                    联系电话：          </w:t>
      </w:r>
      <w:r/>
    </w:p>
    <w:p>
      <w:pPr>
        <w:pStyle w:val="745"/>
        <w:jc w:val="center"/>
        <w:spacing w:before="120" w:after="120" w:line="0" w:lineRule="atLeast"/>
        <w:rPr>
          <w:rFonts w:hint="eastAsia" w:ascii="仿宋" w:hAnsi="仿宋" w:eastAsia="仿宋" w:cs="仿宋"/>
          <w:sz w:val="24"/>
          <w:szCs w:val="24"/>
          <w:highlight w:val="none"/>
        </w:rPr>
        <w:outlineLvl w:val="9"/>
      </w:pPr>
      <w:r>
        <w:rPr>
          <w:rFonts w:hint="eastAsia" w:ascii="仿宋" w:hAnsi="仿宋" w:eastAsia="仿宋" w:cs="仿宋"/>
          <w:highlight w:val="none"/>
        </w:rPr>
        <w:t xml:space="preserve">                                     </w:t>
      </w:r>
      <w:r>
        <w:rPr>
          <w:rFonts w:hint="eastAsia" w:ascii="仿宋" w:hAnsi="仿宋" w:eastAsia="仿宋" w:cs="仿宋"/>
          <w:sz w:val="24"/>
          <w:szCs w:val="24"/>
          <w:highlight w:val="none"/>
        </w:rPr>
        <w:t xml:space="preserve">     签订日期：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lang w:val="en-US" w:eastAsia="zh-CN"/>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日</w:t>
      </w:r>
      <w:bookmarkEnd w:id="158"/>
      <w:r/>
      <w:bookmarkEnd w:id="159"/>
      <w:r/>
      <w:bookmarkEnd w:id="160"/>
      <w:r/>
      <w:bookmarkStart w:id="161" w:name="_Hlt16619369"/>
      <w:r/>
      <w:bookmarkEnd w:id="161"/>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87"/>
        <w:ind w:firstLine="422"/>
        <w:rPr>
          <w:rFonts w:hint="eastAsia" w:ascii="宋体" w:hAnsi="宋体"/>
          <w:b/>
          <w:color w:val="000000"/>
          <w:sz w:val="28"/>
          <w:szCs w:val="28"/>
          <w:highlight w:val="none"/>
        </w:rPr>
      </w:pPr>
      <w:r>
        <w:rPr>
          <w:rFonts w:hint="eastAsia" w:ascii="宋体" w:hAnsi="宋体"/>
          <w:b/>
          <w:color w:val="000000"/>
          <w:sz w:val="28"/>
          <w:szCs w:val="28"/>
          <w:highlight w:val="none"/>
        </w:rPr>
        <w:t xml:space="preserve">附件</w:t>
      </w:r>
      <w:r>
        <w:rPr>
          <w:rFonts w:hint="eastAsia" w:ascii="宋体" w:hAnsi="宋体"/>
          <w:b/>
          <w:color w:val="000000"/>
          <w:sz w:val="28"/>
          <w:szCs w:val="28"/>
          <w:highlight w:val="none"/>
          <w:lang w:val="en-US" w:eastAsia="zh-CN"/>
        </w:rPr>
        <w:t xml:space="preserve">一</w:t>
      </w:r>
      <w:r>
        <w:rPr>
          <w:rFonts w:hint="eastAsia" w:ascii="宋体" w:hAnsi="宋体"/>
          <w:b/>
          <w:color w:val="000000"/>
          <w:sz w:val="28"/>
          <w:szCs w:val="28"/>
          <w:highlight w:val="none"/>
        </w:rPr>
        <w:t xml:space="preserve">：</w:t>
      </w:r>
      <w:r/>
    </w:p>
    <w:p>
      <w:pPr>
        <w:jc w:val="center"/>
        <w:spacing w:line="480" w:lineRule="exact"/>
        <w:tabs>
          <w:tab w:val="center" w:pos="4153" w:leader="none"/>
        </w:tabs>
        <w:rPr>
          <w:rFonts w:hint="eastAsia" w:ascii="宋体" w:hAnsi="宋体" w:eastAsia="宋体"/>
          <w:b/>
          <w:bCs/>
          <w:sz w:val="32"/>
          <w:szCs w:val="24"/>
          <w:highlight w:val="none"/>
        </w:rPr>
        <w:outlineLvl w:val="1"/>
      </w:pPr>
      <w:r>
        <w:rPr>
          <w:rFonts w:hint="eastAsia" w:ascii="宋体" w:hAnsi="宋体" w:eastAsia="宋体"/>
          <w:b/>
          <w:bCs/>
          <w:sz w:val="32"/>
          <w:szCs w:val="24"/>
          <w:highlight w:val="none"/>
        </w:rPr>
        <w:t xml:space="preserve">廉政合同</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u w:val="single"/>
          <w:lang w:eastAsia="zh-CN"/>
        </w:rPr>
        <w:t xml:space="preserve">如东县住房和城乡建设局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根据国家、省工程建设和廉政建设的有关规定，为做好廉政建设，保证设备质量与施工安全，提高建设资金的有效使用和投资效益，甲乙双方就加强合同采购的廉政建设，订立本合同。</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1. 双方权利和义务</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  严格遵守国家有关法律法规的规定。</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  严格执行一切合同文件，自觉按合同办事。</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 建立健全廉政制度，开展廉政教育，设立廉政告示牌，公布举报电话，监督并认真查处违法违纪行为。</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  发现对方在业务活动中有违反廉政建设规定的行为，应及时给予提醒和纠正。</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1.6 发现对方严重违反合同的行为，有向其上级部门举报、建议给予处理并要求告知处理结果的权利。</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2. 甲方义务</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2.1 甲方及其工作人员不得索要或接受乙方人员的礼金、有价证券和贵重物品，不得在乙方报销任何应由甲方或工作人员个人支付的费用等。</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2.2 甲方及其工作人员不得参加乙方人员安排的宴请（工作餐除外）和娱乐活动；不得接受乙方人员提供的通讯工具、交通工具和高档办公用品等。</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 甲方及其工作人员不得要求或者接受乙方人员为其住房装修、婚丧嫁娶活动、配偶子女的工作安排以及出国出境、旅游等提供方便等。</w:t>
      </w:r>
      <w:r/>
    </w:p>
    <w:p>
      <w:pPr>
        <w:ind w:firstLine="440"/>
        <w:spacing w:line="480" w:lineRule="exact"/>
        <w:rPr>
          <w:rFonts w:hint="eastAsia" w:ascii="仿宋" w:hAnsi="仿宋" w:eastAsia="仿宋" w:cs="仿宋"/>
          <w:spacing w:val="-10"/>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2.4 甲方及其工作人员的配偶、子女不得从事与甲方有关的设备配套材料供应等经济活动。</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2.5 甲方及其工作人员不得以任何理由向乙方推荐设备配套材料供应商，不得要求乙方购买合同约定外的材料和设备。</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 甲方及其工作人员要秉公办事，不准营私舞弊，不准利用职权从事各种个人有偿中介活动。</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3. 乙方义务</w:t>
      </w:r>
      <w:r/>
    </w:p>
    <w:p>
      <w:pPr>
        <w:ind w:left="0" w:firstLine="42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3.1 乙方不得以任何理由向甲方及其工作人员行贿或馈赠礼金、有价证券、贵重礼品。</w:t>
      </w:r>
      <w:r/>
    </w:p>
    <w:p>
      <w:pPr>
        <w:ind w:left="0" w:firstLine="418"/>
        <w:spacing w:line="480" w:lineRule="exact"/>
        <w:rPr>
          <w:rFonts w:hint="eastAsia" w:ascii="仿宋" w:hAnsi="仿宋" w:eastAsia="仿宋" w:cs="仿宋"/>
          <w:spacing w:val="-8"/>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3.2 乙方不得以任何名义为甲方及其工作人员报销应由甲方或工作人员个人支付的任何费用。</w:t>
      </w:r>
      <w:r/>
    </w:p>
    <w:p>
      <w:pPr>
        <w:ind w:left="0" w:firstLine="42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3.3 乙方不得以任何理由安排甲方及其工作人员参加宴请（工作餐除外）及娱乐活动。</w:t>
      </w:r>
      <w:r/>
    </w:p>
    <w:p>
      <w:pPr>
        <w:ind w:left="0" w:firstLine="42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3.4 乙方不得为甲方和个人购置或提供通讯工具、交通工具和高档办公用品等。</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4. 违约责任</w:t>
      </w:r>
      <w:r/>
    </w:p>
    <w:p>
      <w:pPr>
        <w:ind w:firstLine="48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4.1 甲方及其工作人员违反本合同第1条和第2条规定，应依据廉政建设相关规定给予处分；涉嫌犯罪的，移交司法机关追究刑事责任；给乙方造成经济损失的，应予赔偿。</w:t>
      </w:r>
      <w:r/>
    </w:p>
    <w:p>
      <w:pPr>
        <w:ind w:firstLine="48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4.2 乙方及其工作人员违反本合同第1条和第3条规定，应依据廉政建设相关规定给予处分；给甲方造成经济损失的，应予赔偿；情节严重的，给予乙方一至三年内不得进入工程建设市场的处罚。</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5. 双方约定</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本合同由双方或其上级部门负责监督执行，并由双方或其上级部门相互约请对本合同执行情况进行检查。</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6. 合同生效</w:t>
      </w:r>
      <w:r/>
    </w:p>
    <w:p>
      <w:pPr>
        <w:ind w:firstLine="480"/>
        <w:spacing w:line="4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本合同有效期自双方签署之日起至主合同履行结束之日止。</w:t>
      </w:r>
      <w:r/>
    </w:p>
    <w:p>
      <w:pPr>
        <w:ind w:firstLine="482"/>
        <w:spacing w:line="480" w:lineRule="exact"/>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7. 合同法律效力</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本合同作为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合同的附件，与采购合同具有同等的法律效力，经双方签署后生效。</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甲    方(公章)：　　　　　          乙    方(公章)：</w:t>
      </w:r>
      <w:r/>
    </w:p>
    <w:p>
      <w:pPr>
        <w:ind w:firstLine="482"/>
        <w:jc w:val="left"/>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法定代表人(签字或盖章)：　　　　　  法定代表人(签字或盖章)：</w:t>
      </w:r>
      <w:r/>
    </w:p>
    <w:p>
      <w:pPr>
        <w:ind w:firstLine="708"/>
        <w:spacing w:line="480" w:lineRule="exact"/>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202</w:t>
      </w: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年   月   日　　　　　　　　      202</w:t>
      </w:r>
      <w:r>
        <w:rPr>
          <w:rFonts w:hint="eastAsia" w:ascii="仿宋" w:hAnsi="仿宋" w:eastAsia="仿宋" w:cs="仿宋"/>
          <w:b/>
          <w:sz w:val="24"/>
          <w:szCs w:val="24"/>
          <w:highlight w:val="none"/>
          <w:lang w:val="en-US" w:eastAsia="zh-CN"/>
        </w:rPr>
        <w:t xml:space="preserve">6</w:t>
      </w:r>
      <w:r>
        <w:rPr>
          <w:rFonts w:hint="eastAsia" w:ascii="仿宋" w:hAnsi="仿宋" w:eastAsia="仿宋" w:cs="仿宋"/>
          <w:b/>
          <w:sz w:val="24"/>
          <w:szCs w:val="24"/>
          <w:highlight w:val="none"/>
        </w:rPr>
        <w:t xml:space="preserve">年   月   日　</w:t>
      </w:r>
      <w:r/>
    </w:p>
    <w:p>
      <w:pPr>
        <w:pStyle w:val="787"/>
        <w:ind w:firstLine="422"/>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r>
      <w:r/>
    </w:p>
    <w:p>
      <w:pPr>
        <w:pStyle w:val="787"/>
        <w:ind w:left="0" w:firstLine="0"/>
        <w:rPr>
          <w:rFonts w:hint="eastAsia"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附件二：</w:t>
      </w:r>
      <w:r/>
    </w:p>
    <w:p>
      <w:pPr>
        <w:pStyle w:val="787"/>
        <w:ind w:firstLine="482"/>
        <w:jc w:val="center"/>
        <w:rPr>
          <w:rFonts w:hint="eastAsia" w:ascii="仿宋" w:hAnsi="仿宋" w:eastAsia="仿宋" w:cs="仿宋"/>
          <w:b/>
          <w:bCs/>
          <w:color w:val="000000"/>
          <w:sz w:val="40"/>
          <w:szCs w:val="40"/>
          <w:highlight w:val="none"/>
        </w:rPr>
      </w:pPr>
      <w:r>
        <w:rPr>
          <w:rFonts w:hint="eastAsia" w:ascii="仿宋" w:hAnsi="仿宋" w:eastAsia="仿宋" w:cs="仿宋"/>
          <w:b/>
          <w:bCs/>
          <w:color w:val="000000"/>
          <w:sz w:val="32"/>
          <w:szCs w:val="28"/>
          <w:highlight w:val="none"/>
        </w:rPr>
        <w:t xml:space="preserve">本项目人员情况一览表</w:t>
      </w:r>
      <w:r/>
    </w:p>
    <w:tbl>
      <w:tblPr>
        <w:tblStyle w:val="732"/>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784"/>
        <w:gridCol w:w="1400"/>
        <w:gridCol w:w="2349"/>
        <w:gridCol w:w="1741"/>
      </w:tblGrid>
      <w:tr>
        <w:trPr>
          <w:jc w:val="center"/>
          <w:trHeight w:val="840"/>
        </w:trPr>
        <w:tc>
          <w:tcPr>
            <w:tcW w:w="809" w:type="dxa"/>
            <w:vAlign w:val="center"/>
            <w:textDirection w:val="lrTb"/>
            <w:noWrap w:val="false"/>
          </w:tcPr>
          <w:p>
            <w:pPr>
              <w:contextualSpacing/>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序号</w:t>
            </w:r>
            <w:r/>
          </w:p>
        </w:tc>
        <w:tc>
          <w:tcPr>
            <w:tcW w:w="2784" w:type="dxa"/>
            <w:vAlign w:val="center"/>
            <w:textDirection w:val="lrTb"/>
            <w:noWrap w:val="false"/>
          </w:tcPr>
          <w:p>
            <w:pPr>
              <w:contextualSpacing/>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岗位</w:t>
            </w:r>
            <w:r/>
          </w:p>
        </w:tc>
        <w:tc>
          <w:tcPr>
            <w:tcW w:w="1400" w:type="dxa"/>
            <w:vAlign w:val="center"/>
            <w:textDirection w:val="lrTb"/>
            <w:noWrap w:val="false"/>
          </w:tcPr>
          <w:p>
            <w:pPr>
              <w:contextualSpacing/>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姓名</w:t>
            </w:r>
            <w:r/>
          </w:p>
        </w:tc>
        <w:tc>
          <w:tcPr>
            <w:tcW w:w="2349" w:type="dxa"/>
            <w:vAlign w:val="center"/>
            <w:textDirection w:val="lrTb"/>
            <w:noWrap w:val="false"/>
          </w:tcPr>
          <w:p>
            <w:pPr>
              <w:contextualSpacing/>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证书编号</w:t>
            </w:r>
            <w:r/>
          </w:p>
        </w:tc>
        <w:tc>
          <w:tcPr>
            <w:tcW w:w="1741" w:type="dxa"/>
            <w:vAlign w:val="center"/>
            <w:textDirection w:val="lrTb"/>
            <w:noWrap w:val="false"/>
          </w:tcPr>
          <w:p>
            <w:pPr>
              <w:contextualSpacing/>
              <w:jc w:val="center"/>
              <w:spacing w:line="40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备注</w:t>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850"/>
        </w:trPr>
        <w:tc>
          <w:tcPr>
            <w:tcW w:w="80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11</w:t>
            </w:r>
            <w:r/>
          </w:p>
        </w:tc>
        <w:tc>
          <w:tcPr>
            <w:tcW w:w="2784"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00"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349"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41" w:type="dxa"/>
            <w:vAlign w:val="center"/>
            <w:textDirection w:val="lrTb"/>
            <w:noWrap w:val="false"/>
          </w:tcPr>
          <w:p>
            <w:pPr>
              <w:contextualSpacing/>
              <w:jc w:val="cente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87"/>
        <w:ind w:firstLine="42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87"/>
        <w:ind w:firstLine="42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87"/>
        <w:ind w:firstLine="42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pStyle w:val="787"/>
        <w:ind w:firstLine="422"/>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bookmarkEnd w:id="1"/>
      <w:r/>
      <w:bookmarkEnd w:id="2"/>
      <w:r/>
      <w:bookmarkEnd w:id="3"/>
      <w:r/>
      <w:r/>
    </w:p>
    <w:p>
      <w:pPr>
        <w:pStyle w:val="745"/>
        <w:jc w:val="center"/>
        <w:spacing w:before="120" w:after="120" w:line="0" w:lineRule="atLeast"/>
        <w:rPr>
          <w:rFonts w:hint="eastAsia" w:ascii="仿宋" w:hAnsi="仿宋" w:eastAsia="仿宋" w:cs="仿宋"/>
          <w:b/>
          <w:bCs w:val="0"/>
          <w:sz w:val="24"/>
          <w:szCs w:val="24"/>
          <w:highlight w:val="none"/>
        </w:rPr>
        <w:outlineLvl w:val="0"/>
      </w:pPr>
      <w:r/>
      <w:bookmarkStart w:id="162" w:name="_Hlt16619350"/>
      <w:r/>
      <w:bookmarkStart w:id="163" w:name="_Toc16938590"/>
      <w:r/>
      <w:bookmarkStart w:id="164" w:name="_Toc26421"/>
      <w:r/>
      <w:bookmarkStart w:id="165" w:name="_Toc120614244"/>
      <w:r/>
      <w:bookmarkStart w:id="166" w:name="_Toc20823346"/>
      <w:r>
        <w:rPr>
          <w:rFonts w:hint="eastAsia" w:ascii="仿宋" w:hAnsi="仿宋" w:eastAsia="仿宋" w:cs="仿宋"/>
          <w:b/>
          <w:bCs w:val="0"/>
          <w:sz w:val="44"/>
          <w:highlight w:val="none"/>
        </w:rPr>
        <w:t xml:space="preserve">第</w:t>
      </w:r>
      <w:bookmarkEnd w:id="162"/>
      <w:r>
        <w:rPr>
          <w:rFonts w:hint="eastAsia" w:ascii="仿宋" w:hAnsi="仿宋" w:eastAsia="仿宋" w:cs="仿宋"/>
          <w:b/>
          <w:bCs w:val="0"/>
          <w:sz w:val="44"/>
          <w:highlight w:val="none"/>
        </w:rPr>
        <w:t xml:space="preserve">四章 采购需求</w:t>
      </w:r>
      <w:bookmarkEnd w:id="163"/>
      <w:r/>
      <w:bookmarkEnd w:id="164"/>
      <w:r/>
      <w:bookmarkEnd w:id="165"/>
      <w:r/>
      <w:bookmarkEnd w:id="166"/>
      <w:r/>
      <w:r/>
    </w:p>
    <w:p>
      <w:pPr>
        <w:ind w:firstLine="480"/>
        <w:jc w:val="left"/>
        <w:spacing w:line="0" w:lineRule="atLeast"/>
        <w:rPr>
          <w:rFonts w:hint="eastAsia" w:ascii="仿宋" w:hAnsi="仿宋" w:eastAsia="仿宋" w:cs="仿宋"/>
          <w:bCs/>
          <w:color w:val="auto"/>
          <w:sz w:val="24"/>
          <w:szCs w:val="24"/>
          <w:highlight w:val="none"/>
          <w:lang w:val="en-US" w:eastAsia="zh-CN" w:bidi="ar-SA"/>
        </w:rPr>
        <w:outlineLvl w:val="9"/>
      </w:pPr>
      <w:r>
        <w:rPr>
          <w:rFonts w:hint="eastAsia" w:ascii="仿宋" w:hAnsi="仿宋" w:eastAsia="仿宋" w:cs="仿宋"/>
          <w:bCs/>
          <w:color w:val="auto"/>
          <w:sz w:val="24"/>
          <w:szCs w:val="24"/>
          <w:highlight w:val="none"/>
          <w:lang w:val="en-US" w:eastAsia="zh-CN" w:bidi="ar-SA"/>
        </w:rPr>
        <w:t xml:space="preserve">供应商在制作投标文件时应当仔细研究项目需求说明。项目需求包括技术要求和商务要求:</w:t>
      </w:r>
      <w:r/>
    </w:p>
    <w:p>
      <w:pPr>
        <w:ind w:firstLine="480"/>
        <w:jc w:val="left"/>
        <w:spacing w:line="0" w:lineRule="atLeast"/>
        <w:rPr>
          <w:rFonts w:hint="eastAsia" w:ascii="仿宋" w:hAnsi="仿宋" w:eastAsia="仿宋" w:cs="仿宋"/>
          <w:bCs/>
          <w:color w:val="auto"/>
          <w:sz w:val="24"/>
          <w:szCs w:val="24"/>
          <w:highlight w:val="none"/>
          <w:lang w:val="en-US" w:eastAsia="zh-CN" w:bidi="ar-SA"/>
        </w:rPr>
        <w:outlineLvl w:val="9"/>
      </w:pPr>
      <w:r>
        <w:rPr>
          <w:rFonts w:hint="eastAsia" w:ascii="仿宋" w:hAnsi="仿宋" w:eastAsia="仿宋" w:cs="仿宋"/>
          <w:bCs/>
          <w:color w:val="auto"/>
          <w:sz w:val="24"/>
          <w:szCs w:val="24"/>
          <w:highlight w:val="none"/>
          <w:lang w:val="en-US" w:eastAsia="zh-CN" w:bidi="ar-SA"/>
        </w:rPr>
        <w:t xml:space="preserve">技术要求是指对采购标的功能和质量要求，包括性能、材料、结构、外观、安全，或者服务内容和标准等，</w:t>
      </w:r>
      <w:r>
        <w:rPr>
          <w:rFonts w:hint="eastAsia" w:ascii="仿宋" w:hAnsi="仿宋" w:eastAsia="仿宋" w:cs="仿宋"/>
          <w:b/>
          <w:bCs w:val="0"/>
          <w:i/>
          <w:iCs/>
          <w:color w:val="auto"/>
          <w:sz w:val="24"/>
          <w:szCs w:val="24"/>
          <w:highlight w:val="none"/>
          <w:u w:val="single"/>
          <w:lang w:val="en-US" w:eastAsia="zh-CN" w:bidi="ar-SA"/>
        </w:rPr>
        <w:t xml:space="preserve">其中必须满足的实质性要求加斜体下划线</w:t>
      </w:r>
      <w:r>
        <w:rPr>
          <w:rFonts w:hint="eastAsia" w:ascii="仿宋" w:hAnsi="仿宋" w:eastAsia="仿宋" w:cs="仿宋"/>
          <w:bCs/>
          <w:color w:val="auto"/>
          <w:sz w:val="24"/>
          <w:szCs w:val="24"/>
          <w:highlight w:val="none"/>
          <w:lang w:val="en-US" w:eastAsia="zh-CN" w:bidi="ar-SA"/>
        </w:rPr>
        <w:t xml:space="preserve">；</w:t>
      </w:r>
      <w:r/>
    </w:p>
    <w:p>
      <w:pPr>
        <w:ind w:firstLine="480"/>
        <w:jc w:val="left"/>
        <w:spacing w:line="0" w:lineRule="atLeast"/>
        <w:rPr>
          <w:rFonts w:hint="eastAsia" w:ascii="仿宋" w:hAnsi="仿宋" w:eastAsia="仿宋" w:cs="仿宋"/>
          <w:bCs/>
          <w:color w:val="auto"/>
          <w:sz w:val="24"/>
          <w:szCs w:val="24"/>
          <w:highlight w:val="none"/>
          <w:lang w:eastAsia="zh-CN"/>
        </w:rPr>
        <w:outlineLvl w:val="9"/>
      </w:pPr>
      <w:r>
        <w:rPr>
          <w:rFonts w:hint="eastAsia" w:ascii="仿宋" w:hAnsi="仿宋" w:eastAsia="仿宋" w:cs="仿宋"/>
          <w:bCs/>
          <w:color w:val="auto"/>
          <w:sz w:val="24"/>
          <w:szCs w:val="24"/>
          <w:highlight w:val="none"/>
          <w:lang w:val="en-US" w:eastAsia="zh-CN" w:bidi="ar-SA"/>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bCs w:val="0"/>
          <w:i/>
          <w:iCs/>
          <w:color w:val="auto"/>
          <w:sz w:val="24"/>
          <w:szCs w:val="24"/>
          <w:highlight w:val="none"/>
          <w:u w:val="single"/>
          <w:lang w:val="en-US" w:eastAsia="zh-CN" w:bidi="ar-SA"/>
        </w:rPr>
        <w:t xml:space="preserve">其中必须满足的实质性要求加斜体下划线。</w:t>
      </w:r>
      <w:r/>
    </w:p>
    <w:p>
      <w:pPr>
        <w:ind w:firstLine="482"/>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lang w:val="en-US" w:eastAsia="zh-CN" w:bidi="ar-SA"/>
        </w:rPr>
        <w:t xml:space="preserve">一、采购需求内容包含：</w:t>
      </w:r>
      <w:r/>
    </w:p>
    <w:p>
      <w:pPr>
        <w:spacing w:line="5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（一）采购标的需实现的功能或者目标，以及为落实政府采购政策需满足的要求；</w:t>
      </w:r>
      <w:r/>
    </w:p>
    <w:p>
      <w:pPr>
        <w:ind w:firstLine="48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投标人须组建专业养护项目管理机构负责养护作业的顺利实施和质量保障，配置一定数量的市政养护专用机械设备。建立一套市政养护运营管理规章制度，监督项目部制定组织方案、技术方案、操作规程和突发应急预案等各项实施保证措施。采取必要防护措施，确保安全作业。严格按照《</w:t>
      </w:r>
      <w:r>
        <w:rPr>
          <w:rFonts w:hint="eastAsia" w:ascii="仿宋" w:hAnsi="仿宋" w:eastAsia="仿宋" w:cs="仿宋"/>
          <w:color w:val="auto"/>
          <w:sz w:val="24"/>
          <w:szCs w:val="24"/>
          <w:highlight w:val="none"/>
          <w:lang w:val="en-US" w:eastAsia="zh-CN"/>
        </w:rPr>
        <w:t xml:space="preserve">城镇</w:t>
      </w:r>
      <w:r>
        <w:rPr>
          <w:rFonts w:hint="eastAsia" w:ascii="仿宋" w:hAnsi="仿宋" w:eastAsia="仿宋" w:cs="仿宋"/>
          <w:color w:val="auto"/>
          <w:sz w:val="24"/>
          <w:szCs w:val="24"/>
          <w:highlight w:val="none"/>
        </w:rPr>
        <w:t xml:space="preserve">道路养护技术规范》、《城市桥梁养护技术标准》、《</w:t>
      </w:r>
      <w:r>
        <w:rPr>
          <w:rFonts w:hint="eastAsia" w:ascii="仿宋" w:hAnsi="仿宋" w:eastAsia="仿宋" w:cs="仿宋"/>
          <w:color w:val="auto"/>
          <w:sz w:val="24"/>
          <w:szCs w:val="24"/>
          <w:highlight w:val="none"/>
          <w:lang w:eastAsia="zh-CN"/>
        </w:rPr>
        <w:t xml:space="preserve">如东县</w:t>
      </w:r>
      <w:r>
        <w:rPr>
          <w:rFonts w:hint="eastAsia" w:ascii="仿宋" w:hAnsi="仿宋" w:eastAsia="仿宋" w:cs="仿宋"/>
          <w:color w:val="auto"/>
          <w:sz w:val="24"/>
          <w:szCs w:val="24"/>
          <w:highlight w:val="none"/>
        </w:rPr>
        <w:t xml:space="preserve">日常养护方案设计》和具体要求实施养护，确保达到相应道路等级养护标准。</w:t>
      </w:r>
      <w:r/>
    </w:p>
    <w:p>
      <w:pPr>
        <w:spacing w:line="5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（二）采购标的需执行的国家相关标准、行业标准、地方标准或者其他标准、规范；</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用现行有效国家标准，如在项目实施过程中国家标准修改，应按照最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成交供应商自行承担。</w:t>
      </w:r>
      <w:r/>
    </w:p>
    <w:p>
      <w:pPr>
        <w:numPr>
          <w:ilvl w:val="0"/>
          <w:numId w:val="3"/>
        </w:numPr>
        <w:ind w:left="0" w:firstLine="0"/>
        <w:spacing w:line="500" w:lineRule="exact"/>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采购标的需满足的质量、安全、技术规格、物理特性等要求；</w:t>
      </w:r>
      <w:r/>
    </w:p>
    <w:p>
      <w:pPr>
        <w:pStyle w:val="770"/>
        <w:numPr>
          <w:ilvl w:val="0"/>
          <w:numId w:val="0"/>
        </w:numPr>
        <w:ind w:firstLine="480"/>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1.为确保养护服务质量，则必须满足以下条件：</w:t>
      </w:r>
      <w:r/>
    </w:p>
    <w:p>
      <w:pPr>
        <w:pStyle w:val="770"/>
        <w:numPr>
          <w:ilvl w:val="0"/>
          <w:numId w:val="0"/>
        </w:numPr>
        <w:ind w:left="420"/>
        <w:rPr>
          <w:rFonts w:hint="eastAsia" w:ascii="仿宋" w:hAnsi="仿宋" w:eastAsia="仿宋" w:cs="仿宋"/>
          <w:b/>
          <w:bCs/>
          <w:i/>
          <w:iCs/>
          <w:color w:val="auto"/>
          <w:sz w:val="24"/>
          <w:szCs w:val="24"/>
          <w:highlight w:val="none"/>
          <w:u w:val="single"/>
          <w:lang w:val="en-US" w:eastAsia="zh-CN" w:bidi="ar-SA"/>
        </w:rPr>
      </w:pPr>
      <w:r>
        <w:rPr>
          <w:rFonts w:hint="eastAsia" w:ascii="仿宋" w:hAnsi="仿宋" w:eastAsia="仿宋" w:cs="仿宋"/>
          <w:b/>
          <w:bCs/>
          <w:i/>
          <w:iCs/>
          <w:color w:val="auto"/>
          <w:sz w:val="24"/>
          <w:szCs w:val="24"/>
          <w:highlight w:val="none"/>
          <w:u w:val="single"/>
          <w:lang w:val="en-US" w:eastAsia="zh-CN" w:bidi="ar-SA"/>
        </w:rPr>
        <w:t xml:space="preserve">（1）为满足本项目人员办公和设备、材料堆放，投标人中标后在如东县县城内须设有专门的养护基地，要求包括但不限于：1、距珠江路与通海路交叉口（</w:t>
      </w:r>
      <w:r>
        <w:rPr>
          <w:rFonts w:hint="eastAsia" w:ascii="仿宋" w:hAnsi="仿宋" w:eastAsia="仿宋" w:cs="仿宋"/>
          <w:b/>
          <w:bCs/>
          <w:i/>
          <w:iCs/>
          <w:color w:val="ff0000"/>
          <w:sz w:val="24"/>
          <w:szCs w:val="24"/>
          <w:highlight w:val="none"/>
          <w:u w:val="single"/>
          <w:lang w:val="en-US" w:eastAsia="zh-CN" w:bidi="ar-SA"/>
        </w:rPr>
        <w:t xml:space="preserve">建成区中心</w:t>
      </w:r>
      <w:r>
        <w:rPr>
          <w:rFonts w:hint="eastAsia" w:ascii="仿宋" w:hAnsi="仿宋" w:eastAsia="仿宋" w:cs="仿宋"/>
          <w:b/>
          <w:bCs/>
          <w:i/>
          <w:iCs/>
          <w:color w:val="auto"/>
          <w:sz w:val="24"/>
          <w:szCs w:val="24"/>
          <w:highlight w:val="none"/>
          <w:u w:val="single"/>
          <w:lang w:val="en-US" w:eastAsia="zh-CN" w:bidi="ar-SA"/>
        </w:rPr>
        <w:t xml:space="preserve">）的直线距离≤10km;2、办公用房建筑面积不少于300平方；3、仓库建筑面积不少于500平方（需满足考核细则中设备和物资要求）；4、机械设备停车场不少于500平方（用于停放满足招标文件中的设备）。[中标后20天内须提供房屋产权证明或有效租赁协议（租赁协议附产权证明）及办公设备相关证明]。</w:t>
      </w:r>
      <w:r/>
    </w:p>
    <w:p>
      <w:pPr>
        <w:pStyle w:val="770"/>
        <w:numPr>
          <w:ilvl w:val="0"/>
          <w:numId w:val="0"/>
        </w:numPr>
        <w:ind w:firstLine="482"/>
        <w:rPr>
          <w:rFonts w:hint="eastAsia" w:ascii="仿宋" w:hAnsi="仿宋" w:eastAsia="仿宋" w:cs="仿宋"/>
          <w:b/>
          <w:bCs/>
          <w:i/>
          <w:iCs/>
          <w:color w:val="auto"/>
          <w:sz w:val="24"/>
          <w:szCs w:val="24"/>
          <w:highlight w:val="none"/>
          <w:u w:val="single"/>
          <w:lang w:val="en-US" w:eastAsia="zh-CN" w:bidi="ar-SA"/>
        </w:rPr>
      </w:pPr>
      <w:r>
        <w:rPr>
          <w:rFonts w:hint="eastAsia" w:ascii="仿宋" w:hAnsi="仿宋" w:eastAsia="仿宋" w:cs="仿宋"/>
          <w:b/>
          <w:bCs/>
          <w:i/>
          <w:iCs/>
          <w:color w:val="auto"/>
          <w:sz w:val="24"/>
          <w:szCs w:val="24"/>
          <w:highlight w:val="none"/>
          <w:u w:val="single"/>
          <w:lang w:val="en-US" w:eastAsia="zh-CN" w:bidi="ar-SA"/>
        </w:rPr>
        <w:t xml:space="preserve">（2）设备要求</w:t>
      </w:r>
      <w:r/>
    </w:p>
    <w:p>
      <w:pPr>
        <w:pStyle w:val="770"/>
        <w:numPr>
          <w:ilvl w:val="0"/>
          <w:numId w:val="0"/>
        </w:numPr>
        <w:ind w:left="420" w:firstLine="482"/>
        <w:keepLines w:val="0"/>
        <w:keepNext w:val="0"/>
        <w:pageBreakBefore w:val="0"/>
        <w:widowControl w:val="off"/>
        <w:rPr>
          <w:rFonts w:hint="eastAsia" w:ascii="仿宋" w:hAnsi="仿宋" w:eastAsia="仿宋" w:cs="仿宋"/>
          <w:b/>
          <w:bCs/>
          <w:i/>
          <w:iCs/>
          <w:color w:val="auto"/>
          <w:sz w:val="24"/>
          <w:szCs w:val="24"/>
          <w:highlight w:val="none"/>
          <w:u w:val="single"/>
          <w:lang w:val="en-US" w:eastAsia="zh-CN" w:bidi="ar-SA"/>
        </w:rPr>
      </w:pPr>
      <w:r>
        <w:rPr>
          <w:rFonts w:hint="eastAsia" w:ascii="仿宋" w:hAnsi="仿宋" w:eastAsia="仿宋" w:cs="仿宋"/>
          <w:b/>
          <w:bCs/>
          <w:i/>
          <w:iCs/>
          <w:color w:val="auto"/>
          <w:sz w:val="24"/>
          <w:szCs w:val="24"/>
          <w:highlight w:val="none"/>
          <w:u w:val="single"/>
          <w:lang w:val="en-US" w:eastAsia="zh-CN" w:bidi="ar-SA"/>
        </w:rPr>
        <w:t xml:space="preserve">投标人须提供用于项目服务的主要投入设备：①灌缝机、②平板振动夯、③小型压路机、④钢轮压路机、⑤装载机、⑥发电机组、⑦沥青混凝土生产设备、⑧巡查车一辆(以上设备须为企业自有，每类设备均需要有一台)。</w:t>
      </w:r>
      <w:r/>
    </w:p>
    <w:p>
      <w:pPr>
        <w:pStyle w:val="770"/>
        <w:numPr>
          <w:ilvl w:val="0"/>
          <w:numId w:val="0"/>
        </w:numPr>
        <w:ind w:left="420"/>
        <w:rPr>
          <w:rFonts w:hint="eastAsia" w:ascii="仿宋" w:hAnsi="仿宋" w:eastAsia="仿宋" w:cs="仿宋"/>
          <w:b/>
          <w:bCs/>
          <w:i/>
          <w:iCs/>
          <w:color w:val="auto"/>
          <w:sz w:val="24"/>
          <w:szCs w:val="24"/>
          <w:highlight w:val="none"/>
          <w:u w:val="single"/>
          <w:lang w:val="en-US" w:eastAsia="zh-CN" w:bidi="ar-SA"/>
        </w:rPr>
      </w:pPr>
      <w:r>
        <w:rPr>
          <w:rFonts w:hint="eastAsia" w:ascii="仿宋" w:hAnsi="仿宋" w:eastAsia="仿宋" w:cs="仿宋"/>
          <w:b/>
          <w:bCs/>
          <w:i/>
          <w:iCs/>
          <w:color w:val="auto"/>
          <w:sz w:val="24"/>
          <w:szCs w:val="24"/>
          <w:highlight w:val="none"/>
          <w:u w:val="single"/>
          <w:lang w:val="en-US" w:eastAsia="zh-CN" w:bidi="ar-SA"/>
        </w:rPr>
        <w:t xml:space="preserve">注：格式见附件14（本项目提供养护基地/机械设备一览表），提供自有设备提供购买发票原件扫描件。其中车辆还需提供车辆行驶证原件扫描件、机动车登记证书原件扫描件，车辆所有人须与投标单位一致。</w:t>
      </w:r>
      <w:r/>
    </w:p>
    <w:p>
      <w:pPr>
        <w:pStyle w:val="770"/>
        <w:numPr>
          <w:ilvl w:val="0"/>
          <w:numId w:val="0"/>
        </w:numPr>
        <w:ind w:firstLine="480"/>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2.安全文明措施：</w:t>
      </w:r>
      <w:r/>
    </w:p>
    <w:p>
      <w:pPr>
        <w:pStyle w:val="770"/>
        <w:numPr>
          <w:ilvl w:val="0"/>
          <w:numId w:val="0"/>
        </w:numPr>
        <w:ind w:firstLine="240"/>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1）中标人对因建设工程施工可能造成损害的毗邻建筑物、构筑物和地下管线等，应当采取专项防护措施。应当遵守有关环境保护法律、法规的规定，在施工现场采取措施，防止或者减少粉尘、废气、废水、固体废物、噪声、振动和施工照明对人和环境的危害和污染。</w:t>
      </w:r>
      <w:r/>
    </w:p>
    <w:p>
      <w:pPr>
        <w:pStyle w:val="770"/>
        <w:numPr>
          <w:ilvl w:val="0"/>
          <w:numId w:val="0"/>
        </w:numPr>
        <w:ind w:firstLine="240"/>
        <w:keepLines w:val="0"/>
        <w:keepNext w:val="0"/>
        <w:pageBreakBefore w:val="0"/>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t xml:space="preserve">（2）现场有明显的围护、护栏、安全施工标牌、标语、警示灯，安全警示标志必须符合国家标准；管理、施工人员必须配置安全帽、明显的安全标志等；现场有专门的保卫和值班人员，并坚持昼夜巡视；如发生安全事故，责任一概由中标人承担。</w:t>
      </w:r>
      <w:r/>
    </w:p>
    <w:p>
      <w:pPr>
        <w:numPr>
          <w:ilvl w:val="0"/>
          <w:numId w:val="0"/>
        </w:numPr>
        <w:spacing w:line="500" w:lineRule="exact"/>
        <w:rPr>
          <w:rFonts w:hint="eastAsia" w:ascii="仿宋" w:hAnsi="仿宋" w:eastAsia="仿宋" w:cs="仿宋"/>
          <w:b/>
          <w:bCs/>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ar-SA"/>
        </w:rPr>
        <w:t xml:space="preserve">（四）采购标的的数量、采购项目交付或者实施的时间和地点（货物类项目采购清单中必须列明主要标的、强制节能产品）；</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养护范围：</w:t>
      </w:r>
      <w:r>
        <w:rPr>
          <w:rFonts w:hint="eastAsia" w:ascii="仿宋" w:hAnsi="仿宋" w:eastAsia="仿宋" w:cs="仿宋"/>
          <w:color w:val="auto"/>
          <w:sz w:val="24"/>
          <w:szCs w:val="24"/>
          <w:highlight w:val="none"/>
          <w:lang w:val="en-US" w:eastAsia="zh-CN"/>
        </w:rPr>
        <w:t xml:space="preserve">详见招标文件附件《如东县城区市政道路（含交通设施）清单》和招标文件附件《如东县城区市政桥梁目录》</w:t>
      </w:r>
      <w:r>
        <w:rPr>
          <w:rFonts w:hint="eastAsia" w:ascii="仿宋" w:hAnsi="仿宋" w:eastAsia="仿宋" w:cs="仿宋"/>
          <w:color w:val="auto"/>
          <w:sz w:val="24"/>
          <w:szCs w:val="24"/>
          <w:highlight w:val="none"/>
        </w:rPr>
        <w:t xml:space="preserve">，部分道路根据具体情况由招标人确定延伸范围，专项维修项目根据招标人统筹安排。主要包括以下四类：</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（1）现有城市道路、现有城市桥梁。</w:t>
      </w:r>
      <w:r/>
    </w:p>
    <w:p>
      <w:pPr>
        <w:ind w:firstLine="480"/>
        <w:spacing w:line="500" w:lineRule="exact"/>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（2）目前城区范围内已建成并进入质量保修期，非因施工质量因素而需要维护的市政道路（含交通设施）、桥梁项目。</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（3）因工作要求，需要实施的市政养护工作。</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（4）根据年度城市建设计划，预计每年约有一定规模的道路及桥梁新增项目。</w:t>
      </w:r>
      <w:r/>
    </w:p>
    <w:p>
      <w:pPr>
        <w:pStyle w:val="77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2、项目内容</w:t>
      </w:r>
      <w:r/>
    </w:p>
    <w:p>
      <w:pPr>
        <w:pStyle w:val="77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项目内容为养护范围内的城市道路、城市桥梁等市政设施的巡视检查、日常维护、破损修复及零星增补等工作。</w:t>
      </w:r>
      <w:r/>
    </w:p>
    <w:p>
      <w:pPr>
        <w:pStyle w:val="770"/>
        <w:rPr>
          <w:rFonts w:hint="eastAsia" w:eastAsia="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具体养护工作类型详见下表《2026-2028年度如东县县城市政基础设施养护服务、应急抢修服务项目（道路、桥梁、交通设施）全费用预算单价明细表》。</w:t>
      </w:r>
      <w:r/>
    </w:p>
    <w:tbl>
      <w:tblPr>
        <w:tblStyle w:val="732"/>
        <w:tblW w:w="10138"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
        <w:gridCol w:w="5"/>
        <w:gridCol w:w="3"/>
        <w:gridCol w:w="733"/>
        <w:gridCol w:w="70"/>
        <w:gridCol w:w="1655"/>
        <w:gridCol w:w="195"/>
        <w:gridCol w:w="5218"/>
        <w:gridCol w:w="218"/>
        <w:gridCol w:w="505"/>
        <w:gridCol w:w="273"/>
        <w:gridCol w:w="1103"/>
        <w:gridCol w:w="151"/>
      </w:tblGrid>
      <w:tr>
        <w:trPr>
          <w:gridAfter w:val="1"/>
          <w:gridBefore w:val="3"/>
          <w:trHeight w:val="309"/>
        </w:trPr>
        <w:tc>
          <w:tcPr>
            <w:gridSpan w:val="9"/>
            <w:tcBorders>
              <w:top w:val="none" w:color="000000" w:sz="4" w:space="0"/>
              <w:left w:val="none" w:color="000000" w:sz="4" w:space="0"/>
              <w:bottom w:val="single" w:color="000000" w:sz="8" w:space="0"/>
              <w:right w:val="none" w:color="000000" w:sz="4" w:space="0"/>
            </w:tcBorders>
            <w:tcW w:w="9970" w:type="dxa"/>
            <w:vAlign w:val="center"/>
            <w:textDirection w:val="lrTb"/>
            <w:noWrap w:val="false"/>
          </w:tcPr>
          <w:p>
            <w:pPr>
              <w:jc w:val="center"/>
              <w:keepLines w:val="0"/>
              <w:keepNext w:val="0"/>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b/>
                <w:bCs/>
                <w:color w:val="auto"/>
                <w:sz w:val="24"/>
                <w:szCs w:val="24"/>
                <w:highlight w:val="none"/>
                <w:lang w:val="en-US" w:eastAsia="zh-CN" w:bidi="ar-SA"/>
              </w:rPr>
              <w:t xml:space="preserve">2026-2028年度如东县县城市政基础设施养护服务、应急抢修服务项目（道路、桥梁、交通设施）全费用预算单价明细表</w:t>
            </w:r>
            <w:r/>
          </w:p>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工程名称：道路养护</w:t>
            </w:r>
            <w:r/>
          </w:p>
        </w:tc>
      </w:tr>
      <w:tr>
        <w:trPr>
          <w:gridAfter w:val="1"/>
          <w:trHeight w:val="314"/>
        </w:trPr>
        <w:tc>
          <w:tcPr>
            <w:gridSpan w:val="4"/>
            <w:shd w:val="clear" w:color="auto" w:fill="ffffff"/>
            <w:tcBorders>
              <w:top w:val="single" w:color="000000" w:sz="8" w:space="0"/>
              <w:left w:val="single" w:color="000000" w:sz="8"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项目编码</w:t>
            </w:r>
            <w:r/>
          </w:p>
        </w:tc>
        <w:tc>
          <w:tcPr>
            <w:shd w:val="clear" w:color="auto" w:fill="ffffff"/>
            <w:tcBorders>
              <w:top w:val="single" w:color="000000" w:sz="8" w:space="0"/>
              <w:left w:val="single" w:color="000000" w:sz="4" w:space="0"/>
              <w:bottom w:val="single" w:color="000000" w:sz="4" w:space="0"/>
              <w:right w:val="single" w:color="000000" w:sz="4" w:space="0"/>
            </w:tcBorders>
            <w:tcW w:w="521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376"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全费用</w:t>
            </w:r>
            <w:r>
              <w:rPr>
                <w:rFonts w:hint="eastAsia" w:ascii="仿宋" w:hAnsi="仿宋" w:eastAsia="仿宋" w:cs="仿宋"/>
                <w:b/>
                <w:bCs/>
                <w:i w:val="0"/>
                <w:iCs w:val="0"/>
                <w:color w:val="000000"/>
                <w:sz w:val="24"/>
                <w:szCs w:val="24"/>
                <w:highlight w:val="none"/>
                <w:u w:val="none"/>
                <w:lang w:val="en-US" w:eastAsia="zh-CN" w:bidi="ar"/>
              </w:rPr>
              <w:br/>
            </w:r>
            <w:r>
              <w:rPr>
                <w:rFonts w:hint="eastAsia" w:ascii="仿宋" w:hAnsi="仿宋" w:eastAsia="仿宋" w:cs="仿宋"/>
                <w:b/>
                <w:bCs/>
                <w:i w:val="0"/>
                <w:iCs w:val="0"/>
                <w:color w:val="000000"/>
                <w:sz w:val="24"/>
                <w:szCs w:val="24"/>
                <w:highlight w:val="none"/>
                <w:u w:val="none"/>
                <w:lang w:val="en-US" w:eastAsia="zh-CN" w:bidi="ar"/>
              </w:rPr>
              <w:t xml:space="preserve">综合单价</w:t>
            </w:r>
            <w:r/>
          </w:p>
        </w:tc>
      </w:tr>
      <w:tr>
        <w:trPr>
          <w:gridAfter w:val="1"/>
          <w:trHeight w:val="1573"/>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道路综合养护</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1、含沥青路面、混凝土路面、人行道、侧平石、桥梁（92座）、涵洞（51座）、挡墙的养护费用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2、养护费用按照养护条例及业主要求执行考核，含巡查人员、车辆及值班费等全部费用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3、投标单价为两年的养护费用,费用包干</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578179.08</w:t>
            </w:r>
            <w:r/>
          </w:p>
        </w:tc>
      </w:tr>
      <w:tr>
        <w:trPr>
          <w:gridAfter w:val="1"/>
          <w:trHeight w:val="533"/>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道路路基病害及地下空洞检测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1、地质雷达法检测，具体检测方法和范围由招标人现场确定，工程量据实结算。</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2、检测过程中，若发现脱空和空洞等严重隐患，需钻孔验证，拍摄影像资料，且立即做好现场围挡、设置警示标识，并向招标人汇报。</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4、对检测发现的隐患进行整理，形成病害信息卡，包括路段名称、位置、大小、埋深、雷达图像、隐患照片、周边管线等信息。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5、服务期满后，提交检测报告。包括但不限于：测线平面布置图、隐患位置、病害信息卡、成因分析和处置建议等。</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6、检测实施单位必须对检测区域的道路，进行全面覆盖检测，并对检测结果负责。</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5.74</w:t>
            </w:r>
            <w:r/>
          </w:p>
        </w:tc>
      </w:tr>
      <w:tr>
        <w:trPr>
          <w:gridAfter w:val="1"/>
          <w:trHeight w:val="350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道路路基病害及地下空洞检测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1、面波勘探，具体检测方法和范围由招标人现场确定，工程量据实结算。</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2、检测过程中，若发现脱空和空洞等严重隐患，需钻孔验证，拍摄影像资料，且立即做好现场围挡、设置警示标识，并向招标人汇报。</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4、对检测发现的隐患进行整理，形成病害信息卡，包括路段名称、位置、大小、埋深、雷达图像、隐患照片、周边管线等信息。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5、服务期满后，提交检测报告。包括但不限于：测线平面布置图、隐患位置、病害信息卡、成因分析和处置建议等。</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6、检测实施单位必须对检测区域的道路，进行全面覆盖检测，并对检测结果负责。</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34.27</w:t>
            </w:r>
            <w:r/>
          </w:p>
        </w:tc>
      </w:tr>
      <w:tr>
        <w:trPr>
          <w:gridAfter w:val="1"/>
          <w:trHeight w:val="695"/>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040402017001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灌缝</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1、路面石油沥青灌缝</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2、锯缝机锯缝</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19.89</w:t>
            </w:r>
            <w:r/>
          </w:p>
        </w:tc>
      </w:tr>
      <w:tr>
        <w:trPr>
          <w:gridAfter w:val="1"/>
          <w:trHeight w:val="72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040402017002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变形缝</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1、混凝土路面伸缩缝清理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2、PG道路嵌缝胶</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7.78</w:t>
            </w:r>
            <w:r/>
          </w:p>
        </w:tc>
      </w:tr>
      <w:tr>
        <w:trPr>
          <w:gridAfter w:val="1"/>
          <w:trHeight w:val="106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1、沥青品种:细粒式沥青混凝土AC-13</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2、厚度:3cm、4cm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3、零星坑洞人工修复</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2988.06</w:t>
            </w:r>
            <w:r/>
          </w:p>
        </w:tc>
      </w:tr>
      <w:tr>
        <w:trPr>
          <w:gridAfter w:val="1"/>
          <w:trHeight w:val="83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040203006005</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1、沥青品种:中粒式沥青混凝土AC-20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3、零星坑洞人工修复</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2926.05</w:t>
            </w:r>
            <w:r/>
          </w:p>
        </w:tc>
      </w:tr>
      <w:tr>
        <w:trPr>
          <w:gridAfter w:val="1"/>
          <w:trHeight w:val="74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040203006006</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1、沥青品种:细粒式沥青混凝土AC-13</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3、厂拌机铺</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1683.75</w:t>
            </w:r>
            <w:r/>
          </w:p>
        </w:tc>
      </w:tr>
      <w:tr>
        <w:trPr>
          <w:gridAfter w:val="1"/>
          <w:trHeight w:val="72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040203006007</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1、沥青品种:中粒式沥青混凝土AC-20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3、厂拌机铺</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2400.56</w:t>
            </w:r>
            <w:r/>
          </w:p>
        </w:tc>
      </w:tr>
      <w:tr>
        <w:trPr>
          <w:gridAfter w:val="1"/>
          <w:trHeight w:val="631"/>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040203004001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粘层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1、材料品种:PC-3乳化沥青</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2、喷油量:0.5L/m2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2.34</w:t>
            </w:r>
            <w:r/>
          </w:p>
        </w:tc>
      </w:tr>
      <w:tr>
        <w:trPr>
          <w:gridAfter w:val="1"/>
          <w:trHeight w:val="83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040203005001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封层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1、材料品种:PC-2乳化沥青</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2、喷油量:1L/m2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3、厚度:0.6cm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4.77</w:t>
            </w:r>
            <w:r/>
          </w:p>
        </w:tc>
      </w:tr>
      <w:tr>
        <w:trPr>
          <w:gridAfter w:val="1"/>
          <w:trHeight w:val="57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040203006008</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沥青混凝土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1、人工冷补</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5686.34</w:t>
            </w:r>
            <w:r/>
          </w:p>
        </w:tc>
      </w:tr>
      <w:tr>
        <w:trPr>
          <w:gridAfter w:val="1"/>
          <w:trHeight w:val="96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040202015001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水泥稳定碎石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1、水泥含量:4.5%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3、厂拌机铺</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515.09</w:t>
            </w:r>
            <w:r/>
          </w:p>
        </w:tc>
      </w:tr>
      <w:tr>
        <w:trPr>
          <w:gridAfter w:val="1"/>
          <w:trHeight w:val="86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040203007001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水泥混凝土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1、混凝土强度等级:C30商品砼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2、厚度:按实际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3、含模板、刻纹等</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654.49</w:t>
            </w:r>
            <w:r/>
          </w:p>
        </w:tc>
      </w:tr>
      <w:tr>
        <w:trPr>
          <w:gridAfter w:val="1"/>
          <w:trHeight w:val="812"/>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1、块料品种、规格:3cm厚花岗岩人行道板翻修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186.86</w:t>
            </w:r>
            <w:r/>
          </w:p>
        </w:tc>
      </w:tr>
      <w:tr>
        <w:trPr>
          <w:gridAfter w:val="1"/>
          <w:trHeight w:val="81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1、块料品种、规格:4cm厚花岗岩人行道板翻修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207.78</w:t>
            </w:r>
            <w:r/>
          </w:p>
        </w:tc>
      </w:tr>
      <w:tr>
        <w:trPr>
          <w:gridAfter w:val="1"/>
          <w:trHeight w:val="9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1、块料品种、规格:5cm厚花岗岩人行道板翻修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228.70</w:t>
            </w:r>
            <w:r/>
          </w:p>
        </w:tc>
      </w:tr>
      <w:tr>
        <w:trPr>
          <w:gridAfter w:val="1"/>
          <w:trHeight w:val="122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1、块料品种、规格:25*25*4.5cm混凝土预制人行道板翻修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2、基础、垫层：材料品种、厚度:25mm1:2.5水泥砂浆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94.81</w:t>
            </w:r>
            <w:r/>
          </w:p>
        </w:tc>
      </w:tr>
      <w:tr>
        <w:trPr>
          <w:gridAfter w:val="1"/>
          <w:trHeight w:val="1059"/>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040204002005</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1、块料品种、规格:10*20*6cm混凝土预制人行道板翻修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2、基础、垫层：材料品种、厚度:25mm1:2.5水泥砂浆</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113.59</w:t>
            </w:r>
            <w:r/>
          </w:p>
        </w:tc>
      </w:tr>
      <w:tr>
        <w:trPr>
          <w:gridAfter w:val="1"/>
          <w:trHeight w:val="67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1、100*30*12cm石质侧石新砌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148.13</w:t>
            </w:r>
            <w:r/>
          </w:p>
        </w:tc>
      </w:tr>
      <w:tr>
        <w:trPr>
          <w:gridAfter w:val="1"/>
          <w:trHeight w:val="48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安砌平石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1、100*30*12cm石质平石新砌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137.02</w:t>
            </w:r>
            <w:r/>
          </w:p>
        </w:tc>
      </w:tr>
      <w:tr>
        <w:trPr>
          <w:gridAfter w:val="1"/>
          <w:trHeight w:val="55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1、100*30*12cm石质侧石拆除修复原状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154.66</w:t>
            </w:r>
            <w:r/>
          </w:p>
        </w:tc>
      </w:tr>
      <w:tr>
        <w:trPr>
          <w:gridAfter w:val="1"/>
          <w:trHeight w:val="58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安砌平石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1、100*30*12cm石质平石拆除修复原状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143.56</w:t>
            </w:r>
            <w:r/>
          </w:p>
        </w:tc>
      </w:tr>
      <w:tr>
        <w:trPr>
          <w:gridAfter w:val="1"/>
          <w:trHeight w:val="90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040204004005</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1、100*30*12cm预制混凝土侧石、100*30*12cm预制混凝土平石新砌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136.72</w:t>
            </w:r>
            <w:r/>
          </w:p>
        </w:tc>
      </w:tr>
      <w:tr>
        <w:trPr>
          <w:gridAfter w:val="1"/>
          <w:trHeight w:val="526"/>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040204004006</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1、100*30*12cm预制混凝土侧石更换修复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82.99</w:t>
            </w:r>
            <w:r/>
          </w:p>
        </w:tc>
      </w:tr>
      <w:tr>
        <w:trPr>
          <w:gridAfter w:val="1"/>
          <w:trHeight w:val="50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040204004007</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1、100*30*12cm预制混凝土平石更换修复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62.05</w:t>
            </w:r>
            <w:r/>
          </w:p>
        </w:tc>
      </w:tr>
      <w:tr>
        <w:trPr>
          <w:gridAfter w:val="1"/>
          <w:trHeight w:val="61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041001004001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铣刨路面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1、铣刨路面1～5cm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7.91</w:t>
            </w:r>
            <w:r/>
          </w:p>
        </w:tc>
      </w:tr>
      <w:tr>
        <w:trPr>
          <w:gridAfter w:val="1"/>
          <w:trHeight w:val="62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041001004002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铣刨路面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1、铣刨路面6～10cm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5.59</w:t>
            </w:r>
            <w:r/>
          </w:p>
        </w:tc>
      </w:tr>
      <w:tr>
        <w:trPr>
          <w:gridAfter w:val="1"/>
          <w:trHeight w:val="43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040205017001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警示柱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1、φ90×1200红白警示桩</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2、含基础</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238.34</w:t>
            </w:r>
            <w:r/>
          </w:p>
        </w:tc>
      </w:tr>
      <w:tr>
        <w:trPr>
          <w:gridAfter w:val="1"/>
          <w:trHeight w:val="48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1、检查井井盖更换维修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2、Φ700球墨铸铁重型防沉降井盖</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1084.18</w:t>
            </w:r>
            <w:r/>
          </w:p>
        </w:tc>
      </w:tr>
      <w:tr>
        <w:trPr>
          <w:gridAfter w:val="1"/>
          <w:trHeight w:val="854"/>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1、检查井井框更换维修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2、Φ700球墨铸铁重型井框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3、C30钢筋混凝土井圈，双层双向钢筋</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885.94</w:t>
            </w:r>
            <w:r/>
          </w:p>
        </w:tc>
      </w:tr>
      <w:tr>
        <w:trPr>
          <w:gridAfter w:val="1"/>
          <w:trHeight w:val="64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1、更换检查井井盖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2、Φ700复合材料井盖</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400.93</w:t>
            </w:r>
            <w:r/>
          </w:p>
        </w:tc>
      </w:tr>
      <w:tr>
        <w:trPr>
          <w:gridAfter w:val="1"/>
          <w:trHeight w:val="42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1、更换检查井井框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2、Φ700复合材料井框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477.26</w:t>
            </w:r>
            <w:r/>
          </w:p>
        </w:tc>
      </w:tr>
      <w:tr>
        <w:trPr>
          <w:gridAfter w:val="1"/>
          <w:trHeight w:val="72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040504001005</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1、更换井盖维修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2、混凝土井盖</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353.25</w:t>
            </w:r>
            <w:r/>
          </w:p>
        </w:tc>
      </w:tr>
      <w:tr>
        <w:trPr>
          <w:gridAfter w:val="1"/>
          <w:trHeight w:val="67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040504001006</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1、更换井框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2、混凝土井框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456.12</w:t>
            </w:r>
            <w:r/>
          </w:p>
        </w:tc>
      </w:tr>
      <w:tr>
        <w:trPr>
          <w:gridAfter w:val="1"/>
          <w:trHeight w:val="154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040504001007</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井周加固（卸荷板）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1、200*200*16cm C30现浇钢筋砼板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2、双层φ12钢筋网@15cm，φ8架立钢筋@30*30cm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3、3*3m聚酯玻纤布</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4、含基层开挖，钢筋，混凝土浇筑，聚酯玻纤布</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1025.46</w:t>
            </w:r>
            <w:r/>
          </w:p>
        </w:tc>
      </w:tr>
      <w:tr>
        <w:trPr>
          <w:gridAfter w:val="1"/>
          <w:trHeight w:val="51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人工垫井盖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1、井盖垫胶皮</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92.51</w:t>
            </w:r>
            <w:r/>
          </w:p>
        </w:tc>
      </w:tr>
      <w:tr>
        <w:trPr>
          <w:gridAfter w:val="1"/>
          <w:trHeight w:val="633"/>
        </w:trPr>
        <w:tc>
          <w:tcPr>
            <w:gridSpan w:val="4"/>
            <w:tcBorders>
              <w:top w:val="single" w:color="000000" w:sz="4" w:space="0"/>
              <w:left w:val="single" w:color="000000" w:sz="8" w:space="0"/>
              <w:bottom w:val="single" w:color="000000" w:sz="8"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041001001001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1、材质:沥青混凝土面层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65.42</w:t>
            </w:r>
            <w:r/>
          </w:p>
        </w:tc>
      </w:tr>
      <w:tr>
        <w:trPr>
          <w:gridAfter w:val="1"/>
          <w:trHeight w:val="41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041001001002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1、材质:混凝土路面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72.76</w:t>
            </w:r>
            <w:r/>
          </w:p>
        </w:tc>
      </w:tr>
      <w:tr>
        <w:trPr>
          <w:gridAfter w:val="1"/>
          <w:trHeight w:val="48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041001003001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1、材质:半刚性基层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65.42</w:t>
            </w:r>
            <w:r/>
          </w:p>
        </w:tc>
      </w:tr>
      <w:tr>
        <w:trPr>
          <w:gridAfter w:val="1"/>
          <w:trHeight w:val="68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041001003002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1、材质:无骨料多合土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23.00</w:t>
            </w:r>
            <w:r/>
          </w:p>
        </w:tc>
      </w:tr>
      <w:tr>
        <w:trPr>
          <w:gridAfter w:val="1"/>
          <w:trHeight w:val="30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041001001003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1、广场砖拆除</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7.51</w:t>
            </w:r>
            <w:r/>
          </w:p>
        </w:tc>
      </w:tr>
      <w:tr>
        <w:trPr>
          <w:gridAfter w:val="1"/>
          <w:trHeight w:val="49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040203007002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水泥混凝土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1、C30混凝土回填</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647.06</w:t>
            </w:r>
            <w:r/>
          </w:p>
        </w:tc>
      </w:tr>
      <w:tr>
        <w:trPr>
          <w:gridAfter w:val="1"/>
          <w:trHeight w:val="45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040202010001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碎石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1、石料规格:级配碎石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2、厚度:10cm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44.36</w:t>
            </w:r>
            <w:r/>
          </w:p>
        </w:tc>
      </w:tr>
      <w:tr>
        <w:trPr>
          <w:gridAfter w:val="1"/>
          <w:trHeight w:val="49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040202001001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石灰稳定土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1、回填4%水泥土</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96.42</w:t>
            </w:r>
            <w:r/>
          </w:p>
        </w:tc>
      </w:tr>
      <w:tr>
        <w:trPr>
          <w:gridAfter w:val="1"/>
          <w:trHeight w:val="165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040501004001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塑料管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1、垫层、基础材质及厚度:C25混凝土包封回填另计，包封前管外壁涂胶粘剂并滚上粗砂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2、材质及规格:DN160PVC-U实壁管，环刚度不小于8KN/m2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3、连接形式:胶圈接口</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66.98</w:t>
            </w:r>
            <w:r/>
          </w:p>
        </w:tc>
      </w:tr>
      <w:tr>
        <w:trPr>
          <w:gridAfter w:val="1"/>
          <w:trHeight w:val="113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040501004002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塑料管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1、垫层、基础材质及厚度:C25混凝土包封回填另计，包封前管外壁涂胶粘剂并滚上粗砂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2、材质及规格:DN200PVC-U实壁管，环刚度不小于8KN/m2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3、连接形式:胶圈接口</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105.99</w:t>
            </w:r>
            <w:r/>
          </w:p>
        </w:tc>
      </w:tr>
      <w:tr>
        <w:trPr>
          <w:gridAfter w:val="1"/>
          <w:trHeight w:val="116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040501004003</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塑料管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1、垫层、基础材质及厚度:C25混凝土包封回填另计，包封前管外壁涂胶粘剂并滚上粗砂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2、材质及规格:DN315PVC-U实壁管，环刚度不小于8KN/m2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3、连接形式:胶圈接口</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149.33</w:t>
            </w:r>
            <w:r/>
          </w:p>
        </w:tc>
      </w:tr>
      <w:tr>
        <w:trPr>
          <w:gridAfter w:val="1"/>
          <w:trHeight w:val="11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040501004004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塑料管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1、垫层、基础材质及厚度:C25混凝土包封回填另计，包封前管外壁涂胶粘剂并滚上粗砂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2、材质及规格:DN400PVC-U实壁管，环刚度不小于8KN/m2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3、连接形式:胶圈接口</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168.88</w:t>
            </w:r>
            <w:r/>
          </w:p>
        </w:tc>
      </w:tr>
      <w:tr>
        <w:trPr>
          <w:gridAfter w:val="1"/>
          <w:trHeight w:val="100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040504001008</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砖砌井筒提升（提升10~50cm）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1、砌筑材料品种、规格、强度等级:MU15标准砼实心砖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2、勾缝、抹面要求:20mm1:2防水水泥砂浆内外抹面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3、砂浆强度等级、配合比:M10水泥砂浆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557.51</w:t>
            </w:r>
            <w:r/>
          </w:p>
        </w:tc>
      </w:tr>
      <w:tr>
        <w:trPr>
          <w:gridAfter w:val="1"/>
          <w:trHeight w:val="66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040504009001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雨水口</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1、雨水口更换维修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2、球墨铸铁井盖 500×350</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398.18</w:t>
            </w:r>
            <w:r/>
          </w:p>
        </w:tc>
      </w:tr>
      <w:tr>
        <w:trPr>
          <w:gridAfter w:val="1"/>
          <w:trHeight w:val="49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040504009002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雨水口</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1、雨水口更换维修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2、钢纤维井盖 500×350</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354.42</w:t>
            </w:r>
            <w:r/>
          </w:p>
        </w:tc>
      </w:tr>
      <w:tr>
        <w:trPr>
          <w:gridAfter w:val="1"/>
          <w:trHeight w:val="64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040504009003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雨水口</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1、雨水口500×350mm更换维修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2、混凝土</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330.29</w:t>
            </w:r>
            <w:r/>
          </w:p>
        </w:tc>
      </w:tr>
      <w:tr>
        <w:trPr>
          <w:gridAfter w:val="1"/>
          <w:trHeight w:val="133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污水检查井的渗漏沉降维修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1、检查井下沉渗漏</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2、内部粉刷堵漏王堵漏，防水砂浆1:2粉刷3遍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3、周边注浆封堵（42.5级普通硅酸盐水泥、粉煤灰和水玻璃混合液）</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4、含施工临时护栏，注浆，钻孔，防水砂浆粉刷</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3345.01</w:t>
            </w:r>
            <w:r/>
          </w:p>
        </w:tc>
      </w:tr>
      <w:tr>
        <w:trPr>
          <w:gridAfter w:val="1"/>
          <w:trHeight w:val="236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040504001009</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砌筑井(Φ1000雨水检查井,井深4m及以内,含模板)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1、垫层、基础材质及厚度:100mm碎石垫层，C30钢筋砼底板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2、砌筑材料品种、规格、强度等级:MU15标准砼实心砖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3、勾缝、抹面要求:20mm1:2防水水泥砂浆内外抹面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4、砂浆强度等级、配合比:M10水泥砂浆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5、、井盖、井圈材质及规格:Φ700球墨铸铁重型防沉降井盖井座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6、踏步材质、规格:包塑爬梯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7、具体要求:详见图集苏S01-2012-126</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4636.94</w:t>
            </w:r>
            <w:r/>
          </w:p>
        </w:tc>
      </w:tr>
      <w:tr>
        <w:trPr>
          <w:gridAfter w:val="1"/>
          <w:trHeight w:val="9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56</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040504001010</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砌筑井(Φ1250雨水检查井,井深4m及以内,含模板)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1、垫层、基础材质及厚度:100mm碎石垫层，250mmC30钢筋砼底板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2、砌筑材料品种、规格、强度等级:MU15标准砼实心砖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3、勾缝、抹面要求:20mm1:2防水水泥砂浆内外抹面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4、砂浆强度等级、配合比:M10水泥砂浆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5、盖板材质、规格:C30预制钢筋砼井室板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6、井盖、井圈材质及规格:Φ700球墨铸铁重型防沉降井盖井座、C30预制钢筋砼井圈</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7、踏步材质、规格:包塑爬梯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8、具体要求:详见图集苏S01-2012-129</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6898.86</w:t>
            </w:r>
            <w:r/>
          </w:p>
        </w:tc>
      </w:tr>
      <w:tr>
        <w:trPr>
          <w:gridAfter w:val="1"/>
          <w:trHeight w:val="294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040504001011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砌筑井(Φ1500雨水检查井,井深4m及以内,含模板)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1、垫层、基础材质及厚度:100mm碎石垫层，250mmC30钢筋砼底板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2、砌筑材料品种、规格、强度等级:MU15标准砼实心砖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3、勾缝、抹面要求:20mm1:2防水水泥砂浆内外抹面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4、砂浆强度等级、配合比:M10水泥砂浆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5、盖板材质、规格:C30预制钢筋砼井室板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6、井盖、井圈材质及规格:Φ700球墨铸铁重型防沉降井盖井座、C30预制钢筋砼井圈</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7、踏步材质、规格:包塑爬梯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8、具体要求:详见图集苏S01-2012-133</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8357.96</w:t>
            </w:r>
            <w:r/>
          </w:p>
        </w:tc>
      </w:tr>
      <w:tr>
        <w:trPr>
          <w:gridAfter w:val="1"/>
          <w:trHeight w:val="286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040504001012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砌筑井(Φ2000雨水检查井,井深4m及以内,含模板)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1、垫层、基础材质及厚度:100mm碎石垫层，250mmC30钢筋砼底板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2、砌筑材料品种、规格、强度等级:MU15标准砼实心砖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3、勾缝、抹面要求:20mm1:2防水水泥砂浆内外抹面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4、砂浆强度等级、配合比:M10水泥砂浆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5、盖板材质、规格:C30预制钢筋砼井室板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6、井盖、井圈材质及规格:Φ700球墨铸铁重型防沉降井盖井座、C30预制钢筋砼井圈</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7、踏步材质、规格:包塑爬梯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8、具体要求:详见图集苏S01-2012-137</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14499.11</w:t>
            </w:r>
            <w:r/>
          </w:p>
        </w:tc>
      </w:tr>
      <w:tr>
        <w:trPr>
          <w:gridAfter w:val="1"/>
          <w:trHeight w:val="38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59</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040504002003</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混凝土井（φ1000，井深3m及以内,含模板）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3、垫层、基础、井墙:10cmC15砼垫层、20cmC30钢筋砼底板（P6）</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7082.58</w:t>
            </w:r>
            <w:r/>
          </w:p>
        </w:tc>
      </w:tr>
      <w:tr>
        <w:trPr>
          <w:gridAfter w:val="1"/>
          <w:trHeight w:val="229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040504002004</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混凝土井（φ1000，井深3m以上,含模板）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3、垫层、基础、井墙:10cmC15砼垫层、20cmC30钢筋砼底板（P6）</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8339.54</w:t>
            </w:r>
            <w:r/>
          </w:p>
        </w:tc>
      </w:tr>
      <w:tr>
        <w:trPr>
          <w:gridAfter w:val="1"/>
          <w:trHeight w:val="196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61</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040504002005</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混凝土井（φ1250，井深3m及以内,含模板）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7892.42</w:t>
            </w:r>
            <w:r/>
          </w:p>
        </w:tc>
      </w:tr>
      <w:tr>
        <w:trPr>
          <w:gridAfter w:val="1"/>
          <w:trHeight w:val="19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040504002006</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混凝土井（φ1250，井深3m以上,含模板）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10607.06</w:t>
            </w:r>
            <w:r/>
          </w:p>
        </w:tc>
      </w:tr>
      <w:tr>
        <w:trPr>
          <w:gridAfter w:val="1"/>
          <w:trHeight w:val="197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040504002007</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混凝土井（φ1500，井深3m及以内,含模板）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10420.69</w:t>
            </w:r>
            <w:r/>
          </w:p>
        </w:tc>
      </w:tr>
      <w:tr>
        <w:trPr>
          <w:gridAfter w:val="1"/>
          <w:trHeight w:val="213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040504002008</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混凝土井（φ1500，井深3m以上,含模板）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13585.06</w:t>
            </w:r>
            <w:r/>
          </w:p>
        </w:tc>
      </w:tr>
      <w:tr>
        <w:trPr>
          <w:gridAfter w:val="1"/>
          <w:trHeight w:val="92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040504002009</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混凝土井（φ2000，井深3m及以内,含模板）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15207.16</w:t>
            </w:r>
            <w:r/>
          </w:p>
        </w:tc>
      </w:tr>
      <w:tr>
        <w:trPr>
          <w:gridAfter w:val="1"/>
          <w:trHeight w:val="123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040504002010</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混凝土井（φ2000，井深3m以外,含模板）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1、材料:C30钢筋混凝土井身（商品砼，P6抗渗），砖砌部分厚240mm，采用M10水泥砂浆砌Mu15标准砼砖，抹面、勾缝、座浆、抹三角灰用1:2防水水泥砂浆，抹面厚20。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2、井盖座:φ700重型球墨铸铁防沉降井盖座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3、垫层、基础、井墙:10cmC15砼垫层、25cmC30钢筋砼底板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4、含钢筋、防坠网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5、详见苏S01-2012</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20148.68</w:t>
            </w:r>
            <w:r/>
          </w:p>
        </w:tc>
      </w:tr>
      <w:tr>
        <w:trPr>
          <w:gridAfter w:val="1"/>
          <w:trHeight w:val="53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041001009001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1、人工拆除原检查井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870.41</w:t>
            </w:r>
            <w:r/>
          </w:p>
        </w:tc>
      </w:tr>
      <w:tr>
        <w:trPr>
          <w:gridAfter w:val="1"/>
          <w:trHeight w:val="41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041001006001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拆除管道</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1、老旧管道拆除，管径600以内</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80.66</w:t>
            </w:r>
            <w:r/>
          </w:p>
        </w:tc>
      </w:tr>
      <w:tr>
        <w:trPr>
          <w:gridAfter w:val="1"/>
          <w:trHeight w:val="62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041001001004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1、材质:沥青混凝土面层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65.42</w:t>
            </w:r>
            <w:r/>
          </w:p>
        </w:tc>
      </w:tr>
      <w:tr>
        <w:trPr>
          <w:gridAfter w:val="1"/>
          <w:trHeight w:val="39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041001001005</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1、材质:混凝土路面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72.76</w:t>
            </w:r>
            <w:r/>
          </w:p>
        </w:tc>
      </w:tr>
      <w:tr>
        <w:trPr>
          <w:gridAfter w:val="1"/>
          <w:trHeight w:val="52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041001003003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1、材质:半刚性基层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65.42</w:t>
            </w:r>
            <w:r/>
          </w:p>
        </w:tc>
      </w:tr>
      <w:tr>
        <w:trPr>
          <w:gridAfter w:val="1"/>
          <w:trHeight w:val="53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041001003004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拆除基层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1、材质:无骨料多合土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23.00</w:t>
            </w:r>
            <w:r/>
          </w:p>
        </w:tc>
      </w:tr>
      <w:tr>
        <w:trPr>
          <w:gridAfter w:val="1"/>
          <w:trHeight w:val="96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040101002001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挖沟槽土方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1、土壤类别:三类土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2、部位:沟槽</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3、就近堆放</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6.02</w:t>
            </w:r>
            <w:r/>
          </w:p>
        </w:tc>
      </w:tr>
      <w:tr>
        <w:trPr>
          <w:gridAfter w:val="1"/>
          <w:trHeight w:val="84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040103001001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回填方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1、绿化带等车行道以外管道沟槽回填</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2、素土回填</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3、原土利用</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7.90</w:t>
            </w:r>
            <w:r/>
          </w:p>
        </w:tc>
      </w:tr>
      <w:tr>
        <w:trPr>
          <w:gridAfter w:val="1"/>
          <w:trHeight w:val="30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040103001002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回填方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1、填方材料品种:砂：碎石=3:7</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524.41</w:t>
            </w:r>
            <w:r/>
          </w:p>
        </w:tc>
      </w:tr>
      <w:tr>
        <w:trPr>
          <w:gridAfter w:val="1"/>
          <w:trHeight w:val="35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040103001003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回填方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1、填方材料品种:中粗砂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461.02</w:t>
            </w:r>
            <w:r/>
          </w:p>
        </w:tc>
      </w:tr>
      <w:tr>
        <w:trPr>
          <w:gridAfter w:val="1"/>
          <w:trHeight w:val="62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040103001004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回填方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1、塑料管C25混凝土包封，含模板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2、包封前管外壁涂胶粘剂并滚上粗砂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1078.43</w:t>
            </w:r>
            <w:r/>
          </w:p>
        </w:tc>
      </w:tr>
      <w:tr>
        <w:trPr>
          <w:gridAfter w:val="1"/>
          <w:trHeight w:val="569"/>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040103002001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余方弃置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1、废弃料品种:现场无法利用土方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2、废渣外运，运距投标单位自行考虑</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21.71</w:t>
            </w:r>
            <w:r/>
          </w:p>
        </w:tc>
      </w:tr>
      <w:tr>
        <w:trPr>
          <w:gridAfter w:val="1"/>
          <w:trHeight w:val="41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040502018001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人工气囊封堵</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1、气囊封堵D＞1000mm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1935.44</w:t>
            </w:r>
            <w:r/>
          </w:p>
        </w:tc>
      </w:tr>
      <w:tr>
        <w:trPr>
          <w:gridAfter w:val="1"/>
          <w:trHeight w:val="40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040502018002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人工气囊封堵</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1、气囊封堵600mm＜D≤1000mm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1612.85</w:t>
            </w:r>
            <w:r/>
          </w:p>
        </w:tc>
      </w:tr>
      <w:tr>
        <w:trPr>
          <w:gridAfter w:val="1"/>
          <w:trHeight w:val="35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040502018003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人工气囊封堵</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1、气囊封堵D≤600mm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1188.31</w:t>
            </w:r>
            <w:r/>
          </w:p>
        </w:tc>
      </w:tr>
      <w:tr>
        <w:trPr>
          <w:gridAfter w:val="1"/>
          <w:trHeight w:val="39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040502018004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潜水泵抽水</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1、8寸潜水泵抽水</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2、投标单价为每点位每次抽水的费用</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461.71</w:t>
            </w:r>
            <w:r/>
          </w:p>
        </w:tc>
      </w:tr>
      <w:tr>
        <w:trPr>
          <w:gridAfter w:val="1"/>
          <w:trHeight w:val="470"/>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83</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040502018005</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潜水泵抽水</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1、4寸潜水泵抽水</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2、投标单价为每点位每次抽水的费用</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台班</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203.21</w:t>
            </w:r>
            <w:r/>
          </w:p>
        </w:tc>
      </w:tr>
      <w:tr>
        <w:trPr>
          <w:gridAfter w:val="1"/>
          <w:trHeight w:val="80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040501001001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管道检测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1、道路排水管网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2、CCTV检测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3、具体工程量按实结算</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26.13</w:t>
            </w:r>
            <w:r/>
          </w:p>
        </w:tc>
      </w:tr>
      <w:tr>
        <w:trPr>
          <w:gridAfter w:val="1"/>
          <w:trHeight w:val="69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040501001002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管道检测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1、道路排水管网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2、声呐检测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3、具体工程量按实结算</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7.68</w:t>
            </w:r>
            <w:r/>
          </w:p>
        </w:tc>
      </w:tr>
      <w:tr>
        <w:trPr>
          <w:gridAfter w:val="1"/>
          <w:trHeight w:val="62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040501012001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顶管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1、管道材质及规格:加强钢筋混凝土顶管三级管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2、管道接口形式:企口</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4611.60</w:t>
            </w:r>
            <w:r/>
          </w:p>
        </w:tc>
      </w:tr>
      <w:tr>
        <w:trPr>
          <w:gridAfter w:val="1"/>
          <w:trHeight w:val="83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87</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040501011001</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顶管工作井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1、顶管工作井(坑)平面尺寸及深度:内径4m*6m*2m，壁厚30cm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2、垫层、基础材质及厚度:0.2m砂垫层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3、混凝土强度等级:C30</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30585.66</w:t>
            </w:r>
            <w:r/>
          </w:p>
        </w:tc>
      </w:tr>
      <w:tr>
        <w:trPr>
          <w:gridAfter w:val="1"/>
          <w:trHeight w:val="104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040501011002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顶管接收井</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1、顶管工作井(坑)平面尺寸及深度:内径4m*3m*2m，壁厚30cm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2、垫层、基础材质及厚度:0.2m砂垫层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3、混凝土强度等级:C30</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19999.43</w:t>
            </w:r>
            <w:r/>
          </w:p>
        </w:tc>
      </w:tr>
      <w:tr>
        <w:trPr>
          <w:gridAfter w:val="1"/>
          <w:trHeight w:val="52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040501009001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水平定向钻进管道</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1、材质及规格:dn600PE100管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2、连接形式:热熔连接</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1696.60</w:t>
            </w:r>
            <w:r/>
          </w:p>
        </w:tc>
      </w:tr>
      <w:tr>
        <w:trPr>
          <w:gridAfter w:val="1"/>
          <w:trHeight w:val="24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040501005001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碎管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1、材质及规格:500以内</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2786.90</w:t>
            </w:r>
            <w:r/>
          </w:p>
        </w:tc>
      </w:tr>
      <w:tr>
        <w:trPr>
          <w:gridAfter w:val="1"/>
          <w:trHeight w:val="82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040204002006</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1、块料品种、规格:3cm厚花岗岩人行道板翻修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186.86</w:t>
            </w:r>
            <w:r/>
          </w:p>
        </w:tc>
      </w:tr>
      <w:tr>
        <w:trPr>
          <w:gridAfter w:val="1"/>
          <w:trHeight w:val="80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040204002007</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1、块料品种、规格:4cm厚花岗岩人行道板翻修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207.78</w:t>
            </w:r>
            <w:r/>
          </w:p>
        </w:tc>
      </w:tr>
      <w:tr>
        <w:trPr>
          <w:gridAfter w:val="1"/>
          <w:trHeight w:val="61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040204002008</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1、块料品种、规格:5cm厚花岗岩人行道板翻修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2、基础、垫层：材料品种、厚度:30mm1:2.5水泥砂浆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228.70</w:t>
            </w:r>
            <w:r/>
          </w:p>
        </w:tc>
      </w:tr>
      <w:tr>
        <w:trPr>
          <w:gridAfter w:val="1"/>
          <w:trHeight w:val="98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040204002009</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1、块料品种、规格:25*25*4.5cm混凝土预制人行道板翻修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2、基础、垫层：材料品种、厚度:25mm1:2.5水泥砂浆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94.81</w:t>
            </w:r>
            <w:r/>
          </w:p>
        </w:tc>
      </w:tr>
      <w:tr>
        <w:trPr>
          <w:gridAfter w:val="1"/>
          <w:trHeight w:val="1165"/>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040204002010</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人行道块料铺设</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1、块料品种、规格:10*20*6cm混凝土预制人行道板翻修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2、基础、垫层：材料品种、厚度:25mm1:2.5水泥砂浆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113.59</w:t>
            </w:r>
            <w:r/>
          </w:p>
        </w:tc>
      </w:tr>
      <w:tr>
        <w:trPr>
          <w:gridAfter w:val="1"/>
          <w:trHeight w:val="68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040204004008</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1、100*30*12cm石质侧石新砌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148.13</w:t>
            </w:r>
            <w:r/>
          </w:p>
        </w:tc>
      </w:tr>
      <w:tr>
        <w:trPr>
          <w:gridAfter w:val="1"/>
          <w:trHeight w:val="96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97</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040204004009</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1、100*30*12cm石质平石新砌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137.02</w:t>
            </w:r>
            <w:r/>
          </w:p>
        </w:tc>
      </w:tr>
      <w:tr>
        <w:trPr>
          <w:gridAfter w:val="1"/>
          <w:trHeight w:val="44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040204004010</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1、100*30*12cm石质侧石拆除更换修复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154.66</w:t>
            </w:r>
            <w:r/>
          </w:p>
        </w:tc>
      </w:tr>
      <w:tr>
        <w:trPr>
          <w:gridAfter w:val="1"/>
          <w:trHeight w:val="652"/>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040204004011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1、100*30*12cm石质平石拆除更换修复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143.56</w:t>
            </w:r>
            <w:r/>
          </w:p>
        </w:tc>
      </w:tr>
      <w:tr>
        <w:trPr>
          <w:gridAfter w:val="1"/>
          <w:trHeight w:val="57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040204004012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1、100*30*12cm预制混凝土侧平石新砌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122.10</w:t>
            </w:r>
            <w:r/>
          </w:p>
        </w:tc>
      </w:tr>
      <w:tr>
        <w:trPr>
          <w:gridAfter w:val="1"/>
          <w:trHeight w:val="40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040204004013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1、100*30*12cm预制混凝土侧石更换修复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82.99</w:t>
            </w:r>
            <w:r/>
          </w:p>
        </w:tc>
      </w:tr>
      <w:tr>
        <w:trPr>
          <w:gridAfter w:val="1"/>
          <w:trHeight w:val="65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040204004014</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安砌侧（平、缘）石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1、100*30*12cm预制混凝土平石更换修复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2、C15砼垫层</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62.05</w:t>
            </w:r>
            <w:r/>
          </w:p>
        </w:tc>
      </w:tr>
      <w:tr>
        <w:trPr>
          <w:gridAfter w:val="1"/>
          <w:trHeight w:val="123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040402017003</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沟道盖板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1、材质:混凝土盖板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2、规格尺寸:15cm厚</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3、强度等级:C30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4、含钢筋</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238.06</w:t>
            </w:r>
            <w:r/>
          </w:p>
        </w:tc>
      </w:tr>
      <w:tr>
        <w:trPr>
          <w:gridAfter w:val="1"/>
          <w:trHeight w:val="85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040402017004</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沟道盖板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1、材质:混凝土盖板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2、规格尺寸:10cm厚</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3、强度等级:C30</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200.72</w:t>
            </w:r>
            <w:r/>
          </w:p>
        </w:tc>
      </w:tr>
      <w:tr>
        <w:trPr>
          <w:gridAfter w:val="1"/>
          <w:trHeight w:val="60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040401007001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注浆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1、孔洞注浆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2、1:1水泥砂浆</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683.65</w:t>
            </w:r>
            <w:r/>
          </w:p>
        </w:tc>
      </w:tr>
      <w:tr>
        <w:trPr>
          <w:gridAfter w:val="1"/>
          <w:trHeight w:val="59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040401007002</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注浆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1、孔洞注浆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2、1:1水泥砂浆-水玻璃双组份</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1966.07</w:t>
            </w:r>
            <w:r/>
          </w:p>
        </w:tc>
      </w:tr>
      <w:tr>
        <w:trPr>
          <w:gridAfter w:val="1"/>
          <w:trHeight w:val="491"/>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010403005001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1、阻车石柱，直径200mm，高500-600mm</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102.59</w:t>
            </w:r>
            <w:r/>
          </w:p>
        </w:tc>
      </w:tr>
      <w:tr>
        <w:trPr>
          <w:gridAfter w:val="1"/>
          <w:trHeight w:val="343"/>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040204001001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吊车台班</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1243.67</w:t>
            </w:r>
            <w:r/>
          </w:p>
        </w:tc>
      </w:tr>
      <w:tr>
        <w:trPr>
          <w:gridAfter w:val="1"/>
          <w:trHeight w:val="155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040205004001</w:t>
            </w:r>
            <w:r/>
          </w:p>
        </w:tc>
        <w:tc>
          <w:tcPr>
            <w:tcBorders>
              <w:top w:val="single" w:color="000000" w:sz="4" w:space="0"/>
              <w:left w:val="single" w:color="000000" w:sz="4" w:space="0"/>
              <w:bottom w:val="single" w:color="000000" w:sz="4"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1、类型:排水口道标志</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2、材质、规格尺寸:400*600*1.5mm铝合金板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3、基础材质、尺寸:500*500*600mmC25混凝土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4、板面反光膜等级:Ⅳ类</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5、标杆材质、规格尺寸:φ89*4.5热镀锌钢管2m长</w:t>
            </w:r>
            <w:r/>
          </w:p>
        </w:tc>
        <w:tc>
          <w:tcPr>
            <w:gridSpan w:val="2"/>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769.52</w:t>
            </w:r>
            <w:r/>
          </w:p>
        </w:tc>
      </w:tr>
      <w:tr>
        <w:trPr>
          <w:gridAfter w:val="1"/>
          <w:trHeight w:val="516"/>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040205004002</w:t>
            </w:r>
            <w:r/>
          </w:p>
        </w:tc>
        <w:tc>
          <w:tcPr>
            <w:tcBorders>
              <w:top w:val="single" w:color="000000" w:sz="4" w:space="0"/>
              <w:left w:val="single" w:color="000000" w:sz="4" w:space="0"/>
              <w:bottom w:val="single" w:color="000000" w:sz="8" w:space="0"/>
              <w:right w:val="single" w:color="000000" w:sz="4" w:space="0"/>
            </w:tcBorders>
            <w:tcW w:w="521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反光膜</w:t>
            </w:r>
            <w:r/>
          </w:p>
        </w:tc>
        <w:tc>
          <w:tcPr>
            <w:gridSpan w:val="2"/>
            <w:tcBorders>
              <w:top w:val="single" w:color="000000" w:sz="4" w:space="0"/>
              <w:left w:val="single" w:color="000000" w:sz="4" w:space="0"/>
              <w:bottom w:val="single" w:color="000000" w:sz="8" w:space="0"/>
              <w:right w:val="single" w:color="000000" w:sz="4" w:space="0"/>
            </w:tcBorders>
            <w:tcW w:w="72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376"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153.90</w:t>
            </w:r>
            <w:r/>
          </w:p>
        </w:tc>
      </w:tr>
      <w:tr>
        <w:trPr>
          <w:gridBefore w:val="2"/>
          <w:trHeight w:val="320"/>
        </w:trPr>
        <w:tc>
          <w:tcPr>
            <w:gridSpan w:val="11"/>
            <w:tcBorders>
              <w:top w:val="none" w:color="000000" w:sz="4" w:space="0"/>
              <w:left w:val="none" w:color="000000" w:sz="4" w:space="0"/>
              <w:bottom w:val="single" w:color="000000" w:sz="8" w:space="0"/>
              <w:right w:val="none" w:color="000000" w:sz="4" w:space="0"/>
            </w:tcBorders>
            <w:tcW w:w="10124"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工程名称：桥梁养护</w:t>
            </w:r>
            <w:r/>
          </w:p>
        </w:tc>
      </w:tr>
      <w:tr>
        <w:trPr>
          <w:trHeight w:val="344"/>
        </w:trPr>
        <w:tc>
          <w:tcPr>
            <w:gridSpan w:val="5"/>
            <w:shd w:val="clear" w:color="auto" w:fill="ffffff"/>
            <w:tcBorders>
              <w:top w:val="single" w:color="000000" w:sz="8" w:space="0"/>
              <w:left w:val="single" w:color="000000" w:sz="8" w:space="0"/>
              <w:bottom w:val="single" w:color="000000" w:sz="4" w:space="0"/>
              <w:right w:val="single" w:color="000000" w:sz="4" w:space="0"/>
            </w:tcBorders>
            <w:tcW w:w="82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655"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项目编码</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5631"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1254"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全费用</w:t>
            </w:r>
            <w:r>
              <w:rPr>
                <w:rFonts w:hint="eastAsia" w:ascii="仿宋" w:hAnsi="仿宋" w:eastAsia="仿宋" w:cs="仿宋"/>
                <w:b/>
                <w:bCs/>
                <w:i w:val="0"/>
                <w:iCs w:val="0"/>
                <w:color w:val="000000"/>
                <w:sz w:val="24"/>
                <w:szCs w:val="24"/>
                <w:highlight w:val="none"/>
                <w:u w:val="none"/>
                <w:lang w:val="en-US" w:eastAsia="zh-CN" w:bidi="ar"/>
              </w:rPr>
              <w:br/>
            </w:r>
            <w:r>
              <w:rPr>
                <w:rFonts w:hint="eastAsia" w:ascii="仿宋" w:hAnsi="仿宋" w:eastAsia="仿宋" w:cs="仿宋"/>
                <w:b/>
                <w:bCs/>
                <w:i w:val="0"/>
                <w:iCs w:val="0"/>
                <w:color w:val="000000"/>
                <w:sz w:val="24"/>
                <w:szCs w:val="24"/>
                <w:highlight w:val="none"/>
                <w:u w:val="none"/>
                <w:lang w:val="en-US" w:eastAsia="zh-CN" w:bidi="ar"/>
              </w:rPr>
              <w:t xml:space="preserve">综合单价</w:t>
            </w:r>
            <w:r/>
          </w:p>
        </w:tc>
      </w:tr>
      <w:tr>
        <w:trPr>
          <w:trHeight w:val="1328"/>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040203006001</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桥梁综合养护费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1、含检测项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2、包含桥梁伸缩缝及具体结构检测一次（包含常规检测一次）与常规检测一次费用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3、投标单价为两年的检测费用,费用包干</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459326.00</w:t>
            </w:r>
            <w:r/>
          </w:p>
        </w:tc>
      </w:tr>
      <w:tr>
        <w:trPr>
          <w:trHeight w:val="53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040309007001</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桥梁伸缩缝</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1、原有B40毛勒伸缩缝拆除和更换</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1053.73</w:t>
            </w:r>
            <w:r/>
          </w:p>
        </w:tc>
      </w:tr>
      <w:tr>
        <w:trPr>
          <w:trHeight w:val="53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040309002001</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石质栏杆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1、石材材料栏杆更换维修</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2925.49</w:t>
            </w:r>
            <w:r/>
          </w:p>
        </w:tc>
      </w:tr>
      <w:tr>
        <w:trPr>
          <w:trHeight w:val="53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040309001001</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金属栏杆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1、铁艺材料栏杆更换维修</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26411.80</w:t>
            </w:r>
            <w:r/>
          </w:p>
        </w:tc>
      </w:tr>
      <w:tr>
        <w:trPr>
          <w:trHeight w:val="53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040309002002</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混凝土栏杆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1、混凝土材料栏杆更换维修</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695.38</w:t>
            </w:r>
            <w:r/>
          </w:p>
        </w:tc>
      </w:tr>
      <w:tr>
        <w:trPr>
          <w:trHeight w:val="53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040309007002</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锥坡、墙面裂缝维修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1、锥坡、墙面裂缝维修 环氧</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702.64</w:t>
            </w:r>
            <w:r/>
          </w:p>
        </w:tc>
      </w:tr>
      <w:tr>
        <w:trPr>
          <w:trHeight w:val="772"/>
        </w:trPr>
        <w:tc>
          <w:tcPr>
            <w:gridSpan w:val="5"/>
            <w:tcBorders>
              <w:top w:val="single" w:color="000000" w:sz="4" w:space="0"/>
              <w:left w:val="single" w:color="000000" w:sz="8" w:space="0"/>
              <w:bottom w:val="single" w:color="000000" w:sz="8"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8"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040309001002</w:t>
            </w:r>
            <w:r/>
          </w:p>
        </w:tc>
        <w:tc>
          <w:tcPr>
            <w:gridSpan w:val="3"/>
            <w:tcBorders>
              <w:top w:val="single" w:color="000000" w:sz="4" w:space="0"/>
              <w:left w:val="single" w:color="000000" w:sz="4" w:space="0"/>
              <w:bottom w:val="single" w:color="000000" w:sz="8"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金属栏杆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1、钢栏杆防锈漆调和漆出新</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2、清单量按立（平）面投影面积（包括空隙面积）计算</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8"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211.79</w:t>
            </w:r>
            <w:r/>
          </w:p>
        </w:tc>
      </w:tr>
      <w:tr>
        <w:trPr>
          <w:trHeight w:val="887"/>
        </w:trPr>
        <w:tc>
          <w:tcPr>
            <w:gridSpan w:val="5"/>
            <w:tcBorders>
              <w:top w:val="single" w:color="000000" w:sz="4" w:space="0"/>
              <w:left w:val="single" w:color="000000" w:sz="8" w:space="0"/>
              <w:bottom w:val="single" w:color="000000" w:sz="4" w:space="0"/>
              <w:right w:val="single" w:color="000000" w:sz="4" w:space="0"/>
            </w:tcBorders>
            <w:tcW w:w="8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040309002003</w:t>
            </w:r>
            <w:r/>
          </w:p>
        </w:tc>
        <w:tc>
          <w:tcPr>
            <w:gridSpan w:val="3"/>
            <w:tcBorders>
              <w:top w:val="single" w:color="000000" w:sz="4" w:space="0"/>
              <w:left w:val="single" w:color="000000" w:sz="4" w:space="0"/>
              <w:bottom w:val="single" w:color="000000" w:sz="4" w:space="0"/>
              <w:right w:val="single" w:color="000000" w:sz="4" w:space="0"/>
            </w:tcBorders>
            <w:tcW w:w="5631"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石质及混凝土栏杆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1、石质栏杆去污、除锈、磨光、分层刷漆（二遍乳胶漆）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2、清单量按立（平）面投影面积（包括空隙面积）计算</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43.83</w:t>
            </w:r>
            <w:r/>
          </w:p>
        </w:tc>
      </w:tr>
      <w:tr>
        <w:trPr>
          <w:gridAfter w:val="1"/>
          <w:trHeight w:val="1328"/>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040303019001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桥梁锈胀露筋修复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1、凿除破碎混凝土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2、人工除锈钢筋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3、刷涂界面剂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4、聚合物砂浆或细石混凝土修补</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285.86</w:t>
            </w:r>
            <w:r/>
          </w:p>
        </w:tc>
      </w:tr>
      <w:tr>
        <w:trPr>
          <w:gridAfter w:val="1"/>
          <w:trHeight w:val="1064"/>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040303019002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桥梁混凝土破损修复</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1、凿除破碎混凝土</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2、刷涂界面剂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3、聚合物砂浆或细石混凝土修补</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280.24</w:t>
            </w:r>
            <w:r/>
          </w:p>
        </w:tc>
      </w:tr>
      <w:tr>
        <w:trPr>
          <w:gridAfter w:val="1"/>
          <w:trHeight w:val="537"/>
        </w:trPr>
        <w:tc>
          <w:tcPr>
            <w:gridSpan w:val="4"/>
            <w:tcBorders>
              <w:top w:val="single" w:color="000000" w:sz="4" w:space="0"/>
              <w:left w:val="single" w:color="000000" w:sz="8"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040309007003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桥梁结构性裂缝维修</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1、刷涂环氧树脂或聚合物修补胶液</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702.64</w:t>
            </w:r>
            <w:r/>
          </w:p>
        </w:tc>
      </w:tr>
      <w:tr>
        <w:trPr>
          <w:gridAfter w:val="1"/>
          <w:gridBefore w:val="1"/>
          <w:trHeight w:val="352"/>
        </w:trPr>
        <w:tc>
          <w:tcPr>
            <w:gridSpan w:val="11"/>
            <w:tcBorders>
              <w:top w:val="none" w:color="000000" w:sz="4" w:space="0"/>
              <w:left w:val="none" w:color="000000" w:sz="4" w:space="0"/>
              <w:bottom w:val="single" w:color="000000" w:sz="8" w:space="0"/>
              <w:right w:val="none" w:color="000000" w:sz="4" w:space="0"/>
            </w:tcBorders>
            <w:tcW w:w="997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工程名称：交通设施养护</w:t>
            </w:r>
            <w:r/>
          </w:p>
        </w:tc>
      </w:tr>
      <w:tr>
        <w:trPr>
          <w:gridAfter w:val="1"/>
          <w:gridBefore w:val="1"/>
          <w:trHeight w:val="347"/>
        </w:trPr>
        <w:tc>
          <w:tcPr>
            <w:gridSpan w:val="3"/>
            <w:shd w:val="clear" w:color="auto" w:fill="ffffff"/>
            <w:tcBorders>
              <w:top w:val="single" w:color="000000" w:sz="8" w:space="0"/>
              <w:left w:val="single" w:color="000000" w:sz="8" w:space="0"/>
              <w:bottom w:val="single" w:color="000000" w:sz="4" w:space="0"/>
              <w:right w:val="single" w:color="000000" w:sz="4" w:space="0"/>
            </w:tcBorders>
            <w:tcW w:w="741"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gridSpan w:val="3"/>
            <w:shd w:val="clear" w:color="auto" w:fill="ffffff"/>
            <w:tcBorders>
              <w:top w:val="single" w:color="000000" w:sz="8" w:space="0"/>
              <w:left w:val="single" w:color="000000" w:sz="4" w:space="0"/>
              <w:bottom w:val="single" w:color="000000" w:sz="4" w:space="0"/>
              <w:right w:val="single" w:color="000000" w:sz="4" w:space="0"/>
            </w:tcBorders>
            <w:tcW w:w="1920"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项目编码</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5436"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项目名称</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778"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全费用</w:t>
            </w:r>
            <w:r>
              <w:rPr>
                <w:rFonts w:hint="eastAsia" w:ascii="仿宋" w:hAnsi="仿宋" w:eastAsia="仿宋" w:cs="仿宋"/>
                <w:b/>
                <w:bCs/>
                <w:i w:val="0"/>
                <w:iCs w:val="0"/>
                <w:color w:val="000000"/>
                <w:sz w:val="24"/>
                <w:szCs w:val="24"/>
                <w:highlight w:val="none"/>
                <w:u w:val="none"/>
                <w:lang w:val="en-US" w:eastAsia="zh-CN" w:bidi="ar"/>
              </w:rPr>
              <w:br/>
            </w:r>
            <w:r>
              <w:rPr>
                <w:rFonts w:hint="eastAsia" w:ascii="仿宋" w:hAnsi="仿宋" w:eastAsia="仿宋" w:cs="仿宋"/>
                <w:b/>
                <w:bCs/>
                <w:i w:val="0"/>
                <w:iCs w:val="0"/>
                <w:color w:val="000000"/>
                <w:sz w:val="24"/>
                <w:szCs w:val="24"/>
                <w:highlight w:val="none"/>
                <w:u w:val="none"/>
                <w:lang w:val="en-US" w:eastAsia="zh-CN" w:bidi="ar"/>
              </w:rPr>
              <w:t xml:space="preserve">综合单价</w:t>
            </w:r>
            <w:r/>
          </w:p>
        </w:tc>
      </w:tr>
      <w:tr>
        <w:trPr>
          <w:gridAfter w:val="1"/>
          <w:gridBefore w:val="1"/>
          <w:trHeight w:val="89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040203006001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交通设施巡查费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1、含标志牌、警示柱、标杆、护栏等巡查费用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2、养护费用按照养护条例及业主要求执行考核，含巡查人员、车辆及值班费等全部费用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3、投标单价为两年的巡查费用,费用包干</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459995.57</w:t>
            </w:r>
            <w:r/>
          </w:p>
        </w:tc>
      </w:tr>
      <w:tr>
        <w:trPr>
          <w:gridAfter w:val="1"/>
          <w:gridBefore w:val="1"/>
          <w:trHeight w:val="5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040101001001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挖一般土方</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1、人工开挖基坑</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57.69</w:t>
            </w:r>
            <w:r/>
          </w:p>
        </w:tc>
      </w:tr>
      <w:tr>
        <w:trPr>
          <w:gridAfter w:val="1"/>
          <w:gridBefore w:val="1"/>
          <w:trHeight w:val="69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040303002001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混凝土基础</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1、混凝土强度等级:C30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2、不含模板</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650.01</w:t>
            </w:r>
            <w:r/>
          </w:p>
        </w:tc>
      </w:tr>
      <w:tr>
        <w:trPr>
          <w:gridAfter w:val="1"/>
          <w:gridBefore w:val="1"/>
          <w:trHeight w:val="309"/>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040901001001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现浇构件钢筋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1、钢筋规格:直径10以内</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6758.04</w:t>
            </w:r>
            <w:r/>
          </w:p>
        </w:tc>
      </w:tr>
      <w:tr>
        <w:trPr>
          <w:gridAfter w:val="1"/>
          <w:gridBefore w:val="1"/>
          <w:trHeight w:val="25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040901001002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现浇构件钢筋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1、钢筋规格:直径10以外</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6345.59</w:t>
            </w:r>
            <w:r/>
          </w:p>
        </w:tc>
      </w:tr>
      <w:tr>
        <w:trPr>
          <w:gridAfter w:val="1"/>
          <w:gridBefore w:val="1"/>
          <w:trHeight w:val="256"/>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040901009001</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预埋铁件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1、钢材种类:镀锌钢板预埋件</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t</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10837.42</w:t>
            </w:r>
            <w:r/>
          </w:p>
        </w:tc>
      </w:tr>
      <w:tr>
        <w:trPr>
          <w:gridAfter w:val="1"/>
          <w:gridBefore w:val="1"/>
          <w:trHeight w:val="97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2、杆高8.7m，直径299*12mm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5715.95</w:t>
            </w:r>
            <w:r/>
          </w:p>
        </w:tc>
      </w:tr>
      <w:tr>
        <w:trPr>
          <w:gridAfter w:val="1"/>
          <w:gridBefore w:val="1"/>
          <w:trHeight w:val="57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2、杆高8m，直径299*12mm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5256.83</w:t>
            </w:r>
            <w:r/>
          </w:p>
        </w:tc>
      </w:tr>
      <w:tr>
        <w:trPr>
          <w:gridAfter w:val="1"/>
          <w:gridBefore w:val="1"/>
          <w:trHeight w:val="99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2、杆高7.3m，直径273*8mm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3675.39</w:t>
            </w:r>
            <w:r/>
          </w:p>
        </w:tc>
      </w:tr>
      <w:tr>
        <w:trPr>
          <w:gridAfter w:val="1"/>
          <w:gridBefore w:val="1"/>
          <w:trHeight w:val="75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040205003004</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2、杆高6.5m，直径159*8mm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2042.93</w:t>
            </w:r>
            <w:r/>
          </w:p>
        </w:tc>
      </w:tr>
      <w:tr>
        <w:trPr>
          <w:gridAfter w:val="1"/>
          <w:gridBefore w:val="1"/>
          <w:trHeight w:val="6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2、杆高4.5m，直径102*5mm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512.51</w:t>
            </w:r>
            <w:r/>
          </w:p>
        </w:tc>
      </w:tr>
      <w:tr>
        <w:trPr>
          <w:gridAfter w:val="1"/>
          <w:gridBefore w:val="1"/>
          <w:trHeight w:val="81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2、杆高3.5m，直径102*5mm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410.47</w:t>
            </w:r>
            <w:r/>
          </w:p>
        </w:tc>
      </w:tr>
      <w:tr>
        <w:trPr>
          <w:gridAfter w:val="1"/>
          <w:gridBefore w:val="1"/>
          <w:trHeight w:val="110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040205003007</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2、杆高3.5m，直径76*3mm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257.44</w:t>
            </w:r>
            <w:r/>
          </w:p>
        </w:tc>
      </w:tr>
      <w:tr>
        <w:trPr>
          <w:gridAfter w:val="1"/>
          <w:gridBefore w:val="1"/>
          <w:trHeight w:val="828"/>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040205003008</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2、杆高3m，直径102*4mm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359.46</w:t>
            </w:r>
            <w:r/>
          </w:p>
        </w:tc>
      </w:tr>
      <w:tr>
        <w:trPr>
          <w:gridAfter w:val="1"/>
          <w:gridBefore w:val="1"/>
          <w:trHeight w:val="84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040205003009</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2、杆高2.5m，直径102*4mm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308.45</w:t>
            </w:r>
            <w:r/>
          </w:p>
        </w:tc>
      </w:tr>
      <w:tr>
        <w:trPr>
          <w:gridAfter w:val="1"/>
          <w:gridBefore w:val="1"/>
          <w:trHeight w:val="74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1、标杆横杆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2、横杆用热轧无缝钢管，钢材全部用Q235型钢，钢材表面热镀锌、喷塑</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5816.13</w:t>
            </w:r>
            <w:r/>
          </w:p>
        </w:tc>
      </w:tr>
      <w:tr>
        <w:trPr>
          <w:gridAfter w:val="1"/>
          <w:gridBefore w:val="1"/>
          <w:trHeight w:val="105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2、杆高3m，直径76*3mm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371.36</w:t>
            </w:r>
            <w:r/>
          </w:p>
        </w:tc>
      </w:tr>
      <w:tr>
        <w:trPr>
          <w:gridAfter w:val="1"/>
          <w:gridBefore w:val="1"/>
          <w:trHeight w:val="549"/>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040205003012</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2、杆高3m，直径89*3mm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381.57</w:t>
            </w:r>
            <w:r/>
          </w:p>
        </w:tc>
      </w:tr>
      <w:tr>
        <w:trPr>
          <w:gridAfter w:val="1"/>
          <w:gridBefore w:val="1"/>
          <w:trHeight w:val="78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2、杆高3.5m，直径89*4mm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412.17</w:t>
            </w:r>
            <w:r/>
          </w:p>
        </w:tc>
      </w:tr>
      <w:tr>
        <w:trPr>
          <w:gridAfter w:val="1"/>
          <w:gridBefore w:val="1"/>
          <w:trHeight w:val="84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2、杆高4.5m，直径89*4mm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432.58</w:t>
            </w:r>
            <w:r/>
          </w:p>
        </w:tc>
      </w:tr>
      <w:tr>
        <w:trPr>
          <w:gridAfter w:val="1"/>
          <w:gridBefore w:val="1"/>
          <w:trHeight w:val="51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2、杆高5m，直径159*8mm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1677.32</w:t>
            </w:r>
            <w:r/>
          </w:p>
        </w:tc>
      </w:tr>
      <w:tr>
        <w:trPr>
          <w:gridAfter w:val="1"/>
          <w:gridBefore w:val="1"/>
          <w:trHeight w:val="75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040205003016</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2、杆高2.5m，直径89*3mm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350.96</w:t>
            </w:r>
            <w:r/>
          </w:p>
        </w:tc>
      </w:tr>
      <w:tr>
        <w:trPr>
          <w:gridAfter w:val="1"/>
          <w:gridBefore w:val="1"/>
          <w:trHeight w:val="60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040205003017</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1、立柱用热轧无缝钢管，钢材全部用Q235型钢，钢材表面热镀锌、喷塑</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2、杆高3m，直径89*3mm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371.36</w:t>
            </w:r>
            <w:r/>
          </w:p>
        </w:tc>
      </w:tr>
      <w:tr>
        <w:trPr>
          <w:gridAfter w:val="1"/>
          <w:gridBefore w:val="1"/>
          <w:trHeight w:val="81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1、材质、规格尺寸:5250*2750*3mm铝合金板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6673.83</w:t>
            </w:r>
            <w:r/>
          </w:p>
        </w:tc>
      </w:tr>
      <w:tr>
        <w:trPr>
          <w:gridAfter w:val="1"/>
          <w:gridBefore w:val="1"/>
          <w:trHeight w:val="84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1、材质、规格尺寸:4000*2400*3mm铝合金板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4913.08</w:t>
            </w:r>
            <w:r/>
          </w:p>
        </w:tc>
      </w:tr>
      <w:tr>
        <w:trPr>
          <w:gridAfter w:val="1"/>
          <w:gridBefore w:val="1"/>
          <w:trHeight w:val="806"/>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040205004003</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1、材质、规格尺寸:3000*2400*3mm铝合金板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4035.63</w:t>
            </w:r>
            <w:r/>
          </w:p>
        </w:tc>
      </w:tr>
      <w:tr>
        <w:trPr>
          <w:gridAfter w:val="1"/>
          <w:gridBefore w:val="1"/>
          <w:trHeight w:val="85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1、材质、规格尺寸:3500*1800*3mm铝合金板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3591.79</w:t>
            </w:r>
            <w:r/>
          </w:p>
        </w:tc>
      </w:tr>
      <w:tr>
        <w:trPr>
          <w:gridAfter w:val="1"/>
          <w:gridBefore w:val="1"/>
          <w:trHeight w:val="73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1、材质、规格尺寸:4000*1800*3mm铝合金板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3933.59</w:t>
            </w:r>
            <w:r/>
          </w:p>
        </w:tc>
      </w:tr>
      <w:tr>
        <w:trPr>
          <w:gridAfter w:val="1"/>
          <w:gridBefore w:val="1"/>
          <w:trHeight w:val="79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1、材质、规格尺寸:3000*1800*3mm铝合金板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3045.93</w:t>
            </w:r>
            <w:r/>
          </w:p>
        </w:tc>
      </w:tr>
      <w:tr>
        <w:trPr>
          <w:gridAfter w:val="1"/>
          <w:gridBefore w:val="1"/>
          <w:trHeight w:val="645"/>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040205004007</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1、材质、规格尺寸:1500*450*2mm双面铝合金板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893.41</w:t>
            </w:r>
            <w:r/>
          </w:p>
        </w:tc>
      </w:tr>
      <w:tr>
        <w:trPr>
          <w:gridAfter w:val="1"/>
          <w:gridBefore w:val="1"/>
          <w:trHeight w:val="84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040205004008</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1、材质、规格尺寸:600*600*2mm铝合金板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384.78</w:t>
            </w:r>
            <w:r/>
          </w:p>
        </w:tc>
      </w:tr>
      <w:tr>
        <w:trPr>
          <w:gridAfter w:val="1"/>
          <w:gridBefore w:val="1"/>
          <w:trHeight w:val="65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040205004009</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1、材质、规格尺寸:800*800*2mm铝合金板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529.67</w:t>
            </w:r>
            <w:r/>
          </w:p>
        </w:tc>
      </w:tr>
      <w:tr>
        <w:trPr>
          <w:gridAfter w:val="1"/>
          <w:gridBefore w:val="1"/>
          <w:trHeight w:val="51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1、材质、规格尺寸:800*600*2mm铝合金板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454.17</w:t>
            </w:r>
            <w:r/>
          </w:p>
        </w:tc>
      </w:tr>
      <w:tr>
        <w:trPr>
          <w:gridAfter w:val="1"/>
          <w:gridBefore w:val="1"/>
          <w:trHeight w:val="657"/>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040205004011</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1、材质、规格尺寸:700*400*2mm铝合金板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362.35</w:t>
            </w:r>
            <w:r/>
          </w:p>
        </w:tc>
      </w:tr>
      <w:tr>
        <w:trPr>
          <w:gridAfter w:val="1"/>
          <w:gridBefore w:val="1"/>
          <w:trHeight w:val="49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1、材质、规格尺寸:φ600*2mm铝合金板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362.73</w:t>
            </w:r>
            <w:r/>
          </w:p>
        </w:tc>
      </w:tr>
      <w:tr>
        <w:trPr>
          <w:gridAfter w:val="1"/>
          <w:gridBefore w:val="1"/>
          <w:trHeight w:val="69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1、材质、规格尺寸:φ800*2mm铝合金板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396.42</w:t>
            </w:r>
            <w:r/>
          </w:p>
        </w:tc>
      </w:tr>
      <w:tr>
        <w:trPr>
          <w:gridAfter w:val="1"/>
          <w:gridBefore w:val="1"/>
          <w:trHeight w:val="57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1、材质、规格尺寸:400*600*2mm铝合金板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356.22</w:t>
            </w:r>
            <w:r/>
          </w:p>
        </w:tc>
      </w:tr>
      <w:tr>
        <w:trPr>
          <w:gridAfter w:val="1"/>
          <w:gridBefore w:val="1"/>
          <w:trHeight w:val="818"/>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040205004015</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1、材质、规格尺寸:1420*600*2mm铝合金板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613.13</w:t>
            </w:r>
            <w:r/>
          </w:p>
        </w:tc>
      </w:tr>
      <w:tr>
        <w:trPr>
          <w:gridAfter w:val="1"/>
          <w:gridBefore w:val="1"/>
          <w:trHeight w:val="70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1、材质、规格尺寸:△900*2mm铝合金板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515.06</w:t>
            </w:r>
            <w:r/>
          </w:p>
        </w:tc>
      </w:tr>
      <w:tr>
        <w:trPr>
          <w:gridAfter w:val="1"/>
          <w:gridBefore w:val="1"/>
          <w:trHeight w:val="94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040205004017</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1、材质、规格尺寸:φ800*2mm八角铝合金板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549.51</w:t>
            </w:r>
            <w:r/>
          </w:p>
        </w:tc>
      </w:tr>
      <w:tr>
        <w:trPr>
          <w:gridAfter w:val="1"/>
          <w:gridBefore w:val="1"/>
          <w:trHeight w:val="84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040205004018</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1、材质、规格尺寸:φ600*2mm八角铝合金板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362.80</w:t>
            </w:r>
            <w:r/>
          </w:p>
        </w:tc>
      </w:tr>
      <w:tr>
        <w:trPr>
          <w:gridAfter w:val="1"/>
          <w:gridBefore w:val="1"/>
          <w:trHeight w:val="624"/>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040205004019</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1、材质、规格尺寸:1200*600*2mm铝合金板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541.90</w:t>
            </w:r>
            <w:r/>
          </w:p>
        </w:tc>
      </w:tr>
      <w:tr>
        <w:trPr>
          <w:gridAfter w:val="1"/>
          <w:gridBefore w:val="1"/>
          <w:trHeight w:val="374"/>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1、材质、规格尺寸:1000*1000*2mm铝合金板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584.77</w:t>
            </w:r>
            <w:r/>
          </w:p>
        </w:tc>
      </w:tr>
      <w:tr>
        <w:trPr>
          <w:gridAfter w:val="1"/>
          <w:gridBefore w:val="1"/>
          <w:trHeight w:val="60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1、材质、规格尺寸:△700*2mm铝合金板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419.23</w:t>
            </w:r>
            <w:r/>
          </w:p>
        </w:tc>
      </w:tr>
      <w:tr>
        <w:trPr>
          <w:gridAfter w:val="1"/>
          <w:gridBefore w:val="1"/>
          <w:trHeight w:val="50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1、材质、规格尺寸:1000*800*2mm铝合金板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554.16</w:t>
            </w:r>
            <w:r/>
          </w:p>
        </w:tc>
      </w:tr>
      <w:tr>
        <w:trPr>
          <w:gridAfter w:val="1"/>
          <w:gridBefore w:val="1"/>
          <w:trHeight w:val="571"/>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040205004023</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1、材质、规格尺寸:1000*2000*2mm铝合金板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995.12</w:t>
            </w:r>
            <w:r/>
          </w:p>
        </w:tc>
      </w:tr>
      <w:tr>
        <w:trPr>
          <w:gridAfter w:val="1"/>
          <w:gridBefore w:val="1"/>
          <w:trHeight w:val="54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1、材质、规格尺寸:φ1000*2mm铝合金板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551.87</w:t>
            </w:r>
            <w:r/>
          </w:p>
        </w:tc>
      </w:tr>
      <w:tr>
        <w:trPr>
          <w:gridAfter w:val="1"/>
          <w:gridBefore w:val="1"/>
          <w:trHeight w:val="76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1、材质、规格尺寸:2600*900*2mm铝合金板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1608.32</w:t>
            </w:r>
            <w:r/>
          </w:p>
        </w:tc>
      </w:tr>
      <w:tr>
        <w:trPr>
          <w:gridAfter w:val="1"/>
          <w:gridBefore w:val="1"/>
          <w:trHeight w:val="69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1、材质、规格尺寸:1600*600*2mm铝合金板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609.27</w:t>
            </w:r>
            <w:r/>
          </w:p>
        </w:tc>
      </w:tr>
      <w:tr>
        <w:trPr>
          <w:gridAfter w:val="1"/>
          <w:gridBefore w:val="1"/>
          <w:trHeight w:val="59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040205004027</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1、材质、规格尺寸:800*1200*2mm铝合金板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2、板面反光膜等级:标志板反光膜喷塑做字（3M膜）</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614.37</w:t>
            </w:r>
            <w:r/>
          </w:p>
        </w:tc>
      </w:tr>
      <w:tr>
        <w:trPr>
          <w:gridAfter w:val="1"/>
          <w:gridBefore w:val="1"/>
          <w:trHeight w:val="29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040205004028</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标志板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1、类型:拆除、清运指路标牌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2、吊车、卡车运输台班</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510.19</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040205004029</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张贴反光膜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1、张贴反光膜3M5</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153.05</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040205004030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清除反光膜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1、清除反光膜3M5</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28.75</w:t>
            </w:r>
            <w:r/>
          </w:p>
        </w:tc>
      </w:tr>
      <w:tr>
        <w:trPr>
          <w:gridAfter w:val="1"/>
          <w:gridBefore w:val="1"/>
          <w:trHeight w:val="9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040205006001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1、材料品种:黄白色热熔标线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2、工艺:表面撒玻璃微珠含量0.3~0.4kg/m2，均匀分布</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3、厚度:厚度1.8±0.2mm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50.82</w:t>
            </w:r>
            <w:r/>
          </w:p>
        </w:tc>
      </w:tr>
      <w:tr>
        <w:trPr>
          <w:gridAfter w:val="1"/>
          <w:gridBefore w:val="1"/>
          <w:trHeight w:val="241"/>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040205006002</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1、材料品种:道路标线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2、工艺:冷喷</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46.00</w:t>
            </w:r>
            <w:r/>
          </w:p>
        </w:tc>
      </w:tr>
      <w:tr>
        <w:trPr>
          <w:gridAfter w:val="1"/>
          <w:gridBefore w:val="1"/>
          <w:trHeight w:val="101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040205006003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标线（震荡线）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1、材料品种:喷塑高强度热熔标线漆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2、工艺:标线表面撒玻璃微珠含量0.3~0.34kg/m2，均匀分布</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3、厚度:5mm</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4、其他技术参数:详见设计图纸</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96.35</w:t>
            </w:r>
            <w:r/>
          </w:p>
        </w:tc>
      </w:tr>
      <w:tr>
        <w:trPr>
          <w:gridAfter w:val="1"/>
          <w:gridBefore w:val="1"/>
          <w:trHeight w:val="17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040205006004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1、材料品种:彩色标线（不含黄白色）</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2、厚度:厚度1.8±0.2mm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55.44</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040205009001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清除标线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1、高压水冲洗标线</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57.50</w:t>
            </w:r>
            <w:r/>
          </w:p>
        </w:tc>
      </w:tr>
      <w:tr>
        <w:trPr>
          <w:gridAfter w:val="1"/>
          <w:gridBefore w:val="1"/>
          <w:trHeight w:val="46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040205019001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减速垄</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1、材料品种:铸钢减速带</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2、规格、型号:L*350*50mm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199.54</w:t>
            </w:r>
            <w:r/>
          </w:p>
        </w:tc>
      </w:tr>
      <w:tr>
        <w:trPr>
          <w:gridAfter w:val="1"/>
          <w:gridBefore w:val="1"/>
          <w:trHeight w:val="75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040205019002</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减速垄</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1、材料品种:黄黑橡胶减速垄，内嵌红色反光片30*50mm，内穿Φ5不锈钢圆钢</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2、规格、型号:L*350*50mm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117.10</w:t>
            </w:r>
            <w:r/>
          </w:p>
        </w:tc>
      </w:tr>
      <w:tr>
        <w:trPr>
          <w:gridAfter w:val="1"/>
          <w:gridBefore w:val="1"/>
          <w:trHeight w:val="264"/>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040205005001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视线诱导器</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1、类型:道路护栏反光轮廓标</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47.25</w:t>
            </w:r>
            <w:r/>
          </w:p>
        </w:tc>
      </w:tr>
      <w:tr>
        <w:trPr>
          <w:gridAfter w:val="1"/>
          <w:gridBefore w:val="1"/>
          <w:trHeight w:val="15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1、黄闪灯（含爆闪灯）</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1530.43</w:t>
            </w:r>
            <w:r/>
          </w:p>
        </w:tc>
      </w:tr>
      <w:tr>
        <w:trPr>
          <w:gridAfter w:val="1"/>
          <w:gridBefore w:val="1"/>
          <w:trHeight w:val="105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040205018001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警示柱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1、类型:道口标柱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2、材料品种:无缝钢管，管内满灌C20砼，外贴红白色II类反光膜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3、规格、型号:Φ76*1200mm，埋深0.4M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219.60</w:t>
            </w:r>
            <w:r/>
          </w:p>
        </w:tc>
      </w:tr>
      <w:tr>
        <w:trPr>
          <w:gridAfter w:val="1"/>
          <w:gridBefore w:val="1"/>
          <w:trHeight w:val="71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040205018002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警示柱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1、类型:道口标柱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2、材料品种:无缝钢管，管内满灌C20砼，外贴红白色II类反光膜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3、规格、型号:Φ89*1200mm，埋深0.4M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209.78</w:t>
            </w:r>
            <w:r/>
          </w:p>
        </w:tc>
      </w:tr>
      <w:tr>
        <w:trPr>
          <w:gridAfter w:val="1"/>
          <w:gridBefore w:val="1"/>
          <w:trHeight w:val="799"/>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040205018003</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警示柱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1、类型:道口标柱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2、材料品种:无缝钢管，管内满灌C20砼，外贴红白色II类反光膜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3、规格、型号:Φ114*1200mm，埋深0.4M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281.20</w:t>
            </w:r>
            <w:r/>
          </w:p>
        </w:tc>
      </w:tr>
      <w:tr>
        <w:trPr>
          <w:gridAfter w:val="1"/>
          <w:gridBefore w:val="1"/>
          <w:trHeight w:val="38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太阳能警示柱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1、采用铁板表面喷漆工艺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2、内部含多颗高亮LED灯珠</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2611.60</w:t>
            </w:r>
            <w:r/>
          </w:p>
        </w:tc>
      </w:tr>
      <w:tr>
        <w:trPr>
          <w:gridAfter w:val="1"/>
          <w:gridBefore w:val="1"/>
          <w:trHeight w:val="33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太阳能板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1、爆闪灯、警示柱等太阳能板（含安装）</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306.12</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1、护栏安装费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24.68</w:t>
            </w:r>
            <w:r/>
          </w:p>
        </w:tc>
      </w:tr>
      <w:tr>
        <w:trPr>
          <w:gridAfter w:val="1"/>
          <w:gridBefore w:val="1"/>
          <w:trHeight w:val="5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1、护栏拆除费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20.42</w:t>
            </w:r>
            <w:r/>
          </w:p>
        </w:tc>
      </w:tr>
      <w:tr>
        <w:trPr>
          <w:gridAfter w:val="1"/>
          <w:gridBefore w:val="1"/>
          <w:trHeight w:val="1328"/>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70</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040205012003</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1、道路护栏更换增补（3080*1100）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2、立柱：80*40*2.0热镀锌静电喷涂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3、底座：400*300*150热镀锌钢板填砼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4、上横杆：65*38*1.5 中下横杆：60*40*1.5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5、竖杆：40*40*1.5 装饰管：30*30*1.0</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205.09</w:t>
            </w:r>
            <w:r/>
          </w:p>
        </w:tc>
      </w:tr>
      <w:tr>
        <w:trPr>
          <w:gridAfter w:val="1"/>
          <w:gridBefore w:val="1"/>
          <w:trHeight w:val="165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1、道路护栏更换增补（3080*1100）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2、立柱：80*80*4.5热镀锌静电喷涂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3、底座：450*350*200热镀锌钢板填砼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4、横杆：60*40*4.0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5、外竖杆：60*30*4.0，内竖管16*16方钢S造型</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6、海鸥及广玉兰装饰</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388.12</w:t>
            </w:r>
            <w:r/>
          </w:p>
        </w:tc>
      </w:tr>
      <w:tr>
        <w:trPr>
          <w:gridAfter w:val="1"/>
          <w:gridBefore w:val="1"/>
          <w:trHeight w:val="1434"/>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040205012005</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1、道路护栏更换增补（3100*1200）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2、立柱：100*100*2.0热镀锌静电喷涂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3、底座：400*300*150热镀锌钢板填砼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4、上下横杆：80*40*1.5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5、竖杆：50*50*1.2</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6、装饰板：3mm厚钢板</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216.81</w:t>
            </w:r>
            <w:r/>
          </w:p>
        </w:tc>
      </w:tr>
      <w:tr>
        <w:trPr>
          <w:gridAfter w:val="1"/>
          <w:gridBefore w:val="1"/>
          <w:trHeight w:val="172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1、道路护栏更换增补（3100*1100）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2、立柱：100*100*2.0热镀锌静电喷涂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3、底座：250*320*150铸铁底座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4、上横杆：80*50*1.5，下横杆：80*35*1.5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5、竖杆：50*50*1.2</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204.06</w:t>
            </w:r>
            <w:r/>
          </w:p>
        </w:tc>
      </w:tr>
      <w:tr>
        <w:trPr>
          <w:gridAfter w:val="1"/>
          <w:gridBefore w:val="1"/>
          <w:trHeight w:val="171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74</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040205012007</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1、道路护栏更换增补（3100*800）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2、立柱：100*100*2.0热镀锌静电喷涂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3、底座：250*320*150铸铁底座</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4、上横杆：80*50*1.5，下横杆：80*35*1.5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5、竖杆：50*50*1.2</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153.04</w:t>
            </w:r>
            <w:r/>
          </w:p>
        </w:tc>
      </w:tr>
      <w:tr>
        <w:trPr>
          <w:gridAfter w:val="1"/>
          <w:gridBefore w:val="1"/>
          <w:trHeight w:val="218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040205012008</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1、道路护栏更换增补（3000*900）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2、立柱：6mm钢板切割与3mm厚470*340*180填砼底座整体焊接，宽160mm，高900mm，边板和封板为8mm厚钢板，贴超强工程级黄色反光膜，整体热镀锌静电喷涂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3、上下横杆：50*2.0钢管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4、竖杆：25*1.2钢管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5、上下套管：63*3.0钢管</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255.09</w:t>
            </w:r>
            <w:r/>
          </w:p>
        </w:tc>
      </w:tr>
      <w:tr>
        <w:trPr>
          <w:gridAfter w:val="1"/>
          <w:gridBefore w:val="1"/>
          <w:trHeight w:val="2009"/>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040205012009</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1、道路护栏更换增补（3080*1000）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2、立柱：80*80*1.5热镀锌静电喷涂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3、底座：400*300*150热镀锌钢板填砼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4、上横杆：60*40*1.2中下横杆：60*40*1.5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5、竖杆：20*40*1.0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6、装饰板：2mm厚钢板</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198.96</w:t>
            </w:r>
            <w:r/>
          </w:p>
        </w:tc>
      </w:tr>
      <w:tr>
        <w:trPr>
          <w:gridAfter w:val="1"/>
          <w:gridBefore w:val="1"/>
          <w:trHeight w:val="114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1、道路护栏更换增补（3080*900）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2、立柱：75*105*2.0热镀锌静电喷涂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3、底座：400*300*150热镀锌钢板填砼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4、上横杆：65*45*1.5中下横杆：65*38*1.5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5、竖杆：85*25*1.5“S”型管贴蓝色反光膜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173.45</w:t>
            </w:r>
            <w:r/>
          </w:p>
        </w:tc>
      </w:tr>
      <w:tr>
        <w:trPr>
          <w:gridAfter w:val="1"/>
          <w:gridBefore w:val="1"/>
          <w:trHeight w:val="1104"/>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隔离缓降护栏(不含立柱)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1、道路护栏更换增补（3100*1100/800）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2、立柱：100*100*2.0热镀锌静电喷涂</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3、底座：400*300*150热镀锌钢板填砼</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4、上横杆：80*50*1.5，下横杆：80*35*1.5</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5、竖杆：50*50*1.2</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244.87</w:t>
            </w:r>
            <w:r/>
          </w:p>
        </w:tc>
      </w:tr>
      <w:tr>
        <w:trPr>
          <w:gridAfter w:val="1"/>
          <w:gridBefore w:val="1"/>
          <w:trHeight w:val="943"/>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040205012012</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1、材质：热镀锌方管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2、规格尺寸：100*100*2.0mm</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244.38</w:t>
            </w:r>
            <w:r/>
          </w:p>
        </w:tc>
      </w:tr>
      <w:tr>
        <w:trPr>
          <w:gridAfter w:val="1"/>
          <w:gridBefore w:val="1"/>
          <w:trHeight w:val="103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1、材质：热镀锌钢板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2、规格尺寸：6mm钢板切割与3mm厚470*340*180底座整体焊接，宽160mm，内灌C20混凝土，两面贴超强工程级黄色反光膜</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503.12</w:t>
            </w:r>
            <w:r/>
          </w:p>
        </w:tc>
      </w:tr>
      <w:tr>
        <w:trPr>
          <w:gridAfter w:val="1"/>
          <w:gridBefore w:val="1"/>
          <w:trHeight w:val="172"/>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040205012014</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1、材质：热镀锌方管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2、规格尺寸：80*80*1.5mm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230.00</w:t>
            </w:r>
            <w:r/>
          </w:p>
        </w:tc>
      </w:tr>
      <w:tr>
        <w:trPr>
          <w:gridAfter w:val="1"/>
          <w:gridBefore w:val="1"/>
          <w:trHeight w:val="30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1、材质：热镀锌异型管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2、规格尺寸：75*105*2.0mm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230.00</w:t>
            </w:r>
            <w:r/>
          </w:p>
        </w:tc>
      </w:tr>
      <w:tr>
        <w:trPr>
          <w:gridAfter w:val="1"/>
          <w:gridBefore w:val="1"/>
          <w:trHeight w:val="24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隔离护栏立柱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1、材质：热镀锌方管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2、规格尺寸：80*80*4.5mm，带圆形装饰球</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390.99</w:t>
            </w:r>
            <w:r/>
          </w:p>
        </w:tc>
      </w:tr>
      <w:tr>
        <w:trPr>
          <w:gridAfter w:val="1"/>
          <w:gridBefore w:val="1"/>
          <w:trHeight w:val="80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040205012017</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波形护栏二波板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1、规格参考黄山路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2、含运输、安装费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183.66</w:t>
            </w:r>
            <w:r/>
          </w:p>
        </w:tc>
      </w:tr>
      <w:tr>
        <w:trPr>
          <w:gridAfter w:val="1"/>
          <w:gridBefore w:val="1"/>
          <w:trHeight w:val="465"/>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85</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040205012018</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波形护栏立柱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1、规格：φ114*5.0*2500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2、含运输、安装费</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267.57</w:t>
            </w:r>
            <w:r/>
          </w:p>
        </w:tc>
      </w:tr>
      <w:tr>
        <w:trPr>
          <w:gridAfter w:val="1"/>
          <w:gridBefore w:val="1"/>
          <w:trHeight w:val="506"/>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040205012019</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波形护栏立柱</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1、规格：φ140*6.0*2500</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2、含运输、安装费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394.75</w:t>
            </w:r>
            <w:r/>
          </w:p>
        </w:tc>
      </w:tr>
      <w:tr>
        <w:trPr>
          <w:gridAfter w:val="1"/>
          <w:gridBefore w:val="1"/>
          <w:trHeight w:val="80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040205005002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波形护栏防阻块</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1、规格参考黄山路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2、含运输、安装费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40.81</w:t>
            </w:r>
            <w:r/>
          </w:p>
        </w:tc>
      </w:tr>
      <w:tr>
        <w:trPr>
          <w:gridAfter w:val="1"/>
          <w:gridBefore w:val="1"/>
          <w:trHeight w:val="80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040205005003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护栏端头</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1、规格参考黄山路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2、含运输、安装费</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92.00</w:t>
            </w:r>
            <w:r/>
          </w:p>
        </w:tc>
      </w:tr>
      <w:tr>
        <w:trPr>
          <w:gridAfter w:val="1"/>
          <w:gridBefore w:val="1"/>
          <w:trHeight w:val="49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040205001001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信号灯井盖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1、材料品种:铸铁工井盖</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2、规格尺寸:550*450mm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670.46</w:t>
            </w:r>
            <w:r/>
          </w:p>
        </w:tc>
      </w:tr>
      <w:tr>
        <w:trPr>
          <w:gridAfter w:val="1"/>
          <w:gridBefore w:val="1"/>
          <w:trHeight w:val="287"/>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040205001002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沙桶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1、消防沙桶</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25.51</w:t>
            </w:r>
            <w:r/>
          </w:p>
        </w:tc>
      </w:tr>
      <w:tr>
        <w:trPr>
          <w:gridAfter w:val="1"/>
          <w:gridBefore w:val="1"/>
          <w:trHeight w:val="1668"/>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91</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040205014004</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人行信号灯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1、采用发光二极管（LED）为光源的信号灯，发光单元透面光尺寸为Ф300，可视距离大于 300 米</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2、外壳采用压铸铝成型，黑色亚光喷塑防护</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3、各项技术要求应符合《道路交通信号灯》GB14877-2011 中相关规定</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1572.86</w:t>
            </w:r>
            <w:r/>
          </w:p>
        </w:tc>
      </w:tr>
      <w:tr>
        <w:trPr>
          <w:gridAfter w:val="1"/>
          <w:gridBefore w:val="1"/>
          <w:trHeight w:val="56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041001010001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拆除路名牌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1、类型:拆除路名牌</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30.62</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040205004031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安装路名牌</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1、路名牌安装</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32.65</w:t>
            </w:r>
            <w:r/>
          </w:p>
        </w:tc>
      </w:tr>
      <w:tr>
        <w:trPr>
          <w:gridAfter w:val="1"/>
          <w:gridBefore w:val="1"/>
          <w:trHeight w:val="5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030903004001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紧固件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1、类型：抱箍</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20.70</w:t>
            </w:r>
            <w:r/>
          </w:p>
        </w:tc>
      </w:tr>
      <w:tr>
        <w:trPr>
          <w:gridAfter w:val="1"/>
          <w:gridBefore w:val="1"/>
          <w:trHeight w:val="34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040205004032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广角反光镜</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1、规格尺寸：直径800</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510.19</w:t>
            </w:r>
            <w:r/>
          </w:p>
        </w:tc>
      </w:tr>
      <w:tr>
        <w:trPr>
          <w:gridAfter w:val="1"/>
          <w:gridBefore w:val="1"/>
          <w:trHeight w:val="30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040205015001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信号机</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1、类型:HT2000A-1交通信号控制机      </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2、尺寸：1500*600*400mm</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35709.92</w:t>
            </w:r>
            <w:r/>
          </w:p>
        </w:tc>
      </w:tr>
      <w:tr>
        <w:trPr>
          <w:gridAfter w:val="1"/>
          <w:gridBefore w:val="1"/>
          <w:trHeight w:val="5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040205014005</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1、满屏灯盘</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3511.58</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040205014006</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信号灯配件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1、灯驱</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3449.97</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040205014007</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信号灯配件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1、电源</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1724.98</w:t>
            </w:r>
            <w:r/>
          </w:p>
        </w:tc>
      </w:tr>
      <w:tr>
        <w:trPr>
          <w:gridAfter w:val="1"/>
          <w:gridBefore w:val="1"/>
          <w:trHeight w:val="55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040205014008</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信号灯配件</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1、总驱</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7244.93</w:t>
            </w:r>
            <w:r/>
          </w:p>
        </w:tc>
      </w:tr>
      <w:tr>
        <w:trPr>
          <w:gridAfter w:val="1"/>
          <w:gridBefore w:val="1"/>
          <w:trHeight w:val="701"/>
        </w:trPr>
        <w:tc>
          <w:tcPr>
            <w:gridSpan w:val="3"/>
            <w:tcBorders>
              <w:top w:val="single" w:color="000000" w:sz="4" w:space="0"/>
              <w:left w:val="single" w:color="000000" w:sz="8" w:space="0"/>
              <w:bottom w:val="single" w:color="000000" w:sz="8"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101</w:t>
            </w:r>
            <w:r/>
          </w:p>
        </w:tc>
        <w:tc>
          <w:tcPr>
            <w:gridSpan w:val="3"/>
            <w:tcBorders>
              <w:top w:val="single" w:color="000000" w:sz="4" w:space="0"/>
              <w:left w:val="single" w:color="000000" w:sz="4" w:space="0"/>
              <w:bottom w:val="single" w:color="000000" w:sz="8"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030408001001</w:t>
            </w:r>
            <w:r/>
          </w:p>
        </w:tc>
        <w:tc>
          <w:tcPr>
            <w:gridSpan w:val="2"/>
            <w:tcBorders>
              <w:top w:val="single" w:color="000000" w:sz="4" w:space="0"/>
              <w:left w:val="single" w:color="000000" w:sz="4" w:space="0"/>
              <w:bottom w:val="single" w:color="000000" w:sz="8"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电力电缆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1、名称:供电电缆</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2、规格:YJV 3×6mm2</w:t>
            </w:r>
            <w:r/>
          </w:p>
        </w:tc>
        <w:tc>
          <w:tcPr>
            <w:gridSpan w:val="2"/>
            <w:tcBorders>
              <w:top w:val="single" w:color="000000" w:sz="4" w:space="0"/>
              <w:left w:val="single" w:color="000000" w:sz="4" w:space="0"/>
              <w:bottom w:val="single" w:color="000000" w:sz="8"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8"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31.72</w:t>
            </w:r>
            <w:r/>
          </w:p>
        </w:tc>
      </w:tr>
      <w:tr>
        <w:trPr>
          <w:gridAfter w:val="1"/>
          <w:gridBefore w:val="1"/>
          <w:trHeight w:val="640"/>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040205016001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管内配线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1、规格:电源线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2、型号:RVV-4*2.5mm2铜芯电缆线</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17.46</w:t>
            </w:r>
            <w:r/>
          </w:p>
        </w:tc>
      </w:tr>
      <w:tr>
        <w:trPr>
          <w:gridAfter w:val="1"/>
          <w:gridBefore w:val="1"/>
          <w:trHeight w:val="653"/>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040205016002</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管内配线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1、规格:电源线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2、型号:RVV-3*2.5mm2铜芯电缆线</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13.65</w:t>
            </w:r>
            <w:r/>
          </w:p>
        </w:tc>
      </w:tr>
      <w:tr>
        <w:trPr>
          <w:gridAfter w:val="1"/>
          <w:gridBefore w:val="1"/>
          <w:trHeight w:val="568"/>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104</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040205016003</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管内配线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1、规格:电源线</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2、型号:RVV-2*2.5mm2铜芯电缆线</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9.58</w:t>
            </w:r>
            <w:r/>
          </w:p>
        </w:tc>
      </w:tr>
      <w:tr>
        <w:trPr>
          <w:gridAfter w:val="1"/>
          <w:gridBefore w:val="1"/>
          <w:trHeight w:val="565"/>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040205014009</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1、倒计时器</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3052.48</w:t>
            </w:r>
            <w:r/>
          </w:p>
        </w:tc>
      </w:tr>
      <w:tr>
        <w:trPr>
          <w:gridAfter w:val="1"/>
          <w:gridBefore w:val="1"/>
          <w:trHeight w:val="48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040205014010</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信号灯</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1、更换倒计时器芯片</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1923.37</w:t>
            </w:r>
            <w:r/>
          </w:p>
        </w:tc>
      </w:tr>
      <w:tr>
        <w:trPr>
          <w:gridAfter w:val="1"/>
          <w:gridBefore w:val="1"/>
          <w:trHeight w:val="51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040205002001</w:t>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电缆保护管</w:t>
            </w:r>
            <w:r>
              <w:rPr>
                <w:rFonts w:hint="eastAsia" w:ascii="仿宋" w:hAnsi="仿宋" w:eastAsia="仿宋" w:cs="仿宋"/>
                <w:i w:val="0"/>
                <w:iCs w:val="0"/>
                <w:color w:val="000000"/>
                <w:sz w:val="24"/>
                <w:szCs w:val="24"/>
                <w:highlight w:val="none"/>
                <w:u w:val="none"/>
                <w:lang w:val="en-US" w:eastAsia="zh-CN" w:bidi="ar"/>
              </w:rPr>
              <w:br/>
            </w:r>
            <w:r>
              <w:rPr>
                <w:rFonts w:hint="eastAsia" w:ascii="仿宋" w:hAnsi="仿宋" w:eastAsia="仿宋" w:cs="仿宋"/>
                <w:i w:val="0"/>
                <w:iCs w:val="0"/>
                <w:color w:val="000000"/>
                <w:sz w:val="24"/>
                <w:szCs w:val="24"/>
                <w:highlight w:val="none"/>
                <w:u w:val="none"/>
                <w:lang w:val="en-US" w:eastAsia="zh-CN" w:bidi="ar"/>
              </w:rPr>
              <w:t xml:space="preserve">1、材质、规格尺寸: Φ75*4.5</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37.82</w:t>
            </w:r>
            <w:r/>
          </w:p>
        </w:tc>
      </w:tr>
      <w:tr>
        <w:trPr>
          <w:gridAfter w:val="1"/>
          <w:gridBefore w:val="1"/>
          <w:trHeight w:val="51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各类零星点工，必须经建设单位签证认可</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132</w:t>
            </w:r>
            <w:r/>
          </w:p>
        </w:tc>
      </w:tr>
      <w:tr>
        <w:trPr>
          <w:gridAfter w:val="1"/>
          <w:gridBefore w:val="1"/>
          <w:trHeight w:val="51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暂列金</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2000000</w:t>
            </w:r>
            <w:r/>
          </w:p>
        </w:tc>
      </w:tr>
      <w:tr>
        <w:trPr>
          <w:gridAfter w:val="1"/>
          <w:gridBefore w:val="1"/>
          <w:trHeight w:val="511"/>
        </w:trPr>
        <w:tc>
          <w:tcPr>
            <w:gridSpan w:val="3"/>
            <w:tcBorders>
              <w:top w:val="single" w:color="000000" w:sz="4" w:space="0"/>
              <w:left w:val="single" w:color="000000" w:sz="8" w:space="0"/>
              <w:bottom w:val="single" w:color="000000" w:sz="4" w:space="0"/>
              <w:right w:val="single" w:color="000000" w:sz="4" w:space="0"/>
            </w:tcBorders>
            <w:tcW w:w="741"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110</w:t>
            </w:r>
            <w:r/>
          </w:p>
        </w:tc>
        <w:tc>
          <w:tcPr>
            <w:gridSpan w:val="3"/>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436"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暂估价</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right"/>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200000</w:t>
            </w:r>
            <w:r/>
          </w:p>
        </w:tc>
      </w:tr>
    </w:tbl>
    <w:p>
      <w:pPr>
        <w:numPr>
          <w:ilvl w:val="0"/>
          <w:numId w:val="0"/>
        </w:numPr>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编制说明：</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   1、全费用单价包含但不仅限于施工所涉及的人工费、材料费、机械费、运输费、进退场费、安全文明施工措施费、其他各类措施费用、保险费以及管理费、利润、税金等一切费用在内。</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   2、所有拆除均需考虑清理外运，运距自行考虑，涉及的拆除物残值抵扣请投标单位结合实际综合考虑在投标报价中。</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   3、清单项目特征描述不全的，其做法必须满足施工规范及质量验收规范。</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   4、暂列金，暂估价为非竞争费用，投标时该单价按预算单价考虑，费用为包干费用。</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   5、具体施工路段、范围及方法必须根据建设单位制定。</w:t>
      </w:r>
      <w:r/>
    </w:p>
    <w:p>
      <w:pPr>
        <w:numPr>
          <w:ilvl w:val="0"/>
          <w:numId w:val="0"/>
        </w:numPr>
        <w:spacing w:line="5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采购标的需满足的服务标准、期限、效率等要求；</w:t>
      </w:r>
      <w:r/>
    </w:p>
    <w:p>
      <w:pPr>
        <w:numPr>
          <w:ilvl w:val="0"/>
          <w:numId w:val="0"/>
        </w:numPr>
        <w:ind w:firstLine="480"/>
        <w:keepLines w:val="0"/>
        <w:keepNext w:val="0"/>
        <w:pageBreakBefore w:val="0"/>
        <w:spacing w:line="500" w:lineRule="exact"/>
        <w:widowControl w:val="off"/>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项目实施必须根据道路养护等级决定巡查频率与维护时间期限。结合《城镇道路养护技术规范》、《城市桥梁养护技术标准》、《如东县城市综合交通规划（2015-2030）》，根据我区道路建设等级标准、道路区域内人员车辆密集度、商业繁华及分布等实际情况，城区区道路养护分为Ⅰ、Ⅱ、Ⅲ三个等级养护，具体详见招标文件附件《如东县城区市政道路（含交通设施）清单》和招标文件附件《如东县城区市政桥梁目录》。具体要求如下：</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1</w:t>
      </w:r>
      <w:r>
        <w:rPr>
          <w:rFonts w:hint="eastAsia" w:ascii="仿宋" w:hAnsi="仿宋" w:eastAsia="仿宋" w:cs="仿宋"/>
          <w:i w:val="0"/>
          <w:iCs w:val="0"/>
          <w:color w:val="auto"/>
          <w:sz w:val="24"/>
          <w:szCs w:val="24"/>
          <w:highlight w:val="none"/>
          <w:u w:val="none"/>
        </w:rPr>
        <w:t xml:space="preserve">）巡查：I等养护的城市道路一日一巡，II等养护的城市道路二日一巡，III等养护的道路三日一巡；I等养护的城市桥梁一日一巡，II等养护的城市桥梁三日一巡，III等养护的城市桥梁六日一巡。养护作业单位根据巡查内容、频率配备足量的巡查设备和专职的巡查人员，所有道路、桥梁的巡查责任都必须落实到个人，同时不得随意更换、调整巡查人员，如确需调整的，应经县城市基础设施管理处批准。巡查记录由养护作业单位项目负责人审核、签字后每三日上交县城市基础设施管理处。</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 道路日常巡查应包括下列内容：1.路面及附属设施外观完好情况，包括：①沉陷、坑槽、拥包、车辙、松散、搓板、翻浆、错台、检查井框与路面高差、剥落、啃边、缺失、破损、淤塞等损坏；②检查井盖、雨水篦完好情况；③积水情况。2.路基沉陷、变形、破损等。3.检查在道路范围内的作业对道路设施的影响。4.其它损坏及不正常现象。</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桥梁日常巡查应包括下列内容：1.桥面系及附属结构的外观情况：①平整性、裂缝、坑槽、拥包、车辙、桥头跳</w:t>
      </w:r>
      <w:r>
        <w:rPr>
          <w:rFonts w:hint="eastAsia" w:ascii="仿宋" w:hAnsi="仿宋" w:eastAsia="仿宋" w:cs="仿宋"/>
          <w:i w:val="0"/>
          <w:iCs w:val="0"/>
          <w:color w:val="auto"/>
          <w:sz w:val="24"/>
          <w:szCs w:val="24"/>
          <w:highlight w:val="none"/>
          <w:u w:val="none"/>
        </w:rPr>
        <w:t xml:space="preserve">车；②桥面泄水孔的堵塞、缺损；③人行道铺装、栏杆扶手、端柱等部位的污秽、破损、缺失、露筋、锈蚀等；④墩台、锥坡、翼墙的局部开裂、破损、塌陷等。2.上下部结构异常变化、缺陷、变形、沉降、位移，伸缩装置的阻塞、破损、连接松动、异响等情况。3.隧道洞口、洞门、衬砌、路面、排水设施、吊顶、内装饰等完好情况，有无渗水、漏水、给水情况，有无杂物、易燃易爆、有害物质等情况；4.城市道路管理条例中规定的各类违章现象。5.检查在桥梁安全保护区内的作业情况。6.桥梁限载标志、桥铭牌等完好情况。7.其它较明显的损坏及不正常现象。</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 巡查过程中发现问题要及时做好相应记录，做到事项、位置（必要时附相关参考影像资料）、数量、日期准确无误，记录详实，建立“一路一档”、“一桥一档”的巡查台账资料，并且根据派工单维修内容，及时在巡查台账资料内完善相关修复信息。同时，对危及车辆和行人安全的问题要立即采取相关措施，并及时向养护管理部门报告。</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认真履行社会责任，在巡查中发现非法挖掘、占道、非法接道等行为，立即向县城市基础设施管理处报告，经核实后，巡查单位及时向12345政府平台反映，并积极协助城管执法，督促责任单位按照相关程序办理相关手续，并恢复挖掘占用道路。做好相应台账记录，如因巡查单位未发现或未及时上报，后续跟踪不力而造成的相关损失，由巡查单位承担。</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2</w:t>
      </w:r>
      <w:r>
        <w:rPr>
          <w:rFonts w:hint="eastAsia" w:ascii="仿宋" w:hAnsi="仿宋" w:eastAsia="仿宋" w:cs="仿宋"/>
          <w:i w:val="0"/>
          <w:iCs w:val="0"/>
          <w:color w:val="auto"/>
          <w:sz w:val="24"/>
          <w:szCs w:val="24"/>
          <w:highlight w:val="none"/>
          <w:u w:val="none"/>
        </w:rPr>
        <w:t xml:space="preserve">）沥青路面养护：1.凿边：①四周应用切割机切割，整齐不斜；②用铣刨机或其它机械作业，边口应整齐不斜；③四周修凿垂直不斜，凿边宽度不小于50mm，深度不小于30mm。2.铺筑：①沥青路面摊铺前应确保基底整洁、无杂物；乳化沥青喷洒均匀、计量准确（0.3-0.6kg/m2）；②面层铺筑厚度-5mm</w:t>
      </w:r>
      <w:r>
        <w:rPr>
          <w:rFonts w:hint="eastAsia" w:ascii="仿宋" w:hAnsi="仿宋" w:eastAsia="仿宋" w:cs="仿宋"/>
          <w:i w:val="0"/>
          <w:iCs w:val="0"/>
          <w:color w:val="auto"/>
          <w:sz w:val="24"/>
          <w:szCs w:val="24"/>
          <w:highlight w:val="none"/>
          <w:u w:val="none"/>
        </w:rPr>
        <w:t xml:space="preserve">,+10mm；③细粒式沥青混凝土面层厚度不得低于30mm，粗粒式沥青混凝土面层厚度不得低于50mm，中粒式沥青混凝土面层厚度不得低于40mm；④表面粗细均匀，无毛细裂缝，碾压紧密，无明显轮迹。3.平整度：路面平整，人工摊铺不大于7mm，机械摊铺不大于5mm。4.接茬：①接茬密实，无起壳、松散；②与平石相接不得低于平石，高不得大于5mm；③新老接茬密实，平顺齐直，不得低于原路面，高不得大于5mm。5.路框差：①各类井框周边路面无沉陷；②各类井框与路面高差不得大于5mm。6.横坡度：与原路面相一致，得不有积水。</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3</w:t>
      </w:r>
      <w:r>
        <w:rPr>
          <w:rFonts w:hint="eastAsia" w:ascii="仿宋" w:hAnsi="仿宋" w:eastAsia="仿宋" w:cs="仿宋"/>
          <w:i w:val="0"/>
          <w:iCs w:val="0"/>
          <w:color w:val="auto"/>
          <w:sz w:val="24"/>
          <w:szCs w:val="24"/>
          <w:highlight w:val="none"/>
          <w:u w:val="none"/>
        </w:rPr>
        <w:t xml:space="preserve">）水泥混凝土路面养护：四周切割整齐垂直;路面无露骨、面层刻纹整齐;平整度高差不大于3mm，新板块接边高差不大于5mm;伸缩缝顺直，深度、宽度不得小于原规定，嵌缝密实，高差不大于3mm;纵横坡度与原路面相一致，不得有积水。</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4</w:t>
      </w:r>
      <w:r>
        <w:rPr>
          <w:rFonts w:hint="eastAsia" w:ascii="仿宋" w:hAnsi="仿宋" w:eastAsia="仿宋" w:cs="仿宋"/>
          <w:i w:val="0"/>
          <w:iCs w:val="0"/>
          <w:color w:val="auto"/>
          <w:sz w:val="24"/>
          <w:szCs w:val="24"/>
          <w:highlight w:val="none"/>
          <w:u w:val="none"/>
        </w:rPr>
        <w:t xml:space="preserve">）人行道、侧平石养护：人行道面层砌块铺筑前应确保基底平整、</w:t>
      </w:r>
      <w:r>
        <w:rPr>
          <w:rFonts w:hint="eastAsia" w:ascii="仿宋" w:hAnsi="仿宋" w:eastAsia="仿宋" w:cs="仿宋"/>
          <w:i w:val="0"/>
          <w:iCs w:val="0"/>
          <w:color w:val="auto"/>
          <w:sz w:val="24"/>
          <w:szCs w:val="24"/>
          <w:highlight w:val="none"/>
          <w:u w:val="none"/>
        </w:rPr>
        <w:t xml:space="preserve">无杂物；铺筑时，应确保砂浆饱满、砌块底部无脱空现象；铺筑平整度满足要求，砌块间高差不得大于5mm；与井框或其它构筑物高差不大于5mm；人行道砌块间填充饱满、勾缝规范；人行道砌块无松动、碎裂、沉陷现象；砌块材料、颜色与原路面一致，不得随意使用混凝土或其它面层材料替代破损人行道；无障碍设施完善，盲道与周边道板砖等连接平顺，无松动、沉陷、跛翘、破损等，遇障碍物应绕道，人行道路口应放坡，且绕道处和放坡处应添加止步砖；侧、平石应使用预制成形的，严禁使用砖砌，安放顺直，灌浆饱满，且无明显移位、倾斜、破损、缺失、松动等。</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5</w:t>
      </w:r>
      <w:r>
        <w:rPr>
          <w:rFonts w:hint="eastAsia" w:ascii="仿宋" w:hAnsi="仿宋" w:eastAsia="仿宋" w:cs="仿宋"/>
          <w:i w:val="0"/>
          <w:iCs w:val="0"/>
          <w:color w:val="auto"/>
          <w:sz w:val="24"/>
          <w:szCs w:val="24"/>
          <w:highlight w:val="none"/>
          <w:u w:val="none"/>
        </w:rPr>
        <w:t xml:space="preserve">）掘路修复：掘路修复的基层、面层作业工艺、材料应符合如东县日常养护方案设计中的相关规定要求，且不应低于原结构强度。</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6</w:t>
      </w:r>
      <w:r>
        <w:rPr>
          <w:rFonts w:hint="eastAsia" w:ascii="仿宋" w:hAnsi="仿宋" w:eastAsia="仿宋" w:cs="仿宋"/>
          <w:i w:val="0"/>
          <w:iCs w:val="0"/>
          <w:color w:val="auto"/>
          <w:sz w:val="24"/>
          <w:szCs w:val="24"/>
          <w:highlight w:val="none"/>
          <w:u w:val="none"/>
        </w:rPr>
        <w:t xml:space="preserve">）桥梁及附属设施养护：桥梁栏杆应完好整洁，无破损、松动错位、丢失残缺、漏筋锈蚀和小广告；桥面铺装无明显开裂、破损、坑槽、裂缝和积水；伸缩缝功能完好，无破损、松动、堵塞和异常响声；泄水孔、排水管应完好、畅通；防撞墙砼表面无破损，桥体无小广告及污秽、桥梁清洁；声屏障、桥铭牌、限载牌等应完好、干净，安装牢固、正确。</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7</w:t>
      </w:r>
      <w:r>
        <w:rPr>
          <w:rFonts w:hint="eastAsia" w:ascii="仿宋" w:hAnsi="仿宋" w:eastAsia="仿宋" w:cs="仿宋"/>
          <w:i w:val="0"/>
          <w:iCs w:val="0"/>
          <w:color w:val="auto"/>
          <w:sz w:val="24"/>
          <w:szCs w:val="24"/>
          <w:highlight w:val="none"/>
          <w:u w:val="none"/>
        </w:rPr>
        <w:t xml:space="preserve">）设备和物资：常规设备和应急设备按照投标文件和合同约定的数量、规格、型号等要求，停放在养护单位投标时承诺的养护基</w:t>
      </w:r>
      <w:r>
        <w:rPr>
          <w:rFonts w:hint="eastAsia" w:ascii="仿宋" w:hAnsi="仿宋" w:eastAsia="仿宋" w:cs="仿宋"/>
          <w:i w:val="0"/>
          <w:iCs w:val="0"/>
          <w:color w:val="auto"/>
          <w:sz w:val="24"/>
          <w:szCs w:val="24"/>
          <w:highlight w:val="none"/>
          <w:u w:val="none"/>
        </w:rPr>
        <w:t xml:space="preserve">地，并能确保随时正常运行；养护基地内应储备不少于10t的冷料沥青；冬季储备不少于10t融雪盐（剂）；以上内容，可以是实物、采购合同或订单，确保能24小时内送达养护基地。同时还需在养护基地现场实物储备不少于200㎡透水砼、花岗岩、陶土砖等各种材质、规格的道板砖；储备不少于100m混凝土侧平石、30m大理石侧平石；储备铁锹20把、防汛沙包500个、铁丝10卷、应急照明设备25个、应急发电2套、雨具30套；储备锥形桶、水马、防撞桶、隔离护栏等防护围挡设备长度不少于1000m。物资和设备使用或损耗后应及时补充到位。</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8</w:t>
      </w:r>
      <w:r>
        <w:rPr>
          <w:rFonts w:hint="eastAsia" w:ascii="仿宋" w:hAnsi="仿宋" w:eastAsia="仿宋" w:cs="仿宋"/>
          <w:i w:val="0"/>
          <w:iCs w:val="0"/>
          <w:color w:val="auto"/>
          <w:sz w:val="24"/>
          <w:szCs w:val="24"/>
          <w:highlight w:val="none"/>
          <w:u w:val="none"/>
        </w:rPr>
        <w:t xml:space="preserve">）应急事件处置：根据台风、大雾、雨雪冰冻、交通事故、塌陷等不同类型风险，制定专项应急预案、细化操作流程，定期开展实战演练；落实监控室二十四小时值班值守制度，实时观测道路、桥梁</w:t>
      </w:r>
      <w:r>
        <w:rPr>
          <w:rFonts w:hint="eastAsia" w:ascii="仿宋" w:hAnsi="仿宋" w:eastAsia="仿宋" w:cs="仿宋"/>
          <w:i w:val="0"/>
          <w:iCs w:val="0"/>
          <w:color w:val="auto"/>
          <w:sz w:val="24"/>
          <w:szCs w:val="24"/>
          <w:highlight w:val="none"/>
          <w:u w:val="none"/>
        </w:rPr>
        <w:t xml:space="preserve">、隧道、高架的运行情况，并及时做好记录，值班人员换班时应做好交接。如遇突发事件，第一时间向主管部门和相关人员反馈，并立即采取行动。启动应急预案后，应急抢修人员必须在30分钟内至养护基地待命或到达指定地点开展应急抢修，直至应急响应结束。暴雨、台风、雨雪冰冻、大雾等灾害性天气持续期间，应急巡查人员开展不间断巡查，发现问题及时上报并组织抢修。对于12345、信访、数字化城管平台等反馈问题应在规定时间内及时处置，并将处置情况报送至主管部门。遇到重要的节假日、活动以及特别要求时，应确保相关作业人员随时在岗、及时响应。</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9</w:t>
      </w:r>
      <w:r>
        <w:rPr>
          <w:rFonts w:hint="eastAsia" w:ascii="仿宋" w:hAnsi="仿宋" w:eastAsia="仿宋" w:cs="仿宋"/>
          <w:i w:val="0"/>
          <w:iCs w:val="0"/>
          <w:color w:val="auto"/>
          <w:sz w:val="24"/>
          <w:szCs w:val="24"/>
          <w:highlight w:val="none"/>
          <w:u w:val="none"/>
        </w:rPr>
        <w:t xml:space="preserve">）安全、文明作业：现场安全维护、交通导改等措施布置合理；作业人员正确穿戴反光工作服、安全帽；现场配备施工员、安全员、管理人员，并安排专人指挥交通；养护作业完毕，作业场地及时清理干净。</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w:t>
      </w:r>
      <w:r>
        <w:rPr>
          <w:rFonts w:hint="eastAsia" w:ascii="仿宋" w:hAnsi="仿宋" w:eastAsia="仿宋" w:cs="仿宋"/>
          <w:i w:val="0"/>
          <w:iCs w:val="0"/>
          <w:color w:val="auto"/>
          <w:sz w:val="24"/>
          <w:szCs w:val="24"/>
          <w:highlight w:val="none"/>
          <w:u w:val="none"/>
          <w:lang w:val="en-US" w:eastAsia="zh-CN"/>
        </w:rPr>
        <w:t xml:space="preserve">10</w:t>
      </w:r>
      <w:r>
        <w:rPr>
          <w:rFonts w:hint="eastAsia" w:ascii="仿宋" w:hAnsi="仿宋" w:eastAsia="仿宋" w:cs="仿宋"/>
          <w:i w:val="0"/>
          <w:iCs w:val="0"/>
          <w:color w:val="auto"/>
          <w:sz w:val="24"/>
          <w:szCs w:val="24"/>
          <w:highlight w:val="none"/>
          <w:u w:val="none"/>
        </w:rPr>
        <w:t xml:space="preserve">）内业资料要求:养护作业单位收集记录每期派</w:t>
      </w:r>
      <w:r>
        <w:rPr>
          <w:rFonts w:hint="eastAsia" w:ascii="仿宋" w:hAnsi="仿宋" w:eastAsia="仿宋" w:cs="仿宋"/>
          <w:i w:val="0"/>
          <w:iCs w:val="0"/>
          <w:color w:val="auto"/>
          <w:sz w:val="24"/>
          <w:szCs w:val="24"/>
          <w:highlight w:val="none"/>
          <w:u w:val="none"/>
        </w:rPr>
        <w:t xml:space="preserve">工任务单、12345政府热线、数字化城管平台反馈信息，及对应维修项目记录，并按月整理成册。完善道路、桥梁资料卡，要求做到“一路一卡”、“一桥一卡”，内容包括巡查记录、派工日期、完工日期、完成工程量等信息。需要签证的项目在完工后15日内完成工程量签证。监理单位记录监理日志，应该真实、准确、全面地记录与工程进度、质量、安全相关的问题，用词要准确、严谨、规范，把所发生的问题以及解决途径、方法记录下来。并将监理日志和养护作业过程中签发的监理业务联系单等资料按月整理成册。内业台账资料每月1号上交县城市基础设施管理处。</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2.服务时间：本项目总合同期限为二年。</w:t>
      </w:r>
      <w:r/>
    </w:p>
    <w:p>
      <w:pPr>
        <w:numPr>
          <w:ilvl w:val="0"/>
          <w:numId w:val="0"/>
        </w:num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3.服务地点：详见招标文件附件《如东县城区市政道路（含交通设施）清单》和招标文件附件《如东县城区市政桥梁目录》，部分道路根据具体情况由招标人确定延伸范围，专项维修项目根据招标人统筹安排。</w:t>
      </w:r>
      <w:r/>
    </w:p>
    <w:p>
      <w:pPr>
        <w:spacing w:line="500" w:lineRule="exact"/>
        <w:rPr>
          <w:rFonts w:hint="eastAsia" w:ascii="仿宋" w:hAnsi="仿宋" w:eastAsia="仿宋" w:cs="仿宋"/>
          <w:b/>
          <w:bCs/>
          <w:color w:val="auto"/>
          <w:sz w:val="24"/>
          <w:szCs w:val="24"/>
          <w:highlight w:val="none"/>
          <w:lang w:eastAsia="zh-CN"/>
        </w:rPr>
        <w:outlineLvl w:val="9"/>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）采购标的的验收标准</w:t>
      </w:r>
      <w:r>
        <w:rPr>
          <w:rFonts w:hint="eastAsia" w:ascii="仿宋" w:hAnsi="仿宋" w:eastAsia="仿宋" w:cs="仿宋"/>
          <w:b/>
          <w:bCs/>
          <w:color w:val="auto"/>
          <w:sz w:val="24"/>
          <w:szCs w:val="24"/>
          <w:highlight w:val="none"/>
          <w:lang w:eastAsia="zh-CN"/>
        </w:rPr>
        <w:t xml:space="preserve">、方法、时间</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eastAsia="zh-CN"/>
        </w:rPr>
        <w:t xml:space="preserve">（收到验收申请后</w:t>
      </w:r>
      <w:r>
        <w:rPr>
          <w:rFonts w:hint="eastAsia" w:ascii="仿宋" w:hAnsi="仿宋" w:eastAsia="仿宋" w:cs="仿宋"/>
          <w:b/>
          <w:bCs/>
          <w:color w:val="auto"/>
          <w:sz w:val="24"/>
          <w:szCs w:val="24"/>
          <w:highlight w:val="none"/>
          <w:lang w:val="en-US" w:eastAsia="zh-CN"/>
        </w:rPr>
        <w:t xml:space="preserve">7个工作日内采购人组织验收</w:t>
      </w:r>
      <w:r>
        <w:rPr>
          <w:rFonts w:hint="eastAsia" w:ascii="仿宋" w:hAnsi="仿宋" w:eastAsia="仿宋" w:cs="仿宋"/>
          <w:b/>
          <w:bCs/>
          <w:color w:val="auto"/>
          <w:sz w:val="24"/>
          <w:szCs w:val="24"/>
          <w:highlight w:val="none"/>
          <w:lang w:eastAsia="zh-CN"/>
        </w:rPr>
        <w:t xml:space="preserve">）</w:t>
      </w:r>
      <w:r/>
    </w:p>
    <w:tbl>
      <w:tblPr>
        <w:tblStyle w:val="732"/>
        <w:tblpPr w:horzAnchor="text" w:tblpX="60" w:vertAnchor="text" w:tblpY="1" w:leftFromText="180" w:topFromText="0" w:rightFromText="180" w:bottomFromText="0"/>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793"/>
        <w:gridCol w:w="441"/>
        <w:gridCol w:w="6259"/>
        <w:gridCol w:w="441"/>
        <w:gridCol w:w="528"/>
        <w:gridCol w:w="528"/>
      </w:tblGrid>
      <w:tr>
        <w:trPr>
          <w:trHeight w:val="1240"/>
        </w:trPr>
        <w:tc>
          <w:tcPr>
            <w:tcW w:w="50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项目编号</w:t>
            </w:r>
            <w:r/>
          </w:p>
        </w:tc>
        <w:tc>
          <w:tcPr>
            <w:tcW w:w="79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c>
          <w:tcPr>
            <w:tcW w:w="6259"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扣分标准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扣减分数</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实得分数</w:t>
            </w:r>
            <w:r/>
          </w:p>
        </w:tc>
      </w:tr>
      <w:tr>
        <w:trPr>
          <w:trHeight w:val="625"/>
        </w:trPr>
        <w:tc>
          <w:tcPr>
            <w:tcW w:w="508" w:type="dxa"/>
            <w:vAlign w:val="center"/>
            <w:vMerge w:val="restart"/>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组织实施</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未</w:t>
            </w:r>
            <w:r>
              <w:rPr>
                <w:rFonts w:hint="eastAsia" w:ascii="仿宋" w:hAnsi="仿宋" w:eastAsia="仿宋" w:cs="仿宋"/>
                <w:sz w:val="24"/>
                <w:szCs w:val="24"/>
                <w:highlight w:val="none"/>
                <w:lang w:val="en-US" w:eastAsia="zh-CN"/>
              </w:rPr>
              <w:t xml:space="preserve">按投标文件承诺配备相应人员及设备，建立组织架构的，每发现一处扣除1分；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紧急交办任务，未按业主要求增加人员在规定时间内完成相关工程量的，一次扣</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机械配备</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未按要求配备现场处置、日常巡查专用车辆的，扣1分；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w:t>
            </w:r>
            <w:r>
              <w:rPr>
                <w:rFonts w:hint="eastAsia" w:ascii="仿宋" w:hAnsi="仿宋" w:eastAsia="仿宋" w:cs="仿宋"/>
                <w:sz w:val="24"/>
                <w:szCs w:val="24"/>
                <w:highlight w:val="none"/>
                <w:lang w:val="en-US" w:eastAsia="zh-CN"/>
              </w:rPr>
              <w:t xml:space="preserve">业务</w:t>
            </w:r>
            <w:r>
              <w:rPr>
                <w:rFonts w:hint="eastAsia" w:ascii="仿宋" w:hAnsi="仿宋" w:eastAsia="仿宋" w:cs="仿宋"/>
                <w:sz w:val="24"/>
                <w:szCs w:val="24"/>
                <w:highlight w:val="none"/>
              </w:rPr>
              <w:t xml:space="preserve">需要，不能确保一辆汽车由业主调度使用的，扣1分；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未按招投标要求，配备相关市政设施养护、维修适用机械设备的，扣3分；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台风、</w:t>
            </w:r>
            <w:r>
              <w:rPr>
                <w:rFonts w:hint="eastAsia" w:ascii="仿宋" w:hAnsi="仿宋" w:eastAsia="仿宋" w:cs="仿宋"/>
                <w:sz w:val="24"/>
                <w:szCs w:val="24"/>
                <w:highlight w:val="none"/>
              </w:rPr>
              <w:t xml:space="preserve">冰雪</w:t>
            </w:r>
            <w:r>
              <w:rPr>
                <w:rFonts w:hint="eastAsia" w:ascii="仿宋" w:hAnsi="仿宋" w:eastAsia="仿宋" w:cs="仿宋"/>
                <w:sz w:val="24"/>
                <w:szCs w:val="24"/>
                <w:highlight w:val="none"/>
                <w:lang w:val="en-US" w:eastAsia="zh-CN"/>
              </w:rPr>
              <w:t xml:space="preserve">等极端</w:t>
            </w:r>
            <w:r>
              <w:rPr>
                <w:rFonts w:hint="eastAsia" w:ascii="仿宋" w:hAnsi="仿宋" w:eastAsia="仿宋" w:cs="仿宋"/>
                <w:sz w:val="24"/>
                <w:szCs w:val="24"/>
                <w:highlight w:val="none"/>
              </w:rPr>
              <w:t xml:space="preserve">天气，机械、物资配备不能满足</w:t>
            </w:r>
            <w:r>
              <w:rPr>
                <w:rFonts w:hint="eastAsia" w:ascii="仿宋" w:hAnsi="仿宋" w:eastAsia="仿宋" w:cs="仿宋"/>
                <w:sz w:val="24"/>
                <w:szCs w:val="24"/>
                <w:highlight w:val="none"/>
                <w:lang w:val="en-US" w:eastAsia="zh-CN"/>
              </w:rPr>
              <w:t xml:space="preserve">市政抢修</w:t>
            </w:r>
            <w:r>
              <w:rPr>
                <w:rFonts w:hint="eastAsia" w:ascii="仿宋" w:hAnsi="仿宋" w:eastAsia="仿宋" w:cs="仿宋"/>
                <w:sz w:val="24"/>
                <w:szCs w:val="24"/>
                <w:highlight w:val="none"/>
              </w:rPr>
              <w:t xml:space="preserve">要求的，一次扣1分；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932"/>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7756" w:type="dxa"/>
            <w:vAlign w:val="center"/>
            <w:textDirection w:val="lrTb"/>
            <w:noWrap w:val="false"/>
          </w:tcPr>
          <w:p>
            <w:pPr>
              <w:jc w:val="left"/>
              <w:rPr>
                <w:rFonts w:hint="eastAsia" w:ascii="仿宋" w:hAnsi="仿宋" w:eastAsia="仿宋" w:cs="仿宋"/>
                <w:sz w:val="24"/>
                <w:szCs w:val="24"/>
                <w:highlight w:val="none"/>
                <w:lang w:val="en-US" w:eastAsia="zh-CN"/>
              </w:rPr>
            </w:pPr>
            <w:r>
              <w:rPr>
                <w:rFonts w:hint="eastAsia" w:ascii="仿宋" w:hAnsi="仿宋" w:eastAsia="仿宋" w:cs="仿宋"/>
                <w:b/>
                <w:sz w:val="24"/>
                <w:szCs w:val="24"/>
                <w:highlight w:val="none"/>
                <w:lang w:val="en-US" w:eastAsia="zh-CN"/>
              </w:rPr>
              <w:t xml:space="preserve">未配备相关市政设施养护机械、物资，导致抢险抢修、紧急交办任务未能在规定时间内完成甚至造</w:t>
            </w:r>
            <w:r>
              <w:rPr>
                <w:rFonts w:hint="eastAsia" w:ascii="仿宋" w:hAnsi="仿宋" w:eastAsia="仿宋" w:cs="仿宋"/>
                <w:b/>
                <w:sz w:val="24"/>
                <w:szCs w:val="24"/>
                <w:highlight w:val="none"/>
              </w:rPr>
              <w:t xml:space="preserve">成重大影响或安全事故的，该项不得分</w:t>
            </w:r>
            <w:r>
              <w:rPr>
                <w:rFonts w:hint="eastAsia" w:ascii="仿宋" w:hAnsi="仿宋" w:eastAsia="仿宋" w:cs="仿宋"/>
                <w:b/>
                <w:sz w:val="24"/>
                <w:szCs w:val="24"/>
                <w:highlight w:val="none"/>
                <w:lang w:eastAsia="zh-CN"/>
              </w:rPr>
              <w:t xml:space="preserve">。</w:t>
            </w:r>
            <w:r/>
          </w:p>
        </w:tc>
      </w:tr>
      <w:tr>
        <w:trPr>
          <w:trHeight w:val="1240"/>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规章制度</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p>
        </w:tc>
        <w:tc>
          <w:tcPr>
            <w:tcW w:w="6259" w:type="dxa"/>
            <w:vAlign w:val="center"/>
            <w:textDirection w:val="lrTb"/>
            <w:noWrap w:val="false"/>
          </w:tcPr>
          <w:p>
            <w:pPr>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建立一路一档、一站一档、一桥一档</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一库一档</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道路、桥梁、交通设施</w:t>
            </w:r>
            <w:r>
              <w:rPr>
                <w:rFonts w:hint="eastAsia" w:ascii="仿宋" w:hAnsi="仿宋" w:eastAsia="仿宋" w:cs="仿宋"/>
                <w:sz w:val="24"/>
                <w:szCs w:val="24"/>
                <w:highlight w:val="none"/>
              </w:rPr>
              <w:t xml:space="preserve">台账不健全的，</w:t>
            </w:r>
            <w:r>
              <w:rPr>
                <w:rFonts w:hint="eastAsia" w:ascii="仿宋" w:hAnsi="仿宋" w:eastAsia="仿宋" w:cs="仿宋"/>
                <w:sz w:val="24"/>
                <w:szCs w:val="24"/>
                <w:highlight w:val="none"/>
                <w:lang w:val="en-US" w:eastAsia="zh-CN"/>
              </w:rPr>
              <w:t xml:space="preserve">不满足市政管理部门完成上级部门迎查需求的，按实际情况进行扣分；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未能建章立制、明确责任</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在工作中按照制度</w:t>
            </w:r>
            <w:r>
              <w:rPr>
                <w:rFonts w:hint="eastAsia" w:ascii="仿宋" w:hAnsi="仿宋" w:eastAsia="仿宋" w:cs="仿宋"/>
                <w:sz w:val="24"/>
                <w:szCs w:val="24"/>
                <w:highlight w:val="none"/>
              </w:rPr>
              <w:t xml:space="preserve">实行的，扣1分；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统一着装、挂牌上岗，发现缺失一次扣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所有人员保证24小时联系畅通，无故失联一次扣0.5分；造成较大影响的扣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接业主指令确保15分钟内赶到现场，达不到要求一次扣0.5分；造成较大影响的扣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施工现场未按规定要求规范设置警示标志和安全防围设施的，一次扣0.5分；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未能安全文明施工，对周边造成较大矛盾和纠纷的，经确认一次扣1分；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因野蛮施工，未经许可造成道路绿化及各类杆线损坏的，经确认一次扣1分；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不能及时报送当月工程量计量的，扣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项目经理、</w:t>
            </w:r>
            <w:r>
              <w:rPr>
                <w:rFonts w:hint="eastAsia" w:ascii="仿宋" w:hAnsi="仿宋" w:eastAsia="仿宋" w:cs="仿宋"/>
                <w:sz w:val="24"/>
                <w:szCs w:val="24"/>
                <w:highlight w:val="none"/>
                <w:lang w:val="en-US" w:eastAsia="zh-CN"/>
              </w:rPr>
              <w:t xml:space="preserve">技术负责人</w:t>
            </w:r>
            <w:r>
              <w:rPr>
                <w:rFonts w:hint="eastAsia" w:ascii="仿宋" w:hAnsi="仿宋" w:eastAsia="仿宋" w:cs="仿宋"/>
                <w:sz w:val="24"/>
                <w:szCs w:val="24"/>
                <w:highlight w:val="none"/>
              </w:rPr>
              <w:t xml:space="preserve">无故缺席月度例会的，扣1分；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restart"/>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4</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日常巡查</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7</w:t>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收到</w:t>
            </w:r>
            <w:r>
              <w:rPr>
                <w:rFonts w:hint="eastAsia" w:ascii="仿宋" w:hAnsi="仿宋" w:eastAsia="仿宋" w:cs="仿宋"/>
                <w:sz w:val="24"/>
                <w:szCs w:val="24"/>
                <w:highlight w:val="none"/>
              </w:rPr>
              <w:t xml:space="preserve">12345、县长信箱等平台</w:t>
            </w:r>
            <w:r>
              <w:rPr>
                <w:rFonts w:hint="eastAsia" w:ascii="仿宋" w:hAnsi="仿宋" w:eastAsia="仿宋" w:cs="仿宋"/>
                <w:sz w:val="24"/>
                <w:szCs w:val="24"/>
                <w:highlight w:val="none"/>
                <w:lang w:val="en-US" w:eastAsia="zh-CN"/>
              </w:rPr>
              <w:t xml:space="preserve">工单，未及时整改</w:t>
            </w:r>
            <w:r>
              <w:rPr>
                <w:rFonts w:hint="eastAsia" w:ascii="仿宋" w:hAnsi="仿宋" w:eastAsia="仿宋" w:cs="仿宋"/>
                <w:sz w:val="24"/>
                <w:szCs w:val="24"/>
                <w:highlight w:val="none"/>
              </w:rPr>
              <w:t xml:space="preserve">或维修</w:t>
            </w:r>
            <w:r>
              <w:rPr>
                <w:rFonts w:hint="eastAsia" w:ascii="仿宋" w:hAnsi="仿宋" w:eastAsia="仿宋" w:cs="仿宋"/>
                <w:sz w:val="24"/>
                <w:szCs w:val="24"/>
                <w:highlight w:val="none"/>
                <w:lang w:val="en-US" w:eastAsia="zh-CN"/>
              </w:rPr>
              <w:t xml:space="preserve">不当</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，一次扣0.5分；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未巡查到位，存在安全隐患未采取防范措施的，一次扣1分；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未能及时制止未经许可的道路挖掘、占用行为，并上报</w:t>
            </w:r>
            <w:r>
              <w:rPr>
                <w:rFonts w:hint="eastAsia" w:ascii="仿宋" w:hAnsi="仿宋" w:eastAsia="仿宋" w:cs="仿宋"/>
                <w:sz w:val="24"/>
                <w:szCs w:val="24"/>
                <w:highlight w:val="none"/>
                <w:lang w:eastAsia="zh-CN"/>
              </w:rPr>
              <w:t xml:space="preserve">业主</w:t>
            </w:r>
            <w:r>
              <w:rPr>
                <w:rFonts w:hint="eastAsia" w:ascii="仿宋" w:hAnsi="仿宋" w:eastAsia="仿宋" w:cs="仿宋"/>
                <w:sz w:val="24"/>
                <w:szCs w:val="24"/>
                <w:highlight w:val="none"/>
              </w:rPr>
              <w:t xml:space="preserve">的，一次扣1分；</w:t>
            </w:r>
            <w:r/>
          </w:p>
        </w:tc>
        <w:tc>
          <w:tcPr>
            <w:tcW w:w="441" w:type="dxa"/>
            <w:vAlign w:val="center"/>
            <w:textDirection w:val="lrTb"/>
            <w:noWrap w:val="false"/>
          </w:tcPr>
          <w:p>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6</w:t>
            </w:r>
            <w:r/>
          </w:p>
        </w:tc>
        <w:tc>
          <w:tcPr>
            <w:tcW w:w="528" w:type="dxa"/>
            <w:vAlign w:val="center"/>
            <w:textDirection w:val="lrTb"/>
            <w:noWrap w:val="false"/>
          </w:tcPr>
          <w:p>
            <w:pPr>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未能及时上报日巡查报表的，一次扣0.5分；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1240"/>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日巡查报表未能及时反馈当日市政设施运行状况，有路面不平整、积水和污浊现象，人行道占用、破坏现象，</w:t>
            </w:r>
            <w:r>
              <w:rPr>
                <w:rFonts w:hint="eastAsia" w:ascii="仿宋" w:hAnsi="仿宋" w:eastAsia="仿宋" w:cs="仿宋"/>
                <w:sz w:val="24"/>
                <w:szCs w:val="24"/>
                <w:highlight w:val="none"/>
                <w:lang w:val="en-US" w:eastAsia="zh-CN"/>
              </w:rPr>
              <w:t xml:space="preserve">检查井盖破损、缺失现象，</w:t>
            </w:r>
            <w:r>
              <w:rPr>
                <w:rFonts w:hint="eastAsia" w:ascii="仿宋" w:hAnsi="仿宋" w:eastAsia="仿宋" w:cs="仿宋"/>
                <w:sz w:val="24"/>
                <w:szCs w:val="24"/>
                <w:highlight w:val="none"/>
              </w:rPr>
              <w:t xml:space="preserve">基础设施缺失、损坏现象的，每发现一处扣</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巡查到隐患，未能及时完成整改闭环的，一次扣1分；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7756" w:type="dxa"/>
            <w:vAlign w:val="center"/>
            <w:textDirection w:val="lrTb"/>
            <w:noWrap w:val="false"/>
          </w:tcPr>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因未巡查到位、未及时上报巡查情况等主体责任造成重大影响或安全事故的，该项不得分。</w:t>
            </w:r>
            <w:r/>
          </w:p>
        </w:tc>
      </w:tr>
      <w:tr>
        <w:trPr>
          <w:trHeight w:val="403"/>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市政维护</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业主指令</w:t>
            </w:r>
            <w:r>
              <w:rPr>
                <w:rFonts w:hint="eastAsia" w:ascii="仿宋" w:hAnsi="仿宋" w:eastAsia="仿宋" w:cs="仿宋"/>
                <w:sz w:val="24"/>
                <w:szCs w:val="24"/>
                <w:highlight w:val="none"/>
                <w:lang w:eastAsia="zh-CN"/>
              </w:rPr>
              <w:t xml:space="preserve">未及时</w:t>
            </w:r>
            <w:r>
              <w:rPr>
                <w:rFonts w:hint="eastAsia" w:ascii="仿宋" w:hAnsi="仿宋" w:eastAsia="仿宋" w:cs="仿宋"/>
                <w:sz w:val="24"/>
                <w:szCs w:val="24"/>
                <w:highlight w:val="none"/>
              </w:rPr>
              <w:t xml:space="preserve">响应的，一次扣1分；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不能在规定时间内完成指令单养护维修任务的，一项扣1分；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未及时维修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维修不符合规范及业主要求的，每发现一处扣0.5分；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未能及时报送月度市政维护计划或无</w:t>
            </w:r>
            <w:r>
              <w:rPr>
                <w:rFonts w:hint="eastAsia" w:ascii="仿宋" w:hAnsi="仿宋" w:eastAsia="仿宋" w:cs="仿宋"/>
                <w:sz w:val="24"/>
                <w:szCs w:val="24"/>
                <w:highlight w:val="none"/>
                <w:lang w:val="en-US" w:eastAsia="zh-CN"/>
              </w:rPr>
              <w:t xml:space="preserve">特殊</w:t>
            </w:r>
            <w:r>
              <w:rPr>
                <w:rFonts w:hint="eastAsia" w:ascii="仿宋" w:hAnsi="仿宋" w:eastAsia="仿宋" w:cs="仿宋"/>
                <w:sz w:val="24"/>
                <w:szCs w:val="24"/>
                <w:highlight w:val="none"/>
              </w:rPr>
              <w:t xml:space="preserve">原因导致月度计划未完成的，扣2分；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7756" w:type="dxa"/>
            <w:vAlign w:val="center"/>
            <w:textDirection w:val="lrTb"/>
            <w:noWrap w:val="false"/>
          </w:tcPr>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因维修不及时、维修不规范等主体责任造成重大影响或安全事故的，该项不得分。</w:t>
            </w:r>
            <w:r/>
          </w:p>
        </w:tc>
      </w:tr>
      <w:tr>
        <w:trPr>
          <w:trHeight w:val="625"/>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抢险抢修</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遇特大暴雨、冰雪等恶劣天气及较大市政施工安全事故不能快速启动应急预案，扣2分；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特大暴雨、</w:t>
            </w:r>
            <w:r>
              <w:rPr>
                <w:rFonts w:hint="eastAsia" w:ascii="仿宋" w:hAnsi="仿宋" w:eastAsia="仿宋" w:cs="仿宋"/>
                <w:sz w:val="24"/>
                <w:szCs w:val="24"/>
                <w:highlight w:val="none"/>
                <w:lang w:val="en-US" w:eastAsia="zh-CN"/>
              </w:rPr>
              <w:t xml:space="preserve">台风、</w:t>
            </w:r>
            <w:r>
              <w:rPr>
                <w:rFonts w:hint="eastAsia" w:ascii="仿宋" w:hAnsi="仿宋" w:eastAsia="仿宋" w:cs="仿宋"/>
                <w:sz w:val="24"/>
                <w:szCs w:val="24"/>
                <w:highlight w:val="none"/>
              </w:rPr>
              <w:t xml:space="preserve">冰雪等恶劣天气</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未能落实值班人员24小时值班的，扣4分；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接业主指令，不能及时、有效组织应急抢险的，一次扣1分；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在应急抢险过程中出现消极、拖沓等行为的，一次扣</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工程类的抢修项目施工方案不完备、报批制度不落实的，一次扣</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安全措施不到位、抢险人员和机械配备不足的，一次扣1分；</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7756" w:type="dxa"/>
            <w:vAlign w:val="center"/>
            <w:textDirection w:val="lrTb"/>
            <w:noWrap w:val="false"/>
          </w:tcPr>
          <w:p>
            <w:pPr>
              <w:jc w:val="left"/>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 xml:space="preserve">因抢险抢修消极怠慢、应急防范措施不到位等原因造成重大影响或安全事故的，该项不得分</w:t>
            </w:r>
            <w:r>
              <w:rPr>
                <w:rFonts w:hint="eastAsia" w:ascii="仿宋" w:hAnsi="仿宋" w:eastAsia="仿宋" w:cs="仿宋"/>
                <w:b/>
                <w:sz w:val="24"/>
                <w:szCs w:val="24"/>
                <w:highlight w:val="none"/>
                <w:lang w:eastAsia="zh-CN"/>
              </w:rPr>
              <w:t xml:space="preserve">。</w:t>
            </w:r>
            <w:r/>
          </w:p>
        </w:tc>
      </w:tr>
      <w:tr>
        <w:trPr>
          <w:trHeight w:val="625"/>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仓库管理</w:t>
            </w:r>
            <w:r/>
          </w:p>
        </w:tc>
        <w:tc>
          <w:tcPr>
            <w:tcW w:w="441"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不具备仓库或仓库面积达不到1000㎡的，扣2分；</w:t>
            </w:r>
            <w:r>
              <w:rPr>
                <w:rFonts w:hint="eastAsia" w:ascii="仿宋" w:hAnsi="仿宋" w:eastAsia="仿宋" w:cs="仿宋"/>
                <w:b/>
                <w:bCs/>
                <w:sz w:val="24"/>
                <w:szCs w:val="24"/>
                <w:highlight w:val="none"/>
                <w:lang w:val="en-US" w:eastAsia="zh-CN"/>
              </w:rPr>
              <w:t xml:space="preserve">仓库地点必须在服务区域内</w:t>
            </w:r>
            <w:r>
              <w:rPr>
                <w:rFonts w:hint="eastAsia" w:ascii="仿宋" w:hAnsi="仿宋" w:eastAsia="仿宋" w:cs="仿宋"/>
                <w:sz w:val="24"/>
                <w:szCs w:val="24"/>
                <w:highlight w:val="none"/>
                <w:lang w:val="en-US" w:eastAsia="zh-CN"/>
              </w:rPr>
              <w:t xml:space="preserve">；</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仓库未能按业主要求进行布置的，扣1分；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值班人员值班不到位的，一次扣0.5分；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6259"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卫生保洁较差、杂乱无序的，扣1分；</w:t>
            </w:r>
            <w:r/>
          </w:p>
        </w:tc>
        <w:tc>
          <w:tcPr>
            <w:tcW w:w="441"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c>
          <w:tcPr>
            <w:tcW w:w="528"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tc>
      </w:tr>
      <w:tr>
        <w:trPr>
          <w:trHeight w:val="403"/>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4"/>
            <w:tcW w:w="7756" w:type="dxa"/>
            <w:vAlign w:val="center"/>
            <w:textDirection w:val="lrTb"/>
            <w:noWrap w:val="false"/>
          </w:tcPr>
          <w:p>
            <w:pPr>
              <w:jc w:val="lef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因保管不到位，造成设施缺损或较大维修成本的，该项不得分。</w:t>
            </w:r>
            <w:r/>
          </w:p>
        </w:tc>
      </w:tr>
      <w:tr>
        <w:trPr>
          <w:trHeight w:val="932"/>
        </w:trPr>
        <w:tc>
          <w:tcPr>
            <w:gridSpan w:val="2"/>
            <w:tcW w:w="130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 计</w:t>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p>
        </w:tc>
        <w:tc>
          <w:tcPr>
            <w:tcW w:w="6259" w:type="dxa"/>
            <w:vAlign w:val="center"/>
            <w:textDirection w:val="lrTb"/>
            <w:noWrap w:val="false"/>
          </w:tcPr>
          <w:p>
            <w:pPr>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tc>
        <w:tc>
          <w:tcPr>
            <w:tcW w:w="441"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932"/>
        </w:trPr>
        <w:tc>
          <w:tcPr>
            <w:tcW w:w="508"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c>
          <w:tcPr>
            <w:tcW w:w="793" w:type="dxa"/>
            <w:vAlign w:val="center"/>
            <w:vMerge w:val="restart"/>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巡查考核</w:t>
            </w:r>
            <w:r/>
          </w:p>
        </w:tc>
        <w:tc>
          <w:tcPr>
            <w:tcW w:w="441" w:type="dxa"/>
            <w:vAlign w:val="center"/>
            <w:vMerge w:val="restart"/>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人行道板考核</w:t>
            </w:r>
            <w:r/>
          </w:p>
        </w:tc>
        <w:tc>
          <w:tcPr>
            <w:gridSpan w:val="3"/>
            <w:tcW w:w="722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业主与监理人员巡查发现存在人行道堆积建筑材料、重型机械设备压坏道板、个人或开发商私开路口等情况而养护单位未及时上报业主的，每一处扣除1000元。</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922"/>
        </w:trPr>
        <w:tc>
          <w:tcPr>
            <w:tcW w:w="508"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gridSpan w:val="3"/>
            <w:tcW w:w="722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因巡查、维护不到位，导致接到数字化城管单、12345工单的，每一处扣除1000元。</w:t>
            </w:r>
            <w:r/>
          </w:p>
        </w:tc>
        <w:tc>
          <w:tcPr>
            <w:tcW w:w="528"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1240"/>
        </w:trPr>
        <w:tc>
          <w:tcPr>
            <w:tcW w:w="508"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restart"/>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道路路面考核</w:t>
            </w:r>
            <w:r/>
          </w:p>
        </w:tc>
        <w:tc>
          <w:tcPr>
            <w:gridSpan w:val="3"/>
            <w:tcW w:w="722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业主与监理人员巡查发现存在严重车辙印、坑塘、路面破损严重、重型车辆压坏道路、养护范围内检查井盖</w:t>
            </w:r>
            <w:r/>
          </w:p>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缺失、损坏、被掩埋等情况而养护单位未上报业主的，每一处扣除1000元。</w:t>
            </w:r>
            <w:r/>
          </w:p>
        </w:tc>
        <w:tc>
          <w:tcPr>
            <w:tcW w:w="528" w:type="dxa"/>
            <w:vAlign w:val="center"/>
            <w:textDirection w:val="lrTb"/>
            <w:noWrap w:val="false"/>
          </w:tcPr>
          <w:p>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r>
      <w:tr>
        <w:trPr>
          <w:trHeight w:val="625"/>
        </w:trPr>
        <w:tc>
          <w:tcPr>
            <w:tcW w:w="508"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793" w:type="dxa"/>
            <w:vAlign w:val="center"/>
            <w:vMerge w:val="continue"/>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441" w:type="dxa"/>
            <w:vAlign w:val="center"/>
            <w:vMerge w:val="continue"/>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r>
            <w:r/>
          </w:p>
        </w:tc>
        <w:tc>
          <w:tcPr>
            <w:gridSpan w:val="3"/>
            <w:tcW w:w="722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因巡查、维护不到位，导致接到数字化城管单、12345工单的，每一处扣除1000元。</w:t>
            </w:r>
            <w:r/>
          </w:p>
        </w:tc>
        <w:tc>
          <w:tcPr>
            <w:tcW w:w="528" w:type="dxa"/>
            <w:vAlign w:val="center"/>
            <w:textDirection w:val="lrTb"/>
            <w:noWrap w:val="false"/>
          </w:tcPr>
          <w:p>
            <w:pPr>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tc>
      </w:tr>
      <w:tr>
        <w:trPr>
          <w:trHeight w:val="1250"/>
        </w:trPr>
        <w:tc>
          <w:tcPr>
            <w:tcW w:w="508" w:type="dxa"/>
            <w:vAlign w:val="center"/>
            <w:vMerge w:val="continue"/>
            <w:textDirection w:val="lrTb"/>
            <w:noWrap w:val="false"/>
          </w:tcPr>
          <w:p>
            <w:pPr>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tc>
        <w:tc>
          <w:tcPr>
            <w:tcW w:w="793" w:type="dxa"/>
            <w:vAlign w:val="center"/>
            <w:vMerge w:val="continue"/>
            <w:textDirection w:val="lrTb"/>
            <w:noWrap w:val="false"/>
          </w:tcPr>
          <w:p>
            <w:pPr>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tc>
        <w:tc>
          <w:tcPr>
            <w:tcW w:w="441"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特殊考核</w:t>
            </w:r>
            <w:r/>
          </w:p>
        </w:tc>
        <w:tc>
          <w:tcPr>
            <w:gridSpan w:val="3"/>
            <w:tcW w:w="7228"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因巡查、维护不到位造成恶劣影响的，包含但不限于省市考核、社会舆情、攻坚办交办单等，视情况每一处扣除5000-50000元。</w:t>
            </w:r>
            <w:r/>
          </w:p>
        </w:tc>
        <w:tc>
          <w:tcPr>
            <w:tcW w:w="528" w:type="dxa"/>
            <w:vAlign w:val="center"/>
            <w:textDirection w:val="lrTb"/>
            <w:noWrap w:val="false"/>
          </w:tcPr>
          <w:p>
            <w:pPr>
              <w:rPr>
                <w:rFonts w:hint="eastAsia" w:ascii="仿宋" w:hAnsi="仿宋" w:eastAsia="仿宋" w:cs="仿宋"/>
                <w:b/>
                <w:bCs/>
                <w:color w:val="ff0000"/>
                <w:sz w:val="24"/>
                <w:szCs w:val="24"/>
                <w:highlight w:val="none"/>
              </w:rPr>
            </w:pPr>
            <w:r>
              <w:rPr>
                <w:rFonts w:hint="eastAsia" w:ascii="仿宋" w:hAnsi="仿宋" w:eastAsia="仿宋" w:cs="仿宋"/>
                <w:b/>
                <w:bCs/>
                <w:color w:val="ff0000"/>
                <w:sz w:val="24"/>
                <w:szCs w:val="24"/>
                <w:highlight w:val="none"/>
              </w:rPr>
            </w:r>
            <w:r/>
          </w:p>
        </w:tc>
      </w:tr>
    </w:tbl>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lang w:eastAsia="zh-CN"/>
        </w:rPr>
        <w:outlineLvl w:val="9"/>
      </w:pPr>
      <w:r>
        <w:rPr>
          <w:rFonts w:hint="eastAsia" w:ascii="仿宋" w:hAnsi="仿宋" w:eastAsia="仿宋" w:cs="仿宋"/>
          <w:sz w:val="24"/>
          <w:szCs w:val="24"/>
          <w:highlight w:val="none"/>
        </w:rPr>
        <w:t xml:space="preserve">备注说明：</w:t>
      </w:r>
      <w:r>
        <w:rPr>
          <w:rFonts w:hint="eastAsia" w:ascii="仿宋" w:hAnsi="仿宋" w:eastAsia="仿宋" w:cs="仿宋"/>
          <w:bCs/>
          <w:sz w:val="24"/>
          <w:szCs w:val="24"/>
          <w:highlight w:val="none"/>
        </w:rPr>
        <w:t xml:space="preserve">1.因质量问题导致月度考核扣分的，养护单位应负责返工、修理，并不予计取返工工程量。若在规定时间内，返工项目两次验收质量达不到规范要求的，当月度考核直接评定为不合格，并承担修复至达到约定质量标准的所有费用。因巡查、内业资料、安全文明作业、例会制度等问题考核扣分的，养护单位应在规定时间内整改，若未整改或整改后仍达不到要求的，则在当月度考核中双倍扣分</w:t>
      </w:r>
      <w:r>
        <w:rPr>
          <w:rFonts w:hint="eastAsia" w:ascii="仿宋" w:hAnsi="仿宋" w:eastAsia="仿宋" w:cs="仿宋"/>
          <w:bCs/>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lang w:val="en-US" w:eastAsia="zh-CN"/>
        </w:rPr>
        <w:t xml:space="preserve">1</w:t>
      </w: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rPr>
        <w:t xml:space="preserve">月度考核得分70分（含）以上为合格；年度考核得分为月度考核得分的平均分，得分在60分（含）以上为合格。</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rPr>
        <w:t xml:space="preserve">养护时间满一年，一年度内年度考核合格，月度考核不超过3次不合格，承包单位可提出竣工验收申请，预验收合格后20天内组织竣工验收。</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lang w:val="en-US" w:eastAsia="zh-CN"/>
        </w:rPr>
        <w:t xml:space="preserve">2</w:t>
      </w: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rPr>
        <w:t xml:space="preserve">养护单位按照派工单任务要求，完成养护工作后，3天内完成相应工程量签证。每月10日前必须完成上月工程量结算，并上报甲方。</w:t>
      </w:r>
      <w:r/>
    </w:p>
    <w:p>
      <w:p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u w:val="none"/>
        </w:rPr>
        <w:outlineLvl w:val="9"/>
      </w:pP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lang w:val="en-US" w:eastAsia="zh-CN"/>
        </w:rPr>
        <w:t xml:space="preserve">3</w:t>
      </w:r>
      <w:r>
        <w:rPr>
          <w:rFonts w:hint="eastAsia" w:ascii="仿宋" w:hAnsi="仿宋" w:eastAsia="仿宋" w:cs="仿宋"/>
          <w:i w:val="0"/>
          <w:iCs w:val="0"/>
          <w:color w:val="auto"/>
          <w:sz w:val="24"/>
          <w:szCs w:val="24"/>
          <w:highlight w:val="none"/>
          <w:u w:val="none"/>
          <w:lang w:eastAsia="zh-CN"/>
        </w:rPr>
        <w:t xml:space="preserve">）</w:t>
      </w:r>
      <w:r>
        <w:rPr>
          <w:rFonts w:hint="eastAsia" w:ascii="仿宋" w:hAnsi="仿宋" w:eastAsia="仿宋" w:cs="仿宋"/>
          <w:i w:val="0"/>
          <w:iCs w:val="0"/>
          <w:color w:val="auto"/>
          <w:sz w:val="24"/>
          <w:szCs w:val="24"/>
          <w:highlight w:val="none"/>
          <w:u w:val="none"/>
        </w:rPr>
        <w:t xml:space="preserve">当月月度考核分与当月结算养护费用挂钩。当月考核分90分（含）以上的全额支付；80分（含）-89分扣减当月完成养护维修费用的1%；70分（含）-79分扣减当</w:t>
      </w:r>
      <w:r>
        <w:rPr>
          <w:rFonts w:hint="eastAsia" w:ascii="仿宋" w:hAnsi="仿宋" w:eastAsia="仿宋" w:cs="仿宋"/>
          <w:i w:val="0"/>
          <w:iCs w:val="0"/>
          <w:color w:val="auto"/>
          <w:sz w:val="24"/>
          <w:szCs w:val="24"/>
          <w:highlight w:val="none"/>
          <w:u w:val="none"/>
          <w:lang w:eastAsia="zh-CN"/>
        </w:rPr>
        <w:t xml:space="preserve">月</w:t>
      </w:r>
      <w:r>
        <w:rPr>
          <w:rFonts w:hint="eastAsia" w:ascii="仿宋" w:hAnsi="仿宋" w:eastAsia="仿宋" w:cs="仿宋"/>
          <w:i w:val="0"/>
          <w:iCs w:val="0"/>
          <w:color w:val="auto"/>
          <w:sz w:val="24"/>
          <w:szCs w:val="24"/>
          <w:highlight w:val="none"/>
          <w:u w:val="none"/>
        </w:rPr>
        <w:t xml:space="preserve">完成养护维修费用的2%；60分（含）-69分扣减当</w:t>
      </w:r>
      <w:r>
        <w:rPr>
          <w:rFonts w:hint="eastAsia" w:ascii="仿宋" w:hAnsi="仿宋" w:eastAsia="仿宋" w:cs="仿宋"/>
          <w:i w:val="0"/>
          <w:iCs w:val="0"/>
          <w:color w:val="auto"/>
          <w:sz w:val="24"/>
          <w:szCs w:val="24"/>
          <w:highlight w:val="none"/>
          <w:u w:val="none"/>
          <w:lang w:eastAsia="zh-CN"/>
        </w:rPr>
        <w:t xml:space="preserve">月</w:t>
      </w:r>
      <w:r>
        <w:rPr>
          <w:rFonts w:hint="eastAsia" w:ascii="仿宋" w:hAnsi="仿宋" w:eastAsia="仿宋" w:cs="仿宋"/>
          <w:i w:val="0"/>
          <w:iCs w:val="0"/>
          <w:color w:val="auto"/>
          <w:sz w:val="24"/>
          <w:szCs w:val="24"/>
          <w:highlight w:val="none"/>
          <w:u w:val="none"/>
        </w:rPr>
        <w:t xml:space="preserve">完成养护维修费用的5%,60分以下扣减当月完成养护维修费用的10%。</w:t>
      </w:r>
      <w:r/>
    </w:p>
    <w:p>
      <w:pPr>
        <w:ind w:firstLine="241"/>
        <w:spacing w:line="500" w:lineRule="exact"/>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）采购标的的其他技术、服务等要求（增加商品包装、快递包装的相关要求）；</w:t>
      </w:r>
      <w:r/>
    </w:p>
    <w:p>
      <w:pPr>
        <w:ind w:firstLine="482"/>
        <w:keepLines w:val="0"/>
        <w:keepNext w:val="0"/>
        <w:pageBreakBefore w:val="0"/>
        <w:spacing w:line="50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1.商品包装环保要求：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（2）商品包装尽可能使用单一材质的包装材料，如因功能需求</w:t>
      </w:r>
      <w:r>
        <w:rPr>
          <w:rFonts w:hint="eastAsia" w:ascii="仿宋" w:hAnsi="仿宋" w:eastAsia="仿宋" w:cs="仿宋"/>
          <w:color w:val="auto"/>
          <w:sz w:val="24"/>
          <w:szCs w:val="24"/>
          <w:highlight w:val="none"/>
          <w:lang w:eastAsia="zh-CN"/>
        </w:rPr>
        <w:t xml:space="preserve">必须</w:t>
      </w:r>
      <w:r>
        <w:rPr>
          <w:rFonts w:hint="eastAsia" w:ascii="仿宋" w:hAnsi="仿宋" w:eastAsia="仿宋" w:cs="仿宋"/>
          <w:color w:val="auto"/>
          <w:sz w:val="24"/>
          <w:szCs w:val="24"/>
          <w:highlight w:val="none"/>
        </w:rPr>
        <w:t xml:space="preserve">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（7）木质商品包装的原料应来源于可持续性森林。</w:t>
      </w:r>
      <w:r/>
    </w:p>
    <w:p>
      <w:pPr>
        <w:ind w:firstLine="482"/>
        <w:keepLines w:val="0"/>
        <w:keepNext w:val="0"/>
        <w:pageBreakBefore w:val="0"/>
        <w:spacing w:line="50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2.快递包装环保要求：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2"/>
        <w:keepLines w:val="0"/>
        <w:keepNext w:val="0"/>
        <w:pageBreakBefore w:val="0"/>
        <w:spacing w:after="120"/>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3.绿色数据中心</w:t>
      </w:r>
      <w:r/>
    </w:p>
    <w:p>
      <w:pPr>
        <w:ind w:firstLine="482"/>
        <w:keepLines w:val="0"/>
        <w:keepNext w:val="0"/>
        <w:pageBreakBefore w:val="0"/>
        <w:spacing w:after="120"/>
        <w:widowControl w:val="off"/>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4.低挥发性有机化合物产品</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仿宋" w:hAnsi="仿宋" w:eastAsia="仿宋" w:cs="仿宋"/>
          <w:color w:val="auto"/>
          <w:sz w:val="24"/>
          <w:szCs w:val="24"/>
          <w:highlight w:val="none"/>
        </w:rPr>
        <w:t xml:space="preserve">予以评审优惠。</w:t>
      </w:r>
      <w:r>
        <w:rPr>
          <w:rFonts w:hint="eastAsia" w:ascii="仿宋" w:hAnsi="仿宋" w:eastAsia="仿宋" w:cs="仿宋"/>
          <w:color w:val="auto"/>
          <w:sz w:val="24"/>
          <w:szCs w:val="24"/>
          <w:highlight w:val="none"/>
          <w:lang w:val="zh-CN"/>
        </w:rPr>
        <w:t xml:space="preserve">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2"/>
        <w:keepLines w:val="0"/>
        <w:keepNext w:val="0"/>
        <w:pageBreakBefore w:val="0"/>
        <w:spacing w:after="120"/>
        <w:widowControl w:val="off"/>
        <w:rPr>
          <w:rFonts w:hint="eastAsia" w:ascii="仿宋" w:hAnsi="仿宋" w:eastAsia="仿宋" w:cs="仿宋"/>
          <w:color w:val="auto"/>
          <w:sz w:val="24"/>
          <w:szCs w:val="24"/>
          <w:highlight w:val="none"/>
          <w:lang w:val="zh-CN"/>
        </w:rPr>
        <w:outlineLvl w:val="9"/>
      </w:pPr>
      <w:r>
        <w:rPr>
          <w:rFonts w:hint="eastAsia" w:ascii="仿宋" w:hAnsi="仿宋" w:eastAsia="仿宋" w:cs="仿宋"/>
          <w:b/>
          <w:color w:val="auto"/>
          <w:sz w:val="24"/>
          <w:szCs w:val="24"/>
          <w:highlight w:val="none"/>
        </w:rPr>
        <w:t xml:space="preserve">5.节能环保产品：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2"/>
        <w:keepLines w:val="0"/>
        <w:keepNext w:val="0"/>
        <w:pageBreakBefore w:val="0"/>
        <w:spacing w:after="120"/>
        <w:widowControl w:val="off"/>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6.绿色低碳管理目标和服务要求：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7.采购的货物或者服务属信创产品目录内容内的，须遵照信创产品要求提供货物或服务。</w:t>
      </w:r>
      <w:r/>
    </w:p>
    <w:p>
      <w:pPr>
        <w:ind w:firstLine="482"/>
        <w:keepLines w:val="0"/>
        <w:keepNext w:val="0"/>
        <w:pageBreakBefore w:val="0"/>
        <w:spacing w:after="120"/>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b/>
          <w:bCs/>
          <w:color w:val="auto"/>
          <w:sz w:val="24"/>
          <w:szCs w:val="24"/>
          <w:highlight w:val="none"/>
        </w:rPr>
        <w:t xml:space="preserve">（九）付款方式</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养护期内每半年支付一次，每次支付实际已完成合格工程量价款的60%；工程竣工验收合格且审计结束后，支付至审计价的100%。乙方应如实提交审计资料，若审计核减率超过5%，相应审计费用由乙方承担，并在付款时一并扣除。  </w:t>
      </w:r>
      <w:r/>
    </w:p>
    <w:p>
      <w:pPr>
        <w:ind w:firstLine="480"/>
        <w:keepLines w:val="0"/>
        <w:keepNext w:val="0"/>
        <w:pageBreakBefore w:val="0"/>
        <w:spacing w:after="120"/>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注：月综合得分将直接作为当月养护费用的核算依据。</w:t>
      </w:r>
      <w:r>
        <w:rPr>
          <w:rFonts w:hint="eastAsia" w:ascii="仿宋" w:hAnsi="仿宋" w:eastAsia="仿宋" w:cs="仿宋"/>
          <w:color w:val="auto"/>
          <w:sz w:val="24"/>
          <w:szCs w:val="24"/>
          <w:highlight w:val="none"/>
          <w:lang w:val="zh-CN"/>
        </w:rPr>
        <w:t xml:space="preserve">在收到发票后</w:t>
      </w:r>
      <w:r>
        <w:rPr>
          <w:rFonts w:hint="eastAsia" w:ascii="仿宋" w:hAnsi="仿宋" w:eastAsia="仿宋" w:cs="仿宋"/>
          <w:color w:val="auto"/>
          <w:sz w:val="24"/>
          <w:szCs w:val="24"/>
          <w:highlight w:val="none"/>
          <w:lang w:val="en-US" w:eastAsia="zh-CN"/>
        </w:rPr>
        <w:t xml:space="preserve">10个工作日内将资金支付到中标人账户。</w:t>
      </w:r>
      <w:r/>
    </w:p>
    <w:p>
      <w:pPr>
        <w:ind w:firstLine="482"/>
        <w:keepLines w:val="0"/>
        <w:keepNext w:val="0"/>
        <w:pageBreakBefore w:val="0"/>
        <w:spacing w:after="120"/>
        <w:widowControl w:val="off"/>
        <w:rPr>
          <w:rFonts w:hint="eastAsia" w:ascii="仿宋" w:hAnsi="仿宋" w:eastAsia="仿宋" w:cs="仿宋"/>
          <w:b/>
          <w:bCs/>
          <w:color w:val="auto"/>
          <w:sz w:val="24"/>
          <w:szCs w:val="24"/>
          <w:highlight w:val="none"/>
        </w:rPr>
        <w:outlineLvl w:val="9"/>
      </w:pPr>
      <w:r>
        <w:rPr>
          <w:rFonts w:hint="eastAsia" w:ascii="仿宋" w:hAnsi="仿宋" w:eastAsia="仿宋" w:cs="仿宋"/>
          <w:b/>
          <w:bCs/>
          <w:color w:val="auto"/>
          <w:sz w:val="24"/>
          <w:szCs w:val="24"/>
          <w:highlight w:val="none"/>
        </w:rPr>
        <w:t xml:space="preserve">（十）履约保证金：</w:t>
      </w:r>
      <w:r/>
    </w:p>
    <w:p>
      <w:pPr>
        <w:ind w:firstLine="480"/>
        <w:keepLines w:val="0"/>
        <w:keepNext w:val="0"/>
        <w:pageBreakBefore w:val="0"/>
        <w:spacing w:after="120"/>
        <w:widowControl w:val="off"/>
        <w:rPr>
          <w:rFonts w:hint="eastAsia" w:ascii="仿宋" w:hAnsi="仿宋" w:eastAsia="仿宋" w:cs="仿宋"/>
          <w:b w:val="0"/>
          <w:bCs/>
          <w:color w:val="auto"/>
          <w:sz w:val="24"/>
          <w:szCs w:val="24"/>
          <w:highlight w:val="none"/>
        </w:rPr>
        <w:outlineLvl w:val="9"/>
      </w:pPr>
      <w:r>
        <w:rPr>
          <w:rFonts w:hint="eastAsia" w:ascii="仿宋" w:hAnsi="仿宋" w:eastAsia="仿宋" w:cs="仿宋"/>
          <w:b w:val="0"/>
          <w:bCs/>
          <w:color w:val="auto"/>
          <w:sz w:val="24"/>
          <w:szCs w:val="24"/>
          <w:highlight w:val="none"/>
        </w:rPr>
        <w:t xml:space="preserve">本项目</w:t>
      </w:r>
      <w:r>
        <w:rPr>
          <w:rFonts w:hint="eastAsia" w:ascii="仿宋" w:hAnsi="仿宋" w:eastAsia="仿宋" w:cs="仿宋"/>
          <w:b w:val="0"/>
          <w:bCs/>
          <w:color w:val="auto"/>
          <w:sz w:val="24"/>
          <w:szCs w:val="24"/>
          <w:highlight w:val="none"/>
          <w:lang w:eastAsia="zh-CN"/>
        </w:rPr>
        <w:t xml:space="preserve">中标</w:t>
      </w:r>
      <w:r>
        <w:rPr>
          <w:rFonts w:hint="eastAsia" w:ascii="仿宋" w:hAnsi="仿宋" w:eastAsia="仿宋" w:cs="仿宋"/>
          <w:b w:val="0"/>
          <w:bCs/>
          <w:color w:val="auto"/>
          <w:sz w:val="24"/>
          <w:szCs w:val="24"/>
          <w:highlight w:val="none"/>
        </w:rPr>
        <w:t xml:space="preserve">后的履约保证金为</w:t>
      </w:r>
      <w:r>
        <w:rPr>
          <w:rFonts w:hint="eastAsia" w:ascii="仿宋" w:hAnsi="仿宋" w:eastAsia="仿宋" w:cs="仿宋"/>
          <w:b w:val="0"/>
          <w:bCs/>
          <w:color w:val="auto"/>
          <w:sz w:val="24"/>
          <w:szCs w:val="24"/>
          <w:highlight w:val="none"/>
          <w:u w:val="single"/>
          <w:lang w:val="en-US" w:eastAsia="zh-CN"/>
        </w:rPr>
        <w:t xml:space="preserve">100万元</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eastAsia="zh-CN"/>
        </w:rPr>
        <w:t xml:space="preserve">中标人</w:t>
      </w:r>
      <w:r>
        <w:rPr>
          <w:rFonts w:hint="eastAsia" w:ascii="仿宋" w:hAnsi="仿宋" w:eastAsia="仿宋" w:cs="仿宋"/>
          <w:b w:val="0"/>
          <w:bCs/>
          <w:color w:val="auto"/>
          <w:sz w:val="24"/>
          <w:szCs w:val="24"/>
          <w:highlight w:val="none"/>
        </w:rPr>
        <w:t xml:space="preserve">的履约保证金须在</w:t>
      </w:r>
      <w:r>
        <w:rPr>
          <w:rFonts w:hint="eastAsia" w:ascii="仿宋" w:hAnsi="仿宋" w:eastAsia="仿宋" w:cs="仿宋"/>
          <w:b w:val="0"/>
          <w:bCs/>
          <w:color w:val="auto"/>
          <w:sz w:val="24"/>
          <w:szCs w:val="24"/>
          <w:highlight w:val="none"/>
          <w:lang w:eastAsia="zh-CN"/>
        </w:rPr>
        <w:t xml:space="preserve">中标</w:t>
      </w:r>
      <w:r>
        <w:rPr>
          <w:rFonts w:hint="eastAsia" w:ascii="仿宋" w:hAnsi="仿宋" w:eastAsia="仿宋" w:cs="仿宋"/>
          <w:b w:val="0"/>
          <w:bCs/>
          <w:color w:val="auto"/>
          <w:sz w:val="24"/>
          <w:szCs w:val="24"/>
          <w:highlight w:val="none"/>
        </w:rPr>
        <w:t xml:space="preserve">通知书发出之日起至合同签订前汇入采购单位账户（应当以数字人民币、支票、汇票或者金融机构、担保机构出具的保函等非现金形式提交），</w:t>
      </w:r>
      <w:r>
        <w:rPr>
          <w:rFonts w:hint="eastAsia" w:ascii="仿宋" w:hAnsi="仿宋" w:eastAsia="仿宋" w:cs="仿宋"/>
          <w:b w:val="0"/>
          <w:bCs/>
          <w:color w:val="auto"/>
          <w:sz w:val="24"/>
          <w:szCs w:val="24"/>
          <w:highlight w:val="none"/>
          <w:lang w:eastAsia="zh-CN"/>
        </w:rPr>
        <w:t xml:space="preserve">中标人</w:t>
      </w:r>
      <w:r>
        <w:rPr>
          <w:rFonts w:hint="eastAsia" w:ascii="仿宋" w:hAnsi="仿宋" w:eastAsia="仿宋" w:cs="仿宋"/>
          <w:b w:val="0"/>
          <w:bCs/>
          <w:color w:val="auto"/>
          <w:sz w:val="24"/>
          <w:szCs w:val="24"/>
          <w:highlight w:val="none"/>
        </w:rPr>
        <w:t xml:space="preserve">凭</w:t>
      </w:r>
      <w:r>
        <w:rPr>
          <w:rFonts w:hint="eastAsia" w:ascii="仿宋" w:hAnsi="仿宋" w:eastAsia="仿宋" w:cs="仿宋"/>
          <w:b w:val="0"/>
          <w:bCs/>
          <w:color w:val="auto"/>
          <w:sz w:val="24"/>
          <w:szCs w:val="24"/>
          <w:highlight w:val="none"/>
          <w:lang w:eastAsia="zh-CN"/>
        </w:rPr>
        <w:t xml:space="preserve">中标</w:t>
      </w:r>
      <w:r>
        <w:rPr>
          <w:rFonts w:hint="eastAsia" w:ascii="仿宋" w:hAnsi="仿宋" w:eastAsia="仿宋" w:cs="仿宋"/>
          <w:b w:val="0"/>
          <w:bCs/>
          <w:color w:val="auto"/>
          <w:sz w:val="24"/>
          <w:szCs w:val="24"/>
          <w:highlight w:val="none"/>
        </w:rPr>
        <w:t xml:space="preserve">通知书与采购单位签订合同。超期或未有协商，则视为自动放弃</w:t>
      </w:r>
      <w:r>
        <w:rPr>
          <w:rFonts w:hint="eastAsia" w:ascii="仿宋" w:hAnsi="仿宋" w:eastAsia="仿宋" w:cs="仿宋"/>
          <w:b w:val="0"/>
          <w:bCs/>
          <w:color w:val="auto"/>
          <w:sz w:val="24"/>
          <w:szCs w:val="24"/>
          <w:highlight w:val="none"/>
          <w:lang w:eastAsia="zh-CN"/>
        </w:rPr>
        <w:t xml:space="preserve">中标</w:t>
      </w:r>
      <w:r>
        <w:rPr>
          <w:rFonts w:hint="eastAsia" w:ascii="仿宋" w:hAnsi="仿宋" w:eastAsia="仿宋" w:cs="仿宋"/>
          <w:b w:val="0"/>
          <w:bCs/>
          <w:color w:val="auto"/>
          <w:sz w:val="24"/>
          <w:szCs w:val="24"/>
          <w:highlight w:val="none"/>
        </w:rPr>
        <w:t xml:space="preserve">资格。</w:t>
      </w:r>
      <w:r/>
    </w:p>
    <w:p>
      <w:pPr>
        <w:ind w:firstLine="482"/>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）本项目（不接受）进口产品参与</w:t>
      </w:r>
      <w:r/>
    </w:p>
    <w:p>
      <w:pPr>
        <w:ind w:firstLine="482"/>
        <w:keepLines w:val="0"/>
        <w:keepNext w:val="0"/>
        <w:pageBreakBefore w:val="0"/>
        <w:spacing w:line="500" w:lineRule="exact"/>
        <w:widowControl w:val="off"/>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二</w:t>
      </w:r>
      <w:r>
        <w:rPr>
          <w:rFonts w:hint="eastAsia" w:ascii="仿宋" w:hAnsi="仿宋" w:eastAsia="仿宋" w:cs="仿宋"/>
          <w:b/>
          <w:color w:val="auto"/>
          <w:sz w:val="24"/>
          <w:szCs w:val="24"/>
          <w:highlight w:val="none"/>
        </w:rPr>
        <w:t xml:space="preserve">）安全责任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要使用专业人员、专业工具。本项目一切安全责任均由</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负责，</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不承担任何责任。</w:t>
      </w:r>
      <w:r/>
    </w:p>
    <w:p>
      <w:pPr>
        <w:ind w:firstLine="723"/>
        <w:jc w:val="center"/>
        <w:keepLines w:val="0"/>
        <w:keepNext w:val="0"/>
        <w:pageBreakBefore w:val="0"/>
        <w:spacing w:line="500" w:lineRule="exact"/>
        <w:widowControl w:val="off"/>
        <w:rPr>
          <w:b/>
          <w:sz w:val="36"/>
          <w:szCs w:val="36"/>
          <w:highlight w:val="none"/>
        </w:rPr>
        <w:outlineLvl w:val="0"/>
      </w:pPr>
      <w:r>
        <w:rPr>
          <w:b/>
          <w:sz w:val="36"/>
          <w:szCs w:val="36"/>
          <w:highlight w:val="none"/>
        </w:rPr>
      </w:r>
      <w:r/>
    </w:p>
    <w:p>
      <w:pPr>
        <w:jc w:val="center"/>
        <w:spacing w:line="500" w:lineRule="exact"/>
        <w:rPr>
          <w:b/>
          <w:sz w:val="36"/>
          <w:szCs w:val="36"/>
          <w:highlight w:val="none"/>
        </w:rPr>
        <w:outlineLvl w:val="0"/>
      </w:pPr>
      <w:r>
        <w:rPr>
          <w:b/>
          <w:sz w:val="36"/>
          <w:szCs w:val="36"/>
          <w:highlight w:val="none"/>
        </w:rPr>
      </w:r>
      <w:r/>
    </w:p>
    <w:p>
      <w:pPr>
        <w:jc w:val="center"/>
        <w:spacing w:line="500" w:lineRule="exact"/>
        <w:rPr>
          <w:b/>
          <w:sz w:val="36"/>
          <w:szCs w:val="36"/>
          <w:highlight w:val="none"/>
        </w:rPr>
        <w:outlineLvl w:val="0"/>
      </w:pPr>
      <w:r>
        <w:rPr>
          <w:b/>
          <w:sz w:val="36"/>
          <w:szCs w:val="36"/>
          <w:highlight w:val="none"/>
        </w:rPr>
      </w:r>
      <w:r/>
    </w:p>
    <w:p>
      <w:pPr>
        <w:jc w:val="center"/>
        <w:spacing w:line="500" w:lineRule="exact"/>
        <w:rPr>
          <w:b/>
          <w:sz w:val="36"/>
          <w:szCs w:val="36"/>
          <w:highlight w:val="none"/>
        </w:rPr>
        <w:outlineLvl w:val="0"/>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pStyle w:val="770"/>
        <w:rPr>
          <w:b/>
          <w:sz w:val="36"/>
          <w:szCs w:val="36"/>
          <w:highlight w:val="none"/>
        </w:rPr>
      </w:pPr>
      <w:r>
        <w:rPr>
          <w:b/>
          <w:sz w:val="36"/>
          <w:szCs w:val="36"/>
          <w:highlight w:val="none"/>
        </w:rPr>
      </w:r>
      <w:r/>
    </w:p>
    <w:p>
      <w:pPr>
        <w:jc w:val="center"/>
        <w:spacing w:line="500" w:lineRule="exact"/>
        <w:rPr>
          <w:b/>
          <w:sz w:val="36"/>
          <w:szCs w:val="36"/>
          <w:highlight w:val="none"/>
        </w:rPr>
        <w:outlineLvl w:val="0"/>
      </w:pPr>
      <w:r>
        <w:rPr>
          <w:b/>
          <w:sz w:val="36"/>
          <w:szCs w:val="36"/>
          <w:highlight w:val="none"/>
        </w:rPr>
        <w:t xml:space="preserve">第</w:t>
      </w:r>
      <w:r>
        <w:rPr>
          <w:rFonts w:hint="eastAsia"/>
          <w:b/>
          <w:sz w:val="36"/>
          <w:szCs w:val="36"/>
          <w:highlight w:val="none"/>
          <w:lang w:val="en-US" w:eastAsia="zh-CN"/>
        </w:rPr>
        <w:t xml:space="preserve">五章</w:t>
      </w:r>
      <w:r>
        <w:rPr>
          <w:b/>
          <w:sz w:val="36"/>
          <w:szCs w:val="36"/>
          <w:highlight w:val="none"/>
        </w:rPr>
        <w:t xml:space="preserve">  </w:t>
      </w:r>
      <w:r>
        <w:rPr>
          <w:rFonts w:hint="eastAsia"/>
          <w:b/>
          <w:sz w:val="36"/>
          <w:szCs w:val="36"/>
          <w:highlight w:val="none"/>
        </w:rPr>
        <w:t xml:space="preserve">评标方法与评标标准</w:t>
      </w:r>
      <w:r/>
    </w:p>
    <w:p>
      <w:pPr>
        <w:rPr>
          <w:rFonts w:hint="eastAsia" w:ascii="仿宋" w:hAnsi="仿宋" w:eastAsia="仿宋" w:cs="仿宋"/>
          <w:b/>
          <w:bCs/>
          <w:sz w:val="24"/>
          <w:szCs w:val="24"/>
          <w:highlight w:val="none"/>
        </w:rPr>
        <w:outlineLvl w:val="1"/>
      </w:pPr>
      <w:r>
        <w:rPr>
          <w:rFonts w:hint="eastAsia" w:ascii="仿宋" w:hAnsi="仿宋" w:eastAsia="仿宋" w:cs="仿宋"/>
          <w:b/>
          <w:bCs/>
          <w:sz w:val="24"/>
          <w:szCs w:val="24"/>
          <w:highlight w:val="none"/>
        </w:rPr>
        <w:t xml:space="preserve">一、评审方法：</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综合评分法，由评标委员会对投标供应商资格进行审查，然后对符合资格的投标供应商的投标文件进行符合性审查，最后评标委员会对符合性审查合格的投标文件商务、技术部分进行评估，综合比较与评价。投标供应商商务技术分和价格分的合计分值，为该投标供应商的评标总得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评标结果按评审后得分由高到低顺序排列，确定中标候选人名单并按顺序确定中标人。得分相同的，按投标优惠率由高到低顺序排列。得分且投标报价相同的并列,按照技术指标优劣顺序推荐。</w:t>
      </w:r>
      <w:r/>
    </w:p>
    <w:tbl>
      <w:tblPr>
        <w:tblStyle w:val="73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461"/>
        <w:gridCol w:w="5390"/>
      </w:tblGrid>
      <w:tr>
        <w:trPr/>
        <w:tc>
          <w:tcPr>
            <w:tcW w:w="1196" w:type="dxa"/>
            <w:vAlign w:val="center"/>
            <w:textDirection w:val="lrTb"/>
            <w:noWrap w:val="false"/>
          </w:tcPr>
          <w:p>
            <w:pPr>
              <w:ind w:firstLine="240"/>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分包号</w:t>
            </w:r>
            <w:r/>
          </w:p>
        </w:tc>
        <w:tc>
          <w:tcPr>
            <w:tcW w:w="2461"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选取中标候选人数量</w:t>
            </w:r>
            <w:r/>
          </w:p>
        </w:tc>
        <w:tc>
          <w:tcPr>
            <w:tcW w:w="5390" w:type="dxa"/>
            <w:vAlign w:val="center"/>
            <w:textDirection w:val="lrTb"/>
            <w:noWrap w:val="false"/>
          </w:tcPr>
          <w:p>
            <w:pPr>
              <w:ind w:firstLine="1351"/>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选取中标候选人的原则</w:t>
            </w:r>
            <w:r/>
          </w:p>
        </w:tc>
      </w:tr>
      <w:tr>
        <w:trPr/>
        <w:tc>
          <w:tcPr>
            <w:tcW w:w="1196" w:type="dxa"/>
            <w:vAlign w:val="center"/>
            <w:textDirection w:val="lrTb"/>
            <w:noWrap w:val="false"/>
          </w:tcPr>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2461" w:type="dxa"/>
            <w:vAlign w:val="center"/>
            <w:textDirection w:val="lrTb"/>
            <w:noWrap w:val="false"/>
          </w:tcPr>
          <w:p>
            <w:pPr>
              <w:ind w:firstLine="873"/>
              <w:spacing w:line="50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3</w:t>
            </w:r>
            <w:r/>
          </w:p>
        </w:tc>
        <w:tc>
          <w:tcPr>
            <w:tcW w:w="5390" w:type="dxa"/>
            <w:vAlign w:val="center"/>
            <w:textDirection w:val="lrTb"/>
            <w:noWrap w:val="false"/>
          </w:tcPr>
          <w:p>
            <w:pPr>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满足招标文件全部实质性要求，且按照评审因素的量化指标评审得分最高的投标供应商为中标候选人。</w:t>
            </w:r>
            <w:r/>
          </w:p>
        </w:tc>
      </w:tr>
    </w:tbl>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二、政府采购政策功能落实：</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1、小微型企业价格扣除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（1）本项目对小型和微型企业产品给予10%的扣除价格，用扣除后的价格参与评审。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（2）供应商需按照《政府采购促进中小企业发展管理办法》（财库﹝2020﹞46 号）的规定提供相应的《中小企业声明函》。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（3）企业标准请参照《关于印发中小企业划型标准规定的通知》（工信部联企业[2011]300号）文件规定自行填写。</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（1）本项目对残疾人福利性单位，给予10%的价格扣除，用扣除后的价格参与评审。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（2）残疾人福利单位需按照招标文件的要求提供《残疾人福利性单位声明函》。</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（3）残疾人福利单位标准请参照《关于促进残疾人就业政府采购政策的通知》（财库〔2017〕141号）。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3、监狱和戒毒企业价格扣除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（1）本项目对监狱和戒毒企业（简称监狱企业）给予10%的价格扣除，用扣除后的价格参与评审。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（3）监狱企业标准请参照《关于政府采购支持监狱企业发展有关问题的通知》（财库[2014]68号）。</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4、残疾人福利单位、监狱企业属于小型、微型企业的，不重复享受政策。</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7、专门面向中小企业采购的项目或者采购包，不再执行价格评审优惠的扶持政策。</w:t>
      </w:r>
      <w:r/>
    </w:p>
    <w:p>
      <w:pPr>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三、评标方法与评标标准：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本项目采用综合评分法。评委会将按下列评审因素与评审标准进行评分，总分值为100分。</w:t>
      </w:r>
      <w:r/>
    </w:p>
    <w:p>
      <w:pPr>
        <w:ind w:firstLine="241"/>
        <w:spacing w:line="50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3.1价格分（</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0分）：</w:t>
      </w:r>
      <w:r/>
    </w:p>
    <w:p>
      <w:pPr>
        <w:contextualSpacing/>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价格分统一采用低价优先法计算，即满足招标文件要求且报价最高的优惠率为评标基准价，其价格分为满分。其他投标人的价格分统一按照下列公式计算：</w:t>
      </w:r>
      <w:r/>
    </w:p>
    <w:p>
      <w:pPr>
        <w:contextualSpacing/>
        <w:ind w:firstLine="480"/>
        <w:jc w:val="left"/>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投标报价得分=[（1-评标基准价）/（1-投标优惠率）]×价格权值×100</w:t>
      </w:r>
      <w:r/>
    </w:p>
    <w:p>
      <w:pPr>
        <w:contextualSpacing/>
        <w:jc w:val="left"/>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3.2商务技术分（</w:t>
      </w:r>
      <w:r>
        <w:rPr>
          <w:rFonts w:hint="eastAsia" w:ascii="仿宋" w:hAnsi="仿宋" w:eastAsia="仿宋" w:cs="仿宋"/>
          <w:b/>
          <w:bCs/>
          <w:sz w:val="24"/>
          <w:szCs w:val="24"/>
          <w:highlight w:val="none"/>
          <w:lang w:val="en-US" w:eastAsia="zh-CN"/>
        </w:rPr>
        <w:t xml:space="preserve">7</w:t>
      </w:r>
      <w:r>
        <w:rPr>
          <w:rFonts w:hint="eastAsia" w:ascii="仿宋" w:hAnsi="仿宋" w:eastAsia="仿宋" w:cs="仿宋"/>
          <w:b/>
          <w:bCs/>
          <w:sz w:val="24"/>
          <w:szCs w:val="24"/>
          <w:highlight w:val="none"/>
        </w:rPr>
        <w:t xml:space="preserve">0分）：</w:t>
      </w:r>
      <w:r/>
    </w:p>
    <w:p>
      <w:pPr>
        <w:ind w:firstLine="555"/>
        <w:spacing w:line="5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各供应商得分为评委会成员评分的算术平均分，分值保留小数点后两位。</w:t>
      </w:r>
      <w:r/>
    </w:p>
    <w:tbl>
      <w:tblPr>
        <w:tblStyle w:val="732"/>
        <w:tblW w:w="105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050"/>
        <w:gridCol w:w="8105"/>
        <w:gridCol w:w="643"/>
      </w:tblGrid>
      <w:tr>
        <w:trPr>
          <w:jc w:val="center"/>
          <w:trHeight w:val="77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评分点名称</w:t>
            </w:r>
            <w:r/>
          </w:p>
        </w:tc>
        <w:tc>
          <w:tcPr>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ind w:firstLine="487"/>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szCs w:val="24"/>
                <w:highlight w:val="none"/>
                <w:lang w:val="zh-CN" w:eastAsia="zh-CN" w:bidi="ar-SA"/>
              </w:rPr>
            </w:pPr>
            <w:r>
              <w:rPr>
                <w:rFonts w:hint="eastAsia" w:ascii="仿宋" w:hAnsi="仿宋" w:eastAsia="仿宋" w:cs="仿宋"/>
                <w:b/>
                <w:bCs/>
                <w:color w:val="000000"/>
                <w:sz w:val="24"/>
                <w:highlight w:val="none"/>
                <w:lang w:val="zh-CN"/>
              </w:rPr>
              <w:t xml:space="preserve">分值</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Cs/>
                <w:color w:val="000000"/>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Cs/>
                <w:sz w:val="24"/>
                <w:highlight w:val="none"/>
                <w:lang w:val="zh-CN"/>
              </w:rPr>
              <w:t xml:space="preserve">项目实施整体设想与计划</w:t>
            </w:r>
            <w:r/>
          </w:p>
        </w:tc>
        <w:tc>
          <w:tcPr>
            <w:tcBorders>
              <w:top w:val="single" w:color="000000" w:sz="4" w:space="0"/>
              <w:left w:val="single" w:color="000000" w:sz="4" w:space="0"/>
              <w:bottom w:val="single" w:color="000000" w:sz="4" w:space="0"/>
              <w:right w:val="single" w:color="000000" w:sz="4" w:space="0"/>
            </w:tcBorders>
            <w:tcW w:w="8105" w:type="dxa"/>
            <w:vAlign w:val="top"/>
            <w:textDirection w:val="lrTb"/>
            <w:noWrap w:val="false"/>
          </w:tcPr>
          <w:p>
            <w:pPr>
              <w:keepLines w:val="0"/>
              <w:pageBreakBefore w:val="0"/>
              <w:spacing w:line="380" w:lineRule="exact"/>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实施计划能完整涵盖①道路、②桥梁、③交通及附属设施的所有养护子项，④且针对本项目车流量、周边环境等特异性因素制定了详尽的应对预案；⑤计划中工序流程编排逻辑严密，能够实现养护作业、质量巡检与应急抢修的闭环管理。</w:t>
            </w:r>
            <w:r/>
          </w:p>
          <w:p>
            <w:pPr>
              <w:pStyle w:val="770"/>
              <w:rPr>
                <w:rFonts w:hint="eastAsia"/>
                <w:highlight w:val="none"/>
                <w:lang w:val="en-US" w:eastAsia="zh-CN"/>
              </w:rPr>
            </w:pPr>
            <w:r>
              <w:rPr>
                <w:rFonts w:hint="eastAsia" w:ascii="仿宋" w:hAnsi="仿宋" w:eastAsia="仿宋" w:cs="仿宋"/>
                <w:sz w:val="22"/>
                <w:szCs w:val="22"/>
                <w:highlight w:val="none"/>
                <w:lang w:val="en-US" w:eastAsia="zh-CN" w:bidi="ar-SA"/>
              </w:rPr>
              <w:t xml:space="preserve">上述5个方面每一项内容得2分，每有一项内容存在缺陷或不足的该点内容不得分。本项最高得10分；照抄采购文件或未提供的不得分。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default" w:ascii="仿宋" w:hAnsi="仿宋" w:eastAsia="仿宋" w:cs="仿宋"/>
                <w:b/>
                <w:bCs/>
                <w:color w:val="000000"/>
                <w:sz w:val="24"/>
                <w:szCs w:val="24"/>
                <w:highlight w:val="none"/>
                <w:lang w:val="en-US" w:eastAsia="zh-CN" w:bidi="ar-SA"/>
              </w:rPr>
            </w:pPr>
            <w:r>
              <w:rPr>
                <w:rFonts w:hint="eastAsia" w:ascii="仿宋" w:hAnsi="仿宋" w:eastAsia="仿宋" w:cs="仿宋"/>
                <w:bCs/>
                <w:sz w:val="24"/>
                <w:highlight w:val="none"/>
                <w:lang w:val="en-US" w:eastAsia="zh-CN"/>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Cs/>
                <w:color w:val="000000"/>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sz w:val="24"/>
                <w:highlight w:val="none"/>
                <w:lang w:val="zh-CN"/>
              </w:rPr>
            </w:pPr>
            <w:r>
              <w:rPr>
                <w:rFonts w:hint="eastAsia" w:ascii="仿宋" w:hAnsi="仿宋" w:eastAsia="仿宋" w:cs="仿宋"/>
                <w:bCs/>
                <w:sz w:val="24"/>
                <w:highlight w:val="none"/>
                <w:lang w:val="en-US" w:eastAsia="zh-CN"/>
              </w:rPr>
              <w:t xml:space="preserve">养护</w:t>
            </w:r>
            <w:r>
              <w:rPr>
                <w:rFonts w:hint="eastAsia" w:ascii="仿宋" w:hAnsi="仿宋" w:eastAsia="仿宋" w:cs="仿宋"/>
                <w:bCs/>
                <w:sz w:val="24"/>
                <w:highlight w:val="none"/>
                <w:lang w:val="zh-CN"/>
              </w:rPr>
              <w:t xml:space="preserve">方案</w:t>
            </w:r>
            <w:r/>
          </w:p>
        </w:tc>
        <w:tc>
          <w:tcPr>
            <w:tcBorders>
              <w:top w:val="single" w:color="000000" w:sz="4" w:space="0"/>
              <w:left w:val="single" w:color="000000" w:sz="4" w:space="0"/>
              <w:bottom w:val="single" w:color="000000" w:sz="4" w:space="0"/>
              <w:right w:val="single" w:color="000000" w:sz="4" w:space="0"/>
            </w:tcBorders>
            <w:tcW w:w="8105" w:type="dxa"/>
            <w:vAlign w:val="top"/>
            <w:textDirection w:val="lrTb"/>
            <w:noWrap w:val="false"/>
          </w:tcPr>
          <w:p>
            <w:pPr>
              <w:rPr>
                <w:rFonts w:hint="eastAsia" w:ascii="仿宋" w:hAnsi="仿宋" w:eastAsia="仿宋" w:cs="仿宋"/>
                <w:sz w:val="24"/>
                <w:szCs w:val="24"/>
                <w:highlight w:val="none"/>
                <w:lang w:val="zh-CN" w:eastAsia="zh-CN" w:bidi="ar-SA"/>
              </w:rPr>
            </w:pPr>
            <w:r>
              <w:rPr>
                <w:rFonts w:hint="eastAsia" w:ascii="仿宋" w:hAnsi="仿宋" w:eastAsia="仿宋" w:cs="仿宋"/>
                <w:sz w:val="24"/>
                <w:szCs w:val="24"/>
                <w:highlight w:val="none"/>
                <w:lang w:val="zh-CN" w:eastAsia="zh-CN" w:bidi="ar-SA"/>
              </w:rPr>
              <w:t xml:space="preserve">方案系统覆盖①沥青路面（裂缝/坑槽/车辙）、②道路基层（沉陷/脱空）、③桥梁结构（裂缝/混凝土缺损/钢筋锈蚀）及④桥梁支座（老化/偏位/脱空）等全部指定病害类型；针对不同病害成因⑤（如路面车辙需区分流动性车辙与结构性车辙）制定差异化的工艺工法，明确材料配比、施工机具及验收量化指标，且与本地气候、交通荷载特点紧密结合。</w:t>
            </w:r>
            <w:r/>
          </w:p>
          <w:p>
            <w:pPr>
              <w:rPr>
                <w:rFonts w:hint="eastAsia" w:ascii="仿宋" w:hAnsi="仿宋" w:eastAsia="仿宋" w:cs="仿宋"/>
                <w:sz w:val="24"/>
                <w:szCs w:val="24"/>
                <w:highlight w:val="none"/>
                <w:lang w:val="zh-CN"/>
              </w:rPr>
            </w:pPr>
            <w:r>
              <w:rPr>
                <w:rFonts w:hint="eastAsia" w:ascii="仿宋" w:hAnsi="仿宋" w:eastAsia="仿宋" w:cs="仿宋"/>
                <w:sz w:val="22"/>
                <w:szCs w:val="22"/>
                <w:highlight w:val="none"/>
                <w:lang w:val="en-US" w:eastAsia="zh-CN" w:bidi="ar-SA"/>
              </w:rPr>
              <w:t xml:space="preserve">上述5个方面每一项内容得2分，每有一项内容存在缺陷或不足的该点内容不得分。本项最高得10分；照抄采购文件或未提供的不得分。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default" w:ascii="仿宋" w:hAnsi="仿宋" w:eastAsia="仿宋" w:cs="仿宋"/>
                <w:b/>
                <w:bCs/>
                <w:color w:val="000000"/>
                <w:sz w:val="24"/>
                <w:szCs w:val="24"/>
                <w:highlight w:val="none"/>
                <w:lang w:val="en-US" w:eastAsia="zh-CN" w:bidi="ar-SA"/>
              </w:rPr>
            </w:pPr>
            <w:r>
              <w:rPr>
                <w:rFonts w:hint="eastAsia" w:ascii="仿宋" w:hAnsi="仿宋" w:eastAsia="仿宋" w:cs="仿宋"/>
                <w:bCs/>
                <w:sz w:val="24"/>
                <w:highlight w:val="none"/>
                <w:lang w:val="en-US" w:eastAsia="zh-CN"/>
              </w:rPr>
              <w:t xml:space="preserve">10</w:t>
            </w:r>
            <w:r/>
          </w:p>
        </w:tc>
      </w:tr>
      <w:tr>
        <w:trPr>
          <w:jc w:val="center"/>
          <w:trHeight w:val="3290"/>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
                <w:bCs/>
                <w:color w:val="000000"/>
                <w:sz w:val="24"/>
                <w:highlight w:val="none"/>
                <w:lang w:val="zh-CN"/>
              </w:rPr>
            </w:pPr>
            <w:r>
              <w:rPr>
                <w:rFonts w:hint="eastAsia" w:ascii="仿宋" w:hAnsi="仿宋" w:eastAsia="仿宋" w:cs="仿宋"/>
                <w:bCs/>
                <w:color w:val="000000"/>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b/>
                <w:bCs/>
                <w:sz w:val="24"/>
                <w:highlight w:val="none"/>
                <w:lang w:val="zh-CN"/>
              </w:rPr>
            </w:pPr>
            <w:r>
              <w:rPr>
                <w:rFonts w:hint="eastAsia" w:ascii="仿宋" w:hAnsi="仿宋" w:eastAsia="仿宋" w:cs="仿宋"/>
                <w:bCs/>
                <w:sz w:val="24"/>
                <w:highlight w:val="none"/>
                <w:lang w:val="zh-CN"/>
              </w:rPr>
              <w:t xml:space="preserve">应急预案</w:t>
            </w:r>
            <w:r/>
          </w:p>
        </w:tc>
        <w:tc>
          <w:tcPr>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keepLines w:val="0"/>
              <w:pageBreakBefore w:val="0"/>
              <w:spacing w:line="38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zh-CN" w:eastAsia="zh-CN" w:bidi="ar-SA"/>
              </w:rPr>
              <w:t xml:space="preserve">预案完整覆①盖恶劣天气（暴雨/大风/高温/大雾）、②交通事故（一般/重大/危化品泄露）、③桥梁垮塌、④道路坍塌及⑤扫雪防冻等全部指定突发场景；针对各类事件建立蓝黄橙红四级预警响应机制，明确信息报送时限、现场围蔽标准、应急资源调配路径及与交管/应急部门联动程序；特别针对桥梁垮塌、道路坍塌等重特大事故，单列专项处置流程，包含次生灾害防范及12小时内设施临时加固/保通措施，形成“处置-恢复-复盘”完整闭环</w:t>
            </w:r>
            <w:r>
              <w:rPr>
                <w:rFonts w:hint="eastAsia" w:ascii="仿宋" w:hAnsi="仿宋" w:eastAsia="仿宋" w:cs="仿宋"/>
                <w:sz w:val="24"/>
                <w:szCs w:val="24"/>
                <w:highlight w:val="none"/>
                <w:lang w:val="en-US" w:eastAsia="zh-CN" w:bidi="ar-SA"/>
              </w:rPr>
              <w:t xml:space="preserve">。</w:t>
            </w:r>
            <w:r/>
          </w:p>
          <w:p>
            <w:pPr>
              <w:pStyle w:val="770"/>
              <w:rPr>
                <w:rFonts w:hint="eastAsia"/>
                <w:highlight w:val="none"/>
                <w:lang w:val="en-US" w:eastAsia="zh-CN"/>
              </w:rPr>
            </w:pPr>
            <w:r>
              <w:rPr>
                <w:rFonts w:hint="eastAsia" w:ascii="仿宋" w:hAnsi="仿宋" w:eastAsia="仿宋" w:cs="仿宋"/>
                <w:sz w:val="22"/>
                <w:szCs w:val="22"/>
                <w:highlight w:val="none"/>
                <w:lang w:val="en-US" w:eastAsia="zh-CN" w:bidi="ar-SA"/>
              </w:rPr>
              <w:t xml:space="preserve">上述5个方面每一项内容得2分，每有一项内容存在缺陷或不足的该点内容不得分。本项最高得10分；照抄采购文件或未提供的不得分。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default" w:ascii="仿宋" w:hAnsi="仿宋" w:eastAsia="仿宋" w:cs="仿宋"/>
                <w:b/>
                <w:bCs/>
                <w:color w:val="000000"/>
                <w:sz w:val="24"/>
                <w:szCs w:val="24"/>
                <w:highlight w:val="none"/>
                <w:lang w:val="en-US" w:eastAsia="zh-CN" w:bidi="ar-SA"/>
              </w:rPr>
            </w:pPr>
            <w:r>
              <w:rPr>
                <w:rFonts w:hint="eastAsia" w:ascii="仿宋" w:hAnsi="仿宋" w:eastAsia="仿宋" w:cs="仿宋"/>
                <w:bCs/>
                <w:sz w:val="24"/>
                <w:highlight w:val="none"/>
                <w:lang w:val="en-US" w:eastAsia="zh-CN"/>
              </w:rPr>
              <w:t xml:space="preserve">10</w:t>
            </w:r>
            <w:r/>
          </w:p>
        </w:tc>
      </w:tr>
      <w:tr>
        <w:trPr>
          <w:jc w:val="center"/>
          <w:trHeight w:val="4051"/>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8105" w:type="dxa"/>
            <w:vAlign w:val="top"/>
            <w:textDirection w:val="lrTb"/>
            <w:noWrap w:val="false"/>
          </w:tcPr>
          <w:p>
            <w:pPr>
              <w:keepLines w:val="0"/>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投标人配</w:t>
            </w:r>
            <w:r>
              <w:rPr>
                <w:rFonts w:hint="eastAsia" w:ascii="仿宋" w:hAnsi="仿宋" w:eastAsia="仿宋" w:cs="仿宋"/>
                <w:sz w:val="24"/>
                <w:highlight w:val="none"/>
                <w:lang w:val="en-US" w:eastAsia="zh-CN"/>
              </w:rPr>
              <w:t xml:space="preserve">备以下人员：</w:t>
            </w:r>
            <w:r/>
          </w:p>
          <w:p>
            <w:pPr>
              <w:keepLines w:val="0"/>
              <w:pageBreakBefore w:val="0"/>
              <w:spacing w:line="380" w:lineRule="exact"/>
              <w:rPr>
                <w:rFonts w:hint="eastAsia"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1、拟派项目负责人</w:t>
            </w:r>
            <w:r>
              <w:rPr>
                <w:rFonts w:hint="eastAsia" w:ascii="仿宋" w:hAnsi="仿宋" w:eastAsia="仿宋" w:cs="仿宋"/>
                <w:strike w:val="0"/>
                <w:color w:val="auto"/>
                <w:sz w:val="24"/>
                <w:highlight w:val="none"/>
                <w:lang w:val="en-US" w:eastAsia="zh-CN"/>
              </w:rPr>
              <w:t xml:space="preserve">具有工程类高级工程师的</w:t>
            </w:r>
            <w:r>
              <w:rPr>
                <w:rFonts w:hint="eastAsia" w:ascii="仿宋" w:hAnsi="仿宋" w:eastAsia="仿宋" w:cs="仿宋"/>
                <w:strike w:val="0"/>
                <w:color w:val="auto"/>
                <w:sz w:val="24"/>
                <w:highlight w:val="none"/>
              </w:rPr>
              <w:t xml:space="preserve">得2分。</w:t>
            </w:r>
            <w:r/>
          </w:p>
          <w:p>
            <w:pPr>
              <w:keepLines w:val="0"/>
              <w:pageBreakBefore w:val="0"/>
              <w:spacing w:line="38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、其他项目管理人员</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具备</w:t>
            </w:r>
            <w:r>
              <w:rPr>
                <w:rFonts w:hint="eastAsia" w:ascii="仿宋" w:hAnsi="仿宋" w:eastAsia="仿宋" w:cs="仿宋"/>
                <w:color w:val="auto"/>
                <w:sz w:val="24"/>
                <w:highlight w:val="none"/>
                <w:lang w:val="en-US" w:eastAsia="zh-CN"/>
              </w:rPr>
              <w:t xml:space="preserve">市政工程</w:t>
            </w:r>
            <w:r>
              <w:rPr>
                <w:rFonts w:hint="eastAsia" w:ascii="仿宋" w:hAnsi="仿宋" w:eastAsia="仿宋" w:cs="仿宋"/>
                <w:color w:val="auto"/>
                <w:sz w:val="24"/>
                <w:highlight w:val="none"/>
              </w:rPr>
              <w:t xml:space="preserve">一级建造师且具备工程类中级职称有一人得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分，具备</w:t>
            </w:r>
            <w:r>
              <w:rPr>
                <w:rFonts w:hint="eastAsia" w:ascii="仿宋" w:hAnsi="仿宋" w:eastAsia="仿宋" w:cs="仿宋"/>
                <w:color w:val="auto"/>
                <w:sz w:val="24"/>
                <w:highlight w:val="none"/>
                <w:lang w:val="en-US" w:eastAsia="zh-CN"/>
              </w:rPr>
              <w:t xml:space="preserve">市政工程</w:t>
            </w:r>
            <w:r>
              <w:rPr>
                <w:rFonts w:hint="eastAsia" w:ascii="仿宋" w:hAnsi="仿宋" w:eastAsia="仿宋" w:cs="仿宋"/>
                <w:color w:val="auto"/>
                <w:sz w:val="24"/>
                <w:highlight w:val="none"/>
              </w:rPr>
              <w:t xml:space="preserve">一级建造师且具备工程类高级及以上职称有一人得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分。具备</w:t>
            </w:r>
            <w:r>
              <w:rPr>
                <w:rFonts w:hint="eastAsia" w:ascii="仿宋" w:hAnsi="仿宋" w:eastAsia="仿宋" w:cs="仿宋"/>
                <w:color w:val="auto"/>
                <w:sz w:val="24"/>
                <w:highlight w:val="none"/>
                <w:lang w:val="en-US" w:eastAsia="zh-CN"/>
              </w:rPr>
              <w:t xml:space="preserve">注册</w:t>
            </w:r>
            <w:r>
              <w:rPr>
                <w:rFonts w:hint="eastAsia" w:ascii="仿宋" w:hAnsi="仿宋" w:eastAsia="仿宋" w:cs="仿宋"/>
                <w:color w:val="auto"/>
                <w:sz w:val="24"/>
                <w:highlight w:val="none"/>
              </w:rPr>
              <w:t xml:space="preserve">一级造价师的得2分。</w:t>
            </w:r>
            <w:r>
              <w:rPr>
                <w:rFonts w:hint="eastAsia" w:ascii="仿宋" w:hAnsi="仿宋" w:eastAsia="仿宋" w:cs="仿宋"/>
                <w:color w:val="auto"/>
                <w:sz w:val="24"/>
                <w:highlight w:val="none"/>
                <w:lang w:eastAsia="zh-CN"/>
              </w:rPr>
              <w:t xml:space="preserve">具备注册安全工程师的得</w:t>
            </w:r>
            <w:r>
              <w:rPr>
                <w:rFonts w:hint="eastAsia" w:ascii="仿宋" w:hAnsi="仿宋" w:eastAsia="仿宋" w:cs="仿宋"/>
                <w:color w:val="auto"/>
                <w:sz w:val="24"/>
                <w:highlight w:val="none"/>
                <w:lang w:val="en-US" w:eastAsia="zh-CN"/>
              </w:rPr>
              <w:t xml:space="preserve">2分，具备安全员c证的有一个人的1分，最多得4分。本项最多得12分</w:t>
            </w:r>
            <w:r/>
          </w:p>
          <w:p>
            <w:pPr>
              <w:keepLines w:val="0"/>
              <w:pageBreakBefore w:val="0"/>
              <w:spacing w:line="380" w:lineRule="exact"/>
              <w:rPr>
                <w:rFonts w:hint="eastAsia" w:ascii="仿宋" w:hAnsi="仿宋" w:eastAsia="仿宋" w:cs="仿宋"/>
                <w:sz w:val="24"/>
                <w:highlight w:val="none"/>
              </w:rPr>
            </w:pPr>
            <w:r>
              <w:rPr>
                <w:rFonts w:hint="eastAsia" w:ascii="仿宋" w:hAnsi="仿宋" w:eastAsia="仿宋" w:cs="仿宋"/>
                <w:color w:val="auto"/>
                <w:sz w:val="24"/>
                <w:highlight w:val="none"/>
              </w:rPr>
              <w:t xml:space="preserve">注：人员有多个证书不重复计分，提供</w:t>
            </w:r>
            <w:r>
              <w:rPr>
                <w:rFonts w:hint="eastAsia" w:ascii="仿宋" w:hAnsi="仿宋" w:eastAsia="仿宋" w:cs="仿宋"/>
                <w:color w:val="auto"/>
                <w:sz w:val="24"/>
                <w:highlight w:val="none"/>
                <w:lang w:val="en-US" w:eastAsia="zh-CN"/>
              </w:rPr>
              <w:t xml:space="preserve">相关职称证书、有效期内的</w:t>
            </w:r>
            <w:r>
              <w:rPr>
                <w:rFonts w:hint="eastAsia" w:ascii="仿宋" w:hAnsi="仿宋" w:eastAsia="仿宋" w:cs="仿宋"/>
                <w:color w:val="auto"/>
                <w:sz w:val="24"/>
                <w:highlight w:val="none"/>
              </w:rPr>
              <w:t xml:space="preserve">注册证书（证书须注册在本</w:t>
            </w: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rPr>
              <w:t xml:space="preserve">单位），否则均不得分。所有人员均为投标人本公司的正式员工，投标文件中须提供社保部门盖章的</w:t>
            </w:r>
            <w:r>
              <w:rPr>
                <w:rFonts w:hint="eastAsia" w:ascii="仿宋" w:hAnsi="仿宋" w:eastAsia="仿宋" w:cs="仿宋"/>
                <w:color w:val="auto"/>
                <w:sz w:val="24"/>
                <w:highlight w:val="none"/>
                <w:lang w:val="en-US" w:eastAsia="zh-CN"/>
              </w:rPr>
              <w:t xml:space="preserve">近三个月中任意一个月</w:t>
            </w:r>
            <w:r>
              <w:rPr>
                <w:rFonts w:hint="eastAsia" w:ascii="仿宋" w:hAnsi="仿宋" w:eastAsia="仿宋" w:cs="仿宋"/>
                <w:color w:val="auto"/>
                <w:sz w:val="24"/>
                <w:highlight w:val="none"/>
              </w:rPr>
              <w:t xml:space="preserve">单位为其缴纳的基本养老保险证明。</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en-US" w:eastAsia="zh-CN"/>
              </w:rPr>
              <w:t xml:space="preserve">4</w:t>
            </w:r>
            <w:r/>
          </w:p>
        </w:tc>
      </w:tr>
      <w:tr>
        <w:trPr>
          <w:jc w:val="center"/>
          <w:trHeight w:val="1524"/>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Cs/>
                <w:color w:val="000000"/>
                <w:sz w:val="24"/>
                <w:highlight w:val="none"/>
                <w:lang w:val="zh-CN" w:eastAsia="zh-CN"/>
              </w:rPr>
            </w:pPr>
            <w:r>
              <w:rPr>
                <w:rFonts w:hint="eastAsia" w:ascii="仿宋" w:hAnsi="仿宋" w:eastAsia="仿宋" w:cs="仿宋"/>
                <w:bCs/>
                <w:color w:val="000000"/>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47"/>
              <w:ind w:left="0" w:firstLine="0"/>
              <w:jc w:val="center"/>
              <w:keepLines w:val="0"/>
              <w:pageBreakBefore w:val="0"/>
              <w:spacing w:line="380" w:lineRule="exact"/>
              <w:rPr>
                <w:rFonts w:hint="eastAsia" w:ascii="仿宋" w:hAnsi="仿宋" w:eastAsia="仿宋" w:cs="仿宋"/>
                <w:color w:val="auto"/>
                <w:highlight w:val="none"/>
                <w:lang w:val="en-US" w:eastAsia="zh-CN"/>
              </w:rPr>
            </w:pPr>
            <w:r>
              <w:rPr>
                <w:rFonts w:hint="eastAsia" w:ascii="仿宋" w:hAnsi="仿宋" w:eastAsia="仿宋" w:cs="仿宋"/>
                <w:bCs/>
                <w:color w:val="auto"/>
                <w:sz w:val="24"/>
                <w:highlight w:val="none"/>
              </w:rPr>
              <w:t xml:space="preserve">业绩</w:t>
            </w:r>
            <w:r>
              <w:rPr>
                <w:rFonts w:hint="eastAsia" w:ascii="仿宋" w:hAnsi="仿宋" w:eastAsia="仿宋" w:cs="仿宋"/>
                <w:bCs/>
                <w:color w:val="auto"/>
                <w:sz w:val="24"/>
                <w:highlight w:val="none"/>
                <w:lang w:val="en-US" w:eastAsia="zh-CN"/>
              </w:rPr>
              <w:t xml:space="preserve">证明</w:t>
            </w:r>
            <w:r/>
          </w:p>
        </w:tc>
        <w:tc>
          <w:tcPr>
            <w:tcBorders>
              <w:top w:val="single" w:color="000000" w:sz="4" w:space="0"/>
              <w:left w:val="single" w:color="000000" w:sz="4" w:space="0"/>
              <w:bottom w:val="single" w:color="000000" w:sz="4" w:space="0"/>
              <w:right w:val="single" w:color="000000" w:sz="4" w:space="0"/>
            </w:tcBorders>
            <w:tcW w:w="8105" w:type="dxa"/>
            <w:vAlign w:val="center"/>
            <w:textDirection w:val="lrTb"/>
            <w:noWrap w:val="false"/>
          </w:tcPr>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2021</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月1日以来，投标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承担过市政</w:t>
            </w:r>
            <w:r>
              <w:rPr>
                <w:rFonts w:hint="eastAsia" w:ascii="仿宋" w:hAnsi="仿宋" w:eastAsia="仿宋" w:cs="仿宋"/>
                <w:color w:val="auto"/>
                <w:sz w:val="24"/>
                <w:highlight w:val="none"/>
                <w:lang w:val="en-US" w:eastAsia="zh-CN"/>
              </w:rPr>
              <w:t xml:space="preserve">日常养护</w:t>
            </w:r>
            <w:r>
              <w:rPr>
                <w:rFonts w:hint="eastAsia" w:ascii="仿宋" w:hAnsi="仿宋" w:eastAsia="仿宋" w:cs="仿宋"/>
                <w:color w:val="auto"/>
                <w:sz w:val="24"/>
                <w:highlight w:val="none"/>
              </w:rPr>
              <w:t xml:space="preserve">项目（不包括绿化养护项目）业绩有一项得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分，最多得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keepLines w:val="0"/>
              <w:pageBreakBefore w:val="0"/>
              <w:spacing w:line="380" w:lineRule="exact"/>
              <w:rPr>
                <w:rFonts w:hint="eastAsia" w:ascii="仿宋" w:hAnsi="仿宋" w:eastAsia="仿宋" w:cs="仿宋"/>
                <w:color w:val="000000"/>
                <w:sz w:val="24"/>
                <w:highlight w:val="none"/>
                <w:lang w:eastAsia="zh-CN"/>
              </w:rPr>
            </w:pPr>
            <w:r>
              <w:rPr>
                <w:rFonts w:hint="eastAsia" w:ascii="仿宋" w:hAnsi="仿宋" w:eastAsia="仿宋" w:cs="仿宋"/>
                <w:color w:val="auto"/>
                <w:sz w:val="24"/>
                <w:highlight w:val="none"/>
              </w:rPr>
              <w:t xml:space="preserve">注：提供</w:t>
            </w:r>
            <w:r>
              <w:rPr>
                <w:rFonts w:hint="eastAsia" w:ascii="仿宋" w:hAnsi="仿宋" w:eastAsia="仿宋" w:cs="仿宋"/>
                <w:color w:val="auto"/>
                <w:sz w:val="24"/>
                <w:highlight w:val="none"/>
                <w:lang w:val="en-US" w:eastAsia="zh-CN"/>
              </w:rPr>
              <w:t xml:space="preserve">中标通知书、</w:t>
            </w:r>
            <w:r>
              <w:rPr>
                <w:rFonts w:hint="eastAsia" w:ascii="仿宋" w:hAnsi="仿宋" w:eastAsia="仿宋" w:cs="仿宋"/>
                <w:color w:val="auto"/>
                <w:sz w:val="24"/>
                <w:highlight w:val="none"/>
              </w:rPr>
              <w:t xml:space="preserve">合同、</w:t>
            </w:r>
            <w:r>
              <w:rPr>
                <w:rFonts w:hint="eastAsia" w:ascii="仿宋" w:hAnsi="仿宋" w:eastAsia="仿宋" w:cs="仿宋"/>
                <w:color w:val="auto"/>
                <w:sz w:val="24"/>
                <w:highlight w:val="none"/>
                <w:lang w:val="en-US" w:eastAsia="zh-CN"/>
              </w:rPr>
              <w:t xml:space="preserve">竣工</w:t>
            </w:r>
            <w:r>
              <w:rPr>
                <w:rFonts w:hint="eastAsia" w:ascii="仿宋" w:hAnsi="仿宋" w:eastAsia="仿宋" w:cs="仿宋"/>
                <w:color w:val="auto"/>
                <w:sz w:val="24"/>
                <w:highlight w:val="none"/>
              </w:rPr>
              <w:t xml:space="preserve">验收相关证明（</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者缺一不可），时间以</w:t>
            </w:r>
            <w:r>
              <w:rPr>
                <w:rFonts w:hint="eastAsia" w:ascii="仿宋" w:hAnsi="仿宋" w:eastAsia="仿宋" w:cs="仿宋"/>
                <w:color w:val="auto"/>
                <w:sz w:val="24"/>
                <w:highlight w:val="none"/>
                <w:lang w:val="en-US" w:eastAsia="zh-CN"/>
              </w:rPr>
              <w:t xml:space="preserve">验收</w:t>
            </w:r>
            <w:r>
              <w:rPr>
                <w:rFonts w:hint="eastAsia" w:ascii="仿宋" w:hAnsi="仿宋" w:eastAsia="仿宋" w:cs="仿宋"/>
                <w:color w:val="auto"/>
                <w:sz w:val="24"/>
                <w:highlight w:val="none"/>
              </w:rPr>
              <w:t xml:space="preserve">时间为准</w:t>
            </w:r>
            <w:r>
              <w:rPr>
                <w:rFonts w:hint="eastAsia" w:ascii="仿宋" w:hAnsi="仿宋" w:eastAsia="仿宋" w:cs="仿宋"/>
                <w:color w:val="auto"/>
                <w:sz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highlight w:val="none"/>
                <w:lang w:val="en-US" w:eastAsia="zh-CN"/>
              </w:rPr>
              <w:t xml:space="preserve">6</w:t>
            </w:r>
            <w:r/>
          </w:p>
        </w:tc>
      </w:tr>
      <w:tr>
        <w:trPr>
          <w:jc w:val="center"/>
          <w:trHeight w:val="486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color w:val="000000"/>
                <w:sz w:val="24"/>
                <w:highlight w:val="none"/>
              </w:rPr>
            </w:pPr>
            <w:r>
              <w:rPr>
                <w:rFonts w:hint="eastAsia" w:ascii="仿宋" w:hAnsi="仿宋" w:eastAsia="仿宋" w:cs="仿宋"/>
                <w:bCs/>
                <w:sz w:val="24"/>
                <w:highlight w:val="none"/>
              </w:rPr>
              <w:t xml:space="preserve">主要投入设备要求</w:t>
            </w:r>
            <w:r/>
          </w:p>
        </w:tc>
        <w:tc>
          <w:tcPr>
            <w:tcBorders>
              <w:top w:val="single" w:color="000000" w:sz="4" w:space="0"/>
              <w:left w:val="single" w:color="000000" w:sz="4" w:space="0"/>
              <w:bottom w:val="single" w:color="000000" w:sz="4" w:space="0"/>
              <w:right w:val="single" w:color="000000" w:sz="4" w:space="0"/>
            </w:tcBorders>
            <w:tcW w:w="8105" w:type="dxa"/>
            <w:vAlign w:val="top"/>
            <w:textDirection w:val="lrTb"/>
            <w:noWrap w:val="false"/>
          </w:tcPr>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sz w:val="24"/>
                <w:highlight w:val="none"/>
              </w:rPr>
              <w:t xml:space="preserve">采购项目需求中的</w:t>
            </w:r>
            <w:r>
              <w:rPr>
                <w:rFonts w:hint="eastAsia" w:ascii="仿宋" w:hAnsi="仿宋" w:eastAsia="仿宋" w:cs="仿宋"/>
                <w:sz w:val="24"/>
                <w:highlight w:val="none"/>
                <w:lang w:val="en-US" w:eastAsia="zh-CN"/>
              </w:rPr>
              <w:t xml:space="preserve">8</w:t>
            </w:r>
            <w:r>
              <w:rPr>
                <w:rFonts w:hint="eastAsia" w:ascii="仿宋" w:hAnsi="仿宋" w:eastAsia="仿宋" w:cs="仿宋"/>
                <w:color w:val="auto"/>
                <w:sz w:val="24"/>
                <w:highlight w:val="none"/>
              </w:rPr>
              <w:t xml:space="preserve">台主要设备为基本要求，在此基础上额外增加以下设备的：</w:t>
            </w:r>
            <w:r/>
          </w:p>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1、投标人增加</w:t>
            </w:r>
            <w:r>
              <w:rPr>
                <w:rFonts w:hint="eastAsia" w:ascii="仿宋" w:hAnsi="仿宋" w:eastAsia="仿宋" w:cs="仿宋"/>
                <w:color w:val="auto"/>
                <w:sz w:val="24"/>
                <w:highlight w:val="none"/>
                <w:lang w:val="en-US" w:eastAsia="zh-CN"/>
              </w:rPr>
              <w:t xml:space="preserve">移动自吸式大功率应急水泵（额定流量不低于800m3/h）一台</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　</w:t>
            </w:r>
            <w:r/>
          </w:p>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2、投标人增加</w:t>
            </w:r>
            <w:r>
              <w:rPr>
                <w:rFonts w:hint="eastAsia" w:ascii="仿宋" w:hAnsi="仿宋" w:eastAsia="仿宋" w:cs="仿宋"/>
                <w:color w:val="auto"/>
                <w:sz w:val="24"/>
                <w:highlight w:val="none"/>
                <w:lang w:val="en-US" w:eastAsia="zh-CN"/>
              </w:rPr>
              <w:t xml:space="preserve">轮式挖掘机一台</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分，本项最多得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keepLines w:val="0"/>
              <w:pageBreakBefore w:val="0"/>
              <w:spacing w:line="380" w:lineRule="exact"/>
              <w:rPr>
                <w:rFonts w:hint="eastAsia" w:ascii="仿宋" w:hAnsi="仿宋" w:eastAsia="仿宋" w:cs="仿宋"/>
                <w:sz w:val="24"/>
                <w:highlight w:val="none"/>
              </w:rPr>
            </w:pPr>
            <w:r>
              <w:rPr>
                <w:rFonts w:hint="eastAsia" w:ascii="仿宋" w:hAnsi="仿宋" w:eastAsia="仿宋" w:cs="仿宋"/>
                <w:color w:val="auto"/>
                <w:sz w:val="24"/>
                <w:highlight w:val="none"/>
              </w:rPr>
              <w:t xml:space="preserve">3、投标人增加</w:t>
            </w:r>
            <w:r>
              <w:rPr>
                <w:rFonts w:hint="eastAsia" w:ascii="仿宋" w:hAnsi="仿宋" w:eastAsia="仿宋" w:cs="仿宋"/>
                <w:color w:val="auto"/>
                <w:sz w:val="24"/>
                <w:highlight w:val="none"/>
                <w:lang w:val="en-US" w:eastAsia="zh-CN"/>
              </w:rPr>
              <w:t xml:space="preserve">防撞车</w:t>
            </w:r>
            <w:r>
              <w:rPr>
                <w:rFonts w:hint="eastAsia" w:ascii="仿宋" w:hAnsi="仿宋" w:eastAsia="仿宋" w:cs="仿宋"/>
                <w:color w:val="auto"/>
                <w:sz w:val="24"/>
                <w:highlight w:val="none"/>
              </w:rPr>
              <w:t xml:space="preserve">一</w:t>
            </w:r>
            <w:r>
              <w:rPr>
                <w:rFonts w:hint="eastAsia" w:ascii="仿宋" w:hAnsi="仿宋" w:eastAsia="仿宋" w:cs="仿宋"/>
                <w:color w:val="auto"/>
                <w:sz w:val="24"/>
                <w:highlight w:val="none"/>
                <w:lang w:val="en-US" w:eastAsia="zh-CN"/>
              </w:rPr>
              <w:t xml:space="preserve">辆</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w:t>
            </w:r>
            <w:r>
              <w:rPr>
                <w:rFonts w:hint="eastAsia" w:ascii="仿宋" w:hAnsi="仿宋" w:eastAsia="仿宋" w:cs="仿宋"/>
                <w:sz w:val="24"/>
                <w:highlight w:val="none"/>
              </w:rPr>
              <w:t xml:space="preserve">项最多得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p>
            <w:pPr>
              <w:pStyle w:val="787"/>
              <w:ind w:left="0" w:firstLine="0"/>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4、投标人增加洒水车（带雾炮）的一辆得2分，本项最多得2分。</w:t>
            </w:r>
            <w:r/>
          </w:p>
          <w:p>
            <w:pPr>
              <w:keepLines w:val="0"/>
              <w:pageBreakBefore w:val="0"/>
              <w:spacing w:line="380" w:lineRule="exact"/>
              <w:rPr>
                <w:rFonts w:hint="eastAsia"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注1：所有加分项设备均为自有或租赁。</w:t>
            </w:r>
            <w:r/>
          </w:p>
          <w:p>
            <w:pPr>
              <w:pStyle w:val="787"/>
              <w:ind w:left="0" w:firstLine="0"/>
              <w:rPr>
                <w:rFonts w:hint="eastAsia" w:ascii="仿宋" w:hAnsi="仿宋" w:eastAsia="仿宋" w:cs="仿宋"/>
                <w:sz w:val="24"/>
                <w:highlight w:val="none"/>
                <w:lang w:val="en-US" w:eastAsia="zh-CN"/>
              </w:rPr>
            </w:pPr>
            <w:r>
              <w:rPr>
                <w:rFonts w:hint="eastAsia" w:ascii="仿宋" w:hAnsi="仿宋" w:eastAsia="仿宋" w:cs="仿宋"/>
                <w:sz w:val="24"/>
                <w:szCs w:val="20"/>
                <w:highlight w:val="none"/>
                <w:lang w:val="en-US" w:eastAsia="zh-CN" w:bidi="ar-SA"/>
              </w:rPr>
              <w:t xml:space="preserve">注2：自有设备需提供购买发票原件扫描件，且发票上的购置方必须为投标单位；其中若为车辆，还需提供车辆行驶证、机动车登记证书的原件扫描件，车辆所有人须与投标单位一致。投标人租赁设备的，需提供租赁合同以及设备购买发票原件扫描件，且租赁合同须满足招标人整个服务期的需求；其中若为车辆，还需提供车辆行驶证、机动车登记证书的原件扫描件，车辆所有人须与租赁单位一致。</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sz w:val="24"/>
                <w:highlight w:val="none"/>
                <w:lang w:val="en-US" w:eastAsia="zh-CN"/>
              </w:rPr>
              <w:t xml:space="preserve">10</w:t>
            </w:r>
            <w:r/>
          </w:p>
        </w:tc>
      </w:tr>
      <w:tr>
        <w:trPr>
          <w:jc w:val="center"/>
          <w:trHeight w:val="590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pageBreakBefore w:val="0"/>
              <w:spacing w:line="380" w:lineRule="exact"/>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pageBreakBefore w:val="0"/>
              <w:spacing w:line="380" w:lineRule="exact"/>
              <w:rPr>
                <w:rFonts w:hint="eastAsia" w:ascii="仿宋" w:hAnsi="仿宋" w:eastAsia="仿宋" w:cs="仿宋"/>
                <w:bCs/>
                <w:sz w:val="24"/>
                <w:highlight w:val="none"/>
              </w:rPr>
            </w:pPr>
            <w:r>
              <w:rPr>
                <w:rFonts w:hint="eastAsia" w:ascii="仿宋" w:hAnsi="仿宋" w:eastAsia="仿宋" w:cs="仿宋"/>
                <w:bCs/>
                <w:sz w:val="24"/>
                <w:highlight w:val="none"/>
                <w:lang w:val="zh-CN"/>
              </w:rPr>
              <w:t xml:space="preserve">沥青混凝土生产及施工配套设备</w:t>
            </w:r>
            <w:r/>
          </w:p>
          <w:p>
            <w:pPr>
              <w:jc w:val="center"/>
              <w:keepLines w:val="0"/>
              <w:pageBreakBefore w:val="0"/>
              <w:spacing w:line="380" w:lineRule="exact"/>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r>
            <w:r/>
          </w:p>
        </w:tc>
        <w:tc>
          <w:tcPr>
            <w:tcBorders>
              <w:top w:val="single" w:color="000000" w:sz="4" w:space="0"/>
              <w:left w:val="single" w:color="000000" w:sz="4" w:space="0"/>
              <w:right w:val="single" w:color="000000" w:sz="4" w:space="0"/>
            </w:tcBorders>
            <w:tcW w:w="8105" w:type="dxa"/>
            <w:vAlign w:val="top"/>
            <w:textDirection w:val="lrTb"/>
            <w:noWrap w:val="false"/>
          </w:tcPr>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sz w:val="24"/>
                <w:highlight w:val="none"/>
              </w:rPr>
              <w:t xml:space="preserve">采购项目需求中的</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台主要设备为基本要求，在此基础上额外增加以下设备：</w:t>
            </w:r>
            <w:r/>
          </w:p>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投标人增加路面铣刨机械，规格为铣刨宽度1米及以上的，每台得1分；规格为铣刨宽度1米以内的，每台得1分；两类设备均具备的得2分，本项最高得2分。</w:t>
            </w:r>
            <w:r/>
          </w:p>
          <w:p>
            <w:pPr>
              <w:keepLines w:val="0"/>
              <w:pageBreakBefore w:val="0"/>
              <w:spacing w:line="3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沥青混凝土生产设备距养护区域</w:t>
            </w:r>
            <w:r>
              <w:rPr>
                <w:rFonts w:hint="eastAsia" w:ascii="仿宋" w:hAnsi="仿宋" w:eastAsia="仿宋" w:cs="仿宋"/>
                <w:color w:val="auto"/>
                <w:sz w:val="24"/>
                <w:highlight w:val="none"/>
                <w:lang w:val="en-US" w:eastAsia="zh-CN"/>
              </w:rPr>
              <w:t xml:space="preserve">80公里及以内的，得1分；距养护区域25公里及以内的，得2分（以高德地图导航至</w:t>
            </w:r>
            <w:r>
              <w:rPr>
                <w:rFonts w:hint="eastAsia" w:ascii="仿宋" w:hAnsi="仿宋" w:eastAsia="仿宋" w:cs="仿宋"/>
                <w:color w:val="auto"/>
                <w:sz w:val="24"/>
                <w:szCs w:val="20"/>
                <w:highlight w:val="none"/>
                <w:lang w:val="en-US" w:eastAsia="zh-CN"/>
              </w:rPr>
              <w:t xml:space="preserve">珠江路与通海路交叉口的距离为准</w:t>
            </w:r>
            <w:r>
              <w:rPr>
                <w:rFonts w:hint="eastAsia" w:ascii="仿宋" w:hAnsi="仿宋" w:eastAsia="仿宋" w:cs="仿宋"/>
                <w:color w:val="auto"/>
                <w:sz w:val="24"/>
                <w:highlight w:val="none"/>
                <w:lang w:val="en-US" w:eastAsia="zh-CN"/>
              </w:rPr>
              <w:t xml:space="preserve">），就高原则，最高得2分。</w:t>
            </w:r>
            <w:r/>
          </w:p>
          <w:p>
            <w:pPr>
              <w:keepLines w:val="0"/>
              <w:pageBreakBefore w:val="0"/>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val="en-US" w:eastAsia="zh-CN"/>
              </w:rPr>
              <w:t xml:space="preserve">投标人增加沥青混凝土摊铺机，摊铺宽度1.5米及以上的，每台得1分；摊铺宽度1.5米以内的，每台得1分；两类设备均具备的得2分，本项最高得2分。</w:t>
            </w:r>
            <w:r/>
          </w:p>
          <w:p>
            <w:pPr>
              <w:keepLines w:val="0"/>
              <w:pageBreakBefore w:val="0"/>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lang w:val="en-US" w:eastAsia="zh-CN"/>
              </w:rPr>
              <w:t xml:space="preserve">投标人增加沥青洒布车一辆得1分，本项最高得1分。</w:t>
            </w:r>
            <w:r/>
          </w:p>
          <w:p>
            <w:pPr>
              <w:keepLines w:val="0"/>
              <w:pageBreakBefore w:val="0"/>
              <w:spacing w:line="38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5、</w:t>
            </w:r>
            <w:r>
              <w:rPr>
                <w:rFonts w:hint="eastAsia" w:ascii="仿宋" w:hAnsi="仿宋" w:eastAsia="仿宋" w:cs="仿宋"/>
                <w:sz w:val="24"/>
                <w:highlight w:val="none"/>
                <w:lang w:eastAsia="zh-CN"/>
              </w:rPr>
              <w:t xml:space="preserve">投标人增加胶轮压路机（20吨及以上）得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lang w:eastAsia="zh-CN"/>
              </w:rPr>
              <w:t xml:space="preserve">分，本项</w:t>
            </w:r>
            <w:r>
              <w:rPr>
                <w:rFonts w:hint="eastAsia" w:ascii="仿宋" w:hAnsi="仿宋" w:eastAsia="仿宋" w:cs="仿宋"/>
                <w:sz w:val="24"/>
                <w:highlight w:val="none"/>
                <w:lang w:val="en-US" w:eastAsia="zh-CN"/>
              </w:rPr>
              <w:t xml:space="preserve">最高得1分。</w:t>
            </w:r>
            <w:r/>
          </w:p>
          <w:p>
            <w:pPr>
              <w:keepLines w:val="0"/>
              <w:pageBreakBefore w:val="0"/>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lang w:val="en-US" w:eastAsia="zh-CN"/>
              </w:rPr>
              <w:t xml:space="preserve">投标人增加钢轮压路机一台得1分，本项最高得1分。</w:t>
            </w:r>
            <w:r>
              <w:rPr>
                <w:rFonts w:hint="eastAsia" w:ascii="仿宋" w:hAnsi="仿宋" w:eastAsia="仿宋" w:cs="仿宋"/>
                <w:sz w:val="24"/>
                <w:highlight w:val="none"/>
              </w:rPr>
              <w:t xml:space="preserve">；</w:t>
            </w:r>
            <w:r/>
          </w:p>
          <w:p>
            <w:pPr>
              <w:keepLines w:val="0"/>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US" w:eastAsia="zh-CN"/>
              </w:rPr>
              <w:t xml:space="preserve">投标人增加沥青路面热再生修补车一台得1分，本项最高得1分。</w:t>
            </w:r>
            <w:r/>
          </w:p>
          <w:p>
            <w:pPr>
              <w:keepLines w:val="0"/>
              <w:pageBreakBefore w:val="0"/>
              <w:spacing w:line="380" w:lineRule="exact"/>
              <w:rPr>
                <w:rFonts w:hint="eastAsia" w:ascii="仿宋" w:hAnsi="仿宋" w:eastAsia="仿宋" w:cs="仿宋"/>
                <w:sz w:val="24"/>
                <w:szCs w:val="20"/>
                <w:highlight w:val="none"/>
                <w:lang w:val="en-US" w:eastAsia="zh-CN" w:bidi="ar-SA"/>
              </w:rPr>
            </w:pPr>
            <w:r>
              <w:rPr>
                <w:rFonts w:hint="eastAsia" w:ascii="仿宋" w:hAnsi="仿宋" w:eastAsia="仿宋" w:cs="仿宋"/>
                <w:sz w:val="24"/>
                <w:szCs w:val="20"/>
                <w:highlight w:val="none"/>
                <w:lang w:val="en-US" w:eastAsia="zh-CN" w:bidi="ar-SA"/>
              </w:rPr>
              <w:t xml:space="preserve">注1：以上加分项设备均为自有。</w:t>
            </w:r>
            <w:r/>
          </w:p>
          <w:p>
            <w:pPr>
              <w:keepLines w:val="0"/>
              <w:pageBreakBefore w:val="0"/>
              <w:spacing w:line="380" w:lineRule="exact"/>
              <w:rPr>
                <w:rFonts w:hint="eastAsia" w:ascii="仿宋" w:hAnsi="仿宋" w:eastAsia="仿宋" w:cs="仿宋"/>
                <w:color w:val="auto"/>
                <w:sz w:val="24"/>
                <w:highlight w:val="none"/>
                <w:lang w:val="en-US" w:eastAsia="zh-CN"/>
              </w:rPr>
            </w:pPr>
            <w:r>
              <w:rPr>
                <w:rFonts w:hint="eastAsia" w:ascii="仿宋" w:hAnsi="仿宋" w:eastAsia="仿宋" w:cs="仿宋"/>
                <w:sz w:val="24"/>
                <w:szCs w:val="20"/>
                <w:highlight w:val="none"/>
                <w:lang w:val="en-US" w:eastAsia="zh-CN" w:bidi="ar-SA"/>
              </w:rPr>
              <w:t xml:space="preserve">注2：提供购买发票原件扫描件（发票上购置方必须为投标单位）；其中车辆还需提供车辆行驶证原件扫描件、机动车登记证书原件扫描件，车辆所有人须与投标单位一致。</w:t>
            </w:r>
            <w:r/>
          </w:p>
        </w:tc>
        <w:tc>
          <w:tcPr>
            <w:shd w:val="clear" w:color="auto" w:fill="auto"/>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jc w:val="center"/>
              <w:keepLines w:val="0"/>
              <w:pageBreakBefore w:val="0"/>
              <w:spacing w:line="380" w:lineRule="exact"/>
              <w:rPr>
                <w:rFonts w:hint="eastAsia" w:ascii="仿宋" w:hAnsi="仿宋" w:eastAsia="仿宋" w:cs="仿宋"/>
                <w:bCs/>
                <w:sz w:val="24"/>
                <w:highlight w:val="none"/>
                <w:lang w:val="zh-CN" w:eastAsia="zh-CN"/>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0</w:t>
            </w:r>
            <w:r/>
          </w:p>
          <w:p>
            <w:pPr>
              <w:jc w:val="center"/>
              <w:keepLines w:val="0"/>
              <w:pageBreakBefore w:val="0"/>
              <w:spacing w:line="380" w:lineRule="exact"/>
              <w:rPr>
                <w:rFonts w:hint="eastAsia" w:ascii="仿宋" w:hAnsi="仿宋" w:eastAsia="仿宋" w:cs="仿宋"/>
                <w:bCs/>
                <w:sz w:val="24"/>
                <w:szCs w:val="24"/>
                <w:highlight w:val="none"/>
                <w:lang w:val="en-US" w:eastAsia="zh-CN" w:bidi="ar-SA"/>
              </w:rPr>
            </w:pPr>
            <w:r>
              <w:rPr>
                <w:rFonts w:hint="eastAsia" w:ascii="仿宋" w:hAnsi="仿宋" w:eastAsia="仿宋" w:cs="仿宋"/>
                <w:bCs/>
                <w:sz w:val="24"/>
                <w:szCs w:val="24"/>
                <w:highlight w:val="none"/>
                <w:lang w:val="en-US" w:eastAsia="zh-CN" w:bidi="ar-SA"/>
              </w:rPr>
            </w:r>
            <w:r/>
          </w:p>
        </w:tc>
      </w:tr>
    </w:tbl>
    <w:p>
      <w:pPr>
        <w:jc w:val="center"/>
        <w:spacing w:line="480" w:lineRule="exact"/>
        <w:rPr>
          <w:rFonts w:hint="eastAsia" w:ascii="仿宋" w:hAnsi="仿宋" w:eastAsia="仿宋" w:cs="仿宋"/>
          <w:b/>
          <w:sz w:val="36"/>
          <w:szCs w:val="36"/>
          <w:highlight w:val="none"/>
        </w:rPr>
        <w:outlineLvl w:val="0"/>
      </w:pPr>
      <w:r>
        <w:rPr>
          <w:rFonts w:hint="eastAsia" w:ascii="仿宋" w:hAnsi="仿宋" w:eastAsia="仿宋" w:cs="仿宋"/>
          <w:b/>
          <w:sz w:val="36"/>
          <w:szCs w:val="36"/>
          <w:highlight w:val="none"/>
        </w:rPr>
      </w:r>
      <w:r/>
    </w:p>
    <w:p>
      <w:pPr>
        <w:pStyle w:val="722"/>
        <w:ind w:firstLine="2209"/>
        <w:jc w:val="left"/>
        <w:rPr>
          <w:rFonts w:hint="eastAsia" w:ascii="仿宋" w:hAnsi="仿宋" w:eastAsia="仿宋" w:cs="仿宋"/>
          <w:b/>
          <w:sz w:val="44"/>
          <w:highlight w:val="none"/>
        </w:rPr>
      </w:pPr>
      <w:r/>
      <w:bookmarkStart w:id="167" w:name="_Toc186493271"/>
      <w:r/>
      <w:r/>
    </w:p>
    <w:p>
      <w:pPr>
        <w:pStyle w:val="722"/>
        <w:ind w:firstLine="2209"/>
        <w:jc w:val="left"/>
        <w:rPr>
          <w:rFonts w:hint="eastAsia" w:ascii="仿宋" w:hAnsi="仿宋" w:eastAsia="仿宋" w:cs="仿宋"/>
          <w:b/>
          <w:sz w:val="44"/>
          <w:highlight w:val="none"/>
        </w:rPr>
      </w:pPr>
      <w:r>
        <w:rPr>
          <w:rFonts w:hint="eastAsia" w:ascii="仿宋" w:hAnsi="仿宋" w:eastAsia="仿宋" w:cs="仿宋"/>
          <w:b/>
          <w:sz w:val="44"/>
          <w:highlight w:val="none"/>
        </w:rPr>
      </w:r>
      <w:r/>
    </w:p>
    <w:p>
      <w:pPr>
        <w:pStyle w:val="722"/>
        <w:ind w:firstLine="2209"/>
        <w:jc w:val="left"/>
        <w:rPr>
          <w:rFonts w:hint="eastAsia" w:ascii="仿宋" w:hAnsi="仿宋" w:eastAsia="仿宋" w:cs="仿宋"/>
          <w:b/>
          <w:sz w:val="44"/>
          <w:highlight w:val="none"/>
        </w:rPr>
      </w:pPr>
      <w:r>
        <w:rPr>
          <w:rFonts w:hint="eastAsia" w:ascii="仿宋" w:hAnsi="仿宋" w:eastAsia="仿宋" w:cs="仿宋"/>
          <w:b/>
          <w:sz w:val="44"/>
          <w:highlight w:val="none"/>
        </w:rPr>
        <w:t xml:space="preserve">第六章  投标文件格式</w:t>
      </w:r>
      <w:bookmarkEnd w:id="167"/>
      <w:r/>
      <w:r/>
    </w:p>
    <w:p>
      <w:pPr>
        <w:jc w:val="center"/>
        <w:rPr>
          <w:rFonts w:hint="eastAsia" w:ascii="仿宋" w:hAnsi="仿宋" w:eastAsia="仿宋" w:cs="仿宋"/>
          <w:b/>
          <w:sz w:val="72"/>
          <w:highlight w:val="none"/>
        </w:rPr>
      </w:pPr>
      <w:r/>
      <w:bookmarkStart w:id="168" w:name="_Hlt26671244"/>
      <w:r/>
      <w:bookmarkEnd w:id="168"/>
      <w:r/>
      <w:bookmarkStart w:id="169" w:name="_Hlt26955039"/>
      <w:r/>
      <w:bookmarkEnd w:id="169"/>
      <w:r/>
      <w:bookmarkStart w:id="170" w:name="_Toc49090576"/>
      <w:r/>
      <w:bookmarkStart w:id="171" w:name="_Toc120614282"/>
      <w:r/>
      <w:bookmarkStart w:id="172" w:name="_Toc26554094"/>
      <w:r/>
      <w:r/>
    </w:p>
    <w:p>
      <w:pPr>
        <w:jc w:val="center"/>
        <w:rPr>
          <w:rFonts w:hint="eastAsia" w:ascii="仿宋" w:hAnsi="仿宋" w:eastAsia="仿宋" w:cs="仿宋"/>
          <w:b/>
          <w:sz w:val="72"/>
          <w:highlight w:val="none"/>
        </w:rPr>
        <w:outlineLvl w:val="0"/>
      </w:pPr>
      <w:r/>
      <w:bookmarkStart w:id="173" w:name="_Toc186493272"/>
      <w:r>
        <w:rPr>
          <w:rFonts w:hint="eastAsia" w:ascii="仿宋" w:hAnsi="仿宋" w:eastAsia="仿宋" w:cs="仿宋"/>
          <w:b/>
          <w:sz w:val="72"/>
          <w:highlight w:val="none"/>
        </w:rPr>
        <w:t xml:space="preserve">投  标  文  件</w:t>
      </w:r>
      <w:bookmarkEnd w:id="173"/>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72"/>
          <w:highlight w:val="none"/>
        </w:rPr>
      </w:pPr>
      <w:r>
        <w:rPr>
          <w:rFonts w:hint="eastAsia" w:ascii="仿宋" w:hAnsi="仿宋" w:eastAsia="仿宋" w:cs="仿宋"/>
          <w:b/>
          <w:sz w:val="72"/>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pStyle w:val="739"/>
        <w:rPr>
          <w:highlight w:val="none"/>
        </w:rPr>
      </w:pPr>
      <w:r>
        <w:rPr>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jc w:val="center"/>
        <w:rPr>
          <w:rFonts w:hint="eastAsia" w:ascii="仿宋" w:hAnsi="仿宋" w:eastAsia="仿宋" w:cs="仿宋"/>
          <w:b/>
          <w:sz w:val="36"/>
          <w:highlight w:val="none"/>
        </w:rPr>
      </w:pPr>
      <w:r>
        <w:rPr>
          <w:rFonts w:hint="eastAsia" w:ascii="仿宋" w:hAnsi="仿宋" w:eastAsia="仿宋" w:cs="仿宋"/>
          <w:b/>
          <w:sz w:val="36"/>
          <w:highlight w:val="none"/>
        </w:rPr>
      </w:r>
      <w:r/>
    </w:p>
    <w:p>
      <w:pPr>
        <w:ind w:firstLine="1084"/>
        <w:rPr>
          <w:rFonts w:hint="eastAsia" w:ascii="仿宋" w:hAnsi="仿宋" w:eastAsia="仿宋" w:cs="仿宋"/>
          <w:b/>
          <w:sz w:val="36"/>
          <w:highlight w:val="none"/>
        </w:rPr>
        <w:outlineLvl w:val="0"/>
      </w:pPr>
      <w:r/>
      <w:bookmarkStart w:id="174" w:name="_Toc186493273"/>
      <w:r>
        <w:rPr>
          <w:rFonts w:hint="eastAsia" w:ascii="仿宋" w:hAnsi="仿宋" w:eastAsia="仿宋" w:cs="仿宋"/>
          <w:b/>
          <w:sz w:val="36"/>
          <w:highlight w:val="none"/>
        </w:rPr>
        <w:t xml:space="preserve">项 目 名 称：</w:t>
      </w:r>
      <w:bookmarkEnd w:id="174"/>
      <w:r/>
      <w:r/>
    </w:p>
    <w:p>
      <w:pPr>
        <w:ind w:firstLine="1084"/>
        <w:rPr>
          <w:rFonts w:hint="eastAsia" w:ascii="仿宋" w:hAnsi="仿宋" w:eastAsia="仿宋" w:cs="仿宋"/>
          <w:b/>
          <w:sz w:val="36"/>
          <w:highlight w:val="none"/>
          <w:u w:val="single"/>
        </w:rPr>
        <w:outlineLvl w:val="0"/>
      </w:pPr>
      <w:r/>
      <w:bookmarkStart w:id="175" w:name="_Toc186493274"/>
      <w:r>
        <w:rPr>
          <w:rFonts w:hint="eastAsia" w:ascii="仿宋" w:hAnsi="仿宋" w:eastAsia="仿宋" w:cs="仿宋"/>
          <w:b/>
          <w:sz w:val="36"/>
          <w:highlight w:val="none"/>
        </w:rPr>
        <w:t xml:space="preserve">项 目 编 号：</w:t>
      </w:r>
      <w:bookmarkEnd w:id="175"/>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176" w:name="_Toc186493275"/>
      <w:r>
        <w:rPr>
          <w:rFonts w:hint="eastAsia" w:ascii="仿宋" w:hAnsi="仿宋" w:eastAsia="仿宋" w:cs="仿宋"/>
          <w:b/>
          <w:sz w:val="36"/>
          <w:highlight w:val="none"/>
        </w:rPr>
        <w:t xml:space="preserve">投标供应商名称 ：</w:t>
      </w:r>
      <w:r>
        <w:rPr>
          <w:rFonts w:hint="eastAsia" w:ascii="仿宋" w:hAnsi="仿宋" w:eastAsia="仿宋" w:cs="仿宋"/>
          <w:b/>
          <w:sz w:val="36"/>
          <w:highlight w:val="none"/>
          <w:u w:val="single"/>
        </w:rPr>
        <w:t xml:space="preserve">（加盖CA电子公章）</w:t>
      </w:r>
      <w:bookmarkEnd w:id="176"/>
      <w:r/>
      <w:r/>
    </w:p>
    <w:p>
      <w:pPr>
        <w:rPr>
          <w:rFonts w:hint="eastAsia" w:ascii="仿宋" w:hAnsi="仿宋" w:eastAsia="仿宋" w:cs="仿宋"/>
          <w:b/>
          <w:sz w:val="36"/>
          <w:highlight w:val="none"/>
          <w:u w:val="single"/>
        </w:rPr>
        <w:outlineLvl w:val="0"/>
      </w:pPr>
      <w:r>
        <w:rPr>
          <w:rFonts w:hint="eastAsia" w:ascii="仿宋" w:hAnsi="仿宋" w:eastAsia="仿宋" w:cs="仿宋"/>
          <w:b/>
          <w:sz w:val="36"/>
          <w:highlight w:val="none"/>
        </w:rPr>
        <w:t xml:space="preserve">      </w:t>
      </w:r>
      <w:bookmarkStart w:id="177" w:name="_Toc186493276"/>
      <w:r>
        <w:rPr>
          <w:rFonts w:hint="eastAsia" w:ascii="仿宋" w:hAnsi="仿宋" w:eastAsia="仿宋" w:cs="仿宋"/>
          <w:b/>
          <w:sz w:val="36"/>
          <w:highlight w:val="none"/>
        </w:rPr>
        <w:t xml:space="preserve">日      期 ：</w:t>
      </w:r>
      <w:bookmarkEnd w:id="177"/>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pStyle w:val="1096"/>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96"/>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1096"/>
        <w:ind w:firstLine="643"/>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rPr>
          <w:rFonts w:hint="eastAsia" w:ascii="仿宋" w:hAnsi="仿宋" w:eastAsia="仿宋" w:cs="仿宋"/>
          <w:b/>
          <w:bCs/>
          <w:sz w:val="32"/>
          <w:szCs w:val="32"/>
          <w:highlight w:val="none"/>
        </w:rPr>
      </w:r>
      <w:r/>
    </w:p>
    <w:p>
      <w:pPr>
        <w:jc w:val="center"/>
        <w:spacing w:line="440" w:lineRule="exact"/>
        <w:rPr>
          <w:rFonts w:hint="eastAsia" w:ascii="仿宋" w:hAnsi="仿宋" w:eastAsia="仿宋" w:cs="仿宋"/>
          <w:b/>
          <w:bCs/>
          <w:sz w:val="32"/>
          <w:szCs w:val="32"/>
          <w:highlight w:val="none"/>
        </w:rPr>
        <w:outlineLvl w:val="0"/>
      </w:pPr>
      <w:r/>
      <w:bookmarkStart w:id="178" w:name="_Toc186493277"/>
      <w:r>
        <w:rPr>
          <w:rFonts w:hint="eastAsia" w:ascii="仿宋" w:hAnsi="仿宋" w:eastAsia="仿宋" w:cs="仿宋"/>
          <w:b/>
          <w:bCs/>
          <w:sz w:val="32"/>
          <w:szCs w:val="32"/>
          <w:highlight w:val="none"/>
        </w:rPr>
        <w:t xml:space="preserve">投标文件的组成</w:t>
      </w:r>
      <w:bookmarkEnd w:id="178"/>
      <w:r/>
      <w:r/>
    </w:p>
    <w:p>
      <w:pPr>
        <w:jc w:val="cente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left="480"/>
        <w:spacing w:line="360" w:lineRule="auto"/>
        <w:rPr>
          <w:rFonts w:hint="eastAsia" w:ascii="仿宋" w:hAnsi="仿宋" w:eastAsia="仿宋" w:cs="仿宋"/>
          <w:b/>
          <w:sz w:val="24"/>
          <w:highlight w:val="none"/>
        </w:rPr>
        <w:outlineLvl w:val="0"/>
      </w:pPr>
      <w:r/>
      <w:bookmarkStart w:id="179" w:name="_Toc186493278"/>
      <w:r>
        <w:rPr>
          <w:rFonts w:hint="eastAsia" w:ascii="仿宋" w:hAnsi="仿宋" w:eastAsia="仿宋" w:cs="仿宋"/>
          <w:b/>
          <w:sz w:val="24"/>
          <w:highlight w:val="none"/>
        </w:rPr>
        <w:t xml:space="preserve">一、基本目录</w:t>
      </w:r>
      <w:bookmarkEnd w:id="179"/>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1.开标一览表（格式见附件1）</w:t>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2.投标分项报价表（格式见附件2）</w:t>
      </w:r>
      <w:r/>
    </w:p>
    <w:p>
      <w:pPr>
        <w:ind w:left="480"/>
        <w:spacing w:line="360" w:lineRule="auto"/>
        <w:rPr>
          <w:rFonts w:hint="eastAsia" w:ascii="仿宋" w:hAnsi="仿宋" w:eastAsia="仿宋" w:cs="仿宋"/>
          <w:b/>
          <w:sz w:val="24"/>
          <w:highlight w:val="none"/>
        </w:rPr>
        <w:outlineLvl w:val="0"/>
      </w:pPr>
      <w:r/>
      <w:bookmarkStart w:id="180" w:name="_Toc186493279"/>
      <w:r>
        <w:rPr>
          <w:rFonts w:hint="eastAsia" w:ascii="仿宋" w:hAnsi="仿宋" w:eastAsia="仿宋" w:cs="仿宋"/>
          <w:b/>
          <w:sz w:val="24"/>
          <w:highlight w:val="none"/>
        </w:rPr>
        <w:t xml:space="preserve">二、资格审查内容</w:t>
      </w:r>
      <w:bookmarkEnd w:id="180"/>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1.投标供应商符合《政府采购法》第二十二条规定条件的声明函（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3）</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2.法定代表人身份证明、</w:t>
      </w:r>
      <w:r>
        <w:rPr>
          <w:rFonts w:hint="eastAsia" w:ascii="仿宋" w:hAnsi="仿宋" w:eastAsia="仿宋" w:cs="仿宋"/>
          <w:sz w:val="24"/>
          <w:highlight w:val="none"/>
          <w:lang w:val="zh-CN"/>
        </w:rPr>
        <w:t xml:space="preserve">法定代表人的身份证</w:t>
      </w:r>
      <w:r>
        <w:rPr>
          <w:rFonts w:hint="eastAsia" w:ascii="仿宋" w:hAnsi="仿宋" w:eastAsia="仿宋" w:cs="仿宋"/>
          <w:sz w:val="24"/>
          <w:highlight w:val="none"/>
        </w:rPr>
        <w:t xml:space="preserve">扫描件（</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4）</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3.法定代表人授权书、被授权</w:t>
      </w:r>
      <w:r>
        <w:rPr>
          <w:rFonts w:hint="eastAsia" w:ascii="仿宋" w:hAnsi="仿宋" w:eastAsia="仿宋" w:cs="仿宋"/>
          <w:sz w:val="24"/>
          <w:highlight w:val="none"/>
          <w:lang w:val="zh-CN"/>
        </w:rPr>
        <w:t xml:space="preserve">人身份证</w:t>
      </w:r>
      <w:r>
        <w:rPr>
          <w:rFonts w:hint="eastAsia" w:ascii="仿宋" w:hAnsi="仿宋" w:eastAsia="仿宋" w:cs="仿宋"/>
          <w:sz w:val="24"/>
          <w:highlight w:val="none"/>
        </w:rPr>
        <w:t xml:space="preserve">扫描件（如有授权，</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4.投标函（</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6）</w:t>
      </w:r>
      <w:r/>
    </w:p>
    <w:p>
      <w:pPr>
        <w:ind w:firstLine="480"/>
        <w:spacing w:line="360" w:lineRule="auto"/>
        <w:rPr>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.其它需要提交的资格审查证明材料。</w:t>
      </w:r>
      <w:r/>
    </w:p>
    <w:p>
      <w:pPr>
        <w:ind w:left="480"/>
        <w:spacing w:line="360" w:lineRule="auto"/>
        <w:rPr>
          <w:rFonts w:hint="eastAsia" w:ascii="仿宋" w:hAnsi="仿宋" w:eastAsia="仿宋" w:cs="仿宋"/>
          <w:b/>
          <w:sz w:val="24"/>
          <w:highlight w:val="none"/>
        </w:rPr>
        <w:outlineLvl w:val="0"/>
      </w:pPr>
      <w:r/>
      <w:bookmarkStart w:id="181" w:name="_Toc186493280"/>
      <w:r>
        <w:rPr>
          <w:rFonts w:hint="eastAsia" w:ascii="仿宋" w:hAnsi="仿宋" w:eastAsia="仿宋" w:cs="仿宋"/>
          <w:b/>
          <w:sz w:val="24"/>
          <w:highlight w:val="none"/>
        </w:rPr>
        <w:t xml:space="preserve">三、符合性审查内容</w:t>
      </w:r>
      <w:bookmarkEnd w:id="181"/>
      <w:r/>
      <w:r/>
    </w:p>
    <w:p>
      <w:pPr>
        <w:ind w:left="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1.技术要求响应及偏离表（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2.商务要求响应及偏离表（</w:t>
      </w:r>
      <w:r>
        <w:rPr>
          <w:rFonts w:hint="eastAsia" w:ascii="仿宋" w:hAnsi="仿宋" w:eastAsia="仿宋" w:cs="仿宋"/>
          <w:sz w:val="24"/>
          <w:highlight w:val="none"/>
          <w:lang w:val="zh-CN"/>
        </w:rPr>
        <w:t xml:space="preserve">格式见附件</w:t>
      </w:r>
      <w:r>
        <w:rPr>
          <w:rFonts w:hint="eastAsia" w:ascii="仿宋" w:hAnsi="仿宋" w:eastAsia="仿宋" w:cs="仿宋"/>
          <w:sz w:val="24"/>
          <w:highlight w:val="none"/>
        </w:rPr>
        <w:t xml:space="preserve">11）</w:t>
      </w:r>
      <w:r/>
    </w:p>
    <w:p>
      <w:pPr>
        <w:ind w:firstLine="480"/>
        <w:spacing w:line="360" w:lineRule="auto"/>
        <w:rPr>
          <w:rFonts w:eastAsia="仿宋"/>
          <w:highlight w:val="none"/>
        </w:rPr>
      </w:pPr>
      <w:r>
        <w:rPr>
          <w:rFonts w:hint="eastAsia" w:ascii="仿宋" w:hAnsi="仿宋" w:eastAsia="仿宋" w:cs="仿宋"/>
          <w:sz w:val="24"/>
          <w:highlight w:val="none"/>
        </w:rPr>
        <w:t xml:space="preserve">3.实质性要求响应及偏离表，投标供应商必须对技术要求和商务要求中</w:t>
      </w:r>
      <w:r>
        <w:rPr>
          <w:rFonts w:hint="eastAsia" w:ascii="仿宋" w:hAnsi="仿宋" w:eastAsia="仿宋" w:cs="仿宋"/>
          <w:b/>
          <w:bCs/>
          <w:sz w:val="24"/>
          <w:highlight w:val="none"/>
        </w:rPr>
        <w:t xml:space="preserve">加斜体下划线的实质性要求做出响应，</w:t>
      </w:r>
      <w:r>
        <w:rPr>
          <w:rFonts w:hint="eastAsia" w:ascii="仿宋" w:hAnsi="仿宋" w:eastAsia="仿宋" w:cs="仿宋"/>
          <w:sz w:val="24"/>
          <w:highlight w:val="none"/>
        </w:rPr>
        <w:t xml:space="preserve">否则做无效响应处理。</w:t>
      </w:r>
      <w:r/>
    </w:p>
    <w:p>
      <w:pPr>
        <w:ind w:firstLine="480"/>
        <w:spacing w:line="360" w:lineRule="auto"/>
        <w:rPr>
          <w:rFonts w:hint="eastAsia" w:ascii="仿宋" w:hAnsi="仿宋" w:eastAsia="仿宋" w:cs="仿宋"/>
          <w:b/>
          <w:sz w:val="24"/>
          <w:szCs w:val="24"/>
          <w:highlight w:val="none"/>
        </w:rPr>
        <w:outlineLvl w:val="0"/>
      </w:pPr>
      <w:r/>
      <w:bookmarkStart w:id="182" w:name="_Toc186493281"/>
      <w:r>
        <w:rPr>
          <w:rFonts w:hint="eastAsia" w:ascii="仿宋" w:hAnsi="仿宋" w:eastAsia="仿宋" w:cs="仿宋"/>
          <w:b/>
          <w:sz w:val="24"/>
          <w:szCs w:val="24"/>
          <w:highlight w:val="none"/>
        </w:rPr>
        <w:t xml:space="preserve">四、</w:t>
      </w:r>
      <w:r>
        <w:rPr>
          <w:rFonts w:hint="eastAsia" w:ascii="仿宋" w:hAnsi="仿宋" w:eastAsia="仿宋" w:cs="仿宋"/>
          <w:b/>
          <w:sz w:val="24"/>
          <w:szCs w:val="24"/>
          <w:highlight w:val="none"/>
          <w:lang w:val="zh-CN"/>
        </w:rPr>
        <w:t xml:space="preserve">商务技术</w:t>
      </w:r>
      <w:r>
        <w:rPr>
          <w:rFonts w:hint="eastAsia" w:ascii="仿宋" w:hAnsi="仿宋" w:eastAsia="仿宋" w:cs="仿宋"/>
          <w:b/>
          <w:sz w:val="24"/>
          <w:szCs w:val="24"/>
          <w:highlight w:val="none"/>
        </w:rPr>
        <w:t xml:space="preserve">内容</w:t>
      </w:r>
      <w:bookmarkEnd w:id="182"/>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zh-CN"/>
        </w:rPr>
        <w:t xml:space="preserve">商务技术评分标准中须提供的相关得分佐证材料</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zh-CN"/>
        </w:rPr>
        <w:t xml:space="preserve">投标供应商认为需要提交的其他材料。</w:t>
      </w:r>
      <w:r/>
    </w:p>
    <w:p>
      <w:pPr>
        <w:ind w:firstLine="480"/>
        <w:spacing w:line="360" w:lineRule="auto"/>
        <w:rPr>
          <w:rFonts w:hint="eastAsia" w:ascii="仿宋" w:hAnsi="仿宋" w:eastAsia="仿宋" w:cs="仿宋"/>
          <w:b/>
          <w:sz w:val="24"/>
          <w:szCs w:val="24"/>
          <w:highlight w:val="none"/>
        </w:rPr>
        <w:outlineLvl w:val="0"/>
      </w:pPr>
      <w:r/>
      <w:bookmarkStart w:id="183" w:name="_Toc186493282"/>
      <w:r>
        <w:rPr>
          <w:rFonts w:hint="eastAsia" w:ascii="仿宋" w:hAnsi="仿宋" w:eastAsia="仿宋" w:cs="仿宋"/>
          <w:b/>
          <w:sz w:val="24"/>
          <w:szCs w:val="24"/>
          <w:highlight w:val="none"/>
        </w:rPr>
        <w:t xml:space="preserve">五、价格扣除证明文件</w:t>
      </w:r>
      <w:bookmarkEnd w:id="183"/>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1.中小企业声明函（格式见附件7）</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2.残疾人福利性单位声明函（格式见附件8）</w:t>
      </w:r>
      <w:r/>
    </w:p>
    <w:p>
      <w:pPr>
        <w:ind w:firstLine="480"/>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 xml:space="preserve">3.监狱和戒毒企业证明材料（格式见附件9）</w:t>
      </w:r>
      <w:r/>
    </w:p>
    <w:p>
      <w:pPr>
        <w:jc w:val="both"/>
        <w:rPr>
          <w:rFonts w:hint="eastAsia" w:ascii="仿宋" w:hAnsi="仿宋" w:eastAsia="仿宋" w:cs="仿宋"/>
          <w:b/>
          <w:sz w:val="24"/>
          <w:szCs w:val="24"/>
          <w:highlight w:val="none"/>
        </w:rPr>
        <w:outlineLvl w:val="0"/>
      </w:pPr>
      <w:r>
        <w:rPr>
          <w:rFonts w:hint="eastAsia" w:ascii="仿宋" w:hAnsi="仿宋" w:eastAsia="仿宋" w:cs="仿宋"/>
          <w:sz w:val="24"/>
          <w:szCs w:val="24"/>
          <w:highlight w:val="none"/>
          <w:lang w:val="zh-CN"/>
        </w:rPr>
        <w:br w:type="page" w:clear="all"/>
      </w:r>
      <w:bookmarkStart w:id="184" w:name="_Toc186493283"/>
      <w:r>
        <w:rPr>
          <w:rFonts w:hint="eastAsia" w:ascii="仿宋" w:hAnsi="仿宋" w:eastAsia="仿宋" w:cs="仿宋"/>
          <w:b/>
          <w:sz w:val="24"/>
          <w:szCs w:val="24"/>
          <w:highlight w:val="none"/>
        </w:rPr>
        <w:t xml:space="preserve">附件1</w:t>
      </w:r>
      <w:bookmarkEnd w:id="184"/>
      <w:r>
        <w:rPr>
          <w:rFonts w:hint="eastAsia" w:ascii="仿宋" w:hAnsi="仿宋" w:eastAsia="仿宋" w:cs="仿宋"/>
          <w:b/>
          <w:sz w:val="24"/>
          <w:szCs w:val="24"/>
          <w:highlight w:val="none"/>
        </w:rPr>
        <w:t xml:space="preserve"> </w:t>
      </w:r>
      <w:r/>
    </w:p>
    <w:p>
      <w:pPr>
        <w:ind w:firstLine="3614"/>
        <w:jc w:val="both"/>
        <w:rPr>
          <w:rFonts w:hint="eastAsia" w:ascii="仿宋" w:hAnsi="仿宋" w:eastAsia="仿宋" w:cs="仿宋"/>
          <w:b/>
          <w:bCs/>
          <w:sz w:val="36"/>
          <w:szCs w:val="36"/>
          <w:highlight w:val="none"/>
        </w:rPr>
        <w:outlineLvl w:val="0"/>
      </w:pPr>
      <w:r>
        <w:rPr>
          <w:rFonts w:hint="eastAsia" w:ascii="仿宋" w:hAnsi="仿宋" w:eastAsia="仿宋" w:cs="仿宋"/>
          <w:b/>
          <w:bCs/>
          <w:sz w:val="36"/>
          <w:szCs w:val="36"/>
          <w:highlight w:val="none"/>
        </w:rPr>
        <w:t xml:space="preserve">开标一览表</w:t>
      </w:r>
      <w:r/>
    </w:p>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项目名称 : </w:t>
      </w:r>
      <w:r/>
    </w:p>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项目编号 : </w:t>
      </w:r>
      <w:r/>
    </w:p>
    <w:tbl>
      <w:tblPr>
        <w:tblStyle w:val="73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1838"/>
        <w:gridCol w:w="5280"/>
        <w:gridCol w:w="1955"/>
      </w:tblGrid>
      <w:tr>
        <w:trPr>
          <w:tblCellSpacing w:w="15" w:type="dxa"/>
        </w:trPr>
        <w:tc>
          <w:tcPr>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投标人名称</w:t>
            </w:r>
            <w:r/>
          </w:p>
        </w:tc>
        <w:tc>
          <w:tcPr>
            <w:tcW w:w="639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优惠率（%）</w:t>
            </w:r>
            <w:r/>
          </w:p>
        </w:tc>
        <w:tc>
          <w:tcPr>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备注</w:t>
            </w:r>
            <w:r/>
          </w:p>
        </w:tc>
      </w:tr>
      <w:tr>
        <w:trPr>
          <w:tblCellSpacing w:w="15" w:type="dxa"/>
        </w:trPr>
        <w:tc>
          <w:tcPr>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sz w:val="28"/>
                <w:szCs w:val="28"/>
                <w:highlight w:val="none"/>
              </w:rPr>
              <w:t xml:space="preserve">报价单位</w:t>
            </w:r>
            <w:r>
              <w:rPr>
                <w:rFonts w:ascii="宋体" w:hAnsi="宋体" w:cs="宋体"/>
                <w:sz w:val="28"/>
                <w:szCs w:val="28"/>
                <w:highlight w:val="none"/>
              </w:rPr>
              <w:t xml:space="preserve"> </w:t>
            </w:r>
            <w:r/>
          </w:p>
        </w:tc>
        <w:tc>
          <w:tcPr>
            <w:tcW w:w="639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685800" cy="228600"/>
                      <wp:effectExtent l="0" t="0" r="0" b="0"/>
                      <wp:docPr id="2" name="矩形 3"/>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4"/>
                                <a:stretch/>
                              </a:blipFill>
                              <a:ln>
                                <a:noFill/>
                              </a:ln>
                            </wps:spPr>
                            <wps:txbx>
                              <w:txbxContent>
                                <w:p>
                                  <w:r/>
                                  <w:r/>
                                </w:p>
                              </w:txbxContent>
                            </wps:txbx>
                            <wps:bodyPr upright="1"/>
                          </wps:wsp>
                        </a:graphicData>
                      </a:graphic>
                    </wp:inline>
                  </w:drawing>
                </mc:Choice>
                <mc:Fallback>
                  <w:pict>
                    <v:shape id="shape 1" o:spid="_x0000_s1" o:spt="1" type="#_x0000_t1" style="width:54.0pt;height:18.0pt;mso-wrap-distance-left:0.0pt;mso-wrap-distance-top:0.0pt;mso-wrap-distance-right:0.0pt;mso-wrap-distance-bottom:0.0pt;visibility:visible;" stroked="f">
                      <v:fill r:id="rId14" o:title="" type="frame"/>
                      <v:textbox inset="0,0,0,0">
                        <w:txbxContent>
                          <w:p>
                            <w:r/>
                            <w:r/>
                          </w:p>
                        </w:txbxContent>
                      </v:textbox>
                    </v:shape>
                  </w:pict>
                </mc:Fallback>
              </mc:AlternateContent>
            </w:r>
            <w:r>
              <w:rPr>
                <w:rFonts w:ascii="宋体" w:hAnsi="宋体" w:cs="宋体"/>
                <w:sz w:val="28"/>
                <w:szCs w:val="28"/>
                <w:highlight w:val="none"/>
              </w:rPr>
              <w:t xml:space="preserve">%</w:t>
            </w:r>
            <w:r/>
          </w:p>
        </w:tc>
        <w:tc>
          <w:tcPr>
            <w:tcW w:w="2130" w:type="dxa"/>
            <w:vAlign w:val="center"/>
            <w:textDirection w:val="lrTb"/>
            <w:noWrap w:val="false"/>
          </w:tcPr>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4"/>
                <w:highlight w:val="none"/>
              </w:rPr>
              <mc:AlternateContent>
                <mc:Choice Requires="wpg">
                  <w:drawing>
                    <wp:inline xmlns:wp="http://schemas.openxmlformats.org/drawingml/2006/wordprocessingDrawing" distT="0" distB="0" distL="0" distR="0">
                      <wp:extent cx="685800" cy="228600"/>
                      <wp:effectExtent l="0" t="0" r="0" b="0"/>
                      <wp:docPr id="3" name="矩形 4"/>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4"/>
                                <a:stretch/>
                              </a:blipFill>
                              <a:ln>
                                <a:noFill/>
                              </a:ln>
                            </wps:spPr>
                            <wps:txbx>
                              <w:txbxContent>
                                <w:p>
                                  <w:r/>
                                  <w:r/>
                                </w:p>
                              </w:txbxContent>
                            </wps:txbx>
                            <wps:bodyPr upright="1"/>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4" o:title="" type="frame"/>
                      <v:textbox inset="0,0,0,0">
                        <w:txbxContent>
                          <w:p>
                            <w:r/>
                            <w:r/>
                          </w:p>
                        </w:txbxContent>
                      </v:textbox>
                    </v:shape>
                  </w:pict>
                </mc:Fallback>
              </mc:AlternateContent>
            </w:r>
            <w:r/>
          </w:p>
        </w:tc>
      </w:tr>
    </w:tbl>
    <w:p>
      <w:pPr>
        <w:jc w:val="left"/>
        <w:spacing w:before="100" w:beforeAutospacing="1" w:after="100" w:afterAutospacing="1"/>
        <w:widowControl/>
        <w:rPr>
          <w:rFonts w:hint="eastAsia" w:ascii="宋体" w:hAnsi="宋体" w:cs="宋体"/>
          <w:sz w:val="28"/>
          <w:szCs w:val="28"/>
          <w:highlight w:val="none"/>
        </w:rPr>
      </w:pPr>
      <w:r>
        <w:rPr>
          <w:rFonts w:ascii="宋体" w:hAnsi="宋体" w:cs="宋体"/>
          <w:sz w:val="28"/>
          <w:szCs w:val="28"/>
          <w:highlight w:val="none"/>
        </w:rPr>
        <w:t xml:space="preserve">   </w:t>
      </w:r>
      <w:r/>
    </w:p>
    <w:p>
      <w:pPr>
        <w:jc w:val="left"/>
        <w:spacing w:before="100" w:beforeAutospacing="1" w:after="100" w:afterAutospacing="1"/>
        <w:widowControl/>
        <w:rPr>
          <w:rFonts w:hint="eastAsia" w:ascii="宋体" w:hAnsi="宋体" w:cs="宋体"/>
          <w:sz w:val="24"/>
          <w:highlight w:val="none"/>
        </w:rPr>
      </w:pPr>
      <w:r>
        <w:rPr>
          <w:rFonts w:ascii="宋体" w:hAnsi="宋体" w:cs="宋体"/>
          <w:sz w:val="28"/>
          <w:szCs w:val="28"/>
          <w:highlight w:val="none"/>
        </w:rPr>
        <w:t xml:space="preserve">投标人(公章）：</w:t>
      </w:r>
      <w:r/>
    </w:p>
    <w:p>
      <w:pPr>
        <w:rPr>
          <w:highlight w:val="none"/>
        </w:rPr>
      </w:pPr>
      <w:r>
        <w:rPr>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firstLine="540"/>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注：1.本表格式见苏采云系统内表式；</w:t>
      </w:r>
      <w:r/>
    </w:p>
    <w:p>
      <w:pPr>
        <w:ind w:firstLine="964"/>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2.</w:t>
      </w:r>
      <w:r>
        <w:rPr>
          <w:rFonts w:hint="eastAsia" w:ascii="仿宋" w:hAnsi="仿宋" w:eastAsia="仿宋" w:cs="仿宋"/>
          <w:b/>
          <w:bCs w:val="0"/>
          <w:color w:val="auto"/>
          <w:sz w:val="24"/>
          <w:szCs w:val="24"/>
          <w:highlight w:val="none"/>
          <w:lang w:val="en-US" w:eastAsia="zh-CN"/>
        </w:rPr>
        <w:t xml:space="preserve">本项目采用优惠率报价方式，以清单中各项服务全费用预算单价为基础，优惠率为百分数，最多精确到小数点后两位。</w:t>
      </w:r>
      <w:r/>
    </w:p>
    <w:p>
      <w:pPr>
        <w:ind w:firstLine="562"/>
        <w:rPr>
          <w:rFonts w:hint="eastAsia" w:ascii="仿宋" w:hAnsi="仿宋" w:eastAsia="仿宋" w:cs="仿宋"/>
          <w:b/>
          <w:bCs w:val="0"/>
          <w:sz w:val="24"/>
          <w:szCs w:val="24"/>
          <w:highlight w:val="none"/>
        </w:rPr>
      </w:pPr>
      <w:r>
        <w:rPr>
          <w:rFonts w:hint="eastAsia" w:ascii="仿宋" w:hAnsi="仿宋" w:eastAsia="仿宋" w:cs="仿宋"/>
          <w:b/>
          <w:bCs w:val="0"/>
          <w:color w:val="c00000"/>
          <w:sz w:val="24"/>
          <w:szCs w:val="24"/>
          <w:highlight w:val="none"/>
        </w:rPr>
        <w:t xml:space="preserve">(★特别提醒，因苏采云系统仅默认优惠率报价方式，供应商须统一按优惠率进行报价。优惠率是指价格下降幅度的百分比。投标单位应慎重报价，切勿报反。所报优惠率越高，则表示合同单价越低。</w:t>
      </w:r>
      <w:r>
        <w:rPr>
          <w:rFonts w:hint="eastAsia" w:ascii="仿宋" w:hAnsi="仿宋" w:eastAsia="仿宋" w:cs="仿宋"/>
          <w:b/>
          <w:bCs w:val="0"/>
          <w:sz w:val="24"/>
          <w:szCs w:val="24"/>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tabs>
          <w:tab w:val="left" w:pos="606" w:leader="none"/>
        </w:tabs>
        <w:rPr>
          <w:highlight w:val="none"/>
        </w:rPr>
        <w:sectPr>
          <w:headerReference w:type="default" r:id="rId9"/>
          <w:footerReference w:type="default" r:id="rId11"/>
          <w:footnotePr/>
          <w:endnotePr/>
          <w:type w:val="nextPage"/>
          <w:pgSz w:w="11906" w:h="16838" w:orient="portrait"/>
          <w:pgMar w:top="1191" w:right="1587" w:bottom="1191" w:left="1366" w:header="850" w:footer="907" w:gutter="0"/>
          <w:cols w:num="1" w:sep="0" w:space="0" w:equalWidth="1"/>
          <w:docGrid w:linePitch="360"/>
        </w:sectPr>
      </w:pPr>
      <w:r>
        <w:rPr>
          <w:rFonts w:hint="eastAsia"/>
          <w:highlight w:val="none"/>
        </w:rPr>
        <w:tab/>
      </w:r>
      <w:r/>
    </w:p>
    <w:p>
      <w:pPr>
        <w:rPr>
          <w:rFonts w:hint="eastAsia" w:ascii="仿宋" w:hAnsi="仿宋" w:eastAsia="仿宋" w:cs="仿宋"/>
          <w:b/>
          <w:bCs/>
          <w:sz w:val="30"/>
          <w:szCs w:val="30"/>
          <w:highlight w:val="none"/>
        </w:rPr>
      </w:pPr>
      <w:r/>
      <w:bookmarkStart w:id="185" w:name="_Toc186493284"/>
      <w:r>
        <w:rPr>
          <w:rFonts w:hint="eastAsia" w:ascii="仿宋" w:hAnsi="仿宋" w:eastAsia="仿宋" w:cs="仿宋"/>
          <w:b/>
          <w:sz w:val="24"/>
          <w:szCs w:val="24"/>
          <w:highlight w:val="none"/>
        </w:rPr>
        <w:t xml:space="preserve">附件2</w:t>
      </w:r>
      <w:bookmarkEnd w:id="185"/>
      <w:r>
        <w:rPr>
          <w:rFonts w:hint="eastAsia" w:ascii="仿宋" w:hAnsi="仿宋" w:eastAsia="仿宋" w:cs="仿宋"/>
          <w:b/>
          <w:sz w:val="24"/>
          <w:szCs w:val="24"/>
          <w:highlight w:val="none"/>
        </w:rPr>
        <w:t xml:space="preserve">                                             </w:t>
      </w:r>
      <w:r/>
    </w:p>
    <w:p>
      <w:pPr>
        <w:pStyle w:val="1097"/>
        <w:jc w:val="center"/>
        <w:spacing w:line="360" w:lineRule="auto"/>
        <w:rPr>
          <w:rFonts w:ascii="仿宋" w:hAnsi="仿宋" w:eastAsia="仿宋" w:cs="仿宋"/>
          <w:b/>
          <w:bCs/>
          <w:sz w:val="30"/>
          <w:szCs w:val="30"/>
          <w:highlight w:val="none"/>
        </w:rPr>
      </w:pPr>
      <w:r>
        <w:rPr>
          <w:rFonts w:ascii="仿宋" w:hAnsi="仿宋" w:eastAsia="仿宋" w:cs="仿宋"/>
          <w:b/>
          <w:bCs/>
          <w:sz w:val="30"/>
          <w:szCs w:val="30"/>
          <w:highlight w:val="none"/>
        </w:rPr>
        <w:t xml:space="preserve">投标分项报价表</w:t>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 xml:space="preserve">无需提供</w:t>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r>
      <w:r/>
    </w:p>
    <w:p>
      <w:pPr>
        <w:pStyle w:val="1097"/>
        <w:jc w:val="center"/>
        <w:spacing w:line="360" w:lineRule="auto"/>
        <w:rPr>
          <w:rFonts w:hint="default" w:ascii="仿宋" w:hAnsi="仿宋" w:eastAsia="仿宋" w:cs="仿宋"/>
          <w:b/>
          <w:bCs/>
          <w:sz w:val="30"/>
          <w:szCs w:val="30"/>
          <w:highlight w:val="none"/>
          <w:lang w:val="en-US" w:eastAsia="zh-CN"/>
        </w:rPr>
      </w:pPr>
      <w:r>
        <w:rPr>
          <w:rFonts w:hint="default" w:ascii="仿宋" w:hAnsi="仿宋" w:eastAsia="仿宋" w:cs="仿宋"/>
          <w:b/>
          <w:bCs/>
          <w:sz w:val="30"/>
          <w:szCs w:val="30"/>
          <w:highlight w:val="none"/>
          <w:lang w:val="en-US" w:eastAsia="zh-CN"/>
        </w:rPr>
      </w:r>
      <w:r/>
    </w:p>
    <w:p>
      <w:pPr>
        <w:jc w:val="lef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附件3</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投标供应商符合《政府采购法》第二十二条规定条件的声明函</w:t>
      </w:r>
      <w:r/>
    </w:p>
    <w:p>
      <w:pP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r>
      <w:r/>
    </w:p>
    <w:p>
      <w:pPr>
        <w:ind w:firstLine="480"/>
        <w:spacing w:line="520" w:lineRule="exact"/>
        <w:rPr>
          <w:rFonts w:hint="eastAsia" w:ascii="仿宋" w:hAnsi="仿宋" w:eastAsia="仿宋" w:cs="仿宋"/>
          <w:b/>
          <w:bCs/>
          <w:sz w:val="24"/>
          <w:highlight w:val="none"/>
        </w:rPr>
      </w:pPr>
      <w:r>
        <w:rPr>
          <w:rFonts w:hint="eastAsia" w:ascii="仿宋" w:hAnsi="仿宋" w:eastAsia="仿宋" w:cs="仿宋"/>
          <w:bCs/>
          <w:sz w:val="24"/>
          <w:highlight w:val="none"/>
        </w:rPr>
        <w:t xml:space="preserve">我单位参加（项目名称），（项目编号）投标活动。针对《中华人民共和国政府采购法》第二十二条规定做出如下声明：</w:t>
      </w:r>
      <w:r/>
    </w:p>
    <w:p>
      <w:pPr>
        <w:ind w:firstLine="482"/>
        <w:spacing w:line="520" w:lineRule="exact"/>
        <w:rPr>
          <w:rFonts w:hint="eastAsia" w:ascii="仿宋" w:hAnsi="仿宋" w:eastAsia="仿宋" w:cs="仿宋"/>
          <w:sz w:val="24"/>
          <w:highlight w:val="none"/>
        </w:rPr>
      </w:pPr>
      <w:r>
        <w:rPr>
          <w:rFonts w:hint="eastAsia" w:ascii="仿宋" w:hAnsi="仿宋" w:eastAsia="仿宋" w:cs="仿宋"/>
          <w:bCs/>
          <w:sz w:val="24"/>
          <w:highlight w:val="none"/>
        </w:rPr>
        <w:t xml:space="preserve">1.我单位具有独立承担民事责任的能力；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2.我单位具有良好的商业信誉和健全的财务会计制度；</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3.我单位具有履行合同所必需的设备和专业技术能力；</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4.我单位有依法缴纳税收和社会保障资金的良好记录；</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sz w:val="24"/>
          <w:highlight w:val="none"/>
        </w:rPr>
      </w:pPr>
      <w:r>
        <w:rPr>
          <w:rFonts w:hint="eastAsia" w:ascii="仿宋" w:hAnsi="仿宋" w:eastAsia="仿宋" w:cs="仿宋"/>
          <w:sz w:val="24"/>
          <w:highlight w:val="none"/>
        </w:rPr>
        <w:t xml:space="preserve">6.我单位满足法律、行政法规规定的其他条件。</w:t>
      </w:r>
      <w:r/>
    </w:p>
    <w:p>
      <w:pPr>
        <w:ind w:firstLine="482"/>
        <w:spacing w:line="500" w:lineRule="exact"/>
        <w:rPr>
          <w:rFonts w:hint="eastAsia" w:ascii="仿宋" w:hAnsi="仿宋" w:eastAsia="仿宋" w:cs="仿宋"/>
          <w:sz w:val="24"/>
          <w:highlight w:val="none"/>
        </w:rPr>
      </w:pPr>
      <w:r>
        <w:rPr>
          <w:rFonts w:hint="eastAsia" w:ascii="仿宋" w:hAnsi="仿宋" w:eastAsia="仿宋" w:cs="仿宋"/>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承诺人名称（加盖CA电子公章）：</w:t>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right"/>
        <w:spacing w:line="4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日期：年月日</w:t>
      </w:r>
      <w:r/>
    </w:p>
    <w:p>
      <w:pPr>
        <w:spacing w:line="56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186" w:name="_Toc186493285"/>
      <w:r>
        <w:rPr>
          <w:rFonts w:hint="eastAsia" w:ascii="仿宋" w:hAnsi="仿宋" w:eastAsia="仿宋" w:cs="仿宋"/>
          <w:b/>
          <w:sz w:val="24"/>
          <w:szCs w:val="24"/>
          <w:highlight w:val="none"/>
        </w:rPr>
        <w:t xml:space="preserve">附件</w:t>
      </w:r>
      <w:bookmarkEnd w:id="186"/>
      <w:r>
        <w:rPr>
          <w:rFonts w:hint="eastAsia" w:ascii="仿宋" w:hAnsi="仿宋" w:eastAsia="仿宋" w:cs="仿宋"/>
          <w:b/>
          <w:sz w:val="24"/>
          <w:szCs w:val="24"/>
          <w:highlight w:val="none"/>
        </w:rPr>
        <w:t xml:space="preserve">4     </w:t>
      </w:r>
      <w:r/>
    </w:p>
    <w:p>
      <w:pPr>
        <w:jc w:val="center"/>
        <w:spacing w:line="56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先生/女士： 现任我单位职务，为法定代表人，特此证明。</w:t>
      </w:r>
      <w:r/>
    </w:p>
    <w:p>
      <w:pPr>
        <w:ind w:firstLine="480"/>
        <w:spacing w:line="48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身份证号码：</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60" w:lineRule="exact"/>
        <w:rPr>
          <w:rFonts w:hint="eastAsia" w:ascii="仿宋" w:hAnsi="仿宋" w:eastAsia="仿宋" w:cs="仿宋"/>
          <w:b/>
          <w:sz w:val="24"/>
          <w:highlight w:val="none"/>
        </w:rPr>
      </w:pPr>
      <w:r>
        <w:rPr>
          <w:rFonts w:hint="eastAsia" w:ascii="仿宋" w:hAnsi="仿宋" w:eastAsia="仿宋" w:cs="仿宋"/>
          <w:b/>
          <w:sz w:val="24"/>
          <w:szCs w:val="24"/>
          <w:highlight w:val="none"/>
        </w:rPr>
        <w:t xml:space="preserve">注：提供法定代表人的身份证扫描件</w:t>
      </w:r>
      <w:r>
        <w:rPr>
          <w:rFonts w:hint="eastAsia" w:ascii="仿宋" w:hAnsi="仿宋" w:eastAsia="仿宋" w:cs="仿宋"/>
          <w:bCs/>
          <w:sz w:val="24"/>
          <w:highlight w:val="none"/>
        </w:rPr>
        <w:t xml:space="preserve">（加盖CA电子公章）</w:t>
      </w:r>
      <w:r>
        <w:rPr>
          <w:rFonts w:hint="eastAsia" w:ascii="仿宋" w:hAnsi="仿宋" w:eastAsia="仿宋" w:cs="仿宋"/>
          <w:b/>
          <w:sz w:val="24"/>
          <w:szCs w:val="24"/>
          <w:highlight w:val="none"/>
        </w:rPr>
        <w:br w:type="page" w:clear="all"/>
      </w:r>
      <w:r>
        <w:rPr>
          <w:rFonts w:hint="eastAsia" w:ascii="仿宋" w:hAnsi="仿宋" w:eastAsia="仿宋" w:cs="仿宋"/>
          <w:b/>
          <w:sz w:val="24"/>
          <w:highlight w:val="none"/>
        </w:rPr>
        <w:t xml:space="preserve">附件5            </w:t>
      </w:r>
      <w:r/>
    </w:p>
    <w:p>
      <w:pPr>
        <w:ind w:firstLine="480"/>
        <w:jc w:val="center"/>
        <w:spacing w:line="460" w:lineRule="exact"/>
        <w:rPr>
          <w:rFonts w:hint="eastAsia" w:ascii="仿宋" w:hAnsi="仿宋" w:eastAsia="仿宋" w:cs="仿宋"/>
          <w:bCs/>
          <w:sz w:val="30"/>
          <w:szCs w:val="30"/>
          <w:highlight w:val="none"/>
        </w:rPr>
      </w:pPr>
      <w:r>
        <w:rPr>
          <w:rFonts w:hint="eastAsia" w:ascii="仿宋" w:hAnsi="仿宋" w:eastAsia="仿宋" w:cs="仿宋"/>
          <w:b/>
          <w:sz w:val="30"/>
          <w:szCs w:val="30"/>
          <w:highlight w:val="none"/>
        </w:rPr>
        <w:t xml:space="preserve">法人授权书</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本授权书声明：（投标供应商名称）授权（被授权人的姓名）为我方就项目采购活动的合法代理人，以本单位名义全权处理一切与该项目采购有关的事务。</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本授权书于______年____月____日起生效，特此声明。</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被授权人身份证号码：</w:t>
      </w:r>
      <w:r/>
    </w:p>
    <w:p>
      <w:pPr>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被授权人联系电话（手机）：</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授权单位名称</w:t>
      </w:r>
      <w:r>
        <w:rPr>
          <w:rFonts w:hint="eastAsia" w:ascii="仿宋" w:hAnsi="仿宋" w:eastAsia="仿宋" w:cs="仿宋"/>
          <w:sz w:val="24"/>
          <w:szCs w:val="24"/>
          <w:highlight w:val="none"/>
          <w:u w:val="single"/>
        </w:rPr>
        <w:t xml:space="preserve">（加盖CA电子公章）：                   </w:t>
      </w:r>
      <w:r/>
    </w:p>
    <w:p>
      <w:pPr>
        <w:ind w:firstLine="480"/>
        <w:tabs>
          <w:tab w:val="left" w:pos="360"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单位地址：</w:t>
      </w:r>
      <w:r/>
    </w:p>
    <w:p>
      <w:pPr>
        <w:ind w:firstLine="480"/>
        <w:tabs>
          <w:tab w:val="left" w:pos="360"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w:t>
      </w:r>
      <w:bookmarkStart w:id="187" w:name="_Hlt26671380"/>
      <w:r/>
      <w:bookmarkEnd w:id="187"/>
      <w:r/>
      <w:bookmarkStart w:id="188" w:name="_格式3__银行出具的资信证明"/>
      <w:r/>
      <w:bookmarkEnd w:id="188"/>
      <w:r/>
      <w:bookmarkStart w:id="189" w:name="_Hlt26955070"/>
      <w:r/>
      <w:bookmarkEnd w:id="189"/>
      <w:r/>
      <w:r/>
    </w:p>
    <w:p>
      <w:pPr>
        <w:keepLines/>
        <w:keepNext/>
        <w:spacing w:before="260" w:after="260" w:line="416" w:lineRule="auto"/>
        <w:rPr>
          <w:rFonts w:hint="eastAsia" w:ascii="仿宋" w:hAnsi="仿宋" w:eastAsia="仿宋" w:cs="仿宋"/>
          <w:b/>
          <w:sz w:val="24"/>
          <w:szCs w:val="44"/>
          <w:highlight w:val="none"/>
        </w:rPr>
      </w:pPr>
      <w:r>
        <w:rPr>
          <w:rFonts w:hint="eastAsia" w:ascii="仿宋" w:hAnsi="仿宋" w:eastAsia="仿宋" w:cs="仿宋"/>
          <w:b/>
          <w:sz w:val="24"/>
          <w:szCs w:val="44"/>
          <w:highlight w:val="none"/>
        </w:rPr>
      </w:r>
      <w:r/>
    </w:p>
    <w:p>
      <w:pPr>
        <w:ind w:firstLine="480"/>
        <w:jc w:val="left"/>
        <w:spacing w:line="460" w:lineRule="exact"/>
        <w:rPr>
          <w:rFonts w:hint="eastAsia" w:ascii="仿宋" w:hAnsi="仿宋" w:eastAsia="仿宋" w:cs="仿宋"/>
          <w:b/>
          <w:sz w:val="24"/>
          <w:highlight w:val="none"/>
        </w:rPr>
      </w:pPr>
      <w:r>
        <w:rPr>
          <w:rFonts w:hint="eastAsia" w:ascii="仿宋" w:hAnsi="仿宋" w:eastAsia="仿宋" w:cs="仿宋"/>
          <w:bCs/>
          <w:sz w:val="24"/>
          <w:szCs w:val="44"/>
          <w:highlight w:val="none"/>
        </w:rPr>
        <w:t xml:space="preserve">注：提供被授权人身份证扫描件（加盖CA电子公章）</w:t>
      </w:r>
      <w:r>
        <w:rPr>
          <w:rFonts w:hint="eastAsia" w:ascii="仿宋" w:hAnsi="仿宋" w:eastAsia="仿宋" w:cs="仿宋"/>
          <w:bCs/>
          <w:sz w:val="24"/>
          <w:szCs w:val="44"/>
          <w:highlight w:val="none"/>
        </w:rPr>
        <w:br w:type="page" w:clear="all"/>
      </w:r>
      <w:r>
        <w:rPr>
          <w:rFonts w:hint="eastAsia" w:ascii="仿宋" w:hAnsi="仿宋" w:eastAsia="仿宋" w:cs="仿宋"/>
          <w:b/>
          <w:sz w:val="24"/>
          <w:highlight w:val="none"/>
        </w:rPr>
        <w:t xml:space="preserve">附件6                            </w:t>
      </w:r>
      <w:r/>
    </w:p>
    <w:p>
      <w:pPr>
        <w:ind w:firstLine="480"/>
        <w:jc w:val="center"/>
        <w:spacing w:line="460"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投标函</w:t>
      </w:r>
      <w:r/>
    </w:p>
    <w:p>
      <w:pPr>
        <w:jc w:val="left"/>
        <w:spacing w:line="4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致：</w:t>
      </w:r>
      <w:r>
        <w:rPr>
          <w:rFonts w:hint="eastAsia" w:ascii="仿宋" w:hAnsi="仿宋" w:eastAsia="仿宋" w:cs="仿宋"/>
          <w:sz w:val="24"/>
          <w:highlight w:val="none"/>
          <w:u w:val="single"/>
          <w:lang w:val="en-US" w:eastAsia="zh-CN"/>
        </w:rPr>
        <w:t xml:space="preserve">                  </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根据贵方的（项目名称）的招标文件，正式授权下述被授权人_____(姓名)代表我方（投标供应商的名称），全权处理本次项目投标的有关事宜。</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据此函，被授权人_____(姓名)兹宣布同意如下：</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1.按招标文件规定的各项要求，向买方提供所需货物（包含与货物相关的服务）。</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2.我们完全理解贵方不一定将合同授予最低报价的投标供应商。</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6.一旦我方中标,我方将根据招标文件的规定，严格履行合同的责任和义务,并保证在招标文件规定的时间完成项目，交付买方验收、使用。</w:t>
      </w:r>
      <w:r/>
    </w:p>
    <w:p>
      <w:pPr>
        <w:ind w:left="425"/>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7.与本投标有关的正式通讯地址为：</w:t>
      </w:r>
      <w:r/>
    </w:p>
    <w:p>
      <w:pPr>
        <w:ind w:left="420" w:firstLine="480"/>
        <w:jc w:val="left"/>
        <w:spacing w:line="42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邮          编：</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电          话：</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传          真：</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投标供应商开户行：</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账          号：</w:t>
      </w:r>
      <w:r/>
    </w:p>
    <w:p>
      <w:pPr>
        <w:ind w:left="420" w:firstLine="480"/>
        <w:jc w:val="left"/>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日          期：_____年____月____日</w:t>
      </w:r>
      <w:r/>
    </w:p>
    <w:p>
      <w:pPr>
        <w:ind w:firstLine="240"/>
        <w:jc w:val="center"/>
        <w:spacing w:line="56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left"/>
        <w:rPr>
          <w:rFonts w:hint="eastAsia" w:ascii="仿宋" w:hAnsi="仿宋" w:eastAsia="仿宋" w:cs="仿宋"/>
          <w:b/>
          <w:sz w:val="24"/>
          <w:highlight w:val="none"/>
        </w:rPr>
        <w:outlineLvl w:val="0"/>
      </w:pPr>
      <w:r>
        <w:rPr>
          <w:rFonts w:hint="eastAsia" w:ascii="仿宋" w:hAnsi="仿宋" w:eastAsia="仿宋" w:cs="仿宋"/>
          <w:bCs/>
          <w:sz w:val="24"/>
          <w:highlight w:val="none"/>
        </w:rPr>
        <w:br w:type="page" w:clear="all"/>
      </w:r>
      <w:bookmarkStart w:id="190" w:name="_Toc186493286"/>
      <w:r>
        <w:rPr>
          <w:rFonts w:hint="eastAsia" w:ascii="仿宋" w:hAnsi="仿宋" w:eastAsia="仿宋" w:cs="仿宋"/>
          <w:b/>
          <w:sz w:val="24"/>
          <w:highlight w:val="none"/>
        </w:rPr>
        <w:t xml:space="preserve">附件</w:t>
      </w:r>
      <w:bookmarkEnd w:id="190"/>
      <w:r>
        <w:rPr>
          <w:rFonts w:hint="eastAsia" w:ascii="仿宋" w:hAnsi="仿宋" w:eastAsia="仿宋" w:cs="仿宋"/>
          <w:b/>
          <w:sz w:val="24"/>
          <w:highlight w:val="none"/>
        </w:rPr>
        <w:t xml:space="preserve">7</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中小企业声明函（服务）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i/>
          <w:sz w:val="24"/>
          <w:szCs w:val="24"/>
          <w:highlight w:val="none"/>
          <w:u w:val="singl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u w:val="single"/>
        </w:rPr>
        <w:t xml:space="preserve">（标的名称）</w:t>
      </w:r>
      <w:r>
        <w:rPr>
          <w:rFonts w:hint="eastAsia" w:ascii="仿宋" w:hAnsi="仿宋" w:eastAsia="仿宋" w:cs="仿宋"/>
          <w:i/>
          <w:sz w:val="24"/>
          <w:szCs w:val="24"/>
          <w:highlight w:val="none"/>
        </w:rPr>
        <w:t xml:space="preserve">，</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行业；承建（承接）企业为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，从业人员人，营业收入为万元，资产总额为万元，属于</w:t>
      </w:r>
      <w:r>
        <w:rPr>
          <w:rFonts w:hint="eastAsia" w:ascii="仿宋" w:hAnsi="仿宋" w:eastAsia="仿宋" w:cs="仿宋"/>
          <w:sz w:val="24"/>
          <w:szCs w:val="24"/>
          <w:highlight w:val="none"/>
          <w:u w:val="single"/>
        </w:rPr>
        <w:t xml:space="preserve">（□中型企业 □小型企业 □微型企业）；</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180" w:firstLine="360"/>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供应商全称（加盖CA电子公章）：</w:t>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right="480" w:firstLine="55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  期：</w:t>
      </w:r>
      <w:r/>
    </w:p>
    <w:p>
      <w:pPr>
        <w:ind w:firstLine="2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3、专门面向中小微型企业采购的项目，投标供应商如不提供此声明函，则不能通过资格审查；非专门面向中小微型企业采购的项目，投标供应商如不提供此声明函，价格将不做相应扣除。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4、投标供应商自行勾选承接企业的企业规模类型。</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中标人的《中小企业声明函》将随中标结果同时公告。投标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spacing w:line="588"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191" w:name="_Toc186493287"/>
      <w:r>
        <w:rPr>
          <w:rFonts w:hint="eastAsia" w:ascii="仿宋" w:hAnsi="仿宋" w:eastAsia="仿宋" w:cs="仿宋"/>
          <w:b/>
          <w:sz w:val="24"/>
          <w:szCs w:val="24"/>
          <w:highlight w:val="none"/>
        </w:rPr>
        <w:t xml:space="preserve">附件</w:t>
      </w:r>
      <w:bookmarkEnd w:id="191"/>
      <w:r>
        <w:rPr>
          <w:rFonts w:hint="eastAsia" w:ascii="仿宋" w:hAnsi="仿宋" w:eastAsia="仿宋" w:cs="仿宋"/>
          <w:b/>
          <w:sz w:val="24"/>
          <w:szCs w:val="24"/>
          <w:highlight w:val="none"/>
        </w:rPr>
        <w:t xml:space="preserve">8</w:t>
      </w:r>
      <w:r/>
    </w:p>
    <w:p>
      <w:pPr>
        <w:jc w:val="center"/>
        <w:spacing w:line="588" w:lineRule="exact"/>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残疾人福利性单位声明函（服务）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141号）的规定，本单位为符合条件的残疾人福利性单位，且本单位参加单位的采购文件项目编号为的项目采购活动由本单位提供服务。</w:t>
      </w:r>
      <w:r/>
    </w:p>
    <w:p>
      <w:pPr>
        <w:ind w:firstLine="36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本单位对上述声明的真实性负责。如有虚假，将依法承担相应责任。</w:t>
      </w:r>
      <w:r/>
    </w:p>
    <w:p>
      <w:pPr>
        <w:ind w:firstLine="480"/>
        <w:spacing w:line="0" w:lineRule="atLeast"/>
        <w:rPr>
          <w:rFonts w:hint="eastAsia" w:ascii="仿宋" w:hAnsi="仿宋" w:eastAsia="仿宋" w:cs="仿宋"/>
          <w:sz w:val="24"/>
          <w:highlight w:val="none"/>
        </w:rPr>
      </w:pPr>
      <w:r>
        <w:rPr>
          <w:rFonts w:hint="eastAsia" w:ascii="仿宋" w:hAnsi="仿宋" w:eastAsia="仿宋" w:cs="仿宋"/>
          <w:sz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1、如项目类型为“服务”，请按照此格式填写。</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2、专门面向中小微型企业采购的项目，投标供应商为残疾人福利性单位并提供服务的必须提供此声明函，否则将不能通过资格审查。</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3、非专门面向中小微型企业采购的项目，投标供应商如不提供此声明函，价格将不做相应扣除。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4、中标人为残疾人福利性单位的，此声明函将随中标结果同时公告，接受社会监督。</w:t>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spacing w:line="4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bookmarkStart w:id="192" w:name="_Toc186493288"/>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r>
      <w:r/>
    </w:p>
    <w:p>
      <w:pPr>
        <w:spacing w:line="420" w:lineRule="exact"/>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w:t>
      </w:r>
      <w:bookmarkEnd w:id="192"/>
      <w:r>
        <w:rPr>
          <w:rFonts w:hint="eastAsia" w:ascii="仿宋" w:hAnsi="仿宋" w:eastAsia="仿宋" w:cs="仿宋"/>
          <w:b/>
          <w:sz w:val="24"/>
          <w:szCs w:val="24"/>
          <w:highlight w:val="none"/>
        </w:rPr>
        <w:t xml:space="preserve">9</w:t>
      </w:r>
      <w:r/>
    </w:p>
    <w:p>
      <w:pPr>
        <w:jc w:val="center"/>
        <w:spacing w:line="42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1、专门面向中小微型企业采购的项目，投标供应商如不提供此证明材料，则不能通过资格审查；非专门面向中小微型企业采购的项目，投标供应商如不提供此证明材料，价格将不做相应扣除。</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中标人为监狱和戒毒企业的，此证明材料将随中标结果同时公告，接受社会监督。投标供应商按照本办法规定提供证明材料内容不实的，属于提供虚假材料谋取中标、成交，依照《中华人民共和国政府采购法》等国家有关规定追究相应责任。</w:t>
      </w:r>
      <w:r/>
    </w:p>
    <w:p>
      <w:pPr>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End w:id="170"/>
      <w:r/>
      <w:bookmarkEnd w:id="171"/>
      <w:r/>
      <w:bookmarkEnd w:id="172"/>
      <w:r/>
      <w:bookmarkStart w:id="193" w:name="_Toc186493289"/>
      <w:r/>
      <w:bookmarkStart w:id="194" w:name="_Toc120614284"/>
      <w:r>
        <w:rPr>
          <w:rFonts w:hint="eastAsia" w:ascii="仿宋" w:hAnsi="仿宋" w:eastAsia="仿宋" w:cs="仿宋"/>
          <w:b/>
          <w:sz w:val="24"/>
          <w:szCs w:val="24"/>
          <w:highlight w:val="none"/>
        </w:rPr>
        <w:t xml:space="preserve">附件</w:t>
      </w:r>
      <w:bookmarkEnd w:id="193"/>
      <w:r>
        <w:rPr>
          <w:rFonts w:hint="eastAsia" w:ascii="仿宋" w:hAnsi="仿宋" w:eastAsia="仿宋" w:cs="仿宋"/>
          <w:b/>
          <w:sz w:val="24"/>
          <w:szCs w:val="24"/>
          <w:highlight w:val="none"/>
        </w:rPr>
        <w:t xml:space="preserve">10</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技术要求响应及偏离表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4"/>
        </w:numPr>
        <w:contextualSpacing/>
        <w:spacing w:line="30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投标供应商提交的投标文件中与招标文件第四章“采购需求”中的技术要求如有偏离的，应逐条填列在偏离表中。</w:t>
      </w:r>
      <w:r/>
    </w:p>
    <w:p>
      <w:pPr>
        <w:contextualSpacing/>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2.“偏离说明”一栏选择“正偏离”、“无偏离”、“负偏离”进行填写。未填写的内容视为完全响应本招标文件要求。正偏离、无偏离的确认和负偏离是否响应招标文件，由评委会认定。</w:t>
      </w:r>
      <w:r/>
    </w:p>
    <w:p>
      <w:pPr>
        <w:pStyle w:val="763"/>
        <w:rPr>
          <w:rFonts w:hint="eastAsia" w:ascii="仿宋" w:hAnsi="仿宋" w:eastAsia="仿宋" w:cs="仿宋"/>
          <w:highlight w:val="none"/>
        </w:rPr>
      </w:pPr>
      <w:r>
        <w:rPr>
          <w:rFonts w:hint="eastAsia" w:ascii="仿宋" w:hAnsi="仿宋" w:eastAsia="仿宋" w:cs="仿宋"/>
          <w:highlight w:val="none"/>
        </w:rPr>
      </w:r>
      <w:r/>
    </w:p>
    <w:p>
      <w:pPr>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br w:type="page" w:clear="all"/>
      </w:r>
      <w:bookmarkStart w:id="195" w:name="_Toc186493290"/>
      <w:r>
        <w:rPr>
          <w:rFonts w:hint="eastAsia" w:ascii="仿宋" w:hAnsi="仿宋" w:eastAsia="仿宋" w:cs="仿宋"/>
          <w:b/>
          <w:sz w:val="24"/>
          <w:szCs w:val="24"/>
          <w:highlight w:val="none"/>
        </w:rPr>
        <w:t xml:space="preserve">附件1</w:t>
      </w:r>
      <w:bookmarkEnd w:id="195"/>
      <w:r>
        <w:rPr>
          <w:rFonts w:hint="eastAsia" w:ascii="仿宋" w:hAnsi="仿宋" w:eastAsia="仿宋" w:cs="仿宋"/>
          <w:b/>
          <w:sz w:val="24"/>
          <w:szCs w:val="24"/>
          <w:highlight w:val="none"/>
        </w:rPr>
        <w:t xml:space="preserve">1</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商务要求响应及偏离表</w:t>
      </w:r>
      <w:r/>
    </w:p>
    <w:p>
      <w:pPr>
        <w:ind w:firstLine="48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（由投标供应商据实填写，表格不够自行添加）</w:t>
      </w:r>
      <w:r/>
    </w:p>
    <w:tbl>
      <w:tblPr>
        <w:tblStyle w:val="73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偏离说明</w:t>
            </w:r>
            <w:r/>
          </w:p>
        </w:tc>
      </w:tr>
      <w:tr>
        <w:trPr>
          <w:trHeight w:val="46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p>
      <w:pPr>
        <w:numPr>
          <w:ilvl w:val="0"/>
          <w:numId w:val="5"/>
        </w:num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投标供应商提交的投标文件中与招标文件第四章“采购需求”中的商务要求如有偏离的，应逐条填列在偏离表中。 </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highlight w:val="none"/>
        </w:rPr>
      </w:pPr>
      <w:r>
        <w:rPr>
          <w:rFonts w:hint="eastAsia" w:ascii="仿宋" w:hAnsi="仿宋" w:eastAsia="仿宋" w:cs="仿宋"/>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39"/>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bookmarkStart w:id="196" w:name="_Toc186493291"/>
      <w:r>
        <w:rPr>
          <w:rFonts w:hint="eastAsia" w:ascii="仿宋" w:hAnsi="仿宋" w:eastAsia="仿宋" w:cs="仿宋"/>
          <w:b/>
          <w:sz w:val="24"/>
          <w:szCs w:val="24"/>
          <w:highlight w:val="none"/>
        </w:rPr>
        <w:br w:type="page" w:clear="all"/>
      </w:r>
      <w:r/>
    </w:p>
    <w:p>
      <w:pPr>
        <w:rPr>
          <w:rFonts w:hint="eastAsia" w:ascii="仿宋" w:hAnsi="仿宋" w:eastAsia="仿宋" w:cs="仿宋"/>
          <w:b/>
          <w:sz w:val="24"/>
          <w:szCs w:val="24"/>
          <w:highlight w:val="none"/>
        </w:rPr>
        <w:outlineLvl w:val="0"/>
      </w:pPr>
      <w:r>
        <w:rPr>
          <w:rFonts w:hint="eastAsia" w:ascii="仿宋" w:hAnsi="仿宋" w:eastAsia="仿宋" w:cs="仿宋"/>
          <w:b/>
          <w:sz w:val="24"/>
          <w:szCs w:val="24"/>
          <w:highlight w:val="none"/>
        </w:rPr>
        <w:t xml:space="preserve">附件1</w:t>
      </w:r>
      <w:bookmarkEnd w:id="196"/>
      <w:r>
        <w:rPr>
          <w:rFonts w:hint="eastAsia" w:ascii="仿宋" w:hAnsi="仿宋" w:eastAsia="仿宋" w:cs="仿宋"/>
          <w:b/>
          <w:sz w:val="24"/>
          <w:szCs w:val="24"/>
          <w:highlight w:val="none"/>
        </w:rPr>
        <w:t xml:space="preserve">2      </w:t>
      </w:r>
      <w:r/>
    </w:p>
    <w:p>
      <w:pPr>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实质性要求响应及偏离表 </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047"/>
        <w:gridCol w:w="1796"/>
      </w:tblGrid>
      <w:tr>
        <w:trPr>
          <w:cantSplit/>
        </w:trPr>
        <w:tc>
          <w:tcPr>
            <w:tcW w:w="545"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招标文件技术要求和商务要求中的实质性要求</w:t>
            </w:r>
            <w:r>
              <w:rPr>
                <w:rFonts w:hint="eastAsia" w:ascii="仿宋" w:hAnsi="仿宋" w:eastAsia="仿宋" w:cs="仿宋"/>
                <w:i/>
                <w:sz w:val="24"/>
                <w:szCs w:val="24"/>
                <w:highlight w:val="none"/>
                <w:u w:val="single"/>
              </w:rPr>
              <w:t xml:space="preserve">（加斜体下划线内容）</w:t>
            </w:r>
            <w:r/>
          </w:p>
        </w:tc>
        <w:tc>
          <w:tcPr>
            <w:tcW w:w="3047"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投标响应情况</w:t>
            </w:r>
            <w:r/>
          </w:p>
        </w:tc>
        <w:tc>
          <w:tcPr>
            <w:tcW w:w="1796" w:type="dxa"/>
            <w:vAlign w:val="center"/>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W w:w="3609"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cantSplit/>
          <w:trHeight w:val="640"/>
        </w:trPr>
        <w:tc>
          <w:tcPr>
            <w:tcW w:w="545"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609" w:type="dxa"/>
            <w:vAlign w:val="center"/>
            <w:textDirection w:val="lrTb"/>
            <w:noWrap w:val="false"/>
          </w:tcPr>
          <w:p>
            <w:pPr>
              <w:jc w:val="center"/>
              <w:spacing w:line="0" w:lineRule="atLeas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tc>
        <w:tc>
          <w:tcPr>
            <w:tcW w:w="3047"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96" w:type="dxa"/>
            <w:textDirection w:val="lrTb"/>
            <w:noWrap w:val="false"/>
          </w:tcPr>
          <w:p>
            <w:pPr>
              <w:jc w:val="cente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400" w:lineRule="exact"/>
        <w:rPr>
          <w:rFonts w:hint="eastAsia" w:ascii="仿宋" w:hAnsi="仿宋" w:eastAsia="仿宋" w:cs="仿宋"/>
          <w:sz w:val="24"/>
          <w:highlight w:val="none"/>
        </w:rPr>
      </w:pPr>
      <w:r>
        <w:rPr>
          <w:rFonts w:hint="eastAsia" w:ascii="仿宋" w:hAnsi="仿宋" w:eastAsia="仿宋" w:cs="仿宋"/>
          <w:sz w:val="24"/>
          <w:szCs w:val="24"/>
          <w:highlight w:val="none"/>
        </w:rPr>
        <w:t xml:space="preserve">备注：</w:t>
      </w:r>
      <w:r>
        <w:rPr>
          <w:rFonts w:hint="eastAsia" w:ascii="仿宋" w:hAnsi="仿宋" w:eastAsia="仿宋" w:cs="仿宋"/>
          <w:sz w:val="24"/>
          <w:highlight w:val="none"/>
        </w:rPr>
        <w:t xml:space="preserve">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624"/>
        <w:spacing w:line="588" w:lineRule="exact"/>
        <w:rPr>
          <w:rFonts w:hint="eastAsia" w:ascii="仿宋" w:hAnsi="仿宋" w:eastAsia="仿宋" w:cs="仿宋"/>
          <w:spacing w:val="6"/>
          <w:sz w:val="30"/>
          <w:szCs w:val="30"/>
          <w:highlight w:val="none"/>
        </w:rPr>
      </w:pPr>
      <w:r>
        <w:rPr>
          <w:rFonts w:hint="eastAsia" w:ascii="仿宋" w:hAnsi="仿宋" w:eastAsia="仿宋" w:cs="仿宋"/>
          <w:spacing w:val="6"/>
          <w:sz w:val="30"/>
          <w:szCs w:val="30"/>
          <w:highlight w:val="none"/>
        </w:rPr>
      </w:r>
      <w:r/>
    </w:p>
    <w:p>
      <w:pPr>
        <w:ind w:right="1559" w:firstLine="624"/>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供应商全称（加盖CA电子公章）：</w:t>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right="1559" w:firstLine="480"/>
        <w:jc w:val="center"/>
        <w:spacing w:line="0" w:lineRule="atLeast"/>
        <w:tabs>
          <w:tab w:val="left" w:pos="48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日  期：</w:t>
      </w:r>
      <w:r/>
    </w:p>
    <w:p>
      <w:p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left"/>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63"/>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763"/>
        <w:ind w:firstLine="482"/>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rPr>
          <w:highlight w:val="none"/>
        </w:rPr>
      </w:pPr>
      <w:r>
        <w:rPr>
          <w:highlight w:val="none"/>
        </w:rPr>
      </w:r>
      <w:r/>
    </w:p>
    <w:p>
      <w:pPr>
        <w:spacing w:line="56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pStyle w:val="1098"/>
        <w:rPr>
          <w:rFonts w:eastAsia="仿宋"/>
          <w:color w:val="auto"/>
          <w:highlight w:val="none"/>
        </w:rPr>
      </w:pPr>
      <w:r>
        <w:rPr>
          <w:rFonts w:eastAsia="仿宋"/>
          <w:color w:val="auto"/>
          <w:highlight w:val="none"/>
        </w:rPr>
      </w:r>
      <w:r/>
    </w:p>
    <w:p>
      <w:pPr>
        <w:rPr>
          <w:rFonts w:eastAsia="仿宋"/>
          <w:highlight w:val="none"/>
        </w:rPr>
      </w:pPr>
      <w:r>
        <w:rPr>
          <w:rFonts w:hint="eastAsia" w:eastAsia="仿宋"/>
          <w:highlight w:val="none"/>
        </w:rPr>
        <w:br w:type="page" w:clear="all"/>
      </w:r>
      <w:r/>
    </w:p>
    <w:p>
      <w:pPr>
        <w:pStyle w:val="1098"/>
        <w:rPr>
          <w:rFonts w:eastAsia="仿宋"/>
          <w:color w:val="auto"/>
          <w:highlight w:val="none"/>
        </w:rPr>
      </w:pPr>
      <w:r>
        <w:rPr>
          <w:rFonts w:hint="eastAsia" w:eastAsia="仿宋"/>
          <w:color w:val="auto"/>
          <w:highlight w:val="none"/>
        </w:rPr>
        <w:t xml:space="preserve">附件1</w:t>
      </w:r>
      <w:bookmarkEnd w:id="194"/>
      <w:r>
        <w:rPr>
          <w:rFonts w:hint="eastAsia" w:eastAsia="仿宋"/>
          <w:color w:val="auto"/>
          <w:highlight w:val="none"/>
        </w:rPr>
        <w:t xml:space="preserve">3</w:t>
      </w:r>
      <w:r/>
    </w:p>
    <w:p>
      <w:pPr>
        <w:jc w:val="center"/>
        <w:rPr>
          <w:rFonts w:hint="eastAsia" w:ascii="仿宋" w:hAnsi="仿宋" w:eastAsia="仿宋" w:cs="仿宋"/>
          <w:b/>
          <w:bCs/>
          <w:sz w:val="32"/>
          <w:szCs w:val="32"/>
          <w:highlight w:val="none"/>
        </w:rPr>
        <w:outlineLvl w:val="0"/>
      </w:pPr>
      <w:r/>
      <w:bookmarkStart w:id="197" w:name="_Toc186493292"/>
      <w:r>
        <w:rPr>
          <w:rFonts w:hint="eastAsia" w:ascii="仿宋" w:hAnsi="仿宋" w:eastAsia="仿宋" w:cs="仿宋"/>
          <w:b/>
          <w:bCs/>
          <w:sz w:val="32"/>
          <w:szCs w:val="32"/>
          <w:highlight w:val="none"/>
        </w:rPr>
        <w:t xml:space="preserve">质疑函范本</w:t>
      </w:r>
      <w:bookmarkEnd w:id="197"/>
      <w:r/>
      <w:r/>
    </w:p>
    <w:p>
      <w:pPr>
        <w:spacing w:before="290" w:line="360" w:lineRule="auto"/>
        <w:rPr>
          <w:rFonts w:hint="eastAsia" w:ascii="仿宋" w:hAnsi="仿宋" w:eastAsia="仿宋" w:cs="仿宋"/>
          <w:bCs/>
          <w:sz w:val="24"/>
          <w:szCs w:val="24"/>
          <w:highlight w:val="none"/>
        </w:rPr>
        <w:outlineLvl w:val="0"/>
      </w:pPr>
      <w:r/>
      <w:bookmarkStart w:id="198" w:name="_Toc186493293"/>
      <w:r>
        <w:rPr>
          <w:rFonts w:hint="eastAsia" w:ascii="仿宋" w:hAnsi="仿宋" w:eastAsia="仿宋" w:cs="仿宋"/>
          <w:bCs/>
          <w:sz w:val="24"/>
          <w:szCs w:val="24"/>
          <w:highlight w:val="none"/>
        </w:rPr>
        <w:t xml:space="preserve">一、质疑供应商基本信息</w:t>
      </w:r>
      <w:bookmarkEnd w:id="198"/>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质疑供应商：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地址：邮编：</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联系人：联系电话：</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授权代表：</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地址： 邮编：</w:t>
      </w:r>
      <w:r/>
    </w:p>
    <w:p>
      <w:pPr>
        <w:spacing w:line="360" w:lineRule="auto"/>
        <w:rPr>
          <w:rFonts w:hint="eastAsia" w:ascii="仿宋" w:hAnsi="仿宋" w:eastAsia="仿宋" w:cs="仿宋"/>
          <w:bCs/>
          <w:sz w:val="24"/>
          <w:szCs w:val="24"/>
          <w:highlight w:val="none"/>
        </w:rPr>
        <w:outlineLvl w:val="0"/>
      </w:pPr>
      <w:r/>
      <w:bookmarkStart w:id="199" w:name="_Toc186493294"/>
      <w:r>
        <w:rPr>
          <w:rFonts w:hint="eastAsia" w:ascii="仿宋" w:hAnsi="仿宋" w:eastAsia="仿宋" w:cs="仿宋"/>
          <w:bCs/>
          <w:sz w:val="24"/>
          <w:szCs w:val="24"/>
          <w:highlight w:val="none"/>
        </w:rPr>
        <w:t xml:space="preserve">二、质疑项目基本情况</w:t>
      </w:r>
      <w:bookmarkEnd w:id="199"/>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质疑项目的编号：包号：</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采购人名称：</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采购文件获取日期：</w:t>
      </w:r>
      <w:r/>
    </w:p>
    <w:p>
      <w:pPr>
        <w:spacing w:line="360" w:lineRule="auto"/>
        <w:rPr>
          <w:rFonts w:hint="eastAsia" w:ascii="仿宋" w:hAnsi="仿宋" w:eastAsia="仿宋" w:cs="仿宋"/>
          <w:bCs/>
          <w:sz w:val="24"/>
          <w:szCs w:val="24"/>
          <w:highlight w:val="none"/>
        </w:rPr>
        <w:outlineLvl w:val="0"/>
      </w:pPr>
      <w:r/>
      <w:bookmarkStart w:id="200" w:name="_Toc186493295"/>
      <w:r>
        <w:rPr>
          <w:rFonts w:hint="eastAsia" w:ascii="仿宋" w:hAnsi="仿宋" w:eastAsia="仿宋" w:cs="仿宋"/>
          <w:bCs/>
          <w:sz w:val="24"/>
          <w:szCs w:val="24"/>
          <w:highlight w:val="none"/>
        </w:rPr>
        <w:t xml:space="preserve">三、质疑事项具体内容</w:t>
      </w:r>
      <w:bookmarkEnd w:id="200"/>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质疑事项1：</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事实依据：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法律依据：</w:t>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质疑事项2</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p>
    <w:p>
      <w:pPr>
        <w:spacing w:line="360" w:lineRule="auto"/>
        <w:rPr>
          <w:rFonts w:hint="eastAsia" w:ascii="仿宋" w:hAnsi="仿宋" w:eastAsia="仿宋" w:cs="仿宋"/>
          <w:bCs/>
          <w:sz w:val="24"/>
          <w:szCs w:val="24"/>
          <w:highlight w:val="none"/>
        </w:rPr>
        <w:outlineLvl w:val="0"/>
      </w:pPr>
      <w:r/>
      <w:bookmarkStart w:id="201" w:name="_Toc186493296"/>
      <w:r>
        <w:rPr>
          <w:rFonts w:hint="eastAsia" w:ascii="仿宋" w:hAnsi="仿宋" w:eastAsia="仿宋" w:cs="仿宋"/>
          <w:bCs/>
          <w:sz w:val="24"/>
          <w:szCs w:val="24"/>
          <w:highlight w:val="none"/>
        </w:rPr>
        <w:t xml:space="preserve">四、与质疑事项相关的质疑请求</w:t>
      </w:r>
      <w:bookmarkEnd w:id="201"/>
      <w:r/>
      <w:r/>
    </w:p>
    <w:p>
      <w:pPr>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请求：</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签字(签章)：                   公章：                      </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质疑函制作说明：</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rPr>
          <w:sz w:val="24"/>
          <w:highlight w:val="none"/>
        </w:rPr>
      </w:pPr>
      <w:r>
        <w:rPr>
          <w:sz w:val="24"/>
          <w:highlight w:val="none"/>
        </w:rPr>
      </w:r>
      <w:r/>
    </w:p>
    <w:p>
      <w:pPr>
        <w:pStyle w:val="787"/>
        <w:ind w:firstLine="281"/>
        <w:rPr>
          <w:rFonts w:hint="eastAsia" w:ascii="宋体" w:hAnsi="宋体"/>
          <w:b/>
          <w:color w:val="000000"/>
          <w:sz w:val="28"/>
          <w:szCs w:val="28"/>
          <w:highlight w:val="none"/>
        </w:rPr>
      </w:pPr>
      <w:r>
        <w:rPr>
          <w:rFonts w:hint="eastAsia" w:ascii="宋体" w:hAnsi="宋体"/>
          <w:b/>
          <w:color w:val="000000"/>
          <w:sz w:val="28"/>
          <w:szCs w:val="28"/>
          <w:highlight w:val="none"/>
        </w:rPr>
        <w:t xml:space="preserve">附件</w:t>
      </w:r>
      <w:r>
        <w:rPr>
          <w:rFonts w:hint="eastAsia" w:ascii="宋体" w:hAnsi="宋体"/>
          <w:b/>
          <w:color w:val="000000"/>
          <w:sz w:val="28"/>
          <w:szCs w:val="28"/>
          <w:highlight w:val="none"/>
          <w:lang w:val="en-US" w:eastAsia="zh-CN"/>
        </w:rPr>
        <w:t xml:space="preserve">14</w:t>
      </w:r>
      <w:r>
        <w:rPr>
          <w:rFonts w:hint="eastAsia" w:ascii="宋体" w:hAnsi="宋体"/>
          <w:b/>
          <w:color w:val="000000"/>
          <w:sz w:val="28"/>
          <w:szCs w:val="28"/>
          <w:highlight w:val="none"/>
        </w:rPr>
        <w:t xml:space="preserve">：</w:t>
      </w:r>
      <w:r/>
    </w:p>
    <w:p>
      <w:pPr>
        <w:pStyle w:val="787"/>
        <w:ind w:firstLine="643"/>
        <w:jc w:val="center"/>
        <w:rPr>
          <w:rFonts w:hint="eastAsia" w:ascii="宋体" w:hAnsi="宋体"/>
          <w:b/>
          <w:color w:val="000000"/>
          <w:sz w:val="32"/>
          <w:szCs w:val="32"/>
          <w:highlight w:val="none"/>
        </w:rPr>
      </w:pPr>
      <w:r>
        <w:rPr>
          <w:rFonts w:hint="eastAsia" w:ascii="宋体" w:hAnsi="宋体"/>
          <w:b/>
          <w:color w:val="000000"/>
          <w:sz w:val="32"/>
          <w:szCs w:val="32"/>
          <w:highlight w:val="none"/>
        </w:rPr>
        <w:t xml:space="preserve">本项目提供养护基地/机械设备一览表</w:t>
      </w:r>
      <w:r/>
    </w:p>
    <w:tbl>
      <w:tblPr>
        <w:tblStyle w:val="7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662"/>
        <w:gridCol w:w="1154"/>
        <w:gridCol w:w="4805"/>
        <w:gridCol w:w="1650"/>
      </w:tblGrid>
      <w:tr>
        <w:trPr>
          <w:cantSplit/>
          <w:trHeight w:val="1102"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养护基地/机械设备名称</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投标承诺数量/面积</w:t>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规格/功能</w:t>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p>
        </w:tc>
        <w:tc>
          <w:tcPr>
            <w:gridSpan w:val="4"/>
            <w:tcW w:w="4652"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养护基地</w:t>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1281"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1.3</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sz w:val="24"/>
                <w:szCs w:val="20"/>
                <w:highlight w:val="none"/>
                <w:lang w:eastAsia="zh-CN"/>
              </w:rPr>
            </w:pPr>
            <w:r>
              <w:rPr>
                <w:rFonts w:hint="eastAsia" w:ascii="宋体" w:hAnsi="宋体" w:eastAsia="宋体"/>
                <w:sz w:val="24"/>
                <w:szCs w:val="20"/>
                <w:highlight w:val="none"/>
                <w:lang w:eastAsia="zh-CN"/>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p>
        </w:tc>
        <w:tc>
          <w:tcPr>
            <w:gridSpan w:val="4"/>
            <w:tcW w:w="4652"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常规机械设备</w:t>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2.3</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764"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zh-TW"/>
              </w:rPr>
            </w:pPr>
            <w:r>
              <w:rPr>
                <w:rFonts w:hint="eastAsia" w:ascii="宋体" w:hAnsi="宋体" w:eastAsia="宋体" w:cs="宋体"/>
                <w:b w:val="0"/>
                <w:bCs w:val="0"/>
                <w:color w:val="000000"/>
                <w:sz w:val="24"/>
                <w:szCs w:val="24"/>
                <w:highlight w:val="none"/>
                <w:lang w:val="zh-TW"/>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zh-TW"/>
              </w:rPr>
            </w:pPr>
            <w:r>
              <w:rPr>
                <w:rFonts w:hint="eastAsia" w:ascii="宋体" w:hAnsi="宋体" w:eastAsia="宋体" w:cs="宋体"/>
                <w:b w:val="0"/>
                <w:bCs w:val="0"/>
                <w:color w:val="000000"/>
                <w:sz w:val="24"/>
                <w:szCs w:val="24"/>
                <w:highlight w:val="none"/>
                <w:lang w:val="zh-TW"/>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val="zh-TW"/>
              </w:rPr>
            </w:pPr>
            <w:r>
              <w:rPr>
                <w:rFonts w:hint="eastAsia" w:ascii="宋体" w:hAnsi="宋体" w:eastAsia="宋体" w:cs="宋体"/>
                <w:b w:val="0"/>
                <w:bCs w:val="0"/>
                <w:color w:val="000000"/>
                <w:sz w:val="24"/>
                <w:szCs w:val="24"/>
                <w:highlight w:val="none"/>
                <w:lang w:val="zh-TW"/>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3</w:t>
            </w:r>
            <w:r/>
          </w:p>
        </w:tc>
        <w:tc>
          <w:tcPr>
            <w:gridSpan w:val="4"/>
            <w:tcW w:w="4652"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物资</w:t>
            </w:r>
            <w:r/>
          </w:p>
        </w:tc>
      </w:tr>
      <w:tr>
        <w:trPr>
          <w:cantSplit/>
          <w:trHeight w:val="902"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3.1</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r>
            <w:r/>
          </w:p>
        </w:tc>
      </w:tr>
      <w:tr>
        <w:trPr>
          <w:cantSplit/>
          <w:trHeight w:val="74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cs="宋体"/>
                <w:b w:val="0"/>
                <w:bCs w:val="0"/>
                <w:color w:val="000000"/>
                <w:sz w:val="24"/>
                <w:szCs w:val="24"/>
                <w:highlight w:val="none"/>
                <w:lang w:val="en-US" w:eastAsia="zh-CN"/>
              </w:rPr>
              <w:t xml:space="preserve">2</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w:t>
            </w:r>
            <w:r>
              <w:rPr>
                <w:rFonts w:hint="eastAsia" w:ascii="宋体" w:hAnsi="宋体" w:cs="宋体"/>
                <w:b w:val="0"/>
                <w:bCs w:val="0"/>
                <w:color w:val="000000"/>
                <w:sz w:val="24"/>
                <w:szCs w:val="24"/>
                <w:highlight w:val="none"/>
                <w:lang w:val="en-US" w:eastAsia="zh-CN"/>
              </w:rPr>
              <w:t xml:space="preserve">3</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p>
        </w:tc>
        <w:tc>
          <w:tcPr>
            <w:gridSpan w:val="4"/>
            <w:tcW w:w="4652" w:type="pct"/>
            <w:vAlign w:val="center"/>
            <w:textDirection w:val="lrTb"/>
            <w:noWrap w:val="false"/>
          </w:tcPr>
          <w:p>
            <w:pPr>
              <w:contextualSpacing/>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沥青混凝土生产及施工配套设备</w:t>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w:t>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680" w:hRule="exact"/>
        </w:trPr>
        <w:tc>
          <w:tcPr>
            <w:tcW w:w="34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34"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p>
        </w:tc>
        <w:tc>
          <w:tcPr>
            <w:tcW w:w="579"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11"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827" w:type="pct"/>
            <w:vAlign w:val="center"/>
            <w:textDirection w:val="lrTb"/>
            <w:noWrap w:val="false"/>
          </w:tcPr>
          <w:p>
            <w:pPr>
              <w:contextualSpacing/>
              <w:jc w:val="center"/>
              <w:keepLines w:val="0"/>
              <w:keepNext w:val="0"/>
              <w:pageBreakBefore w:val="0"/>
              <w:spacing w:line="3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787"/>
        <w:rPr>
          <w:sz w:val="24"/>
          <w:highlight w:val="none"/>
        </w:rPr>
      </w:pPr>
      <w:r>
        <w:rPr>
          <w:sz w:val="24"/>
          <w:highlight w:val="none"/>
        </w:rPr>
      </w:r>
      <w:r/>
    </w:p>
    <w:sectPr>
      <w:headerReference w:type="default" r:id="rId10"/>
      <w:footerReference w:type="default" r:id="rId12"/>
      <w:footnotePr/>
      <w:endnotePr/>
      <w:type w:val="nextPage"/>
      <w:pgSz w:w="11906" w:h="16838" w:orient="portrait"/>
      <w:pgMar w:top="1213" w:right="1080" w:bottom="1213"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19</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19</w:t>
                    </w:r>
                    <w:r>
                      <w:rPr>
                        <w:lang w:val="zh-CN"/>
                      </w:rPr>
                      <w:fldChar w:fldCharType="end"/>
                    </w:r>
                    <w:r/>
                  </w:p>
                </w:txbxContent>
              </v:textbox>
            </v:shape>
          </w:pict>
        </mc:Fallback>
      </mc:AlternateContent>
    </w:r>
    <w:r/>
  </w:p>
  <w:p>
    <w:pPr>
      <w:pStyle w:val="749"/>
      <w:jc w:val="center"/>
      <w:tabs>
        <w:tab w:val="center" w:pos="4153" w:leader="none"/>
        <w:tab w:val="clear" w:pos="7143" w:leader="none"/>
        <w:tab w:val="right" w:pos="8306" w:leader="none"/>
        <w:tab w:val="clear" w:pos="14287" w:leader="none"/>
      </w:tabs>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fldChar w:fldCharType="begin"/>
    </w:r>
    <w:r>
      <w:instrText xml:space="preserve">PAGE   \* MERGEFORMAT</w:instrText>
    </w:r>
    <w:r>
      <w:fldChar w:fldCharType="separate"/>
    </w:r>
    <w:r>
      <w:rPr>
        <w:lang w:val="zh-CN"/>
      </w:rPr>
      <w:t xml:space="preserve">2</w:t>
    </w:r>
    <w:r>
      <w:fldChar w:fldCharType="end"/>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rPr>
        <w:rFonts w:ascii="楷体_GB2312" w:eastAsia="楷体_GB2312"/>
        <w:b/>
      </w:rPr>
    </w:pPr>
    <w:r>
      <w:rPr>
        <w:rFonts w:ascii="楷体_GB2312" w:eastAsia="楷体_GB2312"/>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name w:val="Heading 1"/>
    <w:basedOn w:val="721"/>
    <w:next w:val="721"/>
    <w:link w:val="772"/>
    <w:uiPriority w:val="9"/>
    <w:qFormat/>
    <w:pPr>
      <w:keepLines/>
      <w:keepNext/>
      <w:spacing w:before="480" w:after="200"/>
      <w:outlineLvl w:val="0"/>
    </w:pPr>
    <w:rPr>
      <w:rFonts w:ascii="Arial" w:hAnsi="Arial" w:eastAsia="Arial" w:cs="Arial"/>
      <w:sz w:val="40"/>
      <w:szCs w:val="40"/>
    </w:rPr>
  </w:style>
  <w:style w:type="paragraph" w:styleId="723">
    <w:name w:val="Heading 2"/>
    <w:basedOn w:val="721"/>
    <w:next w:val="721"/>
    <w:link w:val="773"/>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774"/>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21"/>
    <w:link w:val="775"/>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776"/>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777"/>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79"/>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80"/>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unhideWhenUsed/>
    <w:qFormat/>
  </w:style>
  <w:style w:type="table" w:styleId="732" w:default="1">
    <w:name w:val="Normal Table"/>
    <w:uiPriority w:val="99"/>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Normal Indent"/>
    <w:basedOn w:val="721"/>
    <w:uiPriority w:val="0"/>
    <w:qFormat/>
    <w:pPr>
      <w:ind w:firstLine="420"/>
    </w:pPr>
  </w:style>
  <w:style w:type="paragraph" w:styleId="735">
    <w:name w:val="Caption"/>
    <w:basedOn w:val="721"/>
    <w:next w:val="721"/>
    <w:uiPriority w:val="35"/>
    <w:unhideWhenUsed/>
    <w:qFormat/>
    <w:pPr>
      <w:spacing w:line="276" w:lineRule="auto"/>
    </w:pPr>
    <w:rPr>
      <w:b/>
      <w:bCs/>
      <w:color w:val="4f81bd"/>
      <w:sz w:val="18"/>
      <w:szCs w:val="18"/>
    </w:rPr>
  </w:style>
  <w:style w:type="paragraph" w:styleId="736">
    <w:name w:val="index 5"/>
    <w:basedOn w:val="721"/>
    <w:next w:val="721"/>
    <w:uiPriority w:val="0"/>
    <w:qFormat/>
    <w:pPr>
      <w:jc w:val="center"/>
      <w:spacing w:line="360" w:lineRule="auto"/>
    </w:pPr>
    <w:rPr>
      <w:rFonts w:ascii="宋体" w:hAnsi="宋体" w:cs="宋体"/>
      <w:bCs/>
      <w:szCs w:val="21"/>
    </w:rPr>
  </w:style>
  <w:style w:type="paragraph" w:styleId="737">
    <w:name w:val="annotation text"/>
    <w:basedOn w:val="721"/>
    <w:uiPriority w:val="99"/>
    <w:qFormat/>
    <w:pPr>
      <w:jc w:val="left"/>
    </w:pPr>
  </w:style>
  <w:style w:type="paragraph" w:styleId="738">
    <w:name w:val="Body Text 3"/>
    <w:basedOn w:val="721"/>
    <w:uiPriority w:val="99"/>
    <w:unhideWhenUsed/>
    <w:qFormat/>
    <w:pPr>
      <w:spacing w:after="120"/>
    </w:pPr>
    <w:rPr>
      <w:sz w:val="16"/>
      <w:szCs w:val="16"/>
    </w:rPr>
  </w:style>
  <w:style w:type="paragraph" w:styleId="739">
    <w:name w:val="Body Text"/>
    <w:basedOn w:val="721"/>
    <w:next w:val="721"/>
    <w:uiPriority w:val="0"/>
    <w:qFormat/>
    <w:pPr>
      <w:spacing w:after="120"/>
    </w:pPr>
  </w:style>
  <w:style w:type="paragraph" w:styleId="740">
    <w:name w:val="Body Text Indent"/>
    <w:basedOn w:val="721"/>
    <w:next w:val="741"/>
    <w:uiPriority w:val="99"/>
    <w:unhideWhenUsed/>
    <w:qFormat/>
    <w:pPr>
      <w:ind w:left="420"/>
      <w:spacing w:after="120"/>
    </w:pPr>
  </w:style>
  <w:style w:type="paragraph" w:styleId="741">
    <w:name w:val="envelope return"/>
    <w:basedOn w:val="721"/>
    <w:uiPriority w:val="99"/>
    <w:qFormat/>
    <w:rPr>
      <w:rFonts w:ascii="Arial" w:hAnsi="Arial"/>
    </w:rPr>
  </w:style>
  <w:style w:type="paragraph" w:styleId="742">
    <w:name w:val="Block Text"/>
    <w:basedOn w:val="721"/>
    <w:uiPriority w:val="0"/>
    <w:qFormat/>
    <w:pPr>
      <w:ind w:right="210" w:firstLine="560"/>
      <w:spacing w:line="360" w:lineRule="auto"/>
    </w:pPr>
    <w:rPr>
      <w:rFonts w:ascii="宋体" w:hAnsi="宋体"/>
      <w:color w:val="000000"/>
      <w:spacing w:val="20"/>
      <w:sz w:val="24"/>
      <w:szCs w:val="18"/>
    </w:rPr>
  </w:style>
  <w:style w:type="paragraph" w:styleId="743">
    <w:name w:val="toc 5"/>
    <w:basedOn w:val="721"/>
    <w:next w:val="721"/>
    <w:uiPriority w:val="39"/>
    <w:unhideWhenUsed/>
    <w:qFormat/>
    <w:pPr>
      <w:ind w:left="1134"/>
      <w:spacing w:after="57"/>
    </w:pPr>
  </w:style>
  <w:style w:type="paragraph" w:styleId="744">
    <w:name w:val="toc 3"/>
    <w:basedOn w:val="721"/>
    <w:next w:val="721"/>
    <w:uiPriority w:val="39"/>
    <w:unhideWhenUsed/>
    <w:qFormat/>
    <w:pPr>
      <w:ind w:left="567"/>
      <w:spacing w:after="57"/>
    </w:pPr>
  </w:style>
  <w:style w:type="paragraph" w:styleId="745">
    <w:name w:val="Plain Text"/>
    <w:basedOn w:val="721"/>
    <w:uiPriority w:val="0"/>
    <w:qFormat/>
    <w:rPr>
      <w:rFonts w:ascii="宋体" w:hAnsi="Courier New"/>
      <w:sz w:val="20"/>
      <w:szCs w:val="21"/>
    </w:rPr>
  </w:style>
  <w:style w:type="paragraph" w:styleId="746">
    <w:name w:val="toc 8"/>
    <w:basedOn w:val="721"/>
    <w:next w:val="721"/>
    <w:uiPriority w:val="39"/>
    <w:unhideWhenUsed/>
    <w:qFormat/>
    <w:pPr>
      <w:ind w:left="1984"/>
      <w:spacing w:after="57"/>
    </w:pPr>
  </w:style>
  <w:style w:type="paragraph" w:styleId="747">
    <w:name w:val="index 3"/>
    <w:basedOn w:val="721"/>
    <w:next w:val="721"/>
    <w:uiPriority w:val="0"/>
    <w:qFormat/>
    <w:pPr>
      <w:ind w:left="400"/>
    </w:pPr>
  </w:style>
  <w:style w:type="paragraph" w:styleId="748">
    <w:name w:val="endnote text"/>
    <w:basedOn w:val="721"/>
    <w:link w:val="781"/>
    <w:uiPriority w:val="99"/>
    <w:unhideWhenUsed/>
    <w:qFormat/>
    <w:rPr>
      <w:sz w:val="20"/>
    </w:rPr>
  </w:style>
  <w:style w:type="paragraph" w:styleId="749">
    <w:name w:val="Footer"/>
    <w:basedOn w:val="721"/>
    <w:link w:val="782"/>
    <w:uiPriority w:val="99"/>
    <w:unhideWhenUsed/>
    <w:qFormat/>
    <w:pPr>
      <w:tabs>
        <w:tab w:val="center" w:pos="7143" w:leader="none"/>
        <w:tab w:val="right" w:pos="14287" w:leader="none"/>
      </w:tabs>
    </w:pPr>
  </w:style>
  <w:style w:type="paragraph" w:styleId="750">
    <w:name w:val="Header"/>
    <w:basedOn w:val="721"/>
    <w:link w:val="783"/>
    <w:uiPriority w:val="99"/>
    <w:unhideWhenUsed/>
    <w:qFormat/>
    <w:pPr>
      <w:tabs>
        <w:tab w:val="center" w:pos="7143" w:leader="none"/>
        <w:tab w:val="right" w:pos="14287" w:leader="none"/>
      </w:tabs>
    </w:pPr>
  </w:style>
  <w:style w:type="paragraph" w:styleId="751">
    <w:name w:val="toc 1"/>
    <w:basedOn w:val="721"/>
    <w:next w:val="721"/>
    <w:uiPriority w:val="39"/>
    <w:unhideWhenUsed/>
    <w:qFormat/>
    <w:pPr>
      <w:spacing w:after="57"/>
    </w:pPr>
  </w:style>
  <w:style w:type="paragraph" w:styleId="752">
    <w:name w:val="toc 4"/>
    <w:basedOn w:val="721"/>
    <w:next w:val="721"/>
    <w:uiPriority w:val="39"/>
    <w:unhideWhenUsed/>
    <w:qFormat/>
    <w:pPr>
      <w:ind w:left="850"/>
      <w:spacing w:after="57"/>
    </w:pPr>
  </w:style>
  <w:style w:type="paragraph" w:styleId="753">
    <w:name w:val="Subtitle"/>
    <w:basedOn w:val="721"/>
    <w:next w:val="721"/>
    <w:link w:val="784"/>
    <w:uiPriority w:val="11"/>
    <w:qFormat/>
    <w:pPr>
      <w:spacing w:before="200" w:after="200"/>
    </w:pPr>
    <w:rPr>
      <w:sz w:val="24"/>
    </w:rPr>
  </w:style>
  <w:style w:type="paragraph" w:styleId="754">
    <w:name w:val="footnote text"/>
    <w:basedOn w:val="721"/>
    <w:link w:val="785"/>
    <w:uiPriority w:val="99"/>
    <w:unhideWhenUsed/>
    <w:qFormat/>
    <w:pPr>
      <w:spacing w:after="40"/>
    </w:pPr>
    <w:rPr>
      <w:sz w:val="18"/>
    </w:rPr>
  </w:style>
  <w:style w:type="paragraph" w:styleId="755">
    <w:name w:val="toc 6"/>
    <w:basedOn w:val="721"/>
    <w:next w:val="721"/>
    <w:uiPriority w:val="39"/>
    <w:unhideWhenUsed/>
    <w:qFormat/>
    <w:pPr>
      <w:ind w:left="1417"/>
      <w:spacing w:after="57"/>
    </w:pPr>
  </w:style>
  <w:style w:type="paragraph" w:styleId="756">
    <w:name w:val="table of figures"/>
    <w:basedOn w:val="721"/>
    <w:next w:val="721"/>
    <w:uiPriority w:val="99"/>
    <w:unhideWhenUsed/>
    <w:qFormat/>
  </w:style>
  <w:style w:type="paragraph" w:styleId="757">
    <w:name w:val="toc 2"/>
    <w:basedOn w:val="721"/>
    <w:next w:val="721"/>
    <w:uiPriority w:val="39"/>
    <w:unhideWhenUsed/>
    <w:qFormat/>
    <w:pPr>
      <w:ind w:left="283"/>
      <w:spacing w:after="57"/>
    </w:pPr>
  </w:style>
  <w:style w:type="paragraph" w:styleId="758">
    <w:name w:val="toc 9"/>
    <w:basedOn w:val="721"/>
    <w:next w:val="721"/>
    <w:uiPriority w:val="39"/>
    <w:unhideWhenUsed/>
    <w:qFormat/>
    <w:pPr>
      <w:ind w:left="2268"/>
      <w:spacing w:after="57"/>
    </w:pPr>
  </w:style>
  <w:style w:type="paragraph" w:styleId="759">
    <w:name w:val="Body Text 2"/>
    <w:basedOn w:val="721"/>
    <w:next w:val="739"/>
    <w:uiPriority w:val="0"/>
    <w:qFormat/>
    <w:pPr>
      <w:jc w:val="left"/>
      <w:spacing w:after="50" w:line="400" w:lineRule="exact"/>
      <w:widowControl/>
    </w:pPr>
    <w:rPr>
      <w:rFonts w:ascii="宋体"/>
      <w:color w:val="000000"/>
      <w:sz w:val="24"/>
    </w:rPr>
  </w:style>
  <w:style w:type="paragraph" w:styleId="760">
    <w:name w:val="Normal (Web)"/>
    <w:basedOn w:val="721"/>
    <w:uiPriority w:val="0"/>
    <w:qFormat/>
    <w:pPr>
      <w:jc w:val="left"/>
      <w:spacing w:before="100" w:beforeAutospacing="1" w:after="100" w:afterAutospacing="1"/>
      <w:widowControl/>
    </w:pPr>
    <w:rPr>
      <w:rFonts w:ascii="宋体" w:hAnsi="宋体"/>
      <w:color w:val="000000"/>
      <w:sz w:val="24"/>
    </w:rPr>
  </w:style>
  <w:style w:type="paragraph" w:styleId="761">
    <w:name w:val="Title"/>
    <w:basedOn w:val="721"/>
    <w:next w:val="721"/>
    <w:link w:val="786"/>
    <w:uiPriority w:val="10"/>
    <w:qFormat/>
    <w:pPr>
      <w:contextualSpacing/>
      <w:spacing w:before="300" w:after="200"/>
    </w:pPr>
    <w:rPr>
      <w:sz w:val="48"/>
      <w:szCs w:val="48"/>
    </w:rPr>
  </w:style>
  <w:style w:type="paragraph" w:styleId="762">
    <w:name w:val="Body Text First Indent"/>
    <w:basedOn w:val="739"/>
    <w:uiPriority w:val="0"/>
    <w:qFormat/>
    <w:pPr>
      <w:ind w:firstLine="420"/>
    </w:pPr>
  </w:style>
  <w:style w:type="paragraph" w:styleId="763">
    <w:name w:val="Body Text First Indent 2"/>
    <w:basedOn w:val="740"/>
    <w:next w:val="721"/>
    <w:uiPriority w:val="99"/>
    <w:unhideWhenUsed/>
    <w:qFormat/>
    <w:pPr>
      <w:ind w:firstLine="42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1"/>
    <w:uiPriority w:val="0"/>
    <w:qFormat/>
    <w:rPr>
      <w:b/>
      <w:bCs/>
    </w:rPr>
  </w:style>
  <w:style w:type="character" w:styleId="766">
    <w:name w:val="endnote reference"/>
    <w:uiPriority w:val="99"/>
    <w:unhideWhenUsed/>
    <w:qFormat/>
    <w:rPr>
      <w:vertAlign w:val="superscript"/>
    </w:rPr>
  </w:style>
  <w:style w:type="character" w:styleId="767">
    <w:name w:val="page number"/>
    <w:basedOn w:val="731"/>
    <w:uiPriority w:val="99"/>
    <w:qFormat/>
    <w:rPr>
      <w:rFonts w:ascii="Times New Roman" w:hAnsi="Times New Roman" w:eastAsia="宋体" w:cs="Times New Roman"/>
    </w:rPr>
  </w:style>
  <w:style w:type="character" w:styleId="768">
    <w:name w:val="Hyperlink"/>
    <w:uiPriority w:val="99"/>
    <w:unhideWhenUsed/>
    <w:qFormat/>
    <w:rPr>
      <w:color w:val="0000ff"/>
      <w:u w:val="single"/>
    </w:rPr>
  </w:style>
  <w:style w:type="character" w:styleId="769">
    <w:name w:val="footnote reference"/>
    <w:uiPriority w:val="99"/>
    <w:unhideWhenUsed/>
    <w:qFormat/>
    <w:rPr>
      <w:vertAlign w:val="superscript"/>
    </w:rPr>
  </w:style>
  <w:style w:type="paragraph" w:styleId="770" w:customStyle="1">
    <w:name w:val="正文首行缩进1"/>
    <w:basedOn w:val="739"/>
    <w:link w:val="771"/>
    <w:uiPriority w:val="0"/>
    <w:qFormat/>
    <w:pPr>
      <w:ind w:firstLine="420"/>
      <w:spacing w:after="120"/>
    </w:pPr>
    <w:rPr>
      <w:rFonts w:ascii="Times New Roman" w:eastAsia="宋体"/>
      <w:szCs w:val="24"/>
    </w:rPr>
  </w:style>
  <w:style w:type="character" w:styleId="771" w:customStyle="1">
    <w:name w:val="正文首行缩进 Char"/>
    <w:link w:val="770"/>
    <w:uiPriority w:val="0"/>
    <w:qFormat/>
    <w:rPr>
      <w:rFonts w:ascii="Times New Roman" w:hAnsi="Times New Roman" w:eastAsia="宋体" w:cs="Times New Roman"/>
      <w:sz w:val="24"/>
      <w:szCs w:val="24"/>
    </w:rPr>
  </w:style>
  <w:style w:type="character" w:styleId="772" w:customStyle="1">
    <w:name w:val="标题 1 字符"/>
    <w:link w:val="722"/>
    <w:uiPriority w:val="9"/>
    <w:qFormat/>
    <w:rPr>
      <w:rFonts w:ascii="Arial" w:hAnsi="Arial" w:eastAsia="Arial" w:cs="Arial"/>
      <w:sz w:val="40"/>
      <w:szCs w:val="40"/>
    </w:rPr>
  </w:style>
  <w:style w:type="character" w:styleId="773" w:customStyle="1">
    <w:name w:val="标题 2 字符1"/>
    <w:link w:val="723"/>
    <w:uiPriority w:val="0"/>
    <w:qFormat/>
    <w:rPr>
      <w:rFonts w:ascii="Arial" w:hAnsi="Arial" w:eastAsia="黑体" w:cs="Times New Roman"/>
      <w:b/>
      <w:bCs/>
      <w:sz w:val="32"/>
      <w:szCs w:val="32"/>
    </w:rPr>
  </w:style>
  <w:style w:type="character" w:styleId="774" w:customStyle="1">
    <w:name w:val="标题 3 字符"/>
    <w:link w:val="724"/>
    <w:uiPriority w:val="9"/>
    <w:qFormat/>
    <w:rPr>
      <w:rFonts w:ascii="Arial" w:hAnsi="Arial" w:eastAsia="Arial" w:cs="Arial"/>
      <w:sz w:val="30"/>
      <w:szCs w:val="30"/>
    </w:rPr>
  </w:style>
  <w:style w:type="character" w:styleId="775" w:customStyle="1">
    <w:name w:val="标题 4 字符"/>
    <w:link w:val="725"/>
    <w:uiPriority w:val="9"/>
    <w:qFormat/>
    <w:rPr>
      <w:rFonts w:ascii="Arial" w:hAnsi="Arial" w:eastAsia="Arial" w:cs="Arial"/>
      <w:b/>
      <w:bCs/>
      <w:sz w:val="26"/>
      <w:szCs w:val="26"/>
    </w:rPr>
  </w:style>
  <w:style w:type="character" w:styleId="776" w:customStyle="1">
    <w:name w:val="标题 5 字符"/>
    <w:link w:val="726"/>
    <w:uiPriority w:val="9"/>
    <w:qFormat/>
    <w:rPr>
      <w:rFonts w:ascii="Arial" w:hAnsi="Arial" w:eastAsia="Arial" w:cs="Arial"/>
      <w:b/>
      <w:bCs/>
      <w:sz w:val="24"/>
      <w:szCs w:val="24"/>
    </w:rPr>
  </w:style>
  <w:style w:type="character" w:styleId="777" w:customStyle="1">
    <w:name w:val="标题 6 字符"/>
    <w:link w:val="727"/>
    <w:uiPriority w:val="9"/>
    <w:qFormat/>
    <w:rPr>
      <w:rFonts w:ascii="Arial" w:hAnsi="Arial" w:eastAsia="Arial" w:cs="Arial"/>
      <w:b/>
      <w:bCs/>
      <w:sz w:val="22"/>
      <w:szCs w:val="22"/>
    </w:rPr>
  </w:style>
  <w:style w:type="character" w:styleId="778" w:customStyle="1">
    <w:name w:val="标题 7 字符"/>
    <w:link w:val="728"/>
    <w:uiPriority w:val="9"/>
    <w:qFormat/>
    <w:rPr>
      <w:rFonts w:ascii="Arial" w:hAnsi="Arial" w:eastAsia="Arial" w:cs="Arial"/>
      <w:b/>
      <w:bCs/>
      <w:i/>
      <w:iCs/>
      <w:sz w:val="22"/>
      <w:szCs w:val="22"/>
    </w:rPr>
  </w:style>
  <w:style w:type="character" w:styleId="779" w:customStyle="1">
    <w:name w:val="标题 8 字符"/>
    <w:link w:val="729"/>
    <w:uiPriority w:val="9"/>
    <w:qFormat/>
    <w:rPr>
      <w:rFonts w:ascii="Arial" w:hAnsi="Arial" w:eastAsia="Arial" w:cs="Arial"/>
      <w:i/>
      <w:iCs/>
      <w:sz w:val="22"/>
      <w:szCs w:val="22"/>
    </w:rPr>
  </w:style>
  <w:style w:type="character" w:styleId="780" w:customStyle="1">
    <w:name w:val="标题 9 字符"/>
    <w:link w:val="730"/>
    <w:uiPriority w:val="9"/>
    <w:qFormat/>
    <w:rPr>
      <w:rFonts w:ascii="Arial" w:hAnsi="Arial" w:eastAsia="Arial" w:cs="Arial"/>
      <w:i/>
      <w:iCs/>
      <w:sz w:val="21"/>
      <w:szCs w:val="21"/>
    </w:rPr>
  </w:style>
  <w:style w:type="character" w:styleId="781" w:customStyle="1">
    <w:name w:val="尾注文本 字符"/>
    <w:link w:val="748"/>
    <w:uiPriority w:val="99"/>
    <w:qFormat/>
    <w:rPr>
      <w:sz w:val="20"/>
    </w:rPr>
  </w:style>
  <w:style w:type="character" w:styleId="782" w:customStyle="1">
    <w:name w:val="页脚 字符"/>
    <w:link w:val="749"/>
    <w:uiPriority w:val="99"/>
    <w:qFormat/>
  </w:style>
  <w:style w:type="character" w:styleId="783" w:customStyle="1">
    <w:name w:val="页眉 字符"/>
    <w:link w:val="750"/>
    <w:uiPriority w:val="99"/>
    <w:qFormat/>
  </w:style>
  <w:style w:type="character" w:styleId="784" w:customStyle="1">
    <w:name w:val="副标题 字符"/>
    <w:link w:val="753"/>
    <w:uiPriority w:val="11"/>
    <w:qFormat/>
    <w:rPr>
      <w:sz w:val="24"/>
      <w:szCs w:val="24"/>
    </w:rPr>
  </w:style>
  <w:style w:type="character" w:styleId="785" w:customStyle="1">
    <w:name w:val="脚注文本 字符"/>
    <w:link w:val="754"/>
    <w:uiPriority w:val="99"/>
    <w:qFormat/>
    <w:rPr>
      <w:sz w:val="18"/>
    </w:rPr>
  </w:style>
  <w:style w:type="character" w:styleId="786" w:customStyle="1">
    <w:name w:val="标题 字符"/>
    <w:link w:val="761"/>
    <w:uiPriority w:val="10"/>
    <w:qFormat/>
    <w:rPr>
      <w:sz w:val="48"/>
      <w:szCs w:val="48"/>
    </w:rPr>
  </w:style>
  <w:style w:type="paragraph" w:styleId="787" w:customStyle="1">
    <w:name w:val="正文（缩进）"/>
    <w:basedOn w:val="721"/>
    <w:link w:val="788"/>
    <w:uiPriority w:val="0"/>
    <w:qFormat/>
    <w:pPr>
      <w:ind w:firstLine="480"/>
      <w:spacing w:before="156" w:after="156"/>
    </w:pPr>
    <w:rPr>
      <w:szCs w:val="20"/>
    </w:rPr>
  </w:style>
  <w:style w:type="character" w:styleId="788" w:customStyle="1">
    <w:name w:val="正文（缩进） Char Char"/>
    <w:link w:val="787"/>
    <w:uiPriority w:val="0"/>
    <w:qFormat/>
    <w:rPr>
      <w:sz w:val="21"/>
    </w:rPr>
  </w:style>
  <w:style w:type="table" w:styleId="789" w:customStyle="1">
    <w:name w:val="Plain Table 1"/>
    <w:basedOn w:val="732"/>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3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3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1 Light"/>
    <w:basedOn w:val="732"/>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5" w:customStyle="1">
    <w:name w:val="Grid Table 2"/>
    <w:basedOn w:val="7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3"/>
    <w:basedOn w:val="73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4"/>
    <w:basedOn w:val="732"/>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w:basedOn w:val="73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6 Colorful"/>
    <w:basedOn w:val="732"/>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0" w:customStyle="1">
    <w:name w:val="Grid Table 7 Colorful"/>
    <w:basedOn w:val="732"/>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List Table 1 Light"/>
    <w:basedOn w:val="73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List Table 2"/>
    <w:basedOn w:val="73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3" w:customStyle="1">
    <w:name w:val="List Table 3"/>
    <w:basedOn w:val="732"/>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4" w:customStyle="1">
    <w:name w:val="List Table 4"/>
    <w:basedOn w:val="732"/>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5" w:customStyle="1">
    <w:name w:val="List Table 5 Dark"/>
    <w:basedOn w:val="732"/>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06" w:customStyle="1">
    <w:name w:val="List Table 6 Colorful"/>
    <w:basedOn w:val="732"/>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List Table 7 Colorful"/>
    <w:basedOn w:val="732"/>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段"/>
    <w:next w:val="72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10" w:customStyle="1">
    <w:name w:val="索引 31"/>
    <w:basedOn w:val="721"/>
    <w:next w:val="721"/>
    <w:uiPriority w:val="0"/>
    <w:qFormat/>
    <w:pPr>
      <w:ind w:left="400"/>
    </w:pPr>
  </w:style>
  <w:style w:type="character" w:styleId="811" w:customStyle="1">
    <w:name w:val="Heading 1 Char"/>
    <w:basedOn w:val="731"/>
    <w:uiPriority w:val="9"/>
    <w:qFormat/>
    <w:rPr>
      <w:rFonts w:ascii="Arial" w:hAnsi="Arial" w:eastAsia="Arial" w:cs="Arial"/>
      <w:sz w:val="40"/>
      <w:szCs w:val="40"/>
    </w:rPr>
  </w:style>
  <w:style w:type="character" w:styleId="812" w:customStyle="1">
    <w:name w:val="Heading 2 Char"/>
    <w:basedOn w:val="731"/>
    <w:uiPriority w:val="9"/>
    <w:qFormat/>
    <w:rPr>
      <w:rFonts w:ascii="Arial" w:hAnsi="Arial" w:eastAsia="Arial" w:cs="Arial"/>
      <w:sz w:val="34"/>
    </w:rPr>
  </w:style>
  <w:style w:type="character" w:styleId="813" w:customStyle="1">
    <w:name w:val="Heading 3 Char"/>
    <w:basedOn w:val="731"/>
    <w:uiPriority w:val="9"/>
    <w:qFormat/>
    <w:rPr>
      <w:rFonts w:ascii="Arial" w:hAnsi="Arial" w:eastAsia="Arial" w:cs="Arial"/>
      <w:sz w:val="30"/>
      <w:szCs w:val="30"/>
    </w:rPr>
  </w:style>
  <w:style w:type="character" w:styleId="814" w:customStyle="1">
    <w:name w:val="Heading 4 Char"/>
    <w:basedOn w:val="731"/>
    <w:uiPriority w:val="9"/>
    <w:qFormat/>
    <w:rPr>
      <w:rFonts w:ascii="Arial" w:hAnsi="Arial" w:eastAsia="Arial" w:cs="Arial"/>
      <w:b/>
      <w:bCs/>
      <w:sz w:val="26"/>
      <w:szCs w:val="26"/>
    </w:rPr>
  </w:style>
  <w:style w:type="character" w:styleId="815" w:customStyle="1">
    <w:name w:val="Heading 5 Char"/>
    <w:basedOn w:val="731"/>
    <w:uiPriority w:val="9"/>
    <w:qFormat/>
    <w:rPr>
      <w:rFonts w:ascii="Arial" w:hAnsi="Arial" w:eastAsia="Arial" w:cs="Arial"/>
      <w:b/>
      <w:bCs/>
      <w:sz w:val="24"/>
      <w:szCs w:val="24"/>
    </w:rPr>
  </w:style>
  <w:style w:type="character" w:styleId="816" w:customStyle="1">
    <w:name w:val="Heading 6 Char"/>
    <w:basedOn w:val="731"/>
    <w:uiPriority w:val="9"/>
    <w:qFormat/>
    <w:rPr>
      <w:rFonts w:ascii="Arial" w:hAnsi="Arial" w:eastAsia="Arial" w:cs="Arial"/>
      <w:b/>
      <w:bCs/>
      <w:sz w:val="22"/>
      <w:szCs w:val="22"/>
    </w:rPr>
  </w:style>
  <w:style w:type="character" w:styleId="817" w:customStyle="1">
    <w:name w:val="Heading 7 Char"/>
    <w:basedOn w:val="731"/>
    <w:uiPriority w:val="9"/>
    <w:qFormat/>
    <w:rPr>
      <w:rFonts w:ascii="Arial" w:hAnsi="Arial" w:eastAsia="Arial" w:cs="Arial"/>
      <w:b/>
      <w:bCs/>
      <w:i/>
      <w:iCs/>
      <w:sz w:val="22"/>
      <w:szCs w:val="22"/>
    </w:rPr>
  </w:style>
  <w:style w:type="character" w:styleId="818" w:customStyle="1">
    <w:name w:val="Heading 8 Char"/>
    <w:basedOn w:val="731"/>
    <w:uiPriority w:val="9"/>
    <w:qFormat/>
    <w:rPr>
      <w:rFonts w:ascii="Arial" w:hAnsi="Arial" w:eastAsia="Arial" w:cs="Arial"/>
      <w:i/>
      <w:iCs/>
      <w:sz w:val="22"/>
      <w:szCs w:val="22"/>
    </w:rPr>
  </w:style>
  <w:style w:type="character" w:styleId="819" w:customStyle="1">
    <w:name w:val="Heading 9 Char"/>
    <w:basedOn w:val="731"/>
    <w:uiPriority w:val="9"/>
    <w:qFormat/>
    <w:rPr>
      <w:rFonts w:ascii="Arial" w:hAnsi="Arial" w:eastAsia="Arial" w:cs="Arial"/>
      <w:i/>
      <w:iCs/>
      <w:sz w:val="21"/>
      <w:szCs w:val="21"/>
    </w:rPr>
  </w:style>
  <w:style w:type="character" w:styleId="820" w:customStyle="1">
    <w:name w:val="Title Char"/>
    <w:basedOn w:val="731"/>
    <w:uiPriority w:val="10"/>
    <w:qFormat/>
    <w:rPr>
      <w:sz w:val="48"/>
      <w:szCs w:val="48"/>
    </w:rPr>
  </w:style>
  <w:style w:type="character" w:styleId="821" w:customStyle="1">
    <w:name w:val="Subtitle Char"/>
    <w:basedOn w:val="731"/>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31"/>
    <w:uiPriority w:val="99"/>
    <w:qFormat/>
  </w:style>
  <w:style w:type="character" w:styleId="825" w:customStyle="1">
    <w:name w:val="Caption Char"/>
    <w:uiPriority w:val="99"/>
    <w:qFormat/>
  </w:style>
  <w:style w:type="table" w:styleId="826" w:customStyle="1">
    <w:name w:val="无格式表格 11"/>
    <w:basedOn w:val="73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3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3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32"/>
    <w:uiPriority w:val="99"/>
    <w:qFormat/>
    <w:tblPr>
      <w:tblCellMar>
        <w:left w:w="0" w:type="dxa"/>
        <w:right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网格表 1 浅色1"/>
    <w:basedOn w:val="73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2" w:customStyle="1">
    <w:name w:val="网格表 21"/>
    <w:basedOn w:val="732"/>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网格表 31"/>
    <w:basedOn w:val="732"/>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网格表 41"/>
    <w:basedOn w:val="73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网格表 6 彩色1"/>
    <w:basedOn w:val="73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37" w:customStyle="1">
    <w:name w:val="网格表 7 彩色1"/>
    <w:basedOn w:val="732"/>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清单表 1 浅色1"/>
    <w:basedOn w:val="732"/>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清单表 21"/>
    <w:basedOn w:val="732"/>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40"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1"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2" w:customStyle="1">
    <w:name w:val="清单表 5 深色1"/>
    <w:basedOn w:val="732"/>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43" w:customStyle="1">
    <w:name w:val="清单表 6 彩色1"/>
    <w:basedOn w:val="732"/>
    <w:uiPriority w:val="99"/>
    <w:qFormat/>
    <w:tblPr>
      <w:tblBorders>
        <w:top w:val="single" w:color="7E7E7E" w:sz="4" w:space="0"/>
        <w:bottom w:val="single" w:color="7E7E7E" w:sz="4" w:space="0"/>
      </w:tblBorders>
      <w:tblCellMar>
        <w:left w:w="0" w:type="dxa"/>
        <w:right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清单表 7 彩色1"/>
    <w:basedOn w:val="732"/>
    <w:uiPriority w:val="99"/>
    <w:qFormat/>
    <w:tblPr>
      <w:tblBorders>
        <w:right w:val="single" w:color="7E7E7E" w:sz="4" w:space="0"/>
      </w:tblBorders>
      <w:tblCellMar>
        <w:left w:w="0" w:type="dxa"/>
        <w:right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
    <w:uiPriority w:val="39"/>
    <w:unhideWhenUsed/>
    <w:qFormat/>
    <w:rPr>
      <w:rFonts w:hint="default" w:ascii="Times New Roman" w:hAnsi="Times New Roman" w:eastAsia="宋体" w:cs="Times New Roman"/>
      <w:lang w:val="en-US" w:eastAsia="zh-CN" w:bidi="ar-SA"/>
    </w:rPr>
  </w:style>
  <w:style w:type="paragraph" w:styleId="848" w:customStyle="1">
    <w:name w:val="标题 41"/>
    <w:basedOn w:val="721"/>
    <w:next w:val="721"/>
    <w:uiPriority w:val="0"/>
    <w:qFormat/>
    <w:pPr>
      <w:jc w:val="center"/>
      <w:keepNext/>
      <w:outlineLvl w:val="3"/>
    </w:pPr>
    <w:rPr>
      <w:rFonts w:eastAsia="新宋体"/>
      <w:sz w:val="30"/>
      <w:szCs w:val="21"/>
    </w:rPr>
  </w:style>
  <w:style w:type="character" w:styleId="849" w:customStyle="1">
    <w:name w:val="标题 2 字符"/>
    <w:uiPriority w:val="9"/>
    <w:qFormat/>
    <w:rPr>
      <w:rFonts w:ascii="Arial" w:hAnsi="Arial" w:eastAsia="Arial" w:cs="Arial"/>
      <w:sz w:val="34"/>
    </w:rPr>
  </w:style>
  <w:style w:type="paragraph" w:styleId="850">
    <w:name w:val="List Paragraph"/>
    <w:basedOn w:val="721"/>
    <w:uiPriority w:val="34"/>
    <w:qFormat/>
    <w:pPr>
      <w:contextualSpacing/>
      <w:ind w:left="720"/>
    </w:pPr>
  </w:style>
  <w:style w:type="paragraph" w:styleId="851">
    <w:name w:val="No Spacing"/>
    <w:uiPriority w:val="1"/>
    <w:qFormat/>
    <w:rPr>
      <w:rFonts w:hint="default" w:ascii="Times New Roman" w:hAnsi="Times New Roman" w:eastAsia="宋体" w:cs="Times New Roman"/>
      <w:lang w:val="en-US" w:eastAsia="zh-CN" w:bidi="ar-SA"/>
    </w:rPr>
  </w:style>
  <w:style w:type="paragraph" w:styleId="852">
    <w:name w:val="Quote"/>
    <w:basedOn w:val="721"/>
    <w:next w:val="721"/>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21"/>
    <w:next w:val="721"/>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Footer Char"/>
    <w:uiPriority w:val="99"/>
    <w:qFormat/>
  </w:style>
  <w:style w:type="table" w:styleId="85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8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89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8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0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2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2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2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2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2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3" w:customStyle="1">
    <w:name w:val="TOC 标题11"/>
    <w:uiPriority w:val="39"/>
    <w:unhideWhenUsed/>
    <w:qFormat/>
    <w:rPr>
      <w:rFonts w:hint="default" w:ascii="Times New Roman" w:hAnsi="Times New Roman" w:eastAsia="宋体" w:cs="Times New Roman"/>
      <w:lang w:val="en-US" w:eastAsia="zh-CN" w:bidi="ar-SA"/>
    </w:rPr>
  </w:style>
  <w:style w:type="paragraph" w:styleId="964" w:customStyle="1">
    <w:name w:val="标题 11"/>
    <w:basedOn w:val="721"/>
    <w:next w:val="721"/>
    <w:link w:val="965"/>
    <w:uiPriority w:val="0"/>
    <w:qFormat/>
    <w:pPr>
      <w:keepLines/>
      <w:keepNext/>
      <w:spacing w:before="340" w:after="330" w:line="578" w:lineRule="auto"/>
      <w:outlineLvl w:val="0"/>
    </w:pPr>
    <w:rPr>
      <w:b/>
      <w:bCs/>
      <w:sz w:val="44"/>
      <w:szCs w:val="44"/>
    </w:rPr>
  </w:style>
  <w:style w:type="character" w:styleId="965" w:customStyle="1">
    <w:name w:val="标题 1 Char"/>
    <w:link w:val="964"/>
    <w:uiPriority w:val="0"/>
    <w:qFormat/>
    <w:rPr>
      <w:rFonts w:ascii="Times New Roman" w:hAnsi="Times New Roman" w:eastAsia="宋体" w:cs="Times New Roman"/>
      <w:b/>
      <w:bCs/>
      <w:sz w:val="44"/>
      <w:szCs w:val="44"/>
    </w:rPr>
  </w:style>
  <w:style w:type="paragraph" w:styleId="966" w:customStyle="1">
    <w:name w:val="标题 21"/>
    <w:basedOn w:val="721"/>
    <w:next w:val="721"/>
    <w:uiPriority w:val="0"/>
    <w:qFormat/>
    <w:pPr>
      <w:keepLines/>
      <w:keepNext/>
      <w:spacing w:before="260" w:after="260" w:line="416" w:lineRule="auto"/>
      <w:outlineLvl w:val="1"/>
    </w:pPr>
    <w:rPr>
      <w:rFonts w:ascii="Arial" w:hAnsi="Arial" w:eastAsia="黑体"/>
      <w:b/>
      <w:bCs/>
      <w:sz w:val="32"/>
      <w:szCs w:val="32"/>
    </w:rPr>
  </w:style>
  <w:style w:type="paragraph" w:styleId="967" w:customStyle="1">
    <w:name w:val="标题 31"/>
    <w:basedOn w:val="721"/>
    <w:next w:val="721"/>
    <w:link w:val="968"/>
    <w:uiPriority w:val="0"/>
    <w:qFormat/>
    <w:pPr>
      <w:keepLines/>
      <w:keepNext/>
      <w:spacing w:before="260" w:after="260" w:line="416" w:lineRule="auto"/>
      <w:outlineLvl w:val="2"/>
    </w:pPr>
    <w:rPr>
      <w:b/>
      <w:bCs/>
      <w:sz w:val="32"/>
      <w:szCs w:val="32"/>
    </w:rPr>
  </w:style>
  <w:style w:type="character" w:styleId="968" w:customStyle="1">
    <w:name w:val="标题 3 Char"/>
    <w:link w:val="967"/>
    <w:uiPriority w:val="0"/>
    <w:qFormat/>
    <w:rPr>
      <w:rFonts w:ascii="Times New Roman" w:hAnsi="Times New Roman" w:eastAsia="宋体" w:cs="Times New Roman"/>
      <w:b/>
      <w:bCs/>
      <w:sz w:val="32"/>
      <w:szCs w:val="32"/>
    </w:rPr>
  </w:style>
  <w:style w:type="paragraph" w:styleId="969" w:customStyle="1">
    <w:name w:val="标题 411"/>
    <w:basedOn w:val="721"/>
    <w:next w:val="721"/>
    <w:link w:val="970"/>
    <w:uiPriority w:val="0"/>
    <w:qFormat/>
    <w:pPr>
      <w:jc w:val="center"/>
      <w:keepNext/>
      <w:outlineLvl w:val="3"/>
    </w:pPr>
    <w:rPr>
      <w:rFonts w:eastAsia="新宋体"/>
      <w:sz w:val="30"/>
      <w:szCs w:val="21"/>
    </w:rPr>
  </w:style>
  <w:style w:type="character" w:styleId="970" w:customStyle="1">
    <w:name w:val="标题 4 Char"/>
    <w:link w:val="969"/>
    <w:uiPriority w:val="0"/>
    <w:qFormat/>
    <w:rPr>
      <w:rFonts w:ascii="Times New Roman" w:hAnsi="Times New Roman" w:eastAsia="新宋体" w:cs="Times New Roman"/>
      <w:sz w:val="30"/>
      <w:szCs w:val="21"/>
    </w:rPr>
  </w:style>
  <w:style w:type="paragraph" w:styleId="971" w:customStyle="1">
    <w:name w:val="标题 51"/>
    <w:basedOn w:val="721"/>
    <w:next w:val="721"/>
    <w:link w:val="972"/>
    <w:uiPriority w:val="0"/>
    <w:qFormat/>
    <w:pPr>
      <w:keepLines/>
      <w:keepNext/>
      <w:spacing w:before="280" w:after="290" w:line="376" w:lineRule="auto"/>
      <w:outlineLvl w:val="4"/>
    </w:pPr>
    <w:rPr>
      <w:b/>
      <w:bCs/>
      <w:sz w:val="28"/>
      <w:szCs w:val="28"/>
    </w:rPr>
  </w:style>
  <w:style w:type="character" w:styleId="972" w:customStyle="1">
    <w:name w:val="标题 5 Char"/>
    <w:link w:val="971"/>
    <w:uiPriority w:val="0"/>
    <w:qFormat/>
    <w:rPr>
      <w:rFonts w:ascii="Times New Roman" w:hAnsi="Times New Roman" w:eastAsia="宋体" w:cs="Times New Roman"/>
      <w:b/>
      <w:bCs/>
      <w:sz w:val="28"/>
      <w:szCs w:val="28"/>
    </w:rPr>
  </w:style>
  <w:style w:type="paragraph" w:styleId="973" w:customStyle="1">
    <w:name w:val="标题 61"/>
    <w:basedOn w:val="721"/>
    <w:next w:val="974"/>
    <w:link w:val="975"/>
    <w:uiPriority w:val="0"/>
    <w:qFormat/>
    <w:pPr>
      <w:jc w:val="center"/>
      <w:keepNext/>
      <w:outlineLvl w:val="5"/>
    </w:pPr>
    <w:rPr>
      <w:b/>
      <w:sz w:val="44"/>
      <w:szCs w:val="20"/>
    </w:rPr>
  </w:style>
  <w:style w:type="paragraph" w:styleId="974" w:customStyle="1">
    <w:name w:val="正文缩进1"/>
    <w:basedOn w:val="721"/>
    <w:link w:val="976"/>
    <w:uiPriority w:val="0"/>
    <w:qFormat/>
    <w:pPr>
      <w:ind w:firstLine="420"/>
    </w:pPr>
    <w:rPr>
      <w:sz w:val="20"/>
      <w:szCs w:val="20"/>
    </w:rPr>
  </w:style>
  <w:style w:type="character" w:styleId="975" w:customStyle="1">
    <w:name w:val="标题 6 Char"/>
    <w:link w:val="973"/>
    <w:uiPriority w:val="0"/>
    <w:qFormat/>
    <w:rPr>
      <w:rFonts w:ascii="Times New Roman" w:hAnsi="Times New Roman" w:eastAsia="宋体" w:cs="Times New Roman"/>
      <w:b/>
      <w:sz w:val="44"/>
      <w:szCs w:val="20"/>
    </w:rPr>
  </w:style>
  <w:style w:type="character" w:styleId="976" w:customStyle="1">
    <w:name w:val="正文缩进 Char"/>
    <w:link w:val="974"/>
    <w:uiPriority w:val="0"/>
    <w:qFormat/>
    <w:rPr>
      <w:rFonts w:ascii="Times New Roman" w:hAnsi="Times New Roman" w:eastAsia="宋体" w:cs="Times New Roman"/>
      <w:sz w:val="20"/>
      <w:szCs w:val="20"/>
    </w:rPr>
  </w:style>
  <w:style w:type="paragraph" w:styleId="977" w:customStyle="1">
    <w:name w:val="标题 71"/>
    <w:basedOn w:val="721"/>
    <w:next w:val="721"/>
    <w:link w:val="978"/>
    <w:uiPriority w:val="0"/>
    <w:qFormat/>
    <w:pPr>
      <w:keepLines/>
      <w:keepNext/>
      <w:spacing w:before="240" w:after="64" w:line="320" w:lineRule="auto"/>
      <w:outlineLvl w:val="6"/>
    </w:pPr>
    <w:rPr>
      <w:b/>
      <w:bCs/>
      <w:sz w:val="24"/>
    </w:rPr>
  </w:style>
  <w:style w:type="character" w:styleId="978" w:customStyle="1">
    <w:name w:val="标题 7 Char"/>
    <w:link w:val="977"/>
    <w:uiPriority w:val="0"/>
    <w:qFormat/>
    <w:rPr>
      <w:rFonts w:ascii="Times New Roman" w:hAnsi="Times New Roman" w:eastAsia="宋体" w:cs="Times New Roman"/>
      <w:b/>
      <w:bCs/>
      <w:sz w:val="24"/>
      <w:szCs w:val="24"/>
    </w:rPr>
  </w:style>
  <w:style w:type="paragraph" w:styleId="979" w:customStyle="1">
    <w:name w:val="标题 81"/>
    <w:basedOn w:val="721"/>
    <w:next w:val="721"/>
    <w:link w:val="980"/>
    <w:uiPriority w:val="0"/>
    <w:qFormat/>
    <w:pPr>
      <w:keepLines/>
      <w:keepNext/>
      <w:spacing w:before="240" w:after="64" w:line="320" w:lineRule="auto"/>
      <w:outlineLvl w:val="7"/>
    </w:pPr>
    <w:rPr>
      <w:rFonts w:ascii="Arial" w:hAnsi="Arial" w:eastAsia="黑体"/>
      <w:sz w:val="24"/>
    </w:rPr>
  </w:style>
  <w:style w:type="character" w:styleId="980" w:customStyle="1">
    <w:name w:val="标题 8 Char"/>
    <w:link w:val="979"/>
    <w:uiPriority w:val="0"/>
    <w:qFormat/>
    <w:rPr>
      <w:rFonts w:ascii="Arial" w:hAnsi="Arial" w:eastAsia="黑体" w:cs="Times New Roman"/>
      <w:sz w:val="24"/>
      <w:szCs w:val="24"/>
    </w:rPr>
  </w:style>
  <w:style w:type="paragraph" w:styleId="981" w:customStyle="1">
    <w:name w:val="标题 91"/>
    <w:basedOn w:val="721"/>
    <w:next w:val="721"/>
    <w:link w:val="982"/>
    <w:uiPriority w:val="0"/>
    <w:qFormat/>
    <w:pPr>
      <w:keepLines/>
      <w:keepNext/>
      <w:spacing w:before="240" w:after="64" w:line="320" w:lineRule="auto"/>
      <w:outlineLvl w:val="8"/>
    </w:pPr>
    <w:rPr>
      <w:rFonts w:ascii="Arial" w:hAnsi="Arial" w:eastAsia="黑体"/>
      <w:sz w:val="24"/>
      <w:szCs w:val="21"/>
    </w:rPr>
  </w:style>
  <w:style w:type="character" w:styleId="982" w:customStyle="1">
    <w:name w:val="标题 9 Char"/>
    <w:link w:val="981"/>
    <w:uiPriority w:val="0"/>
    <w:qFormat/>
    <w:rPr>
      <w:rFonts w:ascii="Arial" w:hAnsi="Arial" w:eastAsia="黑体" w:cs="Times New Roman"/>
      <w:sz w:val="24"/>
      <w:szCs w:val="21"/>
    </w:rPr>
  </w:style>
  <w:style w:type="character" w:styleId="983" w:customStyle="1">
    <w:name w:val="默认段落字体1"/>
    <w:uiPriority w:val="1"/>
    <w:unhideWhenUsed/>
    <w:qFormat/>
  </w:style>
  <w:style w:type="table" w:styleId="984" w:customStyle="1">
    <w:name w:val="普通表格1"/>
    <w:uiPriority w:val="99"/>
    <w:unhideWhenUsed/>
    <w:qFormat/>
    <w:tblPr>
      <w:tblCellMar>
        <w:left w:w="0" w:type="dxa"/>
        <w:top w:w="0" w:type="dxa"/>
        <w:right w:w="0" w:type="dxa"/>
        <w:bottom w:w="0" w:type="dxa"/>
      </w:tblCellMar>
    </w:tblPr>
  </w:style>
  <w:style w:type="paragraph" w:styleId="985" w:customStyle="1">
    <w:name w:val="文档结构图1"/>
    <w:basedOn w:val="721"/>
    <w:link w:val="986"/>
    <w:uiPriority w:val="0"/>
    <w:semiHidden/>
    <w:qFormat/>
    <w:pPr>
      <w:shd w:val="clear" w:color="auto" w:fill="000080"/>
    </w:pPr>
    <w:rPr>
      <w:sz w:val="20"/>
    </w:rPr>
  </w:style>
  <w:style w:type="character" w:styleId="986" w:customStyle="1">
    <w:name w:val="文档结构图 Char"/>
    <w:link w:val="985"/>
    <w:uiPriority w:val="0"/>
    <w:semiHidden/>
    <w:qFormat/>
    <w:rPr>
      <w:szCs w:val="24"/>
      <w:shd w:val="clear" w:color="auto" w:fill="000080"/>
    </w:rPr>
  </w:style>
  <w:style w:type="paragraph" w:styleId="987" w:customStyle="1">
    <w:name w:val="正文文本 31"/>
    <w:basedOn w:val="721"/>
    <w:link w:val="988"/>
    <w:uiPriority w:val="0"/>
    <w:qFormat/>
    <w:pPr>
      <w:spacing w:after="120"/>
    </w:pPr>
    <w:rPr>
      <w:sz w:val="16"/>
      <w:szCs w:val="16"/>
    </w:rPr>
  </w:style>
  <w:style w:type="character" w:styleId="988" w:customStyle="1">
    <w:name w:val="正文文本 3 Char"/>
    <w:link w:val="987"/>
    <w:uiPriority w:val="0"/>
    <w:qFormat/>
    <w:rPr>
      <w:rFonts w:ascii="Times New Roman" w:hAnsi="Times New Roman" w:eastAsia="宋体" w:cs="Times New Roman"/>
      <w:sz w:val="16"/>
      <w:szCs w:val="16"/>
    </w:rPr>
  </w:style>
  <w:style w:type="paragraph" w:styleId="989" w:customStyle="1">
    <w:name w:val="正文文本1"/>
    <w:basedOn w:val="721"/>
    <w:next w:val="990"/>
    <w:link w:val="991"/>
    <w:uiPriority w:val="0"/>
    <w:qFormat/>
    <w:rPr>
      <w:rFonts w:ascii="仿宋_GB2312" w:eastAsia="仿宋_GB2312"/>
      <w:sz w:val="24"/>
      <w:szCs w:val="20"/>
    </w:rPr>
  </w:style>
  <w:style w:type="paragraph" w:styleId="990" w:customStyle="1">
    <w:name w:val="正文11"/>
    <w:next w:val="989"/>
    <w:uiPriority w:val="0"/>
    <w:qFormat/>
    <w:pPr>
      <w:jc w:val="both"/>
      <w:widowControl w:val="off"/>
    </w:pPr>
    <w:rPr>
      <w:rFonts w:hint="default" w:ascii="Calibri" w:hAnsi="Calibri" w:eastAsia="宋体" w:cs="Times New Roman"/>
      <w:sz w:val="21"/>
      <w:szCs w:val="21"/>
      <w:lang w:val="en-US" w:eastAsia="zh-CN" w:bidi="ar-SA"/>
    </w:rPr>
  </w:style>
  <w:style w:type="character" w:styleId="991" w:customStyle="1">
    <w:name w:val="正文文本 Char"/>
    <w:link w:val="989"/>
    <w:uiPriority w:val="0"/>
    <w:qFormat/>
    <w:rPr>
      <w:rFonts w:ascii="仿宋_GB2312" w:hAnsi="Times New Roman" w:eastAsia="仿宋_GB2312" w:cs="Times New Roman"/>
      <w:sz w:val="24"/>
      <w:szCs w:val="20"/>
    </w:rPr>
  </w:style>
  <w:style w:type="paragraph" w:styleId="992" w:customStyle="1">
    <w:name w:val="正文文本缩进1"/>
    <w:basedOn w:val="721"/>
    <w:link w:val="993"/>
    <w:uiPriority w:val="0"/>
    <w:qFormat/>
    <w:pPr>
      <w:ind w:left="765"/>
    </w:pPr>
    <w:rPr>
      <w:rFonts w:ascii="仿宋_GB2312" w:eastAsia="仿宋_GB2312"/>
      <w:sz w:val="28"/>
      <w:szCs w:val="20"/>
    </w:rPr>
  </w:style>
  <w:style w:type="character" w:styleId="993" w:customStyle="1">
    <w:name w:val="正文文本缩进 Char"/>
    <w:link w:val="992"/>
    <w:uiPriority w:val="0"/>
    <w:qFormat/>
    <w:rPr>
      <w:rFonts w:ascii="仿宋_GB2312" w:hAnsi="Times New Roman" w:eastAsia="仿宋_GB2312" w:cs="Times New Roman"/>
      <w:sz w:val="28"/>
      <w:szCs w:val="20"/>
    </w:rPr>
  </w:style>
  <w:style w:type="paragraph" w:styleId="994" w:customStyle="1">
    <w:name w:val="纯文本1"/>
    <w:basedOn w:val="721"/>
    <w:link w:val="995"/>
    <w:uiPriority w:val="0"/>
    <w:qFormat/>
    <w:rPr>
      <w:rFonts w:ascii="宋体" w:hAnsi="Courier New"/>
      <w:sz w:val="20"/>
      <w:szCs w:val="21"/>
    </w:rPr>
  </w:style>
  <w:style w:type="character" w:styleId="995" w:customStyle="1">
    <w:name w:val="纯文本 Char"/>
    <w:link w:val="994"/>
    <w:uiPriority w:val="0"/>
    <w:qFormat/>
    <w:rPr>
      <w:rFonts w:ascii="宋体" w:hAnsi="Courier New" w:eastAsia="宋体" w:cs="Courier New"/>
      <w:szCs w:val="21"/>
    </w:rPr>
  </w:style>
  <w:style w:type="paragraph" w:styleId="996" w:customStyle="1">
    <w:name w:val="日期1"/>
    <w:basedOn w:val="721"/>
    <w:next w:val="721"/>
    <w:link w:val="997"/>
    <w:uiPriority w:val="0"/>
    <w:qFormat/>
    <w:rPr>
      <w:sz w:val="24"/>
      <w:szCs w:val="20"/>
    </w:rPr>
  </w:style>
  <w:style w:type="character" w:styleId="997" w:customStyle="1">
    <w:name w:val="日期 Char"/>
    <w:link w:val="996"/>
    <w:uiPriority w:val="0"/>
    <w:qFormat/>
    <w:rPr>
      <w:rFonts w:ascii="Times New Roman" w:hAnsi="Times New Roman" w:eastAsia="宋体" w:cs="Times New Roman"/>
      <w:sz w:val="24"/>
      <w:szCs w:val="20"/>
    </w:rPr>
  </w:style>
  <w:style w:type="paragraph" w:styleId="998" w:customStyle="1">
    <w:name w:val="正文文本缩进 21"/>
    <w:basedOn w:val="721"/>
    <w:link w:val="999"/>
    <w:uiPriority w:val="0"/>
    <w:qFormat/>
    <w:pPr>
      <w:ind w:firstLine="560"/>
      <w:spacing w:line="500" w:lineRule="exact"/>
    </w:pPr>
    <w:rPr>
      <w:rFonts w:eastAsia="仿宋_GB2312"/>
      <w:sz w:val="28"/>
      <w:szCs w:val="20"/>
    </w:rPr>
  </w:style>
  <w:style w:type="character" w:styleId="999" w:customStyle="1">
    <w:name w:val="正文文本缩进 2 Char"/>
    <w:link w:val="998"/>
    <w:uiPriority w:val="0"/>
    <w:qFormat/>
    <w:rPr>
      <w:rFonts w:ascii="Times New Roman" w:hAnsi="Times New Roman" w:eastAsia="仿宋_GB2312" w:cs="Times New Roman"/>
      <w:sz w:val="28"/>
      <w:szCs w:val="20"/>
    </w:rPr>
  </w:style>
  <w:style w:type="paragraph" w:styleId="1000" w:customStyle="1">
    <w:name w:val="批注框文本1"/>
    <w:basedOn w:val="721"/>
    <w:link w:val="1001"/>
    <w:uiPriority w:val="0"/>
    <w:semiHidden/>
    <w:qFormat/>
    <w:rPr>
      <w:sz w:val="18"/>
      <w:szCs w:val="18"/>
    </w:rPr>
  </w:style>
  <w:style w:type="character" w:styleId="1001" w:customStyle="1">
    <w:name w:val="批注框文本 Char"/>
    <w:link w:val="1000"/>
    <w:uiPriority w:val="0"/>
    <w:semiHidden/>
    <w:qFormat/>
    <w:rPr>
      <w:sz w:val="18"/>
      <w:szCs w:val="18"/>
    </w:rPr>
  </w:style>
  <w:style w:type="paragraph" w:styleId="1002" w:customStyle="1">
    <w:name w:val="页脚1"/>
    <w:basedOn w:val="721"/>
    <w:link w:val="1003"/>
    <w:uiPriority w:val="99"/>
    <w:qFormat/>
    <w:pPr>
      <w:jc w:val="left"/>
      <w:tabs>
        <w:tab w:val="center" w:pos="4153" w:leader="none"/>
        <w:tab w:val="right" w:pos="8306" w:leader="none"/>
      </w:tabs>
    </w:pPr>
    <w:rPr>
      <w:sz w:val="18"/>
      <w:szCs w:val="20"/>
    </w:rPr>
  </w:style>
  <w:style w:type="character" w:styleId="1003" w:customStyle="1">
    <w:name w:val="页脚 Char"/>
    <w:link w:val="1002"/>
    <w:uiPriority w:val="99"/>
    <w:qFormat/>
    <w:rPr>
      <w:rFonts w:ascii="Times New Roman" w:hAnsi="Times New Roman" w:eastAsia="宋体" w:cs="Times New Roman"/>
      <w:sz w:val="18"/>
      <w:szCs w:val="20"/>
    </w:rPr>
  </w:style>
  <w:style w:type="paragraph" w:styleId="1004" w:customStyle="1">
    <w:name w:val="页眉1"/>
    <w:basedOn w:val="721"/>
    <w:link w:val="1005"/>
    <w:uiPriority w:val="0"/>
    <w:qFormat/>
    <w:pPr>
      <w:jc w:val="center"/>
      <w:tabs>
        <w:tab w:val="center" w:pos="4153" w:leader="none"/>
        <w:tab w:val="right" w:pos="8306" w:leader="none"/>
      </w:tabs>
      <w:pBdr>
        <w:bottom w:val="single" w:color="000000" w:sz="6" w:space="1"/>
      </w:pBdr>
    </w:pPr>
    <w:rPr>
      <w:sz w:val="18"/>
      <w:szCs w:val="18"/>
    </w:rPr>
  </w:style>
  <w:style w:type="character" w:styleId="1005" w:customStyle="1">
    <w:name w:val="页眉 Char"/>
    <w:link w:val="1004"/>
    <w:uiPriority w:val="0"/>
    <w:qFormat/>
    <w:rPr>
      <w:rFonts w:ascii="Times New Roman" w:hAnsi="Times New Roman" w:eastAsia="宋体" w:cs="Times New Roman"/>
      <w:sz w:val="18"/>
      <w:szCs w:val="18"/>
    </w:rPr>
  </w:style>
  <w:style w:type="paragraph" w:styleId="1006" w:customStyle="1">
    <w:name w:val="目录 11"/>
    <w:basedOn w:val="721"/>
    <w:next w:val="721"/>
    <w:uiPriority w:val="0"/>
    <w:semiHidden/>
    <w:qFormat/>
    <w:rPr>
      <w:sz w:val="24"/>
    </w:rPr>
  </w:style>
  <w:style w:type="paragraph" w:styleId="1007" w:customStyle="1">
    <w:name w:val="列表1"/>
    <w:basedOn w:val="721"/>
    <w:uiPriority w:val="0"/>
    <w:qFormat/>
    <w:pPr>
      <w:ind w:left="200" w:hanging="200"/>
    </w:pPr>
  </w:style>
  <w:style w:type="paragraph" w:styleId="1008" w:customStyle="1">
    <w:name w:val="脚注文本1"/>
    <w:basedOn w:val="721"/>
    <w:uiPriority w:val="99"/>
    <w:unhideWhenUsed/>
    <w:qFormat/>
    <w:pPr>
      <w:jc w:val="left"/>
    </w:pPr>
    <w:rPr>
      <w:sz w:val="18"/>
      <w:szCs w:val="18"/>
    </w:rPr>
  </w:style>
  <w:style w:type="paragraph" w:styleId="1009" w:customStyle="1">
    <w:name w:val="正文文本缩进 31"/>
    <w:basedOn w:val="721"/>
    <w:link w:val="1010"/>
    <w:uiPriority w:val="0"/>
    <w:qFormat/>
    <w:pPr>
      <w:ind w:left="420"/>
      <w:spacing w:after="120"/>
    </w:pPr>
    <w:rPr>
      <w:sz w:val="16"/>
      <w:szCs w:val="16"/>
    </w:rPr>
  </w:style>
  <w:style w:type="character" w:styleId="1010" w:customStyle="1">
    <w:name w:val="正文文本缩进 3 Char"/>
    <w:link w:val="1009"/>
    <w:uiPriority w:val="0"/>
    <w:qFormat/>
    <w:rPr>
      <w:rFonts w:ascii="Times New Roman" w:hAnsi="Times New Roman" w:eastAsia="宋体" w:cs="Times New Roman"/>
      <w:sz w:val="16"/>
      <w:szCs w:val="16"/>
    </w:rPr>
  </w:style>
  <w:style w:type="paragraph" w:styleId="1011" w:customStyle="1">
    <w:name w:val="正文文本 21"/>
    <w:basedOn w:val="721"/>
    <w:link w:val="1012"/>
    <w:uiPriority w:val="0"/>
    <w:qFormat/>
    <w:rPr>
      <w:b/>
      <w:bCs/>
      <w:sz w:val="18"/>
    </w:rPr>
  </w:style>
  <w:style w:type="character" w:styleId="1012" w:customStyle="1">
    <w:name w:val="正文文本 2 Char"/>
    <w:link w:val="1011"/>
    <w:uiPriority w:val="0"/>
    <w:qFormat/>
    <w:rPr>
      <w:rFonts w:ascii="Times New Roman" w:hAnsi="Times New Roman" w:eastAsia="宋体" w:cs="Times New Roman"/>
      <w:b/>
      <w:bCs/>
      <w:sz w:val="18"/>
      <w:szCs w:val="24"/>
    </w:rPr>
  </w:style>
  <w:style w:type="paragraph" w:styleId="1013" w:customStyle="1">
    <w:name w:val="普通(网站)1"/>
    <w:basedOn w:val="721"/>
    <w:uiPriority w:val="0"/>
    <w:qFormat/>
    <w:pPr>
      <w:jc w:val="left"/>
      <w:spacing w:before="100" w:beforeAutospacing="1" w:after="100" w:afterAutospacing="1"/>
      <w:widowControl/>
    </w:pPr>
    <w:rPr>
      <w:rFonts w:ascii="宋体" w:hAnsi="宋体"/>
      <w:color w:val="000000"/>
      <w:sz w:val="24"/>
    </w:rPr>
  </w:style>
  <w:style w:type="paragraph" w:styleId="1014" w:customStyle="1">
    <w:name w:val="正文首行缩进 21"/>
    <w:basedOn w:val="992"/>
    <w:uiPriority w:val="0"/>
    <w:qFormat/>
    <w:pPr>
      <w:ind w:left="420" w:firstLine="420"/>
      <w:spacing w:after="120"/>
    </w:pPr>
    <w:rPr>
      <w:sz w:val="21"/>
    </w:rPr>
  </w:style>
  <w:style w:type="table" w:styleId="1015" w:customStyle="1">
    <w:name w:val="网格型11"/>
    <w:basedOn w:val="984"/>
    <w:uiPriority w:val="59"/>
    <w:qFormat/>
    <w:tblPr/>
  </w:style>
  <w:style w:type="character" w:styleId="1016" w:customStyle="1">
    <w:name w:val="要点1"/>
    <w:basedOn w:val="983"/>
    <w:uiPriority w:val="0"/>
    <w:qFormat/>
    <w:rPr>
      <w:b/>
      <w:bCs/>
    </w:rPr>
  </w:style>
  <w:style w:type="character" w:styleId="1017" w:customStyle="1">
    <w:name w:val="页码1"/>
    <w:basedOn w:val="983"/>
    <w:uiPriority w:val="0"/>
    <w:qFormat/>
  </w:style>
  <w:style w:type="character" w:styleId="1018" w:customStyle="1">
    <w:name w:val="已访问的超链接1"/>
    <w:basedOn w:val="983"/>
    <w:uiPriority w:val="0"/>
    <w:qFormat/>
    <w:rPr>
      <w:color w:val="800080"/>
      <w:u w:val="none"/>
    </w:rPr>
  </w:style>
  <w:style w:type="character" w:styleId="1019" w:customStyle="1">
    <w:name w:val="强调1"/>
    <w:basedOn w:val="983"/>
    <w:uiPriority w:val="20"/>
    <w:qFormat/>
    <w:rPr>
      <w:b/>
      <w:bCs/>
    </w:rPr>
  </w:style>
  <w:style w:type="character" w:styleId="1020" w:customStyle="1">
    <w:name w:val="HTML 定义1"/>
    <w:basedOn w:val="983"/>
    <w:uiPriority w:val="99"/>
    <w:unhideWhenUsed/>
    <w:qFormat/>
  </w:style>
  <w:style w:type="character" w:styleId="1021" w:customStyle="1">
    <w:name w:val="HTML 打字机1"/>
    <w:basedOn w:val="983"/>
    <w:uiPriority w:val="99"/>
    <w:unhideWhenUsed/>
    <w:qFormat/>
    <w:rPr>
      <w:rFonts w:ascii="monospace" w:hAnsi="monospace" w:eastAsia="monospace" w:cs="monospace"/>
      <w:sz w:val="20"/>
    </w:rPr>
  </w:style>
  <w:style w:type="character" w:styleId="1022" w:customStyle="1">
    <w:name w:val="HTML 缩写1"/>
    <w:basedOn w:val="983"/>
    <w:uiPriority w:val="99"/>
    <w:unhideWhenUsed/>
    <w:qFormat/>
  </w:style>
  <w:style w:type="character" w:styleId="1023" w:customStyle="1">
    <w:name w:val="HTML 变量1"/>
    <w:basedOn w:val="983"/>
    <w:uiPriority w:val="99"/>
    <w:unhideWhenUsed/>
    <w:qFormat/>
  </w:style>
  <w:style w:type="character" w:styleId="1024" w:customStyle="1">
    <w:name w:val="超链接1"/>
    <w:basedOn w:val="983"/>
    <w:uiPriority w:val="0"/>
    <w:qFormat/>
    <w:rPr>
      <w:color w:val="0000ff"/>
      <w:u w:val="none"/>
    </w:rPr>
  </w:style>
  <w:style w:type="character" w:styleId="1025" w:customStyle="1">
    <w:name w:val="HTML 代码1"/>
    <w:basedOn w:val="983"/>
    <w:uiPriority w:val="99"/>
    <w:unhideWhenUsed/>
    <w:qFormat/>
    <w:rPr>
      <w:rFonts w:ascii="monospace" w:hAnsi="monospace" w:eastAsia="monospace" w:cs="monospace"/>
      <w:sz w:val="20"/>
    </w:rPr>
  </w:style>
  <w:style w:type="character" w:styleId="1026" w:customStyle="1">
    <w:name w:val="HTML 引文1"/>
    <w:basedOn w:val="983"/>
    <w:uiPriority w:val="99"/>
    <w:unhideWhenUsed/>
    <w:qFormat/>
  </w:style>
  <w:style w:type="character" w:styleId="1027" w:customStyle="1">
    <w:name w:val="HTML 键盘1"/>
    <w:basedOn w:val="983"/>
    <w:uiPriority w:val="99"/>
    <w:unhideWhenUsed/>
    <w:qFormat/>
    <w:rPr>
      <w:rFonts w:ascii="monospace" w:hAnsi="monospace" w:eastAsia="monospace" w:cs="monospace"/>
      <w:sz w:val="20"/>
    </w:rPr>
  </w:style>
  <w:style w:type="character" w:styleId="1028" w:customStyle="1">
    <w:name w:val="HTML 样本1"/>
    <w:basedOn w:val="983"/>
    <w:uiPriority w:val="99"/>
    <w:unhideWhenUsed/>
    <w:qFormat/>
    <w:rPr>
      <w:rFonts w:ascii="monospace" w:hAnsi="monospace" w:eastAsia="monospace" w:cs="monospace"/>
    </w:rPr>
  </w:style>
  <w:style w:type="character" w:styleId="1029" w:customStyle="1">
    <w:name w:val="批注框文本 Char1"/>
    <w:uiPriority w:val="99"/>
    <w:semiHidden/>
    <w:qFormat/>
    <w:rPr>
      <w:rFonts w:ascii="Times New Roman" w:hAnsi="Times New Roman" w:eastAsia="宋体" w:cs="Times New Roman"/>
      <w:sz w:val="18"/>
      <w:szCs w:val="18"/>
    </w:rPr>
  </w:style>
  <w:style w:type="character" w:styleId="1030" w:customStyle="1">
    <w:name w:val="FA正文 Char"/>
    <w:link w:val="1031"/>
    <w:uiPriority w:val="0"/>
    <w:qFormat/>
    <w:rPr>
      <w:rFonts w:ascii="宋体" w:hAnsi="宋体" w:eastAsia="宋体" w:cs="Times New Roman"/>
      <w:sz w:val="28"/>
      <w:szCs w:val="28"/>
    </w:rPr>
  </w:style>
  <w:style w:type="paragraph" w:styleId="1031" w:customStyle="1">
    <w:name w:val="FA正文"/>
    <w:basedOn w:val="721"/>
    <w:link w:val="1030"/>
    <w:uiPriority w:val="0"/>
    <w:qFormat/>
    <w:pPr>
      <w:ind w:firstLine="538"/>
      <w:spacing w:line="440" w:lineRule="atLeast"/>
      <w:tabs>
        <w:tab w:val="left" w:pos="3375" w:leader="none"/>
      </w:tabs>
    </w:pPr>
    <w:rPr>
      <w:rFonts w:ascii="宋体" w:hAnsi="宋体"/>
      <w:sz w:val="28"/>
      <w:szCs w:val="28"/>
    </w:rPr>
  </w:style>
  <w:style w:type="character" w:styleId="1032" w:customStyle="1">
    <w:name w:val="普通正文 Char"/>
    <w:link w:val="1033"/>
    <w:uiPriority w:val="0"/>
    <w:qFormat/>
    <w:rPr>
      <w:rFonts w:ascii="Arial" w:hAnsi="Arial"/>
      <w:sz w:val="24"/>
      <w:szCs w:val="24"/>
    </w:rPr>
  </w:style>
  <w:style w:type="paragraph" w:styleId="1033" w:customStyle="1">
    <w:name w:val="普通正文"/>
    <w:basedOn w:val="721"/>
    <w:link w:val="1032"/>
    <w:uiPriority w:val="0"/>
    <w:qFormat/>
    <w:pPr>
      <w:ind w:left="-2" w:right="120" w:firstLine="480"/>
      <w:jc w:val="center"/>
      <w:spacing w:before="120" w:after="120" w:line="360" w:lineRule="auto"/>
    </w:pPr>
    <w:rPr>
      <w:rFonts w:ascii="Arial" w:hAnsi="Arial"/>
      <w:sz w:val="24"/>
    </w:rPr>
  </w:style>
  <w:style w:type="character" w:styleId="1034" w:customStyle="1">
    <w:name w:val="正文缩进2格 Char"/>
    <w:link w:val="1035"/>
    <w:uiPriority w:val="0"/>
    <w:qFormat/>
    <w:rPr>
      <w:rFonts w:ascii="仿宋_GB2312" w:hAnsi="宋体" w:eastAsia="仿宋_GB2312" w:cs="Times New Roman"/>
      <w:sz w:val="31"/>
      <w:szCs w:val="28"/>
    </w:rPr>
  </w:style>
  <w:style w:type="paragraph" w:styleId="1035" w:customStyle="1">
    <w:name w:val="正文缩进2格"/>
    <w:basedOn w:val="721"/>
    <w:link w:val="1034"/>
    <w:uiPriority w:val="0"/>
    <w:qFormat/>
    <w:pPr>
      <w:ind w:firstLine="639"/>
      <w:spacing w:line="600" w:lineRule="exact"/>
    </w:pPr>
    <w:rPr>
      <w:rFonts w:ascii="仿宋_GB2312" w:hAnsi="宋体" w:eastAsia="仿宋_GB2312"/>
      <w:sz w:val="31"/>
      <w:szCs w:val="28"/>
    </w:rPr>
  </w:style>
  <w:style w:type="character" w:styleId="1036" w:customStyle="1">
    <w:name w:val="标题 4 Char1"/>
    <w:uiPriority w:val="0"/>
    <w:qFormat/>
    <w:rPr>
      <w:rFonts w:ascii="Arial" w:hAnsi="Arial" w:eastAsia="黑体"/>
      <w:b/>
      <w:bCs/>
      <w:sz w:val="28"/>
      <w:szCs w:val="28"/>
      <w:lang w:val="en-US" w:eastAsia="zh-CN" w:bidi="ar-SA"/>
    </w:rPr>
  </w:style>
  <w:style w:type="character" w:styleId="1037" w:customStyle="1">
    <w:name w:val="列出段落 Char"/>
    <w:link w:val="1038"/>
    <w:uiPriority w:val="99"/>
    <w:qFormat/>
  </w:style>
  <w:style w:type="paragraph" w:styleId="1038" w:customStyle="1">
    <w:name w:val="列出段落"/>
    <w:basedOn w:val="721"/>
    <w:link w:val="1037"/>
    <w:uiPriority w:val="99"/>
    <w:qFormat/>
    <w:pPr>
      <w:ind w:firstLine="420"/>
    </w:pPr>
    <w:rPr>
      <w:sz w:val="20"/>
      <w:szCs w:val="20"/>
    </w:rPr>
  </w:style>
  <w:style w:type="character" w:styleId="1039" w:customStyle="1">
    <w:name w:val="ssss Char"/>
    <w:uiPriority w:val="0"/>
    <w:qFormat/>
    <w:rPr>
      <w:rFonts w:eastAsia="宋体"/>
      <w:sz w:val="24"/>
      <w:szCs w:val="24"/>
      <w:lang w:val="en-US" w:eastAsia="zh-CN" w:bidi="ar-SA"/>
    </w:rPr>
  </w:style>
  <w:style w:type="character" w:styleId="1040" w:customStyle="1">
    <w:name w:val="样式 ssss + 宋体 五号1 Char"/>
    <w:link w:val="1041"/>
    <w:uiPriority w:val="0"/>
    <w:qFormat/>
    <w:rPr>
      <w:rFonts w:ascii="宋体" w:hAnsi="宋体" w:eastAsia="宋体" w:cs="Times New Roman"/>
      <w:sz w:val="24"/>
      <w:szCs w:val="24"/>
    </w:rPr>
  </w:style>
  <w:style w:type="paragraph" w:styleId="1041" w:customStyle="1">
    <w:name w:val="样式 ssss + 宋体 五号1"/>
    <w:basedOn w:val="1042"/>
    <w:link w:val="1040"/>
    <w:uiPriority w:val="0"/>
    <w:qFormat/>
    <w:rPr>
      <w:rFonts w:ascii="宋体" w:hAnsi="宋体"/>
    </w:rPr>
  </w:style>
  <w:style w:type="paragraph" w:styleId="1042" w:customStyle="1">
    <w:name w:val="ssss"/>
    <w:basedOn w:val="721"/>
    <w:link w:val="1043"/>
    <w:uiPriority w:val="0"/>
    <w:qFormat/>
    <w:pPr>
      <w:ind w:firstLine="480"/>
      <w:spacing w:line="360" w:lineRule="auto"/>
    </w:pPr>
    <w:rPr>
      <w:sz w:val="24"/>
    </w:rPr>
  </w:style>
  <w:style w:type="character" w:styleId="1043" w:customStyle="1">
    <w:name w:val="ssss Char1"/>
    <w:link w:val="1042"/>
    <w:uiPriority w:val="0"/>
    <w:qFormat/>
    <w:rPr>
      <w:rFonts w:ascii="Times New Roman" w:hAnsi="Times New Roman" w:eastAsia="宋体" w:cs="Times New Roman"/>
      <w:sz w:val="24"/>
      <w:szCs w:val="24"/>
    </w:rPr>
  </w:style>
  <w:style w:type="character" w:styleId="1044" w:customStyle="1">
    <w:name w:val="cn_text1"/>
    <w:uiPriority w:val="0"/>
    <w:qFormat/>
    <w:rPr>
      <w:rFonts w:ascii="ˎ̥" w:hAnsi="ˎ̥"/>
      <w:color w:val="003399"/>
      <w:spacing w:val="15"/>
      <w:sz w:val="18"/>
      <w:szCs w:val="18"/>
    </w:rPr>
  </w:style>
  <w:style w:type="character" w:styleId="1045" w:customStyle="1">
    <w:name w:val="point_normal1"/>
    <w:uiPriority w:val="0"/>
    <w:qFormat/>
    <w:rPr>
      <w:rFonts w:ascii="Arial" w:hAnsi="Arial" w:cs="Arial"/>
      <w:sz w:val="16"/>
      <w:szCs w:val="16"/>
    </w:rPr>
  </w:style>
  <w:style w:type="character" w:styleId="1046" w:customStyle="1">
    <w:name w:val="mini-tree-nodetext3"/>
    <w:basedOn w:val="983"/>
    <w:uiPriority w:val="0"/>
    <w:qFormat/>
  </w:style>
  <w:style w:type="character" w:styleId="1047" w:customStyle="1">
    <w:name w:val="文档结构图 Char1"/>
    <w:uiPriority w:val="99"/>
    <w:semiHidden/>
    <w:qFormat/>
    <w:rPr>
      <w:rFonts w:ascii="宋体" w:hAnsi="Times New Roman" w:eastAsia="宋体" w:cs="Times New Roman"/>
      <w:sz w:val="18"/>
      <w:szCs w:val="18"/>
    </w:rPr>
  </w:style>
  <w:style w:type="character" w:styleId="1048" w:customStyle="1">
    <w:name w:val="列表段落 字符"/>
    <w:uiPriority w:val="34"/>
    <w:qFormat/>
    <w:rPr>
      <w:rFonts w:ascii="Calibri" w:hAnsi="Calibri"/>
      <w:sz w:val="21"/>
      <w:szCs w:val="22"/>
    </w:rPr>
  </w:style>
  <w:style w:type="paragraph" w:styleId="1049" w:customStyle="1">
    <w:name w:val="标题-----3"/>
    <w:basedOn w:val="967"/>
    <w:uiPriority w:val="0"/>
    <w:qFormat/>
    <w:pPr>
      <w:spacing w:before="0" w:after="0" w:line="240" w:lineRule="auto"/>
      <w:outlineLvl w:val="0"/>
    </w:pPr>
    <w:rPr>
      <w:rFonts w:ascii="宋体" w:hAnsi="宋体"/>
      <w:b w:val="0"/>
      <w:bCs w:val="0"/>
      <w:sz w:val="28"/>
      <w:szCs w:val="28"/>
    </w:rPr>
  </w:style>
  <w:style w:type="paragraph" w:styleId="1050" w:customStyle="1">
    <w:name w:val="2cxsplast"/>
    <w:basedOn w:val="721"/>
    <w:uiPriority w:val="0"/>
    <w:qFormat/>
    <w:pPr>
      <w:jc w:val="left"/>
      <w:spacing w:before="100" w:beforeAutospacing="1" w:after="100" w:afterAutospacing="1"/>
      <w:widowControl/>
    </w:pPr>
    <w:rPr>
      <w:rFonts w:ascii="宋体" w:hAnsi="宋体" w:cs="宋体"/>
      <w:sz w:val="24"/>
    </w:rPr>
  </w:style>
  <w:style w:type="paragraph" w:styleId="1051"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52" w:customStyle="1">
    <w:name w:val="Char Char Char Char Char Char Char Char Char Char Char Char Char"/>
    <w:basedOn w:val="721"/>
    <w:uiPriority w:val="0"/>
    <w:qFormat/>
    <w:rPr>
      <w:sz w:val="24"/>
    </w:rPr>
  </w:style>
  <w:style w:type="paragraph" w:styleId="1053" w:customStyle="1">
    <w:name w:val="表格正文"/>
    <w:basedOn w:val="721"/>
    <w:uiPriority w:val="0"/>
    <w:qFormat/>
    <w:pPr>
      <w:jc w:val="left"/>
      <w:spacing w:line="360" w:lineRule="auto"/>
    </w:pPr>
    <w:rPr>
      <w:rFonts w:ascii="Calibri" w:hAnsi="Calibri"/>
      <w:color w:val="000000"/>
      <w:szCs w:val="28"/>
    </w:rPr>
  </w:style>
  <w:style w:type="paragraph" w:styleId="1054" w:customStyle="1">
    <w:name w:val="2"/>
    <w:next w:val="72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5" w:customStyle="1">
    <w:name w:val="style4"/>
    <w:basedOn w:val="721"/>
    <w:next w:val="1054"/>
    <w:uiPriority w:val="0"/>
    <w:qFormat/>
    <w:pPr>
      <w:spacing w:before="280" w:after="280"/>
    </w:pPr>
    <w:rPr>
      <w:rFonts w:ascii="宋体"/>
      <w:sz w:val="18"/>
    </w:rPr>
  </w:style>
  <w:style w:type="paragraph" w:styleId="1056" w:customStyle="1">
    <w:name w:val="Char Char Char Char Char Char Char Char Char Char Char Char Char1"/>
    <w:basedOn w:val="721"/>
    <w:uiPriority w:val="0"/>
    <w:qFormat/>
  </w:style>
  <w:style w:type="paragraph" w:styleId="1057" w:customStyle="1">
    <w:name w:val="样式 正文文本缩进 3 + 四号"/>
    <w:basedOn w:val="1009"/>
    <w:uiPriority w:val="0"/>
    <w:qFormat/>
    <w:pPr>
      <w:ind w:left="0" w:firstLine="437"/>
      <w:spacing w:after="0" w:line="360" w:lineRule="auto"/>
    </w:pPr>
    <w:rPr>
      <w:sz w:val="24"/>
      <w:szCs w:val="21"/>
    </w:rPr>
  </w:style>
  <w:style w:type="paragraph" w:styleId="1058" w:customStyle="1">
    <w:name w:val="Char Char Char Char"/>
    <w:basedOn w:val="721"/>
    <w:uiPriority w:val="0"/>
    <w:qFormat/>
    <w:rPr>
      <w:rFonts w:ascii="Tahoma" w:hAnsi="Tahoma"/>
      <w:sz w:val="24"/>
      <w:szCs w:val="20"/>
    </w:rPr>
  </w:style>
  <w:style w:type="paragraph" w:styleId="1059" w:customStyle="1">
    <w:name w:val="Char Char Char Char1"/>
    <w:basedOn w:val="721"/>
    <w:uiPriority w:val="0"/>
    <w:qFormat/>
    <w:rPr>
      <w:rFonts w:ascii="Tahoma" w:hAnsi="Tahoma"/>
      <w:sz w:val="24"/>
      <w:szCs w:val="20"/>
    </w:rPr>
  </w:style>
  <w:style w:type="paragraph" w:styleId="1060" w:customStyle="1">
    <w:name w:val="样式 ssss + 居中"/>
    <w:basedOn w:val="1042"/>
    <w:uiPriority w:val="0"/>
    <w:qFormat/>
    <w:pPr>
      <w:jc w:val="center"/>
    </w:pPr>
    <w:rPr>
      <w:rFonts w:cs="宋体"/>
      <w:szCs w:val="20"/>
    </w:rPr>
  </w:style>
  <w:style w:type="paragraph" w:styleId="1061" w:customStyle="1">
    <w:name w:val="ec_msonormal"/>
    <w:basedOn w:val="721"/>
    <w:uiPriority w:val="0"/>
    <w:qFormat/>
    <w:pPr>
      <w:jc w:val="left"/>
      <w:spacing w:before="100" w:beforeAutospacing="1" w:after="100" w:afterAutospacing="1"/>
      <w:widowControl/>
    </w:pPr>
    <w:rPr>
      <w:rFonts w:ascii="宋体" w:hAnsi="宋体"/>
      <w:sz w:val="24"/>
    </w:rPr>
  </w:style>
  <w:style w:type="paragraph" w:styleId="1062" w:customStyle="1">
    <w:name w:val="样式 宋体 四号 黑色 左侧:  0.74 厘米 首行缩进:  0.74 厘米 行距: 1.5 倍行距"/>
    <w:basedOn w:val="721"/>
    <w:uiPriority w:val="0"/>
    <w:qFormat/>
    <w:pPr>
      <w:ind w:firstLine="420"/>
      <w:spacing w:line="360" w:lineRule="auto"/>
    </w:pPr>
    <w:rPr>
      <w:rFonts w:ascii="宋体"/>
      <w:color w:val="000000"/>
      <w:sz w:val="24"/>
      <w:szCs w:val="21"/>
    </w:rPr>
  </w:style>
  <w:style w:type="paragraph" w:styleId="1063" w:customStyle="1">
    <w:name w:val="样式 样式 ssss + 宋体 五号 + 首行缩进:  2 字符"/>
    <w:basedOn w:val="1064"/>
    <w:uiPriority w:val="0"/>
    <w:qFormat/>
    <w:pPr>
      <w:ind w:firstLine="480"/>
    </w:pPr>
  </w:style>
  <w:style w:type="paragraph" w:styleId="1064" w:customStyle="1">
    <w:name w:val="样式 ssss + 宋体 五号"/>
    <w:basedOn w:val="1042"/>
    <w:uiPriority w:val="0"/>
    <w:qFormat/>
    <w:pPr>
      <w:ind w:firstLine="420"/>
    </w:pPr>
    <w:rPr>
      <w:rFonts w:ascii="宋体" w:hAnsi="宋体" w:cs="宋体"/>
      <w:szCs w:val="20"/>
    </w:rPr>
  </w:style>
  <w:style w:type="paragraph" w:styleId="106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6" w:customStyle="1">
    <w:name w:val="标题------4"/>
    <w:basedOn w:val="969"/>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67" w:customStyle="1">
    <w:name w:val="msonormalcxspmiddle"/>
    <w:basedOn w:val="721"/>
    <w:uiPriority w:val="0"/>
    <w:qFormat/>
    <w:pPr>
      <w:jc w:val="left"/>
      <w:spacing w:before="100" w:beforeAutospacing="1" w:after="100" w:afterAutospacing="1"/>
      <w:widowControl/>
    </w:pPr>
    <w:rPr>
      <w:rFonts w:ascii="宋体" w:hAnsi="宋体" w:cs="宋体"/>
      <w:sz w:val="24"/>
    </w:rPr>
  </w:style>
  <w:style w:type="paragraph" w:styleId="1068" w:customStyle="1">
    <w:name w:val="表格"/>
    <w:basedOn w:val="721"/>
    <w:uiPriority w:val="0"/>
    <w:qFormat/>
    <w:rPr>
      <w:rFonts w:ascii="Arial" w:hAnsi="Arial"/>
      <w:sz w:val="24"/>
    </w:rPr>
  </w:style>
  <w:style w:type="paragraph" w:styleId="1069" w:customStyle="1">
    <w:name w:val="Header2"/>
    <w:basedOn w:val="721"/>
    <w:uiPriority w:val="0"/>
    <w:qFormat/>
    <w:pPr>
      <w:numPr>
        <w:ilvl w:val="0"/>
        <w:numId w:val="1"/>
      </w:numPr>
    </w:pPr>
  </w:style>
  <w:style w:type="paragraph" w:styleId="1070" w:customStyle="1">
    <w:name w:val="正文样式1"/>
    <w:basedOn w:val="721"/>
    <w:uiPriority w:val="0"/>
    <w:qFormat/>
    <w:pPr>
      <w:ind w:firstLine="480"/>
      <w:spacing w:before="120" w:after="120" w:line="360" w:lineRule="auto"/>
    </w:pPr>
    <w:rPr>
      <w:sz w:val="24"/>
      <w:szCs w:val="20"/>
    </w:rPr>
  </w:style>
  <w:style w:type="paragraph" w:styleId="1071" w:customStyle="1">
    <w:name w:val="Char Char1 Char Char Char Char Char Char"/>
    <w:basedOn w:val="721"/>
    <w:uiPriority w:val="0"/>
    <w:qFormat/>
    <w:pPr>
      <w:jc w:val="left"/>
      <w:spacing w:after="160" w:line="240" w:lineRule="exact"/>
      <w:widowControl/>
    </w:pPr>
    <w:rPr>
      <w:rFonts w:ascii="Verdana" w:hAnsi="Verdana" w:eastAsia="仿宋_GB2312"/>
      <w:sz w:val="24"/>
      <w:szCs w:val="20"/>
      <w:lang w:eastAsia="en-US"/>
    </w:rPr>
  </w:style>
  <w:style w:type="paragraph" w:styleId="1072" w:customStyle="1">
    <w:name w:val="Char Char Char Char Char Char Char Char Char Char"/>
    <w:basedOn w:val="721"/>
    <w:uiPriority w:val="0"/>
    <w:qFormat/>
    <w:rPr>
      <w:rFonts w:ascii="Tahoma" w:hAnsi="Tahoma"/>
      <w:sz w:val="24"/>
      <w:szCs w:val="20"/>
    </w:rPr>
  </w:style>
  <w:style w:type="paragraph" w:styleId="1073" w:customStyle="1">
    <w:name w:val="Char"/>
    <w:basedOn w:val="721"/>
    <w:uiPriority w:val="0"/>
    <w:qFormat/>
    <w:pPr>
      <w:tabs>
        <w:tab w:val="left" w:pos="360" w:leader="none"/>
      </w:tabs>
    </w:pPr>
    <w:rPr>
      <w:sz w:val="24"/>
    </w:rPr>
  </w:style>
  <w:style w:type="paragraph" w:styleId="1074" w:customStyle="1">
    <w:name w:val="Char Char 字元 字元 字元 Char Char Char Char"/>
    <w:basedOn w:val="721"/>
    <w:uiPriority w:val="0"/>
    <w:qFormat/>
    <w:pPr>
      <w:spacing w:line="360" w:lineRule="auto"/>
    </w:pPr>
    <w:rPr>
      <w:sz w:val="24"/>
      <w:szCs w:val="20"/>
    </w:rPr>
  </w:style>
  <w:style w:type="paragraph" w:styleId="1075" w:customStyle="1">
    <w:name w:val="2cxspmiddle"/>
    <w:basedOn w:val="721"/>
    <w:uiPriority w:val="0"/>
    <w:qFormat/>
    <w:pPr>
      <w:jc w:val="left"/>
      <w:spacing w:before="100" w:beforeAutospacing="1" w:after="100" w:afterAutospacing="1"/>
      <w:widowControl/>
    </w:pPr>
    <w:rPr>
      <w:rFonts w:ascii="宋体" w:hAnsi="宋体" w:cs="宋体"/>
      <w:sz w:val="24"/>
    </w:rPr>
  </w:style>
  <w:style w:type="paragraph" w:styleId="107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1"/>
    <w:basedOn w:val="990"/>
    <w:uiPriority w:val="0"/>
    <w:qFormat/>
    <w:rPr>
      <w:rFonts w:ascii="Times New Roman" w:hAnsi="Times New Roman"/>
    </w:rPr>
  </w:style>
  <w:style w:type="paragraph" w:styleId="1078" w:customStyle="1">
    <w:name w:val="列出段落1"/>
    <w:basedOn w:val="721"/>
    <w:uiPriority w:val="99"/>
    <w:qFormat/>
    <w:pPr>
      <w:ind w:firstLine="200"/>
    </w:pPr>
    <w:rPr>
      <w:rFonts w:ascii="Calibri" w:hAnsi="Calibri"/>
      <w:szCs w:val="22"/>
    </w:rPr>
  </w:style>
  <w:style w:type="paragraph" w:styleId="1079" w:customStyle="1">
    <w:name w:val="xl25"/>
    <w:basedOn w:val="721"/>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80" w:customStyle="1">
    <w:name w:val="标题1"/>
    <w:basedOn w:val="721"/>
    <w:next w:val="7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Char1"/>
    <w:basedOn w:val="721"/>
    <w:uiPriority w:val="0"/>
    <w:qFormat/>
    <w:rPr>
      <w:rFonts w:ascii="Tahoma" w:hAnsi="Tahoma"/>
      <w:sz w:val="24"/>
      <w:szCs w:val="20"/>
    </w:rPr>
  </w:style>
  <w:style w:type="paragraph" w:styleId="1082" w:customStyle="1">
    <w:name w:val="Char Char Char"/>
    <w:basedOn w:val="721"/>
    <w:uiPriority w:val="0"/>
    <w:qFormat/>
    <w:rPr>
      <w:rFonts w:ascii="Tahoma" w:hAnsi="Tahoma"/>
      <w:sz w:val="24"/>
      <w:szCs w:val="20"/>
    </w:rPr>
  </w:style>
  <w:style w:type="paragraph" w:styleId="1083" w:customStyle="1">
    <w:name w:val="msonormalcxsplast"/>
    <w:basedOn w:val="721"/>
    <w:uiPriority w:val="0"/>
    <w:qFormat/>
    <w:pPr>
      <w:jc w:val="left"/>
      <w:spacing w:before="100" w:beforeAutospacing="1" w:after="100" w:afterAutospacing="1"/>
      <w:widowControl/>
    </w:pPr>
    <w:rPr>
      <w:rFonts w:ascii="宋体" w:hAnsi="宋体" w:cs="宋体"/>
      <w:sz w:val="24"/>
    </w:rPr>
  </w:style>
  <w:style w:type="paragraph" w:styleId="1084" w:customStyle="1">
    <w:name w:val="Table Text"/>
    <w:basedOn w:val="721"/>
    <w:uiPriority w:val="0"/>
    <w:semiHidden/>
    <w:qFormat/>
    <w:rPr>
      <w:rFonts w:ascii="宋体" w:hAnsi="宋体" w:cs="宋体"/>
      <w:sz w:val="20"/>
      <w:szCs w:val="20"/>
      <w:lang w:eastAsia="en-US"/>
    </w:rPr>
  </w:style>
  <w:style w:type="table" w:styleId="1085" w:customStyle="1">
    <w:name w:val="网格型1"/>
    <w:basedOn w:val="984"/>
    <w:uiPriority w:val="39"/>
    <w:qFormat/>
    <w:rPr>
      <w:rFonts w:ascii="等线" w:hAnsi="等线" w:eastAsia="等线"/>
      <w:sz w:val="21"/>
      <w:szCs w:val="22"/>
    </w:rPr>
    <w:tblPr/>
  </w:style>
  <w:style w:type="table" w:styleId="1086" w:customStyle="1">
    <w:name w:val="Table Normal"/>
    <w:uiPriority w:val="0"/>
    <w:unhideWhenUsed/>
    <w:qFormat/>
    <w:tblPr>
      <w:tblCellMar>
        <w:left w:w="0" w:type="dxa"/>
        <w:top w:w="0" w:type="dxa"/>
        <w:right w:w="0" w:type="dxa"/>
        <w:bottom w:w="0" w:type="dxa"/>
      </w:tblCellMar>
    </w:tblPr>
  </w:style>
  <w:style w:type="paragraph" w:styleId="1087" w:customStyle="1">
    <w:name w:val="样式 宋体 左 行距: 1.5 倍行距"/>
    <w:basedOn w:val="721"/>
    <w:uiPriority w:val="0"/>
    <w:qFormat/>
    <w:pPr>
      <w:jc w:val="left"/>
      <w:spacing w:line="360" w:lineRule="auto"/>
    </w:pPr>
    <w:rPr>
      <w:rFonts w:ascii="宋体" w:hAnsi="宋体" w:cs="宋体"/>
      <w:szCs w:val="20"/>
    </w:rPr>
  </w:style>
  <w:style w:type="paragraph" w:styleId="1088" w:customStyle="1">
    <w:name w:val="toc 1"/>
    <w:basedOn w:val="721"/>
    <w:next w:val="721"/>
    <w:uiPriority w:val="99"/>
    <w:qFormat/>
  </w:style>
  <w:style w:type="paragraph" w:styleId="1089" w:customStyle="1">
    <w:name w:val="普通(网站)11"/>
    <w:basedOn w:val="721"/>
    <w:uiPriority w:val="99"/>
    <w:qFormat/>
    <w:pPr>
      <w:ind w:firstLine="200"/>
      <w:jc w:val="left"/>
      <w:spacing w:before="100" w:beforeAutospacing="1" w:after="100" w:afterAutospacing="1"/>
      <w:widowControl/>
    </w:pPr>
    <w:rPr>
      <w:rFonts w:ascii="宋体" w:hAnsi="宋体" w:cs="宋体"/>
      <w:sz w:val="24"/>
    </w:rPr>
  </w:style>
  <w:style w:type="paragraph" w:styleId="1090" w:customStyle="1">
    <w:name w:val="索引 41"/>
    <w:basedOn w:val="721"/>
    <w:next w:val="721"/>
    <w:uiPriority w:val="0"/>
    <w:qFormat/>
    <w:pPr>
      <w:ind w:left="600"/>
    </w:pPr>
    <w:rPr>
      <w:rFonts w:ascii="Calibri" w:hAnsi="Calibri"/>
      <w:szCs w:val="22"/>
    </w:rPr>
  </w:style>
  <w:style w:type="character" w:styleId="1091" w:customStyle="1">
    <w:name w:val="font11"/>
    <w:basedOn w:val="731"/>
    <w:uiPriority w:val="0"/>
    <w:qFormat/>
    <w:rPr>
      <w:rFonts w:hint="eastAsia" w:ascii="宋体" w:hAnsi="宋体" w:eastAsia="宋体" w:cs="宋体"/>
      <w:color w:val="000000"/>
      <w:sz w:val="20"/>
      <w:szCs w:val="20"/>
      <w:u w:val="none"/>
    </w:rPr>
  </w:style>
  <w:style w:type="character" w:styleId="1092" w:customStyle="1">
    <w:name w:val="font41"/>
    <w:basedOn w:val="731"/>
    <w:uiPriority w:val="0"/>
    <w:qFormat/>
    <w:rPr>
      <w:rFonts w:ascii="Calibri" w:hAnsi="Calibri" w:cs="Calibri"/>
      <w:color w:val="000000"/>
      <w:sz w:val="20"/>
      <w:szCs w:val="20"/>
      <w:u w:val="none"/>
    </w:rPr>
  </w:style>
  <w:style w:type="character" w:styleId="1093" w:customStyle="1">
    <w:name w:val="font31"/>
    <w:basedOn w:val="731"/>
    <w:uiPriority w:val="0"/>
    <w:qFormat/>
    <w:rPr>
      <w:rFonts w:hint="eastAsia" w:ascii="宋体" w:hAnsi="宋体" w:eastAsia="宋体" w:cs="宋体"/>
      <w:b/>
      <w:bCs/>
      <w:color w:val="000000"/>
      <w:sz w:val="20"/>
      <w:szCs w:val="20"/>
      <w:u w:val="none"/>
    </w:rPr>
  </w:style>
  <w:style w:type="character" w:styleId="1094" w:customStyle="1">
    <w:name w:val="font51"/>
    <w:basedOn w:val="731"/>
    <w:uiPriority w:val="0"/>
    <w:qFormat/>
    <w:rPr>
      <w:rFonts w:hint="eastAsia" w:ascii="宋体" w:hAnsi="宋体" w:eastAsia="宋体" w:cs="宋体"/>
      <w:color w:val="ff0000"/>
      <w:sz w:val="20"/>
      <w:szCs w:val="20"/>
      <w:u w:val="none"/>
    </w:rPr>
  </w:style>
  <w:style w:type="paragraph" w:styleId="1095" w:customStyle="1">
    <w:name w:val="批注文字1"/>
    <w:basedOn w:val="721"/>
    <w:uiPriority w:val="0"/>
    <w:semiHidden/>
    <w:qFormat/>
    <w:pPr>
      <w:jc w:val="left"/>
    </w:pPr>
    <w:rPr>
      <w:sz w:val="20"/>
    </w:rPr>
  </w:style>
  <w:style w:type="paragraph" w:styleId="1096" w:customStyle="1">
    <w:name w:val="报告正文"/>
    <w:basedOn w:val="721"/>
    <w:uiPriority w:val="0"/>
    <w:qFormat/>
    <w:pPr>
      <w:ind w:firstLine="560"/>
    </w:pPr>
    <w:rPr>
      <w:szCs w:val="20"/>
      <w:lang w:val="zh-CN"/>
    </w:rPr>
  </w:style>
  <w:style w:type="paragraph" w:styleId="1097" w:customStyle="1">
    <w:name w:val="纯文本11"/>
    <w:uiPriority w:val="0"/>
    <w:qFormat/>
    <w:pPr>
      <w:jc w:val="both"/>
      <w:widowControl w:val="off"/>
    </w:pPr>
    <w:rPr>
      <w:rFonts w:hint="eastAsia" w:ascii="宋体" w:hAnsi="宋体" w:eastAsia="楷体_GB2312" w:cs="Times New Roman"/>
      <w:sz w:val="28"/>
      <w:lang w:val="en-US" w:eastAsia="zh-CN" w:bidi="ar-SA"/>
    </w:rPr>
  </w:style>
  <w:style w:type="paragraph" w:styleId="10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numbering" w:styleId="1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朱建红1</cp:lastModifiedBy>
  <cp:revision>177</cp:revision>
  <dcterms:created xsi:type="dcterms:W3CDTF">2021-09-04T14:48:00Z</dcterms:created>
  <dcterms:modified xsi:type="dcterms:W3CDTF">2026-10-27T08:55:44Z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231660C6E1A84961BFBC4E42354563CF_13</vt:lpwstr>
  </property>
  <property fmtid="{D5CDD505-2E9C-101B-9397-08002B2CF9AE}" pid="4" name="KSOTemplateDocerSaveRecord">
    <vt:lpwstr>eyJoZGlkIjoiZjQwYzQzZGJkM2M1M2NlMDEwMmUwNDZlY2RlZmUzMGMiLCJ1c2VySWQiOiI1NjM1MTgxMjkifQ==</vt:lpwstr>
  </property>
</Properties>
</file>