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920"/>
        <w:jc w:val="center"/>
        <w:spacing w:before="120" w:after="120" w:line="66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竞争性磋商文件</w:t>
      </w:r>
      <w:r>
        <w:rPr>
          <w:rFonts w:hint="eastAsia" w:ascii="方正小标宋_GBK" w:hAnsi="方正小标宋_GBK" w:eastAsia="方正小标宋_GBK" w:cs="方正小标宋_GBK"/>
          <w:sz w:val="32"/>
          <w:szCs w:val="32"/>
        </w:rPr>
      </w:r>
      <w:r/>
    </w:p>
    <w:p>
      <w:pPr>
        <w:pStyle w:val="920"/>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920"/>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项目名称：江苏省计量科学研究院数智一体化平台功能扩展（2026）</w:t>
      </w:r>
      <w:r>
        <w:rPr>
          <w:rFonts w:hint="eastAsia" w:ascii="方正黑体_GBK" w:hAnsi="方正黑体_GBK" w:eastAsia="方正黑体_GBK" w:cs="方正黑体_GBK"/>
          <w:sz w:val="28"/>
          <w:szCs w:val="28"/>
        </w:rPr>
      </w:r>
      <w:r/>
    </w:p>
    <w:p>
      <w:pPr>
        <w:pStyle w:val="920"/>
        <w:ind w:firstLine="840"/>
        <w:jc w:val="left"/>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hint="eastAsia" w:eastAsia="方正黑体_GBK"/>
          <w:sz w:val="28"/>
          <w:szCs w:val="28"/>
        </w:rPr>
        <w:t xml:space="preserve">JSZC-320000-SCZX-C2026-0568</w:t>
      </w:r>
      <w:r>
        <w:rPr>
          <w:rFonts w:eastAsia="方正黑体_GBK"/>
          <w:sz w:val="28"/>
          <w:szCs w:val="28"/>
        </w:rPr>
        <w:t xml:space="preserve">  </w:t>
      </w:r>
      <w:r>
        <w:rPr>
          <w:rFonts w:ascii="Arial" w:hAnsi="Arial"/>
          <w:b/>
          <w:bCs/>
          <w:sz w:val="28"/>
          <w:szCs w:val="28"/>
        </w:rPr>
        <w:t xml:space="preserve">            </w:t>
      </w:r>
      <w:r>
        <w:rPr>
          <w:rFonts w:ascii="Arial" w:hAnsi="Arial"/>
          <w:b/>
          <w:bCs/>
          <w:sz w:val="28"/>
          <w:szCs w:val="28"/>
        </w:rPr>
      </w:r>
      <w:r/>
    </w:p>
    <w:p>
      <w:pPr>
        <w:pStyle w:val="920"/>
        <w:ind w:firstLine="1470"/>
        <w:jc w:val="left"/>
        <w:spacing w:before="120" w:after="120" w:line="360" w:lineRule="auto"/>
        <w:rPr>
          <w:rFonts w:hint="eastAsia"/>
          <w:b/>
          <w:sz w:val="30"/>
          <w:szCs w:val="30"/>
        </w:rPr>
      </w:pPr>
      <w:r>
        <w:rPr>
          <w:rFonts w:hint="eastAsia"/>
          <w:szCs w:val="21"/>
        </w:rPr>
        <w:t xml:space="preserve">        </w:t>
      </w:r>
      <w:r>
        <w:rPr>
          <w:rFonts w:hint="eastAsia"/>
          <w:b/>
          <w:sz w:val="30"/>
          <w:szCs w:val="30"/>
        </w:rPr>
        <w:t xml:space="preserve">     </w:t>
      </w:r>
      <w:r>
        <w:rPr>
          <w:rFonts w:hint="eastAsia"/>
          <w:b/>
          <w:sz w:val="30"/>
          <w:szCs w:val="30"/>
        </w:rPr>
      </w:r>
      <w:r/>
    </w:p>
    <w:p>
      <w:pPr>
        <w:pStyle w:val="920"/>
        <w:jc w:val="left"/>
        <w:spacing w:line="360" w:lineRule="auto"/>
        <w:rPr>
          <w:rFonts w:hint="eastAsia" w:ascii="宋体" w:hAnsi="宋体"/>
          <w:sz w:val="24"/>
          <w:szCs w:val="24"/>
        </w:rPr>
      </w:pPr>
      <w:r>
        <w:rPr>
          <w:rFonts w:hint="eastAsia" w:ascii="宋体" w:hAnsi="宋体"/>
          <w:sz w:val="24"/>
          <w:szCs w:val="24"/>
        </w:rPr>
      </w:r>
      <w:r/>
    </w:p>
    <w:p>
      <w:pPr>
        <w:pStyle w:val="920"/>
        <w:jc w:val="center"/>
        <w:spacing w:before="120" w:after="120" w:line="660" w:lineRule="exact"/>
        <w:rPr>
          <w:rFonts w:hint="eastAsia" w:ascii="宋体" w:hAnsi="宋体"/>
          <w:sz w:val="24"/>
          <w:szCs w:val="24"/>
        </w:rPr>
      </w:pPr>
      <w:r>
        <w:rPr>
          <w:rFonts w:hint="eastAsia" w:ascii="宋体" w:hAnsi="宋体"/>
          <w:sz w:val="24"/>
          <w:szCs w:val="24"/>
        </w:rPr>
      </w:r>
      <w:r/>
    </w:p>
    <w:p>
      <w:pPr>
        <w:pStyle w:val="920"/>
        <w:jc w:val="left"/>
        <w:spacing w:line="360" w:lineRule="auto"/>
        <w:rPr>
          <w:rFonts w:hint="eastAsia" w:ascii="宋体" w:hAnsi="宋体"/>
          <w:sz w:val="24"/>
          <w:szCs w:val="24"/>
        </w:rPr>
      </w:pPr>
      <w:r>
        <w:rPr>
          <w:rFonts w:hint="eastAsia" w:ascii="宋体" w:hAnsi="宋体"/>
          <w:sz w:val="24"/>
          <w:szCs w:val="24"/>
        </w:rPr>
      </w:r>
      <w:r/>
    </w:p>
    <w:p>
      <w:pPr>
        <w:pStyle w:val="920"/>
        <w:jc w:val="left"/>
        <w:spacing w:line="360" w:lineRule="auto"/>
        <w:rPr>
          <w:rFonts w:hint="eastAsia" w:ascii="宋体" w:hAnsi="宋体"/>
          <w:sz w:val="24"/>
          <w:szCs w:val="24"/>
        </w:rPr>
      </w:pPr>
      <w:r>
        <w:rPr>
          <w:rFonts w:hint="eastAsia" w:ascii="宋体" w:hAnsi="宋体"/>
          <w:sz w:val="24"/>
          <w:szCs w:val="24"/>
        </w:rPr>
      </w:r>
      <w:r/>
    </w:p>
    <w:p>
      <w:pPr>
        <w:pStyle w:val="920"/>
        <w:jc w:val="left"/>
        <w:spacing w:line="360" w:lineRule="auto"/>
        <w:rPr>
          <w:rFonts w:hint="eastAsia" w:ascii="宋体" w:hAnsi="宋体"/>
          <w:sz w:val="24"/>
          <w:szCs w:val="24"/>
        </w:rPr>
      </w:pPr>
      <w:r>
        <w:rPr>
          <w:rFonts w:hint="eastAsia" w:ascii="宋体" w:hAnsi="宋体"/>
          <w:sz w:val="24"/>
          <w:szCs w:val="24"/>
        </w:rPr>
      </w:r>
      <w:r/>
    </w:p>
    <w:p>
      <w:pPr>
        <w:pStyle w:val="920"/>
        <w:jc w:val="left"/>
        <w:spacing w:line="360" w:lineRule="auto"/>
        <w:rPr>
          <w:rFonts w:hint="eastAsia" w:ascii="宋体" w:hAnsi="宋体"/>
          <w:sz w:val="24"/>
          <w:szCs w:val="24"/>
        </w:rPr>
      </w:pPr>
      <w:r>
        <w:rPr>
          <w:rFonts w:hint="eastAsia" w:ascii="宋体" w:hAnsi="宋体"/>
          <w:sz w:val="24"/>
          <w:szCs w:val="24"/>
        </w:rPr>
      </w:r>
      <w:r/>
    </w:p>
    <w:p>
      <w:pPr>
        <w:pStyle w:val="920"/>
        <w:jc w:val="left"/>
        <w:spacing w:line="360" w:lineRule="auto"/>
        <w:rPr>
          <w:rFonts w:hint="eastAsia" w:ascii="宋体" w:hAnsi="宋体"/>
          <w:sz w:val="24"/>
          <w:szCs w:val="24"/>
        </w:rPr>
      </w:pPr>
      <w:r>
        <w:rPr>
          <w:rFonts w:hint="eastAsia" w:ascii="宋体" w:hAnsi="宋体"/>
          <w:sz w:val="24"/>
          <w:szCs w:val="24"/>
        </w:rPr>
      </w:r>
      <w:r/>
    </w:p>
    <w:p>
      <w:pPr>
        <w:pStyle w:val="920"/>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rPr>
          <w:rFonts w:hint="eastAsia" w:ascii="方正黑体_GBK" w:hAnsi="方正黑体_GBK" w:eastAsia="方正黑体_GBK" w:cs="方正黑体_GBK"/>
          <w:sz w:val="28"/>
          <w:szCs w:val="28"/>
        </w:rPr>
      </w:r>
      <w:r/>
    </w:p>
    <w:p>
      <w:pPr>
        <w:pStyle w:val="920"/>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2026年10月</w:t>
      </w:r>
      <w:r>
        <w:rPr>
          <w:rFonts w:hint="eastAsia" w:ascii="方正黑体_GBK" w:hAnsi="方正黑体_GBK" w:eastAsia="方正黑体_GBK" w:cs="方正黑体_GBK"/>
          <w:sz w:val="28"/>
          <w:szCs w:val="28"/>
        </w:rPr>
      </w:r>
      <w:r/>
    </w:p>
    <w:p>
      <w:pPr>
        <w:pStyle w:val="92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20"/>
        <w:jc w:val="center"/>
        <w:spacing w:before="120" w:after="120" w:line="360" w:lineRule="auto"/>
        <w:rPr>
          <w:rFonts w:hint="eastAsia" w:ascii="Arial" w:hAnsi="Arial"/>
          <w:sz w:val="24"/>
          <w:szCs w:val="24"/>
        </w:rPr>
      </w:pPr>
      <w:r>
        <w:rPr>
          <w:rFonts w:hint="eastAsia" w:ascii="Arial" w:hAnsi="Arial"/>
          <w:sz w:val="24"/>
          <w:szCs w:val="24"/>
        </w:rPr>
      </w:r>
      <w:r/>
    </w:p>
    <w:p>
      <w:pPr>
        <w:pStyle w:val="920"/>
        <w:jc w:val="center"/>
        <w:spacing w:line="400" w:lineRule="exact"/>
        <w:rPr>
          <w:rFonts w:hint="eastAsia" w:ascii="方正黑体_GBK" w:hAnsi="方正黑体_GBK" w:eastAsia="方正黑体_GBK" w:cs="方正黑体_GBK"/>
          <w:bCs/>
          <w:sz w:val="28"/>
          <w:szCs w:val="28"/>
        </w:rPr>
        <w:outlineLvl w:val="0"/>
      </w:pPr>
      <w:r>
        <w:rPr>
          <w:szCs w:val="21"/>
        </w:rPr>
        <w:br w:type="page" w:clear="all"/>
      </w:r>
      <w:bookmarkStart w:id="0" w:name="_Toc120614210"/>
      <w:r/>
      <w:bookmarkStart w:id="1" w:name="_Toc20823272"/>
      <w:r/>
      <w:bookmarkStart w:id="2" w:name="_Toc513029200"/>
      <w:r/>
      <w:bookmarkStart w:id="3" w:name="_Toc16938516"/>
      <w:r/>
      <w:bookmarkStart w:id="4" w:name="_Toc523127445"/>
      <w:r/>
      <w:bookmarkStart w:id="5" w:name="_Toc479757206"/>
      <w:r>
        <w:rPr>
          <w:rFonts w:hint="eastAsia" w:ascii="方正黑体_GBK" w:hAnsi="方正黑体_GBK" w:eastAsia="方正黑体_GBK" w:cs="方正黑体_GBK"/>
          <w:bCs/>
          <w:sz w:val="28"/>
          <w:szCs w:val="28"/>
        </w:rPr>
        <w:t xml:space="preserve">总  目  录</w:t>
      </w:r>
      <w:r>
        <w:rPr>
          <w:rFonts w:hint="eastAsia" w:ascii="方正黑体_GBK" w:hAnsi="方正黑体_GBK" w:eastAsia="方正黑体_GBK" w:cs="方正黑体_GBK"/>
          <w:bCs/>
          <w:sz w:val="28"/>
          <w:szCs w:val="28"/>
        </w:rPr>
      </w:r>
      <w:r/>
    </w:p>
    <w:p>
      <w:pPr>
        <w:pStyle w:val="920"/>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920"/>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920"/>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w:t>
      </w:r>
      <w:r>
        <w:rPr>
          <w:rFonts w:hint="eastAsia" w:ascii="方正黑体_GBK" w:hAnsi="方正黑体_GBK" w:eastAsia="方正黑体_GBK" w:cs="方正黑体_GBK"/>
          <w:bCs/>
          <w:sz w:val="28"/>
          <w:szCs w:val="28"/>
          <w:lang w:val="en-US" w:eastAsia="zh-CN"/>
        </w:rPr>
        <w:t xml:space="preserve">3</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r>
      <w:r/>
    </w:p>
    <w:p>
      <w:pPr>
        <w:pStyle w:val="920"/>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w:t>
      </w:r>
      <w:r>
        <w:rPr>
          <w:rFonts w:hint="eastAsia" w:ascii="方正黑体_GBK" w:hAnsi="方正黑体_GBK" w:eastAsia="方正黑体_GBK" w:cs="方正黑体_GBK"/>
          <w:bCs/>
          <w:sz w:val="28"/>
          <w:szCs w:val="28"/>
          <w:lang w:val="en-US" w:eastAsia="zh-CN"/>
        </w:rPr>
        <w:t xml:space="preserve">6</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r>
      <w:r/>
    </w:p>
    <w:p>
      <w:pPr>
        <w:pStyle w:val="920"/>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第三章 合同文本……………………………………</w:t>
      </w:r>
      <w:r>
        <w:rPr>
          <w:rFonts w:hint="eastAsia" w:ascii="方正黑体_GBK" w:hAnsi="方正黑体_GBK" w:eastAsia="方正黑体_GBK" w:cs="方正黑体_GBK"/>
          <w:bCs/>
          <w:sz w:val="28"/>
          <w:szCs w:val="28"/>
          <w:lang w:val="en-US" w:eastAsia="zh-CN"/>
        </w:rPr>
        <w:t xml:space="preserve">18</w:t>
      </w:r>
      <w:r>
        <w:rPr>
          <w:rFonts w:ascii="方正黑体_GBK" w:hAnsi="方正黑体_GBK" w:eastAsia="方正黑体_GBK" w:cs="方正黑体_GBK"/>
          <w:bCs/>
          <w:sz w:val="28"/>
          <w:szCs w:val="28"/>
          <w:lang w:val="en-US" w:eastAsia="zh-CN"/>
        </w:rPr>
      </w:r>
      <w:r/>
    </w:p>
    <w:p>
      <w:pPr>
        <w:pStyle w:val="920"/>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第四章 采购需求……………………………………</w:t>
      </w:r>
      <w:r>
        <w:rPr>
          <w:rFonts w:hint="eastAsia" w:ascii="方正黑体_GBK" w:hAnsi="方正黑体_GBK" w:eastAsia="方正黑体_GBK" w:cs="方正黑体_GBK"/>
          <w:bCs/>
          <w:sz w:val="28"/>
          <w:szCs w:val="28"/>
          <w:lang w:val="en-US" w:eastAsia="zh-CN"/>
        </w:rPr>
        <w:t xml:space="preserve">23</w:t>
      </w:r>
      <w:r>
        <w:rPr>
          <w:rFonts w:ascii="方正黑体_GBK" w:hAnsi="方正黑体_GBK" w:eastAsia="方正黑体_GBK" w:cs="方正黑体_GBK"/>
          <w:bCs/>
          <w:sz w:val="28"/>
          <w:szCs w:val="28"/>
          <w:lang w:val="en-US" w:eastAsia="zh-CN"/>
        </w:rPr>
      </w:r>
      <w:r/>
    </w:p>
    <w:p>
      <w:pPr>
        <w:pStyle w:val="920"/>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第五章 评审方法与评审标准………………………</w:t>
      </w:r>
      <w:r>
        <w:rPr>
          <w:rFonts w:hint="eastAsia" w:ascii="方正黑体_GBK" w:hAnsi="方正黑体_GBK" w:eastAsia="方正黑体_GBK" w:cs="方正黑体_GBK"/>
          <w:bCs/>
          <w:sz w:val="28"/>
          <w:szCs w:val="28"/>
          <w:lang w:val="en-US" w:eastAsia="zh-CN"/>
        </w:rPr>
        <w:t xml:space="preserve">39</w:t>
      </w:r>
      <w:r>
        <w:rPr>
          <w:rFonts w:ascii="方正黑体_GBK" w:hAnsi="方正黑体_GBK" w:eastAsia="方正黑体_GBK" w:cs="方正黑体_GBK"/>
          <w:bCs/>
          <w:sz w:val="28"/>
          <w:szCs w:val="28"/>
          <w:lang w:val="en-US" w:eastAsia="zh-CN"/>
        </w:rPr>
      </w:r>
      <w:r/>
    </w:p>
    <w:p>
      <w:pPr>
        <w:pStyle w:val="920"/>
        <w:jc w:val="center"/>
        <w:spacing w:line="400" w:lineRule="exact"/>
        <w:rPr>
          <w:rFonts w:ascii="黑体" w:hAnsi="Showcard Gothic" w:eastAsia="方正黑体_GBK"/>
          <w:sz w:val="36"/>
          <w:szCs w:val="21"/>
          <w:lang w:val="en-US" w:eastAsia="zh-CN"/>
        </w:rPr>
        <w:outlineLvl w:val="0"/>
      </w:pPr>
      <w:r>
        <w:rPr>
          <w:rFonts w:hint="eastAsia" w:ascii="方正黑体_GBK" w:hAnsi="方正黑体_GBK" w:eastAsia="方正黑体_GBK" w:cs="方正黑体_GBK"/>
          <w:bCs/>
          <w:sz w:val="28"/>
          <w:szCs w:val="28"/>
        </w:rPr>
        <w:t xml:space="preserve">第六章 响应文件格式………………………………</w:t>
      </w:r>
      <w:r>
        <w:rPr>
          <w:rFonts w:hint="eastAsia" w:ascii="方正黑体_GBK" w:hAnsi="方正黑体_GBK" w:eastAsia="方正黑体_GBK" w:cs="方正黑体_GBK"/>
          <w:bCs/>
          <w:sz w:val="28"/>
          <w:szCs w:val="28"/>
          <w:lang w:val="en-US" w:eastAsia="zh-CN"/>
        </w:rPr>
        <w:t xml:space="preserve">45</w:t>
      </w:r>
      <w:r>
        <w:rPr>
          <w:rFonts w:ascii="黑体" w:hAnsi="Showcard Gothic" w:eastAsia="方正黑体_GBK"/>
          <w:sz w:val="36"/>
          <w:szCs w:val="21"/>
          <w:lang w:val="en-US" w:eastAsia="zh-CN"/>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rPr>
          <w:rFonts w:hint="eastAsia"/>
        </w:rPr>
      </w:pPr>
      <w:r>
        <w:rPr>
          <w:rFonts w:hint="eastAsia"/>
          <w:szCs w:val="21"/>
        </w:rPr>
      </w:r>
      <w:r>
        <w:rPr>
          <w:rFonts w:hint="eastAsia"/>
          <w:szCs w:val="21"/>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20"/>
        <w:rPr>
          <w:rFonts w:hint="eastAsia"/>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rPr>
          <w:rFonts w:hint="eastAsia"/>
          <w:szCs w:val="21"/>
        </w:rPr>
      </w:pPr>
      <w:r>
        <w:rPr>
          <w:rFonts w:hint="eastAsia"/>
          <w:szCs w:val="21"/>
        </w:rPr>
      </w:r>
      <w:r/>
    </w:p>
    <w:p>
      <w:pPr>
        <w:pStyle w:val="920"/>
        <w:jc w:val="center"/>
        <w:keepNext/>
        <w:spacing w:line="400" w:lineRule="exact"/>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计量科学研究院（江苏省能源计量数据中心）的委托，江苏省政府采购中心就江苏省计量科学研究院数智一体化平台功能扩展（2026）(JSZC-320000-SCZX-C2026-0568)项目进行竞争性磋商采购，欢迎符合条件的供应商参加磋商。</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江苏省计量科学研究院数智一体化平台功能扩展（2026）</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磋商文件，并于2026</w:t>
      </w:r>
      <w:r>
        <w:rPr>
          <w:rFonts w:hint="eastAsia" w:ascii="方正仿宋_GBK" w:hAnsi="方正仿宋_GBK" w:eastAsia="方正仿宋_GBK" w:cs="方正仿宋_GBK"/>
          <w:bCs/>
          <w:sz w:val="28"/>
          <w:szCs w:val="28"/>
        </w:rPr>
        <w:t xml:space="preserve">年</w:t>
      </w:r>
      <w:r>
        <w:rPr>
          <w:rFonts w:hint="eastAsia" w:ascii="方正仿宋_GBK" w:hAnsi="方正仿宋_GBK" w:eastAsia="方正仿宋_GBK" w:cs="方正仿宋_GBK"/>
          <w:bCs/>
          <w:sz w:val="28"/>
          <w:szCs w:val="28"/>
        </w:rPr>
        <w:t xml:space="preserve">11月9</w:t>
      </w:r>
      <w:r>
        <w:rPr>
          <w:rFonts w:hint="eastAsia" w:ascii="方正仿宋_GBK" w:hAnsi="方正仿宋_GBK" w:eastAsia="方正仿宋_GBK" w:cs="方正仿宋_GBK"/>
          <w:bCs/>
          <w:sz w:val="28"/>
          <w:szCs w:val="28"/>
        </w:rPr>
        <w:t xml:space="preserve">日</w:t>
      </w:r>
      <w:r>
        <w:rPr>
          <w:rFonts w:hint="eastAsia" w:ascii="方正仿宋_GBK" w:hAnsi="方正仿宋_GBK" w:eastAsia="方正仿宋_GBK" w:cs="方正仿宋_GBK"/>
          <w:bCs/>
          <w:sz w:val="28"/>
          <w:szCs w:val="28"/>
        </w:rPr>
        <w:t xml:space="preserve">14时</w:t>
      </w:r>
      <w:r>
        <w:rPr>
          <w:rFonts w:hint="eastAsia" w:ascii="方正仿宋_GBK" w:hAnsi="方正仿宋_GBK" w:eastAsia="方正仿宋_GBK" w:cs="方正仿宋_GBK"/>
          <w:bCs/>
          <w:sz w:val="28"/>
          <w:szCs w:val="28"/>
        </w:rPr>
        <w:t xml:space="preserve">00分（北京时间）前递交响应文件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eastAsia="方正黑体_GBK"/>
          <w:sz w:val="28"/>
          <w:szCs w:val="28"/>
        </w:rPr>
        <w:t xml:space="preserve">JSZC-320000-SCZX-C2026-0568</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hint="eastAsia" w:eastAsia="方正黑体_GBK"/>
          <w:sz w:val="28"/>
          <w:szCs w:val="28"/>
        </w:rPr>
        <w:t xml:space="preserve">江苏省计量科学研究院数智一体化平台功能扩展（2026）</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920"/>
              <w:ind w:firstLine="1120"/>
              <w:spacing w:line="400" w:lineRule="exact"/>
              <w:rPr>
                <w:rFonts w:ascii="方正仿宋_GBK" w:hAnsi="方正仿宋_GBK" w:eastAsia="方正仿宋_GBK" w:cs="方正仿宋_GBK"/>
                <w:sz w:val="28"/>
                <w:szCs w:val="28"/>
              </w:rPr>
            </w:pPr>
            <w:r>
              <w:rPr>
                <w:rFonts w:hint="eastAsia" w:eastAsia="方正黑体_GBK"/>
                <w:sz w:val="28"/>
                <w:szCs w:val="28"/>
              </w:rPr>
              <w:t xml:space="preserve">98</w:t>
            </w:r>
            <w:r>
              <w:rPr>
                <w:rFonts w:ascii="方正仿宋_GBK" w:hAnsi="方正仿宋_GBK" w:eastAsia="方正仿宋_GBK" w:cs="方正仿宋_GBK"/>
                <w:sz w:val="28"/>
                <w:szCs w:val="28"/>
              </w:rPr>
            </w:r>
            <w:r/>
          </w:p>
        </w:tc>
      </w:tr>
    </w:tbl>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eastAsia="方正黑体_GBK"/>
                <w:sz w:val="28"/>
                <w:szCs w:val="28"/>
              </w:rPr>
              <w:t xml:space="preserve">9</w:t>
            </w:r>
            <w:r>
              <w:rPr>
                <w:rFonts w:eastAsia="方正黑体_GBK"/>
                <w:sz w:val="28"/>
                <w:szCs w:val="28"/>
              </w:rPr>
              <w:t xml:space="preserve">5.98</w:t>
            </w:r>
            <w:r>
              <w:rPr>
                <w:rFonts w:hint="eastAsia" w:ascii="方正仿宋_GBK" w:hAnsi="方正仿宋_GBK" w:eastAsia="方正仿宋_GBK" w:cs="方正仿宋_GBK"/>
                <w:sz w:val="28"/>
                <w:szCs w:val="28"/>
              </w:rPr>
            </w:r>
            <w:r/>
          </w:p>
        </w:tc>
      </w:tr>
    </w:tbl>
    <w:p>
      <w:pPr>
        <w:pStyle w:val="920"/>
        <w:ind w:firstLine="560"/>
        <w:spacing w:line="400" w:lineRule="exact"/>
        <w:rPr>
          <w:rFonts w:ascii="宋体" w:hAnsi="宋体"/>
          <w:sz w:val="28"/>
          <w:szCs w:val="28"/>
          <w:u w:val="single"/>
        </w:rPr>
      </w:pPr>
      <w:r>
        <w:rPr>
          <w:rFonts w:hint="eastAsia" w:ascii="方正仿宋_GBK" w:hAnsi="方正仿宋_GBK" w:eastAsia="方正仿宋_GBK" w:cs="方正仿宋_GBK"/>
          <w:sz w:val="28"/>
          <w:szCs w:val="28"/>
        </w:rPr>
        <w:t xml:space="preserve">5.采购需求（简介）：本项目在我院现有数智一体化平台基础上开展功能扩展及改造升级，覆盖检定校准、能力验证、型式评价、科研管理、财务收费、人力资源、质量管理等业务域，实现出证工具与本地Office软件的彻底解耦和全院核心业务的线上化闭环管理，进一步打通业务全流程、提升精细化管理与协同办公水平。（详细内容见本磋商文件第四章）</w:t>
      </w:r>
      <w:r>
        <w:rPr>
          <w:rFonts w:ascii="宋体" w:hAnsi="宋体"/>
          <w:sz w:val="28"/>
          <w:szCs w:val="28"/>
          <w:u w:val="single"/>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6.合同履行期限：自合同签订之日起40天内完成所有软件系统的开发、安装部署、测试、试运行、验收等工作。自验收合格之日起提供1年售后质保服务。</w:t>
      </w:r>
      <w:r>
        <w:rPr>
          <w:rFonts w:hint="eastAsia" w:ascii="方正仿宋_GBK" w:hAnsi="方正仿宋_GBK" w:eastAsia="方正仿宋_GBK" w:cs="方正仿宋_GBK"/>
          <w:sz w:val="28"/>
          <w:szCs w:val="28"/>
        </w:rPr>
      </w:r>
      <w:r/>
    </w:p>
    <w:p>
      <w:pPr>
        <w:pStyle w:val="920"/>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12" w:name="_Toc38985264"/>
      <w:r/>
      <w:bookmarkStart w:id="13" w:name="_Toc28359003"/>
      <w:r/>
      <w:bookmarkStart w:id="14" w:name="_Toc35393791"/>
      <w:r/>
      <w:bookmarkStart w:id="15" w:name="_Toc35393622"/>
      <w:r/>
      <w:bookmarkStart w:id="16" w:name="_Toc28359080"/>
      <w:r>
        <w:rPr>
          <w:rFonts w:hint="eastAsia" w:ascii="方正黑体_GBK" w:hAnsi="方正黑体_GBK" w:eastAsia="方正黑体_GBK" w:cs="方正黑体_GBK"/>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28"/>
          <w:szCs w:val="28"/>
        </w:rPr>
      </w:r>
      <w:r/>
    </w:p>
    <w:p>
      <w:pPr>
        <w:pStyle w:val="920"/>
        <w:ind w:firstLine="560"/>
        <w:spacing w:line="400" w:lineRule="exact"/>
        <w:rPr>
          <w:rFonts w:hint="eastAsia" w:ascii="方正楷体_GBK" w:hAnsi="方正楷体_GBK" w:eastAsia="方正楷体_GBK" w:cs="方正楷体_GBK"/>
          <w:sz w:val="28"/>
          <w:szCs w:val="28"/>
        </w:rPr>
      </w:pPr>
      <w:r/>
      <w:bookmarkStart w:id="17" w:name="_Toc38985265"/>
      <w:r/>
      <w:bookmarkStart w:id="18" w:name="_Toc35393792"/>
      <w:r/>
      <w:bookmarkStart w:id="19" w:name="_Toc28359081"/>
      <w:r/>
      <w:bookmarkStart w:id="20" w:name="_Toc28359004"/>
      <w:r/>
      <w:bookmarkStart w:id="21" w:name="_Toc35393623"/>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20"/>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tc>
      </w:tr>
    </w:tbl>
    <w:p>
      <w:pPr>
        <w:pStyle w:val="920"/>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rPr>
          <w:rFonts w:hint="eastAsia" w:ascii="方正黑体_GBK" w:hAnsi="方正黑体_GBK" w:eastAsia="方正黑体_GBK" w:cs="方正黑体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920"/>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ascii="方正黑体_GBK" w:hAnsi="方正黑体_GBK" w:eastAsia="方正黑体_GBK" w:cs="方正黑体_GBK"/>
          <w:sz w:val="28"/>
          <w:szCs w:val="28"/>
        </w:rPr>
        <w:t xml:space="preserve">四、提交</w:t>
      </w:r>
      <w:bookmarkEnd w:id="22"/>
      <w:r/>
      <w:bookmarkEnd w:id="23"/>
      <w:r>
        <w:rPr>
          <w:rFonts w:hint="eastAsia" w:ascii="方正黑体_GBK" w:hAnsi="方正黑体_GBK" w:eastAsia="方正黑体_GBK" w:cs="方正黑体_GBK"/>
          <w:sz w:val="28"/>
          <w:szCs w:val="28"/>
        </w:rPr>
        <w:t xml:space="preserve">响应文件截止时间</w:t>
      </w:r>
      <w:bookmarkEnd w:id="24"/>
      <w:r/>
      <w:bookmarkEnd w:id="25"/>
      <w:r/>
      <w:bookmarkEnd w:id="26"/>
      <w:r>
        <w:rPr>
          <w:rFonts w:hint="eastAsia" w:ascii="方正黑体_GBK" w:hAnsi="方正黑体_GBK" w:eastAsia="方正黑体_GBK" w:cs="方正黑体_GBK"/>
          <w:sz w:val="28"/>
          <w:szCs w:val="28"/>
        </w:rPr>
        <w:t xml:space="preserve">、开启时间及地点</w:t>
      </w:r>
      <w:r>
        <w:rPr>
          <w:rFonts w:hint="eastAsia" w:ascii="方正黑体_GBK" w:hAnsi="方正黑体_GBK" w:eastAsia="方正黑体_GBK" w:cs="方正黑体_GBK"/>
          <w:sz w:val="28"/>
          <w:szCs w:val="28"/>
        </w:rPr>
      </w:r>
      <w:r/>
    </w:p>
    <w:p>
      <w:pPr>
        <w:pStyle w:val="920"/>
        <w:ind w:firstLine="560"/>
        <w:spacing w:line="400" w:lineRule="exact"/>
        <w:rPr>
          <w:rFonts w:ascii="宋体" w:hAnsi="宋体" w:cs="宋体"/>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ascii="方正仿宋_GBK" w:hAnsi="方正仿宋_GBK" w:eastAsia="方正仿宋_GBK" w:cs="方正仿宋_GBK"/>
          <w:bCs/>
          <w:sz w:val="28"/>
          <w:szCs w:val="28"/>
        </w:rPr>
        <w:t xml:space="preserve">11月9</w:t>
      </w:r>
      <w:r>
        <w:rPr>
          <w:rFonts w:hint="eastAsia" w:ascii="方正仿宋_GBK" w:hAnsi="方正仿宋_GBK" w:eastAsia="方正仿宋_GBK" w:cs="方正仿宋_GBK"/>
          <w:bCs/>
          <w:sz w:val="28"/>
          <w:szCs w:val="28"/>
        </w:rPr>
        <w:t xml:space="preserve">日</w:t>
      </w:r>
      <w:r>
        <w:rPr>
          <w:rFonts w:hint="eastAsia" w:ascii="方正仿宋_GBK" w:hAnsi="方正仿宋_GBK" w:eastAsia="方正仿宋_GBK" w:cs="方正仿宋_GBK"/>
          <w:bCs/>
          <w:sz w:val="28"/>
          <w:szCs w:val="28"/>
        </w:rPr>
        <w:t xml:space="preserve">14时</w:t>
      </w:r>
      <w:r>
        <w:rPr>
          <w:rFonts w:hint="eastAsia" w:ascii="方正仿宋_GBK" w:hAnsi="方正仿宋_GBK" w:eastAsia="方正仿宋_GBK" w:cs="方正仿宋_GBK"/>
          <w:bCs/>
          <w:sz w:val="28"/>
          <w:szCs w:val="28"/>
        </w:rPr>
        <w:t xml:space="preserve">00分</w:t>
      </w:r>
      <w:r>
        <w:rPr>
          <w:rFonts w:hint="eastAsia" w:ascii="方正仿宋_GBK" w:hAnsi="方正仿宋_GBK" w:eastAsia="方正仿宋_GBK" w:cs="方正仿宋_GBK"/>
          <w:bCs/>
          <w:sz w:val="28"/>
          <w:szCs w:val="28"/>
        </w:rPr>
        <w:t xml:space="preserve">（北京时间）。</w:t>
      </w:r>
      <w:r>
        <w:rPr>
          <w:rFonts w:ascii="宋体" w:hAnsi="宋体" w:cs="宋体"/>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20"/>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7" w:name="_Toc38985267"/>
      <w:r/>
      <w:bookmarkStart w:id="28" w:name="_Toc35393625"/>
      <w:r/>
      <w:bookmarkStart w:id="29" w:name="_Toc28359007"/>
      <w:r/>
      <w:bookmarkStart w:id="30" w:name="_Toc28359084"/>
      <w:r/>
      <w:bookmarkStart w:id="31" w:name="_Toc35393794"/>
      <w:r>
        <w:rPr>
          <w:rFonts w:hint="eastAsia" w:ascii="方正黑体_GBK" w:hAnsi="方正黑体_GBK" w:eastAsia="方正黑体_GBK" w:cs="方正黑体_GBK"/>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920"/>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2" w:name="_Toc35393626"/>
      <w:r/>
      <w:bookmarkStart w:id="33" w:name="_Toc35393795"/>
      <w:r/>
      <w:bookmarkStart w:id="34" w:name="_Toc38985268"/>
      <w:r>
        <w:rPr>
          <w:rFonts w:hint="eastAsia" w:ascii="方正黑体_GBK" w:hAnsi="方正黑体_GBK" w:eastAsia="方正黑体_GBK" w:cs="方正黑体_GBK"/>
          <w:sz w:val="28"/>
          <w:szCs w:val="28"/>
        </w:rPr>
        <w:t xml:space="preserve">六、其他补充事宜</w:t>
      </w:r>
      <w:bookmarkEnd w:id="32"/>
      <w:r/>
      <w:bookmarkEnd w:id="33"/>
      <w:r/>
      <w:bookmarkEnd w:id="34"/>
      <w:r>
        <w:rPr>
          <w:rFonts w:hint="eastAsia" w:ascii="方正黑体_GBK" w:hAnsi="方正黑体_GBK" w:eastAsia="方正黑体_GBK" w:cs="方正黑体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920"/>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5" w:name="_Toc35393796"/>
      <w:r/>
      <w:bookmarkStart w:id="36" w:name="_Toc28359085"/>
      <w:r/>
      <w:bookmarkStart w:id="37" w:name="_Toc28359008"/>
      <w:r/>
      <w:bookmarkStart w:id="38" w:name="_Toc35393627"/>
      <w:r/>
      <w:bookmarkStart w:id="39" w:name="_Toc38985269"/>
      <w:r>
        <w:rPr>
          <w:rFonts w:hint="eastAsia" w:ascii="方正黑体_GBK" w:hAnsi="方正黑体_GBK" w:eastAsia="方正黑体_GBK" w:cs="方正黑体_GBK"/>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sz w:val="28"/>
          <w:szCs w:val="28"/>
        </w:rPr>
      </w:r>
      <w:r/>
    </w:p>
    <w:p>
      <w:pPr>
        <w:pStyle w:val="920"/>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87"/>
      <w:r/>
      <w:bookmarkStart w:id="41" w:name="_Toc28359010"/>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bookmarkStart w:id="42" w:name="_Toc28359086"/>
      <w:r/>
      <w:bookmarkStart w:id="43" w:name="_Toc28359009"/>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江苏省计量科学研究院（江苏省能源计量数据中心）　　　</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南京市栖霞区仙林大学城文澜路95号</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朱建冰 </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025-86435585 </w:t>
      </w:r>
      <w:r>
        <w:rPr>
          <w:rFonts w:hint="eastAsia" w:ascii="方正仿宋_GBK" w:hAnsi="方正仿宋_GBK" w:eastAsia="方正仿宋_GBK" w:cs="方正仿宋_GBK"/>
          <w:sz w:val="28"/>
          <w:szCs w:val="28"/>
          <w:u w:val="single"/>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color w:val="000000"/>
          <w:sz w:val="28"/>
          <w:szCs w:val="28"/>
        </w:rPr>
      </w:pPr>
      <w:r/>
      <w:bookmarkEnd w:id="40"/>
      <w:r/>
      <w:bookmarkEnd w:id="41"/>
      <w:r>
        <w:rPr>
          <w:rFonts w:hint="eastAsia" w:ascii="方正仿宋_GBK" w:hAnsi="方正仿宋_GBK" w:eastAsia="方正仿宋_GBK" w:cs="方正仿宋_GBK"/>
          <w:color w:val="000000"/>
          <w:sz w:val="28"/>
          <w:szCs w:val="28"/>
        </w:rPr>
        <w:t xml:space="preserve">地　址：南京市建邺区汉中门大街145号</w:t>
      </w:r>
      <w:r>
        <w:rPr>
          <w:rFonts w:hint="eastAsia" w:ascii="方正仿宋_GBK" w:hAnsi="方正仿宋_GBK" w:eastAsia="方正仿宋_GBK" w:cs="方正仿宋_GBK"/>
          <w:color w:val="000000"/>
          <w:sz w:val="28"/>
          <w:szCs w:val="28"/>
        </w:rPr>
      </w:r>
      <w:r/>
    </w:p>
    <w:p>
      <w:pPr>
        <w:pStyle w:val="92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联系人：王烨、张文怡</w:t>
      </w:r>
      <w:r>
        <w:rPr>
          <w:rFonts w:hint="eastAsia" w:ascii="方正仿宋_GBK" w:hAnsi="方正仿宋_GBK" w:eastAsia="方正仿宋_GBK" w:cs="方正仿宋_GBK"/>
          <w:color w:val="000000"/>
          <w:sz w:val="28"/>
          <w:szCs w:val="28"/>
        </w:rPr>
      </w:r>
      <w:r/>
    </w:p>
    <w:p>
      <w:pPr>
        <w:pStyle w:val="92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联系方式：025-83668550、83668505</w:t>
      </w:r>
      <w:r>
        <w:rPr>
          <w:rFonts w:hint="eastAsia" w:ascii="方正仿宋_GBK" w:hAnsi="方正仿宋_GBK" w:eastAsia="方正仿宋_GBK" w:cs="方正仿宋_GBK"/>
          <w:color w:val="000000"/>
          <w:sz w:val="28"/>
          <w:szCs w:val="28"/>
        </w:rPr>
      </w:r>
      <w:r/>
    </w:p>
    <w:p>
      <w:pPr>
        <w:pStyle w:val="920"/>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920"/>
        <w:ind w:right="840"/>
        <w:rPr>
          <w:rFonts w:hint="eastAsia" w:ascii="宋体" w:hAnsi="宋体"/>
          <w:sz w:val="24"/>
          <w:szCs w:val="24"/>
        </w:rPr>
      </w:pPr>
      <w:r>
        <w:rPr>
          <w:rFonts w:hint="eastAsia" w:ascii="宋体" w:hAnsi="宋体"/>
          <w:sz w:val="24"/>
          <w:szCs w:val="24"/>
        </w:rPr>
      </w:r>
      <w:r/>
    </w:p>
    <w:p>
      <w:pPr>
        <w:pStyle w:val="920"/>
        <w:ind w:right="840"/>
        <w:rPr>
          <w:rFonts w:hint="eastAsia" w:ascii="宋体" w:hAnsi="宋体"/>
          <w:sz w:val="24"/>
          <w:szCs w:val="24"/>
        </w:rPr>
      </w:pPr>
      <w:r>
        <w:rPr>
          <w:rFonts w:hint="eastAsia" w:ascii="宋体" w:hAnsi="宋体"/>
          <w:sz w:val="24"/>
          <w:szCs w:val="24"/>
        </w:rPr>
      </w:r>
      <w:r/>
    </w:p>
    <w:p>
      <w:pPr>
        <w:pStyle w:val="920"/>
        <w:jc w:val="center"/>
        <w:keepNext/>
        <w:spacing w:line="400" w:lineRule="exact"/>
        <w:rPr>
          <w:rFonts w:hint="eastAsia" w:ascii="方正黑体_GBK" w:hAnsi="方正黑体_GBK" w:eastAsia="方正黑体_GBK" w:cs="方正黑体_GBK"/>
          <w:sz w:val="28"/>
          <w:szCs w:val="28"/>
        </w:rPr>
        <w:outlineLvl w:val="0"/>
      </w:pPr>
      <w:r/>
      <w:bookmarkEnd w:id="1"/>
      <w:r/>
      <w:bookmarkEnd w:id="2"/>
      <w:r/>
      <w:bookmarkEnd w:id="3"/>
      <w:r/>
      <w:bookmarkEnd w:id="4"/>
      <w:r/>
      <w:bookmarkEnd w:id="5"/>
      <w:r/>
      <w:bookmarkStart w:id="44" w:name="_Toc120614211"/>
      <w:r/>
      <w:bookmarkStart w:id="45" w:name="_Toc120614214"/>
      <w:r/>
      <w:bookmarkStart w:id="46" w:name="_Toc20823275"/>
      <w:r/>
      <w:bookmarkStart w:id="47" w:name="_Toc513029203"/>
      <w:r/>
      <w:bookmarkStart w:id="48" w:name="_Toc16938519"/>
      <w:r>
        <w:rPr>
          <w:rFonts w:hint="eastAsia" w:ascii="方正黑体_GBK" w:hAnsi="方正黑体_GBK" w:eastAsia="方正黑体_GBK" w:cs="方正黑体_GBK"/>
          <w:sz w:val="28"/>
          <w:szCs w:val="28"/>
        </w:rPr>
        <w:t xml:space="preserve">第二章  </w:t>
      </w:r>
      <w:bookmarkEnd w:id="44"/>
      <w:r>
        <w:rPr>
          <w:rFonts w:hint="eastAsia" w:ascii="方正黑体_GBK" w:hAnsi="方正黑体_GBK" w:eastAsia="方正黑体_GBK" w:cs="方正黑体_GBK"/>
          <w:sz w:val="28"/>
          <w:szCs w:val="28"/>
        </w:rPr>
        <w:t xml:space="preserve">供应商须知</w:t>
      </w:r>
      <w:r>
        <w:rPr>
          <w:rFonts w:hint="eastAsia" w:ascii="方正黑体_GBK" w:hAnsi="方正黑体_GBK" w:eastAsia="方正黑体_GBK" w:cs="方正黑体_GBK"/>
          <w:sz w:val="28"/>
          <w:szCs w:val="28"/>
        </w:rPr>
      </w:r>
      <w:r/>
    </w:p>
    <w:p>
      <w:pPr>
        <w:pStyle w:val="920"/>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5"/>
      <w:r/>
      <w:bookmarkEnd w:id="46"/>
      <w:r/>
      <w:bookmarkEnd w:id="47"/>
      <w:r/>
      <w:bookmarkEnd w:id="48"/>
      <w:r/>
      <w:bookmarkStart w:id="49" w:name="_Toc20823281"/>
      <w:r/>
      <w:bookmarkStart w:id="50" w:name="_Toc120614215"/>
      <w:r/>
      <w:bookmarkStart w:id="51" w:name="_Toc16938525"/>
      <w:r/>
      <w:bookmarkStart w:id="52" w:name="_Toc513029209"/>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20823276"/>
      <w:r/>
      <w:bookmarkStart w:id="56" w:name="_Toc513029204"/>
      <w:r/>
      <w:bookmarkStart w:id="57" w:name="_Toc16938520"/>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Start w:id="58" w:name="_Toc16938521"/>
      <w:r/>
      <w:bookmarkStart w:id="59" w:name="_Toc20823277"/>
      <w:r/>
      <w:bookmarkStart w:id="60" w:name="_Toc513029205"/>
      <w:r>
        <w:rPr>
          <w:rFonts w:hint="eastAsia" w:ascii="方正仿宋_GBK" w:hAnsi="方正仿宋_GBK" w:eastAsia="方正仿宋_GBK" w:cs="方正仿宋_GBK"/>
          <w:bCs/>
          <w:sz w:val="28"/>
          <w:szCs w:val="28"/>
        </w:rPr>
        <w:t xml:space="preserve">2.合格的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Start w:id="61" w:name="_Toc16938522"/>
      <w:r/>
      <w:bookmarkStart w:id="62" w:name="_Toc513029206"/>
      <w:r/>
      <w:bookmarkStart w:id="63" w:name="_Toc20823278"/>
      <w:r/>
      <w:bookmarkStart w:id="64" w:name="_Toc16938523"/>
      <w:r/>
      <w:bookmarkStart w:id="65" w:name="_Toc513029207"/>
      <w:r/>
      <w:bookmarkStart w:id="66" w:name="_Toc462564067"/>
      <w:r/>
      <w:bookmarkStart w:id="67" w:name="_Toc20823279"/>
      <w:r>
        <w:rPr>
          <w:rFonts w:hint="eastAsia" w:ascii="方正仿宋_GBK" w:hAnsi="方正仿宋_GBK" w:eastAsia="方正仿宋_GBK" w:cs="方正仿宋_GBK"/>
          <w:bCs/>
          <w:sz w:val="28"/>
          <w:szCs w:val="28"/>
        </w:rPr>
        <w:t xml:space="preserve">3.适用法律</w:t>
      </w:r>
      <w:bookmarkEnd w:id="61"/>
      <w:r/>
      <w:bookmarkEnd w:id="62"/>
      <w:r/>
      <w:bookmarkEnd w:id="63"/>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920"/>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9"/>
      <w:r/>
      <w:bookmarkEnd w:id="50"/>
      <w:r/>
      <w:bookmarkEnd w:id="51"/>
      <w:r/>
      <w:bookmarkEnd w:id="52"/>
      <w:r/>
      <w:bookmarkStart w:id="68" w:name="_Toc16938529"/>
      <w:r/>
      <w:bookmarkStart w:id="69" w:name="_Toc513029213"/>
      <w:r/>
      <w:bookmarkStart w:id="70" w:name="_Toc20823285"/>
      <w:r/>
      <w:bookmarkStart w:id="71" w:name="_Toc120614216"/>
      <w:r/>
      <w:bookmarkStart w:id="72" w:name="_Toc462564072"/>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16938526"/>
      <w:r/>
      <w:bookmarkStart w:id="74" w:name="_Toc20823282"/>
      <w:r/>
      <w:bookmarkStart w:id="75" w:name="_Toc513029210"/>
      <w:r>
        <w:rPr>
          <w:rFonts w:hint="eastAsia" w:ascii="方正仿宋_GBK" w:hAnsi="方正仿宋_GBK" w:eastAsia="方正仿宋_GBK" w:cs="方正仿宋_GBK"/>
          <w:bCs/>
          <w:sz w:val="28"/>
          <w:szCs w:val="28"/>
        </w:rPr>
        <w:t xml:space="preserve">6.磋商文件构成</w:t>
      </w:r>
      <w:bookmarkEnd w:id="73"/>
      <w:r/>
      <w:bookmarkEnd w:id="74"/>
      <w:r/>
      <w:bookmarkEnd w:id="75"/>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Start w:id="76" w:name="_Toc16938528"/>
      <w:r/>
      <w:bookmarkStart w:id="77" w:name="_Toc20823284"/>
      <w:r/>
      <w:bookmarkStart w:id="78" w:name="_Toc513029212"/>
      <w:r/>
      <w:bookmarkStart w:id="79" w:name="_Toc462564071"/>
      <w:r>
        <w:rPr>
          <w:rFonts w:hint="eastAsia" w:ascii="方正仿宋_GBK" w:hAnsi="方正仿宋_GBK" w:eastAsia="方正仿宋_GBK" w:cs="方正仿宋_GBK"/>
          <w:bCs/>
          <w:sz w:val="28"/>
          <w:szCs w:val="28"/>
        </w:rPr>
        <w:t xml:space="preserve">7.磋商文件的澄清和修改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920"/>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462564073"/>
      <w:r/>
      <w:bookmarkStart w:id="83" w:name="_Toc20823286"/>
      <w:r/>
      <w:bookmarkStart w:id="84" w:name="_Toc16938530"/>
      <w:r/>
      <w:bookmarkStart w:id="85" w:name="_Toc513029214"/>
      <w:r/>
      <w:bookmarkStart w:id="86" w:name="_Toc120614217"/>
      <w:r/>
      <w:bookmarkStart w:id="87" w:name="_Toc20823296"/>
      <w:r/>
      <w:bookmarkStart w:id="88" w:name="_Toc513029224"/>
      <w:r/>
      <w:bookmarkStart w:id="89" w:name="_Toc16938540"/>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Start w:id="90" w:name="_Toc513029215"/>
      <w:r/>
      <w:bookmarkStart w:id="91" w:name="_Toc462564074"/>
      <w:r/>
      <w:bookmarkStart w:id="92" w:name="_Toc20823287"/>
      <w:r/>
      <w:bookmarkStart w:id="93" w:name="_Toc16938531"/>
      <w:r>
        <w:rPr>
          <w:rFonts w:hint="eastAsia" w:ascii="方正仿宋_GBK" w:hAnsi="方正仿宋_GBK" w:eastAsia="方正仿宋_GBK" w:cs="方正仿宋_GBK"/>
          <w:bCs/>
          <w:sz w:val="28"/>
          <w:szCs w:val="28"/>
        </w:rPr>
        <w:t xml:space="preserve">9.响应文件构成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Start w:id="94" w:name="_Toc513029219"/>
      <w:r/>
      <w:bookmarkStart w:id="95" w:name="_Toc49090509"/>
      <w:r/>
      <w:bookmarkStart w:id="96" w:name="_Toc14577354"/>
      <w:r/>
      <w:bookmarkStart w:id="97" w:name="_Toc49090507"/>
      <w:r/>
      <w:bookmarkStart w:id="98" w:name="_Toc513029216"/>
      <w:r/>
      <w:bookmarkStart w:id="99" w:name="_Toc14577355"/>
      <w:r/>
      <w:bookmarkStart w:id="100" w:name="_Toc49090508"/>
      <w:r/>
      <w:bookmarkStart w:id="101" w:name="_Hlt26668975"/>
      <w:r/>
      <w:bookmarkEnd w:id="101"/>
      <w:r/>
      <w:bookmarkStart w:id="102" w:name="_Hlt26954838"/>
      <w:r/>
      <w:bookmarkEnd w:id="102"/>
      <w:r/>
      <w:bookmarkStart w:id="103" w:name="_Hlt26670360"/>
      <w:r/>
      <w:bookmarkEnd w:id="103"/>
      <w:r/>
      <w:bookmarkStart w:id="104" w:name="_Toc14577357"/>
      <w:r>
        <w:rPr>
          <w:rFonts w:hint="eastAsia" w:ascii="方正仿宋_GBK" w:hAnsi="方正仿宋_GBK" w:eastAsia="方正仿宋_GBK" w:cs="方正仿宋_GBK"/>
          <w:bCs/>
          <w:sz w:val="28"/>
          <w:szCs w:val="28"/>
        </w:rPr>
        <w:t xml:space="preserve">10.证明磋商响应标的符合磋商文件规定的文件</w:t>
      </w:r>
      <w:bookmarkEnd w:id="94"/>
      <w:r/>
      <w:bookmarkEnd w:id="95"/>
      <w:r/>
      <w:bookmarkEnd w:id="104"/>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5" w:name="_Hlt26954848"/>
      <w:r/>
      <w:bookmarkEnd w:id="105"/>
      <w:r/>
      <w:bookmarkStart w:id="106" w:name="_Hlt26954846"/>
      <w:r/>
      <w:bookmarkEnd w:id="106"/>
      <w:r/>
      <w:bookmarkStart w:id="107" w:name="_Hlt26670482"/>
      <w:r/>
      <w:bookmarkEnd w:id="107"/>
      <w:r/>
      <w:bookmarkStart w:id="108" w:name="_Hlt26954731"/>
      <w:r/>
      <w:bookmarkEnd w:id="108"/>
      <w:r/>
      <w:bookmarkStart w:id="109" w:name="_Hlt26670486"/>
      <w:r/>
      <w:bookmarkEnd w:id="109"/>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0" w:name="_Toc14577359"/>
      <w:r/>
      <w:bookmarkStart w:id="111" w:name="_Toc49090510"/>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14577360"/>
      <w:r/>
      <w:bookmarkStart w:id="113" w:name="_Toc49090511"/>
      <w:r>
        <w:rPr>
          <w:rFonts w:hint="eastAsia" w:ascii="方正仿宋_GBK" w:hAnsi="方正仿宋_GBK" w:eastAsia="方正仿宋_GBK" w:cs="方正仿宋_GBK"/>
          <w:bCs/>
          <w:sz w:val="28"/>
          <w:szCs w:val="28"/>
        </w:rPr>
        <w:t xml:space="preserve">15.磋商有效期</w:t>
      </w:r>
      <w:bookmarkEnd w:id="112"/>
      <w:r/>
      <w:bookmarkEnd w:id="113"/>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920"/>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86"/>
      <w:r/>
      <w:bookmarkEnd w:id="87"/>
      <w:r/>
      <w:bookmarkEnd w:id="88"/>
      <w:r/>
      <w:bookmarkEnd w:id="89"/>
      <w:r/>
      <w:bookmarkStart w:id="114" w:name="_Toc20823301"/>
      <w:r/>
      <w:bookmarkStart w:id="115" w:name="_Toc16938545"/>
      <w:r/>
      <w:bookmarkStart w:id="116" w:name="_Toc513029229"/>
      <w:r/>
      <w:bookmarkStart w:id="117" w:name="_Toc120614218"/>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8" w:name="_Toc16938541"/>
      <w:r/>
      <w:bookmarkStart w:id="119" w:name="_Toc20823297"/>
      <w:r/>
      <w:bookmarkStart w:id="120" w:name="_Toc513029225"/>
      <w:r/>
      <w:bookmarkStart w:id="121" w:name="_Toc462564084"/>
      <w:r>
        <w:rPr>
          <w:rFonts w:hint="eastAsia" w:ascii="方正仿宋_GBK" w:hAnsi="方正仿宋_GBK" w:eastAsia="方正仿宋_GBK" w:cs="方正仿宋_GBK"/>
          <w:bCs/>
          <w:sz w:val="28"/>
          <w:szCs w:val="28"/>
        </w:rPr>
        <w:t xml:space="preserve">17.电子磋商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16938542"/>
      <w:r/>
      <w:bookmarkStart w:id="123" w:name="_Toc20823298"/>
      <w:r/>
      <w:bookmarkStart w:id="124" w:name="_Toc513029226"/>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5" w:name="_Toc16938543"/>
      <w:r/>
      <w:bookmarkStart w:id="126" w:name="_Toc513029227"/>
      <w:r/>
      <w:bookmarkStart w:id="127" w:name="_Toc20823299"/>
      <w:r>
        <w:rPr>
          <w:rFonts w:hint="eastAsia" w:ascii="方正仿宋_GBK" w:hAnsi="方正仿宋_GBK" w:eastAsia="方正仿宋_GBK" w:cs="方正仿宋_GBK"/>
          <w:bCs/>
          <w:sz w:val="28"/>
          <w:szCs w:val="28"/>
        </w:rPr>
        <w:t xml:space="preserve">19.响应文件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8" w:name="_Toc513029228"/>
      <w:r/>
      <w:bookmarkStart w:id="129" w:name="_Toc16938544"/>
      <w:r/>
      <w:bookmarkStart w:id="130" w:name="_Toc20823300"/>
      <w:r>
        <w:rPr>
          <w:rFonts w:hint="eastAsia" w:ascii="方正仿宋_GBK" w:hAnsi="方正仿宋_GBK" w:eastAsia="方正仿宋_GBK" w:cs="方正仿宋_GBK"/>
          <w:bCs/>
          <w:sz w:val="28"/>
          <w:szCs w:val="28"/>
        </w:rPr>
        <w:t xml:space="preserve">20.响应文件的撤回和修改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920"/>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1" w:name="_Toc20823302"/>
      <w:r/>
      <w:bookmarkStart w:id="132" w:name="_Toc513029230"/>
      <w:r/>
      <w:bookmarkStart w:id="133" w:name="_Toc16938546"/>
      <w:r/>
      <w:bookmarkStart w:id="134" w:name="_Toc16938548"/>
      <w:r/>
      <w:bookmarkStart w:id="135" w:name="_Toc513029232"/>
      <w:r/>
      <w:bookmarkStart w:id="136" w:name="_Toc20823304"/>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7" w:name="_Toc20823303"/>
      <w:r/>
      <w:bookmarkStart w:id="138" w:name="_Toc513029231"/>
      <w:r/>
      <w:bookmarkStart w:id="139" w:name="_Toc16938547"/>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16938549"/>
      <w:r/>
      <w:bookmarkStart w:id="141" w:name="_Toc513029233"/>
      <w:r/>
      <w:bookmarkStart w:id="142" w:name="_Toc20823305"/>
      <w:r>
        <w:rPr>
          <w:rFonts w:hint="eastAsia" w:ascii="方正仿宋_GBK" w:hAnsi="方正仿宋_GBK" w:eastAsia="方正仿宋_GBK" w:cs="方正仿宋_GBK"/>
          <w:bCs/>
          <w:sz w:val="28"/>
          <w:szCs w:val="28"/>
        </w:rPr>
        <w:t xml:space="preserve">24.评审过程中的的澄清</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920"/>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25.3.11 如为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sz w:val="28"/>
          <w:szCs w:val="28"/>
        </w:rPr>
      </w:pPr>
      <w:r/>
      <w:bookmarkStart w:id="143" w:name="_Toc20823306"/>
      <w:r/>
      <w:bookmarkStart w:id="144" w:name="_Toc513029234"/>
      <w:r/>
      <w:bookmarkStart w:id="145" w:name="_Toc16938550"/>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920"/>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rPr>
        <w:t xml:space="preserve">.磋商程序及评审方法与评审标准</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920"/>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6" w:name="_Toc120614219"/>
      <w:r/>
      <w:bookmarkStart w:id="147" w:name="_Toc20823307"/>
      <w:r/>
      <w:bookmarkStart w:id="148" w:name="_Toc16938551"/>
      <w:r/>
      <w:bookmarkStart w:id="149" w:name="_Toc513029235"/>
      <w:r>
        <w:rPr>
          <w:rFonts w:hint="eastAsia" w:ascii="方正黑体_GBK" w:hAnsi="方正黑体_GBK" w:eastAsia="方正黑体_GBK" w:cs="方正黑体_GBK"/>
          <w:sz w:val="28"/>
          <w:szCs w:val="28"/>
        </w:rPr>
        <w:t xml:space="preserve">六、</w:t>
      </w:r>
      <w:bookmarkEnd w:id="146"/>
      <w:r/>
      <w:bookmarkEnd w:id="147"/>
      <w:r/>
      <w:bookmarkEnd w:id="148"/>
      <w:r/>
      <w:bookmarkEnd w:id="149"/>
      <w:r>
        <w:rPr>
          <w:rFonts w:hint="eastAsia" w:ascii="方正黑体_GBK" w:hAnsi="方正黑体_GBK" w:eastAsia="方正黑体_GBK" w:cs="方正黑体_GBK"/>
          <w:sz w:val="28"/>
          <w:szCs w:val="28"/>
        </w:rPr>
        <w:t xml:space="preserve">成交</w:t>
      </w:r>
      <w:r>
        <w:rPr>
          <w:rFonts w:hint="eastAsia" w:ascii="方正黑体_GBK" w:hAnsi="方正黑体_GBK" w:eastAsia="方正黑体_GBK" w:cs="方正黑体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50" w:name="_Toc513029238"/>
      <w:r/>
      <w:bookmarkStart w:id="151" w:name="_Toc16938554"/>
      <w:r/>
      <w:bookmarkStart w:id="152" w:name="_Toc20823310"/>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920"/>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920"/>
        <w:ind w:firstLine="560"/>
        <w:keepLines/>
        <w:keepNext/>
        <w:spacing w:line="400" w:lineRule="exact"/>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28.质疑处理</w:t>
      </w:r>
      <w:bookmarkEnd w:id="153"/>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4" w:name="_Toc120614220"/>
      <w:r/>
      <w:bookmarkStart w:id="155" w:name="_Toc513029236"/>
      <w:r/>
      <w:bookmarkStart w:id="156" w:name="_Toc20823308"/>
      <w:r/>
      <w:bookmarkStart w:id="157" w:name="_Toc16938552"/>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920"/>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154"/>
      <w:r/>
      <w:bookmarkEnd w:id="155"/>
      <w:r/>
      <w:bookmarkEnd w:id="156"/>
      <w:r/>
      <w:bookmarkEnd w:id="157"/>
      <w:r/>
      <w:bookmarkStart w:id="158" w:name="_Toc479757207"/>
      <w:r/>
      <w:bookmarkStart w:id="159" w:name="_Toc16938558"/>
      <w:r/>
      <w:bookmarkStart w:id="160" w:name="_Toc120614221"/>
      <w:r/>
      <w:bookmarkStart w:id="161" w:name="_Toc513029242"/>
      <w:r/>
      <w:bookmarkStart w:id="162" w:name="_Toc20823314"/>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3" w:name="_Toc16938553"/>
      <w:r/>
      <w:bookmarkStart w:id="164" w:name="_Toc513029237"/>
      <w:r/>
      <w:bookmarkStart w:id="165" w:name="_Toc20823309"/>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92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951"/>
        <w:jc w:val="center"/>
        <w:spacing w:line="400" w:lineRule="exact"/>
        <w:rPr>
          <w:rFonts w:hint="eastAsia" w:ascii="方正黑体_GBK" w:hAnsi="方正黑体_GBK" w:eastAsia="方正黑体_GBK" w:cs="方正黑体_GBK"/>
          <w:spacing w:val="-20"/>
        </w:rPr>
      </w:pPr>
      <w:r/>
      <w:bookmarkStart w:id="166" w:name="_Toc20823315"/>
      <w:r/>
      <w:bookmarkStart w:id="167" w:name="_Toc513029243"/>
      <w:r/>
      <w:bookmarkStart w:id="168" w:name="_Toc16938559"/>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eastAsia="方正仿宋_GBK"/>
          <w:sz w:val="28"/>
          <w:szCs w:val="28"/>
        </w:rPr>
        <w:t xml:space="preserve">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JSZC-320000-SCZX-C20XX-XXXX  </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rPr>
          <w:rFonts w:hint="eastAsia" w:ascii="方正仿宋_GBK" w:hAnsi="方正仿宋_GBK" w:eastAsia="方正仿宋_GBK" w:cs="方正仿宋_GBK"/>
          <w:b/>
          <w:sz w:val="28"/>
          <w:szCs w:val="28"/>
        </w:rPr>
      </w:r>
      <w:r/>
    </w:p>
    <w:p>
      <w:pPr>
        <w:pStyle w:val="95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5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95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3.1乙方应按磋商文件规定的时间向甲方提供与合同标的有关的技术资料。</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58"/>
        <w:ind w:firstLine="560"/>
        <w:spacing w:before="120" w:after="120" w:line="400" w:lineRule="exact"/>
        <w:rPr>
          <w:rFonts w:hint="eastAsia" w:ascii="方正黑体_GBK" w:hAnsi="方正黑体_GBK" w:eastAsia="方正黑体_GBK" w:cs="方正黑体_GBK"/>
          <w:bCs/>
          <w:sz w:val="28"/>
          <w:szCs w:val="28"/>
          <w:highlight w:val="green"/>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highlight w:val="green"/>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本项目的最终用户为采购人，本项目所产生的知识产权归采购人独享，中标人必须提供项目的所有开发源代码和技术文档。本项目中采购的商业软件（含自主品牌），最终许可用户名为采购人。投标人须承诺所提供的系统（含平台）不依赖于任何第三方商业平台的支持和环境。 </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4.2中标人须承诺且不限于以下保密条款要求： </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标人对本项目所产生的业务资料、技术信息等负有保密责任，未经采购人同意不得提供给任何第三方，包括中标人的分支机构、子公司、委托顾问方或接受咨询方。本项目所产生的知识产权归采购人独享，中标人须提供项目的所有源代码和开发文档给采购人。 </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（2）中标人应妥善保管有关的文件和资料，未经采购人许可，不对其复制、仿造等。 </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（3）中标人应对有关人员进行有效管理，包括制定规章制度，以确保本承诺书的履行。 </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（4）中标人若违反本承诺的约定，应赔偿采购人由此遭受的一切损失。 </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（5）保密期限：中标人需对本项目的业务资料、技术信息等在软件生命周期内一直保密，直至采购人同意或该业务资料、技术信息在同行业中已成为公开信息后方可解除保密义务。</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sz w:val="28"/>
          <w:szCs w:val="28"/>
        </w:rPr>
        <w:t xml:space="preserve">4.3乙方应保证甲方在使用、接受本合同标的或其任何一部分时不受第三方提出侵犯其专利权、版权、商标权和工业设计权等知识产权的起诉。一旦出现侵权，由乙方负全部责任。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bCs/>
          <w:sz w:val="28"/>
          <w:szCs w:val="28"/>
          <w:highlight w:val="yellow"/>
        </w:rPr>
      </w:r>
      <w:r/>
    </w:p>
    <w:p>
      <w:pPr>
        <w:pStyle w:val="95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5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20"/>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eastAsia="方正仿宋_GBK"/>
          <w:sz w:val="28"/>
          <w:szCs w:val="28"/>
        </w:rPr>
        <w:t xml:space="preserve">XXXX</w:t>
      </w:r>
      <w:r>
        <w:rPr>
          <w:rFonts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sz w:val="28"/>
          <w:szCs w:val="28"/>
        </w:rPr>
        <w:t xml:space="preserve">6.2.4履约保证金不予退还的情形：</w:t>
      </w:r>
      <w:r>
        <w:rPr>
          <w:rFonts w:hint="eastAsia" w:eastAsia="方正仿宋_GBK"/>
          <w:sz w:val="28"/>
          <w:szCs w:val="28"/>
        </w:rPr>
        <w:t xml:space="preserve">XXXX</w:t>
      </w:r>
      <w:r>
        <w:rPr>
          <w:rFonts w:hint="eastAsia" w:ascii="方正仿宋_GBK" w:hAnsi="方正仿宋_GBK" w:eastAsia="方正仿宋_GBK" w:cs="方正仿宋_GBK"/>
          <w:bCs/>
          <w:sz w:val="28"/>
          <w:szCs w:val="28"/>
          <w:highlight w:val="yellow"/>
        </w:rPr>
      </w:r>
      <w:r/>
    </w:p>
    <w:p>
      <w:pPr>
        <w:pStyle w:val="95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2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5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合同签订后，采购人在收到发票后15日内，支付合同金额的30%；项目验收合格后，支付合同金额的70%。</w:t>
      </w:r>
      <w:r>
        <w:rPr>
          <w:rFonts w:hint="eastAsia" w:ascii="方正仿宋_GBK" w:hAnsi="方正仿宋_GBK" w:eastAsia="方正仿宋_GBK" w:cs="方正仿宋_GBK"/>
          <w:bCs/>
          <w:sz w:val="28"/>
          <w:szCs w:val="28"/>
        </w:rPr>
      </w:r>
      <w:r/>
    </w:p>
    <w:p>
      <w:pPr>
        <w:pStyle w:val="95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5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95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8"/>
          <w:szCs w:val="28"/>
        </w:rPr>
      </w:r>
      <w:r/>
    </w:p>
    <w:p>
      <w:pPr>
        <w:pStyle w:val="95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5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5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92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92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92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920"/>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920"/>
        <w:ind w:firstLine="560"/>
        <w:jc w:val="right"/>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920"/>
        <w:ind w:firstLine="480"/>
        <w:jc w:val="right"/>
        <w:spacing w:line="500" w:lineRule="exact"/>
        <w:rPr>
          <w:rFonts w:hint="eastAsia"/>
          <w:sz w:val="24"/>
          <w:szCs w:val="24"/>
        </w:rPr>
      </w:pPr>
      <w:r>
        <w:rPr>
          <w:rFonts w:hint="eastAsia"/>
          <w:sz w:val="24"/>
          <w:szCs w:val="24"/>
        </w:rPr>
        <w:t xml:space="preserve"> </w:t>
      </w:r>
      <w:r>
        <w:rPr>
          <w:rFonts w:hint="eastAsia"/>
          <w:sz w:val="24"/>
          <w:szCs w:val="24"/>
        </w:rPr>
      </w:r>
      <w:r/>
    </w:p>
    <w:p>
      <w:pPr>
        <w:pStyle w:val="920"/>
        <w:ind w:firstLine="480"/>
        <w:jc w:val="right"/>
        <w:spacing w:line="500" w:lineRule="exact"/>
        <w:rPr>
          <w:sz w:val="24"/>
          <w:szCs w:val="24"/>
        </w:rPr>
      </w:pPr>
      <w:r>
        <w:rPr>
          <w:sz w:val="24"/>
          <w:szCs w:val="24"/>
        </w:rPr>
      </w:r>
      <w:r/>
    </w:p>
    <w:p>
      <w:pPr>
        <w:pStyle w:val="920"/>
        <w:jc w:val="center"/>
        <w:keepNext/>
        <w:spacing w:line="400" w:lineRule="exact"/>
        <w:rPr>
          <w:rFonts w:ascii="宋体" w:hAnsi="Courier New" w:cs="Courier New"/>
          <w:sz w:val="28"/>
          <w:szCs w:val="28"/>
        </w:rPr>
        <w:outlineLvl w:val="0"/>
      </w:pPr>
      <w:r/>
      <w:bookmarkEnd w:id="166"/>
      <w:r/>
      <w:bookmarkEnd w:id="167"/>
      <w:r/>
      <w:bookmarkEnd w:id="168"/>
      <w:r/>
      <w:bookmarkStart w:id="169" w:name="_Hlt16619369"/>
      <w:r/>
      <w:bookmarkEnd w:id="169"/>
      <w:r/>
      <w:bookmarkStart w:id="170" w:name="_Hlt16619350"/>
      <w:r/>
      <w:bookmarkStart w:id="171" w:name="_Toc120614244"/>
      <w:r/>
      <w:bookmarkStart w:id="172" w:name="_Toc16938590"/>
      <w:r/>
      <w:bookmarkStart w:id="173" w:name="_Toc20823346"/>
      <w:r/>
      <w:bookmarkStart w:id="174" w:name="_Toc479757211"/>
      <w:r/>
      <w:bookmarkStart w:id="175" w:name="_Toc462564139"/>
      <w:r>
        <w:rPr>
          <w:rFonts w:ascii="黑体" w:hAnsi="Courier New" w:eastAsia="黑体" w:cs="Courier New"/>
          <w:bCs/>
          <w:sz w:val="44"/>
          <w:szCs w:val="21"/>
        </w:rPr>
        <w:br w:type="page" w:clear="all"/>
      </w:r>
      <w:bookmarkEnd w:id="170"/>
      <w:r/>
      <w:bookmarkEnd w:id="171"/>
      <w:r/>
      <w:bookmarkEnd w:id="172"/>
      <w:r/>
      <w:bookmarkEnd w:id="173"/>
      <w:r/>
      <w:bookmarkStart w:id="176" w:name="_Toc49090575"/>
      <w:r/>
      <w:bookmarkStart w:id="177" w:name="_Toc26554093"/>
      <w:r>
        <w:rPr>
          <w:rFonts w:hint="eastAsia" w:ascii="方正黑体_GBK" w:hAnsi="方正黑体_GBK" w:eastAsia="方正黑体_GBK" w:cs="方正黑体_GBK"/>
          <w:sz w:val="28"/>
          <w:szCs w:val="28"/>
        </w:rPr>
        <w:t xml:space="preserve">第四章 采购需求</w:t>
      </w:r>
      <w:r>
        <w:rPr>
          <w:rFonts w:ascii="宋体" w:hAnsi="Courier New" w:cs="Courier New"/>
          <w:sz w:val="28"/>
          <w:szCs w:val="28"/>
        </w:rPr>
      </w:r>
      <w:r/>
    </w:p>
    <w:p>
      <w:pPr>
        <w:pStyle w:val="922"/>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007"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lang w:val="en-US" w:eastAsia="zh-CN"/>
              </w:rPr>
            </w:pPr>
            <w:r>
              <w:rPr>
                <w:rFonts w:hint="eastAsia" w:eastAsia="方正仿宋_GBK"/>
                <w:sz w:val="28"/>
                <w:szCs w:val="28"/>
                <w:lang w:val="en-US" w:eastAsia="zh-CN"/>
              </w:rPr>
              <w:t xml:space="preserve">1</w:t>
            </w:r>
            <w:r>
              <w:rPr>
                <w:rFonts w:hint="eastAsia" w:ascii="方正仿宋_GBK" w:hAnsi="方正仿宋_GBK" w:eastAsia="方正仿宋_GBK" w:cs="方正仿宋_GBK"/>
                <w:sz w:val="28"/>
                <w:szCs w:val="28"/>
                <w:lang w:val="en-US" w:eastAsia="zh-CN"/>
              </w:rPr>
            </w:r>
            <w:r/>
          </w:p>
        </w:tc>
        <w:tc>
          <w:tcPr>
            <w:tcW w:w="1007"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920"/>
              <w:jc w:val="left"/>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数智一体化平台功能扩展（2026）</w:t>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9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r>
            <w:r/>
          </w:p>
        </w:tc>
      </w:tr>
    </w:tbl>
    <w:p>
      <w:pPr>
        <w:pStyle w:val="920"/>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本项目不包含货物采购。</w:t>
      </w:r>
      <w:r>
        <w:rPr>
          <w:rFonts w:hint="eastAsia" w:ascii="方正黑体_GBK" w:hAnsi="方正黑体_GBK" w:eastAsia="方正黑体_GBK" w:cs="方正黑体_GBK"/>
          <w:bCs/>
          <w:sz w:val="28"/>
          <w:szCs w:val="28"/>
        </w:rPr>
      </w:r>
      <w:r/>
    </w:p>
    <w:p>
      <w:pPr>
        <w:pStyle w:val="922"/>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二、政府采购中实施本国产品标准及相关政策</w:t>
      </w:r>
      <w:r>
        <w:rPr>
          <w:rFonts w:hint="eastAsia" w:ascii="方正黑体_GBK" w:hAnsi="方正黑体_GBK" w:eastAsia="方正黑体_GBK" w:cs="方正黑体_GBK"/>
          <w:b w:val="0"/>
          <w:bCs w:val="0"/>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92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922"/>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三、技术要求</w:t>
      </w:r>
      <w:r>
        <w:rPr>
          <w:rFonts w:hint="eastAsia" w:ascii="方正黑体_GBK" w:hAnsi="方正黑体_GBK" w:eastAsia="方正黑体_GBK" w:cs="方正黑体_GBK"/>
          <w:b w:val="0"/>
          <w:bCs w:val="0"/>
          <w:sz w:val="28"/>
          <w:szCs w:val="28"/>
        </w:rPr>
      </w:r>
      <w:r/>
    </w:p>
    <w:p>
      <w:pPr>
        <w:pStyle w:val="920"/>
        <w:numPr>
          <w:ilvl w:val="0"/>
          <w:numId w:val="4"/>
        </w:numPr>
        <w:spacing w:before="260" w:after="260" w:line="560" w:lineRule="exact"/>
        <w:rPr>
          <w:rFonts w:hint="eastAsia" w:ascii="方正仿宋_GBK" w:hAnsi="方正仿宋_GBK" w:eastAsia="方正仿宋_GBK" w:cs="方正仿宋_GBK"/>
          <w:b/>
          <w:color w:val="000000"/>
          <w:sz w:val="28"/>
          <w:szCs w:val="28"/>
        </w:rPr>
        <w:outlineLvl w:val="2"/>
      </w:pPr>
      <w:r>
        <w:rPr>
          <w:rFonts w:hint="eastAsia" w:ascii="方正仿宋_GBK" w:hAnsi="方正仿宋_GBK" w:eastAsia="方正仿宋_GBK" w:cs="方正仿宋_GBK"/>
          <w:b/>
          <w:color w:val="000000"/>
          <w:sz w:val="28"/>
          <w:szCs w:val="28"/>
        </w:rPr>
        <w:t xml:space="preserve">需求分析方案要求</w:t>
      </w:r>
      <w:r>
        <w:rPr>
          <w:rFonts w:hint="eastAsia" w:ascii="方正仿宋_GBK" w:hAnsi="方正仿宋_GBK" w:eastAsia="方正仿宋_GBK" w:cs="方正仿宋_GBK"/>
          <w:b/>
          <w:color w:val="000000"/>
          <w:sz w:val="28"/>
          <w:szCs w:val="28"/>
        </w:rPr>
      </w:r>
      <w:r/>
    </w:p>
    <w:p>
      <w:pPr>
        <w:pStyle w:val="920"/>
        <w:ind w:firstLine="480"/>
        <w:spacing w:line="360" w:lineRule="auto"/>
        <w:tabs>
          <w:tab w:val="left" w:pos="420" w:leader="none"/>
        </w:tabs>
        <w:rPr>
          <w:rFonts w:hint="eastAsia" w:ascii="宋体" w:hAnsi="宋体"/>
          <w:sz w:val="24"/>
        </w:rPr>
      </w:pPr>
      <w:r>
        <w:rPr>
          <w:rFonts w:hint="eastAsia" w:ascii="宋体" w:hAnsi="宋体"/>
          <w:sz w:val="24"/>
        </w:rPr>
        <w:t xml:space="preserve">供应商应充分理解项目建设背景，制作项目需求分析方案，对项目建设背景及项目建设必要性有深入的了解，对本项目需求、现状及存在的问题进行深入地分析，</w:t>
      </w:r>
      <w:r>
        <w:rPr>
          <w:rFonts w:hint="eastAsia"/>
          <w:sz w:val="24"/>
        </w:rPr>
        <w:t xml:space="preserve">具体要求如下：</w:t>
      </w:r>
      <w:r>
        <w:rPr>
          <w:rFonts w:hint="eastAsia" w:ascii="宋体" w:hAnsi="宋体"/>
          <w:sz w:val="24"/>
        </w:rPr>
      </w:r>
      <w:r/>
    </w:p>
    <w:p>
      <w:pPr>
        <w:pStyle w:val="920"/>
        <w:numPr>
          <w:ilvl w:val="0"/>
          <w:numId w:val="5"/>
        </w:numPr>
        <w:ind w:left="709" w:hanging="709"/>
        <w:spacing w:before="260" w:after="260" w:line="560" w:lineRule="exact"/>
        <w:rPr>
          <w:rFonts w:hint="eastAsia" w:ascii="方正仿宋_GBK" w:hAnsi="方正仿宋_GBK" w:eastAsia="方正仿宋_GBK" w:cs="方正仿宋_GBK"/>
          <w:b/>
          <w:color w:val="000000"/>
          <w:sz w:val="24"/>
          <w:szCs w:val="24"/>
        </w:rPr>
        <w:outlineLvl w:val="4"/>
      </w:pPr>
      <w:r>
        <w:rPr>
          <w:rFonts w:hint="eastAsia" w:ascii="方正仿宋_GBK" w:hAnsi="方正仿宋_GBK" w:eastAsia="方正仿宋_GBK" w:cs="方正仿宋_GBK"/>
          <w:b/>
          <w:color w:val="000000"/>
          <w:sz w:val="24"/>
          <w:szCs w:val="24"/>
        </w:rPr>
        <w:t xml:space="preserve">项目建设背景</w:t>
      </w:r>
      <w:r>
        <w:rPr>
          <w:rFonts w:hint="eastAsia" w:ascii="方正仿宋_GBK" w:hAnsi="方正仿宋_GBK" w:eastAsia="方正仿宋_GBK" w:cs="方正仿宋_GBK"/>
          <w:b/>
          <w:color w:val="000000"/>
          <w:sz w:val="24"/>
          <w:szCs w:val="24"/>
        </w:rPr>
      </w:r>
      <w:r/>
    </w:p>
    <w:p>
      <w:pPr>
        <w:pStyle w:val="920"/>
        <w:ind w:firstLine="480"/>
        <w:spacing w:line="360" w:lineRule="auto"/>
        <w:rPr>
          <w:rFonts w:hint="eastAsia" w:ascii="宋体" w:hAnsi="宋体"/>
          <w:sz w:val="24"/>
        </w:rPr>
      </w:pPr>
      <w:r>
        <w:rPr>
          <w:rFonts w:hint="eastAsia" w:ascii="宋体" w:hAnsi="宋体"/>
          <w:sz w:val="24"/>
        </w:rPr>
        <w:t xml:space="preserve">结合计量检测行业数字化、智能化转型发展趋势，对本项目建设背景进行分析，说明计量检测单位在出证模式、业务受理、科研管理、质量管理、人员考核等核心业务环节对信息化支撑的现实需求；明确依托现有数智一体化平台开展升级改造的发展方向，阐述出证工具与本地Office软件解耦、核心业务线上化闭环管理与数据贯通在提升机构精细化管理和协同办公水平层面的意义。</w:t>
      </w:r>
      <w:r>
        <w:rPr>
          <w:rFonts w:hint="eastAsia" w:ascii="宋体" w:hAnsi="宋体"/>
          <w:sz w:val="24"/>
        </w:rPr>
      </w:r>
      <w:r/>
    </w:p>
    <w:p>
      <w:pPr>
        <w:pStyle w:val="920"/>
        <w:numPr>
          <w:ilvl w:val="0"/>
          <w:numId w:val="5"/>
        </w:numPr>
        <w:ind w:left="709" w:hanging="709"/>
        <w:spacing w:before="260" w:after="260" w:line="560" w:lineRule="exact"/>
        <w:rPr>
          <w:rFonts w:hint="eastAsia" w:ascii="方正仿宋_GBK" w:hAnsi="方正仿宋_GBK" w:eastAsia="方正仿宋_GBK" w:cs="方正仿宋_GBK"/>
          <w:b/>
          <w:color w:val="000000"/>
          <w:sz w:val="24"/>
          <w:szCs w:val="24"/>
        </w:rPr>
        <w:outlineLvl w:val="4"/>
      </w:pPr>
      <w:r>
        <w:rPr>
          <w:rFonts w:hint="eastAsia" w:ascii="方正仿宋_GBK" w:hAnsi="方正仿宋_GBK" w:eastAsia="方正仿宋_GBK" w:cs="方正仿宋_GBK"/>
          <w:b/>
          <w:color w:val="000000"/>
          <w:sz w:val="24"/>
          <w:szCs w:val="24"/>
        </w:rPr>
        <w:t xml:space="preserve">项目建设必要性</w:t>
      </w:r>
      <w:r>
        <w:rPr>
          <w:rFonts w:hint="eastAsia" w:ascii="方正仿宋_GBK" w:hAnsi="方正仿宋_GBK" w:eastAsia="方正仿宋_GBK" w:cs="方正仿宋_GBK"/>
          <w:b/>
          <w:color w:val="000000"/>
          <w:sz w:val="24"/>
          <w:szCs w:val="24"/>
        </w:rPr>
      </w:r>
      <w:r/>
    </w:p>
    <w:p>
      <w:pPr>
        <w:pStyle w:val="920"/>
        <w:ind w:firstLine="480"/>
        <w:spacing w:line="360" w:lineRule="auto"/>
        <w:rPr>
          <w:rFonts w:hint="eastAsia" w:ascii="宋体" w:hAnsi="宋体"/>
          <w:sz w:val="24"/>
        </w:rPr>
      </w:pPr>
      <w:r>
        <w:rPr>
          <w:rFonts w:hint="eastAsia" w:ascii="宋体" w:hAnsi="宋体"/>
          <w:sz w:val="24"/>
        </w:rPr>
        <w:t xml:space="preserve">结合本单位现有数智一体化平台的运行现状与业务发展的实际需求，分析项目建成后对全院出证效率提升、业务流程线上化闭环、质量管理规范化以及多源数据贯通的推动作用。</w:t>
      </w:r>
      <w:r>
        <w:rPr>
          <w:rFonts w:hint="eastAsia" w:ascii="宋体" w:hAnsi="宋体"/>
          <w:sz w:val="24"/>
        </w:rPr>
      </w:r>
      <w:r/>
    </w:p>
    <w:p>
      <w:pPr>
        <w:pStyle w:val="920"/>
        <w:numPr>
          <w:ilvl w:val="0"/>
          <w:numId w:val="5"/>
        </w:numPr>
        <w:ind w:left="709" w:hanging="709"/>
        <w:spacing w:before="260" w:after="260" w:line="560" w:lineRule="exact"/>
        <w:rPr>
          <w:rFonts w:hint="eastAsia" w:ascii="方正仿宋_GBK" w:hAnsi="方正仿宋_GBK" w:eastAsia="方正仿宋_GBK" w:cs="方正仿宋_GBK"/>
          <w:b/>
          <w:color w:val="000000"/>
          <w:sz w:val="24"/>
          <w:szCs w:val="24"/>
        </w:rPr>
        <w:outlineLvl w:val="4"/>
      </w:pPr>
      <w:r>
        <w:rPr>
          <w:rFonts w:hint="eastAsia" w:ascii="方正仿宋_GBK" w:hAnsi="方正仿宋_GBK" w:eastAsia="方正仿宋_GBK" w:cs="方正仿宋_GBK"/>
          <w:b/>
          <w:color w:val="000000"/>
          <w:sz w:val="24"/>
          <w:szCs w:val="24"/>
        </w:rPr>
        <w:t xml:space="preserve">项目重难点分析</w:t>
      </w:r>
      <w:r>
        <w:rPr>
          <w:rFonts w:hint="eastAsia" w:ascii="方正仿宋_GBK" w:hAnsi="方正仿宋_GBK" w:eastAsia="方正仿宋_GBK" w:cs="方正仿宋_GBK"/>
          <w:b/>
          <w:color w:val="000000"/>
          <w:sz w:val="24"/>
          <w:szCs w:val="24"/>
        </w:rPr>
      </w:r>
      <w:r/>
    </w:p>
    <w:p>
      <w:pPr>
        <w:pStyle w:val="920"/>
        <w:ind w:firstLine="480"/>
        <w:spacing w:line="360" w:lineRule="auto"/>
        <w:rPr>
          <w:rFonts w:hint="eastAsia" w:ascii="宋体" w:hAnsi="宋体"/>
          <w:sz w:val="24"/>
        </w:rPr>
      </w:pPr>
      <w:r>
        <w:rPr>
          <w:rFonts w:hint="eastAsia" w:ascii="宋体" w:hAnsi="宋体"/>
          <w:sz w:val="24"/>
        </w:rPr>
        <w:t xml:space="preserve">结合本项目建设内容，梳理项目实施过程中需要突破的重点与难点问题，提出改进方向。</w:t>
      </w:r>
      <w:r>
        <w:rPr>
          <w:rFonts w:hint="eastAsia" w:ascii="宋体" w:hAnsi="宋体"/>
          <w:sz w:val="24"/>
        </w:rPr>
      </w:r>
      <w:r/>
    </w:p>
    <w:p>
      <w:pPr>
        <w:pStyle w:val="920"/>
        <w:numPr>
          <w:ilvl w:val="0"/>
          <w:numId w:val="5"/>
        </w:numPr>
        <w:ind w:left="709" w:hanging="709"/>
        <w:spacing w:before="260" w:after="260" w:line="560" w:lineRule="exact"/>
        <w:rPr>
          <w:rFonts w:hint="eastAsia" w:ascii="方正仿宋_GBK" w:hAnsi="方正仿宋_GBK" w:eastAsia="方正仿宋_GBK" w:cs="方正仿宋_GBK"/>
          <w:b/>
          <w:color w:val="000000"/>
          <w:sz w:val="24"/>
          <w:szCs w:val="24"/>
        </w:rPr>
        <w:outlineLvl w:val="4"/>
      </w:pPr>
      <w:r>
        <w:rPr>
          <w:rFonts w:hint="eastAsia" w:ascii="方正仿宋_GBK" w:hAnsi="方正仿宋_GBK" w:eastAsia="方正仿宋_GBK" w:cs="方正仿宋_GBK"/>
          <w:b/>
          <w:color w:val="000000"/>
          <w:sz w:val="24"/>
          <w:szCs w:val="24"/>
        </w:rPr>
        <w:t xml:space="preserve">项目需求理解</w:t>
      </w:r>
      <w:r>
        <w:rPr>
          <w:rFonts w:hint="eastAsia" w:ascii="方正仿宋_GBK" w:hAnsi="方正仿宋_GBK" w:eastAsia="方正仿宋_GBK" w:cs="方正仿宋_GBK"/>
          <w:b/>
          <w:color w:val="000000"/>
          <w:sz w:val="24"/>
          <w:szCs w:val="24"/>
        </w:rPr>
      </w:r>
      <w:r/>
    </w:p>
    <w:p>
      <w:pPr>
        <w:pStyle w:val="920"/>
        <w:ind w:firstLine="480"/>
        <w:spacing w:line="360" w:lineRule="auto"/>
        <w:rPr>
          <w:rFonts w:hint="eastAsia" w:ascii="宋体" w:hAnsi="宋体"/>
          <w:sz w:val="24"/>
        </w:rPr>
      </w:pPr>
      <w:r>
        <w:rPr>
          <w:rFonts w:hint="eastAsia" w:ascii="宋体" w:hAnsi="宋体"/>
          <w:sz w:val="24"/>
        </w:rPr>
        <w:t xml:space="preserve">对照本项目提出各模块的建设内容，阐述对平台业务功能、性能及安全需求的理解，明确本项目以“出证工具解耦、核心业务线上化、数据贯通”为核心的建设方向。</w:t>
      </w:r>
      <w:r>
        <w:rPr>
          <w:rFonts w:hint="eastAsia" w:ascii="宋体" w:hAnsi="宋体"/>
          <w:sz w:val="24"/>
        </w:rPr>
      </w:r>
      <w:r/>
    </w:p>
    <w:p>
      <w:pPr>
        <w:pStyle w:val="920"/>
        <w:numPr>
          <w:ilvl w:val="0"/>
          <w:numId w:val="4"/>
        </w:numPr>
        <w:spacing w:before="260" w:after="260" w:line="560" w:lineRule="exact"/>
        <w:rPr>
          <w:rFonts w:hint="eastAsia" w:ascii="方正仿宋_GBK" w:hAnsi="方正仿宋_GBK" w:eastAsia="方正仿宋_GBK" w:cs="方正仿宋_GBK"/>
          <w:b/>
          <w:color w:val="000000"/>
          <w:sz w:val="28"/>
          <w:szCs w:val="28"/>
        </w:rPr>
        <w:outlineLvl w:val="2"/>
      </w:pPr>
      <w:r>
        <w:rPr>
          <w:rFonts w:hint="eastAsia" w:ascii="方正仿宋_GBK" w:hAnsi="方正仿宋_GBK" w:eastAsia="方正仿宋_GBK" w:cs="方正仿宋_GBK"/>
          <w:b/>
          <w:color w:val="000000"/>
          <w:sz w:val="28"/>
          <w:szCs w:val="28"/>
        </w:rPr>
        <w:t xml:space="preserve">技术功能参数</w:t>
      </w:r>
      <w:r>
        <w:rPr>
          <w:rFonts w:hint="eastAsia" w:ascii="方正仿宋_GBK" w:hAnsi="方正仿宋_GBK" w:eastAsia="方正仿宋_GBK" w:cs="方正仿宋_GBK"/>
          <w:b/>
          <w:color w:val="000000"/>
          <w:sz w:val="28"/>
          <w:szCs w:val="28"/>
        </w:rPr>
      </w:r>
      <w:r/>
    </w:p>
    <w:p>
      <w:pPr>
        <w:pStyle w:val="920"/>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本项目须对数智一体化平台进行功能扩展及改造升级，实现出证工具与本地Office软件彻底解耦，以及全院收费、科研、质量、能力验证、客户服务等核心业务的线上化闭环管理与数据贯通。本项目功能建设范围涵盖出证工具、能力验证、科研管理、人员考核、业务处理、质量管理、系统报告与集成对接共7个功能模块，各模块的功能建设要求如下（技术功能参数表）：</w:t>
      </w:r>
      <w:r>
        <w:rPr>
          <w:rFonts w:hint="eastAsia" w:ascii="宋体" w:hAnsi="宋体" w:cs="宋体"/>
          <w:sz w:val="24"/>
          <w:szCs w:val="24"/>
          <w:lang w:bidi="ar"/>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91"/>
        <w:gridCol w:w="1403"/>
        <w:gridCol w:w="1618"/>
        <w:gridCol w:w="4810"/>
      </w:tblGrid>
      <w:tr>
        <w:trPr>
          <w:trHeight w:val="339"/>
        </w:trPr>
        <w:tc>
          <w:tcPr>
            <w:gridSpan w:val="4"/>
            <w:tcBorders>
              <w:top w:val="single" w:color="000000" w:sz="4" w:space="0"/>
              <w:left w:val="single" w:color="000000" w:sz="4" w:space="0"/>
              <w:bottom w:val="single" w:color="000000" w:sz="4" w:space="0"/>
              <w:right w:val="single" w:color="000000" w:sz="4" w:space="0"/>
            </w:tcBorders>
            <w:tcW w:w="8522" w:type="dxa"/>
            <w:vAlign w:val="center"/>
            <w:textDirection w:val="lrTb"/>
            <w:noWrap w:val="false"/>
          </w:tcPr>
          <w:p>
            <w:pPr>
              <w:pStyle w:val="920"/>
              <w:jc w:val="center"/>
              <w:spacing w:line="360" w:lineRule="auto"/>
              <w:rPr>
                <w:rFonts w:ascii="宋体" w:hAnsi="宋体" w:cs="宋体"/>
                <w:b/>
                <w:bCs/>
                <w:sz w:val="24"/>
                <w:szCs w:val="24"/>
                <w:lang w:bidi="ar"/>
              </w:rPr>
            </w:pPr>
            <w:r>
              <w:rPr>
                <w:rFonts w:hint="eastAsia" w:ascii="宋体" w:hAnsi="宋体" w:cs="宋体"/>
                <w:b/>
                <w:bCs/>
                <w:sz w:val="24"/>
                <w:szCs w:val="24"/>
                <w:lang w:bidi="ar"/>
              </w:rPr>
              <w:t xml:space="preserve">数智一体化平台功能升级改造</w:t>
            </w:r>
            <w:r>
              <w:rPr>
                <w:rFonts w:ascii="宋体" w:hAnsi="宋体" w:cs="宋体"/>
                <w:b/>
                <w:bCs/>
                <w:sz w:val="24"/>
                <w:szCs w:val="24"/>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920"/>
              <w:jc w:val="center"/>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序号</w:t>
            </w:r>
            <w:r>
              <w:rPr>
                <w:rFonts w:hint="eastAsia" w:ascii="宋体" w:hAnsi="宋体" w:cs="宋体"/>
                <w:b/>
                <w:bCs/>
                <w:sz w:val="24"/>
                <w:szCs w:val="24"/>
                <w:lang w:bidi="ar"/>
              </w:rPr>
            </w:r>
            <w:r/>
          </w:p>
        </w:tc>
        <w:tc>
          <w:tcPr>
            <w:tcBorders>
              <w:top w:val="none" w:color="000000" w:sz="4" w:space="0"/>
              <w:left w:val="none" w:color="000000" w:sz="4" w:space="0"/>
              <w:bottom w:val="single" w:color="000000" w:sz="4" w:space="0"/>
              <w:right w:val="single" w:color="000000" w:sz="4" w:space="0"/>
            </w:tcBorders>
            <w:tcW w:w="1403" w:type="dxa"/>
            <w:vAlign w:val="center"/>
            <w:textDirection w:val="lrTb"/>
            <w:noWrap w:val="false"/>
          </w:tcPr>
          <w:p>
            <w:pPr>
              <w:pStyle w:val="920"/>
              <w:jc w:val="center"/>
              <w:spacing w:line="360" w:lineRule="auto"/>
              <w:rPr>
                <w:rFonts w:ascii="宋体" w:hAnsi="宋体" w:cs="宋体"/>
                <w:b/>
                <w:bCs/>
                <w:sz w:val="24"/>
                <w:szCs w:val="24"/>
                <w:lang w:bidi="ar"/>
              </w:rPr>
            </w:pPr>
            <w:r>
              <w:rPr>
                <w:rFonts w:hint="eastAsia" w:ascii="宋体" w:hAnsi="宋体" w:cs="宋体"/>
                <w:b/>
                <w:bCs/>
                <w:sz w:val="24"/>
                <w:szCs w:val="24"/>
                <w:lang w:bidi="ar"/>
              </w:rPr>
              <w:t xml:space="preserve">功能模块</w:t>
            </w:r>
            <w:r>
              <w:rPr>
                <w:rFonts w:ascii="宋体" w:hAnsi="宋体" w:cs="宋体"/>
                <w:b/>
                <w:bCs/>
                <w:sz w:val="24"/>
                <w:szCs w:val="24"/>
                <w:lang w:bidi="ar"/>
              </w:rPr>
            </w:r>
            <w:r/>
          </w:p>
        </w:tc>
        <w:tc>
          <w:tcPr>
            <w:tcBorders>
              <w:top w:val="none" w:color="000000" w:sz="4" w:space="0"/>
              <w:left w:val="none" w:color="000000" w:sz="4" w:space="0"/>
              <w:bottom w:val="single" w:color="000000" w:sz="4" w:space="0"/>
              <w:right w:val="single" w:color="000000" w:sz="4" w:space="0"/>
            </w:tcBorders>
            <w:tcW w:w="1618" w:type="dxa"/>
            <w:vAlign w:val="center"/>
            <w:textDirection w:val="lrTb"/>
            <w:noWrap w:val="false"/>
          </w:tcPr>
          <w:p>
            <w:pPr>
              <w:pStyle w:val="920"/>
              <w:jc w:val="center"/>
              <w:spacing w:line="360" w:lineRule="auto"/>
              <w:rPr>
                <w:rFonts w:ascii="宋体" w:hAnsi="宋体" w:cs="宋体"/>
                <w:b/>
                <w:bCs/>
                <w:sz w:val="24"/>
                <w:szCs w:val="24"/>
                <w:lang w:bidi="ar"/>
              </w:rPr>
            </w:pPr>
            <w:r>
              <w:rPr>
                <w:rFonts w:hint="eastAsia" w:ascii="宋体" w:hAnsi="宋体" w:cs="宋体"/>
                <w:b/>
                <w:bCs/>
                <w:sz w:val="24"/>
                <w:szCs w:val="24"/>
                <w:lang w:bidi="ar"/>
              </w:rPr>
              <w:t xml:space="preserve">功能名称</w:t>
            </w:r>
            <w:r>
              <w:rPr>
                <w:rFonts w:ascii="宋体" w:hAnsi="宋体" w:cs="宋体"/>
                <w:b/>
                <w:bCs/>
                <w:sz w:val="24"/>
                <w:szCs w:val="24"/>
                <w:lang w:bidi="ar"/>
              </w:rPr>
            </w:r>
            <w:r/>
          </w:p>
        </w:tc>
        <w:tc>
          <w:tcPr>
            <w:tcBorders>
              <w:top w:val="none" w:color="000000" w:sz="4" w:space="0"/>
              <w:left w:val="none" w:color="000000" w:sz="4" w:space="0"/>
              <w:bottom w:val="single" w:color="000000" w:sz="4" w:space="0"/>
              <w:right w:val="single" w:color="000000" w:sz="4" w:space="0"/>
            </w:tcBorders>
            <w:tcW w:w="4810" w:type="dxa"/>
            <w:vAlign w:val="center"/>
            <w:textDirection w:val="lrTb"/>
            <w:noWrap w:val="false"/>
          </w:tcPr>
          <w:p>
            <w:pPr>
              <w:pStyle w:val="920"/>
              <w:jc w:val="center"/>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功能描述</w:t>
            </w:r>
            <w:r>
              <w:rPr>
                <w:rFonts w:hint="eastAsia" w:ascii="宋体" w:hAnsi="宋体" w:cs="宋体"/>
                <w:b/>
                <w:bCs/>
                <w:sz w:val="24"/>
                <w:szCs w:val="24"/>
                <w:lang w:bidi="ar"/>
              </w:rPr>
            </w:r>
            <w:r/>
          </w:p>
        </w:tc>
      </w:tr>
      <w:tr>
        <w:trPr>
          <w:trHeight w:val="933"/>
        </w:trPr>
        <w:tc>
          <w:tcPr>
            <w:tcBorders>
              <w:top w:val="single" w:color="000000" w:sz="4" w:space="0"/>
              <w:left w:val="single" w:color="000000" w:sz="4" w:space="0"/>
              <w:bottom w:val="none" w:color="000000" w:sz="0" w:space="0"/>
              <w:right w:val="single" w:color="000000" w:sz="4" w:space="0"/>
            </w:tcBorders>
            <w:tcW w:w="691" w:type="dxa"/>
            <w:vAlign w:val="center"/>
            <w:vMerge w:val="restart"/>
            <w:textDirection w:val="lrTb"/>
            <w:noWrap w:val="false"/>
          </w:tcPr>
          <w:p>
            <w:pPr>
              <w:pStyle w:val="920"/>
              <w:jc w:val="center"/>
              <w:spacing w:line="400" w:lineRule="exact"/>
              <w:rPr>
                <w:rFonts w:hint="eastAsia"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r>
            <w:r/>
          </w:p>
        </w:tc>
        <w:tc>
          <w:tcPr>
            <w:tcBorders>
              <w:top w:val="single" w:color="000000" w:sz="4" w:space="0"/>
              <w:left w:val="single" w:color="000000" w:sz="4" w:space="0"/>
              <w:bottom w:val="none" w:color="000000" w:sz="0" w:space="0"/>
              <w:right w:val="single" w:color="000000" w:sz="4" w:space="0"/>
            </w:tcBorders>
            <w:tcW w:w="1403" w:type="dxa"/>
            <w:vAlign w:val="center"/>
            <w:vMerge w:val="restart"/>
            <w:textDirection w:val="lrTb"/>
            <w:noWrap w:val="false"/>
          </w:tcPr>
          <w:p>
            <w:pPr>
              <w:pStyle w:val="920"/>
              <w:jc w:val="left"/>
              <w:spacing w:line="400" w:lineRule="exact"/>
              <w:rPr>
                <w:rFonts w:ascii="宋体" w:hAnsi="宋体" w:cs="宋体"/>
                <w:sz w:val="24"/>
                <w:szCs w:val="24"/>
                <w:lang w:bidi="ar"/>
              </w:rPr>
            </w:pPr>
            <w:r>
              <w:rPr>
                <w:rFonts w:hint="eastAsia" w:ascii="宋体" w:hAnsi="宋体" w:cs="宋体"/>
                <w:sz w:val="24"/>
                <w:szCs w:val="24"/>
                <w:lang w:bidi="ar"/>
              </w:rPr>
              <w:t xml:space="preserve">出证工具</w:t>
            </w:r>
            <w:r>
              <w:rPr>
                <w:rFonts w:ascii="宋体" w:hAnsi="宋体" w:cs="宋体"/>
                <w:sz w:val="24"/>
                <w:szCs w:val="24"/>
                <w:lang w:bidi="ar"/>
              </w:rPr>
            </w:r>
            <w:r/>
          </w:p>
        </w:tc>
        <w:tc>
          <w:tcPr>
            <w:tcBorders>
              <w:top w:val="single" w:color="000000" w:sz="4" w:space="0"/>
              <w:left w:val="single" w:color="000000" w:sz="4" w:space="0"/>
              <w:bottom w:val="none" w:color="000000" w:sz="0" w:space="0"/>
              <w:right w:val="single" w:color="000000" w:sz="4" w:space="0"/>
            </w:tcBorders>
            <w:tcW w:w="1618" w:type="dxa"/>
            <w:vAlign w:val="center"/>
            <w:vMerge w:val="restart"/>
            <w:textDirection w:val="lrTb"/>
            <w:noWrap w:val="false"/>
          </w:tcPr>
          <w:p>
            <w:pPr>
              <w:pStyle w:val="920"/>
              <w:spacing w:line="400" w:lineRule="exact"/>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出证客户端升级改造</w:t>
            </w:r>
            <w:r>
              <w:rPr>
                <w:rFonts w:ascii="宋体" w:hAnsi="宋体" w:cs="宋体"/>
                <w:color w:val="000000"/>
                <w:sz w:val="24"/>
                <w:szCs w:val="24"/>
                <w:lang w:bidi="ar"/>
              </w:rPr>
            </w:r>
            <w:r/>
          </w:p>
          <w:p>
            <w:pPr>
              <w:pStyle w:val="920"/>
              <w:spacing w:line="400" w:lineRule="exact"/>
              <w:rPr>
                <w:color w:val="000000"/>
              </w:rPr>
            </w:pPr>
            <w:r>
              <w:rPr>
                <w:rFonts w:hint="eastAsia" w:ascii="宋体" w:hAnsi="宋体" w:cs="宋体"/>
                <w:color w:val="000000"/>
                <w:sz w:val="24"/>
                <w:szCs w:val="24"/>
                <w:lang w:bidi="ar"/>
              </w:rPr>
              <w:t xml:space="preserve">（需提供同类项目类似系统功能截图）</w:t>
            </w:r>
            <w:r>
              <w:rPr>
                <w:color w:val="000000"/>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ascii="宋体" w:hAnsi="宋体" w:cs="宋体"/>
                <w:sz w:val="24"/>
                <w:szCs w:val="24"/>
                <w:lang w:bidi="ar"/>
              </w:rPr>
            </w:pPr>
            <w:r>
              <w:rPr>
                <w:rFonts w:hint="eastAsia" w:ascii="宋体" w:hAnsi="宋体" w:cs="宋体"/>
                <w:sz w:val="24"/>
                <w:szCs w:val="24"/>
                <w:lang w:bidi="ar"/>
              </w:rPr>
              <w:t xml:space="preserve">1）构建纯前端表格控件，彻底摆脱对本地Office软件及第三方插件的依赖，通过前端渲染技术打破传统Web表格的性能瓶颈，使数据的加载与操作更加流畅，构建表格完全兼容Excel文件格式，提供完整的电子表格能力，包括单元格编辑、格式化、排序、筛选、数据验证、批注等全量Excel操作逻辑；能够实现主页向映射页自主映射。</w:t>
            </w:r>
            <w:r>
              <w:rPr>
                <w:rFonts w:ascii="宋体" w:hAnsi="宋体" w:cs="宋体"/>
                <w:sz w:val="24"/>
                <w:szCs w:val="24"/>
                <w:lang w:bidi="ar"/>
              </w:rPr>
            </w:r>
            <w:r/>
          </w:p>
        </w:tc>
      </w:tr>
      <w:tr>
        <w:trPr>
          <w:trHeight w:val="933"/>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spacing w:line="400" w:lineRule="exact"/>
            </w:p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pPr>
            <w:r/>
            <w:r/>
          </w:p>
        </w:tc>
        <w:tc>
          <w:tcPr>
            <w:tcBorders>
              <w:top w:val="none" w:color="000000" w:sz="0" w:space="0"/>
              <w:left w:val="single" w:color="000000" w:sz="4" w:space="0"/>
              <w:bottom w:val="none" w:color="000000" w:sz="0" w:space="0"/>
              <w:right w:val="single" w:color="000000" w:sz="4" w:space="0"/>
            </w:tcBorders>
            <w:tcW w:w="1618" w:type="dxa"/>
            <w:vAlign w:val="center"/>
            <w:vMerge w:val="continue"/>
            <w:textDirection w:val="lrTb"/>
            <w:noWrap w:val="false"/>
          </w:tcPr>
          <w:p>
            <w:pPr>
              <w:pStyle w:val="920"/>
              <w:spacing w:line="400" w:lineRule="exact"/>
            </w:p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ascii="宋体" w:hAnsi="宋体" w:cs="宋体"/>
                <w:sz w:val="24"/>
                <w:szCs w:val="24"/>
                <w:lang w:bidi="ar"/>
              </w:rPr>
            </w:pPr>
            <w:r>
              <w:rPr>
                <w:rFonts w:hint="eastAsia" w:ascii="宋体" w:hAnsi="宋体" w:cs="宋体"/>
                <w:sz w:val="24"/>
                <w:szCs w:val="24"/>
                <w:lang w:bidi="ar"/>
              </w:rPr>
              <w:t xml:space="preserve">2）检测数据以结构化格式（如JSON）在前端与后端间高效流转，能够在线预览类EXCEL原始记录文件；支持在线导入导出XLSX/XLS/CSV等格式文件，支持导出PDF文件。</w:t>
            </w:r>
            <w:r>
              <w:rPr>
                <w:rFonts w:ascii="宋体" w:hAnsi="宋体" w:cs="宋体"/>
                <w:sz w:val="24"/>
                <w:szCs w:val="24"/>
                <w:lang w:bidi="ar"/>
              </w:rPr>
            </w:r>
            <w:r/>
          </w:p>
        </w:tc>
      </w:tr>
      <w:tr>
        <w:trPr>
          <w:trHeight w:val="933"/>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single" w:color="000000" w:sz="4" w:space="0"/>
              <w:right w:val="single" w:color="000000" w:sz="4" w:space="0"/>
            </w:tcBorders>
            <w:tcW w:w="1618"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ascii="宋体" w:hAnsi="宋体" w:cs="宋体"/>
                <w:sz w:val="24"/>
                <w:szCs w:val="24"/>
                <w:lang w:bidi="ar"/>
              </w:rPr>
            </w:pPr>
            <w:r>
              <w:rPr>
                <w:rFonts w:hint="eastAsia" w:ascii="宋体" w:hAnsi="宋体" w:cs="宋体"/>
                <w:sz w:val="24"/>
                <w:szCs w:val="24"/>
                <w:lang w:bidi="ar"/>
              </w:rPr>
              <w:t xml:space="preserve">3）原始记录在线录入时可直接预览证书，实时核对证书记录是否一致；基本信息原始记录和证书录入界面实时双向同步。</w:t>
            </w:r>
            <w:r>
              <w:rPr>
                <w:rFonts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jc w:val="left"/>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原始记录模板转换</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通过脚本和工具将传统的原始记录XLS模板在线转换为轻量级的文件（如JSON格式），适配前端展示与数据交互需求，对模板中的关键数据字段进行标准化定义与绑定，同时将原</w:t>
            </w:r>
            <w:r>
              <w:rPr>
                <w:rFonts w:ascii="宋体" w:hAnsi="宋体" w:cs="宋体"/>
                <w:sz w:val="24"/>
                <w:szCs w:val="24"/>
                <w:lang w:bidi="ar"/>
              </w:rPr>
              <w:t xml:space="preserve">xls</w:t>
            </w:r>
            <w:r>
              <w:rPr>
                <w:rFonts w:hint="eastAsia" w:ascii="宋体" w:hAnsi="宋体" w:cs="宋体"/>
                <w:sz w:val="24"/>
                <w:szCs w:val="24"/>
                <w:lang w:bidi="ar"/>
              </w:rPr>
              <w:t xml:space="preserve">文件中宏函数转换为对应脚本，实现数据在表单流转过程中的自动映射与精准回填。</w:t>
            </w:r>
            <w:r>
              <w:rPr>
                <w:rFonts w:hint="eastAsia"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jc w:val="left"/>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模板适配调试</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完成全院超500种原始记录模板的深度适配与精细化调试工作，形成标准化的模板处理流程，支撑后续业务模板的快速接入与系统常态化运营。</w:t>
            </w:r>
            <w:r>
              <w:rPr>
                <w:rFonts w:hint="eastAsia" w:ascii="宋体" w:hAnsi="宋体" w:cs="宋体"/>
                <w:sz w:val="24"/>
                <w:szCs w:val="24"/>
                <w:lang w:bidi="ar"/>
              </w:rPr>
            </w:r>
            <w:r/>
          </w:p>
        </w:tc>
      </w:tr>
      <w:tr>
        <w:trPr>
          <w:trHeight w:val="549"/>
        </w:trPr>
        <w:tc>
          <w:tcPr>
            <w:tcBorders>
              <w:top w:val="none" w:color="000000" w:sz="0"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20"/>
              <w:jc w:val="center"/>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single" w:color="000000" w:sz="4" w:space="0"/>
              <w:right w:val="single" w:color="000000" w:sz="4" w:space="0"/>
            </w:tcBorders>
            <w:tcW w:w="1403" w:type="dxa"/>
            <w:vAlign w:val="center"/>
            <w:vMerge w:val="continue"/>
            <w:textDirection w:val="lrTb"/>
            <w:noWrap w:val="false"/>
          </w:tcPr>
          <w:p>
            <w:pPr>
              <w:pStyle w:val="920"/>
              <w:jc w:val="left"/>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bidi="ar"/>
              </w:rPr>
              <w:t xml:space="preserve">）▲纸质</w:t>
            </w:r>
            <w:r>
              <w:rPr>
                <w:rFonts w:hint="eastAsia" w:ascii="宋体" w:hAnsi="宋体" w:cs="宋体"/>
                <w:color w:val="000000"/>
                <w:sz w:val="24"/>
                <w:szCs w:val="24"/>
                <w:lang w:bidi="ar"/>
              </w:rPr>
              <w:t xml:space="preserve">原始记录存档（需提供同类项目类似系统功能截图）</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ascii="宋体" w:hAnsi="宋体" w:cs="宋体"/>
                <w:sz w:val="24"/>
                <w:szCs w:val="24"/>
                <w:lang w:bidi="ar"/>
              </w:rPr>
            </w:pPr>
            <w:r>
              <w:rPr>
                <w:rFonts w:hint="eastAsia" w:ascii="宋体" w:hAnsi="宋体" w:cs="宋体"/>
                <w:sz w:val="24"/>
                <w:szCs w:val="24"/>
                <w:lang w:bidi="ar"/>
              </w:rPr>
              <w:t xml:space="preserve">增加Word版本通用电子记录在线编辑功能，实现纸质原始记录在线存档</w:t>
            </w:r>
            <w:r>
              <w:rPr>
                <w:rFonts w:ascii="宋体" w:hAnsi="宋体" w:cs="宋体"/>
                <w:sz w:val="24"/>
                <w:szCs w:val="24"/>
                <w:lang w:bidi="ar"/>
              </w:rPr>
              <w:t xml:space="preserve">,</w:t>
            </w:r>
            <w:r>
              <w:rPr>
                <w:rFonts w:hint="eastAsia" w:ascii="宋体" w:hAnsi="宋体" w:cs="宋体"/>
                <w:sz w:val="24"/>
                <w:szCs w:val="24"/>
                <w:lang w:bidi="ar"/>
              </w:rPr>
              <w:t xml:space="preserve">原始记录保存后自动生成证书结果页，支持通用电子记录预览，通用结果参照后可以自动带回参照的技术依据、装置和标准器数据信息。</w:t>
            </w:r>
            <w:r>
              <w:rPr>
                <w:rFonts w:ascii="宋体" w:hAnsi="宋体" w:cs="宋体"/>
                <w:sz w:val="24"/>
                <w:szCs w:val="24"/>
                <w:lang w:bidi="ar"/>
              </w:rPr>
            </w:r>
            <w:r/>
          </w:p>
        </w:tc>
      </w:tr>
      <w:tr>
        <w:trPr>
          <w:trHeight w:val="549"/>
        </w:trPr>
        <w:tc>
          <w:tcPr>
            <w:tcBorders>
              <w:top w:val="single" w:color="000000" w:sz="4" w:space="0"/>
              <w:left w:val="single" w:color="000000" w:sz="4" w:space="0"/>
              <w:bottom w:val="none" w:color="000000" w:sz="0" w:space="0"/>
              <w:right w:val="single" w:color="000000" w:sz="4" w:space="0"/>
            </w:tcBorders>
            <w:tcW w:w="691" w:type="dxa"/>
            <w:vAlign w:val="center"/>
            <w:vMerge w:val="restart"/>
            <w:textDirection w:val="lrTb"/>
            <w:noWrap w:val="false"/>
          </w:tcPr>
          <w:p>
            <w:pPr>
              <w:pStyle w:val="920"/>
              <w:jc w:val="center"/>
              <w:spacing w:line="400" w:lineRule="exact"/>
              <w:rPr>
                <w:rFonts w:hint="eastAsia"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bidi="ar"/>
              </w:rPr>
            </w:r>
            <w:r/>
          </w:p>
        </w:tc>
        <w:tc>
          <w:tcPr>
            <w:tcBorders>
              <w:top w:val="single" w:color="000000" w:sz="4" w:space="0"/>
              <w:left w:val="single" w:color="000000" w:sz="4" w:space="0"/>
              <w:bottom w:val="none" w:color="000000" w:sz="0" w:space="0"/>
              <w:right w:val="single" w:color="000000" w:sz="4" w:space="0"/>
            </w:tcBorders>
            <w:tcW w:w="1403" w:type="dxa"/>
            <w:vAlign w:val="center"/>
            <w:vMerge w:val="restart"/>
            <w:textDirection w:val="lrTb"/>
            <w:noWrap w:val="false"/>
          </w:tcPr>
          <w:p>
            <w:pPr>
              <w:pStyle w:val="920"/>
              <w:jc w:val="left"/>
              <w:spacing w:line="400" w:lineRule="exact"/>
              <w:rPr>
                <w:rFonts w:ascii="宋体" w:hAnsi="宋体" w:cs="宋体"/>
                <w:sz w:val="24"/>
                <w:szCs w:val="24"/>
                <w:lang w:bidi="ar"/>
              </w:rPr>
            </w:pPr>
            <w:r>
              <w:rPr>
                <w:rFonts w:hint="eastAsia" w:ascii="宋体" w:hAnsi="宋体" w:cs="宋体"/>
                <w:sz w:val="24"/>
                <w:szCs w:val="24"/>
                <w:lang w:bidi="ar"/>
              </w:rPr>
              <w:t xml:space="preserve">能力验证</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ascii="宋体" w:hAnsi="宋体" w:cs="宋体"/>
                <w:sz w:val="24"/>
                <w:szCs w:val="24"/>
                <w:lang w:bidi="ar"/>
              </w:rPr>
            </w:pP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企业注册</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ascii="宋体" w:hAnsi="宋体" w:cs="宋体"/>
                <w:sz w:val="24"/>
                <w:szCs w:val="24"/>
                <w:lang w:bidi="ar"/>
              </w:rPr>
            </w:pPr>
            <w:r>
              <w:rPr>
                <w:rFonts w:ascii="宋体" w:hAnsi="宋体" w:cs="宋体"/>
                <w:sz w:val="24"/>
                <w:szCs w:val="24"/>
                <w:lang w:bidi="ar"/>
              </w:rPr>
              <w:t xml:space="preserve">面向参与能力验证的实验室及企业客户，提供账号申请与资质登记入口。用户在线填写企业基本信息，经平台管理员审核激活</w:t>
            </w:r>
            <w:r>
              <w:rPr>
                <w:rFonts w:hint="eastAsia" w:ascii="宋体" w:hAnsi="宋体" w:cs="宋体"/>
                <w:sz w:val="24"/>
                <w:szCs w:val="24"/>
                <w:lang w:bidi="ar"/>
              </w:rPr>
              <w:t xml:space="preserve">，</w:t>
            </w:r>
            <w:r>
              <w:rPr>
                <w:rFonts w:ascii="宋体" w:hAnsi="宋体" w:cs="宋体"/>
                <w:sz w:val="24"/>
                <w:szCs w:val="24"/>
                <w:lang w:bidi="ar"/>
              </w:rPr>
              <w:t xml:space="preserve">已注册用户可维护与更新自身信息</w:t>
            </w:r>
            <w:r>
              <w:rPr>
                <w:rFonts w:hint="eastAsia" w:ascii="宋体" w:hAnsi="宋体" w:cs="宋体"/>
                <w:sz w:val="24"/>
                <w:szCs w:val="24"/>
                <w:lang w:bidi="ar"/>
              </w:rPr>
              <w:t xml:space="preserve">。</w:t>
            </w:r>
            <w:r>
              <w:rPr>
                <w:rFonts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jc w:val="left"/>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计划管理</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ascii="宋体" w:hAnsi="宋体" w:cs="宋体"/>
                <w:sz w:val="24"/>
                <w:szCs w:val="24"/>
                <w:lang w:bidi="ar"/>
              </w:rPr>
            </w:pPr>
            <w:r>
              <w:rPr>
                <w:rFonts w:hint="eastAsia" w:ascii="宋体" w:hAnsi="宋体" w:cs="宋体"/>
                <w:sz w:val="24"/>
                <w:szCs w:val="24"/>
                <w:lang w:bidi="ar"/>
              </w:rPr>
              <w:t xml:space="preserve">管理员创建PT计划，包含项目、方法、评定准则、费用及时间节点等详细参数，由项目负责人上传作业指导书等必要文件后开启报名。系统</w:t>
            </w:r>
            <w:r>
              <w:rPr>
                <w:rFonts w:ascii="宋体" w:hAnsi="宋体" w:cs="宋体"/>
                <w:sz w:val="24"/>
                <w:szCs w:val="24"/>
                <w:lang w:bidi="ar"/>
              </w:rPr>
              <w:t xml:space="preserve">支持计划的修改</w:t>
            </w:r>
            <w:r>
              <w:rPr>
                <w:rFonts w:hint="eastAsia" w:ascii="宋体" w:hAnsi="宋体" w:cs="宋体"/>
                <w:sz w:val="24"/>
                <w:szCs w:val="24"/>
                <w:lang w:bidi="ar"/>
              </w:rPr>
              <w:t xml:space="preserve">、关闭</w:t>
            </w:r>
            <w:r>
              <w:rPr>
                <w:rFonts w:ascii="宋体" w:hAnsi="宋体" w:cs="宋体"/>
                <w:sz w:val="24"/>
                <w:szCs w:val="24"/>
                <w:lang w:bidi="ar"/>
              </w:rPr>
              <w:t xml:space="preserve">与归档，确保计划信息的规范发布与可追溯。</w:t>
            </w:r>
            <w:r>
              <w:rPr>
                <w:rFonts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jc w:val="left"/>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7</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报名管理</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ascii="宋体" w:hAnsi="宋体" w:cs="宋体"/>
                <w:sz w:val="24"/>
                <w:szCs w:val="24"/>
                <w:lang w:bidi="ar"/>
              </w:rPr>
            </w:pPr>
            <w:r>
              <w:rPr>
                <w:rFonts w:hint="eastAsia" w:ascii="宋体" w:hAnsi="宋体" w:cs="宋体"/>
                <w:sz w:val="24"/>
                <w:szCs w:val="24"/>
                <w:lang w:bidi="ar"/>
              </w:rPr>
              <w:t xml:space="preserve">企业用户可在线查询已发布的计划并提交报名申请；</w:t>
            </w:r>
            <w:r>
              <w:rPr>
                <w:rFonts w:ascii="宋体" w:hAnsi="宋体" w:cs="宋体"/>
                <w:sz w:val="24"/>
                <w:szCs w:val="24"/>
                <w:lang w:bidi="ar"/>
              </w:rPr>
              <w:t xml:space="preserve">审核员在线审阅材料</w:t>
            </w:r>
            <w:r>
              <w:rPr>
                <w:rFonts w:hint="eastAsia" w:ascii="宋体" w:hAnsi="宋体" w:cs="宋体"/>
                <w:sz w:val="24"/>
                <w:szCs w:val="24"/>
                <w:lang w:bidi="ar"/>
              </w:rPr>
              <w:t xml:space="preserve">，审核通过自动生成缴费通知。</w:t>
            </w:r>
            <w:r>
              <w:rPr>
                <w:rFonts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jc w:val="left"/>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缴费管理</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ascii="宋体" w:hAnsi="宋体" w:cs="宋体"/>
                <w:sz w:val="24"/>
                <w:szCs w:val="24"/>
                <w:lang w:bidi="ar"/>
              </w:rPr>
            </w:pPr>
            <w:r>
              <w:rPr>
                <w:rFonts w:hint="eastAsia" w:ascii="宋体" w:hAnsi="宋体" w:cs="宋体"/>
                <w:sz w:val="24"/>
                <w:szCs w:val="24"/>
                <w:lang w:bidi="ar"/>
              </w:rPr>
              <w:t xml:space="preserve">报名</w:t>
            </w:r>
            <w:r>
              <w:rPr>
                <w:rFonts w:ascii="宋体" w:hAnsi="宋体" w:cs="宋体"/>
                <w:sz w:val="24"/>
                <w:szCs w:val="24"/>
                <w:lang w:bidi="ar"/>
              </w:rPr>
              <w:t xml:space="preserve">审核通过后系统自动生成缴费通知单</w:t>
            </w:r>
            <w:r>
              <w:rPr>
                <w:rFonts w:hint="eastAsia" w:ascii="宋体" w:hAnsi="宋体" w:cs="宋体"/>
                <w:sz w:val="24"/>
                <w:szCs w:val="24"/>
                <w:lang w:bidi="ar"/>
              </w:rPr>
              <w:t xml:space="preserve">，</w:t>
            </w:r>
            <w:r>
              <w:rPr>
                <w:rFonts w:ascii="宋体" w:hAnsi="宋体" w:cs="宋体"/>
                <w:sz w:val="24"/>
                <w:szCs w:val="24"/>
                <w:lang w:bidi="ar"/>
              </w:rPr>
              <w:t xml:space="preserve">客户完成转账缴费后</w:t>
            </w:r>
            <w:r>
              <w:rPr>
                <w:rFonts w:hint="eastAsia" w:ascii="宋体" w:hAnsi="宋体" w:cs="宋体"/>
                <w:sz w:val="24"/>
                <w:szCs w:val="24"/>
                <w:lang w:bidi="ar"/>
              </w:rPr>
              <w:t xml:space="preserve">，需</w:t>
            </w:r>
            <w:r>
              <w:rPr>
                <w:rFonts w:ascii="宋体" w:hAnsi="宋体" w:cs="宋体"/>
                <w:sz w:val="24"/>
                <w:szCs w:val="24"/>
                <w:lang w:bidi="ar"/>
              </w:rPr>
              <w:t xml:space="preserve">在线上传缴费凭证，待审核员核对凭证无误后确认到账。系统支持缴费记录的查询、凭证的留存与核对，</w:t>
            </w:r>
            <w:r>
              <w:rPr>
                <w:rFonts w:hint="eastAsia" w:ascii="宋体" w:hAnsi="宋体" w:cs="宋体"/>
                <w:sz w:val="24"/>
                <w:szCs w:val="24"/>
                <w:lang w:bidi="ar"/>
              </w:rPr>
              <w:t xml:space="preserve">并提供支付异常信息查询</w:t>
            </w:r>
            <w:r>
              <w:rPr>
                <w:rFonts w:ascii="宋体" w:hAnsi="宋体" w:cs="宋体"/>
                <w:sz w:val="24"/>
                <w:szCs w:val="24"/>
                <w:lang w:bidi="ar"/>
              </w:rPr>
              <w:t xml:space="preserve">。</w:t>
            </w:r>
            <w:r>
              <w:rPr>
                <w:rFonts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jc w:val="left"/>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9</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物流接收</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ascii="宋体" w:hAnsi="宋体" w:cs="宋体"/>
                <w:sz w:val="24"/>
                <w:szCs w:val="24"/>
                <w:lang w:bidi="ar"/>
              </w:rPr>
            </w:pPr>
            <w:r>
              <w:rPr>
                <w:rFonts w:ascii="宋体" w:hAnsi="宋体" w:cs="宋体"/>
                <w:sz w:val="24"/>
                <w:szCs w:val="24"/>
                <w:lang w:bidi="ar"/>
              </w:rPr>
              <w:t xml:space="preserve">确认缴费后，审核员在系统中录入物品编号及快递单号完成发货登记；企业客户收到样品后</w:t>
            </w:r>
            <w:r>
              <w:rPr>
                <w:rFonts w:hint="eastAsia" w:ascii="宋体" w:hAnsi="宋体" w:cs="宋体"/>
                <w:sz w:val="24"/>
                <w:szCs w:val="24"/>
                <w:lang w:bidi="ar"/>
              </w:rPr>
              <w:t xml:space="preserve">，</w:t>
            </w:r>
            <w:r>
              <w:rPr>
                <w:rFonts w:ascii="宋体" w:hAnsi="宋体" w:cs="宋体"/>
                <w:sz w:val="24"/>
                <w:szCs w:val="24"/>
                <w:lang w:bidi="ar"/>
              </w:rPr>
              <w:t xml:space="preserve">在线确认签收</w:t>
            </w:r>
            <w:r>
              <w:rPr>
                <w:rFonts w:hint="eastAsia" w:ascii="宋体" w:hAnsi="宋体" w:cs="宋体"/>
                <w:sz w:val="24"/>
                <w:szCs w:val="24"/>
                <w:lang w:bidi="ar"/>
              </w:rPr>
              <w:t xml:space="preserve">并</w:t>
            </w:r>
            <w:r>
              <w:rPr>
                <w:rFonts w:ascii="宋体" w:hAnsi="宋体" w:cs="宋体"/>
                <w:sz w:val="24"/>
                <w:szCs w:val="24"/>
                <w:lang w:bidi="ar"/>
              </w:rPr>
              <w:t xml:space="preserve">实施测量</w:t>
            </w:r>
            <w:r>
              <w:rPr>
                <w:rFonts w:hint="eastAsia" w:ascii="宋体" w:hAnsi="宋体" w:cs="宋体"/>
                <w:sz w:val="24"/>
                <w:szCs w:val="24"/>
                <w:lang w:bidi="ar"/>
              </w:rPr>
              <w:t xml:space="preserve">；测量完成后，</w:t>
            </w:r>
            <w:r>
              <w:rPr>
                <w:rFonts w:ascii="宋体" w:hAnsi="宋体" w:cs="宋体"/>
                <w:sz w:val="24"/>
                <w:szCs w:val="24"/>
                <w:lang w:bidi="ar"/>
              </w:rPr>
              <w:t xml:space="preserve">客户寄回样品并登记寄回信息。系统全程记录物品编号、快递单号、签收与寄回时间，保证样品流向可查、责任可溯。</w:t>
            </w:r>
            <w:r>
              <w:rPr>
                <w:rFonts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jc w:val="left"/>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0</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结果上传</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ascii="宋体" w:hAnsi="宋体" w:cs="宋体"/>
                <w:sz w:val="24"/>
                <w:szCs w:val="24"/>
                <w:lang w:bidi="ar"/>
              </w:rPr>
            </w:pPr>
            <w:r>
              <w:rPr>
                <w:rFonts w:ascii="宋体" w:hAnsi="宋体" w:cs="宋体"/>
                <w:sz w:val="24"/>
                <w:szCs w:val="24"/>
                <w:lang w:bidi="ar"/>
              </w:rPr>
              <w:t xml:space="preserve">客户在寄回样品后</w:t>
            </w:r>
            <w:r>
              <w:rPr>
                <w:rFonts w:hint="eastAsia" w:ascii="宋体" w:hAnsi="宋体" w:cs="宋体"/>
                <w:sz w:val="24"/>
                <w:szCs w:val="24"/>
                <w:lang w:bidi="ar"/>
              </w:rPr>
              <w:t xml:space="preserve">需</w:t>
            </w:r>
            <w:r>
              <w:rPr>
                <w:rFonts w:ascii="宋体" w:hAnsi="宋体" w:cs="宋体"/>
                <w:sz w:val="24"/>
                <w:szCs w:val="24"/>
                <w:lang w:bidi="ar"/>
              </w:rPr>
              <w:t xml:space="preserve">在线填报并上传测量结果数据；审核员对已提交结果进行批量查看、收集与导出，为统计评定提供数据基础。</w:t>
            </w:r>
            <w:r>
              <w:rPr>
                <w:rFonts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jc w:val="left"/>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报告管理（需提供同类项目类似系统功能截图）</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ascii="宋体" w:hAnsi="宋体" w:cs="宋体"/>
                <w:sz w:val="24"/>
                <w:szCs w:val="24"/>
                <w:lang w:bidi="ar"/>
              </w:rPr>
            </w:pPr>
            <w:r>
              <w:rPr>
                <w:rFonts w:ascii="宋体" w:hAnsi="宋体" w:cs="宋体"/>
                <w:sz w:val="24"/>
                <w:szCs w:val="24"/>
                <w:lang w:bidi="ar"/>
              </w:rPr>
              <w:t xml:space="preserve">数据收集完成后，检定员依据评定准则完成结果统计与报告制作，</w:t>
            </w:r>
            <w:r>
              <w:rPr>
                <w:rFonts w:hint="eastAsia" w:ascii="宋体" w:hAnsi="宋体" w:cs="宋体"/>
                <w:sz w:val="24"/>
                <w:szCs w:val="24"/>
                <w:lang w:bidi="ar"/>
              </w:rPr>
              <w:t xml:space="preserve">支持手动</w:t>
            </w:r>
            <w:r>
              <w:rPr>
                <w:rFonts w:ascii="宋体" w:hAnsi="宋体" w:cs="宋体"/>
                <w:sz w:val="24"/>
                <w:szCs w:val="24"/>
                <w:lang w:bidi="ar"/>
              </w:rPr>
              <w:t xml:space="preserve">将报告文件上传至系统</w:t>
            </w:r>
            <w:r>
              <w:rPr>
                <w:rFonts w:hint="eastAsia" w:ascii="宋体" w:hAnsi="宋体" w:cs="宋体"/>
                <w:sz w:val="24"/>
                <w:szCs w:val="24"/>
                <w:lang w:bidi="ar"/>
              </w:rPr>
              <w:t xml:space="preserve">，支持根据报告号从计量业务系统自动拉取报告信息，</w:t>
            </w:r>
            <w:r>
              <w:rPr>
                <w:rFonts w:ascii="宋体" w:hAnsi="宋体" w:cs="宋体"/>
                <w:sz w:val="24"/>
                <w:szCs w:val="24"/>
                <w:lang w:bidi="ar"/>
              </w:rPr>
              <w:t xml:space="preserve">企业客户可在线下载本单位的专属报告</w:t>
            </w:r>
            <w:r>
              <w:rPr>
                <w:rFonts w:hint="eastAsia" w:ascii="宋体" w:hAnsi="宋体" w:cs="宋体"/>
                <w:sz w:val="24"/>
                <w:szCs w:val="24"/>
                <w:lang w:bidi="ar"/>
              </w:rPr>
              <w:t xml:space="preserve">及</w:t>
            </w:r>
            <w:r>
              <w:rPr>
                <w:rFonts w:ascii="宋体" w:hAnsi="宋体" w:cs="宋体"/>
                <w:sz w:val="24"/>
                <w:szCs w:val="24"/>
                <w:lang w:bidi="ar"/>
              </w:rPr>
              <w:t xml:space="preserve">全量报告信息</w:t>
            </w:r>
            <w:r>
              <w:rPr>
                <w:rFonts w:hint="eastAsia" w:ascii="宋体" w:hAnsi="宋体" w:cs="宋体"/>
                <w:sz w:val="24"/>
                <w:szCs w:val="24"/>
                <w:lang w:bidi="ar"/>
              </w:rPr>
              <w:t xml:space="preserve">，实现</w:t>
            </w:r>
            <w:r>
              <w:rPr>
                <w:rFonts w:ascii="Segoe UI" w:hAnsi="Segoe UI" w:eastAsia="Segoe UI" w:cs="Segoe UI"/>
                <w:sz w:val="24"/>
                <w:szCs w:val="24"/>
                <w:shd w:val="clear" w:color="auto" w:fill="ffffff"/>
              </w:rPr>
              <w:t xml:space="preserve">能力验证报告</w:t>
            </w:r>
            <w:r>
              <w:rPr>
                <w:rFonts w:hint="eastAsia" w:ascii="Segoe UI" w:hAnsi="Segoe UI" w:eastAsia="宋体" w:cs="Segoe UI"/>
                <w:sz w:val="24"/>
                <w:szCs w:val="24"/>
                <w:shd w:val="clear" w:color="auto" w:fill="ffffff"/>
                <w:lang w:val="en-US" w:eastAsia="zh-CN"/>
              </w:rPr>
              <w:t xml:space="preserve">制作</w:t>
            </w:r>
            <w:r>
              <w:rPr>
                <w:rFonts w:ascii="Segoe UI" w:hAnsi="Segoe UI" w:eastAsia="Segoe UI" w:cs="Segoe UI"/>
                <w:sz w:val="24"/>
                <w:szCs w:val="24"/>
                <w:shd w:val="clear" w:color="auto" w:fill="ffffff"/>
              </w:rPr>
              <w:t xml:space="preserve">、审核、发布与下载</w:t>
            </w:r>
            <w:r>
              <w:rPr>
                <w:rFonts w:hint="eastAsia" w:ascii="Segoe UI" w:hAnsi="Segoe UI" w:cs="Segoe UI"/>
                <w:sz w:val="24"/>
                <w:szCs w:val="24"/>
                <w:shd w:val="clear" w:color="auto" w:fill="ffffff"/>
              </w:rPr>
              <w:t xml:space="preserve">的全流程线上管理。</w:t>
            </w:r>
            <w:r>
              <w:rPr>
                <w:rFonts w:ascii="宋体" w:hAnsi="宋体" w:cs="宋体"/>
                <w:sz w:val="24"/>
                <w:szCs w:val="24"/>
                <w:lang w:bidi="ar"/>
              </w:rPr>
            </w:r>
            <w:r/>
          </w:p>
        </w:tc>
      </w:tr>
      <w:tr>
        <w:trPr>
          <w:trHeight w:val="549"/>
        </w:trPr>
        <w:tc>
          <w:tcPr>
            <w:tcBorders>
              <w:top w:val="none" w:color="000000" w:sz="0"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single" w:color="000000" w:sz="4"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参加能力验证和实验室间比对计划审批（需提供同类项目类似系统功能截图）</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ascii="宋体" w:hAnsi="宋体" w:cs="宋体"/>
                <w:sz w:val="24"/>
                <w:szCs w:val="24"/>
                <w:lang w:bidi="ar"/>
              </w:rPr>
            </w:pPr>
            <w:r>
              <w:rPr>
                <w:rFonts w:hint="eastAsia" w:ascii="宋体" w:hAnsi="宋体" w:cs="宋体"/>
                <w:sz w:val="24"/>
                <w:szCs w:val="24"/>
                <w:lang w:bidi="ar"/>
              </w:rPr>
              <w:t xml:space="preserve">计划申报阶段，由技术质量科发起申报流程，经各所技术负责人填报、科室核查与科长审核、院技术负责人批准后入库，并支持导出受控格式打印。获批计划需自动同步至“能力验证信息库”，试验人员能够维护其项目详情信息。</w:t>
            </w:r>
            <w:r>
              <w:rPr>
                <w:rFonts w:ascii="宋体" w:hAnsi="宋体" w:cs="宋体"/>
                <w:sz w:val="24"/>
                <w:szCs w:val="24"/>
                <w:lang w:bidi="ar"/>
              </w:rPr>
            </w:r>
            <w:r/>
          </w:p>
        </w:tc>
      </w:tr>
      <w:tr>
        <w:trPr>
          <w:trHeight w:val="549"/>
        </w:trPr>
        <w:tc>
          <w:tcPr>
            <w:tcBorders>
              <w:top w:val="single" w:color="000000" w:sz="4" w:space="0"/>
              <w:left w:val="single" w:color="000000" w:sz="4" w:space="0"/>
              <w:bottom w:val="none" w:color="000000" w:sz="0" w:space="0"/>
              <w:right w:val="single" w:color="000000" w:sz="4" w:space="0"/>
            </w:tcBorders>
            <w:tcW w:w="691" w:type="dxa"/>
            <w:vAlign w:val="center"/>
            <w:vMerge w:val="restart"/>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3</w:t>
            </w:r>
            <w:r>
              <w:rPr>
                <w:rFonts w:hint="eastAsia" w:ascii="宋体" w:hAnsi="宋体" w:cs="宋体"/>
                <w:sz w:val="24"/>
                <w:szCs w:val="24"/>
                <w:lang w:bidi="ar"/>
              </w:rPr>
            </w:r>
            <w:r/>
          </w:p>
        </w:tc>
        <w:tc>
          <w:tcPr>
            <w:tcBorders>
              <w:top w:val="single" w:color="000000" w:sz="4" w:space="0"/>
              <w:left w:val="single" w:color="000000" w:sz="4" w:space="0"/>
              <w:bottom w:val="none" w:color="000000" w:sz="0" w:space="0"/>
              <w:right w:val="single" w:color="000000" w:sz="4" w:space="0"/>
            </w:tcBorders>
            <w:tcW w:w="1403" w:type="dxa"/>
            <w:vAlign w:val="center"/>
            <w:vMerge w:val="restart"/>
            <w:textDirection w:val="lrTb"/>
            <w:noWrap w:val="false"/>
          </w:tcPr>
          <w:p>
            <w:pPr>
              <w:pStyle w:val="920"/>
              <w:spacing w:line="400" w:lineRule="exact"/>
              <w:rPr>
                <w:rFonts w:ascii="宋体" w:hAnsi="宋体" w:cs="宋体"/>
                <w:sz w:val="24"/>
                <w:szCs w:val="24"/>
                <w:lang w:bidi="ar"/>
              </w:rPr>
            </w:pPr>
            <w:r>
              <w:rPr>
                <w:rFonts w:hint="eastAsia" w:ascii="宋体" w:hAnsi="宋体" w:cs="宋体"/>
                <w:sz w:val="24"/>
                <w:szCs w:val="24"/>
                <w:lang w:bidi="ar"/>
              </w:rPr>
              <w:t xml:space="preserve">科研管理</w:t>
            </w:r>
            <w:r>
              <w:rPr>
                <w:rFonts w:ascii="宋体" w:hAnsi="宋体" w:cs="宋体"/>
                <w:sz w:val="24"/>
                <w:szCs w:val="24"/>
                <w:lang w:bidi="ar"/>
              </w:rPr>
            </w:r>
            <w:r/>
          </w:p>
        </w:tc>
        <w:tc>
          <w:tcPr>
            <w:tcBorders>
              <w:top w:val="single" w:color="000000" w:sz="4" w:space="0"/>
              <w:left w:val="single" w:color="000000" w:sz="4" w:space="0"/>
              <w:bottom w:val="none" w:color="000000" w:sz="0" w:space="0"/>
              <w:right w:val="single" w:color="000000" w:sz="4" w:space="0"/>
            </w:tcBorders>
            <w:tcW w:w="1618" w:type="dxa"/>
            <w:vAlign w:val="center"/>
            <w:vMerge w:val="restart"/>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科研用款申请</w:t>
            </w:r>
            <w:r>
              <w:rPr>
                <w:rFonts w:hint="eastAsia" w:ascii="宋体" w:hAnsi="宋体" w:cs="宋体"/>
                <w:color w:val="000000"/>
                <w:sz w:val="24"/>
                <w:szCs w:val="24"/>
                <w:lang w:bidi="ar"/>
              </w:rPr>
            </w:r>
            <w:r/>
          </w:p>
          <w:p>
            <w:pPr>
              <w:pStyle w:val="920"/>
              <w:spacing w:line="400" w:lineRule="exact"/>
              <w:rPr>
                <w:rFonts w:ascii="宋体" w:hAnsi="宋体" w:cs="宋体"/>
                <w:color w:val="000000"/>
                <w:sz w:val="24"/>
                <w:szCs w:val="24"/>
                <w:lang w:bidi="ar"/>
              </w:rPr>
            </w:pPr>
            <w:r>
              <w:rPr>
                <w:rFonts w:hint="eastAsia" w:ascii="宋体" w:hAnsi="宋体" w:cs="宋体"/>
                <w:color w:val="000000"/>
                <w:sz w:val="24"/>
                <w:szCs w:val="24"/>
                <w:lang w:bidi="ar"/>
              </w:rPr>
              <w:t xml:space="preserve">（需提供同类项目类似系统功能截图）</w:t>
            </w: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1）流程融合。将原先相互独立的科研用款申请、设备购置申请、采购审批等流程合并为统一的科研用款申请流程，实现“一件事情走一个流程”，从根本上避免预算重复冻结。</w:t>
            </w:r>
            <w:r>
              <w:rPr>
                <w:rFonts w:hint="eastAsia" w:ascii="宋体" w:hAnsi="宋体" w:cs="宋体"/>
                <w:sz w:val="24"/>
                <w:szCs w:val="24"/>
                <w:lang w:bidi="ar"/>
              </w:rPr>
            </w:r>
            <w:r/>
          </w:p>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在统一的用款申请流程内，系统根据申请金额、采购归口部门（科技发展科/技术质量科/信息化管理科/保障服务科/无归口）、是否用印、项目类型等条件自动匹配差异化审批链路；不同归口部门动态展示差异化表单字段，实现审批节点的智能路由。</w:t>
            </w:r>
            <w:r>
              <w:rPr>
                <w:rFonts w:hint="eastAsia" w:ascii="宋体" w:hAnsi="宋体" w:cs="宋体"/>
                <w:sz w:val="24"/>
                <w:szCs w:val="24"/>
                <w:lang w:bidi="ar"/>
              </w:rPr>
            </w:r>
            <w:r/>
          </w:p>
        </w:tc>
      </w:tr>
      <w:tr>
        <w:trPr>
          <w:trHeight w:val="1603"/>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618"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rPr>
            </w:pPr>
            <w:r>
              <w:rPr>
                <w:rFonts w:hint="eastAsia" w:ascii="宋体" w:hAnsi="宋体" w:cs="宋体"/>
                <w:sz w:val="24"/>
                <w:szCs w:val="24"/>
                <w:lang w:bidi="ar"/>
              </w:rPr>
              <w:t xml:space="preserve">2）用款支付。用款申请结束后，支持按单笔或多笔预算灵活发起报销支付，对应明细自动带入报销单且不可删减，并自动关联报销链接，确保财务数据与用款申请严格一致。</w:t>
            </w:r>
            <w:r>
              <w:rPr>
                <w:rFonts w:hint="eastAsia"/>
              </w:rPr>
            </w:r>
            <w:r/>
          </w:p>
        </w:tc>
      </w:tr>
      <w:tr>
        <w:trPr>
          <w:trHeight w:val="549"/>
        </w:trPr>
        <w:tc>
          <w:tcPr>
            <w:tcBorders>
              <w:top w:val="none" w:color="000000" w:sz="0"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single" w:color="000000" w:sz="4"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bidi="ar"/>
              </w:rPr>
              <w:t xml:space="preserve">）</w:t>
            </w:r>
            <w:r>
              <w:rPr>
                <w:rFonts w:hint="eastAsia" w:ascii="宋体" w:hAnsi="宋体" w:cs="宋体"/>
                <w:color w:val="0f1115"/>
                <w:sz w:val="24"/>
                <w:szCs w:val="24"/>
                <w:shd w:val="clear" w:color="auto" w:fill="ffffff"/>
              </w:rPr>
              <w:t xml:space="preserve">科研预算执行进度看板</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color w:val="0f1115"/>
                <w:sz w:val="24"/>
                <w:szCs w:val="24"/>
                <w:shd w:val="clear" w:color="auto" w:fill="ffffff"/>
              </w:rPr>
            </w:pPr>
            <w:r>
              <w:rPr>
                <w:rFonts w:hint="eastAsia" w:ascii="宋体" w:hAnsi="宋体" w:cs="宋体"/>
                <w:color w:val="0f1115"/>
                <w:sz w:val="24"/>
                <w:szCs w:val="24"/>
                <w:shd w:val="clear" w:color="auto" w:fill="ffffff"/>
              </w:rPr>
              <w:t xml:space="preserve">展示项目基本信息、项目总预算、总用款进度、总报销进度及用款报销金额</w:t>
            </w:r>
            <w:r>
              <w:rPr>
                <w:rFonts w:ascii="宋体" w:hAnsi="宋体" w:cs="宋体"/>
                <w:color w:val="0f1115"/>
                <w:sz w:val="24"/>
                <w:szCs w:val="24"/>
                <w:shd w:val="clear" w:color="auto" w:fill="ffffff"/>
              </w:rPr>
              <w:t xml:space="preserve">,</w:t>
            </w:r>
            <w:r>
              <w:rPr>
                <w:rFonts w:hint="eastAsia" w:ascii="宋体" w:hAnsi="宋体" w:cs="宋体"/>
                <w:color w:val="0f1115"/>
                <w:sz w:val="24"/>
                <w:szCs w:val="24"/>
                <w:shd w:val="clear" w:color="auto" w:fill="ffffff"/>
              </w:rPr>
              <w:t xml:space="preserve">并支持导出。</w:t>
            </w:r>
            <w:r>
              <w:rPr>
                <w:rFonts w:hint="eastAsia" w:ascii="宋体" w:hAnsi="宋体" w:cs="宋体"/>
                <w:color w:val="0f1115"/>
                <w:sz w:val="24"/>
                <w:szCs w:val="24"/>
                <w:shd w:val="clear" w:color="auto" w:fill="ffffff"/>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人员能力确认和授权</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人员授权按“两阶段、三部分”管理，两阶段包括人员能力确认、人员授权；三部分为检定/校准/法定机构检测/核验/方法验证人员授权书、抽样人员授权书、CNAS+CMA检测/核验/方法验证人员授权书，并支持对具备能力人员及时授权。</w:t>
            </w:r>
            <w:r>
              <w:rPr>
                <w:rFonts w:hint="eastAsia"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none" w:color="000000" w:sz="0" w:space="0"/>
              <w:right w:val="single" w:color="000000" w:sz="4" w:space="0"/>
            </w:tcBorders>
            <w:tcW w:w="1618" w:type="dxa"/>
            <w:vAlign w:val="center"/>
            <w:vMerge w:val="restart"/>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人员画像（需提供同类项目类似系统功能截图）</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1）个人首页。基于现有人员信息构建全面的人员画像，首页按年度展示检定校准/检验检测、资产管理、科研/能力提升/专业委员会、培训/会议/考核评审、出差以及质量管理等多维度统计信息。</w:t>
            </w:r>
            <w:r>
              <w:rPr>
                <w:rFonts w:hint="eastAsia" w:ascii="宋体" w:hAnsi="宋体" w:cs="宋体"/>
                <w:sz w:val="24"/>
                <w:szCs w:val="24"/>
                <w:lang w:bidi="ar"/>
              </w:rPr>
            </w:r>
            <w:r/>
          </w:p>
        </w:tc>
      </w:tr>
      <w:tr>
        <w:trPr>
          <w:trHeight w:val="90"/>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single" w:color="000000" w:sz="4" w:space="0"/>
              <w:right w:val="single" w:color="000000" w:sz="4" w:space="0"/>
            </w:tcBorders>
            <w:tcW w:w="1618" w:type="dxa"/>
            <w:vAlign w:val="center"/>
            <w:vMerge w:val="continue"/>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ascii="宋体" w:hAnsi="宋体" w:cs="宋体"/>
                <w:sz w:val="24"/>
                <w:szCs w:val="24"/>
                <w:lang w:bidi="ar"/>
              </w:rPr>
            </w:pPr>
            <w:r>
              <w:rPr>
                <w:rFonts w:hint="eastAsia" w:ascii="宋体" w:hAnsi="宋体" w:cs="宋体"/>
                <w:sz w:val="24"/>
                <w:szCs w:val="24"/>
                <w:lang w:bidi="ar"/>
              </w:rPr>
              <w:t xml:space="preserve">2）技术档案。结构化展示人员基本信息、学历信息、人员资质与授权信息，分类管理科研项目、能力提升项目、专业委员会任职、论文/专利/软著成果，关联的培训/会议/参加考核评审流程，以及资产明细和其他技术材料，实现对人员综合能力与业务贡献的数字化全景呈现。</w:t>
            </w:r>
            <w:r>
              <w:rPr>
                <w:rFonts w:ascii="宋体" w:hAnsi="宋体" w:cs="宋体"/>
                <w:sz w:val="24"/>
                <w:szCs w:val="24"/>
                <w:lang w:bidi="ar"/>
              </w:rPr>
            </w:r>
            <w:r/>
          </w:p>
        </w:tc>
      </w:tr>
      <w:tr>
        <w:trPr>
          <w:trHeight w:val="549"/>
        </w:trPr>
        <w:tc>
          <w:tcPr>
            <w:tcBorders>
              <w:top w:val="none" w:color="000000" w:sz="0"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single" w:color="000000" w:sz="4"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17</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劳务派遣人员用工考核（需提供同类项目类似系统功能截图）</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构建劳务派遣人员用工考核流程，实现从登记到归档的全链路闭环管理。流程由人事教育科发起登记，经被考核人确认、部门负责人审批、分管院长审核、党委会审议及院长批示后，最终自动回退至原发起人进行办理归档；系统支持根据被考核人属性动态匹配分管院长，以规范考核审批路径并落实责任主体。</w:t>
            </w:r>
            <w:r>
              <w:rPr>
                <w:rFonts w:hint="eastAsia" w:ascii="宋体" w:hAnsi="宋体" w:cs="宋体"/>
                <w:sz w:val="24"/>
                <w:szCs w:val="24"/>
                <w:lang w:bidi="ar"/>
              </w:rPr>
            </w:r>
            <w:r/>
          </w:p>
        </w:tc>
      </w:tr>
      <w:tr>
        <w:trPr>
          <w:trHeight w:val="549"/>
        </w:trPr>
        <w:tc>
          <w:tcPr>
            <w:tcBorders>
              <w:top w:val="single" w:color="000000" w:sz="4" w:space="0"/>
              <w:left w:val="single" w:color="000000" w:sz="4" w:space="0"/>
              <w:bottom w:val="none" w:color="000000" w:sz="0" w:space="0"/>
              <w:right w:val="single" w:color="000000" w:sz="4" w:space="0"/>
            </w:tcBorders>
            <w:tcW w:w="691" w:type="dxa"/>
            <w:vAlign w:val="center"/>
            <w:vMerge w:val="restart"/>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5</w:t>
            </w:r>
            <w:r>
              <w:rPr>
                <w:rFonts w:hint="eastAsia" w:ascii="宋体" w:hAnsi="宋体" w:cs="宋体"/>
                <w:sz w:val="24"/>
                <w:szCs w:val="24"/>
                <w:lang w:bidi="ar"/>
              </w:rPr>
            </w:r>
            <w:r/>
          </w:p>
        </w:tc>
        <w:tc>
          <w:tcPr>
            <w:tcBorders>
              <w:top w:val="single" w:color="000000" w:sz="4" w:space="0"/>
              <w:left w:val="single" w:color="000000" w:sz="4" w:space="0"/>
              <w:bottom w:val="none" w:color="000000" w:sz="0" w:space="0"/>
              <w:right w:val="single" w:color="000000" w:sz="4" w:space="0"/>
            </w:tcBorders>
            <w:tcW w:w="1403" w:type="dxa"/>
            <w:vAlign w:val="center"/>
            <w:vMerge w:val="restart"/>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业务处理</w:t>
            </w:r>
            <w:r>
              <w:rPr>
                <w:rFonts w:hint="eastAsia" w:ascii="宋体" w:hAnsi="宋体" w:cs="宋体"/>
                <w:sz w:val="24"/>
                <w:szCs w:val="24"/>
                <w:lang w:bidi="ar"/>
              </w:rPr>
            </w:r>
            <w:r/>
          </w:p>
        </w:tc>
        <w:tc>
          <w:tcPr>
            <w:tcBorders>
              <w:top w:val="single" w:color="000000" w:sz="4" w:space="0"/>
              <w:left w:val="single" w:color="000000" w:sz="4" w:space="0"/>
              <w:bottom w:val="none" w:color="000000" w:sz="0" w:space="0"/>
              <w:right w:val="single" w:color="000000" w:sz="4" w:space="0"/>
            </w:tcBorders>
            <w:tcW w:w="1618" w:type="dxa"/>
            <w:vAlign w:val="center"/>
            <w:vMerge w:val="restart"/>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18</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云送检（需提供同类项目类似系统功能截图）</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rPr>
            </w:pPr>
            <w:r>
              <w:rPr>
                <w:rFonts w:hint="eastAsia" w:ascii="宋体" w:hAnsi="宋体" w:cs="宋体"/>
                <w:sz w:val="24"/>
                <w:szCs w:val="24"/>
                <w:lang w:bidi="ar"/>
              </w:rPr>
              <w:t xml:space="preserve">1）客户登录服务平台选择“云送检”类型发起预约，支持新增、模板导入、历史/托管库选择等多种方式添加器具；提交时完成电子签名，未签可补签，签后填写寄出快递单号。</w:t>
            </w:r>
            <w:r>
              <w:rPr>
                <w:rFonts w:hint="eastAsia"/>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618" w:type="dxa"/>
            <w:vAlign w:val="center"/>
            <w:vMerge w:val="continue"/>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2）业务人员通过智慧管理平台-云送检查询预约单，收货核查无误后生成委托单进行业务受理。</w:t>
            </w:r>
            <w:r>
              <w:rPr>
                <w:rFonts w:hint="eastAsia"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single" w:color="000000" w:sz="4" w:space="0"/>
              <w:right w:val="single" w:color="000000" w:sz="4" w:space="0"/>
            </w:tcBorders>
            <w:tcW w:w="1618" w:type="dxa"/>
            <w:vAlign w:val="center"/>
            <w:vMerge w:val="continue"/>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3）检测完成后录入寄回快递单号并同步至客户端；客户确认收货后完成云送检流程，实现全流程闭环。</w:t>
            </w:r>
            <w:r>
              <w:rPr>
                <w:rFonts w:hint="eastAsia"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19</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电子承兑签收申请及确认</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ascii="宋体" w:hAnsi="宋体" w:cs="宋体"/>
                <w:sz w:val="24"/>
                <w:szCs w:val="24"/>
                <w:lang w:bidi="ar"/>
              </w:rPr>
            </w:pPr>
            <w:r>
              <w:rPr>
                <w:rFonts w:hint="eastAsia" w:ascii="宋体" w:hAnsi="宋体" w:cs="宋体"/>
                <w:sz w:val="24"/>
                <w:szCs w:val="24"/>
                <w:lang w:bidi="ar"/>
              </w:rPr>
              <w:t xml:space="preserve">支持线上申请，录入电子承兑流水号、付款单位、金额、票据到期日等必填信息；按“是否为借票”动态显示并校验“借票号”；“收费确认时间”自动关联上游收费确认模块，不可修改。流程由申请人发起，依次流转至部门负责人、业务管理科以及财务科，申请人确认签收结果后，由业务管理科按银行实际到账情况完成核销归档，确保准确、可追溯。</w:t>
            </w:r>
            <w:r>
              <w:rPr>
                <w:rFonts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none" w:color="000000" w:sz="0" w:space="0"/>
              <w:right w:val="single" w:color="000000" w:sz="4" w:space="0"/>
            </w:tcBorders>
            <w:tcW w:w="1618" w:type="dxa"/>
            <w:vAlign w:val="center"/>
            <w:vMerge w:val="restart"/>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en-US" w:eastAsia="zh-CN" w:bidi="ar"/>
              </w:rPr>
              <w:t xml:space="preserve">0</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预收费管理</w:t>
            </w:r>
            <w:r>
              <w:rPr>
                <w:rFonts w:hint="eastAsia" w:ascii="宋体" w:hAnsi="宋体" w:cs="宋体"/>
                <w:color w:val="000000"/>
                <w:sz w:val="24"/>
                <w:szCs w:val="24"/>
                <w:lang w:bidi="ar"/>
              </w:rPr>
            </w:r>
            <w:r/>
          </w:p>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（需提供同类项目类似系统功能截图）</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pPr>
            <w:r>
              <w:rPr>
                <w:rFonts w:hint="eastAsia" w:ascii="宋体" w:hAnsi="宋体" w:cs="宋体"/>
                <w:sz w:val="24"/>
                <w:szCs w:val="24"/>
                <w:lang w:bidi="ar"/>
              </w:rPr>
              <w:t xml:space="preserve">1）预收登记。新增「预收登记管理」模块，录入客户预收信息，包含单位账号、充值金额、票本号等，建立客户预收资金池。支持查看单位的预收明细流水及扣款明细。</w:t>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618"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rPr>
            </w:pPr>
            <w:r>
              <w:rPr>
                <w:rFonts w:hint="eastAsia" w:ascii="宋体" w:hAnsi="宋体" w:cs="宋体"/>
                <w:sz w:val="24"/>
                <w:szCs w:val="24"/>
                <w:lang w:bidi="ar"/>
              </w:rPr>
              <w:t xml:space="preserve">2）收费冲账。在「收费确认」模块选择“冲预收”方式，系统自动拉取余额并支持余额不足时先预收再冲账，确认后，系统自动完成冲账全流程；</w:t>
            </w:r>
            <w:r>
              <w:rPr>
                <w:rFonts w:hint="eastAsia"/>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single" w:color="000000" w:sz="4" w:space="0"/>
              <w:right w:val="single" w:color="000000" w:sz="4" w:space="0"/>
            </w:tcBorders>
            <w:tcW w:w="1618"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rPr>
            </w:pPr>
            <w:r>
              <w:rPr>
                <w:rFonts w:hint="eastAsia" w:ascii="宋体" w:hAnsi="宋体" w:cs="宋体"/>
                <w:sz w:val="24"/>
                <w:szCs w:val="24"/>
                <w:lang w:bidi="ar"/>
              </w:rPr>
              <w:t xml:space="preserve">3）退冲预收。若操作有误，可通过「退收费」模块进行退冲预收，系统将自动扣减累计金额、恢复原预收余额并生成追溯日志，确保数据准确。</w:t>
            </w:r>
            <w:r>
              <w:rPr>
                <w:rFonts w:hint="eastAsia"/>
              </w:rPr>
            </w:r>
            <w:r/>
          </w:p>
        </w:tc>
      </w:tr>
      <w:tr>
        <w:trPr>
          <w:trHeight w:val="549"/>
        </w:trPr>
        <w:tc>
          <w:tcPr>
            <w:tcBorders>
              <w:top w:val="none" w:color="000000" w:sz="0"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single" w:color="000000" w:sz="4"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）业务消化能力表</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1）根据标准收费代码、检测所进行统计，按照消化能力（消化能力 = 实际完成时间/服务承诺时间）从高到低排序；</w:t>
            </w:r>
            <w:r>
              <w:rPr>
                <w:rFonts w:hint="eastAsia" w:ascii="宋体" w:hAnsi="宋体" w:cs="宋体"/>
                <w:color w:val="000000"/>
                <w:sz w:val="24"/>
                <w:szCs w:val="24"/>
                <w:lang w:bidi="ar"/>
              </w:rPr>
            </w:r>
            <w:r/>
          </w:p>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消化能力计算公式为：先计算单个器具的消化能力：实际完成时间/服务承诺时间，（先求和再平均）</w:t>
            </w:r>
            <w:r>
              <w:rPr>
                <w:rFonts w:hint="eastAsia" w:ascii="宋体" w:hAnsi="宋体" w:cs="宋体"/>
                <w:color w:val="000000"/>
                <w:sz w:val="24"/>
                <w:szCs w:val="24"/>
                <w:lang w:bidi="ar"/>
              </w:rPr>
            </w:r>
            <w:r/>
          </w:p>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2）同时需要有明细表，明细表展示检测所、检测人、大单号、唯一性号、器具名称、标准收费代码、完工时间、服务承诺时间、实际完成时间、消化能力等字段。</w:t>
            </w:r>
            <w:r>
              <w:rPr>
                <w:rFonts w:hint="eastAsia" w:ascii="宋体" w:hAnsi="宋体" w:cs="宋体"/>
                <w:color w:val="000000"/>
                <w:sz w:val="24"/>
                <w:szCs w:val="24"/>
                <w:lang w:bidi="ar"/>
              </w:rPr>
            </w:r>
            <w:r/>
          </w:p>
        </w:tc>
      </w:tr>
      <w:tr>
        <w:trPr>
          <w:trHeight w:val="549"/>
        </w:trPr>
        <w:tc>
          <w:tcPr>
            <w:tcBorders>
              <w:top w:val="none" w:color="000000" w:sz="0"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single" w:color="000000" w:sz="4"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物流送达时间效率统计表</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为方便统计仪器流转时效，需增加物流送达时间效率统计表，公式为：当日所录入仪器的唯一性号数送达到流转间所用时间的总和除以当日所录入仪器的唯一性号数的总数。添加搜索条件：送检日期起始、送达时间起始，检测所，受理地。</w:t>
            </w:r>
            <w:r>
              <w:rPr>
                <w:rFonts w:hint="eastAsia" w:ascii="宋体" w:hAnsi="宋体" w:cs="宋体"/>
                <w:sz w:val="24"/>
                <w:szCs w:val="24"/>
                <w:lang w:bidi="ar"/>
              </w:rPr>
            </w:r>
            <w:r/>
          </w:p>
        </w:tc>
      </w:tr>
      <w:tr>
        <w:trPr>
          <w:trHeight w:val="549"/>
        </w:trPr>
        <w:tc>
          <w:tcPr>
            <w:tcBorders>
              <w:top w:val="none" w:color="000000" w:sz="0"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single" w:color="000000" w:sz="4"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完工业务统计报表</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根据完工时间、是否退检、检测所实时查询完工业务量，按检定/校准、委托检测、免费强检、型式评价、自检等多纬度分类统计，支持年度总量对比。</w:t>
            </w:r>
            <w:r>
              <w:rPr>
                <w:rFonts w:hint="eastAsia" w:ascii="宋体" w:hAnsi="宋体" w:cs="宋体"/>
                <w:sz w:val="24"/>
                <w:szCs w:val="24"/>
                <w:lang w:bidi="ar"/>
              </w:rPr>
            </w:r>
            <w:r/>
          </w:p>
        </w:tc>
      </w:tr>
      <w:tr>
        <w:trPr>
          <w:trHeight w:val="549"/>
        </w:trPr>
        <w:tc>
          <w:tcPr>
            <w:tcBorders>
              <w:top w:val="none" w:color="000000" w:sz="0"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single" w:color="000000" w:sz="4"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物品入库/出库记录管理</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新增单一物资（供应品、耗材等）的专项查询与统计功能，支持按物品名称、型号等条件，精准检索并独立展示物品的出库明细；同时完善出库模块的检索能力，增加针对单一物品的独立搜索操作入口，满足日常业务查询需要。</w:t>
            </w:r>
            <w:r>
              <w:rPr>
                <w:rFonts w:hint="eastAsia" w:ascii="宋体" w:hAnsi="宋体" w:cs="宋体"/>
                <w:sz w:val="24"/>
                <w:szCs w:val="24"/>
                <w:lang w:bidi="ar"/>
              </w:rPr>
            </w:r>
            <w:r/>
          </w:p>
        </w:tc>
      </w:tr>
      <w:tr>
        <w:trPr>
          <w:trHeight w:val="533"/>
        </w:trPr>
        <w:tc>
          <w:tcPr>
            <w:tcBorders>
              <w:top w:val="single" w:color="000000" w:sz="4" w:space="0"/>
              <w:left w:val="single" w:color="000000" w:sz="4" w:space="0"/>
              <w:bottom w:val="none" w:color="000000" w:sz="0" w:space="0"/>
              <w:right w:val="single" w:color="000000" w:sz="4" w:space="0"/>
            </w:tcBorders>
            <w:tcW w:w="691" w:type="dxa"/>
            <w:vAlign w:val="center"/>
            <w:vMerge w:val="restart"/>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6</w:t>
            </w:r>
            <w:r>
              <w:rPr>
                <w:rFonts w:hint="eastAsia" w:ascii="宋体" w:hAnsi="宋体" w:cs="宋体"/>
                <w:sz w:val="24"/>
                <w:szCs w:val="24"/>
                <w:lang w:bidi="ar"/>
              </w:rPr>
            </w:r>
            <w:r/>
          </w:p>
        </w:tc>
        <w:tc>
          <w:tcPr>
            <w:tcBorders>
              <w:top w:val="single" w:color="000000" w:sz="4" w:space="0"/>
              <w:left w:val="single" w:color="000000" w:sz="4" w:space="0"/>
              <w:bottom w:val="none" w:color="000000" w:sz="0" w:space="0"/>
              <w:right w:val="single" w:color="000000" w:sz="4" w:space="0"/>
            </w:tcBorders>
            <w:tcW w:w="1403" w:type="dxa"/>
            <w:vAlign w:val="center"/>
            <w:vMerge w:val="restart"/>
            <w:textDirection w:val="lrTb"/>
            <w:noWrap w:val="false"/>
          </w:tcPr>
          <w:p>
            <w:pPr>
              <w:pStyle w:val="920"/>
              <w:spacing w:line="400" w:lineRule="exact"/>
              <w:rPr>
                <w:rFonts w:ascii="宋体" w:hAnsi="宋体" w:cs="宋体"/>
                <w:sz w:val="24"/>
                <w:szCs w:val="24"/>
                <w:lang w:bidi="ar"/>
              </w:rPr>
            </w:pPr>
            <w:r>
              <w:rPr>
                <w:rFonts w:hint="eastAsia" w:ascii="宋体" w:hAnsi="宋体" w:cs="宋体"/>
                <w:sz w:val="24"/>
                <w:szCs w:val="24"/>
                <w:lang w:bidi="ar"/>
              </w:rPr>
              <w:t xml:space="preserve">质量管理</w:t>
            </w:r>
            <w:r>
              <w:rPr>
                <w:rFonts w:ascii="宋体" w:hAnsi="宋体" w:cs="宋体"/>
                <w:sz w:val="24"/>
                <w:szCs w:val="24"/>
                <w:lang w:bidi="ar"/>
              </w:rPr>
            </w:r>
            <w:r/>
          </w:p>
        </w:tc>
        <w:tc>
          <w:tcPr>
            <w:tcBorders>
              <w:top w:val="single" w:color="000000" w:sz="4" w:space="0"/>
              <w:left w:val="single" w:color="000000" w:sz="4" w:space="0"/>
              <w:bottom w:val="none" w:color="000000" w:sz="0" w:space="0"/>
              <w:right w:val="single" w:color="000000" w:sz="4" w:space="0"/>
            </w:tcBorders>
            <w:tcW w:w="1618" w:type="dxa"/>
            <w:vAlign w:val="center"/>
            <w:vMerge w:val="restart"/>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收费抽查任务</w:t>
            </w:r>
            <w:r>
              <w:rPr>
                <w:rFonts w:hint="eastAsia" w:ascii="宋体" w:hAnsi="宋体" w:cs="宋体"/>
                <w:color w:val="000000"/>
                <w:sz w:val="24"/>
                <w:szCs w:val="24"/>
                <w:lang w:bidi="ar"/>
              </w:rPr>
            </w:r>
            <w:r/>
          </w:p>
          <w:p>
            <w:pPr>
              <w:pStyle w:val="920"/>
              <w:spacing w:line="400" w:lineRule="exact"/>
              <w:rPr>
                <w:rFonts w:ascii="宋体" w:hAnsi="宋体" w:cs="宋体"/>
                <w:color w:val="000000"/>
                <w:sz w:val="24"/>
                <w:szCs w:val="24"/>
                <w:lang w:bidi="ar"/>
              </w:rPr>
            </w:pPr>
            <w:r>
              <w:rPr>
                <w:rFonts w:hint="eastAsia" w:ascii="宋体" w:hAnsi="宋体" w:cs="宋体"/>
                <w:color w:val="000000"/>
                <w:sz w:val="24"/>
                <w:szCs w:val="24"/>
                <w:lang w:bidi="ar"/>
              </w:rPr>
              <w:t xml:space="preserve">（需提供同类项目类似系统功能截图）</w:t>
            </w: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1）收费抽查任务生成：系统按月自动抽取上月完工证书，按业务类型以10%比例随机生成抽查任务，支持按部门、完工日期等自定义筛选，自动生成抽查批次号用于追溯。</w:t>
            </w:r>
            <w:r>
              <w:rPr>
                <w:rFonts w:hint="eastAsia" w:ascii="宋体" w:hAnsi="宋体" w:cs="宋体"/>
                <w:sz w:val="24"/>
                <w:szCs w:val="24"/>
                <w:lang w:bidi="ar"/>
              </w:rPr>
            </w:r>
            <w:r/>
          </w:p>
        </w:tc>
      </w:tr>
      <w:tr>
        <w:trPr>
          <w:trHeight w:val="533"/>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spacing w:line="400" w:lineRule="exact"/>
            </w:p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pPr>
            <w:r/>
            <w:r/>
          </w:p>
        </w:tc>
        <w:tc>
          <w:tcPr>
            <w:tcBorders>
              <w:top w:val="none" w:color="000000" w:sz="0" w:space="0"/>
              <w:left w:val="single" w:color="000000" w:sz="4" w:space="0"/>
              <w:bottom w:val="none" w:color="000000" w:sz="0" w:space="0"/>
              <w:right w:val="single" w:color="000000" w:sz="4" w:space="0"/>
            </w:tcBorders>
            <w:tcW w:w="1618" w:type="dxa"/>
            <w:vAlign w:val="center"/>
            <w:vMerge w:val="continue"/>
            <w:textDirection w:val="lrTb"/>
            <w:noWrap w:val="false"/>
          </w:tcPr>
          <w:p>
            <w:pPr>
              <w:pStyle w:val="920"/>
              <w:spacing w:line="400" w:lineRule="exact"/>
            </w:p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2）任务分配：任务生成后手动分配给对应检测所抽查员账号，需指定“要求完成日期”用于控制时效，抽查员登录系统即可查看待办任务。</w:t>
            </w:r>
            <w:r>
              <w:rPr>
                <w:rFonts w:hint="eastAsia" w:ascii="宋体" w:hAnsi="宋体" w:cs="宋体"/>
                <w:sz w:val="24"/>
                <w:szCs w:val="24"/>
                <w:lang w:bidi="ar"/>
              </w:rPr>
            </w:r>
            <w:r/>
          </w:p>
        </w:tc>
      </w:tr>
      <w:tr>
        <w:trPr>
          <w:trHeight w:val="533"/>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618"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3）抽查员处理界面：抽查员首页展示待处理任务，抽查列表含大单号、唯一性号、委托单位、器具信息、收费情况等关键字段，支持选择抽查结论、填写抽查说明，点击唯一性号可查看证书信息、电子原始记录及检测样机完整信息。</w:t>
            </w:r>
            <w:r>
              <w:rPr>
                <w:rFonts w:hint="eastAsia"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功能检查计划</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定期生成功能检查（通知）计划，展示展示仪器设备名称、型号规格、编号、使用部门、功能状态检查情况、检查日期、检查周期、设备保管人信息，保管人在首页填写功能状态检查情况，系统自动更新检查时间，实现计划下单和收集。</w:t>
            </w:r>
            <w:r>
              <w:rPr>
                <w:rFonts w:hint="eastAsia" w:ascii="宋体" w:hAnsi="宋体" w:cs="宋体"/>
                <w:color w:val="000000"/>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27</w:t>
            </w:r>
            <w:r>
              <w:rPr>
                <w:rFonts w:hint="eastAsia" w:ascii="宋体" w:hAnsi="宋体" w:cs="宋体"/>
                <w:color w:val="000000"/>
                <w:sz w:val="24"/>
                <w:szCs w:val="24"/>
                <w:lang w:bidi="ar"/>
              </w:rPr>
              <w:t xml:space="preserve">）标准器限量配置管理</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支持根据系统标准器配置调取数量、场所调取数配置，证书录入时达到上限自动预警。</w:t>
            </w:r>
            <w:r>
              <w:rPr>
                <w:rFonts w:hint="eastAsia" w:ascii="宋体" w:hAnsi="宋体" w:cs="宋体"/>
                <w:color w:val="000000"/>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28</w:t>
            </w:r>
            <w:r>
              <w:rPr>
                <w:rFonts w:hint="eastAsia" w:ascii="宋体" w:hAnsi="宋体" w:cs="宋体"/>
                <w:color w:val="000000"/>
                <w:sz w:val="24"/>
                <w:szCs w:val="24"/>
                <w:lang w:bidi="ar"/>
              </w:rPr>
              <w:t xml:space="preserve">）人员限量配置管理</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支持根据系统人员配置出具证书数量、不同场所数，同事证书录入时达到上限自动预警。</w:t>
            </w:r>
            <w:r>
              <w:rPr>
                <w:rFonts w:hint="eastAsia" w:ascii="宋体" w:hAnsi="宋体" w:cs="宋体"/>
                <w:color w:val="000000"/>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29</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仪器设备使用维护记录</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基于证书/报告调用的仪器设备，在“仪器设备使用维护记录”表单中自动记录设备维护使用情况。设备信息、使用人、维护记录、溯源证书号、质量监督员等数据自动从仪器设备库及证书/报告信息中关联生成。</w:t>
            </w:r>
            <w:r>
              <w:rPr>
                <w:rFonts w:hint="eastAsia" w:ascii="宋体" w:hAnsi="宋体" w:cs="宋体"/>
                <w:color w:val="000000"/>
                <w:sz w:val="24"/>
                <w:szCs w:val="24"/>
                <w:lang w:bidi="ar"/>
              </w:rPr>
            </w:r>
            <w:r/>
          </w:p>
        </w:tc>
      </w:tr>
      <w:tr>
        <w:trPr>
          <w:trHeight w:val="549"/>
        </w:trPr>
        <w:tc>
          <w:tcPr>
            <w:tcBorders>
              <w:top w:val="none" w:color="000000" w:sz="0"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single" w:color="000000" w:sz="4"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en-US" w:eastAsia="zh-CN" w:bidi="ar"/>
              </w:rPr>
              <w:t xml:space="preserve">0</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价格实施跟踪统计表</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新增价格实施跟踪统计表，支持按检测所、检定员、签约部门、签约人、器具名称、业务性质、业务类型、依据规程/规范、已付费、台件数及送检日期、完工日期、付款日期区间等条件组合查询并导出。</w:t>
            </w:r>
            <w:r>
              <w:rPr>
                <w:rFonts w:hint="eastAsia" w:ascii="宋体" w:hAnsi="宋体" w:cs="宋体"/>
                <w:sz w:val="24"/>
                <w:szCs w:val="24"/>
                <w:lang w:bidi="ar"/>
              </w:rPr>
            </w:r>
            <w:r/>
          </w:p>
        </w:tc>
      </w:tr>
      <w:tr>
        <w:trPr>
          <w:trHeight w:val="549"/>
        </w:trPr>
        <w:tc>
          <w:tcPr>
            <w:tcBorders>
              <w:top w:val="single" w:color="000000" w:sz="4" w:space="0"/>
              <w:left w:val="single" w:color="000000" w:sz="4" w:space="0"/>
              <w:bottom w:val="none" w:color="000000" w:sz="0" w:space="0"/>
              <w:right w:val="single" w:color="000000" w:sz="4" w:space="0"/>
            </w:tcBorders>
            <w:tcW w:w="691" w:type="dxa"/>
            <w:vAlign w:val="center"/>
            <w:vMerge w:val="restart"/>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7</w:t>
            </w:r>
            <w:r>
              <w:rPr>
                <w:rFonts w:hint="eastAsia" w:ascii="宋体" w:hAnsi="宋体" w:cs="宋体"/>
                <w:sz w:val="24"/>
                <w:szCs w:val="24"/>
                <w:lang w:bidi="ar"/>
              </w:rPr>
            </w:r>
            <w:r/>
          </w:p>
        </w:tc>
        <w:tc>
          <w:tcPr>
            <w:tcBorders>
              <w:top w:val="single" w:color="000000" w:sz="4" w:space="0"/>
              <w:left w:val="single" w:color="000000" w:sz="4" w:space="0"/>
              <w:bottom w:val="none" w:color="000000" w:sz="0" w:space="0"/>
              <w:right w:val="single" w:color="000000" w:sz="4" w:space="0"/>
            </w:tcBorders>
            <w:tcW w:w="1403" w:type="dxa"/>
            <w:vAlign w:val="center"/>
            <w:vMerge w:val="restart"/>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模版配置与集成对接</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ascii="宋体" w:hAnsi="宋体" w:cs="宋体"/>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w:t>
            </w:r>
            <w:r>
              <w:rPr>
                <w:rFonts w:ascii="宋体" w:hAnsi="宋体" w:cs="宋体"/>
                <w:sz w:val="24"/>
                <w:szCs w:val="24"/>
                <w:lang w:bidi="ar"/>
              </w:rPr>
              <w:t xml:space="preserve">新增电磁环境检测报告模板</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为了支撑电磁环境检测业务，新增相关固定格式的检测报告模板，模版首页展示委托单位、委托单位地址、机场或台（站），检定员录入信息后自动带入到模版中。</w:t>
            </w:r>
            <w:r>
              <w:rPr>
                <w:rFonts w:hint="eastAsia"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电能表相关型评模板自动化导入</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ascii="宋体" w:hAnsi="宋体" w:cs="宋体"/>
                <w:sz w:val="24"/>
                <w:szCs w:val="24"/>
                <w:lang w:bidi="ar"/>
              </w:rPr>
            </w:pPr>
            <w:r>
              <w:rPr>
                <w:rFonts w:hint="eastAsia" w:ascii="宋体" w:hAnsi="宋体" w:cs="宋体"/>
                <w:sz w:val="24"/>
                <w:szCs w:val="24"/>
                <w:lang w:bidi="ar"/>
              </w:rPr>
              <w:t xml:space="preserve">新增Excel数据筛选自动导入电子记录功能，完成电能表型评模板的数据字段对应与自动导入，需要结合型评模版数据，导入字段包含：项目、相线、相别、频率%、电压%、电流%、功率因素、误差、化整%、筛选%等。</w:t>
            </w:r>
            <w:r>
              <w:rPr>
                <w:rFonts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型评模板配置</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ascii="宋体" w:hAnsi="宋体" w:cs="宋体"/>
                <w:sz w:val="24"/>
                <w:szCs w:val="24"/>
                <w:lang w:bidi="ar"/>
              </w:rPr>
              <w:t xml:space="preserve">实现检验电子原始记录线上模板配置，支持智能校验，提供规则配置功能</w:t>
            </w:r>
            <w:r>
              <w:rPr>
                <w:rFonts w:hint="eastAsia" w:ascii="宋体" w:hAnsi="宋体" w:cs="宋体"/>
                <w:sz w:val="24"/>
                <w:szCs w:val="24"/>
                <w:lang w:bidi="ar"/>
              </w:rPr>
              <w:t xml:space="preserve">，新增5类型式评价模板的配置。</w:t>
            </w:r>
            <w:r>
              <w:rPr>
                <w:rFonts w:hint="eastAsia"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型式评价业务与省局系统对接</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ascii="宋体" w:hAnsi="宋体" w:cs="宋体"/>
                <w:sz w:val="24"/>
                <w:szCs w:val="24"/>
                <w:lang w:bidi="ar"/>
              </w:rPr>
            </w:pPr>
            <w:r>
              <w:rPr>
                <w:rFonts w:hint="eastAsia" w:ascii="宋体" w:hAnsi="宋体" w:cs="宋体"/>
                <w:sz w:val="24"/>
                <w:szCs w:val="24"/>
                <w:lang w:bidi="ar"/>
              </w:rPr>
              <w:t xml:space="preserve">对接省局系统，数据实现型式评价数据双向交互，包括工单获取和办理等接口。</w:t>
            </w:r>
            <w:r>
              <w:rPr>
                <w:rFonts w:ascii="宋体" w:hAnsi="宋体" w:cs="宋体"/>
                <w:sz w:val="24"/>
                <w:szCs w:val="24"/>
                <w:lang w:bidi="ar"/>
              </w:rPr>
            </w:r>
            <w:r/>
          </w:p>
        </w:tc>
      </w:tr>
      <w:tr>
        <w:trPr>
          <w:trHeight w:val="549"/>
        </w:trPr>
        <w:tc>
          <w:tcPr>
            <w:tcBorders>
              <w:top w:val="none" w:color="000000" w:sz="0" w:space="0"/>
              <w:left w:val="single" w:color="000000" w:sz="4" w:space="0"/>
              <w:bottom w:val="none" w:color="000000" w:sz="0"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none" w:color="000000" w:sz="0"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BI报表接入</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对接BI报表，将报表页面嵌入平台，实现BI报表页面无感知展示。</w:t>
            </w:r>
            <w:r>
              <w:rPr>
                <w:rFonts w:hint="eastAsia" w:ascii="宋体" w:hAnsi="宋体" w:cs="宋体"/>
                <w:sz w:val="24"/>
                <w:szCs w:val="24"/>
                <w:lang w:bidi="ar"/>
              </w:rPr>
            </w:r>
            <w:r/>
          </w:p>
        </w:tc>
      </w:tr>
      <w:tr>
        <w:trPr>
          <w:trHeight w:val="549"/>
        </w:trPr>
        <w:tc>
          <w:tcPr>
            <w:tcBorders>
              <w:top w:val="none" w:color="000000" w:sz="0"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20"/>
              <w:jc w:val="center"/>
              <w:spacing w:line="360" w:lineRule="auto"/>
              <w:rPr>
                <w:rFonts w:hint="eastAsia" w:ascii="宋体" w:hAnsi="宋体" w:cs="宋体"/>
                <w:sz w:val="24"/>
                <w:szCs w:val="24"/>
                <w:lang w:bidi="ar"/>
              </w:rPr>
            </w:pPr>
            <w:r>
              <w:rPr>
                <w:rFonts w:hint="eastAsia" w:ascii="宋体" w:hAnsi="宋体" w:cs="宋体"/>
                <w:sz w:val="24"/>
                <w:szCs w:val="24"/>
                <w:lang w:bidi="ar"/>
              </w:rPr>
            </w:r>
            <w:r/>
          </w:p>
        </w:tc>
        <w:tc>
          <w:tcPr>
            <w:tcBorders>
              <w:top w:val="none" w:color="000000" w:sz="0" w:space="0"/>
              <w:left w:val="single" w:color="000000" w:sz="4" w:space="0"/>
              <w:bottom w:val="single" w:color="000000" w:sz="4" w:space="0"/>
              <w:right w:val="single" w:color="000000" w:sz="4" w:space="0"/>
            </w:tcBorders>
            <w:tcW w:w="1403" w:type="dxa"/>
            <w:vAlign w:val="center"/>
            <w:vMerge w:val="continue"/>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w:t>
            </w:r>
            <w:r>
              <w:rPr>
                <w:rFonts w:hint="eastAsia" w:ascii="宋体" w:hAnsi="宋体" w:cs="宋体"/>
                <w:sz w:val="24"/>
                <w:szCs w:val="24"/>
                <w:lang w:bidi="ar"/>
              </w:rPr>
              <w:t xml:space="preserve">数据采集平台对接</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810" w:type="dxa"/>
            <w:vAlign w:val="center"/>
            <w:textDirection w:val="lrTb"/>
            <w:noWrap w:val="false"/>
          </w:tcPr>
          <w:p>
            <w:pPr>
              <w:pStyle w:val="920"/>
              <w:spacing w:line="400" w:lineRule="exact"/>
              <w:rPr>
                <w:rFonts w:hint="eastAsia" w:ascii="宋体" w:hAnsi="宋体" w:cs="宋体"/>
                <w:sz w:val="24"/>
                <w:szCs w:val="24"/>
                <w:lang w:bidi="ar"/>
              </w:rPr>
            </w:pPr>
            <w:r>
              <w:rPr>
                <w:rFonts w:hint="eastAsia" w:ascii="宋体" w:hAnsi="宋体" w:cs="宋体"/>
                <w:sz w:val="24"/>
                <w:szCs w:val="24"/>
                <w:lang w:bidi="ar"/>
              </w:rPr>
              <w:t xml:space="preserve">系统提供excel模板，第三方平台将数据写入模板中，系统实现原始记录文件自动解析并加载到证书原始记录中。</w:t>
            </w:r>
            <w:r>
              <w:rPr>
                <w:rFonts w:hint="eastAsia" w:ascii="宋体" w:hAnsi="宋体" w:cs="宋体"/>
                <w:sz w:val="24"/>
                <w:szCs w:val="24"/>
                <w:lang w:bidi="ar"/>
              </w:rPr>
            </w:r>
            <w:r/>
          </w:p>
        </w:tc>
      </w:tr>
    </w:tbl>
    <w:p>
      <w:pPr>
        <w:pStyle w:val="920"/>
        <w:numPr>
          <w:ilvl w:val="0"/>
          <w:numId w:val="4"/>
        </w:numPr>
        <w:spacing w:before="260" w:after="260" w:line="560" w:lineRule="exact"/>
        <w:rPr>
          <w:rFonts w:hint="eastAsia" w:ascii="方正仿宋_GBK" w:hAnsi="方正仿宋_GBK" w:eastAsia="方正仿宋_GBK" w:cs="方正仿宋_GBK"/>
          <w:b/>
          <w:color w:val="000000"/>
          <w:sz w:val="28"/>
          <w:szCs w:val="28"/>
        </w:rPr>
        <w:outlineLvl w:val="2"/>
      </w:pPr>
      <w:r>
        <w:rPr>
          <w:rFonts w:hint="eastAsia" w:ascii="方正仿宋_GBK" w:hAnsi="方正仿宋_GBK" w:eastAsia="方正仿宋_GBK" w:cs="方正仿宋_GBK"/>
          <w:b/>
          <w:color w:val="000000"/>
          <w:sz w:val="28"/>
          <w:szCs w:val="28"/>
        </w:rPr>
        <w:t xml:space="preserve">技术方案要求</w:t>
      </w:r>
      <w:r>
        <w:rPr>
          <w:rFonts w:hint="eastAsia" w:ascii="方正仿宋_GBK" w:hAnsi="方正仿宋_GBK" w:eastAsia="方正仿宋_GBK" w:cs="方正仿宋_GBK"/>
          <w:b/>
          <w:color w:val="000000"/>
          <w:sz w:val="28"/>
          <w:szCs w:val="28"/>
        </w:rPr>
      </w:r>
      <w:r/>
    </w:p>
    <w:p>
      <w:pPr>
        <w:pStyle w:val="920"/>
        <w:ind w:firstLine="480"/>
        <w:spacing w:line="360" w:lineRule="auto"/>
        <w:tabs>
          <w:tab w:val="left" w:pos="420" w:leader="none"/>
        </w:tabs>
        <w:rPr>
          <w:rFonts w:hint="eastAsia"/>
          <w:sz w:val="24"/>
        </w:rPr>
      </w:pPr>
      <w:r>
        <w:rPr>
          <w:rFonts w:hint="eastAsia"/>
          <w:sz w:val="24"/>
        </w:rPr>
        <w:t xml:space="preserve">供应商应针对本项目技术方案要求提供平台总体设计方案，具体要求如下：</w:t>
      </w:r>
      <w:r>
        <w:rPr>
          <w:rFonts w:hint="eastAsia"/>
          <w:sz w:val="24"/>
        </w:rPr>
      </w:r>
      <w:r/>
    </w:p>
    <w:p>
      <w:pPr>
        <w:pStyle w:val="920"/>
        <w:numPr>
          <w:ilvl w:val="0"/>
          <w:numId w:val="6"/>
        </w:numPr>
        <w:ind w:left="709" w:hanging="709"/>
        <w:spacing w:before="260" w:after="260" w:line="560" w:lineRule="exact"/>
        <w:rPr>
          <w:rFonts w:hint="eastAsia" w:ascii="方正仿宋_GBK" w:hAnsi="方正仿宋_GBK" w:eastAsia="方正仿宋_GBK" w:cs="方正仿宋_GBK"/>
          <w:b/>
          <w:color w:val="000000"/>
          <w:sz w:val="24"/>
          <w:szCs w:val="24"/>
        </w:rPr>
        <w:outlineLvl w:val="4"/>
      </w:pPr>
      <w:r>
        <w:rPr>
          <w:rFonts w:hint="eastAsia" w:ascii="方正仿宋_GBK" w:hAnsi="方正仿宋_GBK" w:eastAsia="方正仿宋_GBK" w:cs="方正仿宋_GBK"/>
          <w:b/>
          <w:color w:val="000000"/>
          <w:sz w:val="24"/>
          <w:szCs w:val="24"/>
        </w:rPr>
        <w:t xml:space="preserve">技术架构要求</w:t>
      </w:r>
      <w:r>
        <w:rPr>
          <w:rFonts w:hint="eastAsia" w:ascii="方正仿宋_GBK" w:hAnsi="方正仿宋_GBK" w:eastAsia="方正仿宋_GBK" w:cs="方正仿宋_GBK"/>
          <w:b/>
          <w:color w:val="000000"/>
          <w:sz w:val="24"/>
          <w:szCs w:val="24"/>
        </w:rPr>
      </w:r>
      <w:r/>
    </w:p>
    <w:p>
      <w:pPr>
        <w:pStyle w:val="920"/>
        <w:ind w:firstLine="480"/>
        <w:spacing w:line="360" w:lineRule="auto"/>
        <w:rPr>
          <w:rFonts w:hint="eastAsia" w:ascii="宋体" w:hAnsi="宋体"/>
          <w:sz w:val="24"/>
        </w:rPr>
      </w:pPr>
      <w:r>
        <w:rPr>
          <w:rFonts w:hint="eastAsia" w:ascii="宋体" w:hAnsi="宋体"/>
          <w:sz w:val="24"/>
        </w:rPr>
        <w:t xml:space="preserve">本项目在现有数智一体化平台技术架构的基础上，进行改造升级与功能完善，旨在全面提升平台的智能化水平、业务覆盖度及系统弹性能力。技术架构将严格秉持构件化、前瞻性、可持续的核心原则，确保平台具备灵活扩展、安全可靠、高效集成的能力，有效支撑新形势下业务创新与发展的迫切需求，技术架构路线应满足以下要求：</w:t>
      </w:r>
      <w:r>
        <w:rPr>
          <w:rFonts w:hint="eastAsia" w:ascii="宋体" w:hAnsi="宋体"/>
          <w:sz w:val="24"/>
        </w:rPr>
      </w:r>
      <w:r/>
    </w:p>
    <w:p>
      <w:pPr>
        <w:pStyle w:val="920"/>
        <w:ind w:firstLine="480"/>
        <w:spacing w:line="360" w:lineRule="auto"/>
        <w:rPr>
          <w:rFonts w:ascii="宋体" w:hAnsi="宋体"/>
          <w:sz w:val="24"/>
        </w:rPr>
      </w:pPr>
      <w:r>
        <w:rPr>
          <w:rFonts w:hint="eastAsia" w:ascii="宋体" w:hAnsi="宋体"/>
          <w:sz w:val="24"/>
        </w:rPr>
        <w:t xml:space="preserve">基础层：主要为应用系统提供底层的运行环境，所有其他层次的组件都是基于基础平台实现和运行的。</w:t>
      </w:r>
      <w:r>
        <w:rPr>
          <w:rFonts w:ascii="宋体" w:hAnsi="宋体"/>
          <w:sz w:val="24"/>
        </w:rPr>
      </w:r>
      <w:r/>
    </w:p>
    <w:p>
      <w:pPr>
        <w:pStyle w:val="920"/>
        <w:ind w:firstLine="480"/>
        <w:spacing w:line="360" w:lineRule="auto"/>
        <w:rPr>
          <w:rFonts w:ascii="宋体" w:hAnsi="宋体"/>
          <w:sz w:val="24"/>
        </w:rPr>
      </w:pPr>
      <w:r>
        <w:rPr>
          <w:rFonts w:hint="eastAsia" w:ascii="宋体" w:hAnsi="宋体"/>
          <w:sz w:val="24"/>
        </w:rPr>
        <w:t xml:space="preserve">网络层：为系统提供网络通信服务，实现数据传输和访问。</w:t>
      </w:r>
      <w:r>
        <w:rPr>
          <w:rFonts w:ascii="宋体" w:hAnsi="宋体"/>
          <w:sz w:val="24"/>
        </w:rPr>
      </w:r>
      <w:r/>
    </w:p>
    <w:p>
      <w:pPr>
        <w:pStyle w:val="920"/>
        <w:ind w:firstLine="480"/>
        <w:spacing w:line="360" w:lineRule="auto"/>
        <w:rPr>
          <w:rFonts w:ascii="宋体" w:hAnsi="宋体"/>
          <w:sz w:val="24"/>
        </w:rPr>
      </w:pPr>
      <w:r>
        <w:rPr>
          <w:rFonts w:hint="eastAsia" w:ascii="宋体" w:hAnsi="宋体"/>
          <w:sz w:val="24"/>
        </w:rPr>
        <w:t xml:space="preserve">数据层：以数据元为调用对象，前期详细定义并建立数据元，可通过各类数据元的使用需求建立固定子系统管理功能模块并实现一体化数据互通而建立的数据仓库。对平台中各类子系统的数据资源进行统一整合、统一管理及统一存储等操作，并且在不同子系统内及系统间提供数据交换和展现能力。</w:t>
      </w:r>
      <w:r>
        <w:rPr>
          <w:rFonts w:ascii="宋体" w:hAnsi="宋体"/>
          <w:sz w:val="24"/>
        </w:rPr>
      </w:r>
      <w:r/>
    </w:p>
    <w:p>
      <w:pPr>
        <w:pStyle w:val="920"/>
        <w:ind w:firstLine="480"/>
        <w:spacing w:line="360" w:lineRule="auto"/>
        <w:rPr>
          <w:rFonts w:ascii="宋体" w:hAnsi="宋体"/>
          <w:sz w:val="24"/>
        </w:rPr>
      </w:pPr>
      <w:r>
        <w:rPr>
          <w:rFonts w:hint="eastAsia" w:ascii="宋体" w:hAnsi="宋体"/>
          <w:sz w:val="24"/>
        </w:rPr>
        <w:t xml:space="preserve">支撑层：基于高内聚、低耦合、数据高可用、资源易集成等特性，为各子系统应用服务提供支撑，在数据管理层、功能应用层、服务接口层、业务流程层和系统操作层实现动态部署和扩展。</w:t>
      </w:r>
      <w:r>
        <w:rPr>
          <w:rFonts w:ascii="宋体" w:hAnsi="宋体"/>
          <w:sz w:val="24"/>
        </w:rPr>
      </w:r>
      <w:r/>
    </w:p>
    <w:p>
      <w:pPr>
        <w:pStyle w:val="1036"/>
        <w:ind w:firstLine="480"/>
        <w:spacing w:line="360" w:lineRule="auto"/>
      </w:pPr>
      <w:r>
        <w:rPr>
          <w:rFonts w:hint="eastAsia" w:ascii="宋体" w:hAnsi="宋体"/>
          <w:sz w:val="24"/>
        </w:rPr>
        <w:t xml:space="preserve">应用层：</w:t>
      </w:r>
      <w:r>
        <w:rPr>
          <w:rFonts w:hint="eastAsia"/>
          <w:sz w:val="24"/>
          <w:szCs w:val="24"/>
        </w:rPr>
        <w:t xml:space="preserve">整个业务逻辑结构的核心，通过调用各引擎资源，通过统筹调用底层各引擎资源与服务，聚焦本期项目核心业务功能模块的建设。</w:t>
      </w:r>
      <w:r/>
    </w:p>
    <w:p>
      <w:pPr>
        <w:pStyle w:val="920"/>
        <w:ind w:firstLine="480"/>
        <w:spacing w:line="360" w:lineRule="auto"/>
        <w:rPr>
          <w:rFonts w:ascii="宋体" w:hAnsi="宋体"/>
          <w:sz w:val="24"/>
        </w:rPr>
      </w:pPr>
      <w:r>
        <w:rPr>
          <w:rFonts w:hint="eastAsia" w:ascii="宋体" w:hAnsi="宋体"/>
          <w:sz w:val="24"/>
        </w:rPr>
        <w:t xml:space="preserve">展示层：通过WEB端、移动终端为用户提供了交互的工具和访问入口。</w:t>
      </w:r>
      <w:r>
        <w:rPr>
          <w:rFonts w:ascii="宋体" w:hAnsi="宋体"/>
          <w:sz w:val="24"/>
        </w:rPr>
      </w:r>
      <w:r/>
    </w:p>
    <w:p>
      <w:pPr>
        <w:pStyle w:val="920"/>
        <w:ind w:firstLine="480"/>
        <w:spacing w:line="360" w:lineRule="auto"/>
        <w:rPr>
          <w:rFonts w:ascii="宋体" w:hAnsi="宋体"/>
          <w:sz w:val="24"/>
        </w:rPr>
      </w:pPr>
      <w:r>
        <w:rPr>
          <w:rFonts w:hint="eastAsia" w:ascii="宋体" w:hAnsi="宋体"/>
          <w:sz w:val="24"/>
        </w:rPr>
        <w:t xml:space="preserve">支持B/S结构的前后端分离开发框架和多层数据分布式的应用系统，基于Spring boot 微服务架构的 WEB 开发环境进行开发。</w:t>
      </w:r>
      <w:r>
        <w:rPr>
          <w:rFonts w:ascii="宋体" w:hAnsi="宋体"/>
          <w:sz w:val="24"/>
        </w:rPr>
      </w:r>
      <w:r/>
    </w:p>
    <w:p>
      <w:pPr>
        <w:pStyle w:val="920"/>
        <w:ind w:firstLine="480"/>
        <w:spacing w:line="360" w:lineRule="auto"/>
        <w:rPr>
          <w:rFonts w:ascii="宋体" w:hAnsi="宋体"/>
          <w:sz w:val="24"/>
        </w:rPr>
      </w:pPr>
      <w:r>
        <w:rPr>
          <w:rFonts w:hint="eastAsia" w:ascii="宋体" w:hAnsi="宋体"/>
          <w:sz w:val="24"/>
        </w:rPr>
        <w:t xml:space="preserve">支持数据层采用主流数据库（如</w:t>
      </w:r>
      <w:r>
        <w:rPr>
          <w:rFonts w:ascii="宋体" w:hAnsi="宋体"/>
          <w:sz w:val="24"/>
        </w:rPr>
        <w:t xml:space="preserve">O</w:t>
      </w:r>
      <w:r>
        <w:rPr>
          <w:rFonts w:hint="eastAsia" w:ascii="宋体" w:hAnsi="宋体"/>
          <w:sz w:val="24"/>
        </w:rPr>
        <w:t xml:space="preserve">racle、M</w:t>
      </w:r>
      <w:r>
        <w:rPr>
          <w:rFonts w:ascii="宋体" w:hAnsi="宋体"/>
          <w:sz w:val="24"/>
        </w:rPr>
        <w:t xml:space="preserve">ySql</w:t>
      </w:r>
      <w:r>
        <w:rPr>
          <w:rFonts w:hint="eastAsia" w:ascii="宋体" w:hAnsi="宋体"/>
          <w:sz w:val="24"/>
        </w:rPr>
        <w:t xml:space="preserve">、</w:t>
      </w:r>
      <w:r>
        <w:rPr>
          <w:rFonts w:ascii="宋体" w:hAnsi="宋体"/>
          <w:sz w:val="24"/>
        </w:rPr>
        <w:t xml:space="preserve">Sql server</w:t>
      </w:r>
      <w:r>
        <w:rPr>
          <w:rFonts w:hint="eastAsia" w:ascii="宋体" w:hAnsi="宋体"/>
          <w:sz w:val="24"/>
        </w:rPr>
        <w:t xml:space="preserve">、达梦、神舟通用等）处理数据对象操作和存储过程。</w:t>
      </w:r>
      <w:r>
        <w:rPr>
          <w:rFonts w:ascii="宋体" w:hAnsi="宋体"/>
          <w:sz w:val="24"/>
        </w:rPr>
      </w:r>
      <w:r/>
    </w:p>
    <w:p>
      <w:pPr>
        <w:pStyle w:val="920"/>
        <w:ind w:firstLine="480"/>
        <w:spacing w:line="360" w:lineRule="auto"/>
        <w:rPr>
          <w:rFonts w:hint="eastAsia" w:ascii="宋体" w:hAnsi="宋体"/>
          <w:sz w:val="24"/>
        </w:rPr>
      </w:pPr>
      <w:r>
        <w:rPr>
          <w:rFonts w:hint="eastAsia" w:ascii="宋体" w:hAnsi="宋体"/>
          <w:sz w:val="24"/>
        </w:rPr>
        <w:t xml:space="preserve">支持应用层由一系列处理业务逻辑的类库组成，运行在符合JAVAEE规范的应用服务器Apache Tomcat8.0以上。</w:t>
      </w:r>
      <w:r>
        <w:rPr>
          <w:rFonts w:hint="eastAsia" w:ascii="宋体" w:hAnsi="宋体"/>
          <w:sz w:val="24"/>
        </w:rPr>
      </w:r>
      <w:r/>
    </w:p>
    <w:p>
      <w:pPr>
        <w:pStyle w:val="920"/>
        <w:ind w:firstLine="480"/>
        <w:spacing w:line="360" w:lineRule="auto"/>
        <w:rPr>
          <w:rFonts w:hint="eastAsia" w:ascii="宋体" w:hAnsi="宋体"/>
          <w:sz w:val="24"/>
        </w:rPr>
      </w:pPr>
      <w:r>
        <w:rPr>
          <w:rFonts w:hint="eastAsia" w:ascii="宋体" w:hAnsi="宋体"/>
          <w:sz w:val="24"/>
        </w:rPr>
        <w:t xml:space="preserve">支持使用JSP、Html、Xml、vue.js等技术完成界面展示和与用户的交互。</w:t>
      </w:r>
      <w:r>
        <w:rPr>
          <w:rFonts w:hint="eastAsia" w:ascii="宋体" w:hAnsi="宋体"/>
          <w:sz w:val="24"/>
        </w:rPr>
      </w:r>
      <w:r/>
    </w:p>
    <w:p>
      <w:pPr>
        <w:pStyle w:val="920"/>
        <w:ind w:firstLine="480"/>
        <w:spacing w:line="360" w:lineRule="auto"/>
        <w:rPr>
          <w:rFonts w:hint="eastAsia" w:ascii="宋体" w:hAnsi="宋体"/>
          <w:sz w:val="24"/>
        </w:rPr>
      </w:pPr>
      <w:r>
        <w:rPr>
          <w:rFonts w:hint="eastAsia" w:ascii="宋体" w:hAnsi="宋体"/>
          <w:sz w:val="24"/>
        </w:rPr>
        <w:t xml:space="preserve">支持多浏览器访问，如谷歌、EDGE等浏览器。</w:t>
      </w:r>
      <w:r>
        <w:rPr>
          <w:rFonts w:hint="eastAsia" w:ascii="宋体" w:hAnsi="宋体"/>
          <w:sz w:val="24"/>
        </w:rPr>
      </w:r>
      <w:r/>
    </w:p>
    <w:p>
      <w:pPr>
        <w:pStyle w:val="920"/>
        <w:numPr>
          <w:ilvl w:val="0"/>
          <w:numId w:val="6"/>
        </w:numPr>
        <w:ind w:left="709" w:hanging="709"/>
        <w:spacing w:before="260" w:after="260" w:line="560" w:lineRule="exact"/>
        <w:rPr>
          <w:rFonts w:hint="eastAsia" w:ascii="方正仿宋_GBK" w:hAnsi="方正仿宋_GBK" w:eastAsia="方正仿宋_GBK" w:cs="方正仿宋_GBK"/>
          <w:b/>
          <w:color w:val="000000"/>
          <w:sz w:val="24"/>
          <w:szCs w:val="24"/>
        </w:rPr>
        <w:outlineLvl w:val="4"/>
      </w:pPr>
      <w:r>
        <w:rPr>
          <w:rFonts w:hint="eastAsia" w:ascii="方正仿宋_GBK" w:hAnsi="方正仿宋_GBK" w:eastAsia="方正仿宋_GBK" w:cs="方正仿宋_GBK"/>
          <w:b/>
          <w:color w:val="000000"/>
          <w:sz w:val="24"/>
          <w:szCs w:val="24"/>
        </w:rPr>
        <w:t xml:space="preserve">系统性能技术要求</w:t>
      </w:r>
      <w:r>
        <w:rPr>
          <w:rFonts w:hint="eastAsia" w:ascii="方正仿宋_GBK" w:hAnsi="方正仿宋_GBK" w:eastAsia="方正仿宋_GBK" w:cs="方正仿宋_GBK"/>
          <w:b/>
          <w:color w:val="000000"/>
          <w:sz w:val="24"/>
          <w:szCs w:val="24"/>
        </w:rPr>
      </w:r>
      <w:r/>
    </w:p>
    <w:p>
      <w:pPr>
        <w:pStyle w:val="920"/>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需要结合项目特点，提供性能和技术方案，至少包括性能要求设计、软件技术要求设计方案。</w:t>
      </w:r>
      <w:r>
        <w:rPr>
          <w:rFonts w:hint="eastAsia" w:ascii="宋体" w:hAnsi="宋体" w:cs="宋体"/>
          <w:bCs/>
          <w:sz w:val="24"/>
          <w:szCs w:val="24"/>
        </w:rPr>
      </w:r>
      <w:r/>
    </w:p>
    <w:p>
      <w:pPr>
        <w:pStyle w:val="920"/>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（1）性能需求</w:t>
      </w:r>
      <w:r>
        <w:rPr>
          <w:rFonts w:hint="eastAsia" w:ascii="宋体" w:hAnsi="宋体" w:cs="宋体"/>
          <w:bCs/>
          <w:sz w:val="24"/>
          <w:szCs w:val="24"/>
        </w:rPr>
      </w:r>
      <w:r/>
    </w:p>
    <w:p>
      <w:pPr>
        <w:pStyle w:val="920"/>
        <w:ind w:firstLine="480"/>
        <w:spacing w:line="360" w:lineRule="auto"/>
        <w:rPr>
          <w:rFonts w:hint="eastAsia" w:ascii="宋体" w:hAnsi="宋体" w:cs="宋体"/>
          <w:bCs/>
          <w:sz w:val="24"/>
          <w:szCs w:val="24"/>
          <w:lang w:bidi="ar"/>
        </w:rPr>
      </w:pPr>
      <w:r>
        <w:rPr>
          <w:rFonts w:hint="eastAsia" w:ascii="宋体" w:hAnsi="宋体" w:cs="宋体"/>
          <w:bCs/>
          <w:sz w:val="24"/>
          <w:szCs w:val="24"/>
          <w:lang w:bidi="ar"/>
        </w:rPr>
        <w:t xml:space="preserve">应用系统应满足用户的要求，系统并发数不小于100个，单一页面显示数据记录前台响应时间应≤5秒。</w:t>
      </w:r>
      <w:r>
        <w:rPr>
          <w:rFonts w:hint="eastAsia" w:ascii="宋体" w:hAnsi="宋体" w:cs="宋体"/>
          <w:bCs/>
          <w:sz w:val="24"/>
          <w:szCs w:val="24"/>
          <w:lang w:bidi="ar"/>
        </w:rPr>
      </w:r>
      <w:r/>
    </w:p>
    <w:p>
      <w:pPr>
        <w:pStyle w:val="920"/>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（2）稳定性需求</w:t>
      </w:r>
      <w:r>
        <w:rPr>
          <w:rFonts w:hint="eastAsia" w:ascii="宋体" w:hAnsi="宋体" w:cs="宋体"/>
          <w:bCs/>
          <w:sz w:val="24"/>
          <w:szCs w:val="24"/>
        </w:rPr>
      </w:r>
      <w:r/>
    </w:p>
    <w:p>
      <w:pPr>
        <w:pStyle w:val="920"/>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系统提供7×24小时的连续运行，系统平均故障修复时间（MTTR）&lt;＝60分钟，不可抗拒的因素除外。系统资源占用率（CPU占用率和内存使用率）不应超过70%。</w:t>
      </w:r>
      <w:r>
        <w:rPr>
          <w:rFonts w:hint="eastAsia" w:ascii="宋体" w:hAnsi="宋体" w:cs="宋体"/>
          <w:bCs/>
          <w:sz w:val="24"/>
          <w:szCs w:val="24"/>
        </w:rPr>
      </w:r>
      <w:r/>
    </w:p>
    <w:p>
      <w:pPr>
        <w:pStyle w:val="920"/>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（3）扩展性需求</w:t>
      </w:r>
      <w:r>
        <w:rPr>
          <w:rFonts w:hint="eastAsia" w:ascii="宋体" w:hAnsi="宋体" w:cs="宋体"/>
          <w:bCs/>
          <w:sz w:val="24"/>
          <w:szCs w:val="24"/>
        </w:rPr>
      </w:r>
      <w:r/>
    </w:p>
    <w:p>
      <w:pPr>
        <w:pStyle w:val="920"/>
        <w:ind w:firstLine="480"/>
        <w:spacing w:line="360" w:lineRule="auto"/>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系统应采用高内聚、低耦合的模块化架构设计。模块间通信须遵循标准化的接口协议（如 RESTful API 或 gRPC），并提供完整的 OpenAPI/Swagger 接口文档。模块内部逻辑变更不得影响外部接口契约，接口变更须遵循向后兼容原则，并提供版本控制策略。</w:t>
      </w:r>
      <w:r>
        <w:rPr>
          <w:rFonts w:hint="eastAsia" w:ascii="宋体" w:hAnsi="宋体" w:cs="宋体"/>
          <w:bCs/>
          <w:color w:val="000000"/>
          <w:sz w:val="24"/>
          <w:szCs w:val="24"/>
          <w:lang w:bidi="ar"/>
        </w:rPr>
      </w:r>
      <w:r/>
    </w:p>
    <w:p>
      <w:pPr>
        <w:pStyle w:val="920"/>
        <w:ind w:firstLine="480"/>
        <w:spacing w:line="360" w:lineRule="auto"/>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系统升级须保证向前兼容，确保历史数据在新版本中可正常读取与使用。系统须具备不可篡改的数据审计与追溯机制，所有关键业务操作日志留存时间不少于3年，并支持按时间、操作人等维度的全链路追溯查询。</w:t>
      </w:r>
      <w:r>
        <w:rPr>
          <w:rFonts w:hint="eastAsia" w:ascii="宋体" w:hAnsi="宋体" w:cs="宋体"/>
          <w:bCs/>
          <w:color w:val="000000"/>
          <w:sz w:val="24"/>
          <w:szCs w:val="24"/>
          <w:lang w:bidi="ar"/>
        </w:rPr>
      </w:r>
      <w:r/>
    </w:p>
    <w:p>
      <w:pPr>
        <w:pStyle w:val="920"/>
        <w:numPr>
          <w:ilvl w:val="0"/>
          <w:numId w:val="6"/>
        </w:numPr>
        <w:ind w:left="709" w:hanging="709"/>
        <w:spacing w:before="260" w:after="260" w:line="560" w:lineRule="exact"/>
        <w:rPr>
          <w:rFonts w:hint="eastAsia" w:ascii="方正仿宋_GBK" w:hAnsi="方正仿宋_GBK" w:eastAsia="方正仿宋_GBK" w:cs="方正仿宋_GBK"/>
          <w:b/>
          <w:color w:val="000000"/>
          <w:sz w:val="24"/>
          <w:szCs w:val="24"/>
        </w:rPr>
        <w:outlineLvl w:val="4"/>
      </w:pPr>
      <w:r>
        <w:rPr>
          <w:rFonts w:hint="eastAsia" w:ascii="方正仿宋_GBK" w:hAnsi="方正仿宋_GBK" w:eastAsia="方正仿宋_GBK" w:cs="方正仿宋_GBK"/>
          <w:b/>
          <w:color w:val="000000"/>
          <w:sz w:val="24"/>
          <w:szCs w:val="24"/>
        </w:rPr>
        <w:t xml:space="preserve">安全技术要求</w:t>
      </w:r>
      <w:r>
        <w:rPr>
          <w:rFonts w:hint="eastAsia" w:ascii="方正仿宋_GBK" w:hAnsi="方正仿宋_GBK" w:eastAsia="方正仿宋_GBK" w:cs="方正仿宋_GBK"/>
          <w:b/>
          <w:color w:val="000000"/>
          <w:sz w:val="24"/>
          <w:szCs w:val="24"/>
        </w:rPr>
      </w:r>
      <w:r/>
    </w:p>
    <w:p>
      <w:pPr>
        <w:pStyle w:val="920"/>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需要结合项目特点，提供全面科学的安全性设计，至少包含关键性技术，安全应对措施的合理性、可行性说明。</w:t>
      </w:r>
      <w:r>
        <w:rPr>
          <w:rFonts w:hint="eastAsia" w:ascii="宋体" w:hAnsi="宋体" w:cs="宋体"/>
          <w:bCs/>
          <w:sz w:val="24"/>
          <w:szCs w:val="24"/>
        </w:rPr>
      </w:r>
      <w:r/>
    </w:p>
    <w:p>
      <w:pPr>
        <w:pStyle w:val="920"/>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需具备一套成熟、规范的信息安全管理体系，能充分保障系统的稳定、安全的运行，至少满足以下三个方面的要求。</w:t>
      </w:r>
      <w:r>
        <w:rPr>
          <w:rFonts w:hint="eastAsia" w:ascii="宋体" w:hAnsi="宋体" w:cs="宋体"/>
          <w:bCs/>
          <w:sz w:val="24"/>
          <w:szCs w:val="24"/>
        </w:rPr>
      </w:r>
      <w:r/>
    </w:p>
    <w:p>
      <w:pPr>
        <w:pStyle w:val="920"/>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系统级安全：制定和实施系统级安全策略，包括系统高可用性策略和数据库备份策略，满足信息安全等级保护要求。</w:t>
      </w:r>
      <w:r>
        <w:rPr>
          <w:rFonts w:hint="eastAsia" w:ascii="宋体" w:hAnsi="宋体" w:cs="宋体"/>
          <w:bCs/>
          <w:sz w:val="24"/>
          <w:szCs w:val="24"/>
        </w:rPr>
      </w:r>
      <w:r/>
    </w:p>
    <w:p>
      <w:pPr>
        <w:pStyle w:val="920"/>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应用级安全：制定和实施应用级安全防护策略，包括身份认证策略、访问权限策略、数据授权策略等。</w:t>
      </w:r>
      <w:r>
        <w:rPr>
          <w:rFonts w:hint="eastAsia" w:ascii="宋体" w:hAnsi="宋体" w:cs="宋体"/>
          <w:bCs/>
          <w:sz w:val="24"/>
          <w:szCs w:val="24"/>
        </w:rPr>
      </w:r>
      <w:r/>
    </w:p>
    <w:p>
      <w:pPr>
        <w:pStyle w:val="920"/>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lang w:bidi="ar"/>
        </w:rPr>
        <w:t xml:space="preserve">数据安全：数据在存储或传输过程中应做加密处理；加密算法能抵抗暴力破解；数据在存储和传输过程中均采用国际通用强加密算法（如RSA/ECDSA、AES、SHA-256/SHA-3）进行加密保护，确保能够有效抵抗暴力破解等安全威胁。</w:t>
      </w:r>
      <w:r>
        <w:rPr>
          <w:rFonts w:hint="eastAsia" w:ascii="宋体" w:hAnsi="宋体" w:cs="宋体"/>
          <w:bCs/>
          <w:color w:val="000000"/>
          <w:sz w:val="24"/>
          <w:szCs w:val="24"/>
        </w:rPr>
      </w:r>
      <w:r/>
    </w:p>
    <w:p>
      <w:pPr>
        <w:pStyle w:val="920"/>
        <w:numPr>
          <w:ilvl w:val="0"/>
          <w:numId w:val="4"/>
        </w:numPr>
        <w:spacing w:before="260" w:after="260" w:line="560" w:lineRule="exact"/>
        <w:rPr>
          <w:rFonts w:hint="eastAsia" w:ascii="方正仿宋_GBK" w:hAnsi="方正仿宋_GBK" w:eastAsia="方正仿宋_GBK" w:cs="方正仿宋_GBK"/>
          <w:b/>
          <w:color w:val="000000"/>
          <w:sz w:val="28"/>
          <w:szCs w:val="28"/>
        </w:rPr>
        <w:outlineLvl w:val="2"/>
      </w:pPr>
      <w:r>
        <w:rPr>
          <w:rFonts w:hint="eastAsia" w:ascii="方正仿宋_GBK" w:hAnsi="方正仿宋_GBK" w:eastAsia="方正仿宋_GBK" w:cs="方正仿宋_GBK"/>
          <w:b/>
          <w:color w:val="000000"/>
          <w:sz w:val="28"/>
          <w:szCs w:val="28"/>
        </w:rPr>
        <w:t xml:space="preserve">项目实施要求</w:t>
      </w:r>
      <w:r>
        <w:rPr>
          <w:rFonts w:hint="eastAsia" w:ascii="方正仿宋_GBK" w:hAnsi="方正仿宋_GBK" w:eastAsia="方正仿宋_GBK" w:cs="方正仿宋_GBK"/>
          <w:b/>
          <w:color w:val="000000"/>
          <w:sz w:val="28"/>
          <w:szCs w:val="28"/>
        </w:rPr>
      </w:r>
      <w:r/>
    </w:p>
    <w:p>
      <w:pPr>
        <w:pStyle w:val="982"/>
        <w:ind w:firstLine="480"/>
        <w:jc w:val="both"/>
        <w:spacing w:before="0" w:beforeAutospacing="0" w:after="0" w:afterAutospacing="0" w:line="360" w:lineRule="auto"/>
        <w:widowControl w:val="off"/>
        <w:rPr>
          <w:lang w:bidi="ar"/>
        </w:rPr>
      </w:pPr>
      <w:r>
        <w:rPr>
          <w:lang w:bidi="ar"/>
        </w:rPr>
        <w:t xml:space="preserve">投标人应根据磋商文件要求及本项目特点，制订项目实施方案。方案内容包括但不限于：</w:t>
      </w:r>
      <w:r>
        <w:rPr>
          <w:lang w:bidi="ar"/>
        </w:rPr>
      </w:r>
      <w:r/>
    </w:p>
    <w:p>
      <w:pPr>
        <w:pStyle w:val="982"/>
        <w:numPr>
          <w:ilvl w:val="0"/>
          <w:numId w:val="7"/>
        </w:numPr>
        <w:ind w:firstLine="480"/>
        <w:jc w:val="both"/>
        <w:spacing w:before="0" w:beforeAutospacing="0" w:after="0" w:afterAutospacing="0" w:line="360" w:lineRule="auto"/>
        <w:widowControl w:val="off"/>
      </w:pPr>
      <w:r>
        <w:rPr>
          <w:lang w:bidi="ar"/>
        </w:rPr>
        <w:t xml:space="preserve">进度计划。</w:t>
      </w:r>
      <w:r>
        <w:rPr>
          <w:shd w:val="clear" w:color="auto" w:fill="ffffff"/>
        </w:rPr>
        <w:t xml:space="preserve">须明确项目实施各阶段的时间节点、工作内容与交付物，同时须列明需要采购方提供的资源支持，</w:t>
      </w:r>
      <w:r>
        <w:rPr>
          <w:lang w:bidi="ar"/>
        </w:rPr>
        <w:t xml:space="preserve">确保在规定的交付时限内完成。</w:t>
      </w:r>
      <w:r/>
    </w:p>
    <w:p>
      <w:pPr>
        <w:pStyle w:val="982"/>
        <w:numPr>
          <w:ilvl w:val="0"/>
          <w:numId w:val="7"/>
        </w:numPr>
        <w:ind w:firstLine="480"/>
        <w:jc w:val="both"/>
        <w:spacing w:before="0" w:beforeAutospacing="0" w:after="0" w:afterAutospacing="0" w:line="360" w:lineRule="auto"/>
        <w:widowControl w:val="off"/>
        <w:rPr>
          <w:lang w:bidi="ar"/>
        </w:rPr>
      </w:pPr>
      <w:r>
        <w:rPr>
          <w:lang w:bidi="ar"/>
        </w:rPr>
        <w:t xml:space="preserve">项目团队组织。须明确项目组织结构、各岗位人员配置与职责分工、团队能力保障及稳定性保障措施等。</w:t>
      </w:r>
      <w:r>
        <w:rPr>
          <w:lang w:bidi="ar"/>
        </w:rPr>
      </w:r>
      <w:r/>
    </w:p>
    <w:p>
      <w:pPr>
        <w:pStyle w:val="982"/>
        <w:numPr>
          <w:ilvl w:val="0"/>
          <w:numId w:val="7"/>
        </w:numPr>
        <w:ind w:firstLine="480"/>
        <w:jc w:val="both"/>
        <w:spacing w:before="0" w:beforeAutospacing="0" w:after="0" w:afterAutospacing="0" w:line="360" w:lineRule="auto"/>
        <w:widowControl w:val="off"/>
        <w:rPr>
          <w:color w:val="000000"/>
          <w:lang w:bidi="ar"/>
        </w:rPr>
      </w:pPr>
      <w:r>
        <w:rPr>
          <w:lang w:bidi="ar"/>
        </w:rPr>
        <w:t xml:space="preserve">工作机制及流程。</w:t>
      </w:r>
      <w:r>
        <w:rPr>
          <w:shd w:val="clear" w:color="auto" w:fill="ffffff"/>
        </w:rPr>
        <w:t xml:space="preserve">须提供实施进度保障措施、需求变更管理机制、项目协调与合作机制，确保项目各方协调一致、信息顺畅。</w:t>
      </w:r>
      <w:r>
        <w:rPr>
          <w:color w:val="000000"/>
          <w:lang w:bidi="ar"/>
        </w:rPr>
      </w:r>
      <w:r/>
    </w:p>
    <w:p>
      <w:pPr>
        <w:pStyle w:val="920"/>
        <w:numPr>
          <w:ilvl w:val="0"/>
          <w:numId w:val="4"/>
        </w:numPr>
        <w:spacing w:before="260" w:after="260" w:line="560" w:lineRule="exact"/>
        <w:rPr>
          <w:rFonts w:hint="eastAsia" w:ascii="方正仿宋_GBK" w:hAnsi="方正仿宋_GBK" w:eastAsia="方正仿宋_GBK" w:cs="方正仿宋_GBK"/>
          <w:b/>
          <w:color w:val="000000"/>
          <w:sz w:val="28"/>
          <w:szCs w:val="28"/>
        </w:rPr>
        <w:outlineLvl w:val="2"/>
      </w:pPr>
      <w:r>
        <w:rPr>
          <w:rFonts w:hint="eastAsia" w:ascii="方正仿宋_GBK" w:hAnsi="方正仿宋_GBK" w:eastAsia="方正仿宋_GBK" w:cs="方正仿宋_GBK"/>
          <w:b/>
          <w:color w:val="000000"/>
          <w:sz w:val="28"/>
          <w:szCs w:val="28"/>
        </w:rPr>
        <w:t xml:space="preserve">技术培训要求</w:t>
      </w:r>
      <w:r>
        <w:rPr>
          <w:rFonts w:hint="eastAsia" w:ascii="方正仿宋_GBK" w:hAnsi="方正仿宋_GBK" w:eastAsia="方正仿宋_GBK" w:cs="方正仿宋_GBK"/>
          <w:b/>
          <w:color w:val="000000"/>
          <w:sz w:val="28"/>
          <w:szCs w:val="28"/>
        </w:rPr>
      </w:r>
      <w:r/>
    </w:p>
    <w:p>
      <w:pPr>
        <w:pStyle w:val="982"/>
        <w:ind w:firstLine="480"/>
        <w:jc w:val="both"/>
        <w:spacing w:before="0" w:beforeAutospacing="0" w:after="0" w:afterAutospacing="0" w:line="360" w:lineRule="auto"/>
        <w:widowControl w:val="off"/>
        <w:rPr>
          <w:lang w:bidi="ar"/>
        </w:rPr>
      </w:pPr>
      <w:r>
        <w:rPr>
          <w:lang w:bidi="ar"/>
        </w:rPr>
        <w:t xml:space="preserve">投标人应根据磋商文件要求及本项目特点，安排具备相应资质和经验的技术人员，制订相应的技术培训方案。方案内容包括但不限于：</w:t>
      </w:r>
      <w:r>
        <w:rPr>
          <w:lang w:bidi="ar"/>
        </w:rPr>
      </w:r>
      <w:r/>
    </w:p>
    <w:p>
      <w:pPr>
        <w:pStyle w:val="982"/>
        <w:numPr>
          <w:ilvl w:val="0"/>
          <w:numId w:val="8"/>
        </w:numPr>
        <w:ind w:firstLine="480"/>
        <w:jc w:val="both"/>
        <w:spacing w:before="0" w:beforeAutospacing="0" w:after="0" w:afterAutospacing="0" w:line="360" w:lineRule="auto"/>
        <w:widowControl w:val="off"/>
        <w:rPr>
          <w:lang w:bidi="ar"/>
        </w:rPr>
      </w:pPr>
      <w:r>
        <w:rPr>
          <w:lang w:bidi="ar"/>
        </w:rPr>
        <w:t xml:space="preserve">培训对象。须按普通用户、系统管理员、领导及管理人员等不同角色安排差异化培训内容。</w:t>
      </w:r>
      <w:r>
        <w:rPr>
          <w:lang w:bidi="ar"/>
        </w:rPr>
      </w:r>
      <w:r/>
    </w:p>
    <w:p>
      <w:pPr>
        <w:pStyle w:val="982"/>
        <w:numPr>
          <w:ilvl w:val="0"/>
          <w:numId w:val="8"/>
        </w:numPr>
        <w:ind w:firstLine="480"/>
        <w:jc w:val="both"/>
        <w:spacing w:before="0" w:beforeAutospacing="0" w:after="0" w:afterAutospacing="0" w:line="360" w:lineRule="auto"/>
        <w:widowControl w:val="off"/>
        <w:rPr>
          <w:lang w:bidi="ar"/>
        </w:rPr>
      </w:pPr>
      <w:r>
        <w:rPr>
          <w:lang w:bidi="ar"/>
        </w:rPr>
        <w:t xml:space="preserve">培训计划。须提供详细的培训方案和培训课程，相关操作培训须在项目验收完成前完成。</w:t>
      </w:r>
      <w:r>
        <w:rPr>
          <w:lang w:bidi="ar"/>
        </w:rPr>
      </w:r>
      <w:r/>
    </w:p>
    <w:p>
      <w:pPr>
        <w:pStyle w:val="982"/>
        <w:numPr>
          <w:ilvl w:val="0"/>
          <w:numId w:val="8"/>
        </w:numPr>
        <w:ind w:firstLine="480"/>
        <w:jc w:val="both"/>
        <w:spacing w:before="0" w:beforeAutospacing="0" w:after="0" w:afterAutospacing="0" w:line="360" w:lineRule="auto"/>
        <w:widowControl w:val="off"/>
        <w:rPr>
          <w:rFonts w:hint="eastAsia"/>
          <w:b/>
          <w:bCs/>
          <w:color w:val="000000"/>
          <w:lang w:bidi="ar"/>
        </w:rPr>
      </w:pPr>
      <w:r>
        <w:rPr>
          <w:lang w:bidi="ar"/>
        </w:rPr>
        <w:t xml:space="preserve">培训考核评估。须建立培训效果评估机制，培训结束后通过实际操作考核等方式检验培训效果，对考核不合格者免费安排补训，确保相关人员能熟练掌握系统的日常使用及维护。</w:t>
      </w:r>
      <w:r>
        <w:rPr>
          <w:rFonts w:hint="eastAsia"/>
          <w:b/>
          <w:bCs/>
          <w:color w:val="000000"/>
          <w:lang w:bidi="ar"/>
        </w:rPr>
      </w:r>
      <w:r/>
    </w:p>
    <w:p>
      <w:pPr>
        <w:pStyle w:val="920"/>
        <w:numPr>
          <w:ilvl w:val="0"/>
          <w:numId w:val="4"/>
        </w:numPr>
        <w:spacing w:before="260" w:after="260" w:line="560" w:lineRule="exact"/>
        <w:rPr>
          <w:rFonts w:hint="eastAsia" w:ascii="方正仿宋_GBK" w:hAnsi="方正仿宋_GBK" w:eastAsia="方正仿宋_GBK" w:cs="方正仿宋_GBK"/>
          <w:b/>
          <w:color w:val="000000"/>
          <w:sz w:val="28"/>
          <w:szCs w:val="28"/>
        </w:rPr>
        <w:outlineLvl w:val="2"/>
      </w:pPr>
      <w:r>
        <w:rPr>
          <w:rFonts w:hint="eastAsia" w:ascii="方正仿宋_GBK" w:hAnsi="方正仿宋_GBK" w:eastAsia="方正仿宋_GBK" w:cs="方正仿宋_GBK"/>
          <w:b/>
          <w:color w:val="000000"/>
          <w:sz w:val="28"/>
          <w:szCs w:val="28"/>
        </w:rPr>
        <w:t xml:space="preserve">售后服务要求</w:t>
      </w:r>
      <w:r>
        <w:rPr>
          <w:rFonts w:hint="eastAsia" w:ascii="方正仿宋_GBK" w:hAnsi="方正仿宋_GBK" w:eastAsia="方正仿宋_GBK" w:cs="方正仿宋_GBK"/>
          <w:b/>
          <w:color w:val="000000"/>
          <w:sz w:val="28"/>
          <w:szCs w:val="28"/>
        </w:rPr>
      </w:r>
      <w:r/>
    </w:p>
    <w:p>
      <w:pPr>
        <w:pStyle w:val="982"/>
        <w:ind w:firstLine="480"/>
        <w:jc w:val="both"/>
        <w:spacing w:before="0" w:beforeAutospacing="0" w:after="0" w:afterAutospacing="0" w:line="360" w:lineRule="auto"/>
        <w:widowControl w:val="off"/>
        <w:rPr>
          <w:lang w:bidi="ar"/>
        </w:rPr>
      </w:pPr>
      <w:r>
        <w:rPr>
          <w:lang w:bidi="ar"/>
        </w:rPr>
        <w:t xml:space="preserve">投标人应响应磋商文件要求，提交售后服务方案。售后服务方案包括但不限于：</w:t>
      </w:r>
      <w:r>
        <w:rPr>
          <w:lang w:bidi="ar"/>
        </w:rPr>
      </w:r>
      <w:r/>
    </w:p>
    <w:p>
      <w:pPr>
        <w:pStyle w:val="982"/>
        <w:numPr>
          <w:ilvl w:val="0"/>
          <w:numId w:val="9"/>
        </w:numPr>
        <w:ind w:firstLine="480"/>
        <w:jc w:val="both"/>
        <w:spacing w:before="0" w:beforeAutospacing="0" w:after="0" w:afterAutospacing="0" w:line="360" w:lineRule="auto"/>
        <w:widowControl w:val="off"/>
        <w:rPr>
          <w:lang w:bidi="ar"/>
        </w:rPr>
      </w:pPr>
      <w:r>
        <w:rPr>
          <w:lang w:bidi="ar"/>
        </w:rPr>
        <w:t xml:space="preserve">质保期服务内容。整个项目质保期为验收后一年，质保期间的维护服务不收取任何额外费用，由中标方提供免费的软件维护服务、技术服务支持，包括系统维护、性能提升、故障检测等，并保证系统正常运行，如果软件功能变更超出项目范围的百分之二十，按照工作量测算依据增加相应的服务费用。质保期后的服务费双方另行协商。</w:t>
      </w:r>
      <w:r>
        <w:rPr>
          <w:lang w:bidi="ar"/>
        </w:rPr>
      </w:r>
      <w:r/>
    </w:p>
    <w:p>
      <w:pPr>
        <w:pStyle w:val="982"/>
        <w:ind w:firstLine="480"/>
        <w:jc w:val="both"/>
        <w:spacing w:before="0" w:beforeAutospacing="0" w:after="0" w:afterAutospacing="0" w:line="360" w:lineRule="auto"/>
        <w:widowControl w:val="off"/>
        <w:rPr>
          <w:lang w:bidi="ar"/>
        </w:rPr>
      </w:pPr>
      <w:r>
        <w:rPr>
          <w:lang w:bidi="ar"/>
        </w:rPr>
        <w:t xml:space="preserve">在项目验收后的服务期内，如因需要增加系统功能而产生的费用，双方另议；如果是软件设计漏洞或偏差，中标方必须及时修正，且不另收费用。</w:t>
      </w:r>
      <w:r>
        <w:rPr>
          <w:lang w:bidi="ar"/>
        </w:rPr>
      </w:r>
      <w:r/>
    </w:p>
    <w:p>
      <w:pPr>
        <w:pStyle w:val="982"/>
        <w:numPr>
          <w:ilvl w:val="0"/>
          <w:numId w:val="9"/>
        </w:numPr>
        <w:ind w:firstLine="480"/>
        <w:jc w:val="both"/>
        <w:spacing w:before="0" w:beforeAutospacing="0" w:after="0" w:afterAutospacing="0" w:line="360" w:lineRule="auto"/>
        <w:widowControl w:val="off"/>
        <w:rPr>
          <w:lang w:bidi="ar"/>
        </w:rPr>
      </w:pPr>
      <w:r>
        <w:rPr>
          <w:lang w:bidi="ar"/>
        </w:rPr>
        <w:t xml:space="preserve">响应时间。须承诺提供7×24小时技术响应支持，明确各类故障与服务请求的分级响应和处置时限。</w:t>
      </w:r>
      <w:r>
        <w:rPr>
          <w:lang w:bidi="ar"/>
        </w:rPr>
      </w:r>
      <w:r/>
    </w:p>
    <w:p>
      <w:pPr>
        <w:pStyle w:val="982"/>
        <w:numPr>
          <w:ilvl w:val="0"/>
          <w:numId w:val="9"/>
        </w:numPr>
        <w:ind w:firstLine="480"/>
        <w:jc w:val="both"/>
        <w:spacing w:before="0" w:beforeAutospacing="0" w:after="0" w:afterAutospacing="0" w:line="360" w:lineRule="auto"/>
        <w:widowControl w:val="off"/>
        <w:rPr>
          <w:lang w:bidi="ar"/>
        </w:rPr>
      </w:pPr>
      <w:r>
        <w:rPr>
          <w:lang w:bidi="ar"/>
        </w:rPr>
        <w:t xml:space="preserve">响应计划。供应商要制定完整的问题响应和处理流程，确保系统正常运行，为配合用户使用提供全方位的技术支持工作。</w:t>
      </w:r>
      <w:r>
        <w:rPr>
          <w:lang w:bidi="ar"/>
        </w:rPr>
      </w:r>
      <w:r/>
    </w:p>
    <w:p>
      <w:pPr>
        <w:pStyle w:val="920"/>
        <w:numPr>
          <w:ilvl w:val="0"/>
          <w:numId w:val="4"/>
        </w:numPr>
        <w:spacing w:before="260" w:after="260" w:line="560" w:lineRule="exact"/>
        <w:rPr>
          <w:rFonts w:hint="eastAsia" w:ascii="方正仿宋_GBK" w:hAnsi="方正仿宋_GBK" w:eastAsia="方正仿宋_GBK" w:cs="方正仿宋_GBK"/>
          <w:b/>
          <w:color w:val="000000"/>
          <w:sz w:val="28"/>
          <w:szCs w:val="28"/>
        </w:rPr>
        <w:outlineLvl w:val="2"/>
      </w:pPr>
      <w:r>
        <w:rPr>
          <w:rFonts w:hint="eastAsia" w:ascii="方正仿宋_GBK" w:hAnsi="方正仿宋_GBK" w:eastAsia="方正仿宋_GBK" w:cs="方正仿宋_GBK"/>
          <w:b/>
          <w:color w:val="000000"/>
          <w:sz w:val="28"/>
          <w:szCs w:val="28"/>
          <w:lang w:val="en-US" w:eastAsia="zh-CN"/>
        </w:rPr>
        <w:t xml:space="preserve">其它</w:t>
      </w:r>
      <w:r>
        <w:rPr>
          <w:rFonts w:hint="eastAsia" w:ascii="方正仿宋_GBK" w:hAnsi="方正仿宋_GBK" w:eastAsia="方正仿宋_GBK" w:cs="方正仿宋_GBK"/>
          <w:b/>
          <w:color w:val="000000"/>
          <w:sz w:val="28"/>
          <w:szCs w:val="28"/>
        </w:rPr>
        <w:t xml:space="preserve">要求</w:t>
      </w:r>
      <w:r>
        <w:rPr>
          <w:rFonts w:hint="eastAsia" w:ascii="方正仿宋_GBK" w:hAnsi="方正仿宋_GBK" w:eastAsia="方正仿宋_GBK" w:cs="方正仿宋_GBK"/>
          <w:b/>
          <w:color w:val="000000"/>
          <w:sz w:val="28"/>
          <w:szCs w:val="28"/>
        </w:rPr>
      </w:r>
      <w:r/>
    </w:p>
    <w:p>
      <w:pPr>
        <w:pStyle w:val="982"/>
        <w:numPr>
          <w:ilvl w:val="0"/>
          <w:numId w:val="10"/>
        </w:numPr>
        <w:ind w:firstLine="480"/>
        <w:jc w:val="both"/>
        <w:spacing w:before="0" w:beforeAutospacing="0" w:after="0" w:afterAutospacing="0" w:line="360" w:lineRule="auto"/>
        <w:widowControl w:val="off"/>
        <w:rPr>
          <w:rFonts w:hint="eastAsia"/>
          <w:color w:val="000000"/>
          <w:lang w:bidi="ar"/>
        </w:rPr>
      </w:pPr>
      <w:r>
        <w:rPr>
          <w:rFonts w:hint="eastAsia"/>
          <w:color w:val="000000"/>
          <w:lang w:val="en-US" w:eastAsia="zh-CN" w:bidi="ar"/>
        </w:rPr>
        <w:t xml:space="preserve">PAD</w:t>
      </w:r>
      <w:r>
        <w:rPr>
          <w:rFonts w:hint="eastAsia"/>
          <w:color w:val="000000"/>
          <w:lang w:bidi="ar"/>
        </w:rPr>
        <w:t xml:space="preserve">原始记录离线客户端</w:t>
      </w:r>
      <w:r>
        <w:rPr>
          <w:rFonts w:hint="eastAsia"/>
          <w:color w:val="000000"/>
          <w:lang w:bidi="ar"/>
        </w:rPr>
      </w:r>
      <w:r/>
    </w:p>
    <w:p>
      <w:pPr>
        <w:pStyle w:val="982"/>
        <w:numPr>
          <w:ilvl w:val="0"/>
          <w:numId w:val="11"/>
        </w:numPr>
        <w:ind w:left="840" w:firstLine="0"/>
        <w:jc w:val="both"/>
        <w:spacing w:before="0" w:beforeAutospacing="0" w:after="0" w:afterAutospacing="0" w:line="360" w:lineRule="auto"/>
        <w:widowControl w:val="off"/>
        <w:rPr>
          <w:rFonts w:hint="eastAsia"/>
          <w:color w:val="000000"/>
          <w:lang w:eastAsia="zh-CN" w:bidi="ar"/>
        </w:rPr>
      </w:pPr>
      <w:r>
        <w:rPr>
          <w:rFonts w:hint="eastAsia"/>
          <w:color w:val="000000"/>
          <w:lang w:bidi="ar"/>
        </w:rPr>
        <w:t xml:space="preserve">原始记录在线录入</w:t>
      </w:r>
      <w:r>
        <w:rPr>
          <w:rFonts w:hint="eastAsia"/>
          <w:color w:val="000000"/>
          <w:lang w:eastAsia="zh-CN" w:bidi="ar"/>
        </w:rPr>
        <w:t xml:space="preserve">：</w:t>
      </w:r>
      <w:r>
        <w:rPr>
          <w:color w:val="000000"/>
          <w:lang w:val="en-US" w:eastAsia="zh-CN" w:bidi="ar"/>
        </w:rPr>
        <w:t xml:space="preserve">PAD</w:t>
      </w:r>
      <w:r>
        <w:rPr>
          <w:rFonts w:hint="eastAsia"/>
          <w:color w:val="000000"/>
          <w:lang w:val="en-US" w:eastAsia="zh-CN" w:bidi="ar"/>
        </w:rPr>
        <w:t xml:space="preserve">接入内网后，进入电子原始记录模块，</w:t>
      </w:r>
      <w:r>
        <w:rPr>
          <w:rFonts w:hint="eastAsia"/>
          <w:color w:val="000000"/>
          <w:lang w:bidi="ar"/>
        </w:rPr>
        <w:t xml:space="preserve">支持在PAD端原始记录在线录入</w:t>
      </w:r>
      <w:r>
        <w:rPr>
          <w:rFonts w:hint="eastAsia"/>
          <w:color w:val="000000"/>
          <w:lang w:eastAsia="zh-CN" w:bidi="ar"/>
        </w:rPr>
        <w:t xml:space="preserve">，</w:t>
      </w:r>
      <w:r>
        <w:rPr>
          <w:rFonts w:hint="eastAsia"/>
          <w:color w:val="000000"/>
          <w:lang w:val="en-US" w:eastAsia="zh-CN" w:bidi="ar"/>
        </w:rPr>
        <w:t xml:space="preserve">录入的模版文件类似</w:t>
      </w:r>
      <w:r>
        <w:rPr>
          <w:color w:val="000000"/>
          <w:lang w:val="en-US" w:eastAsia="zh-CN" w:bidi="ar"/>
        </w:rPr>
        <w:t xml:space="preserve">excel</w:t>
      </w:r>
      <w:r>
        <w:rPr>
          <w:rFonts w:hint="eastAsia"/>
          <w:color w:val="000000"/>
          <w:lang w:val="en-US" w:eastAsia="zh-CN" w:bidi="ar"/>
        </w:rPr>
        <w:t xml:space="preserve">表格，能够进行单元格编辑，下拉选择证书类型等操作。</w:t>
      </w:r>
      <w:r>
        <w:rPr>
          <w:rFonts w:hint="eastAsia"/>
          <w:color w:val="000000"/>
          <w:lang w:eastAsia="zh-CN" w:bidi="ar"/>
        </w:rPr>
      </w:r>
      <w:r/>
    </w:p>
    <w:p>
      <w:pPr>
        <w:pStyle w:val="982"/>
        <w:numPr>
          <w:ilvl w:val="0"/>
          <w:numId w:val="11"/>
        </w:numPr>
        <w:ind w:left="840" w:firstLine="0"/>
        <w:jc w:val="both"/>
        <w:spacing w:before="0" w:beforeAutospacing="0" w:after="0" w:afterAutospacing="0" w:line="360" w:lineRule="auto"/>
        <w:widowControl w:val="off"/>
        <w:rPr>
          <w:rFonts w:hint="eastAsia"/>
          <w:color w:val="000000"/>
          <w:lang w:bidi="ar"/>
        </w:rPr>
      </w:pPr>
      <w:r>
        <w:rPr>
          <w:rFonts w:hint="eastAsia"/>
          <w:color w:val="000000"/>
          <w:lang w:bidi="ar"/>
        </w:rPr>
        <w:t xml:space="preserve">原始记录模版在线下载</w:t>
      </w:r>
      <w:r>
        <w:rPr>
          <w:rFonts w:hint="eastAsia"/>
          <w:color w:val="000000"/>
          <w:lang w:eastAsia="zh-CN" w:bidi="ar"/>
        </w:rPr>
        <w:t xml:space="preserve">：</w:t>
      </w:r>
      <w:r>
        <w:rPr>
          <w:color w:val="000000"/>
          <w:lang w:val="en-US" w:eastAsia="zh-CN" w:bidi="ar"/>
        </w:rPr>
        <w:t xml:space="preserve">PAD</w:t>
      </w:r>
      <w:r>
        <w:rPr>
          <w:rFonts w:hint="eastAsia"/>
          <w:color w:val="000000"/>
          <w:lang w:val="en-US" w:eastAsia="zh-CN" w:bidi="ar"/>
        </w:rPr>
        <w:t xml:space="preserve">接入内网后，进入电子原始记录模块，可以查询所有记录模版，选择对应的模版将文件下载PAD本地目录。</w:t>
      </w:r>
      <w:r>
        <w:rPr>
          <w:rFonts w:hint="eastAsia"/>
          <w:color w:val="000000"/>
          <w:lang w:bidi="ar"/>
        </w:rPr>
      </w:r>
      <w:r/>
    </w:p>
    <w:p>
      <w:pPr>
        <w:pStyle w:val="982"/>
        <w:numPr>
          <w:ilvl w:val="0"/>
          <w:numId w:val="11"/>
        </w:numPr>
        <w:ind w:left="840" w:firstLine="0"/>
        <w:jc w:val="both"/>
        <w:spacing w:before="0" w:beforeAutospacing="0" w:after="0" w:afterAutospacing="0" w:line="360" w:lineRule="auto"/>
        <w:widowControl w:val="off"/>
        <w:rPr>
          <w:rFonts w:hint="eastAsia"/>
          <w:color w:val="000000"/>
          <w:lang w:bidi="ar"/>
        </w:rPr>
      </w:pPr>
      <w:r>
        <w:rPr>
          <w:rFonts w:hint="eastAsia"/>
          <w:color w:val="000000"/>
          <w:lang w:bidi="ar"/>
        </w:rPr>
        <w:t xml:space="preserve">原始记录文件离线编辑</w:t>
      </w:r>
      <w:r>
        <w:rPr>
          <w:color w:val="000000"/>
          <w:lang w:val="en-US" w:bidi="ar"/>
        </w:rPr>
        <w:t xml:space="preserve">:</w:t>
      </w:r>
      <w:r>
        <w:rPr>
          <w:rFonts w:hint="eastAsia"/>
          <w:color w:val="000000"/>
          <w:lang w:val="en-US" w:eastAsia="zh-CN" w:bidi="ar"/>
        </w:rPr>
        <w:t xml:space="preserve">进入离线原始记录模块，支持在PAD端直接打开本地原始记录文件，能够进行单元格编辑，下拉选择证书类型等操作。</w:t>
      </w:r>
      <w:r>
        <w:rPr>
          <w:rFonts w:hint="eastAsia"/>
          <w:color w:val="000000"/>
          <w:lang w:bidi="ar"/>
        </w:rPr>
      </w:r>
      <w:r/>
    </w:p>
    <w:p>
      <w:pPr>
        <w:pStyle w:val="982"/>
        <w:numPr>
          <w:ilvl w:val="0"/>
          <w:numId w:val="11"/>
        </w:numPr>
        <w:ind w:left="840" w:firstLine="0"/>
        <w:jc w:val="both"/>
        <w:spacing w:before="0" w:beforeAutospacing="0" w:after="0" w:afterAutospacing="0" w:line="360" w:lineRule="auto"/>
        <w:widowControl w:val="off"/>
        <w:rPr>
          <w:rFonts w:hint="eastAsia"/>
          <w:color w:val="000000"/>
          <w:lang w:bidi="ar"/>
        </w:rPr>
      </w:pPr>
      <w:r>
        <w:rPr>
          <w:rFonts w:hint="eastAsia"/>
          <w:color w:val="000000"/>
          <w:lang w:bidi="ar"/>
        </w:rPr>
        <w:t xml:space="preserve">原始记录文件离线保存和另存</w:t>
      </w:r>
      <w:r>
        <w:rPr>
          <w:rFonts w:hint="eastAsia"/>
          <w:color w:val="000000"/>
          <w:lang w:eastAsia="zh-CN" w:bidi="ar"/>
        </w:rPr>
        <w:t xml:space="preserve">：</w:t>
      </w:r>
      <w:r>
        <w:rPr>
          <w:rFonts w:hint="eastAsia"/>
          <w:color w:val="000000"/>
          <w:lang w:val="en-US" w:eastAsia="zh-CN" w:bidi="ar"/>
        </w:rPr>
        <w:t xml:space="preserve">离线编辑记录完成后，可以直接保存进行原文件覆盖，也可另存为选择其他文件夹进行文件副本保存。</w:t>
      </w:r>
      <w:r>
        <w:rPr>
          <w:rFonts w:hint="eastAsia"/>
          <w:color w:val="000000"/>
          <w:lang w:bidi="ar"/>
        </w:rPr>
      </w:r>
      <w:r/>
    </w:p>
    <w:p>
      <w:pPr>
        <w:pStyle w:val="982"/>
        <w:numPr>
          <w:ilvl w:val="0"/>
          <w:numId w:val="11"/>
        </w:numPr>
        <w:ind w:left="840" w:firstLine="0"/>
        <w:jc w:val="both"/>
        <w:spacing w:before="0" w:beforeAutospacing="0" w:after="0" w:afterAutospacing="0" w:line="360" w:lineRule="auto"/>
        <w:widowControl w:val="off"/>
        <w:rPr>
          <w:rFonts w:hint="eastAsia"/>
          <w:color w:val="000000"/>
          <w:lang w:bidi="ar"/>
        </w:rPr>
      </w:pPr>
      <w:r>
        <w:rPr>
          <w:rFonts w:hint="eastAsia"/>
          <w:color w:val="000000"/>
          <w:lang w:bidi="ar"/>
        </w:rPr>
        <w:t xml:space="preserve">原始记录文件上传与展示</w:t>
      </w:r>
      <w:r>
        <w:rPr>
          <w:rFonts w:hint="eastAsia"/>
          <w:color w:val="000000"/>
          <w:lang w:eastAsia="zh-CN" w:bidi="ar"/>
        </w:rPr>
        <w:t xml:space="preserve">：</w:t>
      </w:r>
      <w:r>
        <w:rPr>
          <w:color w:val="000000"/>
          <w:lang w:val="en-US" w:eastAsia="zh-CN" w:bidi="ar"/>
        </w:rPr>
        <w:t xml:space="preserve">PAD</w:t>
      </w:r>
      <w:r>
        <w:rPr>
          <w:rFonts w:hint="eastAsia"/>
          <w:color w:val="000000"/>
          <w:lang w:val="en-US" w:eastAsia="zh-CN" w:bidi="ar"/>
        </w:rPr>
        <w:t xml:space="preserve">接入内网后，进入电子原始记录模块，选择对应的检测器具，点击上传选择对应的本地文件进行上传，上传完成后点击录入自动加载上传的文件数据。</w:t>
      </w:r>
      <w:r>
        <w:rPr>
          <w:rFonts w:hint="eastAsia"/>
          <w:color w:val="000000"/>
          <w:lang w:bidi="ar"/>
        </w:rPr>
      </w:r>
      <w:r/>
    </w:p>
    <w:p>
      <w:pPr>
        <w:pStyle w:val="982"/>
        <w:numPr>
          <w:ilvl w:val="0"/>
          <w:numId w:val="10"/>
        </w:numPr>
        <w:ind w:firstLine="480"/>
        <w:jc w:val="both"/>
        <w:spacing w:before="0" w:beforeAutospacing="0" w:after="0" w:afterAutospacing="0" w:line="360" w:lineRule="auto"/>
        <w:widowControl w:val="off"/>
        <w:rPr>
          <w:rFonts w:hint="eastAsia"/>
          <w:color w:val="000000"/>
          <w:lang w:bidi="ar"/>
        </w:rPr>
      </w:pPr>
      <w:r>
        <w:rPr>
          <w:rFonts w:hint="eastAsia"/>
          <w:color w:val="000000"/>
          <w:lang w:bidi="ar"/>
        </w:rPr>
        <w:t xml:space="preserve">科研项目预算申报</w:t>
      </w:r>
      <w:r>
        <w:rPr>
          <w:rFonts w:hint="eastAsia"/>
          <w:color w:val="000000"/>
          <w:lang w:bidi="ar"/>
        </w:rPr>
      </w:r>
      <w:r/>
    </w:p>
    <w:p>
      <w:pPr>
        <w:pStyle w:val="982"/>
        <w:numPr>
          <w:ilvl w:val="0"/>
          <w:numId w:val="0"/>
        </w:numPr>
        <w:ind w:left="480" w:firstLine="419"/>
        <w:jc w:val="both"/>
        <w:spacing w:before="0" w:beforeAutospacing="0" w:after="0" w:afterAutospacing="0" w:line="360" w:lineRule="auto"/>
        <w:widowControl w:val="off"/>
        <w:rPr>
          <w:rFonts w:hint="eastAsia"/>
          <w:color w:val="000000"/>
          <w:lang w:bidi="ar"/>
        </w:rPr>
      </w:pPr>
      <w:r>
        <w:rPr>
          <w:rFonts w:hint="eastAsia"/>
          <w:color w:val="000000"/>
          <w:lang w:bidi="ar"/>
        </w:rPr>
        <w:t xml:space="preserve">1）预算初始化与填报</w:t>
      </w:r>
      <w:r>
        <w:rPr>
          <w:rFonts w:hint="eastAsia"/>
          <w:color w:val="000000"/>
          <w:lang w:eastAsia="zh-CN" w:bidi="ar"/>
        </w:rPr>
        <w:t xml:space="preserve">：</w:t>
      </w:r>
      <w:r>
        <w:rPr>
          <w:rFonts w:hint="eastAsia"/>
          <w:color w:val="000000"/>
          <w:lang w:val="en-US" w:eastAsia="zh-CN" w:bidi="ar"/>
        </w:rPr>
        <w:t xml:space="preserve">申报人员进入科研预算申报，点击初始化预算，系统自动按年度初始化全部预算</w:t>
      </w:r>
      <w:r>
        <w:rPr>
          <w:rFonts w:hint="eastAsia"/>
          <w:color w:val="000000"/>
          <w:lang w:bidi="ar"/>
        </w:rPr>
        <w:t xml:space="preserve">小类</w:t>
      </w:r>
      <w:r>
        <w:rPr>
          <w:rFonts w:hint="eastAsia"/>
          <w:color w:val="000000"/>
          <w:lang w:val="en-US" w:eastAsia="zh-CN" w:bidi="ar"/>
        </w:rPr>
        <w:t xml:space="preserve">费用明细</w:t>
      </w:r>
      <w:r>
        <w:rPr>
          <w:rFonts w:hint="eastAsia"/>
          <w:color w:val="000000"/>
          <w:lang w:bidi="ar"/>
        </w:rPr>
        <w:t xml:space="preserve">。</w:t>
      </w:r>
      <w:r>
        <w:rPr>
          <w:rFonts w:hint="eastAsia"/>
          <w:color w:val="000000"/>
          <w:lang w:bidi="ar"/>
        </w:rPr>
      </w:r>
      <w:r/>
    </w:p>
    <w:p>
      <w:pPr>
        <w:pStyle w:val="982"/>
        <w:numPr>
          <w:ilvl w:val="0"/>
          <w:numId w:val="0"/>
        </w:numPr>
        <w:ind w:left="480" w:firstLine="419"/>
        <w:jc w:val="both"/>
        <w:spacing w:before="0" w:beforeAutospacing="0" w:after="0" w:afterAutospacing="0" w:line="360" w:lineRule="auto"/>
        <w:widowControl w:val="off"/>
        <w:rPr>
          <w:rFonts w:hint="eastAsia" w:eastAsia="宋体"/>
          <w:color w:val="000000"/>
          <w:lang w:val="en-US" w:eastAsia="zh-CN" w:bidi="ar"/>
        </w:rPr>
      </w:pPr>
      <w:r>
        <w:rPr>
          <w:rFonts w:hint="eastAsia"/>
          <w:color w:val="000000"/>
          <w:lang w:val="en-US" w:eastAsia="zh-CN" w:bidi="ar"/>
        </w:rPr>
        <w:t xml:space="preserve">2</w:t>
      </w:r>
      <w:r>
        <w:rPr>
          <w:rFonts w:hint="eastAsia"/>
          <w:color w:val="000000"/>
          <w:lang w:bidi="ar"/>
        </w:rPr>
        <w:t xml:space="preserve">）</w:t>
      </w:r>
      <w:r>
        <w:rPr>
          <w:rFonts w:hint="eastAsia" w:ascii="宋体" w:hAnsi="宋体" w:cs="宋体"/>
          <w:color w:val="000000"/>
          <w:sz w:val="24"/>
          <w:szCs w:val="24"/>
          <w:lang w:bidi="ar"/>
        </w:rPr>
        <w:t xml:space="preserve">预算多级审批流程：预算填报人员提交一上预算申报信息后，依次流转至部门负责人审核、科研管理员进行多级</w:t>
      </w:r>
      <w:r>
        <w:rPr>
          <w:rFonts w:hint="eastAsia" w:ascii="宋体" w:hAnsi="宋体" w:cs="宋体"/>
          <w:color w:val="000000"/>
          <w:sz w:val="24"/>
          <w:szCs w:val="24"/>
          <w:lang w:val="en-US" w:eastAsia="zh-CN" w:bidi="ar"/>
        </w:rPr>
        <w:t xml:space="preserve">流程</w:t>
      </w:r>
      <w:r>
        <w:rPr>
          <w:rFonts w:hint="eastAsia" w:ascii="宋体" w:hAnsi="宋体" w:cs="宋体"/>
          <w:color w:val="000000"/>
          <w:sz w:val="24"/>
          <w:szCs w:val="24"/>
          <w:lang w:bidi="ar"/>
        </w:rPr>
        <w:t xml:space="preserve">审批</w:t>
      </w:r>
      <w:r>
        <w:rPr>
          <w:rFonts w:hint="eastAsia" w:cs="宋体"/>
          <w:color w:val="000000"/>
          <w:sz w:val="24"/>
          <w:szCs w:val="24"/>
          <w:lang w:eastAsia="zh-CN" w:bidi="ar"/>
        </w:rPr>
        <w:t xml:space="preserve">。</w:t>
      </w:r>
      <w:r>
        <w:rPr>
          <w:rFonts w:hint="eastAsia" w:eastAsia="宋体"/>
          <w:color w:val="000000"/>
          <w:lang w:val="en-US" w:eastAsia="zh-CN" w:bidi="ar"/>
        </w:rPr>
      </w:r>
      <w:r/>
    </w:p>
    <w:p>
      <w:pPr>
        <w:pStyle w:val="982"/>
        <w:numPr>
          <w:ilvl w:val="0"/>
          <w:numId w:val="0"/>
        </w:numPr>
        <w:ind w:left="480" w:firstLine="419"/>
        <w:jc w:val="both"/>
        <w:spacing w:before="0" w:beforeAutospacing="0" w:after="0" w:afterAutospacing="0" w:line="360" w:lineRule="auto"/>
        <w:widowControl w:val="off"/>
        <w:rPr>
          <w:rFonts w:hint="eastAsia"/>
          <w:color w:val="000000"/>
          <w:lang w:bidi="ar"/>
        </w:rPr>
      </w:pPr>
      <w:r>
        <w:rPr>
          <w:rFonts w:hint="eastAsia"/>
          <w:color w:val="000000"/>
          <w:lang w:val="en-US" w:eastAsia="zh-CN" w:bidi="ar"/>
        </w:rPr>
        <w:t xml:space="preserve">3</w:t>
      </w:r>
      <w:r>
        <w:rPr>
          <w:rFonts w:hint="eastAsia"/>
          <w:color w:val="000000"/>
          <w:lang w:bidi="ar"/>
        </w:rPr>
        <w:t xml:space="preserve">）</w:t>
      </w:r>
      <w:r>
        <w:rPr>
          <w:rFonts w:hint="eastAsia"/>
          <w:color w:val="000000"/>
          <w:lang w:val="en-US" w:eastAsia="zh-CN" w:bidi="ar"/>
        </w:rPr>
        <w:t xml:space="preserve">二上预算开启与填报：</w:t>
      </w:r>
      <w:r>
        <w:rPr>
          <w:rFonts w:hint="eastAsia"/>
          <w:color w:val="000000"/>
          <w:lang w:bidi="ar"/>
        </w:rPr>
        <w:t xml:space="preserve">科研管理员可在项目台账开启二上申报</w:t>
      </w:r>
      <w:r>
        <w:rPr>
          <w:rFonts w:hint="eastAsia"/>
          <w:color w:val="000000"/>
          <w:lang w:eastAsia="zh-CN" w:bidi="ar"/>
        </w:rPr>
        <w:t xml:space="preserve">，</w:t>
      </w:r>
      <w:r>
        <w:rPr>
          <w:rFonts w:hint="eastAsia"/>
          <w:color w:val="000000"/>
          <w:lang w:bidi="ar"/>
        </w:rPr>
        <w:t xml:space="preserve">二上</w:t>
      </w:r>
      <w:r>
        <w:rPr>
          <w:rFonts w:hint="eastAsia"/>
          <w:color w:val="000000"/>
          <w:lang w:val="en-US" w:eastAsia="zh-CN" w:bidi="ar"/>
        </w:rPr>
        <w:t xml:space="preserve">申报时</w:t>
      </w:r>
      <w:r>
        <w:rPr>
          <w:rFonts w:hint="eastAsia"/>
          <w:color w:val="000000"/>
          <w:lang w:bidi="ar"/>
        </w:rPr>
        <w:t xml:space="preserve">自动带入一上金额</w:t>
      </w:r>
      <w:r>
        <w:rPr>
          <w:color w:val="000000"/>
          <w:lang w:val="en-US" w:bidi="ar"/>
        </w:rPr>
        <w:t xml:space="preserve">,</w:t>
      </w:r>
      <w:r>
        <w:rPr>
          <w:rFonts w:hint="eastAsia"/>
          <w:color w:val="000000"/>
          <w:lang w:val="en-US" w:eastAsia="zh-CN" w:bidi="ar"/>
        </w:rPr>
        <w:t xml:space="preserve">申报需要填写财政资金、单位资金和预算说明等信息。</w:t>
      </w:r>
      <w:r>
        <w:rPr>
          <w:rFonts w:hint="eastAsia"/>
          <w:color w:val="000000"/>
          <w:lang w:bidi="ar"/>
        </w:rPr>
      </w:r>
      <w:r/>
    </w:p>
    <w:p>
      <w:pPr>
        <w:pStyle w:val="982"/>
        <w:numPr>
          <w:ilvl w:val="0"/>
          <w:numId w:val="10"/>
        </w:numPr>
        <w:ind w:firstLine="480"/>
        <w:jc w:val="both"/>
        <w:spacing w:before="0" w:beforeAutospacing="0" w:after="0" w:afterAutospacing="0" w:line="360" w:lineRule="auto"/>
        <w:widowControl w:val="off"/>
        <w:rPr>
          <w:rFonts w:hint="eastAsia"/>
          <w:color w:val="000000"/>
          <w:lang w:bidi="ar"/>
        </w:rPr>
      </w:pPr>
      <w:r>
        <w:rPr>
          <w:rFonts w:hint="eastAsia"/>
          <w:color w:val="000000"/>
          <w:lang w:bidi="ar"/>
        </w:rPr>
        <w:t xml:space="preserve">计量专业项目考核</w:t>
      </w:r>
      <w:r>
        <w:rPr>
          <w:rFonts w:hint="eastAsia"/>
          <w:color w:val="000000"/>
          <w:lang w:bidi="ar"/>
        </w:rPr>
      </w:r>
      <w:r/>
    </w:p>
    <w:p>
      <w:pPr>
        <w:pStyle w:val="982"/>
        <w:numPr>
          <w:ilvl w:val="0"/>
          <w:numId w:val="12"/>
        </w:numPr>
        <w:ind w:left="480" w:firstLine="419"/>
        <w:jc w:val="both"/>
        <w:spacing w:before="0" w:beforeAutospacing="0" w:after="0" w:afterAutospacing="0" w:line="360" w:lineRule="auto"/>
        <w:widowControl w:val="off"/>
        <w:rPr>
          <w:rFonts w:hint="eastAsia"/>
          <w:color w:val="000000"/>
          <w:lang w:eastAsia="zh-CN" w:bidi="ar"/>
        </w:rPr>
      </w:pPr>
      <w:r>
        <w:rPr>
          <w:rFonts w:hint="eastAsia"/>
          <w:color w:val="000000"/>
          <w:lang w:bidi="ar"/>
        </w:rPr>
        <w:t xml:space="preserve">发起考核申报</w:t>
      </w:r>
      <w:r>
        <w:rPr>
          <w:rFonts w:hint="eastAsia"/>
          <w:color w:val="000000"/>
          <w:lang w:eastAsia="zh-CN" w:bidi="ar"/>
        </w:rPr>
        <w:t xml:space="preserve">：</w:t>
      </w:r>
      <w:r>
        <w:rPr>
          <w:rFonts w:hint="eastAsia"/>
          <w:color w:val="000000"/>
          <w:lang w:val="en-US" w:eastAsia="zh-CN" w:bidi="ar"/>
        </w:rPr>
        <w:t xml:space="preserve">点击申请发起考核申报填写，</w:t>
      </w:r>
      <w:r>
        <w:rPr>
          <w:rFonts w:hint="eastAsia"/>
          <w:color w:val="000000"/>
          <w:lang w:bidi="ar"/>
        </w:rPr>
        <w:t xml:space="preserve">主表单自动带入人员及资质信息，按计量专业项目/检测抽样项目</w:t>
      </w:r>
      <w:r>
        <w:rPr>
          <w:rFonts w:hint="eastAsia"/>
          <w:color w:val="000000"/>
          <w:lang w:val="en-US" w:eastAsia="zh-CN" w:bidi="ar"/>
        </w:rPr>
        <w:t xml:space="preserve">两个</w:t>
      </w:r>
      <w:r>
        <w:rPr>
          <w:rFonts w:hint="eastAsia"/>
          <w:color w:val="000000"/>
          <w:lang w:bidi="ar"/>
        </w:rPr>
        <w:t xml:space="preserve">考核类别分类填报,专业类别</w:t>
      </w:r>
      <w:r>
        <w:rPr>
          <w:rFonts w:hint="eastAsia"/>
          <w:color w:val="000000"/>
          <w:lang w:val="en-US" w:eastAsia="zh-CN" w:bidi="ar"/>
        </w:rPr>
        <w:t xml:space="preserve">自动根据考核类别</w:t>
      </w:r>
      <w:r>
        <w:rPr>
          <w:rFonts w:hint="eastAsia"/>
          <w:color w:val="000000"/>
          <w:lang w:bidi="ar"/>
        </w:rPr>
        <w:t xml:space="preserve">联动</w:t>
      </w:r>
      <w:r>
        <w:rPr>
          <w:rFonts w:hint="eastAsia"/>
          <w:color w:val="000000"/>
          <w:lang w:val="en-US" w:eastAsia="zh-CN" w:bidi="ar"/>
        </w:rPr>
        <w:t xml:space="preserve">选择展示</w:t>
      </w:r>
      <w:r>
        <w:rPr>
          <w:rFonts w:hint="eastAsia"/>
          <w:color w:val="000000"/>
          <w:lang w:eastAsia="zh-CN" w:bidi="ar"/>
        </w:rPr>
        <w:t xml:space="preserve">。</w:t>
      </w:r>
      <w:r>
        <w:rPr>
          <w:rFonts w:hint="eastAsia"/>
          <w:color w:val="000000"/>
          <w:lang w:eastAsia="zh-CN" w:bidi="ar"/>
        </w:rPr>
      </w:r>
      <w:r/>
    </w:p>
    <w:p>
      <w:pPr>
        <w:pStyle w:val="982"/>
        <w:numPr>
          <w:ilvl w:val="0"/>
          <w:numId w:val="12"/>
        </w:numPr>
        <w:ind w:left="480" w:firstLine="419"/>
        <w:jc w:val="both"/>
        <w:spacing w:before="0" w:beforeAutospacing="0" w:after="0" w:afterAutospacing="0" w:line="360" w:lineRule="auto"/>
        <w:widowControl w:val="off"/>
        <w:rPr>
          <w:rFonts w:hint="eastAsia"/>
          <w:color w:val="000000"/>
          <w:lang w:bidi="ar"/>
        </w:rPr>
      </w:pPr>
      <w:r>
        <w:rPr>
          <w:rFonts w:hint="eastAsia"/>
          <w:color w:val="000000"/>
          <w:lang w:bidi="ar"/>
        </w:rPr>
        <w:t xml:space="preserve">申报多级审核流程</w:t>
      </w:r>
      <w:r>
        <w:rPr>
          <w:rFonts w:hint="eastAsia"/>
          <w:color w:val="000000"/>
          <w:lang w:eastAsia="zh-CN" w:bidi="ar"/>
        </w:rPr>
        <w:t xml:space="preserve">：</w:t>
      </w:r>
      <w:r>
        <w:rPr>
          <w:rFonts w:hint="eastAsia"/>
          <w:color w:val="000000"/>
          <w:lang w:val="en-US" w:eastAsia="zh-CN" w:bidi="ar"/>
        </w:rPr>
        <w:t xml:space="preserve">申报</w:t>
      </w:r>
      <w:r>
        <w:rPr>
          <w:rFonts w:hint="eastAsia"/>
          <w:color w:val="000000"/>
          <w:lang w:bidi="ar"/>
        </w:rPr>
        <w:t xml:space="preserve">提交后依次流转至部门负责人、职能部门、职能部门负责人</w:t>
      </w:r>
      <w:r>
        <w:rPr>
          <w:rFonts w:hint="eastAsia"/>
          <w:color w:val="000000"/>
          <w:lang w:val="en-US" w:eastAsia="zh-CN" w:bidi="ar"/>
        </w:rPr>
        <w:t xml:space="preserve">进行</w:t>
      </w:r>
      <w:r>
        <w:rPr>
          <w:rFonts w:hint="eastAsia"/>
          <w:color w:val="000000"/>
          <w:lang w:bidi="ar"/>
        </w:rPr>
        <w:t xml:space="preserve">多级审核，职能部门办理节点填写合格证编号、考核结果、专业理论分数</w:t>
      </w:r>
      <w:r>
        <w:rPr>
          <w:rFonts w:hint="eastAsia"/>
          <w:color w:val="000000"/>
          <w:lang w:eastAsia="zh-CN" w:bidi="ar"/>
        </w:rPr>
        <w:t xml:space="preserve">，</w:t>
      </w:r>
      <w:r>
        <w:rPr>
          <w:rFonts w:hint="eastAsia"/>
          <w:color w:val="000000"/>
          <w:lang w:val="en-US" w:eastAsia="zh-CN" w:bidi="ar"/>
        </w:rPr>
        <w:t xml:space="preserve">申报提交后</w:t>
      </w:r>
      <w:r>
        <w:rPr>
          <w:rFonts w:hint="eastAsia"/>
          <w:color w:val="000000"/>
          <w:lang w:bidi="ar"/>
        </w:rPr>
        <w:t xml:space="preserve">支持打印考核申请表。</w:t>
      </w:r>
      <w:r>
        <w:rPr>
          <w:rFonts w:hint="eastAsia"/>
          <w:color w:val="000000"/>
          <w:lang w:bidi="ar"/>
        </w:rPr>
      </w:r>
      <w:r/>
    </w:p>
    <w:p>
      <w:pPr>
        <w:pStyle w:val="922"/>
        <w:jc w:val="left"/>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b w:val="0"/>
          <w:bCs w:val="0"/>
          <w:sz w:val="28"/>
          <w:szCs w:val="28"/>
        </w:rPr>
        <w:t xml:space="preserve">四、商务要求</w:t>
      </w:r>
      <w:r>
        <w:rPr>
          <w:rFonts w:hint="eastAsia" w:ascii="方正黑体_GBK" w:hAnsi="方正黑体_GBK" w:eastAsia="方正黑体_GBK" w:cs="方正黑体_GBK"/>
          <w:color w:val="000000"/>
          <w:sz w:val="28"/>
          <w:szCs w:val="28"/>
        </w:rPr>
      </w:r>
      <w:r/>
    </w:p>
    <w:p>
      <w:pPr>
        <w:pStyle w:val="923"/>
        <w:numPr>
          <w:ilvl w:val="0"/>
          <w:numId w:val="13"/>
        </w:numPr>
        <w:rPr>
          <w:rFonts w:hint="eastAsia"/>
          <w:sz w:val="28"/>
          <w:szCs w:val="28"/>
        </w:rPr>
      </w:pPr>
      <w:r>
        <w:rPr>
          <w:rFonts w:hint="eastAsia"/>
          <w:sz w:val="28"/>
          <w:szCs w:val="28"/>
        </w:rPr>
        <w:t xml:space="preserve">履约能力要求</w:t>
      </w:r>
      <w:r>
        <w:rPr>
          <w:rFonts w:hint="eastAsia"/>
          <w:sz w:val="28"/>
          <w:szCs w:val="28"/>
        </w:rPr>
      </w:r>
      <w:r/>
    </w:p>
    <w:p>
      <w:pPr>
        <w:pStyle w:val="982"/>
        <w:ind w:firstLine="480"/>
        <w:jc w:val="both"/>
        <w:spacing w:before="0" w:beforeAutospacing="0" w:after="0" w:afterAutospacing="0" w:line="360" w:lineRule="auto"/>
        <w:widowControl w:val="off"/>
        <w:rPr>
          <w:rFonts w:hint="eastAsia"/>
          <w:color w:val="000000"/>
          <w:lang w:bidi="ar"/>
        </w:rPr>
      </w:pPr>
      <w:r>
        <w:rPr>
          <w:rFonts w:hint="eastAsia"/>
          <w:color w:val="000000"/>
          <w:lang w:bidi="ar"/>
        </w:rPr>
        <w:t xml:space="preserve">1.磋商供应商</w:t>
      </w:r>
      <w:r>
        <w:rPr>
          <w:color w:val="000000"/>
          <w:lang w:bidi="ar"/>
        </w:rPr>
        <w:t xml:space="preserve">业绩：</w:t>
      </w:r>
      <w:r>
        <w:rPr>
          <w:rFonts w:hint="eastAsia"/>
          <w:color w:val="000000"/>
          <w:lang w:bidi="ar"/>
        </w:rPr>
        <w:t xml:space="preserve">供应商自2024年1月1日起（以合同日期为准）承担过包含综合监管、检验检测或数据治理等核心功能的类似信息化系统建设业绩。</w:t>
      </w:r>
      <w:r>
        <w:rPr>
          <w:rFonts w:hint="eastAsia"/>
          <w:color w:val="000000"/>
          <w:lang w:bidi="ar"/>
        </w:rPr>
      </w:r>
      <w:r/>
    </w:p>
    <w:p>
      <w:pPr>
        <w:pStyle w:val="982"/>
        <w:ind w:firstLine="480"/>
        <w:jc w:val="both"/>
        <w:spacing w:before="0" w:beforeAutospacing="0" w:after="0" w:afterAutospacing="0" w:line="360" w:lineRule="auto"/>
        <w:widowControl w:val="off"/>
        <w:rPr>
          <w:color w:val="000000"/>
        </w:rPr>
      </w:pPr>
      <w:r>
        <w:rPr>
          <w:rFonts w:hint="eastAsia"/>
          <w:color w:val="000000"/>
          <w:lang w:bidi="ar"/>
        </w:rPr>
        <w:t xml:space="preserve">2</w:t>
      </w:r>
      <w:r>
        <w:rPr>
          <w:color w:val="000000"/>
          <w:lang w:bidi="ar"/>
        </w:rPr>
        <w:t xml:space="preserve">.软件著作权：</w:t>
      </w:r>
      <w:r>
        <w:rPr>
          <w:rFonts w:hint="eastAsia"/>
          <w:color w:val="000000"/>
          <w:lang w:bidi="ar"/>
        </w:rPr>
        <w:t xml:space="preserve">供应商</w:t>
      </w:r>
      <w:r>
        <w:rPr>
          <w:color w:val="000000"/>
          <w:lang w:bidi="ar"/>
        </w:rPr>
        <w:t xml:space="preserve">具有与本次招标内容相关的计算机软件著作权登记证书，包括：“</w:t>
      </w:r>
      <w:r>
        <w:rPr>
          <w:rFonts w:hint="eastAsia"/>
          <w:color w:val="000000"/>
          <w:lang w:bidi="ar"/>
        </w:rPr>
        <w:t xml:space="preserve">计量业务一体化</w:t>
      </w:r>
      <w:r>
        <w:rPr>
          <w:color w:val="000000"/>
          <w:lang w:bidi="ar"/>
        </w:rPr>
        <w:t xml:space="preserve">”或“</w:t>
      </w:r>
      <w:r>
        <w:rPr>
          <w:rFonts w:hint="eastAsia"/>
          <w:color w:val="000000"/>
          <w:lang w:bidi="ar"/>
        </w:rPr>
        <w:t xml:space="preserve">质量管理</w:t>
      </w:r>
      <w:r>
        <w:rPr>
          <w:color w:val="000000"/>
          <w:lang w:bidi="ar"/>
        </w:rPr>
        <w:t xml:space="preserve">”或“</w:t>
      </w:r>
      <w:r>
        <w:rPr>
          <w:rFonts w:hint="eastAsia"/>
          <w:color w:val="000000"/>
          <w:lang w:bidi="ar"/>
        </w:rPr>
        <w:t xml:space="preserve">电子证书报告</w:t>
      </w:r>
      <w:r>
        <w:rPr>
          <w:color w:val="000000"/>
          <w:lang w:bidi="ar"/>
        </w:rPr>
        <w:t xml:space="preserve">”。</w:t>
      </w:r>
      <w:r>
        <w:rPr>
          <w:color w:val="000000"/>
        </w:rPr>
        <w:t xml:space="preserve"> </w:t>
      </w:r>
      <w:r>
        <w:rPr>
          <w:color w:val="000000"/>
        </w:rPr>
      </w:r>
      <w:r/>
    </w:p>
    <w:p>
      <w:pPr>
        <w:pStyle w:val="982"/>
        <w:ind w:firstLine="480"/>
        <w:jc w:val="both"/>
        <w:spacing w:before="0" w:beforeAutospacing="0" w:after="0" w:afterAutospacing="0" w:line="360" w:lineRule="auto"/>
        <w:widowControl w:val="off"/>
        <w:rPr>
          <w:rFonts w:hint="eastAsia"/>
        </w:rPr>
      </w:pPr>
      <w:r>
        <w:rPr>
          <w:rFonts w:hint="eastAsia"/>
          <w:color w:val="000000"/>
          <w:lang w:bidi="ar"/>
        </w:rPr>
        <w:t xml:space="preserve">3</w:t>
      </w:r>
      <w:r>
        <w:rPr>
          <w:color w:val="000000"/>
          <w:lang w:bidi="ar"/>
        </w:rPr>
        <w:t xml:space="preserve">.项目经理</w:t>
      </w:r>
      <w:r>
        <w:rPr>
          <w:rFonts w:hint="eastAsia"/>
          <w:color w:val="000000"/>
          <w:lang w:bidi="ar"/>
        </w:rPr>
        <w:t xml:space="preserve">（限1人）</w:t>
      </w:r>
      <w:r>
        <w:rPr>
          <w:color w:val="000000"/>
          <w:lang w:bidi="ar"/>
        </w:rPr>
        <w:t xml:space="preserve">需具备信息系统项目管理师证和软件设计师证书。项目开发团队中，除项目经理以外的技术人员，需持有信息系统项目管理师、系统架构设计师、软件设计师、注册信息安全专业人员（CISP或CISSP）、信息技术服务标准应用经理证书(ITSS)证书。</w:t>
      </w:r>
      <w:r>
        <w:rPr>
          <w:rFonts w:hint="eastAsia"/>
        </w:rPr>
      </w:r>
      <w:r/>
    </w:p>
    <w:p>
      <w:pPr>
        <w:pStyle w:val="923"/>
        <w:numPr>
          <w:ilvl w:val="0"/>
          <w:numId w:val="13"/>
        </w:numPr>
        <w:rPr>
          <w:rFonts w:hint="eastAsia"/>
          <w:sz w:val="28"/>
          <w:szCs w:val="28"/>
        </w:rPr>
      </w:pPr>
      <w:r>
        <w:rPr>
          <w:rFonts w:hint="eastAsia"/>
          <w:sz w:val="28"/>
          <w:szCs w:val="28"/>
        </w:rPr>
        <w:t xml:space="preserve">项目服务期限</w:t>
      </w:r>
      <w:r>
        <w:rPr>
          <w:rFonts w:hint="eastAsia"/>
          <w:sz w:val="28"/>
          <w:szCs w:val="28"/>
        </w:rPr>
      </w:r>
      <w:r/>
    </w:p>
    <w:p>
      <w:pPr>
        <w:pStyle w:val="920"/>
        <w:ind w:firstLine="480"/>
        <w:spacing w:line="560" w:lineRule="exact"/>
        <w:rPr>
          <w:rFonts w:hint="eastAsia" w:ascii="宋体" w:hAnsi="宋体" w:cs="宋体"/>
          <w:sz w:val="24"/>
          <w:szCs w:val="24"/>
        </w:rPr>
      </w:pPr>
      <w:r>
        <w:rPr>
          <w:rFonts w:hint="eastAsia" w:ascii="宋体" w:hAnsi="宋体" w:cs="宋体"/>
          <w:sz w:val="24"/>
          <w:szCs w:val="24"/>
          <w:lang w:bidi="ar"/>
        </w:rPr>
        <w:t xml:space="preserve">自合同签订之日起40天内完成所有软件系统的开发、安装部署、测试、试运行、验收等工作。自验收合格之日起提供1年售后质保服务，报价中应包含质保服务。</w:t>
      </w:r>
      <w:r>
        <w:rPr>
          <w:rFonts w:hint="eastAsia" w:ascii="宋体" w:hAnsi="宋体" w:cs="宋体"/>
          <w:sz w:val="24"/>
          <w:szCs w:val="24"/>
        </w:rPr>
      </w:r>
      <w:r/>
    </w:p>
    <w:p>
      <w:pPr>
        <w:pStyle w:val="923"/>
        <w:numPr>
          <w:ilvl w:val="0"/>
          <w:numId w:val="13"/>
        </w:numPr>
        <w:rPr>
          <w:rFonts w:hint="eastAsia" w:ascii="宋体" w:hAnsi="宋体" w:cs="宋体"/>
          <w:sz w:val="28"/>
          <w:szCs w:val="28"/>
        </w:rPr>
      </w:pPr>
      <w:r>
        <w:rPr>
          <w:rFonts w:hint="eastAsia"/>
          <w:sz w:val="28"/>
          <w:szCs w:val="28"/>
        </w:rPr>
        <w:t xml:space="preserve">验收要求</w:t>
      </w:r>
      <w:r>
        <w:rPr>
          <w:rFonts w:hint="eastAsia" w:ascii="宋体" w:hAnsi="宋体" w:cs="宋体"/>
          <w:sz w:val="28"/>
          <w:szCs w:val="28"/>
        </w:rPr>
        <w:tab/>
      </w:r>
      <w:r>
        <w:rPr>
          <w:rFonts w:hint="eastAsia" w:ascii="宋体" w:hAnsi="宋体" w:cs="宋体"/>
          <w:sz w:val="28"/>
          <w:szCs w:val="28"/>
        </w:rPr>
      </w:r>
      <w:r/>
    </w:p>
    <w:p>
      <w:pPr>
        <w:pStyle w:val="920"/>
        <w:ind w:firstLine="480"/>
        <w:jc w:val="left"/>
        <w:spacing w:line="560" w:lineRule="exact"/>
        <w:rPr>
          <w:rFonts w:hint="eastAsia" w:ascii="宋体" w:hAnsi="宋体" w:cs="宋体"/>
          <w:sz w:val="24"/>
          <w:szCs w:val="24"/>
        </w:rPr>
      </w:pPr>
      <w:r>
        <w:rPr>
          <w:rFonts w:hint="eastAsia" w:ascii="宋体" w:hAnsi="宋体" w:cs="宋体"/>
          <w:sz w:val="24"/>
          <w:szCs w:val="24"/>
          <w:lang w:bidi="ar"/>
        </w:rPr>
        <w:t xml:space="preserve">系统正式交付前，中标方将技术文档和源码、软件交甲方，对于已检测出来的安全漏洞，必须由中标人修复完成，否则不予上线交付。 </w:t>
      </w:r>
      <w:r>
        <w:rPr>
          <w:rFonts w:hint="eastAsia" w:ascii="宋体" w:hAnsi="宋体" w:cs="宋体"/>
          <w:sz w:val="24"/>
          <w:szCs w:val="24"/>
        </w:rPr>
      </w:r>
      <w:r/>
    </w:p>
    <w:p>
      <w:pPr>
        <w:pStyle w:val="920"/>
        <w:ind w:firstLine="480"/>
        <w:jc w:val="left"/>
        <w:spacing w:line="560" w:lineRule="exact"/>
        <w:rPr>
          <w:rFonts w:hint="eastAsia" w:ascii="宋体" w:hAnsi="宋体" w:cs="宋体"/>
          <w:sz w:val="24"/>
          <w:szCs w:val="24"/>
        </w:rPr>
      </w:pPr>
      <w:r>
        <w:rPr>
          <w:rFonts w:hint="eastAsia" w:ascii="宋体" w:hAnsi="宋体" w:cs="宋体"/>
          <w:sz w:val="24"/>
          <w:szCs w:val="24"/>
          <w:lang w:bidi="ar"/>
        </w:rPr>
        <w:t xml:space="preserve">1.项目验收前，中标方要完成招标文件和合同规定的各项建设内容并满足要求，符合国家有关工程建设、安全及保密等各项规定，验收资料齐全。 </w:t>
      </w:r>
      <w:r>
        <w:rPr>
          <w:rFonts w:hint="eastAsia" w:ascii="宋体" w:hAnsi="宋体" w:cs="宋体"/>
          <w:sz w:val="24"/>
          <w:szCs w:val="24"/>
        </w:rPr>
      </w:r>
      <w:r/>
    </w:p>
    <w:p>
      <w:pPr>
        <w:pStyle w:val="920"/>
        <w:ind w:firstLine="480"/>
        <w:jc w:val="left"/>
        <w:spacing w:line="560" w:lineRule="exact"/>
        <w:rPr>
          <w:rFonts w:hint="eastAsia" w:ascii="宋体" w:hAnsi="宋体" w:cs="宋体"/>
          <w:sz w:val="24"/>
          <w:szCs w:val="24"/>
        </w:rPr>
      </w:pPr>
      <w:r>
        <w:rPr>
          <w:rFonts w:hint="eastAsia" w:ascii="宋体" w:hAnsi="宋体" w:cs="宋体"/>
          <w:sz w:val="24"/>
          <w:szCs w:val="24"/>
          <w:lang w:bidi="ar"/>
        </w:rPr>
        <w:t xml:space="preserve">2.项目完工后，中标方按招标文件和合同要求提交所有项目成果和项目文档。并提出验收申请，用户单位出具用户使用意见。 </w:t>
      </w:r>
      <w:r>
        <w:rPr>
          <w:rFonts w:hint="eastAsia" w:ascii="宋体" w:hAnsi="宋体" w:cs="宋体"/>
          <w:sz w:val="24"/>
          <w:szCs w:val="24"/>
        </w:rPr>
      </w:r>
      <w:r/>
    </w:p>
    <w:p>
      <w:pPr>
        <w:pStyle w:val="920"/>
        <w:ind w:firstLine="480"/>
        <w:jc w:val="left"/>
        <w:spacing w:line="560" w:lineRule="exact"/>
        <w:rPr>
          <w:rFonts w:hint="eastAsia" w:ascii="宋体" w:hAnsi="宋体" w:cs="宋体"/>
          <w:sz w:val="24"/>
          <w:szCs w:val="24"/>
        </w:rPr>
      </w:pPr>
      <w:r>
        <w:rPr>
          <w:rFonts w:hint="eastAsia" w:ascii="宋体" w:hAnsi="宋体" w:cs="宋体"/>
          <w:sz w:val="24"/>
          <w:szCs w:val="24"/>
          <w:lang w:bidi="ar"/>
        </w:rPr>
        <w:t xml:space="preserve">3.采购人、用户使用方等接收项目成果和项目文档。用户单位确认是否达到验收要求，并按验收方案，组织项目验收。 </w:t>
      </w:r>
      <w:r>
        <w:rPr>
          <w:rFonts w:hint="eastAsia" w:ascii="宋体" w:hAnsi="宋体" w:cs="宋体"/>
          <w:sz w:val="24"/>
          <w:szCs w:val="24"/>
        </w:rPr>
      </w:r>
      <w:r/>
    </w:p>
    <w:p>
      <w:pPr>
        <w:pStyle w:val="920"/>
        <w:ind w:firstLine="480"/>
        <w:jc w:val="left"/>
        <w:spacing w:line="560" w:lineRule="exact"/>
        <w:rPr>
          <w:rFonts w:hint="eastAsia" w:ascii="宋体" w:hAnsi="宋体" w:cs="宋体"/>
          <w:sz w:val="24"/>
          <w:szCs w:val="24"/>
        </w:rPr>
      </w:pPr>
      <w:r>
        <w:rPr>
          <w:rFonts w:hint="eastAsia" w:ascii="宋体" w:hAnsi="宋体" w:cs="宋体"/>
          <w:sz w:val="24"/>
          <w:szCs w:val="24"/>
          <w:lang w:bidi="ar"/>
        </w:rPr>
        <w:t xml:space="preserve">4.系统在完成功能开发上线联调测试并经用户单位验证通过后可进行项目验收。 </w:t>
      </w:r>
      <w:r>
        <w:rPr>
          <w:rFonts w:hint="eastAsia" w:ascii="宋体" w:hAnsi="宋体" w:cs="宋体"/>
          <w:sz w:val="24"/>
          <w:szCs w:val="24"/>
        </w:rPr>
      </w:r>
      <w:r/>
    </w:p>
    <w:p>
      <w:pPr>
        <w:pStyle w:val="920"/>
        <w:ind w:firstLine="480"/>
        <w:jc w:val="left"/>
        <w:spacing w:line="560" w:lineRule="exact"/>
        <w:rPr>
          <w:rFonts w:hint="eastAsia" w:ascii="宋体" w:hAnsi="宋体" w:cs="宋体"/>
          <w:sz w:val="24"/>
          <w:szCs w:val="24"/>
        </w:rPr>
      </w:pPr>
      <w:r>
        <w:rPr>
          <w:rFonts w:hint="eastAsia" w:ascii="宋体" w:hAnsi="宋体" w:cs="宋体"/>
          <w:sz w:val="24"/>
          <w:szCs w:val="24"/>
          <w:lang w:bidi="ar"/>
        </w:rPr>
        <w:t xml:space="preserve">5.对整个项目的验收包括检查应用系统是否实现了双方签定的《需求说明书》所要求实现的相关功能，是否与投标人提出的解决方案中既定建设目标一致。 </w:t>
      </w:r>
      <w:r>
        <w:rPr>
          <w:rFonts w:hint="eastAsia" w:ascii="宋体" w:hAnsi="宋体" w:cs="宋体"/>
          <w:sz w:val="24"/>
          <w:szCs w:val="24"/>
        </w:rPr>
      </w:r>
      <w:r/>
    </w:p>
    <w:p>
      <w:pPr>
        <w:pStyle w:val="923"/>
        <w:numPr>
          <w:ilvl w:val="0"/>
          <w:numId w:val="13"/>
        </w:numPr>
        <w:rPr>
          <w:rFonts w:hint="eastAsia" w:ascii="宋体" w:hAnsi="宋体" w:cs="宋体"/>
          <w:sz w:val="28"/>
          <w:szCs w:val="28"/>
        </w:rPr>
      </w:pPr>
      <w:r>
        <w:rPr>
          <w:rFonts w:hint="eastAsia" w:ascii="宋体" w:hAnsi="宋体" w:cs="宋体"/>
          <w:sz w:val="28"/>
          <w:szCs w:val="28"/>
        </w:rPr>
        <w:t xml:space="preserve">付款方式</w:t>
      </w:r>
      <w:r>
        <w:rPr>
          <w:rFonts w:hint="eastAsia" w:ascii="宋体" w:hAnsi="宋体" w:cs="宋体"/>
          <w:sz w:val="28"/>
          <w:szCs w:val="28"/>
        </w:rPr>
      </w:r>
      <w:r/>
    </w:p>
    <w:p>
      <w:pPr>
        <w:pStyle w:val="920"/>
        <w:ind w:firstLine="480"/>
        <w:jc w:val="left"/>
        <w:spacing w:line="560" w:lineRule="exact"/>
        <w:rPr>
          <w:rFonts w:hint="eastAsia" w:ascii="方正仿宋_GBK" w:hAnsi="方正仿宋_GBK" w:eastAsia="方正仿宋_GBK" w:cs="方正仿宋_GBK"/>
          <w:bCs/>
          <w:sz w:val="28"/>
          <w:szCs w:val="28"/>
        </w:rPr>
      </w:pPr>
      <w:r>
        <w:rPr>
          <w:rFonts w:hint="eastAsia" w:ascii="宋体" w:hAnsi="宋体" w:cs="宋体"/>
          <w:sz w:val="24"/>
          <w:szCs w:val="24"/>
          <w:lang w:bidi="ar"/>
        </w:rPr>
        <w:t xml:space="preserve">合同签订后，采购人在收到发票后10个工作日内，支付合同金额的30%；项目验收合格后，支付合同金额的70%。</w:t>
      </w:r>
      <w:r>
        <w:rPr>
          <w:rFonts w:hint="eastAsia" w:ascii="方正仿宋_GBK" w:hAnsi="方正仿宋_GBK" w:eastAsia="方正仿宋_GBK" w:cs="方正仿宋_GBK"/>
          <w:bCs/>
          <w:sz w:val="28"/>
          <w:szCs w:val="28"/>
        </w:rPr>
      </w:r>
      <w:r/>
    </w:p>
    <w:p>
      <w:pPr>
        <w:pStyle w:val="922"/>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五、其他要求</w:t>
      </w:r>
      <w:r>
        <w:rPr>
          <w:rFonts w:hint="eastAsia" w:ascii="方正黑体_GBK" w:hAnsi="方正黑体_GBK" w:eastAsia="方正黑体_GBK" w:cs="方正黑体_GBK"/>
          <w:b w:val="0"/>
          <w:bCs w:val="0"/>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1.项目属性:服务类项目。</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2.演示要求</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上传视频演示</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（1）供应商需按照磋商文件规定的演示内容制作演示视频文件，视频文件的格式为</w:t>
      </w:r>
      <w:r>
        <w:rPr>
          <w:rFonts w:eastAsia="方正仿宋_GBK"/>
          <w:sz w:val="28"/>
          <w:szCs w:val="28"/>
        </w:rPr>
        <w:t xml:space="preserve">X.mp4</w:t>
      </w:r>
      <w:r>
        <w:rPr>
          <w:rFonts w:hint="eastAsia" w:ascii="方正仿宋_GBK" w:hAnsi="方正仿宋_GBK" w:eastAsia="方正仿宋_GBK" w:cs="方正仿宋_GBK"/>
          <w:sz w:val="28"/>
          <w:szCs w:val="28"/>
        </w:rPr>
        <w:t xml:space="preserve">或</w:t>
      </w:r>
      <w:r>
        <w:rPr>
          <w:rFonts w:hint="eastAsia" w:eastAsia="方正仿宋_GBK"/>
          <w:sz w:val="28"/>
          <w:szCs w:val="28"/>
        </w:rPr>
        <w:t xml:space="preserve">X.avi</w:t>
      </w:r>
      <w:r>
        <w:rPr>
          <w:rFonts w:hint="eastAsia" w:ascii="方正仿宋_GBK" w:hAnsi="方正仿宋_GBK" w:eastAsia="方正仿宋_GBK" w:cs="方正仿宋_GBK"/>
          <w:sz w:val="28"/>
          <w:szCs w:val="28"/>
        </w:rPr>
        <w:t xml:space="preserve">，供应商须将视频文件分段压缩为</w:t>
      </w:r>
      <w:r>
        <w:rPr>
          <w:rFonts w:hint="eastAsia" w:eastAsia="方正仿宋_GBK"/>
          <w:sz w:val="28"/>
          <w:szCs w:val="28"/>
        </w:rPr>
        <w:t xml:space="preserve">X.zip</w:t>
      </w:r>
      <w:r>
        <w:rPr>
          <w:rFonts w:hint="eastAsia" w:ascii="方正仿宋_GBK" w:hAnsi="方正仿宋_GBK" w:eastAsia="方正仿宋_GBK" w:cs="方正仿宋_GBK"/>
          <w:sz w:val="28"/>
          <w:szCs w:val="28"/>
        </w:rPr>
        <w:t xml:space="preserve">文件上传（单个文件不得大于</w:t>
      </w:r>
      <w:r>
        <w:rPr>
          <w:rFonts w:hint="eastAsia" w:eastAsia="方正仿宋_GBK"/>
          <w:sz w:val="28"/>
          <w:szCs w:val="28"/>
        </w:rPr>
        <w:t xml:space="preserve">50M</w:t>
      </w:r>
      <w:r>
        <w:rPr>
          <w:rFonts w:hint="eastAsia" w:ascii="方正仿宋_GBK" w:hAnsi="方正仿宋_GBK" w:eastAsia="方正仿宋_GBK" w:cs="方正仿宋_GBK"/>
          <w:sz w:val="28"/>
          <w:szCs w:val="28"/>
        </w:rPr>
        <w:t xml:space="preserve">，所有文件总共不得大于</w:t>
      </w:r>
      <w:r>
        <w:rPr>
          <w:rFonts w:hint="eastAsia" w:eastAsia="方正仿宋_GBK"/>
          <w:sz w:val="28"/>
          <w:szCs w:val="28"/>
        </w:rPr>
        <w:t xml:space="preserve">300M</w:t>
      </w:r>
      <w:r>
        <w:rPr>
          <w:rFonts w:hint="eastAsia" w:ascii="方正仿宋_GBK" w:hAnsi="方正仿宋_GBK" w:eastAsia="方正仿宋_GBK" w:cs="方正仿宋_GBK"/>
          <w:sz w:val="28"/>
          <w:szCs w:val="28"/>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28"/>
          <w:szCs w:val="28"/>
          <w:u w:val="single"/>
        </w:rPr>
        <w:t xml:space="preserve">15</w:t>
      </w:r>
      <w:r>
        <w:rPr>
          <w:rFonts w:hint="eastAsia" w:ascii="方正仿宋_GBK" w:hAnsi="方正仿宋_GBK" w:eastAsia="方正仿宋_GBK" w:cs="方正仿宋_GBK"/>
          <w:sz w:val="28"/>
          <w:szCs w:val="28"/>
        </w:rPr>
        <w:t xml:space="preserve">分钟。</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（2）演示内容如下：</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1）PAD原始记录离线客户端</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　原始记录在线录入：PAD接入内网后，进入电子原始记录模块，支持在PAD端原始记录在线录入，录入的模版文件类似excel表格，能够进行单元格编辑，下拉选择证书类型等操作。</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　原始记录模版在线下载：PAD接入内网后，进入电子原始记录模块，可以查询所有记录模版，选择对应的模版将文件下载PAD本地目录。</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③　原始记录文件离线编辑:进入离线原始记录模块，支持在PAD端直接打开本地原始记录文件，能够进行单元格编辑，下拉选择证书类型等操作。</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④　原始记录文件离线保存和另存：离线编辑记录完成后，可以直接保存进行原文件覆盖，也可另存为选择其他文件夹进行文件副本保存。</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⑤　原始记录文件上传与展示：PAD接入内网后，进入电子原始记录模块，选择对应的检测器具，点击上传选择对应的本地文件进行上传，上传完成后点击录入自动加载上传的文件数据。</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2）科研项目预算申报</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　预算初始化与填报：申报人员进入科研预算申报，点击初始化预算，系统自动按年度初始化全部预算小类费用明细。</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　预算多级审批流程：预算填报人员提交一上预算申报信息后，依次流转至部门负责人审核、科研管理员进行多级流程审批。</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③　二上预算开启与填报：科研管理员可在项目台账开启二上申报，二上申报时自动带入一上金额,申报需要填写财政资金、单位资金和预算说明等信息。</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3）计量专业项目考核</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　发起考核申报：点击申请发起考核申报填写，主表单自动带入人员及资质信息，按计量专业项目/检测抽样项目两个考核类别分类填报,专业类别自动根据考核类别联动选择展示。</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　申报多级审核流程：申报提交后依次流转至部门负责人、职能部门、职能部门负责人进行多级审核，职能部门办理节点填写合格证编号、考核结果、专业理论分数，申报提交后支持打印考核申请表。</w:t>
      </w:r>
      <w:r>
        <w:rPr>
          <w:rFonts w:hint="eastAsia" w:ascii="方正仿宋_GBK" w:hAnsi="方正仿宋_GBK" w:eastAsia="方正仿宋_GBK" w:cs="方正仿宋_GBK"/>
          <w:sz w:val="28"/>
          <w:szCs w:val="28"/>
        </w:rPr>
      </w:r>
      <w:r/>
    </w:p>
    <w:p>
      <w:pPr>
        <w:pStyle w:val="920"/>
        <w:spacing w:before="120" w:after="120" w:line="0" w:lineRule="atLeast"/>
        <w:rPr>
          <w:rFonts w:ascii="宋体" w:hAnsi="Courier New" w:cs="Courier New"/>
          <w:sz w:val="24"/>
          <w:szCs w:val="24"/>
        </w:rPr>
      </w:pPr>
      <w:r>
        <w:rPr>
          <w:rFonts w:ascii="宋体" w:hAnsi="Courier New" w:cs="Courier New"/>
          <w:sz w:val="24"/>
          <w:szCs w:val="24"/>
        </w:rPr>
      </w:r>
      <w:r/>
    </w:p>
    <w:p>
      <w:pPr>
        <w:pStyle w:val="920"/>
        <w:spacing w:before="120" w:after="120" w:line="0" w:lineRule="atLeast"/>
        <w:rPr>
          <w:rFonts w:ascii="宋体" w:hAnsi="Courier New" w:cs="Courier New"/>
          <w:sz w:val="24"/>
          <w:szCs w:val="24"/>
        </w:rPr>
      </w:pPr>
      <w:r>
        <w:rPr>
          <w:rFonts w:ascii="宋体" w:hAnsi="Courier New" w:cs="Courier New"/>
          <w:sz w:val="24"/>
          <w:szCs w:val="24"/>
        </w:rPr>
      </w:r>
      <w:r/>
    </w:p>
    <w:p>
      <w:pPr>
        <w:pStyle w:val="920"/>
        <w:spacing w:before="120" w:after="120" w:line="0" w:lineRule="atLeast"/>
        <w:rPr>
          <w:rFonts w:ascii="宋体" w:hAnsi="Courier New" w:cs="Courier New"/>
          <w:sz w:val="24"/>
          <w:szCs w:val="24"/>
        </w:rPr>
      </w:pPr>
      <w:r>
        <w:rPr>
          <w:rFonts w:ascii="宋体" w:hAnsi="Courier New" w:cs="Courier New"/>
          <w:sz w:val="24"/>
          <w:szCs w:val="24"/>
        </w:rPr>
      </w:r>
      <w:r/>
    </w:p>
    <w:p>
      <w:pPr>
        <w:pStyle w:val="920"/>
        <w:jc w:val="center"/>
        <w:keepNext/>
        <w:spacing w:line="400" w:lineRule="exact"/>
        <w:rPr>
          <w:rFonts w:hint="eastAsia" w:ascii="黑体" w:eastAsia="黑体"/>
          <w:bCs/>
          <w:sz w:val="28"/>
          <w:szCs w:val="28"/>
        </w:rPr>
        <w:outlineLvl w:val="0"/>
      </w:pPr>
      <w:r/>
      <w:bookmarkStart w:id="178" w:name="_Toc120614281"/>
      <w:r>
        <w:rPr>
          <w:rFonts w:hint="eastAsia" w:ascii="黑体" w:eastAsia="黑体"/>
          <w:bCs/>
          <w:sz w:val="28"/>
          <w:szCs w:val="28"/>
        </w:rPr>
        <w:t xml:space="preserve">第五章  评审方法与评审标准</w:t>
      </w:r>
      <w:r>
        <w:rPr>
          <w:rFonts w:hint="eastAsia" w:ascii="黑体" w:eastAsia="黑体"/>
          <w:bCs/>
          <w:sz w:val="28"/>
          <w:szCs w:val="28"/>
        </w:rPr>
      </w:r>
      <w:r/>
    </w:p>
    <w:p>
      <w:pPr>
        <w:pStyle w:val="920"/>
        <w:ind w:firstLine="643"/>
        <w:jc w:val="left"/>
        <w:spacing w:before="120" w:after="120" w:line="40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920"/>
        <w:ind w:firstLine="562"/>
        <w:jc w:val="left"/>
        <w:spacing w:before="120" w:after="120"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920"/>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rPr>
          <w:rFonts w:hint="eastAsia" w:ascii="方正仿宋_GBK" w:hAnsi="方正仿宋_GBK" w:eastAsia="方正仿宋_GBK" w:cs="方正仿宋_GBK"/>
          <w:sz w:val="28"/>
          <w:szCs w:val="28"/>
        </w:rPr>
      </w:r>
      <w:r/>
    </w:p>
    <w:p>
      <w:pPr>
        <w:pStyle w:val="920"/>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920"/>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920"/>
        <w:ind w:firstLine="800"/>
        <w:jc w:val="left"/>
        <w:spacing w:line="460" w:lineRule="exact"/>
        <w:rPr>
          <w:rFonts w:hint="eastAsia" w:ascii="方正仿宋_GBK" w:hAnsi="方正仿宋_GBK" w:eastAsia="方正仿宋_GBK" w:cs="方正仿宋_GBK"/>
          <w:b/>
          <w:bCs/>
          <w:sz w:val="36"/>
          <w:szCs w:val="36"/>
        </w:rPr>
      </w:pPr>
      <w:r>
        <w:rPr>
          <w:rFonts w:hint="eastAsia" w:ascii="方正仿宋_GBK" w:hAnsi="方正仿宋_GBK" w:eastAsia="方正仿宋_GBK" w:cs="方正仿宋_GBK"/>
          <w:b/>
          <w:bCs/>
          <w:sz w:val="36"/>
          <w:szCs w:val="36"/>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hint="eastAsia" w:ascii="方正仿宋_GBK" w:hAnsi="方正仿宋_GBK" w:eastAsia="方正仿宋_GBK" w:cs="方正仿宋_GBK"/>
          <w:b/>
          <w:bCs/>
          <w:sz w:val="36"/>
          <w:szCs w:val="36"/>
        </w:rPr>
      </w:r>
      <w:r/>
    </w:p>
    <w:p>
      <w:pPr>
        <w:pStyle w:val="920"/>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rPr>
          <w:rFonts w:hint="eastAsia" w:ascii="方正仿宋_GBK" w:hAnsi="方正仿宋_GBK" w:eastAsia="方正仿宋_GBK" w:cs="方正仿宋_GBK"/>
          <w:sz w:val="28"/>
          <w:szCs w:val="28"/>
        </w:rPr>
      </w:r>
      <w:r/>
    </w:p>
    <w:p>
      <w:pPr>
        <w:pStyle w:val="920"/>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920"/>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920"/>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920"/>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hint="eastAsia" w:ascii="方正仿宋_GBK" w:hAnsi="方正仿宋_GBK" w:eastAsia="方正仿宋_GBK" w:cs="方正仿宋_GBK"/>
          <w:sz w:val="28"/>
          <w:szCs w:val="28"/>
        </w:rPr>
      </w:r>
      <w:r/>
    </w:p>
    <w:p>
      <w:pPr>
        <w:pStyle w:val="920"/>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920"/>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920"/>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rPr>
          <w:rFonts w:hint="eastAsia" w:ascii="方正仿宋_GBK" w:hAnsi="方正仿宋_GBK" w:eastAsia="方正仿宋_GBK" w:cs="方正仿宋_GBK"/>
          <w:sz w:val="28"/>
          <w:szCs w:val="28"/>
        </w:rPr>
      </w:r>
      <w:r/>
    </w:p>
    <w:p>
      <w:pPr>
        <w:pStyle w:val="920"/>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920"/>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仿宋_GBK" w:hAnsi="方正仿宋_GBK" w:eastAsia="方正仿宋_GBK" w:cs="方正仿宋_GBK"/>
          <w:sz w:val="28"/>
          <w:szCs w:val="28"/>
        </w:rPr>
      </w:r>
      <w:r/>
    </w:p>
    <w:p>
      <w:pPr>
        <w:pStyle w:val="920"/>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tbl>
      <w:tblPr>
        <w:tblW w:w="9175" w:type="dxa"/>
        <w:tblInd w:w="-36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22"/>
        <w:gridCol w:w="1307"/>
        <w:gridCol w:w="6946"/>
      </w:tblGrid>
      <w:tr>
        <w:trPr>
          <w:trHeight w:val="488"/>
        </w:trPr>
        <w:tc>
          <w:tcPr>
            <w:tcW w:w="922" w:type="dxa"/>
            <w:vAlign w:val="center"/>
            <w:textDirection w:val="lrTb"/>
            <w:noWrap w:val="false"/>
          </w:tcPr>
          <w:p>
            <w:pPr>
              <w:pStyle w:val="920"/>
              <w:spacing w:line="400" w:lineRule="exact"/>
              <w:rPr>
                <w:rFonts w:ascii="宋体" w:hAnsi="宋体" w:cs="宋体"/>
                <w:b/>
                <w:bCs/>
                <w:color w:val="000000"/>
                <w:sz w:val="24"/>
                <w:szCs w:val="24"/>
              </w:rPr>
            </w:pPr>
            <w:r>
              <w:rPr>
                <w:rFonts w:hint="eastAsia" w:ascii="方正仿宋_GBK" w:hAnsi="方正仿宋_GBK" w:eastAsia="方正仿宋_GBK" w:cs="方正仿宋_GBK"/>
                <w:b/>
                <w:color w:val="000000"/>
                <w:sz w:val="32"/>
                <w:szCs w:val="32"/>
              </w:rPr>
              <w:t xml:space="preserve"> </w:t>
            </w: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W w:w="1307" w:type="dxa"/>
            <w:vAlign w:val="center"/>
            <w:textDirection w:val="lrTb"/>
            <w:noWrap w:val="false"/>
          </w:tcPr>
          <w:p>
            <w:pPr>
              <w:pStyle w:val="920"/>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项目</w:t>
            </w:r>
            <w:r>
              <w:rPr>
                <w:rFonts w:hint="eastAsia" w:ascii="宋体" w:hAnsi="宋体" w:cs="宋体"/>
                <w:b/>
                <w:bCs/>
                <w:color w:val="000000"/>
                <w:sz w:val="24"/>
                <w:szCs w:val="24"/>
              </w:rPr>
            </w:r>
            <w:r/>
          </w:p>
        </w:tc>
        <w:tc>
          <w:tcPr>
            <w:tcW w:w="6946" w:type="dxa"/>
            <w:vAlign w:val="center"/>
            <w:textDirection w:val="lrTb"/>
            <w:noWrap w:val="false"/>
          </w:tcPr>
          <w:p>
            <w:pPr>
              <w:pStyle w:val="920"/>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评分标准</w:t>
            </w:r>
            <w:r>
              <w:rPr>
                <w:rFonts w:hint="eastAsia" w:ascii="宋体" w:hAnsi="宋体" w:cs="宋体"/>
                <w:b/>
                <w:bCs/>
                <w:color w:val="000000"/>
                <w:sz w:val="24"/>
                <w:szCs w:val="24"/>
              </w:rPr>
            </w:r>
            <w:r/>
          </w:p>
        </w:tc>
      </w:tr>
      <w:tr>
        <w:trPr>
          <w:trHeight w:val="351"/>
        </w:trPr>
        <w:tc>
          <w:tcPr>
            <w:gridSpan w:val="3"/>
            <w:tcW w:w="9175" w:type="dxa"/>
            <w:vAlign w:val="center"/>
            <w:textDirection w:val="lrTb"/>
            <w:noWrap w:val="false"/>
          </w:tcPr>
          <w:p>
            <w:pPr>
              <w:pStyle w:val="920"/>
              <w:widowControl/>
              <w:rPr>
                <w:rFonts w:ascii="宋体" w:hAnsi="宋体" w:cs="宋体"/>
                <w:spacing w:val="1"/>
                <w:sz w:val="24"/>
                <w:szCs w:val="24"/>
                <w:lang w:bidi="ar"/>
              </w:rPr>
            </w:pPr>
            <w:r>
              <w:rPr>
                <w:rFonts w:hint="eastAsia" w:ascii="宋体" w:hAnsi="宋体" w:cs="宋体"/>
                <w:spacing w:val="1"/>
                <w:sz w:val="24"/>
                <w:szCs w:val="24"/>
                <w:lang w:bidi="ar"/>
              </w:rPr>
              <w:t xml:space="preserve">一、价格部分（10分）</w:t>
            </w:r>
            <w:r>
              <w:rPr>
                <w:rFonts w:ascii="宋体" w:hAnsi="宋体" w:cs="宋体"/>
                <w:spacing w:val="1"/>
                <w:sz w:val="24"/>
                <w:szCs w:val="24"/>
                <w:lang w:bidi="ar"/>
              </w:rPr>
            </w:r>
            <w:r/>
          </w:p>
        </w:tc>
      </w:tr>
      <w:tr>
        <w:trPr>
          <w:trHeight w:val="1183"/>
        </w:trPr>
        <w:tc>
          <w:tcPr>
            <w:tcW w:w="922" w:type="dxa"/>
            <w:vAlign w:val="center"/>
            <w:textDirection w:val="lrTb"/>
            <w:noWrap w:val="false"/>
          </w:tcPr>
          <w:p>
            <w:pPr>
              <w:pStyle w:val="920"/>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307" w:type="dxa"/>
            <w:vAlign w:val="center"/>
            <w:textDirection w:val="lrTb"/>
            <w:noWrap w:val="false"/>
          </w:tcPr>
          <w:p>
            <w:pPr>
              <w:pStyle w:val="920"/>
              <w:widowControl/>
              <w:rPr>
                <w:rFonts w:hint="eastAsia" w:ascii="宋体" w:hAnsi="宋体" w:cs="宋体"/>
                <w:color w:val="000000"/>
                <w:sz w:val="24"/>
                <w:szCs w:val="24"/>
              </w:rPr>
            </w:pPr>
            <w:r>
              <w:rPr>
                <w:rFonts w:hint="eastAsia" w:ascii="宋体" w:hAnsi="宋体" w:cs="宋体"/>
                <w:color w:val="000000"/>
                <w:sz w:val="24"/>
                <w:szCs w:val="24"/>
                <w:lang w:bidi="ar"/>
              </w:rPr>
              <w:t xml:space="preserve">价格分(10分)</w:t>
            </w:r>
            <w:r>
              <w:rPr>
                <w:rFonts w:hint="eastAsia" w:ascii="宋体" w:hAnsi="宋体" w:cs="宋体"/>
                <w:color w:val="000000"/>
                <w:sz w:val="24"/>
                <w:szCs w:val="24"/>
              </w:rPr>
            </w:r>
            <w:r/>
          </w:p>
        </w:tc>
        <w:tc>
          <w:tcPr>
            <w:tcW w:w="6946" w:type="dxa"/>
            <w:vAlign w:val="center"/>
            <w:textDirection w:val="lrTb"/>
            <w:noWrap w:val="false"/>
          </w:tcPr>
          <w:p>
            <w:pPr>
              <w:pStyle w:val="920"/>
              <w:widowControl/>
              <w:rPr>
                <w:rFonts w:hint="eastAsia" w:ascii="宋体" w:hAnsi="宋体" w:cs="宋体"/>
                <w:color w:val="000000"/>
              </w:rPr>
            </w:pPr>
            <w:r>
              <w:rPr>
                <w:rFonts w:hint="eastAsia" w:ascii="宋体" w:hAnsi="宋体" w:cs="宋体"/>
                <w:color w:val="000000"/>
                <w:spacing w:val="1"/>
                <w:sz w:val="24"/>
                <w:szCs w:val="24"/>
                <w:lang w:bidi="ar"/>
              </w:rPr>
              <w:t xml:space="preserve">价格分</w:t>
            </w:r>
            <w:r>
              <w:rPr>
                <w:rFonts w:hint="eastAsia" w:ascii="宋体" w:hAnsi="宋体" w:cs="宋体"/>
                <w:color w:val="000000"/>
                <w:sz w:val="24"/>
                <w:szCs w:val="24"/>
                <w:lang w:bidi="ar"/>
              </w:rPr>
              <w:t xml:space="preserve">采用低价优先法计算，即满足磋商文件要求且最后报价最低的报价为评审基准价，其价格分为满分。其他供应商的价格分统一按照下列公式计算：报价得分=（评审基准价/最后报价）×10</w:t>
            </w:r>
            <w:r>
              <w:rPr>
                <w:rFonts w:hint="eastAsia" w:ascii="宋体" w:hAnsi="宋体" w:cs="宋体"/>
                <w:color w:val="000000"/>
                <w:spacing w:val="1"/>
                <w:sz w:val="24"/>
                <w:szCs w:val="24"/>
                <w:lang w:bidi="ar"/>
              </w:rPr>
              <w:t xml:space="preserve">（小数点保留两位）</w:t>
            </w:r>
            <w:r>
              <w:rPr>
                <w:rFonts w:hint="eastAsia" w:ascii="宋体" w:hAnsi="宋体" w:cs="宋体"/>
                <w:color w:val="000000"/>
              </w:rPr>
            </w:r>
            <w:r/>
          </w:p>
        </w:tc>
      </w:tr>
      <w:tr>
        <w:trPr>
          <w:trHeight w:val="351"/>
        </w:trPr>
        <w:tc>
          <w:tcPr>
            <w:gridSpan w:val="3"/>
            <w:tcW w:w="9175" w:type="dxa"/>
            <w:vAlign w:val="center"/>
            <w:textDirection w:val="lrTb"/>
            <w:noWrap w:val="false"/>
          </w:tcPr>
          <w:p>
            <w:pPr>
              <w:pStyle w:val="920"/>
              <w:widowControl/>
              <w:rPr>
                <w:rFonts w:hint="eastAsia" w:ascii="宋体" w:hAnsi="宋体" w:cs="宋体"/>
                <w:color w:val="000000"/>
                <w:spacing w:val="1"/>
                <w:sz w:val="24"/>
                <w:szCs w:val="24"/>
                <w:lang w:bidi="ar"/>
              </w:rPr>
            </w:pPr>
            <w:r>
              <w:rPr>
                <w:rFonts w:hint="eastAsia" w:ascii="宋体" w:hAnsi="宋体" w:cs="宋体"/>
                <w:color w:val="000000"/>
                <w:spacing w:val="1"/>
                <w:sz w:val="24"/>
                <w:szCs w:val="24"/>
                <w:lang w:bidi="ar"/>
              </w:rPr>
              <w:t xml:space="preserve">二、需求响应情况（3</w:t>
            </w:r>
            <w:r>
              <w:rPr>
                <w:rFonts w:hint="eastAsia" w:ascii="宋体" w:hAnsi="宋体" w:cs="宋体"/>
                <w:color w:val="000000"/>
                <w:spacing w:val="1"/>
                <w:sz w:val="24"/>
                <w:szCs w:val="24"/>
                <w:lang w:val="en-US" w:eastAsia="zh-CN" w:bidi="ar"/>
              </w:rPr>
              <w:t xml:space="preserve">3</w:t>
            </w:r>
            <w:r>
              <w:rPr>
                <w:rFonts w:hint="eastAsia" w:ascii="宋体" w:hAnsi="宋体" w:cs="宋体"/>
                <w:color w:val="000000"/>
                <w:spacing w:val="1"/>
                <w:sz w:val="24"/>
                <w:szCs w:val="24"/>
                <w:lang w:bidi="ar"/>
              </w:rPr>
              <w:t xml:space="preserve">分）</w:t>
            </w:r>
            <w:r>
              <w:rPr>
                <w:rFonts w:hint="eastAsia" w:ascii="宋体" w:hAnsi="宋体" w:cs="宋体"/>
                <w:color w:val="000000"/>
                <w:spacing w:val="1"/>
                <w:sz w:val="24"/>
                <w:szCs w:val="24"/>
                <w:lang w:bidi="ar"/>
              </w:rPr>
            </w:r>
            <w:r/>
          </w:p>
        </w:tc>
      </w:tr>
      <w:tr>
        <w:trPr>
          <w:trHeight w:val="351"/>
        </w:trPr>
        <w:tc>
          <w:tcPr>
            <w:tcW w:w="922" w:type="dxa"/>
            <w:vAlign w:val="center"/>
            <w:vMerge w:val="restart"/>
            <w:textDirection w:val="lrTb"/>
            <w:noWrap w:val="false"/>
          </w:tcPr>
          <w:p>
            <w:pPr>
              <w:pStyle w:val="920"/>
              <w:jc w:val="center"/>
              <w:widowControl/>
              <w:rPr>
                <w:rFonts w:ascii="宋体" w:hAnsi="宋体" w:cs="宋体"/>
                <w:color w:val="000000"/>
                <w:spacing w:val="1"/>
                <w:sz w:val="24"/>
                <w:szCs w:val="24"/>
                <w:lang w:bidi="ar"/>
              </w:rPr>
            </w:pPr>
            <w:r>
              <w:rPr>
                <w:rFonts w:hint="eastAsia" w:ascii="宋体" w:hAnsi="宋体" w:cs="宋体"/>
                <w:color w:val="000000"/>
                <w:spacing w:val="1"/>
                <w:sz w:val="24"/>
                <w:szCs w:val="24"/>
                <w:lang w:bidi="ar"/>
              </w:rPr>
              <w:t xml:space="preserve">2</w:t>
            </w:r>
            <w:r>
              <w:rPr>
                <w:rFonts w:ascii="宋体" w:hAnsi="宋体" w:cs="宋体"/>
                <w:color w:val="000000"/>
                <w:spacing w:val="1"/>
                <w:sz w:val="24"/>
                <w:szCs w:val="24"/>
                <w:lang w:bidi="ar"/>
              </w:rPr>
            </w:r>
            <w:r/>
          </w:p>
        </w:tc>
        <w:tc>
          <w:tcPr>
            <w:tcW w:w="1307" w:type="dxa"/>
            <w:vAlign w:val="center"/>
            <w:vMerge w:val="restart"/>
            <w:textDirection w:val="lrTb"/>
            <w:noWrap w:val="false"/>
          </w:tcPr>
          <w:p>
            <w:pPr>
              <w:pStyle w:val="920"/>
              <w:widowControl/>
              <w:rPr>
                <w:color w:val="000000"/>
              </w:rPr>
            </w:pPr>
            <w:r>
              <w:rPr>
                <w:rFonts w:hint="eastAsia" w:ascii="宋体" w:hAnsi="宋体" w:cs="宋体"/>
                <w:color w:val="000000"/>
                <w:spacing w:val="1"/>
                <w:sz w:val="24"/>
                <w:szCs w:val="24"/>
                <w:lang w:bidi="ar"/>
              </w:rPr>
              <w:t xml:space="preserve">需求响应情况</w:t>
            </w:r>
            <w:r>
              <w:rPr>
                <w:rFonts w:hint="eastAsia" w:ascii="宋体" w:hAnsi="宋体" w:cs="宋体"/>
                <w:color w:val="000000"/>
                <w:sz w:val="24"/>
                <w:szCs w:val="24"/>
                <w:lang w:bidi="ar"/>
              </w:rPr>
              <w:t xml:space="preserve">(33分)</w:t>
            </w:r>
            <w:r>
              <w:rPr>
                <w:color w:val="000000"/>
              </w:rPr>
            </w:r>
            <w:r/>
          </w:p>
        </w:tc>
        <w:tc>
          <w:tcPr>
            <w:tcW w:w="6946" w:type="dxa"/>
            <w:vAlign w:val="center"/>
            <w:textDirection w:val="lrTb"/>
            <w:noWrap w:val="false"/>
          </w:tcPr>
          <w:p>
            <w:pPr>
              <w:pStyle w:val="920"/>
              <w:widowControl/>
              <w:rPr>
                <w:rFonts w:hint="eastAsia"/>
                <w:color w:val="000000"/>
              </w:rPr>
            </w:pPr>
            <w:r>
              <w:rPr>
                <w:rFonts w:hint="eastAsia" w:ascii="宋体" w:hAnsi="宋体" w:cs="宋体"/>
                <w:color w:val="000000"/>
                <w:sz w:val="24"/>
                <w:szCs w:val="24"/>
                <w:lang w:bidi="ar"/>
              </w:rPr>
              <w:t xml:space="preserve">评委根据响应文件对磋商文件第四章“采购需求”中“技术功能参数表”进行打分。针对各项技术功能参数要求逐条响应，完全响应磋商文件要求的得33分。</w:t>
            </w:r>
            <w:r>
              <w:rPr>
                <w:rFonts w:hint="eastAsia"/>
                <w:color w:val="000000"/>
              </w:rPr>
            </w:r>
            <w:r/>
          </w:p>
        </w:tc>
      </w:tr>
      <w:tr>
        <w:trPr>
          <w:trHeight w:val="351"/>
        </w:trPr>
        <w:tc>
          <w:tcPr>
            <w:tcW w:w="922" w:type="dxa"/>
            <w:vAlign w:val="center"/>
            <w:vMerge w:val="continue"/>
            <w:textDirection w:val="lrTb"/>
            <w:noWrap w:val="false"/>
          </w:tcPr>
          <w:p>
            <w:pPr>
              <w:pStyle w:val="92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307" w:type="dxa"/>
            <w:vAlign w:val="center"/>
            <w:vMerge w:val="continue"/>
            <w:textDirection w:val="lrTb"/>
            <w:noWrap w:val="false"/>
          </w:tcPr>
          <w:p>
            <w:pPr>
              <w:pStyle w:val="920"/>
              <w:widowControl/>
              <w:rPr>
                <w:rFonts w:hint="eastAsia" w:ascii="宋体" w:hAnsi="宋体" w:cs="宋体"/>
                <w:color w:val="000000"/>
                <w:spacing w:val="1"/>
                <w:sz w:val="24"/>
                <w:szCs w:val="24"/>
                <w:lang w:bidi="ar"/>
              </w:rPr>
            </w:pPr>
            <w:r>
              <w:rPr>
                <w:rFonts w:hint="eastAsia" w:ascii="宋体" w:hAnsi="宋体" w:cs="宋体"/>
                <w:color w:val="000000"/>
                <w:spacing w:val="1"/>
                <w:sz w:val="24"/>
                <w:szCs w:val="24"/>
                <w:lang w:bidi="ar"/>
              </w:rPr>
            </w:r>
            <w:r/>
          </w:p>
        </w:tc>
        <w:tc>
          <w:tcPr>
            <w:tcW w:w="6946" w:type="dxa"/>
            <w:vAlign w:val="center"/>
            <w:textDirection w:val="lrTb"/>
            <w:noWrap w:val="false"/>
          </w:tcPr>
          <w:p>
            <w:pPr>
              <w:pStyle w:val="920"/>
              <w:widowControl/>
              <w:rPr>
                <w:rFonts w:ascii="宋体" w:hAnsi="宋体" w:cs="宋体"/>
                <w:color w:val="000000"/>
                <w:sz w:val="24"/>
                <w:szCs w:val="24"/>
                <w:lang w:bidi="ar"/>
              </w:rPr>
            </w:pPr>
            <w:r>
              <w:rPr>
                <w:rFonts w:hint="eastAsia" w:ascii="宋体" w:hAnsi="宋体" w:cs="宋体"/>
                <w:color w:val="000000"/>
                <w:sz w:val="24"/>
                <w:szCs w:val="24"/>
                <w:lang w:bidi="ar"/>
              </w:rPr>
              <w:t xml:space="preserve">（1）加▲的技术功能名称参数为重要指标项（其中包含功能描述有多项的需要全部响应），共10项，须按照采购需求要求提供证明材料，未提供证明材料或证明材料不符合要求每项扣2分。</w:t>
            </w:r>
            <w:r>
              <w:rPr>
                <w:rFonts w:ascii="宋体" w:hAnsi="宋体" w:cs="宋体"/>
                <w:color w:val="000000"/>
                <w:sz w:val="24"/>
                <w:szCs w:val="24"/>
                <w:lang w:bidi="ar"/>
              </w:rPr>
            </w:r>
            <w:r/>
          </w:p>
        </w:tc>
      </w:tr>
      <w:tr>
        <w:trPr>
          <w:trHeight w:val="351"/>
        </w:trPr>
        <w:tc>
          <w:tcPr>
            <w:tcW w:w="922" w:type="dxa"/>
            <w:vAlign w:val="center"/>
            <w:vMerge w:val="continue"/>
            <w:textDirection w:val="lrTb"/>
            <w:noWrap w:val="false"/>
          </w:tcPr>
          <w:p>
            <w:pPr>
              <w:pStyle w:val="92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307" w:type="dxa"/>
            <w:vAlign w:val="center"/>
            <w:vMerge w:val="continue"/>
            <w:textDirection w:val="lrTb"/>
            <w:noWrap w:val="false"/>
          </w:tcPr>
          <w:p>
            <w:pPr>
              <w:pStyle w:val="920"/>
              <w:widowControl/>
              <w:rPr>
                <w:rFonts w:hint="eastAsia" w:ascii="宋体" w:hAnsi="宋体" w:cs="宋体"/>
                <w:color w:val="000000"/>
                <w:spacing w:val="1"/>
                <w:sz w:val="24"/>
                <w:szCs w:val="24"/>
                <w:lang w:bidi="ar"/>
              </w:rPr>
            </w:pPr>
            <w:r>
              <w:rPr>
                <w:rFonts w:hint="eastAsia" w:ascii="宋体" w:hAnsi="宋体" w:cs="宋体"/>
                <w:color w:val="000000"/>
                <w:spacing w:val="1"/>
                <w:sz w:val="24"/>
                <w:szCs w:val="24"/>
                <w:lang w:bidi="ar"/>
              </w:rPr>
            </w:r>
            <w:r/>
          </w:p>
        </w:tc>
        <w:tc>
          <w:tcPr>
            <w:tcW w:w="6946" w:type="dxa"/>
            <w:vAlign w:val="center"/>
            <w:textDirection w:val="lrTb"/>
            <w:noWrap w:val="false"/>
          </w:tcPr>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（2）非加▲的技术功能名称参数（其中包含功能描述有多项的需要全部响应）要求共26项，不符合要求每项扣0.5分。</w:t>
            </w:r>
            <w:r>
              <w:rPr>
                <w:rFonts w:hint="eastAsia" w:ascii="宋体" w:hAnsi="宋体" w:cs="宋体"/>
                <w:color w:val="000000"/>
                <w:sz w:val="24"/>
                <w:szCs w:val="24"/>
                <w:lang w:bidi="ar"/>
              </w:rPr>
            </w:r>
            <w:r/>
          </w:p>
        </w:tc>
      </w:tr>
      <w:tr>
        <w:trPr>
          <w:trHeight w:val="351"/>
        </w:trPr>
        <w:tc>
          <w:tcPr>
            <w:gridSpan w:val="3"/>
            <w:tcW w:w="9175" w:type="dxa"/>
            <w:vAlign w:val="center"/>
            <w:textDirection w:val="lrTb"/>
            <w:noWrap w:val="false"/>
          </w:tcPr>
          <w:p>
            <w:pPr>
              <w:pStyle w:val="920"/>
              <w:widowControl/>
              <w:rPr>
                <w:rFonts w:ascii="宋体" w:hAnsi="宋体" w:cs="宋体"/>
                <w:spacing w:val="1"/>
                <w:sz w:val="24"/>
                <w:szCs w:val="24"/>
                <w:lang w:bidi="ar"/>
              </w:rPr>
            </w:pPr>
            <w:r>
              <w:rPr>
                <w:rFonts w:hint="eastAsia" w:ascii="宋体" w:hAnsi="宋体" w:cs="宋体"/>
                <w:spacing w:val="1"/>
                <w:sz w:val="24"/>
                <w:szCs w:val="24"/>
                <w:lang w:bidi="ar"/>
              </w:rPr>
              <w:t xml:space="preserve">三、技术部</w:t>
            </w:r>
            <w:r>
              <w:rPr>
                <w:rFonts w:hint="eastAsia" w:ascii="宋体" w:hAnsi="宋体" w:cs="宋体"/>
                <w:color w:val="000000"/>
                <w:spacing w:val="1"/>
                <w:sz w:val="24"/>
                <w:szCs w:val="24"/>
                <w:lang w:bidi="ar"/>
              </w:rPr>
              <w:t xml:space="preserve">分（25分）</w:t>
            </w:r>
            <w:r>
              <w:rPr>
                <w:rFonts w:ascii="宋体" w:hAnsi="宋体" w:cs="宋体"/>
                <w:spacing w:val="1"/>
                <w:sz w:val="24"/>
                <w:szCs w:val="24"/>
                <w:lang w:bidi="ar"/>
              </w:rPr>
            </w:r>
            <w:r/>
          </w:p>
        </w:tc>
      </w:tr>
      <w:tr>
        <w:trPr>
          <w:trHeight w:val="351"/>
        </w:trPr>
        <w:tc>
          <w:tcPr>
            <w:tcW w:w="922" w:type="dxa"/>
            <w:vAlign w:val="center"/>
            <w:textDirection w:val="lrTb"/>
            <w:noWrap w:val="false"/>
          </w:tcPr>
          <w:p>
            <w:pPr>
              <w:pStyle w:val="92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3.1</w:t>
            </w:r>
            <w:r>
              <w:rPr>
                <w:rFonts w:ascii="宋体" w:hAnsi="宋体" w:cs="宋体"/>
                <w:color w:val="000000"/>
                <w:sz w:val="24"/>
                <w:szCs w:val="24"/>
                <w:lang w:bidi="ar"/>
              </w:rPr>
            </w:r>
            <w:r/>
          </w:p>
        </w:tc>
        <w:tc>
          <w:tcPr>
            <w:tcW w:w="1307" w:type="dxa"/>
            <w:vAlign w:val="center"/>
            <w:textDirection w:val="lrTb"/>
            <w:noWrap w:val="false"/>
          </w:tcPr>
          <w:p>
            <w:pPr>
              <w:pStyle w:val="920"/>
              <w:widowControl/>
              <w:rPr>
                <w:rFonts w:ascii="宋体" w:hAnsi="宋体" w:cs="宋体"/>
                <w:color w:val="000000"/>
                <w:sz w:val="24"/>
                <w:szCs w:val="24"/>
                <w:lang w:bidi="ar"/>
              </w:rPr>
            </w:pPr>
            <w:r>
              <w:rPr>
                <w:rFonts w:hint="eastAsia" w:ascii="宋体" w:hAnsi="宋体" w:cs="宋体"/>
                <w:color w:val="000000"/>
                <w:sz w:val="24"/>
                <w:szCs w:val="24"/>
                <w:lang w:bidi="ar"/>
              </w:rPr>
              <w:t xml:space="preserve">项目需求理解（5分）</w:t>
            </w:r>
            <w:r>
              <w:rPr>
                <w:rFonts w:ascii="宋体" w:hAnsi="宋体" w:cs="宋体"/>
                <w:color w:val="000000"/>
                <w:sz w:val="24"/>
                <w:szCs w:val="24"/>
                <w:lang w:bidi="ar"/>
              </w:rPr>
            </w:r>
            <w:r/>
          </w:p>
        </w:tc>
        <w:tc>
          <w:tcPr>
            <w:tcW w:w="6946" w:type="dxa"/>
            <w:vAlign w:val="center"/>
            <w:textDirection w:val="lrTb"/>
            <w:noWrap w:val="false"/>
          </w:tcPr>
          <w:p>
            <w:pPr>
              <w:pStyle w:val="920"/>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评委根据响应文件对磋商文件第四章“采购需求”中“需求分析方案要求”的响应情况进行评审：</w:t>
            </w:r>
            <w:r>
              <w:rPr>
                <w:rFonts w:hint="eastAsia" w:ascii="宋体" w:hAnsi="宋体" w:cs="宋体"/>
                <w:color w:val="000000"/>
                <w:sz w:val="24"/>
                <w:szCs w:val="24"/>
              </w:rPr>
            </w:r>
            <w:r/>
          </w:p>
          <w:p>
            <w:pPr>
              <w:pStyle w:val="920"/>
              <w:widowControl/>
              <w:rPr>
                <w:rFonts w:hint="eastAsia" w:ascii="宋体" w:hAnsi="宋体" w:cs="宋体"/>
                <w:color w:val="000000"/>
                <w:sz w:val="24"/>
                <w:szCs w:val="24"/>
              </w:rPr>
            </w:pPr>
            <w:r>
              <w:rPr>
                <w:rFonts w:hint="eastAsia" w:ascii="宋体" w:hAnsi="宋体" w:cs="宋体"/>
                <w:color w:val="000000"/>
                <w:sz w:val="24"/>
                <w:szCs w:val="24"/>
                <w:lang w:bidi="ar"/>
              </w:rPr>
              <w:t xml:space="preserve">（1）响应文件未符合“需求分析方案要求”中全部条款要求的，视为不符合磋商文件，本项得0分。</w:t>
            </w:r>
            <w:r>
              <w:rPr>
                <w:rFonts w:hint="eastAsia" w:ascii="宋体" w:hAnsi="宋体" w:cs="宋体"/>
                <w:color w:val="000000"/>
                <w:sz w:val="24"/>
                <w:szCs w:val="24"/>
              </w:rPr>
            </w:r>
            <w:r/>
          </w:p>
          <w:p>
            <w:pPr>
              <w:pStyle w:val="920"/>
              <w:widowControl/>
              <w:rPr>
                <w:rFonts w:hint="eastAsia" w:ascii="宋体" w:hAnsi="宋体" w:cs="宋体"/>
                <w:color w:val="000000"/>
                <w:sz w:val="24"/>
                <w:szCs w:val="24"/>
              </w:rPr>
            </w:pPr>
            <w:r>
              <w:rPr>
                <w:rFonts w:hint="eastAsia" w:ascii="宋体" w:hAnsi="宋体" w:cs="宋体"/>
                <w:color w:val="000000"/>
                <w:sz w:val="24"/>
                <w:szCs w:val="24"/>
                <w:lang w:bidi="ar"/>
              </w:rPr>
              <w:t xml:space="preserve">（2）响应文件符合“需求分析方案要求”中全部条款要求的，视为符合磋商文件，本项得3分。</w:t>
            </w:r>
            <w:r>
              <w:rPr>
                <w:rFonts w:hint="eastAsia" w:ascii="宋体" w:hAnsi="宋体" w:cs="宋体"/>
                <w:color w:val="000000"/>
                <w:sz w:val="24"/>
                <w:szCs w:val="24"/>
              </w:rPr>
            </w:r>
            <w:r/>
          </w:p>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响应文件对“需求分析方案要求”中“项目重难点分析”、“项目需求理解”两项要求的响应内容全部优于磋商文件要求的（响应文件对“需求分析方案要求”中除“项目重难点分析”、“项目需求理解”外其他要求响应内容符合磋商文件要求），本项得5分。</w:t>
            </w:r>
            <w:r>
              <w:rPr>
                <w:rFonts w:hint="eastAsia" w:ascii="宋体" w:hAnsi="宋体" w:cs="宋体"/>
                <w:color w:val="000000"/>
                <w:sz w:val="24"/>
                <w:szCs w:val="24"/>
                <w:lang w:bidi="ar"/>
              </w:rPr>
            </w:r>
            <w:r/>
          </w:p>
        </w:tc>
      </w:tr>
      <w:tr>
        <w:trPr>
          <w:trHeight w:val="351"/>
        </w:trPr>
        <w:tc>
          <w:tcPr>
            <w:tcW w:w="922" w:type="dxa"/>
            <w:vAlign w:val="center"/>
            <w:textDirection w:val="lrTb"/>
            <w:noWrap w:val="false"/>
          </w:tcPr>
          <w:p>
            <w:pPr>
              <w:pStyle w:val="92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3.2</w:t>
            </w:r>
            <w:r>
              <w:rPr>
                <w:rFonts w:hint="eastAsia" w:ascii="宋体" w:hAnsi="宋体" w:cs="宋体"/>
                <w:color w:val="000000"/>
                <w:sz w:val="24"/>
                <w:szCs w:val="24"/>
                <w:lang w:bidi="ar"/>
              </w:rPr>
            </w:r>
            <w:r/>
          </w:p>
        </w:tc>
        <w:tc>
          <w:tcPr>
            <w:tcW w:w="1307" w:type="dxa"/>
            <w:vAlign w:val="center"/>
            <w:textDirection w:val="lrTb"/>
            <w:noWrap w:val="false"/>
          </w:tcPr>
          <w:p>
            <w:pPr>
              <w:pStyle w:val="920"/>
              <w:widowControl/>
              <w:rPr>
                <w:rFonts w:hint="eastAsia" w:ascii="宋体" w:hAnsi="宋体" w:cs="宋体"/>
                <w:color w:val="000000"/>
                <w:sz w:val="24"/>
                <w:szCs w:val="24"/>
              </w:rPr>
            </w:pPr>
            <w:r>
              <w:rPr>
                <w:rFonts w:hint="eastAsia" w:ascii="宋体" w:hAnsi="宋体" w:cs="宋体"/>
                <w:color w:val="000000"/>
                <w:sz w:val="24"/>
                <w:szCs w:val="24"/>
                <w:lang w:bidi="ar"/>
              </w:rPr>
              <w:t xml:space="preserve">总体设计方案（5分）</w:t>
            </w:r>
            <w:r>
              <w:rPr>
                <w:rFonts w:hint="eastAsia" w:ascii="宋体" w:hAnsi="宋体" w:cs="宋体"/>
                <w:color w:val="000000"/>
                <w:sz w:val="24"/>
                <w:szCs w:val="24"/>
              </w:rPr>
            </w:r>
            <w:r/>
          </w:p>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6946" w:type="dxa"/>
            <w:vAlign w:val="center"/>
            <w:textDirection w:val="lrTb"/>
            <w:noWrap w:val="false"/>
          </w:tcPr>
          <w:p>
            <w:pPr>
              <w:pStyle w:val="920"/>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评委根据响应文件对磋商文件第四章“采购需求”中“技术方案要求”的响应情况进行评审：</w:t>
            </w:r>
            <w:r>
              <w:rPr>
                <w:rFonts w:hint="eastAsia" w:ascii="宋体" w:hAnsi="宋体" w:cs="宋体"/>
                <w:color w:val="000000"/>
                <w:sz w:val="24"/>
                <w:szCs w:val="24"/>
              </w:rPr>
            </w:r>
            <w:r/>
          </w:p>
          <w:p>
            <w:pPr>
              <w:pStyle w:val="920"/>
              <w:widowControl/>
              <w:rPr>
                <w:rFonts w:hint="eastAsia" w:ascii="宋体" w:hAnsi="宋体" w:cs="宋体"/>
                <w:color w:val="000000"/>
                <w:sz w:val="24"/>
                <w:szCs w:val="24"/>
              </w:rPr>
            </w:pPr>
            <w:r>
              <w:rPr>
                <w:rFonts w:hint="eastAsia" w:ascii="宋体" w:hAnsi="宋体" w:cs="宋体"/>
                <w:color w:val="000000"/>
                <w:sz w:val="24"/>
                <w:szCs w:val="24"/>
                <w:lang w:bidi="ar"/>
              </w:rPr>
              <w:t xml:space="preserve">（1）响应文件未符合“技术方案要求”中全部条款要求的，视为不符合磋商文件，本项得0分。</w:t>
            </w:r>
            <w:r>
              <w:rPr>
                <w:rFonts w:hint="eastAsia" w:ascii="宋体" w:hAnsi="宋体" w:cs="宋体"/>
                <w:color w:val="000000"/>
                <w:sz w:val="24"/>
                <w:szCs w:val="24"/>
              </w:rPr>
            </w:r>
            <w:r/>
          </w:p>
          <w:p>
            <w:pPr>
              <w:pStyle w:val="920"/>
              <w:widowControl/>
              <w:rPr>
                <w:rFonts w:hint="eastAsia" w:ascii="宋体" w:hAnsi="宋体" w:cs="宋体"/>
                <w:color w:val="000000"/>
                <w:sz w:val="24"/>
                <w:szCs w:val="24"/>
              </w:rPr>
            </w:pPr>
            <w:r>
              <w:rPr>
                <w:rFonts w:hint="eastAsia" w:ascii="宋体" w:hAnsi="宋体" w:cs="宋体"/>
                <w:color w:val="000000"/>
                <w:sz w:val="24"/>
                <w:szCs w:val="24"/>
                <w:lang w:bidi="ar"/>
              </w:rPr>
              <w:t xml:space="preserve">（2）响应文件符合“技术方案要求”中全部条款要求的，视为符合磋商文件，本项得3分。</w:t>
            </w:r>
            <w:r>
              <w:rPr>
                <w:rFonts w:hint="eastAsia" w:ascii="宋体" w:hAnsi="宋体" w:cs="宋体"/>
                <w:color w:val="000000"/>
                <w:sz w:val="24"/>
                <w:szCs w:val="24"/>
              </w:rPr>
            </w:r>
            <w:r/>
          </w:p>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响应文件对“技术方案要求”中“技术架构要求”、“系统性能技术要求”两项要求的响应内容全部优于磋商文件要求的（响应文件对“技术方案要求”中除“技术架构要求”、“系统性能技术要求”外其他要求响应内容符合磋商文件要求），本项得5分。</w:t>
            </w:r>
            <w:r>
              <w:rPr>
                <w:rFonts w:hint="eastAsia" w:ascii="宋体" w:hAnsi="宋体" w:cs="宋体"/>
                <w:color w:val="000000"/>
                <w:sz w:val="24"/>
                <w:szCs w:val="24"/>
                <w:lang w:bidi="ar"/>
              </w:rPr>
            </w:r>
            <w:r/>
          </w:p>
        </w:tc>
      </w:tr>
      <w:tr>
        <w:trPr>
          <w:trHeight w:val="351"/>
        </w:trPr>
        <w:tc>
          <w:tcPr>
            <w:tcW w:w="922" w:type="dxa"/>
            <w:vAlign w:val="center"/>
            <w:textDirection w:val="lrTb"/>
            <w:noWrap w:val="false"/>
          </w:tcPr>
          <w:p>
            <w:pPr>
              <w:pStyle w:val="92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3.3</w:t>
            </w:r>
            <w:r>
              <w:rPr>
                <w:rFonts w:hint="eastAsia" w:ascii="宋体" w:hAnsi="宋体" w:cs="宋体"/>
                <w:color w:val="000000"/>
                <w:sz w:val="24"/>
                <w:szCs w:val="24"/>
                <w:lang w:bidi="ar"/>
              </w:rPr>
            </w:r>
            <w:r/>
          </w:p>
        </w:tc>
        <w:tc>
          <w:tcPr>
            <w:tcW w:w="1307" w:type="dxa"/>
            <w:vAlign w:val="center"/>
            <w:textDirection w:val="lrTb"/>
            <w:noWrap w:val="false"/>
          </w:tcPr>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项目实施方案</w:t>
            </w:r>
            <w:r>
              <w:rPr>
                <w:rFonts w:hint="eastAsia" w:ascii="宋体" w:hAnsi="宋体" w:cs="宋体"/>
                <w:color w:val="000000"/>
                <w:sz w:val="24"/>
                <w:szCs w:val="24"/>
                <w:lang w:bidi="ar"/>
              </w:rPr>
            </w:r>
            <w:r/>
          </w:p>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（5分）</w:t>
            </w:r>
            <w:r>
              <w:rPr>
                <w:rFonts w:hint="eastAsia" w:ascii="宋体" w:hAnsi="宋体" w:cs="宋体"/>
                <w:color w:val="000000"/>
                <w:sz w:val="24"/>
                <w:szCs w:val="24"/>
                <w:lang w:bidi="ar"/>
              </w:rPr>
            </w:r>
            <w:r/>
          </w:p>
        </w:tc>
        <w:tc>
          <w:tcPr>
            <w:tcW w:w="6946" w:type="dxa"/>
            <w:vAlign w:val="center"/>
            <w:textDirection w:val="lrTb"/>
            <w:noWrap w:val="false"/>
          </w:tcPr>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评委根据响应文件对磋商文件第四章“采购需求”中“项目实施要求”的响应情况进行评审。</w:t>
            </w:r>
            <w:r>
              <w:rPr>
                <w:rFonts w:hint="eastAsia" w:ascii="宋体" w:hAnsi="宋体" w:cs="宋体"/>
                <w:color w:val="000000"/>
                <w:sz w:val="24"/>
                <w:szCs w:val="24"/>
                <w:lang w:bidi="ar"/>
              </w:rPr>
            </w:r>
            <w:r/>
          </w:p>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（1）响应文件未响应“项目实施要求”中全部条款要求的，视为不符合磋商文件，本项得0分。</w:t>
            </w:r>
            <w:r>
              <w:rPr>
                <w:rFonts w:hint="eastAsia" w:ascii="宋体" w:hAnsi="宋体" w:cs="宋体"/>
                <w:color w:val="000000"/>
                <w:sz w:val="24"/>
                <w:szCs w:val="24"/>
                <w:lang w:bidi="ar"/>
              </w:rPr>
            </w:r>
            <w:r/>
          </w:p>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（2）响应文件符合“项目实施要求”中全部条款要求的，视为符合磋商文件，本项得3分。</w:t>
            </w:r>
            <w:r>
              <w:rPr>
                <w:rFonts w:hint="eastAsia" w:ascii="宋体" w:hAnsi="宋体" w:cs="宋体"/>
                <w:color w:val="000000"/>
                <w:sz w:val="24"/>
                <w:szCs w:val="24"/>
                <w:lang w:bidi="ar"/>
              </w:rPr>
            </w:r>
            <w:r/>
          </w:p>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响应文件对“项目实施要求”中“进度计划”、“项目团队组织”的响应内容优于磋商文件要求的（响应文件对“项目实施要求”中除“进度计划”、“项目团队组织”外其他要求响应内容符合磋商文件要求），本项得5分。</w:t>
            </w:r>
            <w:r>
              <w:rPr>
                <w:rFonts w:hint="eastAsia" w:ascii="宋体" w:hAnsi="宋体" w:cs="宋体"/>
                <w:color w:val="000000"/>
                <w:sz w:val="24"/>
                <w:szCs w:val="24"/>
                <w:lang w:bidi="ar"/>
              </w:rPr>
            </w:r>
            <w:r/>
          </w:p>
        </w:tc>
      </w:tr>
      <w:tr>
        <w:trPr>
          <w:trHeight w:val="351"/>
        </w:trPr>
        <w:tc>
          <w:tcPr>
            <w:tcW w:w="922" w:type="dxa"/>
            <w:vAlign w:val="center"/>
            <w:textDirection w:val="lrTb"/>
            <w:noWrap w:val="false"/>
          </w:tcPr>
          <w:p>
            <w:pPr>
              <w:pStyle w:val="92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3.4</w:t>
            </w:r>
            <w:r>
              <w:rPr>
                <w:rFonts w:hint="eastAsia" w:ascii="宋体" w:hAnsi="宋体" w:cs="宋体"/>
                <w:color w:val="000000"/>
                <w:sz w:val="24"/>
                <w:szCs w:val="24"/>
                <w:lang w:bidi="ar"/>
              </w:rPr>
            </w:r>
            <w:r/>
          </w:p>
        </w:tc>
        <w:tc>
          <w:tcPr>
            <w:tcW w:w="1307" w:type="dxa"/>
            <w:vAlign w:val="center"/>
            <w:textDirection w:val="lrTb"/>
            <w:noWrap w:val="false"/>
          </w:tcPr>
          <w:p>
            <w:pPr>
              <w:pStyle w:val="92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培训方案(5分)</w:t>
            </w:r>
            <w:r>
              <w:rPr>
                <w:rFonts w:hint="eastAsia" w:ascii="宋体" w:hAnsi="宋体" w:cs="宋体"/>
                <w:color w:val="000000"/>
                <w:sz w:val="24"/>
                <w:szCs w:val="24"/>
                <w:lang w:bidi="ar"/>
              </w:rPr>
            </w:r>
            <w:r/>
          </w:p>
        </w:tc>
        <w:tc>
          <w:tcPr>
            <w:tcW w:w="6946" w:type="dxa"/>
            <w:vAlign w:val="center"/>
            <w:textDirection w:val="lrTb"/>
            <w:noWrap w:val="false"/>
          </w:tcPr>
          <w:p>
            <w:pPr>
              <w:pStyle w:val="92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评委根据响应文件对磋商文件第四章“采购需求”中“技术培训要求”的响应情况进行评审：</w:t>
            </w:r>
            <w:r>
              <w:rPr>
                <w:rFonts w:hint="eastAsia" w:ascii="宋体" w:hAnsi="宋体" w:cs="宋体"/>
                <w:color w:val="000000"/>
                <w:sz w:val="24"/>
                <w:szCs w:val="24"/>
                <w:lang w:bidi="ar"/>
              </w:rPr>
            </w:r>
            <w:r/>
          </w:p>
          <w:p>
            <w:pPr>
              <w:pStyle w:val="92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（1）响应文件未符合“技术培训要求”中全部条款要求的，视为不符合磋商文件，本项得0分。</w:t>
            </w:r>
            <w:r>
              <w:rPr>
                <w:rFonts w:hint="eastAsia" w:ascii="宋体" w:hAnsi="宋体" w:cs="宋体"/>
                <w:color w:val="000000"/>
                <w:sz w:val="24"/>
                <w:szCs w:val="24"/>
                <w:lang w:bidi="ar"/>
              </w:rPr>
            </w:r>
            <w:r/>
          </w:p>
          <w:p>
            <w:pPr>
              <w:pStyle w:val="92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（2）响应文件符合“技术培训要求”中全部条款要求的，视为符合磋商文件，本项得3分。</w:t>
            </w:r>
            <w:r>
              <w:rPr>
                <w:rFonts w:hint="eastAsia" w:ascii="宋体" w:hAnsi="宋体" w:cs="宋体"/>
                <w:color w:val="000000"/>
                <w:sz w:val="24"/>
                <w:szCs w:val="24"/>
                <w:lang w:bidi="ar"/>
              </w:rPr>
            </w:r>
            <w:r/>
          </w:p>
          <w:p>
            <w:pPr>
              <w:pStyle w:val="92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响应文件对“技术培训要求”中“培训计划”、“培训考核评估”要求的响应内容全部优于磋商文件要求的（响应文件对“技术培训要求”中除“培训计划”、“培训考核评估”外其他要求响应内容符合磋商文件要求），本项得5分。</w:t>
            </w:r>
            <w:r>
              <w:rPr>
                <w:rFonts w:hint="eastAsia" w:ascii="宋体" w:hAnsi="宋体" w:cs="宋体"/>
                <w:color w:val="000000"/>
                <w:sz w:val="24"/>
                <w:szCs w:val="24"/>
                <w:lang w:bidi="ar"/>
              </w:rPr>
            </w:r>
            <w:r/>
          </w:p>
        </w:tc>
      </w:tr>
      <w:tr>
        <w:trPr>
          <w:trHeight w:val="351"/>
        </w:trPr>
        <w:tc>
          <w:tcPr>
            <w:tcW w:w="922" w:type="dxa"/>
            <w:vAlign w:val="center"/>
            <w:textDirection w:val="lrTb"/>
            <w:noWrap w:val="false"/>
          </w:tcPr>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3.5</w:t>
            </w:r>
            <w:r>
              <w:rPr>
                <w:rFonts w:hint="eastAsia" w:ascii="宋体" w:hAnsi="宋体" w:cs="宋体"/>
                <w:color w:val="000000"/>
                <w:sz w:val="24"/>
                <w:szCs w:val="24"/>
                <w:lang w:bidi="ar"/>
              </w:rPr>
            </w:r>
            <w:r/>
          </w:p>
        </w:tc>
        <w:tc>
          <w:tcPr>
            <w:tcW w:w="1307" w:type="dxa"/>
            <w:vAlign w:val="center"/>
            <w:textDirection w:val="lrTb"/>
            <w:noWrap w:val="false"/>
          </w:tcPr>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售后服务方案</w:t>
            </w:r>
            <w:r>
              <w:rPr>
                <w:rFonts w:hint="eastAsia" w:ascii="宋体" w:hAnsi="宋体" w:cs="宋体"/>
                <w:color w:val="000000"/>
                <w:sz w:val="24"/>
                <w:szCs w:val="24"/>
                <w:lang w:bidi="ar"/>
              </w:rPr>
            </w:r>
            <w:r/>
          </w:p>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(5分)</w:t>
            </w:r>
            <w:r>
              <w:rPr>
                <w:rFonts w:hint="eastAsia" w:ascii="宋体" w:hAnsi="宋体" w:cs="宋体"/>
                <w:color w:val="000000"/>
                <w:sz w:val="24"/>
                <w:szCs w:val="24"/>
                <w:lang w:bidi="ar"/>
              </w:rPr>
            </w:r>
            <w:r/>
          </w:p>
        </w:tc>
        <w:tc>
          <w:tcPr>
            <w:tcW w:w="6946" w:type="dxa"/>
            <w:vAlign w:val="center"/>
            <w:textDirection w:val="lrTb"/>
            <w:noWrap w:val="false"/>
          </w:tcPr>
          <w:p>
            <w:pPr>
              <w:pStyle w:val="920"/>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评委根据响应文件对磋商文件第四章“采购需求”中“售后服务要求”的响应情况进行评审：</w:t>
            </w:r>
            <w:r>
              <w:rPr>
                <w:rFonts w:hint="eastAsia" w:ascii="宋体" w:hAnsi="宋体" w:cs="宋体"/>
                <w:color w:val="000000"/>
                <w:sz w:val="24"/>
                <w:szCs w:val="24"/>
              </w:rPr>
            </w:r>
            <w:r/>
          </w:p>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（1）响应文件未符合“售后服务要求”中全部条款要求的，视为不符合磋商文件，本项得0分。</w:t>
            </w:r>
            <w:r>
              <w:rPr>
                <w:rFonts w:hint="eastAsia" w:ascii="宋体" w:hAnsi="宋体" w:cs="宋体"/>
                <w:color w:val="000000"/>
                <w:sz w:val="24"/>
                <w:szCs w:val="24"/>
                <w:lang w:bidi="ar"/>
              </w:rPr>
            </w:r>
            <w:r/>
          </w:p>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（2）响应文件符合“售后服务要求”中全部条款要求的，视为符合磋商文件，本项得3分。</w:t>
            </w:r>
            <w:r>
              <w:rPr>
                <w:rFonts w:hint="eastAsia" w:ascii="宋体" w:hAnsi="宋体" w:cs="宋体"/>
                <w:color w:val="000000"/>
                <w:sz w:val="24"/>
                <w:szCs w:val="24"/>
                <w:lang w:bidi="ar"/>
              </w:rPr>
            </w:r>
            <w:r/>
          </w:p>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响应文件对“售后服务要求”中“质保期服务内容”、“响应计划”的响应内容全部优于磋商文件要求的（响应文件对“售后服务要求”中除“质保期服务内容”、“响应计划”外其他要求响应内容符合磋商文件要求），本项得5分。</w:t>
            </w:r>
            <w:r>
              <w:rPr>
                <w:rFonts w:hint="eastAsia" w:ascii="宋体" w:hAnsi="宋体" w:cs="宋体"/>
                <w:color w:val="000000"/>
                <w:sz w:val="24"/>
                <w:szCs w:val="24"/>
                <w:lang w:bidi="ar"/>
              </w:rPr>
            </w:r>
            <w:r/>
          </w:p>
        </w:tc>
      </w:tr>
      <w:tr>
        <w:trPr>
          <w:trHeight w:val="351"/>
        </w:trPr>
        <w:tc>
          <w:tcPr>
            <w:gridSpan w:val="3"/>
            <w:tcW w:w="9175" w:type="dxa"/>
            <w:vAlign w:val="center"/>
            <w:textDirection w:val="lrTb"/>
            <w:noWrap w:val="false"/>
          </w:tcPr>
          <w:p>
            <w:pPr>
              <w:pStyle w:val="920"/>
              <w:widowControl/>
              <w:rPr>
                <w:rFonts w:hint="eastAsia" w:ascii="宋体" w:hAnsi="宋体" w:cs="宋体"/>
                <w:spacing w:val="1"/>
                <w:sz w:val="24"/>
                <w:szCs w:val="24"/>
                <w:lang w:bidi="ar"/>
              </w:rPr>
            </w:pPr>
            <w:r>
              <w:rPr>
                <w:rFonts w:hint="eastAsia" w:ascii="宋体" w:hAnsi="宋体" w:cs="宋体"/>
                <w:spacing w:val="1"/>
                <w:sz w:val="24"/>
                <w:szCs w:val="24"/>
                <w:lang w:bidi="ar"/>
              </w:rPr>
              <w:t xml:space="preserve">四、商务部分（22分）</w:t>
            </w:r>
            <w:r>
              <w:rPr>
                <w:rFonts w:hint="eastAsia" w:ascii="宋体" w:hAnsi="宋体" w:cs="宋体"/>
                <w:spacing w:val="1"/>
                <w:sz w:val="24"/>
                <w:szCs w:val="24"/>
                <w:lang w:bidi="ar"/>
              </w:rPr>
            </w:r>
            <w:r/>
          </w:p>
        </w:tc>
      </w:tr>
      <w:tr>
        <w:trPr>
          <w:trHeight w:val="456"/>
        </w:trPr>
        <w:tc>
          <w:tcPr>
            <w:tcW w:w="922" w:type="dxa"/>
            <w:vAlign w:val="center"/>
            <w:vMerge w:val="restart"/>
            <w:textDirection w:val="lrTb"/>
            <w:noWrap w:val="false"/>
          </w:tcPr>
          <w:p>
            <w:pPr>
              <w:pStyle w:val="92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4.1</w:t>
            </w:r>
            <w:r>
              <w:rPr>
                <w:rFonts w:hint="eastAsia" w:ascii="宋体" w:hAnsi="宋体" w:cs="宋体"/>
                <w:color w:val="000000"/>
                <w:sz w:val="24"/>
                <w:szCs w:val="24"/>
                <w:lang w:bidi="ar"/>
              </w:rPr>
            </w:r>
            <w:r/>
          </w:p>
        </w:tc>
        <w:tc>
          <w:tcPr>
            <w:tcW w:w="1307" w:type="dxa"/>
            <w:vAlign w:val="center"/>
            <w:textDirection w:val="lrTb"/>
            <w:noWrap w:val="false"/>
          </w:tcPr>
          <w:p>
            <w:pPr>
              <w:pStyle w:val="920"/>
              <w:widowControl/>
              <w:rPr>
                <w:rFonts w:hint="eastAsia" w:ascii="宋体" w:hAnsi="宋体" w:cs="宋体"/>
                <w:sz w:val="24"/>
                <w:szCs w:val="24"/>
                <w:lang w:bidi="ar"/>
              </w:rPr>
            </w:pPr>
            <w:r>
              <w:rPr>
                <w:rFonts w:hint="eastAsia" w:ascii="宋体" w:hAnsi="宋体" w:cs="宋体"/>
                <w:sz w:val="24"/>
                <w:szCs w:val="24"/>
                <w:lang w:bidi="ar"/>
              </w:rPr>
              <w:t xml:space="preserve">磋商供应商业绩（10分）</w:t>
            </w:r>
            <w:r>
              <w:rPr>
                <w:rFonts w:hint="eastAsia" w:ascii="宋体" w:hAnsi="宋体" w:cs="宋体"/>
                <w:sz w:val="24"/>
                <w:szCs w:val="24"/>
                <w:lang w:bidi="ar"/>
              </w:rPr>
            </w:r>
            <w:r/>
          </w:p>
        </w:tc>
        <w:tc>
          <w:tcPr>
            <w:tcW w:w="6946" w:type="dxa"/>
            <w:vAlign w:val="center"/>
            <w:textDirection w:val="lrTb"/>
            <w:noWrap w:val="false"/>
          </w:tcPr>
          <w:p>
            <w:pPr>
              <w:pStyle w:val="920"/>
              <w:widowControl/>
              <w:rPr>
                <w:rFonts w:hint="eastAsia" w:ascii="宋体" w:hAnsi="宋体" w:cs="宋体"/>
                <w:sz w:val="24"/>
                <w:szCs w:val="24"/>
                <w:lang w:bidi="ar"/>
              </w:rPr>
            </w:pPr>
            <w:r>
              <w:rPr>
                <w:rFonts w:hint="eastAsia" w:ascii="宋体" w:hAnsi="宋体" w:cs="宋体"/>
                <w:sz w:val="24"/>
                <w:szCs w:val="24"/>
                <w:lang w:bidi="ar"/>
              </w:rPr>
              <w:t xml:space="preserve">供应商自202</w:t>
            </w:r>
            <w:r>
              <w:rPr>
                <w:rFonts w:ascii="宋体" w:hAnsi="宋体" w:cs="宋体"/>
                <w:sz w:val="24"/>
                <w:szCs w:val="24"/>
                <w:lang w:bidi="ar"/>
              </w:rPr>
              <w:t xml:space="preserve">4</w:t>
            </w:r>
            <w:r>
              <w:rPr>
                <w:rFonts w:hint="eastAsia" w:ascii="宋体" w:hAnsi="宋体" w:cs="宋体"/>
                <w:sz w:val="24"/>
                <w:szCs w:val="24"/>
                <w:lang w:bidi="ar"/>
              </w:rPr>
              <w:t xml:space="preserve">年1月1日起（以合同日期为准）承担过包含综合监管、检验检测或数据治理等核心功能的类似信息化系统建设业绩，每提供一个业绩含以上任意一类功能的得2分，最高得10分。</w:t>
            </w:r>
            <w:r>
              <w:rPr>
                <w:rFonts w:hint="eastAsia" w:ascii="宋体" w:hAnsi="宋体" w:cs="宋体"/>
                <w:sz w:val="24"/>
                <w:szCs w:val="24"/>
                <w:lang w:bidi="ar"/>
              </w:rPr>
            </w:r>
            <w:r/>
          </w:p>
        </w:tc>
      </w:tr>
      <w:tr>
        <w:trPr>
          <w:trHeight w:val="351"/>
        </w:trPr>
        <w:tc>
          <w:tcPr>
            <w:tcW w:w="922" w:type="dxa"/>
            <w:vAlign w:val="center"/>
            <w:vMerge w:val="continue"/>
            <w:textDirection w:val="lrTb"/>
            <w:noWrap w:val="false"/>
          </w:tcPr>
          <w:p>
            <w:pPr>
              <w:pStyle w:val="920"/>
              <w:rPr>
                <w:sz w:val="20"/>
                <w:szCs w:val="20"/>
              </w:rPr>
            </w:pPr>
            <w:r>
              <w:rPr>
                <w:sz w:val="20"/>
                <w:szCs w:val="20"/>
              </w:rPr>
            </w:r>
            <w:r/>
          </w:p>
        </w:tc>
        <w:tc>
          <w:tcPr>
            <w:gridSpan w:val="2"/>
            <w:tcW w:w="8253" w:type="dxa"/>
            <w:vAlign w:val="center"/>
            <w:textDirection w:val="lrTb"/>
            <w:noWrap w:val="false"/>
          </w:tcPr>
          <w:p>
            <w:pPr>
              <w:pStyle w:val="920"/>
              <w:widowControl/>
              <w:rPr>
                <w:rFonts w:hint="eastAsia" w:ascii="宋体" w:hAnsi="宋体" w:cs="宋体"/>
                <w:sz w:val="24"/>
                <w:szCs w:val="24"/>
                <w:lang w:bidi="ar"/>
              </w:rPr>
            </w:pPr>
            <w:r>
              <w:rPr>
                <w:rFonts w:hint="eastAsia" w:ascii="宋体" w:hAnsi="宋体" w:cs="宋体"/>
                <w:sz w:val="24"/>
                <w:szCs w:val="24"/>
                <w:lang w:bidi="ar"/>
              </w:rPr>
              <w:t xml:space="preserve">注：（1）合同复印件至少包括合同的甲乙双方、采购内容、签订时间；同一采购人（或同一合同包）的多份业绩按一份计算。</w:t>
            </w:r>
            <w:r>
              <w:rPr>
                <w:rFonts w:hint="eastAsia" w:ascii="宋体" w:hAnsi="宋体" w:cs="宋体"/>
                <w:sz w:val="24"/>
                <w:szCs w:val="24"/>
                <w:lang w:bidi="ar"/>
              </w:rPr>
            </w:r>
            <w:r/>
          </w:p>
          <w:p>
            <w:pPr>
              <w:pStyle w:val="920"/>
              <w:widowControl/>
              <w:rPr>
                <w:rFonts w:hint="eastAsia" w:ascii="宋体" w:hAnsi="宋体" w:cs="宋体"/>
                <w:sz w:val="24"/>
                <w:szCs w:val="24"/>
                <w:lang w:bidi="ar"/>
              </w:rPr>
            </w:pPr>
            <w:r>
              <w:rPr>
                <w:rFonts w:hint="eastAsia" w:ascii="宋体" w:hAnsi="宋体" w:cs="宋体"/>
                <w:sz w:val="24"/>
                <w:szCs w:val="24"/>
                <w:lang w:bidi="ar"/>
              </w:rPr>
              <w:t xml:space="preserve">（2）未按要求提供或提供信息不全的业绩，不得分。</w:t>
            </w:r>
            <w:r>
              <w:rPr>
                <w:rFonts w:hint="eastAsia" w:ascii="宋体" w:hAnsi="宋体" w:cs="宋体"/>
                <w:sz w:val="24"/>
                <w:szCs w:val="24"/>
                <w:lang w:bidi="ar"/>
              </w:rPr>
            </w:r>
            <w:r/>
          </w:p>
        </w:tc>
      </w:tr>
      <w:tr>
        <w:trPr>
          <w:trHeight w:val="351"/>
        </w:trPr>
        <w:tc>
          <w:tcPr>
            <w:tcW w:w="922" w:type="dxa"/>
            <w:vAlign w:val="center"/>
            <w:textDirection w:val="lrTb"/>
            <w:noWrap w:val="false"/>
          </w:tcPr>
          <w:p>
            <w:pPr>
              <w:pStyle w:val="92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4.2</w:t>
            </w:r>
            <w:r>
              <w:rPr>
                <w:rFonts w:hint="eastAsia" w:ascii="宋体" w:hAnsi="宋体" w:cs="宋体"/>
                <w:color w:val="000000"/>
                <w:sz w:val="24"/>
                <w:szCs w:val="24"/>
                <w:lang w:bidi="ar"/>
              </w:rPr>
            </w:r>
            <w:r/>
          </w:p>
        </w:tc>
        <w:tc>
          <w:tcPr>
            <w:tcW w:w="1307" w:type="dxa"/>
            <w:vAlign w:val="center"/>
            <w:textDirection w:val="lrTb"/>
            <w:noWrap w:val="false"/>
          </w:tcPr>
          <w:p>
            <w:pPr>
              <w:pStyle w:val="920"/>
              <w:widowControl/>
              <w:rPr>
                <w:rFonts w:hint="eastAsia" w:ascii="宋体" w:hAnsi="宋体" w:cs="宋体"/>
                <w:color w:val="000000"/>
                <w:sz w:val="24"/>
                <w:szCs w:val="24"/>
                <w:lang w:bidi="ar"/>
              </w:rPr>
            </w:pPr>
            <w:r>
              <w:rPr>
                <w:rFonts w:hint="eastAsia" w:ascii="宋体" w:hAnsi="宋体" w:cs="宋体"/>
                <w:sz w:val="24"/>
                <w:szCs w:val="24"/>
                <w:lang w:bidi="ar"/>
              </w:rPr>
              <w:t xml:space="preserve">软件著作权（3分</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r>
            <w:r/>
          </w:p>
        </w:tc>
        <w:tc>
          <w:tcPr>
            <w:tcW w:w="6946" w:type="dxa"/>
            <w:vAlign w:val="center"/>
            <w:textDirection w:val="lrTb"/>
            <w:noWrap w:val="false"/>
          </w:tcPr>
          <w:p>
            <w:pPr>
              <w:pStyle w:val="920"/>
              <w:widowControl/>
              <w:rPr>
                <w:rFonts w:hint="eastAsia" w:ascii="宋体" w:hAnsi="宋体" w:cs="宋体"/>
                <w:spacing w:val="1"/>
                <w:sz w:val="24"/>
                <w:szCs w:val="24"/>
                <w:lang w:bidi="ar"/>
              </w:rPr>
            </w:pPr>
            <w:r>
              <w:rPr>
                <w:rFonts w:hint="eastAsia" w:ascii="宋体" w:hAnsi="宋体" w:cs="宋体"/>
                <w:color w:val="000000"/>
                <w:sz w:val="24"/>
                <w:szCs w:val="24"/>
                <w:lang w:bidi="ar"/>
              </w:rPr>
              <w:t xml:space="preserve">磋商供应商自</w:t>
            </w:r>
            <w:r>
              <w:rPr>
                <w:rFonts w:hint="eastAsia" w:ascii="宋体" w:hAnsi="宋体" w:cs="宋体"/>
                <w:sz w:val="24"/>
                <w:szCs w:val="24"/>
                <w:lang w:bidi="ar"/>
              </w:rPr>
              <w:t xml:space="preserve">有计量业务一体化或</w:t>
            </w:r>
            <w:r>
              <w:rPr>
                <w:rFonts w:hint="eastAsia" w:ascii="宋体" w:hAnsi="宋体" w:cs="宋体"/>
                <w:sz w:val="24"/>
                <w:szCs w:val="24"/>
                <w:lang w:bidi="ar"/>
              </w:rPr>
              <w:t xml:space="preserve">质量管理</w:t>
            </w:r>
            <w:r>
              <w:rPr>
                <w:rFonts w:hint="eastAsia" w:ascii="宋体" w:hAnsi="宋体" w:cs="宋体"/>
                <w:sz w:val="24"/>
                <w:szCs w:val="24"/>
                <w:lang w:bidi="ar"/>
              </w:rPr>
              <w:t xml:space="preserve">或电子证书报告相关方面的软件著</w:t>
            </w:r>
            <w:r>
              <w:rPr>
                <w:rFonts w:hint="eastAsia" w:ascii="宋体" w:hAnsi="宋体" w:cs="宋体"/>
                <w:color w:val="000000"/>
                <w:sz w:val="24"/>
                <w:szCs w:val="24"/>
                <w:lang w:bidi="ar"/>
              </w:rPr>
              <w:t xml:space="preserve">作权或相关专利证书，每提供以上一类证书得1分，最高得3分。同类证书不重复得分</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（提供证书复印件并加盖公章。如响应文件中提供的著作权或专利</w:t>
            </w:r>
            <w:r>
              <w:rPr>
                <w:rFonts w:hint="eastAsia" w:ascii="宋体" w:hAnsi="宋体" w:cs="宋体"/>
                <w:color w:val="000000"/>
                <w:sz w:val="24"/>
                <w:szCs w:val="24"/>
                <w:lang w:bidi="ar"/>
              </w:rPr>
              <w:t xml:space="preserve">名称表述与磋商文件描述的关键字样不一致，而该响应文件中能证明供应商拥有的著作权或专利具有相同或相似功能和效果，且磋商小组认可的，视同符合要</w:t>
            </w:r>
            <w:r>
              <w:rPr>
                <w:rFonts w:hint="eastAsia" w:ascii="宋体" w:hAnsi="宋体" w:cs="宋体"/>
                <w:color w:val="000000"/>
                <w:sz w:val="24"/>
                <w:szCs w:val="24"/>
                <w:lang w:bidi="ar"/>
              </w:rPr>
              <w:t xml:space="preserve">求。）</w:t>
            </w:r>
            <w:r>
              <w:rPr>
                <w:rFonts w:hint="eastAsia" w:ascii="宋体" w:hAnsi="宋体" w:cs="宋体"/>
                <w:spacing w:val="1"/>
                <w:sz w:val="24"/>
                <w:szCs w:val="24"/>
                <w:lang w:bidi="ar"/>
              </w:rPr>
            </w:r>
            <w:r/>
          </w:p>
        </w:tc>
      </w:tr>
      <w:tr>
        <w:trPr>
          <w:trHeight w:val="351"/>
        </w:trPr>
        <w:tc>
          <w:tcPr>
            <w:tcW w:w="922" w:type="dxa"/>
            <w:vAlign w:val="center"/>
            <w:vMerge w:val="restart"/>
            <w:textDirection w:val="lrTb"/>
            <w:noWrap w:val="false"/>
          </w:tcPr>
          <w:p>
            <w:pPr>
              <w:pStyle w:val="92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4.3</w:t>
            </w:r>
            <w:r>
              <w:rPr>
                <w:rFonts w:hint="eastAsia" w:ascii="宋体" w:hAnsi="宋体" w:cs="宋体"/>
                <w:color w:val="000000"/>
                <w:sz w:val="24"/>
                <w:szCs w:val="24"/>
                <w:lang w:bidi="ar"/>
              </w:rPr>
            </w:r>
            <w:r/>
          </w:p>
        </w:tc>
        <w:tc>
          <w:tcPr>
            <w:tcW w:w="1307" w:type="dxa"/>
            <w:vAlign w:val="center"/>
            <w:vMerge w:val="restart"/>
            <w:textDirection w:val="lrTb"/>
            <w:noWrap w:val="false"/>
          </w:tcPr>
          <w:p>
            <w:pPr>
              <w:pStyle w:val="92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项目组人员资质（</w:t>
            </w:r>
            <w:r>
              <w:rPr>
                <w:rFonts w:hint="eastAsia" w:ascii="宋体" w:hAnsi="宋体" w:cs="宋体"/>
                <w:sz w:val="24"/>
                <w:szCs w:val="24"/>
                <w:lang w:bidi="ar"/>
              </w:rPr>
              <w:t xml:space="preserve">9</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r>
            <w:r/>
          </w:p>
        </w:tc>
        <w:tc>
          <w:tcPr>
            <w:tcW w:w="6946" w:type="dxa"/>
            <w:vAlign w:val="center"/>
            <w:textDirection w:val="lrTb"/>
            <w:noWrap w:val="false"/>
          </w:tcPr>
          <w:p>
            <w:pPr>
              <w:pStyle w:val="920"/>
              <w:widowControl/>
              <w:rPr>
                <w:rFonts w:hint="eastAsia" w:ascii="宋体" w:hAnsi="宋体" w:cs="宋体"/>
                <w:lang w:bidi="ar"/>
              </w:rPr>
            </w:pPr>
            <w:r>
              <w:rPr>
                <w:rFonts w:hint="eastAsia" w:ascii="宋体" w:hAnsi="宋体" w:cs="宋体"/>
                <w:sz w:val="24"/>
                <w:szCs w:val="24"/>
                <w:lang w:bidi="ar"/>
              </w:rPr>
              <w:t xml:space="preserve">4.3.1项目经理（限1人）证书：项目经理具备信息系统项目管理师证、软件设计师证书的，每具有一个得2分，最高得4分。</w:t>
            </w:r>
            <w:r>
              <w:rPr>
                <w:rFonts w:hint="eastAsia" w:ascii="宋体" w:hAnsi="宋体" w:cs="宋体"/>
                <w:lang w:bidi="ar"/>
              </w:rPr>
            </w:r>
            <w:r/>
          </w:p>
          <w:p>
            <w:pPr>
              <w:pStyle w:val="920"/>
              <w:widowControl/>
              <w:rPr>
                <w:rFonts w:hint="eastAsia" w:ascii="宋体" w:hAnsi="宋体" w:cs="宋体"/>
                <w:sz w:val="24"/>
                <w:szCs w:val="24"/>
                <w:lang w:bidi="ar"/>
              </w:rPr>
            </w:pPr>
            <w:r>
              <w:rPr>
                <w:rFonts w:hint="eastAsia" w:ascii="宋体" w:hAnsi="宋体" w:cs="宋体"/>
                <w:sz w:val="24"/>
                <w:szCs w:val="24"/>
                <w:lang w:bidi="ar"/>
              </w:rPr>
              <w:t xml:space="preserve">4.3.2项目开发团队证书：除项目经理以外的技术人员持有信息系统项目管理师、系统架构设计师、软件设计师、注册信息安全专业人员（CISP或CISSP）、信息技术服务标准应用经理证书(ITSS)</w:t>
            </w:r>
            <w:r>
              <w:rPr>
                <w:rFonts w:hint="eastAsia" w:ascii="宋体" w:hAnsi="宋体" w:cs="宋体"/>
                <w:sz w:val="24"/>
                <w:szCs w:val="24"/>
                <w:lang w:val="en-US" w:eastAsia="zh-CN" w:bidi="ar"/>
              </w:rPr>
              <w:t xml:space="preserve">5类</w:t>
            </w:r>
            <w:r>
              <w:rPr>
                <w:rFonts w:hint="eastAsia" w:ascii="宋体" w:hAnsi="宋体" w:cs="宋体"/>
                <w:sz w:val="24"/>
                <w:szCs w:val="24"/>
                <w:lang w:bidi="ar"/>
              </w:rPr>
              <w:t xml:space="preserve">证书。有一类证书得1分，最高得5分。</w:t>
            </w:r>
            <w:r>
              <w:rPr>
                <w:rFonts w:hint="eastAsia" w:ascii="宋体" w:hAnsi="宋体" w:cs="宋体"/>
                <w:sz w:val="24"/>
                <w:szCs w:val="24"/>
                <w:lang w:bidi="ar"/>
              </w:rPr>
            </w:r>
            <w:r/>
          </w:p>
          <w:p>
            <w:pPr>
              <w:pStyle w:val="920"/>
              <w:widowControl/>
              <w:rPr>
                <w:rFonts w:hint="eastAsia" w:ascii="宋体" w:hAnsi="宋体" w:cs="宋体"/>
                <w:spacing w:val="1"/>
                <w:sz w:val="24"/>
                <w:szCs w:val="24"/>
                <w:highlight w:val="green"/>
                <w:lang w:bidi="ar"/>
              </w:rPr>
            </w:pPr>
            <w:r>
              <w:rPr>
                <w:rFonts w:hint="eastAsia" w:ascii="宋体" w:hAnsi="宋体" w:cs="宋体"/>
                <w:sz w:val="24"/>
                <w:szCs w:val="24"/>
                <w:lang w:bidi="ar"/>
              </w:rPr>
              <w:t xml:space="preserve">（同类证书不重复得分，单人多证仅算一项，不累加）。</w:t>
            </w:r>
            <w:r>
              <w:rPr>
                <w:rFonts w:hint="eastAsia" w:ascii="宋体" w:hAnsi="宋体" w:cs="宋体"/>
                <w:spacing w:val="1"/>
                <w:sz w:val="24"/>
                <w:szCs w:val="24"/>
                <w:highlight w:val="green"/>
                <w:lang w:bidi="ar"/>
              </w:rPr>
            </w:r>
            <w:r/>
          </w:p>
        </w:tc>
      </w:tr>
      <w:tr>
        <w:trPr>
          <w:trHeight w:val="907"/>
        </w:trPr>
        <w:tc>
          <w:tcPr>
            <w:tcW w:w="922" w:type="dxa"/>
            <w:vAlign w:val="center"/>
            <w:vMerge w:val="continue"/>
            <w:textDirection w:val="lrTb"/>
            <w:noWrap w:val="false"/>
          </w:tcPr>
          <w:p>
            <w:pPr>
              <w:pStyle w:val="920"/>
              <w:rPr>
                <w:sz w:val="20"/>
                <w:szCs w:val="20"/>
              </w:rPr>
            </w:pPr>
            <w:r>
              <w:rPr>
                <w:sz w:val="20"/>
                <w:szCs w:val="20"/>
              </w:rPr>
            </w:r>
            <w:r/>
          </w:p>
        </w:tc>
        <w:tc>
          <w:tcPr>
            <w:tcW w:w="1307" w:type="dxa"/>
            <w:vAlign w:val="center"/>
            <w:vMerge w:val="continue"/>
            <w:textDirection w:val="lrTb"/>
            <w:noWrap w:val="false"/>
          </w:tcPr>
          <w:p>
            <w:pPr>
              <w:pStyle w:val="920"/>
              <w:rPr>
                <w:sz w:val="20"/>
                <w:szCs w:val="20"/>
              </w:rPr>
            </w:pPr>
            <w:r>
              <w:rPr>
                <w:sz w:val="20"/>
                <w:szCs w:val="20"/>
              </w:rPr>
            </w:r>
            <w:r/>
          </w:p>
        </w:tc>
        <w:tc>
          <w:tcPr>
            <w:tcW w:w="6946" w:type="dxa"/>
            <w:vAlign w:val="center"/>
            <w:textDirection w:val="lrTb"/>
            <w:noWrap w:val="false"/>
          </w:tcPr>
          <w:p>
            <w:pPr>
              <w:pStyle w:val="920"/>
              <w:widowControl/>
              <w:rPr>
                <w:rFonts w:hint="eastAsia" w:ascii="宋体" w:hAnsi="宋体" w:cs="宋体"/>
                <w:spacing w:val="1"/>
                <w:sz w:val="24"/>
                <w:szCs w:val="24"/>
                <w:lang w:bidi="ar"/>
              </w:rPr>
            </w:pPr>
            <w:r>
              <w:rPr>
                <w:rFonts w:hint="eastAsia" w:ascii="宋体" w:hAnsi="宋体" w:cs="宋体"/>
                <w:color w:val="000000"/>
                <w:sz w:val="24"/>
                <w:szCs w:val="24"/>
                <w:lang w:bidi="ar"/>
              </w:rPr>
              <w:t xml:space="preserve">注：以上4.3评分点均需提供人员资格证书扫描件和近三个月内</w:t>
            </w:r>
            <w:r>
              <w:rPr>
                <w:rFonts w:hint="eastAsia" w:ascii="宋体" w:hAnsi="宋体" w:cs="宋体"/>
                <w:color w:val="000000"/>
                <w:sz w:val="24"/>
                <w:szCs w:val="24"/>
                <w:lang w:val="en-US" w:eastAsia="zh-CN" w:bidi="ar"/>
              </w:rPr>
              <w:t xml:space="preserve">任意一个月</w:t>
            </w:r>
            <w:r>
              <w:rPr>
                <w:rFonts w:hint="eastAsia" w:ascii="宋体" w:hAnsi="宋体" w:cs="宋体"/>
                <w:color w:val="000000"/>
                <w:sz w:val="24"/>
                <w:szCs w:val="24"/>
                <w:lang w:bidi="ar"/>
              </w:rPr>
              <w:t xml:space="preserve">磋商</w:t>
            </w:r>
            <w:r>
              <w:rPr>
                <w:rFonts w:hint="eastAsia" w:ascii="宋体" w:hAnsi="宋体" w:cs="宋体"/>
                <w:sz w:val="24"/>
                <w:szCs w:val="24"/>
                <w:lang w:bidi="ar"/>
              </w:rPr>
              <w:t xml:space="preserve">供应商为其缴纳社保的证明材料，加盖供应商公章，不按要求或没有提供的不得分。</w:t>
            </w:r>
            <w:r>
              <w:rPr>
                <w:rFonts w:hint="eastAsia" w:ascii="宋体" w:hAnsi="宋体" w:cs="宋体"/>
                <w:spacing w:val="1"/>
                <w:sz w:val="24"/>
                <w:szCs w:val="24"/>
                <w:lang w:bidi="ar"/>
              </w:rPr>
            </w:r>
            <w:r/>
          </w:p>
        </w:tc>
      </w:tr>
      <w:tr>
        <w:trPr>
          <w:trHeight w:val="471"/>
        </w:trPr>
        <w:tc>
          <w:tcPr>
            <w:gridSpan w:val="3"/>
            <w:tcW w:w="9175" w:type="dxa"/>
            <w:vAlign w:val="center"/>
            <w:textDirection w:val="lrTb"/>
            <w:noWrap w:val="false"/>
          </w:tcPr>
          <w:p>
            <w:pPr>
              <w:pStyle w:val="920"/>
              <w:widowControl/>
              <w:rPr>
                <w:rFonts w:ascii="宋体" w:hAnsi="宋体" w:cs="宋体"/>
                <w:color w:val="000000"/>
                <w:sz w:val="24"/>
                <w:szCs w:val="24"/>
                <w:lang w:bidi="ar"/>
              </w:rPr>
            </w:pPr>
            <w:r>
              <w:rPr>
                <w:rFonts w:hint="eastAsia" w:ascii="宋体" w:hAnsi="宋体" w:cs="宋体"/>
                <w:color w:val="000000"/>
                <w:sz w:val="24"/>
                <w:szCs w:val="24"/>
                <w:lang w:bidi="ar"/>
              </w:rPr>
              <w:t xml:space="preserve">五、功能演示部分（10分）</w:t>
            </w:r>
            <w:r>
              <w:rPr>
                <w:rFonts w:ascii="宋体" w:hAnsi="宋体" w:cs="宋体"/>
                <w:color w:val="000000"/>
                <w:sz w:val="24"/>
                <w:szCs w:val="24"/>
                <w:lang w:bidi="ar"/>
              </w:rPr>
            </w:r>
            <w:r/>
          </w:p>
        </w:tc>
      </w:tr>
      <w:tr>
        <w:trPr>
          <w:trHeight w:val="418"/>
        </w:trPr>
        <w:tc>
          <w:tcPr>
            <w:tcW w:w="922" w:type="dxa"/>
            <w:vAlign w:val="center"/>
            <w:vMerge w:val="restart"/>
            <w:textDirection w:val="lrTb"/>
            <w:noWrap w:val="false"/>
          </w:tcPr>
          <w:p>
            <w:pPr>
              <w:pStyle w:val="920"/>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w:t>
            </w:r>
            <w:r>
              <w:rPr>
                <w:rFonts w:ascii="宋体" w:hAnsi="宋体" w:cs="宋体"/>
                <w:color w:val="000000"/>
                <w:sz w:val="24"/>
                <w:szCs w:val="24"/>
                <w:lang w:bidi="ar"/>
              </w:rPr>
            </w:r>
            <w:r/>
          </w:p>
        </w:tc>
        <w:tc>
          <w:tcPr>
            <w:tcW w:w="1307" w:type="dxa"/>
            <w:vAlign w:val="center"/>
            <w:vMerge w:val="restart"/>
            <w:textDirection w:val="lrTb"/>
            <w:noWrap w:val="false"/>
          </w:tcPr>
          <w:p>
            <w:pPr>
              <w:pStyle w:val="920"/>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功能演示(10分)</w:t>
            </w:r>
            <w:r>
              <w:rPr>
                <w:rFonts w:hint="eastAsia" w:ascii="宋体" w:hAnsi="宋体" w:cs="宋体"/>
                <w:color w:val="000000"/>
                <w:sz w:val="24"/>
                <w:szCs w:val="24"/>
                <w:lang w:bidi="ar"/>
              </w:rPr>
            </w:r>
            <w:r/>
          </w:p>
        </w:tc>
        <w:tc>
          <w:tcPr>
            <w:tcW w:w="6946" w:type="dxa"/>
            <w:vAlign w:val="center"/>
            <w:textDirection w:val="lrTb"/>
            <w:noWrap w:val="false"/>
          </w:tcPr>
          <w:p>
            <w:pPr>
              <w:pStyle w:val="920"/>
              <w:rPr>
                <w:rFonts w:hint="eastAsia" w:ascii="宋体" w:hAnsi="宋体" w:cs="宋体"/>
                <w:color w:val="000000"/>
                <w:sz w:val="24"/>
                <w:szCs w:val="24"/>
                <w:lang w:bidi="ar"/>
              </w:rPr>
            </w:pPr>
            <w:r>
              <w:rPr>
                <w:rFonts w:hint="eastAsia" w:ascii="宋体" w:hAnsi="宋体" w:cs="宋体"/>
                <w:color w:val="000000"/>
                <w:sz w:val="24"/>
                <w:szCs w:val="24"/>
              </w:rPr>
              <w:t xml:space="preserve">演示要求：</w:t>
            </w:r>
            <w:r>
              <w:rPr>
                <w:rFonts w:hint="eastAsia" w:ascii="宋体" w:hAnsi="宋体" w:cs="宋体"/>
                <w:color w:val="000000"/>
                <w:sz w:val="24"/>
                <w:szCs w:val="24"/>
                <w:lang w:bidi="ar"/>
              </w:rPr>
              <w:t xml:space="preserve">磋商供应商</w:t>
            </w:r>
            <w:r>
              <w:rPr>
                <w:rFonts w:hint="eastAsia" w:ascii="宋体" w:hAnsi="宋体" w:cs="宋体"/>
                <w:color w:val="000000"/>
                <w:sz w:val="24"/>
                <w:szCs w:val="24"/>
              </w:rPr>
              <w:t xml:space="preserve">根据磋商文件演示要求提供相应的演示视频，以真实系统或系统原型演示且演示内容完整符合要求的，按照各项内容分值得分；以PPT、图片、静态HTML等其他形式演示且演示内容完整符合要求的，得分乘以50%为最终得分。不满足演示要求或未演示不得分。</w:t>
            </w:r>
            <w:r>
              <w:rPr>
                <w:rFonts w:hint="eastAsia" w:ascii="宋体" w:hAnsi="宋体" w:cs="宋体"/>
                <w:color w:val="000000"/>
                <w:sz w:val="24"/>
                <w:szCs w:val="24"/>
                <w:lang w:bidi="ar"/>
              </w:rPr>
            </w:r>
            <w:r/>
          </w:p>
        </w:tc>
      </w:tr>
      <w:tr>
        <w:trPr>
          <w:trHeight w:val="322"/>
        </w:trPr>
        <w:tc>
          <w:tcPr>
            <w:tcW w:w="922" w:type="dxa"/>
            <w:vAlign w:val="center"/>
            <w:vMerge w:val="continue"/>
            <w:textDirection w:val="lrTb"/>
            <w:noWrap w:val="false"/>
          </w:tcPr>
          <w:p>
            <w:pPr>
              <w:pStyle w:val="920"/>
              <w:rPr>
                <w:sz w:val="20"/>
                <w:szCs w:val="20"/>
              </w:rPr>
            </w:pPr>
            <w:r>
              <w:rPr>
                <w:sz w:val="20"/>
                <w:szCs w:val="20"/>
              </w:rPr>
            </w:r>
            <w:r/>
          </w:p>
        </w:tc>
        <w:tc>
          <w:tcPr>
            <w:tcW w:w="1307" w:type="dxa"/>
            <w:vAlign w:val="center"/>
            <w:vMerge w:val="continue"/>
            <w:textDirection w:val="lrTb"/>
            <w:noWrap w:val="false"/>
          </w:tcPr>
          <w:p>
            <w:pPr>
              <w:pStyle w:val="920"/>
              <w:rPr>
                <w:sz w:val="20"/>
                <w:szCs w:val="20"/>
              </w:rPr>
            </w:pPr>
            <w:r>
              <w:rPr>
                <w:sz w:val="20"/>
                <w:szCs w:val="20"/>
              </w:rPr>
            </w:r>
            <w:r/>
          </w:p>
        </w:tc>
        <w:tc>
          <w:tcPr>
            <w:tcW w:w="6946" w:type="dxa"/>
            <w:vAlign w:val="center"/>
            <w:textDirection w:val="lrTb"/>
            <w:noWrap w:val="false"/>
          </w:tcPr>
          <w:p>
            <w:pPr>
              <w:pStyle w:val="920"/>
              <w:numPr>
                <w:ilvl w:val="0"/>
                <w:numId w:val="14"/>
              </w:numPr>
              <w:jc w:val="lef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PAD原始记录客户端功能演示，演示内容包括</w:t>
            </w:r>
            <w:r>
              <w:rPr>
                <w:rFonts w:hint="eastAsia" w:ascii="宋体" w:hAnsi="宋体" w:cs="宋体"/>
                <w:color w:val="000000"/>
                <w:sz w:val="28"/>
                <w:szCs w:val="28"/>
                <w:lang w:bidi="ar"/>
              </w:rPr>
            </w:r>
            <w:r/>
          </w:p>
          <w:p>
            <w:pPr>
              <w:pStyle w:val="920"/>
              <w:numPr>
                <w:ilvl w:val="0"/>
                <w:numId w:val="15"/>
              </w:num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原始记录在线录入：PAD接入内网后，进入电子原始记录模块，支持在PAD端原始记录在线录入，录入的模版文件类似excel表格，能够进行单元格编辑，下拉选择证书类型等操作。（1分）</w:t>
            </w:r>
            <w:r>
              <w:rPr>
                <w:rFonts w:ascii="宋体" w:hAnsi="宋体" w:cs="宋体"/>
                <w:color w:val="000000"/>
                <w:sz w:val="24"/>
                <w:szCs w:val="24"/>
                <w:lang w:bidi="ar"/>
              </w:rPr>
            </w:r>
            <w:r/>
          </w:p>
          <w:p>
            <w:pPr>
              <w:pStyle w:val="920"/>
              <w:numPr>
                <w:ilvl w:val="0"/>
                <w:numId w:val="15"/>
              </w:num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原始记录模版在线下载：PAD接入内网后，进入电子原始记录模块，可以查询所有记录模版，选择对应的模版将文件下载PAD本地目录。（1分）</w:t>
            </w:r>
            <w:r>
              <w:rPr>
                <w:rFonts w:ascii="宋体" w:hAnsi="宋体" w:cs="宋体"/>
                <w:color w:val="000000"/>
                <w:sz w:val="24"/>
                <w:szCs w:val="24"/>
                <w:lang w:bidi="ar"/>
              </w:rPr>
            </w:r>
            <w:r/>
          </w:p>
          <w:p>
            <w:pPr>
              <w:pStyle w:val="920"/>
              <w:numPr>
                <w:ilvl w:val="0"/>
                <w:numId w:val="15"/>
              </w:num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原始记录文件离线编辑:进入离线原始记录模块，支持在PAD端直接打开本地原始记录文件，能够进行单元格编辑，下拉选择证书类型等操作。（1分）</w:t>
            </w:r>
            <w:r>
              <w:rPr>
                <w:rFonts w:ascii="宋体" w:hAnsi="宋体" w:cs="宋体"/>
                <w:color w:val="000000"/>
                <w:sz w:val="24"/>
                <w:szCs w:val="24"/>
                <w:lang w:bidi="ar"/>
              </w:rPr>
            </w:r>
            <w:r/>
          </w:p>
          <w:p>
            <w:pPr>
              <w:pStyle w:val="920"/>
              <w:numPr>
                <w:ilvl w:val="0"/>
                <w:numId w:val="15"/>
              </w:num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原始记录文件离线保存和另存：离线编辑记录完成后，可以直接保存进行原文件覆盖，也可另存为选择其他文件夹进行文件副本保存。（1分）</w:t>
            </w:r>
            <w:r>
              <w:rPr>
                <w:rFonts w:ascii="宋体" w:hAnsi="宋体" w:cs="宋体"/>
                <w:color w:val="000000"/>
                <w:sz w:val="24"/>
                <w:szCs w:val="24"/>
                <w:lang w:bidi="ar"/>
              </w:rPr>
            </w:r>
            <w:r/>
          </w:p>
          <w:p>
            <w:pPr>
              <w:pStyle w:val="920"/>
              <w:numPr>
                <w:ilvl w:val="0"/>
                <w:numId w:val="15"/>
              </w:num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原始记录文件上传与展示：PAD接入内网后，进入电子原始记录模块，选择对应的检测器具，点击上传选择对应的本地文件进行上传，上传完成后点击录入自动加载上传的文件数据。（1分）</w:t>
            </w:r>
            <w:r>
              <w:rPr>
                <w:rFonts w:hint="eastAsia" w:ascii="宋体" w:hAnsi="宋体" w:cs="宋体"/>
                <w:color w:val="000000"/>
                <w:sz w:val="24"/>
                <w:szCs w:val="24"/>
                <w:lang w:bidi="ar"/>
              </w:rPr>
            </w:r>
            <w:r/>
          </w:p>
          <w:p>
            <w:pPr>
              <w:pStyle w:val="920"/>
              <w:ind w:firstLine="120"/>
              <w:jc w:val="left"/>
              <w:widowControl/>
              <w:rPr>
                <w:rFonts w:ascii="宋体" w:hAnsi="宋体" w:cs="宋体"/>
                <w:color w:val="000000"/>
                <w:sz w:val="24"/>
                <w:szCs w:val="24"/>
                <w:lang w:bidi="ar"/>
              </w:rPr>
            </w:pPr>
            <w:r>
              <w:rPr>
                <w:rFonts w:hint="eastAsia" w:ascii="宋体" w:hAnsi="宋体" w:cs="宋体"/>
                <w:color w:val="000000"/>
                <w:sz w:val="24"/>
                <w:szCs w:val="24"/>
              </w:rPr>
              <w:t xml:space="preserve">【评分依据：响应供应商完整演示得5分，每缺少1项功能扣1分，扣完为止。】</w:t>
            </w:r>
            <w:r>
              <w:rPr>
                <w:rFonts w:ascii="宋体" w:hAnsi="宋体" w:cs="宋体"/>
                <w:color w:val="000000"/>
                <w:sz w:val="24"/>
                <w:szCs w:val="24"/>
                <w:lang w:bidi="ar"/>
              </w:rPr>
            </w:r>
            <w:r/>
          </w:p>
        </w:tc>
      </w:tr>
      <w:tr>
        <w:trPr>
          <w:trHeight w:val="322"/>
        </w:trPr>
        <w:tc>
          <w:tcPr>
            <w:tcW w:w="922" w:type="dxa"/>
            <w:vAlign w:val="center"/>
            <w:vMerge w:val="continue"/>
            <w:textDirection w:val="lrTb"/>
            <w:noWrap w:val="false"/>
          </w:tcPr>
          <w:p>
            <w:pPr>
              <w:pStyle w:val="920"/>
              <w:ind w:firstLine="105"/>
              <w:jc w:val="left"/>
              <w:widowControl/>
            </w:pPr>
            <w:r/>
            <w:r/>
          </w:p>
        </w:tc>
        <w:tc>
          <w:tcPr>
            <w:tcW w:w="1307" w:type="dxa"/>
            <w:vAlign w:val="center"/>
            <w:vMerge w:val="continue"/>
            <w:textDirection w:val="lrTb"/>
            <w:noWrap w:val="false"/>
          </w:tcPr>
          <w:p>
            <w:pPr>
              <w:pStyle w:val="920"/>
              <w:ind w:firstLine="105"/>
              <w:jc w:val="left"/>
              <w:widowControl/>
            </w:pPr>
            <w:r/>
            <w:r/>
          </w:p>
        </w:tc>
        <w:tc>
          <w:tcPr>
            <w:tcW w:w="6946" w:type="dxa"/>
            <w:vAlign w:val="center"/>
            <w:textDirection w:val="lrTb"/>
            <w:noWrap w:val="false"/>
          </w:tcPr>
          <w:p>
            <w:pPr>
              <w:pStyle w:val="920"/>
              <w:numPr>
                <w:ilvl w:val="0"/>
                <w:numId w:val="14"/>
              </w:numPr>
              <w:jc w:val="left"/>
              <w:widowControl/>
              <w:rPr>
                <w:rFonts w:ascii="宋体" w:hAnsi="宋体" w:cs="宋体"/>
                <w:color w:val="000000"/>
                <w:sz w:val="28"/>
                <w:szCs w:val="28"/>
                <w:lang w:bidi="ar"/>
              </w:rPr>
            </w:pPr>
            <w:r>
              <w:rPr>
                <w:rFonts w:ascii="宋体" w:hAnsi="宋体" w:cs="宋体"/>
                <w:color w:val="000000"/>
                <w:sz w:val="28"/>
                <w:szCs w:val="28"/>
                <w:lang w:bidi="ar"/>
              </w:rPr>
              <w:t xml:space="preserve">科研项目预算申报功能演示</w:t>
            </w:r>
            <w:r>
              <w:rPr>
                <w:rFonts w:hint="eastAsia" w:ascii="宋体" w:hAnsi="宋体" w:cs="宋体"/>
                <w:color w:val="000000"/>
                <w:sz w:val="28"/>
                <w:szCs w:val="28"/>
                <w:lang w:bidi="ar"/>
              </w:rPr>
              <w:t xml:space="preserve">，演示内容包括</w:t>
            </w:r>
            <w:r>
              <w:rPr>
                <w:rFonts w:ascii="宋体" w:hAnsi="宋体" w:cs="宋体"/>
                <w:color w:val="000000"/>
                <w:sz w:val="28"/>
                <w:szCs w:val="28"/>
                <w:lang w:bidi="ar"/>
              </w:rPr>
            </w:r>
            <w:r/>
          </w:p>
          <w:p>
            <w:pPr>
              <w:pStyle w:val="920"/>
              <w:numPr>
                <w:ilvl w:val="0"/>
                <w:numId w:val="16"/>
              </w:num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预算初始化与填报：申报人员进入科研预算申报，点击初始化预算，系统自动按年度初始化全部预算小类费用明细。（1分）</w:t>
            </w:r>
            <w:r>
              <w:rPr>
                <w:rFonts w:ascii="宋体" w:hAnsi="宋体" w:cs="宋体"/>
                <w:color w:val="000000"/>
                <w:sz w:val="24"/>
                <w:szCs w:val="24"/>
                <w:lang w:bidi="ar"/>
              </w:rPr>
            </w:r>
            <w:r/>
          </w:p>
          <w:p>
            <w:pPr>
              <w:pStyle w:val="920"/>
              <w:numPr>
                <w:ilvl w:val="0"/>
                <w:numId w:val="16"/>
              </w:num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预算多级审批流程：预算填报人员提交一上预算申报信息后，依次流转至部门负责人审核、科研管理员进行多级</w:t>
            </w:r>
            <w:r>
              <w:rPr>
                <w:rFonts w:hint="eastAsia" w:ascii="宋体" w:hAnsi="宋体" w:cs="宋体"/>
                <w:color w:val="000000"/>
                <w:sz w:val="24"/>
                <w:szCs w:val="24"/>
                <w:lang w:val="en-US" w:eastAsia="zh-CN" w:bidi="ar"/>
              </w:rPr>
              <w:t xml:space="preserve">流程</w:t>
            </w:r>
            <w:r>
              <w:rPr>
                <w:rFonts w:hint="eastAsia" w:ascii="宋体" w:hAnsi="宋体" w:cs="宋体"/>
                <w:color w:val="000000"/>
                <w:sz w:val="24"/>
                <w:szCs w:val="24"/>
                <w:lang w:bidi="ar"/>
              </w:rPr>
              <w:t xml:space="preserve">审批</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（1分）</w:t>
            </w:r>
            <w:r>
              <w:rPr>
                <w:rFonts w:ascii="宋体" w:hAnsi="宋体" w:cs="宋体"/>
                <w:color w:val="000000"/>
                <w:sz w:val="24"/>
                <w:szCs w:val="24"/>
                <w:lang w:bidi="ar"/>
              </w:rPr>
            </w:r>
            <w:r/>
          </w:p>
          <w:p>
            <w:pPr>
              <w:pStyle w:val="920"/>
              <w:numPr>
                <w:ilvl w:val="0"/>
                <w:numId w:val="16"/>
              </w:num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二上预算开启与填报：科研管理员可在项目台账开启二上申报，二上申报时自动带入一上金额,申报需要填写财政资金、单位资金和预算说明等信息。（1分）</w:t>
            </w:r>
            <w:r>
              <w:rPr>
                <w:rFonts w:hint="eastAsia" w:ascii="宋体" w:hAnsi="宋体" w:cs="宋体"/>
                <w:color w:val="000000"/>
                <w:sz w:val="24"/>
                <w:szCs w:val="24"/>
                <w:lang w:bidi="ar"/>
              </w:rPr>
            </w:r>
            <w:r/>
          </w:p>
          <w:p>
            <w:pPr>
              <w:pStyle w:val="920"/>
              <w:ind w:firstLine="120"/>
              <w:jc w:val="left"/>
              <w:widowControl/>
              <w:rPr>
                <w:rFonts w:ascii="宋体" w:hAnsi="宋体" w:cs="宋体"/>
                <w:color w:val="000000"/>
                <w:sz w:val="24"/>
                <w:szCs w:val="24"/>
                <w:lang w:bidi="ar"/>
              </w:rPr>
            </w:pPr>
            <w:r>
              <w:rPr>
                <w:rFonts w:hint="eastAsia" w:ascii="宋体" w:hAnsi="宋体" w:cs="宋体"/>
                <w:color w:val="000000"/>
                <w:sz w:val="24"/>
                <w:szCs w:val="24"/>
              </w:rPr>
              <w:t xml:space="preserve">【评分依据：响应供应商完整演示得3分，每缺少1项功能扣1分，扣完为止。】</w:t>
            </w:r>
            <w:r>
              <w:rPr>
                <w:rFonts w:ascii="宋体" w:hAnsi="宋体" w:cs="宋体"/>
                <w:color w:val="000000"/>
                <w:sz w:val="24"/>
                <w:szCs w:val="24"/>
                <w:lang w:bidi="ar"/>
              </w:rPr>
            </w:r>
            <w:r/>
          </w:p>
        </w:tc>
      </w:tr>
      <w:tr>
        <w:trPr>
          <w:trHeight w:val="318"/>
        </w:trPr>
        <w:tc>
          <w:tcPr>
            <w:tcW w:w="922" w:type="dxa"/>
            <w:vAlign w:val="center"/>
            <w:vMerge w:val="continue"/>
            <w:textDirection w:val="lrTb"/>
            <w:noWrap w:val="false"/>
          </w:tcPr>
          <w:p>
            <w:pPr>
              <w:pStyle w:val="920"/>
              <w:ind w:firstLine="12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307" w:type="dxa"/>
            <w:vAlign w:val="center"/>
            <w:vMerge w:val="continue"/>
            <w:textDirection w:val="lrTb"/>
            <w:noWrap w:val="false"/>
          </w:tcPr>
          <w:p>
            <w:pPr>
              <w:pStyle w:val="920"/>
              <w:ind w:firstLine="12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6946" w:type="dxa"/>
            <w:vAlign w:val="center"/>
            <w:textDirection w:val="lrTb"/>
            <w:noWrap w:val="false"/>
          </w:tcPr>
          <w:p>
            <w:pPr>
              <w:pStyle w:val="920"/>
              <w:numPr>
                <w:ilvl w:val="0"/>
                <w:numId w:val="14"/>
              </w:numPr>
              <w:jc w:val="left"/>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计量专业项目考核功能演示，演示内容包括</w:t>
            </w:r>
            <w:r>
              <w:rPr>
                <w:rFonts w:hint="eastAsia" w:ascii="宋体" w:hAnsi="宋体" w:cs="宋体"/>
                <w:color w:val="000000"/>
                <w:sz w:val="28"/>
                <w:szCs w:val="28"/>
                <w:lang w:bidi="ar"/>
              </w:rPr>
            </w:r>
            <w:r/>
          </w:p>
          <w:p>
            <w:pPr>
              <w:pStyle w:val="920"/>
              <w:numPr>
                <w:ilvl w:val="0"/>
                <w:numId w:val="17"/>
              </w:num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发起考核申报：点击申请发起考核申报填写，主表单自动带入人员及资质信息，按计量专业项目/检测抽样项目两个考核类别分类填报,专业类别自动根据考核类别联动选择展示。（1分）</w:t>
            </w:r>
            <w:r>
              <w:rPr>
                <w:rFonts w:hint="eastAsia" w:ascii="宋体" w:hAnsi="宋体" w:cs="宋体"/>
                <w:color w:val="000000"/>
                <w:sz w:val="24"/>
                <w:szCs w:val="24"/>
                <w:lang w:bidi="ar"/>
              </w:rPr>
            </w:r>
            <w:r/>
          </w:p>
          <w:p>
            <w:pPr>
              <w:pStyle w:val="920"/>
              <w:numPr>
                <w:ilvl w:val="0"/>
                <w:numId w:val="17"/>
              </w:num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申报多级审核流程：申报提交后依次流转至部门负责人、职能部门、职能部门负责人进行多级审核，职能部门办理节点填写合格证编号、考核结果、专业理论分数，申报提交后支持打印考核申请表。（1分）</w:t>
            </w:r>
            <w:r>
              <w:rPr>
                <w:rFonts w:hint="eastAsia" w:ascii="宋体" w:hAnsi="宋体" w:cs="宋体"/>
                <w:color w:val="000000"/>
                <w:sz w:val="24"/>
                <w:szCs w:val="24"/>
                <w:lang w:bidi="ar"/>
              </w:rPr>
            </w:r>
            <w:r/>
          </w:p>
          <w:p>
            <w:pPr>
              <w:pStyle w:val="920"/>
              <w:ind w:firstLine="120"/>
              <w:jc w:val="left"/>
              <w:widowControl/>
              <w:rPr>
                <w:rFonts w:hint="eastAsia" w:ascii="宋体" w:hAnsi="宋体" w:cs="宋体"/>
                <w:color w:val="000000"/>
                <w:sz w:val="24"/>
                <w:szCs w:val="24"/>
                <w:lang w:bidi="ar"/>
              </w:rPr>
            </w:pPr>
            <w:r>
              <w:rPr>
                <w:rFonts w:hint="eastAsia" w:ascii="宋体" w:hAnsi="宋体" w:cs="宋体"/>
                <w:color w:val="000000"/>
                <w:sz w:val="24"/>
                <w:szCs w:val="24"/>
              </w:rPr>
              <w:t xml:space="preserve">【评分依据：响应供应商完整演示得2分，每缺少1项功能扣1分，扣完为止。】</w:t>
            </w:r>
            <w:r>
              <w:rPr>
                <w:rFonts w:hint="eastAsia" w:ascii="宋体" w:hAnsi="宋体" w:cs="宋体"/>
                <w:color w:val="000000"/>
                <w:sz w:val="24"/>
                <w:szCs w:val="24"/>
                <w:lang w:bidi="ar"/>
              </w:rPr>
            </w:r>
            <w:r/>
          </w:p>
        </w:tc>
      </w:tr>
    </w:tbl>
    <w:p>
      <w:pPr>
        <w:pStyle w:val="920"/>
        <w:spacing w:line="400" w:lineRule="exact"/>
        <w:rPr>
          <w:rFonts w:hint="eastAsia"/>
          <w:szCs w:val="21"/>
        </w:rPr>
      </w:pPr>
      <w:r>
        <w:rPr>
          <w:rFonts w:hint="eastAsia" w:ascii="方正仿宋_GBK" w:hAnsi="方正仿宋_GBK" w:eastAsia="方正仿宋_GBK" w:cs="方正仿宋_GBK"/>
          <w:b/>
          <w:color w:val="000000"/>
          <w:sz w:val="32"/>
          <w:szCs w:val="32"/>
        </w:rPr>
        <w:t xml:space="preserve">       </w:t>
      </w:r>
      <w:r>
        <w:rPr>
          <w:rFonts w:hint="eastAsia"/>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rPr>
          <w:szCs w:val="21"/>
        </w:rPr>
      </w:pPr>
      <w:r>
        <w:rPr>
          <w:szCs w:val="21"/>
        </w:rPr>
      </w:r>
      <w:r/>
    </w:p>
    <w:p>
      <w:pPr>
        <w:pStyle w:val="920"/>
        <w:jc w:val="center"/>
        <w:keepNext/>
        <w:spacing w:line="400" w:lineRule="exact"/>
        <w:rPr>
          <w:rFonts w:hint="eastAsia" w:ascii="黑体" w:eastAsia="黑体"/>
          <w:bCs/>
          <w:sz w:val="28"/>
          <w:szCs w:val="28"/>
        </w:rPr>
        <w:outlineLvl w:val="0"/>
      </w:pPr>
      <w:r/>
      <w:bookmarkEnd w:id="176"/>
      <w:r/>
      <w:bookmarkEnd w:id="177"/>
      <w:r/>
      <w:bookmarkEnd w:id="178"/>
      <w:r/>
      <w:bookmarkStart w:id="179" w:name="_Toc120614282"/>
      <w:r/>
      <w:bookmarkStart w:id="180" w:name="_Toc49090576"/>
      <w:r/>
      <w:bookmarkStart w:id="181" w:name="_Toc26554094"/>
      <w:r>
        <w:rPr>
          <w:rFonts w:hint="eastAsia" w:ascii="黑体" w:eastAsia="黑体"/>
          <w:bCs/>
          <w:sz w:val="28"/>
          <w:szCs w:val="28"/>
        </w:rPr>
        <w:t xml:space="preserve">第六章  响应文件格式 </w:t>
      </w:r>
      <w:r>
        <w:rPr>
          <w:rFonts w:hint="eastAsia" w:ascii="黑体" w:eastAsia="黑体"/>
          <w:bCs/>
          <w:sz w:val="28"/>
          <w:szCs w:val="28"/>
        </w:rPr>
      </w:r>
      <w:r/>
    </w:p>
    <w:p>
      <w:pPr>
        <w:pStyle w:val="920"/>
        <w:jc w:val="center"/>
        <w:rPr>
          <w:rFonts w:hint="eastAsia" w:ascii="宋体" w:hAnsi="宋体"/>
          <w:b/>
          <w:sz w:val="72"/>
          <w:szCs w:val="21"/>
        </w:rPr>
      </w:pPr>
      <w:r/>
      <w:bookmarkStart w:id="182" w:name="_Hlt26955039"/>
      <w:r/>
      <w:bookmarkEnd w:id="182"/>
      <w:r/>
      <w:bookmarkStart w:id="183" w:name="_Hlt26671244"/>
      <w:r/>
      <w:bookmarkEnd w:id="183"/>
      <w:r>
        <w:rPr>
          <w:rFonts w:hint="eastAsia" w:ascii="宋体" w:hAnsi="宋体"/>
          <w:b/>
          <w:sz w:val="72"/>
          <w:szCs w:val="21"/>
        </w:rPr>
      </w:r>
      <w:r/>
    </w:p>
    <w:p>
      <w:pPr>
        <w:pStyle w:val="920"/>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920"/>
        <w:jc w:val="center"/>
        <w:rPr>
          <w:rFonts w:hint="eastAsia" w:ascii="宋体" w:hAnsi="宋体"/>
          <w:b/>
          <w:sz w:val="72"/>
          <w:szCs w:val="21"/>
        </w:rPr>
      </w:pPr>
      <w:r>
        <w:rPr>
          <w:rFonts w:hint="eastAsia" w:ascii="宋体" w:hAnsi="宋体"/>
          <w:b/>
          <w:sz w:val="72"/>
          <w:szCs w:val="21"/>
        </w:rPr>
      </w:r>
      <w:r/>
    </w:p>
    <w:p>
      <w:pPr>
        <w:pStyle w:val="920"/>
        <w:jc w:val="center"/>
        <w:rPr>
          <w:rFonts w:hint="eastAsia" w:ascii="宋体" w:hAnsi="宋体"/>
          <w:b/>
          <w:sz w:val="72"/>
          <w:szCs w:val="21"/>
        </w:rPr>
      </w:pPr>
      <w:r>
        <w:rPr>
          <w:rFonts w:hint="eastAsia" w:ascii="宋体" w:hAnsi="宋体"/>
          <w:b/>
          <w:sz w:val="72"/>
          <w:szCs w:val="21"/>
        </w:rPr>
      </w:r>
      <w:r/>
    </w:p>
    <w:p>
      <w:pPr>
        <w:pStyle w:val="920"/>
        <w:jc w:val="center"/>
        <w:rPr>
          <w:rFonts w:hint="eastAsia" w:ascii="宋体" w:hAnsi="宋体"/>
          <w:b/>
          <w:sz w:val="36"/>
          <w:szCs w:val="21"/>
        </w:rPr>
      </w:pPr>
      <w:r>
        <w:rPr>
          <w:rFonts w:hint="eastAsia" w:ascii="宋体" w:hAnsi="宋体"/>
          <w:b/>
          <w:sz w:val="36"/>
          <w:szCs w:val="21"/>
        </w:rPr>
      </w:r>
      <w:r/>
    </w:p>
    <w:p>
      <w:pPr>
        <w:pStyle w:val="920"/>
        <w:jc w:val="center"/>
        <w:rPr>
          <w:rFonts w:hint="eastAsia" w:ascii="宋体" w:hAnsi="宋体"/>
          <w:b/>
          <w:sz w:val="36"/>
          <w:szCs w:val="21"/>
        </w:rPr>
      </w:pPr>
      <w:r>
        <w:rPr>
          <w:rFonts w:hint="eastAsia" w:ascii="宋体" w:hAnsi="宋体"/>
          <w:b/>
          <w:sz w:val="36"/>
          <w:szCs w:val="21"/>
        </w:rPr>
      </w:r>
      <w:r/>
    </w:p>
    <w:p>
      <w:pPr>
        <w:pStyle w:val="920"/>
        <w:jc w:val="center"/>
        <w:rPr>
          <w:rFonts w:hint="eastAsia" w:ascii="宋体" w:hAnsi="宋体"/>
          <w:b/>
          <w:sz w:val="36"/>
          <w:szCs w:val="21"/>
        </w:rPr>
      </w:pPr>
      <w:r>
        <w:rPr>
          <w:rFonts w:hint="eastAsia" w:ascii="宋体" w:hAnsi="宋体"/>
          <w:b/>
          <w:sz w:val="36"/>
          <w:szCs w:val="21"/>
        </w:rPr>
      </w:r>
      <w:r/>
    </w:p>
    <w:p>
      <w:pPr>
        <w:pStyle w:val="920"/>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20"/>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2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92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20"/>
        <w:jc w:val="center"/>
        <w:spacing w:line="440" w:lineRule="exact"/>
        <w:rPr>
          <w:rFonts w:hint="eastAsia" w:ascii="宋体" w:hAnsi="宋体"/>
          <w:b/>
          <w:bCs/>
          <w:sz w:val="32"/>
          <w:szCs w:val="32"/>
        </w:rPr>
      </w:pPr>
      <w:r>
        <w:rPr>
          <w:rFonts w:hint="eastAsia" w:ascii="宋体" w:hAnsi="宋体"/>
          <w:b/>
          <w:bCs/>
          <w:sz w:val="32"/>
          <w:szCs w:val="32"/>
        </w:rPr>
      </w:r>
      <w:r/>
    </w:p>
    <w:p>
      <w:pPr>
        <w:pStyle w:val="920"/>
        <w:spacing w:line="440" w:lineRule="exact"/>
        <w:rPr>
          <w:rFonts w:ascii="宋体" w:hAnsi="宋体"/>
          <w:szCs w:val="21"/>
        </w:rPr>
      </w:pPr>
      <w:r>
        <w:rPr>
          <w:rFonts w:ascii="宋体" w:hAnsi="宋体"/>
          <w:szCs w:val="21"/>
        </w:rPr>
      </w:r>
      <w:r/>
    </w:p>
    <w:p>
      <w:pPr>
        <w:pStyle w:val="920"/>
        <w:spacing w:line="440" w:lineRule="exact"/>
        <w:rPr>
          <w:rFonts w:ascii="宋体" w:hAnsi="宋体"/>
          <w:szCs w:val="21"/>
        </w:rPr>
      </w:pPr>
      <w:r>
        <w:rPr>
          <w:rFonts w:ascii="宋体" w:hAnsi="宋体"/>
          <w:szCs w:val="21"/>
        </w:rPr>
      </w:r>
      <w:r/>
    </w:p>
    <w:p>
      <w:pPr>
        <w:pStyle w:val="920"/>
        <w:spacing w:line="440" w:lineRule="exact"/>
        <w:rPr>
          <w:rFonts w:ascii="宋体" w:hAnsi="宋体"/>
          <w:szCs w:val="21"/>
        </w:rPr>
      </w:pPr>
      <w:r>
        <w:rPr>
          <w:rFonts w:ascii="宋体" w:hAnsi="宋体"/>
          <w:szCs w:val="21"/>
        </w:rPr>
      </w:r>
      <w:r/>
    </w:p>
    <w:p>
      <w:pPr>
        <w:pStyle w:val="920"/>
        <w:spacing w:line="440" w:lineRule="exact"/>
        <w:rPr>
          <w:rFonts w:ascii="宋体" w:hAnsi="宋体"/>
          <w:szCs w:val="21"/>
        </w:rPr>
      </w:pPr>
      <w:r>
        <w:rPr>
          <w:rFonts w:ascii="宋体" w:hAnsi="宋体"/>
          <w:szCs w:val="21"/>
        </w:rPr>
      </w:r>
      <w:r/>
    </w:p>
    <w:p>
      <w:pPr>
        <w:pStyle w:val="920"/>
        <w:spacing w:line="440" w:lineRule="exact"/>
        <w:rPr>
          <w:rFonts w:ascii="宋体" w:hAnsi="宋体"/>
          <w:szCs w:val="21"/>
        </w:rPr>
      </w:pPr>
      <w:r>
        <w:rPr>
          <w:rFonts w:ascii="宋体" w:hAnsi="宋体"/>
          <w:szCs w:val="21"/>
        </w:rPr>
      </w:r>
      <w:r/>
    </w:p>
    <w:p>
      <w:pPr>
        <w:pStyle w:val="920"/>
        <w:spacing w:line="440" w:lineRule="exact"/>
        <w:rPr>
          <w:rFonts w:ascii="宋体" w:hAnsi="宋体"/>
          <w:szCs w:val="21"/>
        </w:rPr>
      </w:pPr>
      <w:r>
        <w:rPr>
          <w:rFonts w:ascii="宋体" w:hAnsi="宋体"/>
          <w:szCs w:val="21"/>
        </w:rPr>
      </w:r>
      <w:r/>
    </w:p>
    <w:p>
      <w:pPr>
        <w:pStyle w:val="920"/>
        <w:spacing w:line="440" w:lineRule="exact"/>
        <w:rPr>
          <w:rFonts w:ascii="宋体" w:hAnsi="宋体"/>
          <w:szCs w:val="21"/>
        </w:rPr>
      </w:pPr>
      <w:r>
        <w:rPr>
          <w:rFonts w:ascii="宋体" w:hAnsi="宋体"/>
          <w:szCs w:val="21"/>
        </w:rPr>
      </w:r>
      <w:r/>
    </w:p>
    <w:p>
      <w:pPr>
        <w:pStyle w:val="920"/>
        <w:spacing w:line="440" w:lineRule="exact"/>
        <w:rPr>
          <w:rFonts w:ascii="宋体" w:hAnsi="宋体"/>
          <w:szCs w:val="21"/>
        </w:rPr>
      </w:pPr>
      <w:r>
        <w:rPr>
          <w:rFonts w:ascii="宋体" w:hAnsi="宋体"/>
          <w:szCs w:val="21"/>
        </w:rPr>
      </w:r>
      <w:r/>
    </w:p>
    <w:p>
      <w:pPr>
        <w:pStyle w:val="920"/>
        <w:spacing w:line="440" w:lineRule="exact"/>
        <w:rPr>
          <w:rFonts w:hint="eastAsia" w:ascii="宋体" w:hAnsi="宋体"/>
          <w:szCs w:val="21"/>
        </w:rPr>
      </w:pPr>
      <w:r>
        <w:rPr>
          <w:rFonts w:hint="eastAsia" w:ascii="宋体" w:hAnsi="宋体"/>
          <w:szCs w:val="21"/>
        </w:rPr>
      </w:r>
      <w:r/>
    </w:p>
    <w:p>
      <w:pPr>
        <w:pStyle w:val="920"/>
        <w:ind w:firstLine="964"/>
        <w:rPr>
          <w:rFonts w:ascii="宋体" w:hAnsi="宋体"/>
          <w:b/>
          <w:bCs/>
          <w:sz w:val="32"/>
          <w:szCs w:val="32"/>
        </w:rPr>
      </w:pPr>
      <w:r>
        <w:rPr>
          <w:rFonts w:ascii="宋体" w:hAnsi="宋体"/>
          <w:b/>
          <w:bCs/>
          <w:sz w:val="32"/>
          <w:szCs w:val="32"/>
        </w:rPr>
      </w:r>
      <w:r/>
    </w:p>
    <w:p>
      <w:pPr>
        <w:pStyle w:val="920"/>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920"/>
        <w:jc w:val="center"/>
        <w:spacing w:line="400" w:lineRule="exact"/>
        <w:rPr>
          <w:rFonts w:hint="eastAsia" w:ascii="宋体" w:hAnsi="宋体"/>
          <w:b/>
          <w:bCs/>
          <w:sz w:val="28"/>
          <w:szCs w:val="28"/>
        </w:rPr>
      </w:pPr>
      <w:r>
        <w:rPr>
          <w:rFonts w:hint="eastAsia" w:ascii="宋体" w:hAnsi="宋体"/>
          <w:b/>
          <w:bCs/>
          <w:sz w:val="28"/>
          <w:szCs w:val="28"/>
        </w:rPr>
      </w:r>
      <w:r/>
    </w:p>
    <w:p>
      <w:pPr>
        <w:pStyle w:val="920"/>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shd w:val="clear" w:color="auto" w:fill="ffffff"/>
        </w:rPr>
        <w:t xml:space="preserve">提供服务的人员均为订立劳动合同的从业人员的书面声明（</w:t>
      </w:r>
      <w:r>
        <w:rPr>
          <w:rFonts w:hint="eastAsia" w:ascii="方正仿宋_GBK" w:hAnsi="方正仿宋_GBK" w:eastAsia="方正仿宋_GBK" w:cs="方正仿宋_GBK"/>
          <w:sz w:val="28"/>
          <w:szCs w:val="28"/>
        </w:rPr>
        <w:t xml:space="preserve">附件13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总备注：上述“资格审查内容”中1-5条、8、9条供应商必须在响应文件中提供相关材料，否则作无效响应处理；6条如磋商文件要求必须提供相关材料而未提供的，作无效响应处理。</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3.关于符合本国产品标准的声明函（格式见附件12）</w:t>
      </w:r>
      <w:r>
        <w:rPr>
          <w:rFonts w:hint="eastAsia" w:ascii="方正仿宋_GBK" w:hAnsi="方正仿宋_GBK" w:eastAsia="方正仿宋_GBK" w:cs="方正仿宋_GBK"/>
          <w:sz w:val="32"/>
          <w:szCs w:val="32"/>
        </w:rPr>
      </w:r>
      <w:r/>
    </w:p>
    <w:p>
      <w:pPr>
        <w:pStyle w:val="920"/>
        <w:ind w:left="480"/>
        <w:rPr>
          <w:rFonts w:ascii="宋体" w:hAnsi="宋体"/>
          <w:b/>
          <w:sz w:val="24"/>
          <w:szCs w:val="21"/>
        </w:rPr>
      </w:pPr>
      <w:r>
        <w:rPr>
          <w:rFonts w:ascii="宋体" w:hAnsi="宋体"/>
          <w:b/>
          <w:sz w:val="24"/>
          <w:szCs w:val="21"/>
        </w:rPr>
      </w:r>
      <w:r/>
    </w:p>
    <w:p>
      <w:pPr>
        <w:pStyle w:val="920"/>
        <w:ind w:left="480"/>
        <w:rPr>
          <w:rFonts w:ascii="宋体" w:hAnsi="宋体"/>
          <w:b/>
          <w:sz w:val="24"/>
          <w:szCs w:val="21"/>
        </w:rPr>
      </w:pPr>
      <w:r>
        <w:rPr>
          <w:rFonts w:ascii="宋体" w:hAnsi="宋体"/>
          <w:b/>
          <w:sz w:val="24"/>
          <w:szCs w:val="21"/>
        </w:rPr>
      </w:r>
      <w:r/>
    </w:p>
    <w:p>
      <w:pPr>
        <w:pStyle w:val="92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2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861" w:type="dxa"/>
            <w:vAlign w:val="top"/>
            <w:textDirection w:val="lrTb"/>
            <w:noWrap w:val="false"/>
          </w:tcPr>
          <w:p>
            <w:pPr>
              <w:pStyle w:val="982"/>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20"/>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8"/>
          <w:szCs w:val="28"/>
        </w:rPr>
      </w:r>
      <w:r/>
    </w:p>
    <w:p>
      <w:pPr>
        <w:pStyle w:val="920"/>
        <w:ind w:firstLine="560"/>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b/>
          <w:bCs/>
          <w:sz w:val="28"/>
          <w:szCs w:val="28"/>
        </w:rPr>
        <w:t xml:space="preserve">分项服务不需填写品牌、规格型号、制造商、产地。</w:t>
      </w:r>
      <w:r>
        <w:rPr>
          <w:rFonts w:ascii="方正仿宋_GBK" w:hAnsi="方正仿宋_GBK" w:eastAsia="方正仿宋_GBK" w:cs="方正仿宋_GBK"/>
          <w:b/>
          <w:bCs/>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20"/>
        <w:spacing w:line="400" w:lineRule="exact"/>
        <w:rPr>
          <w:rFonts w:hint="eastAsia" w:ascii="宋体" w:hAnsi="宋体"/>
          <w:b/>
          <w:sz w:val="28"/>
          <w:szCs w:val="28"/>
        </w:rPr>
      </w:pPr>
      <w:r>
        <w:rPr>
          <w:rFonts w:hint="eastAsia" w:ascii="宋体" w:hAnsi="宋体"/>
          <w:b/>
          <w:sz w:val="28"/>
          <w:szCs w:val="28"/>
        </w:rPr>
      </w:r>
      <w:r/>
    </w:p>
    <w:p>
      <w:pPr>
        <w:pStyle w:val="92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20"/>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0"/>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20"/>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920"/>
        <w:spacing w:line="400" w:lineRule="exact"/>
        <w:rPr>
          <w:rFonts w:hint="eastAsia" w:ascii="宋体" w:hAnsi="宋体"/>
          <w:b/>
          <w:color w:val="000000"/>
          <w:sz w:val="28"/>
          <w:szCs w:val="28"/>
        </w:rPr>
      </w:pPr>
      <w:r>
        <w:rPr>
          <w:rFonts w:hint="eastAsia" w:ascii="宋体" w:hAnsi="宋体"/>
          <w:b/>
          <w:color w:val="000000"/>
          <w:sz w:val="28"/>
          <w:szCs w:val="28"/>
        </w:rPr>
      </w:r>
      <w:r/>
    </w:p>
    <w:p>
      <w:pPr>
        <w:pStyle w:val="92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hint="eastAsia" w:ascii="方正黑体_GBK" w:hAnsi="方正黑体_GBK" w:eastAsia="方正黑体_GBK" w:cs="方正黑体_GBK"/>
          <w:bCs/>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92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20"/>
        <w:ind w:firstLine="492"/>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20"/>
        <w:spacing w:line="400" w:lineRule="exact"/>
        <w:rPr>
          <w:rFonts w:hint="eastAsia" w:ascii="宋体" w:hAnsi="宋体"/>
          <w:b/>
          <w:color w:val="000000"/>
          <w:sz w:val="28"/>
          <w:szCs w:val="28"/>
        </w:rPr>
      </w:pPr>
      <w:r/>
      <w:bookmarkEnd w:id="179"/>
      <w:r/>
      <w:bookmarkEnd w:id="180"/>
      <w:r/>
      <w:bookmarkEnd w:id="181"/>
      <w:r/>
      <w:bookmarkStart w:id="184" w:name="_Toc120614284"/>
      <w:r>
        <w:rPr>
          <w:rFonts w:hint="eastAsia" w:ascii="宋体" w:hAnsi="宋体"/>
          <w:b/>
          <w:color w:val="000000"/>
          <w:sz w:val="28"/>
          <w:szCs w:val="28"/>
        </w:rPr>
      </w:r>
      <w:r/>
    </w:p>
    <w:p>
      <w:pPr>
        <w:pStyle w:val="920"/>
        <w:spacing w:line="400" w:lineRule="exact"/>
        <w:rPr>
          <w:rFonts w:hint="eastAsia" w:ascii="宋体" w:hAnsi="宋体"/>
          <w:b/>
          <w:color w:val="000000"/>
          <w:sz w:val="28"/>
          <w:szCs w:val="28"/>
        </w:rPr>
      </w:pPr>
      <w:r>
        <w:rPr>
          <w:rFonts w:hint="eastAsia" w:ascii="宋体" w:hAnsi="宋体"/>
          <w:b/>
          <w:color w:val="000000"/>
          <w:sz w:val="28"/>
          <w:szCs w:val="28"/>
        </w:rPr>
      </w:r>
      <w:r/>
    </w:p>
    <w:p>
      <w:pPr>
        <w:pStyle w:val="92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rPr>
          <w:rFonts w:hint="eastAsia" w:ascii="方正黑体_GBK" w:hAnsi="方正黑体_GBK" w:eastAsia="方正黑体_GBK" w:cs="方正黑体_GBK"/>
          <w:bCs/>
          <w:sz w:val="28"/>
          <w:szCs w:val="28"/>
        </w:rPr>
      </w:r>
      <w:r/>
    </w:p>
    <w:p>
      <w:pPr>
        <w:pStyle w:val="920"/>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20"/>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20"/>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920"/>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20"/>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0"/>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920"/>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920"/>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85" w:name="_格式3__银行出具的资信证明"/>
      <w:r/>
      <w:bookmarkEnd w:id="185"/>
      <w:r/>
      <w:bookmarkStart w:id="186" w:name="_Hlt26955070"/>
      <w:r/>
      <w:bookmarkEnd w:id="186"/>
      <w:r/>
      <w:bookmarkStart w:id="187" w:name="_Hlt26671380"/>
      <w:r/>
      <w:bookmarkEnd w:id="187"/>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20"/>
        <w:ind w:firstLine="420"/>
        <w:spacing w:line="400" w:lineRule="exact"/>
        <w:rPr>
          <w:color w:val="000000"/>
          <w:sz w:val="28"/>
          <w:szCs w:val="28"/>
          <w:highlight w:val="yellow"/>
        </w:rPr>
      </w:pPr>
      <w:r>
        <w:rPr>
          <w:color w:val="000000"/>
          <w:sz w:val="28"/>
          <w:szCs w:val="28"/>
          <w:highlight w:val="yellow"/>
        </w:rPr>
      </w:r>
      <w:r/>
    </w:p>
    <w:p>
      <w:pPr>
        <w:pStyle w:val="92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rPr>
          <w:rFonts w:hint="eastAsia" w:ascii="方正黑体_GBK" w:hAnsi="方正黑体_GBK" w:eastAsia="方正黑体_GBK" w:cs="方正黑体_GBK"/>
          <w:bCs/>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92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920"/>
        <w:ind w:left="420" w:firstLine="560"/>
        <w:jc w:val="left"/>
        <w:spacing w:line="400" w:lineRule="exact"/>
        <w:rPr>
          <w:rFonts w:hint="eastAsia" w:ascii="宋体" w:hAnsi="宋体"/>
          <w:sz w:val="28"/>
          <w:szCs w:val="28"/>
        </w:rPr>
      </w:pPr>
      <w:r>
        <w:rPr>
          <w:rFonts w:hint="eastAsia" w:ascii="宋体" w:hAnsi="宋体"/>
          <w:sz w:val="28"/>
          <w:szCs w:val="28"/>
        </w:rPr>
      </w:r>
      <w:r/>
    </w:p>
    <w:p>
      <w:pPr>
        <w:pStyle w:val="920"/>
        <w:ind w:firstLine="584"/>
        <w:spacing w:line="400" w:lineRule="exact"/>
        <w:rPr>
          <w:rFonts w:ascii="仿宋_GB2312" w:eastAsia="仿宋_GB2312"/>
          <w:color w:val="000000"/>
          <w:spacing w:val="6"/>
          <w:sz w:val="28"/>
          <w:szCs w:val="28"/>
        </w:rPr>
      </w:pPr>
      <w:r>
        <w:rPr>
          <w:rFonts w:ascii="仿宋_GB2312" w:eastAsia="仿宋_GB2312"/>
          <w:color w:val="000000"/>
          <w:spacing w:val="6"/>
          <w:sz w:val="28"/>
          <w:szCs w:val="28"/>
        </w:rPr>
      </w:r>
      <w:r/>
    </w:p>
    <w:p>
      <w:pPr>
        <w:pStyle w:val="920"/>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20"/>
        <w:jc w:val="righ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20"/>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920"/>
        <w:spacing w:line="400" w:lineRule="exact"/>
        <w:rPr>
          <w:rFonts w:hint="eastAsia" w:ascii="方正黑体_GBK" w:hAnsi="方正黑体_GBK" w:eastAsia="方正黑体_GBK" w:cs="方正黑体_GBK"/>
          <w:bCs/>
          <w:sz w:val="28"/>
          <w:szCs w:val="28"/>
        </w:rPr>
      </w:pPr>
      <w:r>
        <w:rPr>
          <w:rFonts w:hint="eastAsia" w:ascii="宋体" w:hAnsi="宋体"/>
          <w:sz w:val="28"/>
          <w:szCs w:val="28"/>
        </w:rPr>
        <w:t xml:space="preserve"> </w:t>
      </w:r>
      <w:r>
        <w:rPr>
          <w:rFonts w:hint="eastAsia" w:ascii="方正黑体_GBK" w:hAnsi="方正黑体_GBK" w:eastAsia="方正黑体_GBK" w:cs="方正黑体_GBK"/>
          <w:bCs/>
          <w:sz w:val="28"/>
          <w:szCs w:val="28"/>
        </w:rPr>
        <w:t xml:space="preserve">附件8 中小微企业声明函（服务类项目）（采购包号：XX）</w:t>
      </w:r>
      <w:r>
        <w:rPr>
          <w:rFonts w:hint="eastAsia" w:ascii="方正黑体_GBK" w:hAnsi="方正黑体_GBK" w:eastAsia="方正黑体_GBK" w:cs="方正黑体_GBK"/>
          <w:bCs/>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20"/>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20"/>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920"/>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20"/>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92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20"/>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20"/>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hint="eastAsia" w:ascii="方正仿宋_GBK" w:hAnsi="方正仿宋_GBK" w:eastAsia="方正仿宋_GBK" w:cs="方正仿宋_GBK"/>
          <w:sz w:val="28"/>
          <w:szCs w:val="28"/>
        </w:rPr>
      </w:r>
      <w:r/>
    </w:p>
    <w:p>
      <w:pPr>
        <w:pStyle w:val="920"/>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920"/>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92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20"/>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20"/>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920"/>
        <w:ind w:firstLine="645"/>
        <w:spacing w:line="400" w:lineRule="exact"/>
        <w:rPr>
          <w:rFonts w:ascii="宋体" w:hAnsi="宋体"/>
          <w:sz w:val="28"/>
          <w:szCs w:val="28"/>
        </w:rPr>
      </w:pPr>
      <w:r>
        <w:rPr>
          <w:rFonts w:ascii="宋体" w:hAnsi="宋体"/>
          <w:sz w:val="28"/>
          <w:szCs w:val="28"/>
        </w:rPr>
      </w:r>
      <w:r/>
    </w:p>
    <w:p>
      <w:pPr>
        <w:pStyle w:val="92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附件11实质性要求响应及偏离表（采购包号：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2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920"/>
        <w:spacing w:line="400" w:lineRule="exact"/>
        <w:rPr>
          <w:rFonts w:ascii="宋体" w:hAnsi="宋体"/>
          <w:sz w:val="28"/>
          <w:szCs w:val="28"/>
        </w:rPr>
      </w:pPr>
      <w:r>
        <w:rPr>
          <w:rFonts w:ascii="宋体" w:hAnsi="宋体"/>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hint="eastAsia" w:ascii="方正仿宋_GBK" w:hAnsi="方正仿宋_GBK" w:eastAsia="方正仿宋_GBK" w:cs="方正仿宋_GBK"/>
          <w:sz w:val="28"/>
          <w:szCs w:val="28"/>
        </w:rPr>
      </w:r>
      <w:r/>
    </w:p>
    <w:p>
      <w:pPr>
        <w:pStyle w:val="92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28"/>
          <w:szCs w:val="28"/>
        </w:rPr>
      </w:r>
      <w:r/>
    </w:p>
    <w:p>
      <w:pPr>
        <w:pStyle w:val="920"/>
        <w:spacing w:line="400" w:lineRule="exact"/>
        <w:rPr>
          <w:rFonts w:hint="eastAsia" w:ascii="宋体" w:hAnsi="宋体"/>
          <w:bCs/>
          <w:sz w:val="28"/>
          <w:szCs w:val="28"/>
        </w:rPr>
      </w:pPr>
      <w:r>
        <w:rPr>
          <w:rFonts w:hint="eastAsia" w:ascii="宋体" w:hAnsi="宋体"/>
          <w:bCs/>
          <w:sz w:val="28"/>
          <w:szCs w:val="28"/>
        </w:rPr>
      </w:r>
      <w:r/>
    </w:p>
    <w:p>
      <w:pPr>
        <w:pStyle w:val="920"/>
        <w:jc w:val="center"/>
        <w:spacing w:line="400" w:lineRule="exact"/>
        <w:rPr>
          <w:rFonts w:hint="eastAsia" w:ascii="方正仿宋_GBK" w:hAnsi="方正仿宋_GBK" w:eastAsia="方正仿宋_GBK" w:cs="方正仿宋_GBK"/>
          <w:sz w:val="28"/>
          <w:szCs w:val="28"/>
        </w:rPr>
      </w:pPr>
      <w:r/>
      <w:bookmarkEnd w:id="174"/>
      <w:r/>
      <w:bookmarkEnd w:id="175"/>
      <w:r/>
      <w:bookmarkEnd w:id="184"/>
      <w:r>
        <w:rPr>
          <w:rFonts w:hint="eastAsia" w:ascii="方正仿宋_GBK" w:hAnsi="方正仿宋_GBK" w:eastAsia="方正仿宋_GBK" w:cs="方正仿宋_GBK"/>
          <w:b/>
          <w:sz w:val="28"/>
          <w:szCs w:val="28"/>
        </w:rPr>
        <w:t xml:space="preserve">附件12  关于符合本国产品标准的声明函（采购包号：XX）</w:t>
      </w:r>
      <w:r>
        <w:rPr>
          <w:rFonts w:hint="eastAsia" w:ascii="方正仿宋_GBK" w:hAnsi="方正仿宋_GBK" w:eastAsia="方正仿宋_GBK" w:cs="方正仿宋_GBK"/>
          <w:sz w:val="28"/>
          <w:szCs w:val="28"/>
        </w:rPr>
      </w:r>
      <w:r/>
    </w:p>
    <w:p>
      <w:pPr>
        <w:pStyle w:val="982"/>
        <w:ind w:firstLine="42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982"/>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94"/>
          <w:rFonts w:hint="eastAsia" w:ascii="方正仿宋_GBK" w:hAnsi="方正仿宋_GBK" w:eastAsia="方正仿宋_GBK" w:cs="方正仿宋_GBK"/>
          <w:i w:val="0"/>
          <w:sz w:val="28"/>
          <w:szCs w:val="28"/>
          <w:u w:val="single"/>
          <w:shd w:val="clear" w:color="auto" w:fill="ffffff"/>
        </w:rPr>
        <w:t xml:space="preserve">（产品名称1）</w:t>
      </w:r>
      <w:r>
        <w:rPr>
          <w:rStyle w:val="994"/>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94"/>
          <w:rFonts w:hint="eastAsia" w:ascii="方正仿宋_GBK" w:hAnsi="方正仿宋_GBK" w:eastAsia="方正仿宋_GBK" w:cs="方正仿宋_GBK"/>
          <w:i w:val="0"/>
          <w:sz w:val="28"/>
          <w:szCs w:val="28"/>
          <w:u w:val="single"/>
          <w:shd w:val="clear" w:color="auto" w:fill="ffffff"/>
        </w:rPr>
        <w:t xml:space="preserve">（厂名）</w:t>
      </w:r>
      <w:r>
        <w:rPr>
          <w:rStyle w:val="994"/>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94"/>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9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94"/>
          <w:rFonts w:hint="eastAsia" w:ascii="方正仿宋_GBK" w:hAnsi="方正仿宋_GBK" w:eastAsia="方正仿宋_GBK" w:cs="方正仿宋_GBK"/>
          <w:i w:val="0"/>
          <w:sz w:val="28"/>
          <w:szCs w:val="28"/>
          <w:u w:val="single"/>
          <w:shd w:val="clear" w:color="auto" w:fill="ffffff"/>
        </w:rPr>
        <w:t xml:space="preserve">/  </w:t>
      </w:r>
      <w:r>
        <w:rPr>
          <w:rStyle w:val="994"/>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9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94"/>
          <w:rFonts w:hint="eastAsia" w:ascii="方正仿宋_GBK" w:hAnsi="方正仿宋_GBK" w:eastAsia="方正仿宋_GBK" w:cs="方正仿宋_GBK"/>
          <w:i w:val="0"/>
          <w:sz w:val="28"/>
          <w:szCs w:val="28"/>
          <w:u w:val="single"/>
          <w:shd w:val="clear" w:color="auto" w:fill="ffffff"/>
        </w:rPr>
        <w:t xml:space="preserve">/  </w:t>
      </w:r>
      <w:r>
        <w:rPr>
          <w:rStyle w:val="994"/>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9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94"/>
          <w:rFonts w:hint="eastAsia" w:ascii="方正仿宋_GBK" w:hAnsi="方正仿宋_GBK" w:eastAsia="方正仿宋_GBK" w:cs="方正仿宋_GBK"/>
          <w:i w:val="0"/>
          <w:sz w:val="28"/>
          <w:szCs w:val="28"/>
          <w:u w:val="single"/>
          <w:shd w:val="clear" w:color="auto" w:fill="ffffff"/>
        </w:rPr>
        <w:t xml:space="preserve">/  </w:t>
      </w:r>
      <w:r>
        <w:rPr>
          <w:rStyle w:val="994"/>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82"/>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94"/>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94"/>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94"/>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9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9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9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9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9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9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82"/>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982"/>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982"/>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82"/>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982"/>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982"/>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98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98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98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98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98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98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99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920"/>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920"/>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1034"/>
        <w:ind w:firstLine="562"/>
        <w:spacing w:before="30" w:beforeAutospacing="0" w:after="30" w:afterAutospacing="0" w:line="400" w:lineRule="exact"/>
        <w:rPr>
          <w:rFonts w:hint="eastAsia" w:ascii="方正仿宋_GBK" w:hAnsi="方正仿宋_GBK" w:eastAsia="方正仿宋_GBK" w:cs="方正仿宋_GBK"/>
          <w:b/>
          <w:sz w:val="28"/>
          <w:szCs w:val="28"/>
          <w:shd w:val="clear" w:color="auto" w:fill="ffffff"/>
        </w:rPr>
      </w:pPr>
      <w:r>
        <w:rPr>
          <w:rFonts w:hint="eastAsia" w:ascii="方正仿宋_GBK" w:hAnsi="方正仿宋_GBK" w:eastAsia="方正仿宋_GBK" w:cs="方正仿宋_GBK"/>
          <w:b/>
          <w:sz w:val="28"/>
          <w:szCs w:val="28"/>
        </w:rPr>
        <w:t xml:space="preserve">附件13  </w:t>
      </w:r>
      <w:r>
        <w:rPr>
          <w:rFonts w:hint="eastAsia" w:ascii="方正仿宋_GBK" w:hAnsi="方正仿宋_GBK" w:eastAsia="方正仿宋_GBK" w:cs="方正仿宋_GBK"/>
          <w:b/>
          <w:sz w:val="28"/>
          <w:szCs w:val="28"/>
          <w:shd w:val="clear" w:color="auto" w:fill="ffffff"/>
        </w:rPr>
        <w:t xml:space="preserve">提供服务的人员均为订立劳动合同的从业人员的书面声明（采购包号：XX）</w:t>
      </w:r>
      <w:r>
        <w:rPr>
          <w:rFonts w:hint="eastAsia" w:ascii="方正仿宋_GBK" w:hAnsi="方正仿宋_GBK" w:eastAsia="方正仿宋_GBK" w:cs="方正仿宋_GBK"/>
          <w:b/>
          <w:sz w:val="28"/>
          <w:szCs w:val="28"/>
          <w:shd w:val="clear" w:color="auto" w:fill="ffffff"/>
        </w:rPr>
      </w:r>
      <w:r/>
    </w:p>
    <w:p>
      <w:pPr>
        <w:pStyle w:val="103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本企业（本联合体，如项目采购包接受联合体参加的）参加江苏省政府采购中心组织的项目编号为JSZC-320000-SCZX-C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ascii="方正仿宋_GBK" w:hAnsi="方正仿宋_GBK" w:eastAsia="方正仿宋_GBK" w:cs="方正仿宋_GBK"/>
          <w:sz w:val="28"/>
          <w:szCs w:val="28"/>
          <w:shd w:val="clear" w:color="auto" w:fill="ffffff"/>
        </w:rPr>
      </w:r>
      <w:r/>
    </w:p>
    <w:p>
      <w:pPr>
        <w:pStyle w:val="103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本企业（联合体）对上述声明的真实性负责。如有虚假，将依法承担相应责任。</w:t>
      </w:r>
      <w:r>
        <w:rPr>
          <w:rFonts w:hint="eastAsia" w:ascii="方正仿宋_GBK" w:hAnsi="方正仿宋_GBK" w:eastAsia="方正仿宋_GBK" w:cs="方正仿宋_GBK"/>
          <w:sz w:val="28"/>
          <w:szCs w:val="28"/>
          <w:shd w:val="clear" w:color="auto" w:fill="ffffff"/>
        </w:rPr>
      </w:r>
      <w:r/>
    </w:p>
    <w:p>
      <w:pPr>
        <w:pStyle w:val="103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103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注：如是专门面向中小微型企业采购的采购项目采购包，投标人（供应商）未提供该书面声明的，投标（响应）无效。</w:t>
      </w:r>
      <w:r>
        <w:rPr>
          <w:rFonts w:hint="eastAsia" w:ascii="方正仿宋_GBK" w:hAnsi="方正仿宋_GBK" w:eastAsia="方正仿宋_GBK" w:cs="方正仿宋_GBK"/>
          <w:sz w:val="28"/>
          <w:szCs w:val="28"/>
          <w:shd w:val="clear" w:color="auto" w:fill="ffffff"/>
        </w:rPr>
      </w:r>
      <w:r/>
    </w:p>
    <w:p>
      <w:pPr>
        <w:pStyle w:val="103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1034"/>
        <w:jc w:val="center"/>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shd w:val="clear" w:color="auto" w:fill="ffffff"/>
        </w:rPr>
      </w:r>
      <w:r/>
    </w:p>
    <w:p>
      <w:pPr>
        <w:pStyle w:val="1034"/>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103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92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920"/>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2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2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2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2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2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2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2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2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2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2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2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2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2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20"/>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1</w:t>
    </w:r>
    <w:r>
      <w:fldChar w:fldCharType="end"/>
    </w:r>
    <w:r>
      <w:rPr>
        <w:rStyle w:val="992"/>
      </w:rPr>
    </w:r>
    <w:r/>
  </w:p>
  <w:p>
    <w:pPr>
      <w:pStyle w:val="96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20"/>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2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20"/>
        <w:ind w:left="0" w:firstLine="420"/>
      </w:pPr>
    </w:lvl>
    <w:lvl w:ilvl="1">
      <w:start w:val="1"/>
      <w:numFmt w:val="decimal"/>
      <w:isLgl w:val="false"/>
      <w:suff w:val="tab"/>
      <w:lvlText w:val="%2."/>
      <w:lvlJc w:val="left"/>
      <w:pPr>
        <w:pStyle w:val="920"/>
        <w:ind w:left="1440" w:hanging="360"/>
        <w:tabs>
          <w:tab w:val="num" w:pos="1440" w:leader="none"/>
        </w:tabs>
      </w:pPr>
    </w:lvl>
    <w:lvl w:ilvl="2">
      <w:start w:val="1"/>
      <w:numFmt w:val="decimal"/>
      <w:isLgl w:val="false"/>
      <w:suff w:val="tab"/>
      <w:lvlText w:val="%3."/>
      <w:lvlJc w:val="left"/>
      <w:pPr>
        <w:pStyle w:val="920"/>
        <w:ind w:left="2160" w:hanging="360"/>
        <w:tabs>
          <w:tab w:val="num" w:pos="2160" w:leader="none"/>
        </w:tabs>
      </w:pPr>
    </w:lvl>
    <w:lvl w:ilvl="3">
      <w:start w:val="1"/>
      <w:numFmt w:val="decimal"/>
      <w:isLgl w:val="false"/>
      <w:suff w:val="tab"/>
      <w:lvlText w:val="%4."/>
      <w:lvlJc w:val="left"/>
      <w:pPr>
        <w:pStyle w:val="920"/>
        <w:ind w:left="2880" w:hanging="360"/>
        <w:tabs>
          <w:tab w:val="num" w:pos="2880" w:leader="none"/>
        </w:tabs>
      </w:pPr>
    </w:lvl>
    <w:lvl w:ilvl="4">
      <w:start w:val="1"/>
      <w:numFmt w:val="decimal"/>
      <w:isLgl w:val="false"/>
      <w:suff w:val="tab"/>
      <w:lvlText w:val="%5."/>
      <w:lvlJc w:val="left"/>
      <w:pPr>
        <w:pStyle w:val="920"/>
        <w:ind w:left="3600" w:hanging="360"/>
        <w:tabs>
          <w:tab w:val="num" w:pos="3600" w:leader="none"/>
        </w:tabs>
      </w:pPr>
    </w:lvl>
    <w:lvl w:ilvl="5">
      <w:start w:val="1"/>
      <w:numFmt w:val="decimal"/>
      <w:isLgl w:val="false"/>
      <w:suff w:val="tab"/>
      <w:lvlText w:val="%6."/>
      <w:lvlJc w:val="left"/>
      <w:pPr>
        <w:pStyle w:val="920"/>
        <w:ind w:left="4320" w:hanging="360"/>
        <w:tabs>
          <w:tab w:val="num" w:pos="4320" w:leader="none"/>
        </w:tabs>
      </w:pPr>
    </w:lvl>
    <w:lvl w:ilvl="6">
      <w:start w:val="1"/>
      <w:numFmt w:val="decimal"/>
      <w:isLgl w:val="false"/>
      <w:suff w:val="tab"/>
      <w:lvlText w:val="%7."/>
      <w:lvlJc w:val="left"/>
      <w:pPr>
        <w:pStyle w:val="920"/>
        <w:ind w:left="5040" w:hanging="360"/>
        <w:tabs>
          <w:tab w:val="num" w:pos="5040" w:leader="none"/>
        </w:tabs>
      </w:pPr>
    </w:lvl>
    <w:lvl w:ilvl="7">
      <w:start w:val="1"/>
      <w:numFmt w:val="decimal"/>
      <w:isLgl w:val="false"/>
      <w:suff w:val="tab"/>
      <w:lvlText w:val="%8."/>
      <w:lvlJc w:val="left"/>
      <w:pPr>
        <w:pStyle w:val="920"/>
        <w:ind w:left="5760" w:hanging="360"/>
        <w:tabs>
          <w:tab w:val="num" w:pos="5760" w:leader="none"/>
        </w:tabs>
      </w:pPr>
    </w:lvl>
    <w:lvl w:ilvl="8">
      <w:start w:val="1"/>
      <w:numFmt w:val="decimal"/>
      <w:isLgl w:val="false"/>
      <w:suff w:val="tab"/>
      <w:lvlText w:val="%9."/>
      <w:lvlJc w:val="left"/>
      <w:pPr>
        <w:pStyle w:val="920"/>
        <w:ind w:left="6480" w:hanging="360"/>
        <w:tabs>
          <w:tab w:val="num" w:pos="6480" w:leader="none"/>
        </w:tabs>
      </w:pPr>
    </w:lvl>
  </w:abstractNum>
  <w:abstractNum w:abstractNumId="4">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20"/>
        <w:ind w:left="0" w:firstLine="0"/>
      </w:pPr>
    </w:lvl>
    <w:lvl w:ilvl="1">
      <w:start w:val="1"/>
      <w:numFmt w:val="decimal"/>
      <w:isLgl w:val="false"/>
      <w:suff w:val="tab"/>
      <w:lvlText w:val="%2."/>
      <w:lvlJc w:val="left"/>
      <w:pPr>
        <w:pStyle w:val="920"/>
        <w:ind w:left="1440" w:hanging="360"/>
        <w:tabs>
          <w:tab w:val="num" w:pos="1440" w:leader="none"/>
        </w:tabs>
      </w:pPr>
    </w:lvl>
    <w:lvl w:ilvl="2">
      <w:start w:val="1"/>
      <w:numFmt w:val="decimal"/>
      <w:isLgl w:val="false"/>
      <w:suff w:val="tab"/>
      <w:lvlText w:val="%3."/>
      <w:lvlJc w:val="left"/>
      <w:pPr>
        <w:pStyle w:val="920"/>
        <w:ind w:left="2160" w:hanging="360"/>
        <w:tabs>
          <w:tab w:val="num" w:pos="2160" w:leader="none"/>
        </w:tabs>
      </w:pPr>
    </w:lvl>
    <w:lvl w:ilvl="3">
      <w:start w:val="1"/>
      <w:numFmt w:val="decimal"/>
      <w:isLgl w:val="false"/>
      <w:suff w:val="tab"/>
      <w:lvlText w:val="%4."/>
      <w:lvlJc w:val="left"/>
      <w:pPr>
        <w:pStyle w:val="920"/>
        <w:ind w:left="2880" w:hanging="360"/>
        <w:tabs>
          <w:tab w:val="num" w:pos="2880" w:leader="none"/>
        </w:tabs>
      </w:pPr>
    </w:lvl>
    <w:lvl w:ilvl="4">
      <w:start w:val="1"/>
      <w:numFmt w:val="decimal"/>
      <w:isLgl w:val="false"/>
      <w:suff w:val="tab"/>
      <w:lvlText w:val="%5."/>
      <w:lvlJc w:val="left"/>
      <w:pPr>
        <w:pStyle w:val="920"/>
        <w:ind w:left="3600" w:hanging="360"/>
        <w:tabs>
          <w:tab w:val="num" w:pos="3600" w:leader="none"/>
        </w:tabs>
      </w:pPr>
    </w:lvl>
    <w:lvl w:ilvl="5">
      <w:start w:val="1"/>
      <w:numFmt w:val="decimal"/>
      <w:isLgl w:val="false"/>
      <w:suff w:val="tab"/>
      <w:lvlText w:val="%6."/>
      <w:lvlJc w:val="left"/>
      <w:pPr>
        <w:pStyle w:val="920"/>
        <w:ind w:left="4320" w:hanging="360"/>
        <w:tabs>
          <w:tab w:val="num" w:pos="4320" w:leader="none"/>
        </w:tabs>
      </w:pPr>
    </w:lvl>
    <w:lvl w:ilvl="6">
      <w:start w:val="1"/>
      <w:numFmt w:val="decimal"/>
      <w:isLgl w:val="false"/>
      <w:suff w:val="tab"/>
      <w:lvlText w:val="%7."/>
      <w:lvlJc w:val="left"/>
      <w:pPr>
        <w:pStyle w:val="920"/>
        <w:ind w:left="5040" w:hanging="360"/>
        <w:tabs>
          <w:tab w:val="num" w:pos="5040" w:leader="none"/>
        </w:tabs>
      </w:pPr>
    </w:lvl>
    <w:lvl w:ilvl="7">
      <w:start w:val="1"/>
      <w:numFmt w:val="decimal"/>
      <w:isLgl w:val="false"/>
      <w:suff w:val="tab"/>
      <w:lvlText w:val="%8."/>
      <w:lvlJc w:val="left"/>
      <w:pPr>
        <w:pStyle w:val="920"/>
        <w:ind w:left="5760" w:hanging="360"/>
        <w:tabs>
          <w:tab w:val="num" w:pos="5760" w:leader="none"/>
        </w:tabs>
      </w:pPr>
    </w:lvl>
    <w:lvl w:ilvl="8">
      <w:start w:val="1"/>
      <w:numFmt w:val="decimal"/>
      <w:isLgl w:val="false"/>
      <w:suff w:val="tab"/>
      <w:lvlText w:val="%9."/>
      <w:lvlJc w:val="left"/>
      <w:pPr>
        <w:pStyle w:val="920"/>
        <w:ind w:left="6480" w:hanging="360"/>
        <w:tabs>
          <w:tab w:val="num" w:pos="6480" w:leader="none"/>
        </w:tabs>
      </w:pPr>
    </w:lvl>
  </w:abstractNum>
  <w:abstractNum w:abstractNumId="7">
    <w:multiLevelType w:val="hybridMultilevel"/>
    <w:lvl w:ilvl="0">
      <w:start w:val="1"/>
      <w:numFmt w:val="decimal"/>
      <w:isLgl w:val="false"/>
      <w:suff w:val="nothing"/>
      <w:lvlText w:val="（%1）"/>
      <w:lvlJc w:val="left"/>
      <w:pPr>
        <w:pStyle w:val="920"/>
        <w:ind w:left="0" w:firstLine="0"/>
      </w:pPr>
    </w:lvl>
    <w:lvl w:ilvl="1">
      <w:start w:val="1"/>
      <w:numFmt w:val="decimal"/>
      <w:isLgl w:val="false"/>
      <w:suff w:val="tab"/>
      <w:lvlText w:val="%2."/>
      <w:lvlJc w:val="left"/>
      <w:pPr>
        <w:pStyle w:val="920"/>
        <w:ind w:left="1440" w:hanging="360"/>
        <w:tabs>
          <w:tab w:val="num" w:pos="1440" w:leader="none"/>
        </w:tabs>
      </w:pPr>
    </w:lvl>
    <w:lvl w:ilvl="2">
      <w:start w:val="1"/>
      <w:numFmt w:val="decimal"/>
      <w:isLgl w:val="false"/>
      <w:suff w:val="tab"/>
      <w:lvlText w:val="%3."/>
      <w:lvlJc w:val="left"/>
      <w:pPr>
        <w:pStyle w:val="920"/>
        <w:ind w:left="2160" w:hanging="360"/>
        <w:tabs>
          <w:tab w:val="num" w:pos="2160" w:leader="none"/>
        </w:tabs>
      </w:pPr>
    </w:lvl>
    <w:lvl w:ilvl="3">
      <w:start w:val="1"/>
      <w:numFmt w:val="decimal"/>
      <w:isLgl w:val="false"/>
      <w:suff w:val="tab"/>
      <w:lvlText w:val="%4."/>
      <w:lvlJc w:val="left"/>
      <w:pPr>
        <w:pStyle w:val="920"/>
        <w:ind w:left="2880" w:hanging="360"/>
        <w:tabs>
          <w:tab w:val="num" w:pos="2880" w:leader="none"/>
        </w:tabs>
      </w:pPr>
    </w:lvl>
    <w:lvl w:ilvl="4">
      <w:start w:val="1"/>
      <w:numFmt w:val="decimal"/>
      <w:isLgl w:val="false"/>
      <w:suff w:val="tab"/>
      <w:lvlText w:val="%5."/>
      <w:lvlJc w:val="left"/>
      <w:pPr>
        <w:pStyle w:val="920"/>
        <w:ind w:left="3600" w:hanging="360"/>
        <w:tabs>
          <w:tab w:val="num" w:pos="3600" w:leader="none"/>
        </w:tabs>
      </w:pPr>
    </w:lvl>
    <w:lvl w:ilvl="5">
      <w:start w:val="1"/>
      <w:numFmt w:val="decimal"/>
      <w:isLgl w:val="false"/>
      <w:suff w:val="tab"/>
      <w:lvlText w:val="%6."/>
      <w:lvlJc w:val="left"/>
      <w:pPr>
        <w:pStyle w:val="920"/>
        <w:ind w:left="4320" w:hanging="360"/>
        <w:tabs>
          <w:tab w:val="num" w:pos="4320" w:leader="none"/>
        </w:tabs>
      </w:pPr>
    </w:lvl>
    <w:lvl w:ilvl="6">
      <w:start w:val="1"/>
      <w:numFmt w:val="decimal"/>
      <w:isLgl w:val="false"/>
      <w:suff w:val="tab"/>
      <w:lvlText w:val="%7."/>
      <w:lvlJc w:val="left"/>
      <w:pPr>
        <w:pStyle w:val="920"/>
        <w:ind w:left="5040" w:hanging="360"/>
        <w:tabs>
          <w:tab w:val="num" w:pos="5040" w:leader="none"/>
        </w:tabs>
      </w:pPr>
    </w:lvl>
    <w:lvl w:ilvl="7">
      <w:start w:val="1"/>
      <w:numFmt w:val="decimal"/>
      <w:isLgl w:val="false"/>
      <w:suff w:val="tab"/>
      <w:lvlText w:val="%8."/>
      <w:lvlJc w:val="left"/>
      <w:pPr>
        <w:pStyle w:val="920"/>
        <w:ind w:left="5760" w:hanging="360"/>
        <w:tabs>
          <w:tab w:val="num" w:pos="5760" w:leader="none"/>
        </w:tabs>
      </w:pPr>
    </w:lvl>
    <w:lvl w:ilvl="8">
      <w:start w:val="1"/>
      <w:numFmt w:val="decimal"/>
      <w:isLgl w:val="false"/>
      <w:suff w:val="tab"/>
      <w:lvlText w:val="%9."/>
      <w:lvlJc w:val="left"/>
      <w:pPr>
        <w:pStyle w:val="920"/>
        <w:ind w:left="6480" w:hanging="360"/>
        <w:tabs>
          <w:tab w:val="num" w:pos="6480" w:leader="none"/>
        </w:tabs>
      </w:pPr>
    </w:lvl>
  </w:abstractNum>
  <w:abstractNum w:abstractNumId="8">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20"/>
        <w:ind w:left="0" w:firstLine="0"/>
      </w:pPr>
    </w:lvl>
    <w:lvl w:ilvl="1">
      <w:start w:val="1"/>
      <w:numFmt w:val="decimal"/>
      <w:isLgl w:val="false"/>
      <w:suff w:val="tab"/>
      <w:lvlText w:val="%2."/>
      <w:lvlJc w:val="left"/>
      <w:pPr>
        <w:pStyle w:val="920"/>
        <w:ind w:left="1440" w:hanging="360"/>
        <w:tabs>
          <w:tab w:val="num" w:pos="1440" w:leader="none"/>
        </w:tabs>
      </w:pPr>
    </w:lvl>
    <w:lvl w:ilvl="2">
      <w:start w:val="1"/>
      <w:numFmt w:val="decimal"/>
      <w:isLgl w:val="false"/>
      <w:suff w:val="tab"/>
      <w:lvlText w:val="%3."/>
      <w:lvlJc w:val="left"/>
      <w:pPr>
        <w:pStyle w:val="920"/>
        <w:ind w:left="2160" w:hanging="360"/>
        <w:tabs>
          <w:tab w:val="num" w:pos="2160" w:leader="none"/>
        </w:tabs>
      </w:pPr>
    </w:lvl>
    <w:lvl w:ilvl="3">
      <w:start w:val="1"/>
      <w:numFmt w:val="decimal"/>
      <w:isLgl w:val="false"/>
      <w:suff w:val="tab"/>
      <w:lvlText w:val="%4."/>
      <w:lvlJc w:val="left"/>
      <w:pPr>
        <w:pStyle w:val="920"/>
        <w:ind w:left="2880" w:hanging="360"/>
        <w:tabs>
          <w:tab w:val="num" w:pos="2880" w:leader="none"/>
        </w:tabs>
      </w:pPr>
    </w:lvl>
    <w:lvl w:ilvl="4">
      <w:start w:val="1"/>
      <w:numFmt w:val="decimal"/>
      <w:isLgl w:val="false"/>
      <w:suff w:val="tab"/>
      <w:lvlText w:val="%5."/>
      <w:lvlJc w:val="left"/>
      <w:pPr>
        <w:pStyle w:val="920"/>
        <w:ind w:left="3600" w:hanging="360"/>
        <w:tabs>
          <w:tab w:val="num" w:pos="3600" w:leader="none"/>
        </w:tabs>
      </w:pPr>
    </w:lvl>
    <w:lvl w:ilvl="5">
      <w:start w:val="1"/>
      <w:numFmt w:val="decimal"/>
      <w:isLgl w:val="false"/>
      <w:suff w:val="tab"/>
      <w:lvlText w:val="%6."/>
      <w:lvlJc w:val="left"/>
      <w:pPr>
        <w:pStyle w:val="920"/>
        <w:ind w:left="4320" w:hanging="360"/>
        <w:tabs>
          <w:tab w:val="num" w:pos="4320" w:leader="none"/>
        </w:tabs>
      </w:pPr>
    </w:lvl>
    <w:lvl w:ilvl="6">
      <w:start w:val="1"/>
      <w:numFmt w:val="decimal"/>
      <w:isLgl w:val="false"/>
      <w:suff w:val="tab"/>
      <w:lvlText w:val="%7."/>
      <w:lvlJc w:val="left"/>
      <w:pPr>
        <w:pStyle w:val="920"/>
        <w:ind w:left="5040" w:hanging="360"/>
        <w:tabs>
          <w:tab w:val="num" w:pos="5040" w:leader="none"/>
        </w:tabs>
      </w:pPr>
    </w:lvl>
    <w:lvl w:ilvl="7">
      <w:start w:val="1"/>
      <w:numFmt w:val="decimal"/>
      <w:isLgl w:val="false"/>
      <w:suff w:val="tab"/>
      <w:lvlText w:val="%8."/>
      <w:lvlJc w:val="left"/>
      <w:pPr>
        <w:pStyle w:val="920"/>
        <w:ind w:left="5760" w:hanging="360"/>
        <w:tabs>
          <w:tab w:val="num" w:pos="5760" w:leader="none"/>
        </w:tabs>
      </w:pPr>
    </w:lvl>
    <w:lvl w:ilvl="8">
      <w:start w:val="1"/>
      <w:numFmt w:val="decimal"/>
      <w:isLgl w:val="false"/>
      <w:suff w:val="tab"/>
      <w:lvlText w:val="%9."/>
      <w:lvlJc w:val="left"/>
      <w:pPr>
        <w:pStyle w:val="920"/>
        <w:ind w:left="6480" w:hanging="360"/>
        <w:tabs>
          <w:tab w:val="num" w:pos="6480" w:leader="none"/>
        </w:tabs>
      </w:pPr>
    </w:lvl>
  </w:abstractNum>
  <w:abstractNum w:abstractNumId="10">
    <w:multiLevelType w:val="hybridMultilevel"/>
    <w:lvl w:ilvl="0">
      <w:start w:val="1"/>
      <w:numFmt w:val="upperLetter"/>
      <w:pStyle w:val="999"/>
      <w:isLgl w:val="false"/>
      <w:suff w:val="tab"/>
      <w:lvlText w:val="附录%1."/>
      <w:lvlJc w:val="left"/>
      <w:pPr>
        <w:pStyle w:val="92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20"/>
        <w:ind w:left="0" w:firstLine="0"/>
      </w:pPr>
    </w:lvl>
    <w:lvl w:ilvl="1">
      <w:start w:val="1"/>
      <w:numFmt w:val="decimal"/>
      <w:isLgl w:val="false"/>
      <w:suff w:val="tab"/>
      <w:lvlText w:val="%2."/>
      <w:lvlJc w:val="left"/>
      <w:pPr>
        <w:pStyle w:val="920"/>
        <w:ind w:left="1440" w:hanging="360"/>
        <w:tabs>
          <w:tab w:val="num" w:pos="1440" w:leader="none"/>
        </w:tabs>
      </w:pPr>
    </w:lvl>
    <w:lvl w:ilvl="2">
      <w:start w:val="1"/>
      <w:numFmt w:val="decimal"/>
      <w:isLgl w:val="false"/>
      <w:suff w:val="tab"/>
      <w:lvlText w:val="%3."/>
      <w:lvlJc w:val="left"/>
      <w:pPr>
        <w:pStyle w:val="920"/>
        <w:ind w:left="2160" w:hanging="360"/>
        <w:tabs>
          <w:tab w:val="num" w:pos="2160" w:leader="none"/>
        </w:tabs>
      </w:pPr>
    </w:lvl>
    <w:lvl w:ilvl="3">
      <w:start w:val="1"/>
      <w:numFmt w:val="decimal"/>
      <w:isLgl w:val="false"/>
      <w:suff w:val="tab"/>
      <w:lvlText w:val="%4."/>
      <w:lvlJc w:val="left"/>
      <w:pPr>
        <w:pStyle w:val="920"/>
        <w:ind w:left="2880" w:hanging="360"/>
        <w:tabs>
          <w:tab w:val="num" w:pos="2880" w:leader="none"/>
        </w:tabs>
      </w:pPr>
    </w:lvl>
    <w:lvl w:ilvl="4">
      <w:start w:val="1"/>
      <w:numFmt w:val="decimal"/>
      <w:isLgl w:val="false"/>
      <w:suff w:val="tab"/>
      <w:lvlText w:val="%5."/>
      <w:lvlJc w:val="left"/>
      <w:pPr>
        <w:pStyle w:val="920"/>
        <w:ind w:left="3600" w:hanging="360"/>
        <w:tabs>
          <w:tab w:val="num" w:pos="3600" w:leader="none"/>
        </w:tabs>
      </w:pPr>
    </w:lvl>
    <w:lvl w:ilvl="5">
      <w:start w:val="1"/>
      <w:numFmt w:val="decimal"/>
      <w:isLgl w:val="false"/>
      <w:suff w:val="tab"/>
      <w:lvlText w:val="%6."/>
      <w:lvlJc w:val="left"/>
      <w:pPr>
        <w:pStyle w:val="920"/>
        <w:ind w:left="4320" w:hanging="360"/>
        <w:tabs>
          <w:tab w:val="num" w:pos="4320" w:leader="none"/>
        </w:tabs>
      </w:pPr>
    </w:lvl>
    <w:lvl w:ilvl="6">
      <w:start w:val="1"/>
      <w:numFmt w:val="decimal"/>
      <w:isLgl w:val="false"/>
      <w:suff w:val="tab"/>
      <w:lvlText w:val="%7."/>
      <w:lvlJc w:val="left"/>
      <w:pPr>
        <w:pStyle w:val="920"/>
        <w:ind w:left="5040" w:hanging="360"/>
        <w:tabs>
          <w:tab w:val="num" w:pos="5040" w:leader="none"/>
        </w:tabs>
      </w:pPr>
    </w:lvl>
    <w:lvl w:ilvl="7">
      <w:start w:val="1"/>
      <w:numFmt w:val="decimal"/>
      <w:isLgl w:val="false"/>
      <w:suff w:val="tab"/>
      <w:lvlText w:val="%8."/>
      <w:lvlJc w:val="left"/>
      <w:pPr>
        <w:pStyle w:val="920"/>
        <w:ind w:left="5760" w:hanging="360"/>
        <w:tabs>
          <w:tab w:val="num" w:pos="5760" w:leader="none"/>
        </w:tabs>
      </w:pPr>
    </w:lvl>
    <w:lvl w:ilvl="8">
      <w:start w:val="1"/>
      <w:numFmt w:val="decimal"/>
      <w:isLgl w:val="false"/>
      <w:suff w:val="tab"/>
      <w:lvlText w:val="%9."/>
      <w:lvlJc w:val="left"/>
      <w:pPr>
        <w:pStyle w:val="920"/>
        <w:ind w:left="6480" w:hanging="360"/>
        <w:tabs>
          <w:tab w:val="num" w:pos="6480" w:leader="none"/>
        </w:tabs>
      </w:pPr>
    </w:lvl>
  </w:abstractNum>
  <w:abstractNum w:abstractNumId="12">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13">
    <w:multiLevelType w:val="hybridMultilevel"/>
    <w:lvl w:ilvl="0">
      <w:start w:val="1"/>
      <w:numFmt w:val="decimal"/>
      <w:pStyle w:val="1016"/>
      <w:isLgl w:val="false"/>
      <w:suff w:val="tab"/>
      <w:lvlText w:val="%1."/>
      <w:lvlJc w:val="left"/>
      <w:pPr>
        <w:pStyle w:val="920"/>
        <w:ind w:left="709" w:hanging="709"/>
        <w:tabs>
          <w:tab w:val="num" w:pos="709" w:leader="none"/>
        </w:tabs>
      </w:pPr>
      <w:rPr>
        <w:rFonts w:hint="eastAsia"/>
      </w:rPr>
    </w:lvl>
    <w:lvl w:ilvl="1">
      <w:start w:val="1"/>
      <w:numFmt w:val="decimal"/>
      <w:isLgl w:val="false"/>
      <w:suff w:val="tab"/>
      <w:lvlText w:val="%1.%2"/>
      <w:lvlJc w:val="left"/>
      <w:pPr>
        <w:pStyle w:val="920"/>
        <w:ind w:left="709" w:hanging="709"/>
        <w:tabs>
          <w:tab w:val="num" w:pos="709" w:leader="none"/>
        </w:tabs>
      </w:pPr>
      <w:rPr>
        <w:rFonts w:hint="eastAsia"/>
      </w:rPr>
    </w:lvl>
    <w:lvl w:ilvl="2">
      <w:start w:val="1"/>
      <w:numFmt w:val="decimal"/>
      <w:isLgl w:val="false"/>
      <w:suff w:val="tab"/>
      <w:lvlText w:val="%1.%2.%3."/>
      <w:lvlJc w:val="left"/>
      <w:pPr>
        <w:pStyle w:val="920"/>
        <w:ind w:left="425" w:hanging="425"/>
        <w:tabs>
          <w:tab w:val="num" w:pos="425" w:leader="none"/>
        </w:tabs>
      </w:pPr>
      <w:rPr>
        <w:rFonts w:hint="eastAsia"/>
      </w:rPr>
    </w:lvl>
    <w:lvl w:ilvl="3">
      <w:start w:val="1"/>
      <w:numFmt w:val="decimal"/>
      <w:isLgl w:val="false"/>
      <w:suff w:val="tab"/>
      <w:lvlText w:val="%1.%2.%3.%4."/>
      <w:lvlJc w:val="left"/>
      <w:pPr>
        <w:pStyle w:val="920"/>
        <w:ind w:left="851" w:hanging="851"/>
        <w:tabs>
          <w:tab w:val="num" w:pos="851" w:leader="none"/>
        </w:tabs>
      </w:pPr>
      <w:rPr>
        <w:rFonts w:hint="eastAsia"/>
      </w:rPr>
    </w:lvl>
    <w:lvl w:ilvl="4">
      <w:start w:val="1"/>
      <w:numFmt w:val="decimal"/>
      <w:isLgl w:val="false"/>
      <w:suff w:val="tab"/>
      <w:lvlText w:val="%1.%2.%3.%4.%5."/>
      <w:lvlJc w:val="left"/>
      <w:pPr>
        <w:pStyle w:val="920"/>
        <w:ind w:left="992" w:hanging="992"/>
        <w:tabs>
          <w:tab w:val="num" w:pos="992" w:leader="none"/>
        </w:tabs>
      </w:pPr>
      <w:rPr>
        <w:rFonts w:hint="eastAsia"/>
      </w:rPr>
    </w:lvl>
    <w:lvl w:ilvl="5">
      <w:start w:val="1"/>
      <w:numFmt w:val="decimal"/>
      <w:isLgl w:val="false"/>
      <w:suff w:val="tab"/>
      <w:lvlText w:val="%1.%2.%3.%4.%5.%6."/>
      <w:lvlJc w:val="left"/>
      <w:pPr>
        <w:pStyle w:val="920"/>
        <w:ind w:left="1134" w:hanging="1134"/>
        <w:tabs>
          <w:tab w:val="num" w:pos="1134" w:leader="none"/>
        </w:tabs>
      </w:pPr>
      <w:rPr>
        <w:rFonts w:hint="eastAsia"/>
      </w:rPr>
    </w:lvl>
    <w:lvl w:ilvl="6">
      <w:start w:val="1"/>
      <w:numFmt w:val="decimal"/>
      <w:isLgl w:val="false"/>
      <w:suff w:val="tab"/>
      <w:lvlText w:val="%1.%2.%3.%4.%5.%6.%7."/>
      <w:lvlJc w:val="left"/>
      <w:pPr>
        <w:pStyle w:val="920"/>
        <w:ind w:left="1276" w:hanging="1276"/>
        <w:tabs>
          <w:tab w:val="num" w:pos="1276" w:leader="none"/>
        </w:tabs>
      </w:pPr>
      <w:rPr>
        <w:rFonts w:hint="eastAsia"/>
      </w:rPr>
    </w:lvl>
    <w:lvl w:ilvl="7">
      <w:start w:val="1"/>
      <w:numFmt w:val="decimal"/>
      <w:isLgl w:val="false"/>
      <w:suff w:val="tab"/>
      <w:lvlText w:val="%1.%2.%3.%4.%5.%6.%7.%8."/>
      <w:lvlJc w:val="left"/>
      <w:pPr>
        <w:pStyle w:val="920"/>
        <w:ind w:left="1418" w:hanging="1418"/>
        <w:tabs>
          <w:tab w:val="num" w:pos="1418" w:leader="none"/>
        </w:tabs>
      </w:pPr>
      <w:rPr>
        <w:rFonts w:hint="eastAsia"/>
      </w:rPr>
    </w:lvl>
    <w:lvl w:ilvl="8">
      <w:start w:val="1"/>
      <w:numFmt w:val="decimal"/>
      <w:isLgl w:val="false"/>
      <w:suff w:val="tab"/>
      <w:lvlText w:val="%1.%2.%3.%4.%5.%6.%7.%8.%9."/>
      <w:lvlJc w:val="left"/>
      <w:pPr>
        <w:pStyle w:val="920"/>
        <w:ind w:left="1559" w:hanging="1559"/>
        <w:tabs>
          <w:tab w:val="num" w:pos="1559" w:leader="none"/>
        </w:tabs>
      </w:pPr>
      <w:rPr>
        <w:rFonts w:hint="eastAsia"/>
      </w:rPr>
    </w:lvl>
  </w:abstractNum>
  <w:abstractNum w:abstractNumId="14">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pStyle w:val="920"/>
        <w:ind w:left="0" w:firstLine="0"/>
      </w:pPr>
      <w:rPr>
        <w:rFonts w:hint="eastAsia"/>
      </w:rPr>
    </w:lvl>
    <w:lvl w:ilvl="1">
      <w:start w:val="1"/>
      <w:numFmt w:val="decimal"/>
      <w:isLgl w:val="false"/>
      <w:suff w:val="nothing"/>
      <w:lvlText w:val="%2、"/>
      <w:lvlJc w:val="left"/>
      <w:pPr>
        <w:pStyle w:val="920"/>
        <w:ind w:left="0" w:firstLine="0"/>
      </w:pPr>
      <w:rPr>
        <w:rFonts w:hint="eastAsia"/>
      </w:rPr>
    </w:lvl>
    <w:lvl w:ilvl="2">
      <w:start w:val="1"/>
      <w:numFmt w:val="decimal"/>
      <w:isLgl w:val="false"/>
      <w:suff w:val="nothing"/>
      <w:lvlText w:val="%2.%3 "/>
      <w:lvlJc w:val="left"/>
      <w:pPr>
        <w:pStyle w:val="920"/>
        <w:ind w:left="0" w:firstLine="0"/>
      </w:pPr>
      <w:rPr>
        <w:rFonts w:hint="eastAsia"/>
      </w:rPr>
    </w:lvl>
    <w:lvl w:ilvl="3">
      <w:start w:val="1"/>
      <w:numFmt w:val="decimal"/>
      <w:isLgl w:val="false"/>
      <w:suff w:val="nothing"/>
      <w:lvlText w:val="%2.%3.%4 "/>
      <w:lvlJc w:val="left"/>
      <w:pPr>
        <w:pStyle w:val="920"/>
        <w:ind w:left="0" w:firstLine="0"/>
      </w:pPr>
      <w:rPr>
        <w:rFonts w:hint="eastAsia"/>
      </w:rPr>
    </w:lvl>
    <w:lvl w:ilvl="4">
      <w:start w:val="1"/>
      <w:numFmt w:val="decimal"/>
      <w:isLgl w:val="false"/>
      <w:suff w:val="nothing"/>
      <w:lvlText w:val="%2.%3.%4.%5 "/>
      <w:lvlJc w:val="left"/>
      <w:pPr>
        <w:pStyle w:val="920"/>
        <w:ind w:left="0" w:firstLine="0"/>
      </w:pPr>
      <w:rPr>
        <w:rFonts w:hint="eastAsia"/>
      </w:rPr>
    </w:lvl>
    <w:lvl w:ilvl="5">
      <w:start w:val="1"/>
      <w:numFmt w:val="decimal"/>
      <w:pStyle w:val="926"/>
      <w:isLgl w:val="false"/>
      <w:suff w:val="nothing"/>
      <w:lvlText w:val=""/>
      <w:lvlJc w:val="left"/>
      <w:pPr>
        <w:pStyle w:val="920"/>
        <w:ind w:left="0" w:firstLine="0"/>
      </w:pPr>
      <w:rPr>
        <w:rFonts w:hint="eastAsia"/>
      </w:rPr>
    </w:lvl>
    <w:lvl w:ilvl="6">
      <w:start w:val="1"/>
      <w:numFmt w:val="decimal"/>
      <w:pStyle w:val="927"/>
      <w:isLgl w:val="false"/>
      <w:suff w:val="nothing"/>
      <w:lvlText w:val=""/>
      <w:lvlJc w:val="left"/>
      <w:pPr>
        <w:pStyle w:val="920"/>
        <w:ind w:left="0" w:firstLine="0"/>
      </w:pPr>
      <w:rPr>
        <w:rFonts w:hint="eastAsia"/>
      </w:rPr>
    </w:lvl>
    <w:lvl w:ilvl="7">
      <w:start w:val="1"/>
      <w:numFmt w:val="decimal"/>
      <w:pStyle w:val="928"/>
      <w:isLgl w:val="false"/>
      <w:suff w:val="nothing"/>
      <w:lvlText w:val=""/>
      <w:lvlJc w:val="left"/>
      <w:pPr>
        <w:pStyle w:val="920"/>
        <w:ind w:left="0" w:firstLine="0"/>
      </w:pPr>
      <w:rPr>
        <w:rFonts w:hint="eastAsia"/>
      </w:rPr>
    </w:lvl>
    <w:lvl w:ilvl="8">
      <w:start w:val="1"/>
      <w:numFmt w:val="decimal"/>
      <w:pStyle w:val="929"/>
      <w:isLgl w:val="false"/>
      <w:suff w:val="nothing"/>
      <w:lvlText w:val=""/>
      <w:lvlJc w:val="left"/>
      <w:pPr>
        <w:pStyle w:val="920"/>
        <w:ind w:left="0" w:firstLine="0"/>
      </w:pPr>
      <w:rPr>
        <w:rFonts w:hint="eastAsia"/>
      </w:rPr>
    </w:lvl>
  </w:abstractNum>
  <w:abstractNum w:abstractNumId="16">
    <w:multiLevelType w:val="hybridMultilevel"/>
    <w:lvl w:ilvl="0">
      <w:start w:val="1"/>
      <w:numFmt w:val="decimal"/>
      <w:isLgl w:val="false"/>
      <w:suff w:val="nothing"/>
      <w:lvlText w:val="%1）"/>
      <w:lvlJc w:val="left"/>
      <w:pPr>
        <w:pStyle w:val="920"/>
        <w:ind w:left="8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0"/>
  </w:num>
  <w:num w:numId="3">
    <w:abstractNumId w:val="13"/>
  </w:num>
  <w:num w:numId="4">
    <w:abstractNumId w:val="1"/>
  </w:num>
  <w:num w:numId="5">
    <w:abstractNumId w:val="2"/>
  </w:num>
  <w:num w:numId="6">
    <w:abstractNumId w:val="0"/>
  </w:num>
  <w:num w:numId="7">
    <w:abstractNumId w:val="7"/>
  </w:num>
  <w:num w:numId="8">
    <w:abstractNumId w:val="9"/>
  </w:num>
  <w:num w:numId="9">
    <w:abstractNumId w:val="11"/>
  </w:num>
  <w:num w:numId="10">
    <w:abstractNumId w:val="6"/>
  </w:num>
  <w:num w:numId="11">
    <w:abstractNumId w:val="16"/>
  </w:num>
  <w:num w:numId="12">
    <w:abstractNumId w:val="14"/>
  </w:num>
  <w:num w:numId="13">
    <w:abstractNumId w:val="3"/>
  </w:num>
  <w:num w:numId="14">
    <w:abstractNumId w:val="8"/>
  </w:num>
  <w:num w:numId="15">
    <w:abstractNumId w:val="12"/>
  </w:num>
  <w:num w:numId="16">
    <w:abstractNumId w:val="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920"/>
    <w:next w:val="920"/>
    <w:link w:val="743"/>
    <w:uiPriority w:val="9"/>
    <w:qFormat/>
    <w:pPr>
      <w:keepLines/>
      <w:keepNext/>
      <w:spacing w:before="480" w:after="200"/>
      <w:outlineLvl w:val="0"/>
    </w:pPr>
    <w:rPr>
      <w:rFonts w:ascii="Arial" w:hAnsi="Arial" w:eastAsia="Arial" w:cs="Arial"/>
      <w:sz w:val="40"/>
      <w:szCs w:val="40"/>
    </w:rPr>
  </w:style>
  <w:style w:type="character" w:styleId="743">
    <w:name w:val="Heading 1 Char"/>
    <w:link w:val="742"/>
    <w:uiPriority w:val="9"/>
    <w:rPr>
      <w:rFonts w:ascii="Arial" w:hAnsi="Arial" w:eastAsia="Arial" w:cs="Arial"/>
      <w:sz w:val="40"/>
      <w:szCs w:val="40"/>
    </w:rPr>
  </w:style>
  <w:style w:type="paragraph" w:styleId="744">
    <w:name w:val="Heading 2"/>
    <w:basedOn w:val="920"/>
    <w:next w:val="920"/>
    <w:link w:val="745"/>
    <w:uiPriority w:val="9"/>
    <w:unhideWhenUsed/>
    <w:qFormat/>
    <w:pPr>
      <w:keepLines/>
      <w:keepNext/>
      <w:spacing w:before="360" w:after="200"/>
      <w:outlineLvl w:val="1"/>
    </w:pPr>
    <w:rPr>
      <w:rFonts w:ascii="Arial" w:hAnsi="Arial" w:eastAsia="Arial" w:cs="Arial"/>
      <w:sz w:val="34"/>
    </w:rPr>
  </w:style>
  <w:style w:type="character" w:styleId="745">
    <w:name w:val="Heading 2 Char"/>
    <w:link w:val="744"/>
    <w:uiPriority w:val="9"/>
    <w:rPr>
      <w:rFonts w:ascii="Arial" w:hAnsi="Arial" w:eastAsia="Arial" w:cs="Arial"/>
      <w:sz w:val="34"/>
    </w:rPr>
  </w:style>
  <w:style w:type="paragraph" w:styleId="746">
    <w:name w:val="Heading 3"/>
    <w:basedOn w:val="920"/>
    <w:next w:val="920"/>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link w:val="746"/>
    <w:uiPriority w:val="9"/>
    <w:rPr>
      <w:rFonts w:ascii="Arial" w:hAnsi="Arial" w:eastAsia="Arial" w:cs="Arial"/>
      <w:sz w:val="30"/>
      <w:szCs w:val="30"/>
    </w:rPr>
  </w:style>
  <w:style w:type="paragraph" w:styleId="748">
    <w:name w:val="Heading 4"/>
    <w:basedOn w:val="920"/>
    <w:next w:val="920"/>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link w:val="748"/>
    <w:uiPriority w:val="9"/>
    <w:rPr>
      <w:rFonts w:ascii="Arial" w:hAnsi="Arial" w:eastAsia="Arial" w:cs="Arial"/>
      <w:b/>
      <w:bCs/>
      <w:sz w:val="26"/>
      <w:szCs w:val="26"/>
    </w:rPr>
  </w:style>
  <w:style w:type="paragraph" w:styleId="750">
    <w:name w:val="Heading 5"/>
    <w:basedOn w:val="920"/>
    <w:next w:val="920"/>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link w:val="750"/>
    <w:uiPriority w:val="9"/>
    <w:rPr>
      <w:rFonts w:ascii="Arial" w:hAnsi="Arial" w:eastAsia="Arial" w:cs="Arial"/>
      <w:b/>
      <w:bCs/>
      <w:sz w:val="24"/>
      <w:szCs w:val="24"/>
    </w:rPr>
  </w:style>
  <w:style w:type="paragraph" w:styleId="752">
    <w:name w:val="Heading 6"/>
    <w:basedOn w:val="920"/>
    <w:next w:val="920"/>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link w:val="752"/>
    <w:uiPriority w:val="9"/>
    <w:rPr>
      <w:rFonts w:ascii="Arial" w:hAnsi="Arial" w:eastAsia="Arial" w:cs="Arial"/>
      <w:b/>
      <w:bCs/>
      <w:sz w:val="22"/>
      <w:szCs w:val="22"/>
    </w:rPr>
  </w:style>
  <w:style w:type="paragraph" w:styleId="754">
    <w:name w:val="Heading 7"/>
    <w:basedOn w:val="920"/>
    <w:next w:val="920"/>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link w:val="754"/>
    <w:uiPriority w:val="9"/>
    <w:rPr>
      <w:rFonts w:ascii="Arial" w:hAnsi="Arial" w:eastAsia="Arial" w:cs="Arial"/>
      <w:b/>
      <w:bCs/>
      <w:i/>
      <w:iCs/>
      <w:sz w:val="22"/>
      <w:szCs w:val="22"/>
    </w:rPr>
  </w:style>
  <w:style w:type="paragraph" w:styleId="756">
    <w:name w:val="Heading 8"/>
    <w:basedOn w:val="920"/>
    <w:next w:val="920"/>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link w:val="756"/>
    <w:uiPriority w:val="9"/>
    <w:rPr>
      <w:rFonts w:ascii="Arial" w:hAnsi="Arial" w:eastAsia="Arial" w:cs="Arial"/>
      <w:i/>
      <w:iCs/>
      <w:sz w:val="22"/>
      <w:szCs w:val="22"/>
    </w:rPr>
  </w:style>
  <w:style w:type="paragraph" w:styleId="758">
    <w:name w:val="Heading 9"/>
    <w:basedOn w:val="920"/>
    <w:next w:val="920"/>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link w:val="758"/>
    <w:uiPriority w:val="9"/>
    <w:rPr>
      <w:rFonts w:ascii="Arial" w:hAnsi="Arial" w:eastAsia="Arial" w:cs="Arial"/>
      <w:i/>
      <w:iCs/>
      <w:sz w:val="21"/>
      <w:szCs w:val="21"/>
    </w:rPr>
  </w:style>
  <w:style w:type="paragraph" w:styleId="760">
    <w:name w:val="List Paragraph"/>
    <w:basedOn w:val="920"/>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920"/>
    <w:next w:val="920"/>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20"/>
    <w:next w:val="920"/>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20"/>
    <w:next w:val="920"/>
    <w:link w:val="767"/>
    <w:uiPriority w:val="29"/>
    <w:qFormat/>
    <w:pPr>
      <w:ind w:left="720" w:right="720"/>
    </w:pPr>
    <w:rPr>
      <w:i/>
    </w:rPr>
  </w:style>
  <w:style w:type="character" w:styleId="767">
    <w:name w:val="Quote Char"/>
    <w:link w:val="766"/>
    <w:uiPriority w:val="29"/>
    <w:rPr>
      <w:i/>
    </w:rPr>
  </w:style>
  <w:style w:type="paragraph" w:styleId="768">
    <w:name w:val="Intense Quote"/>
    <w:basedOn w:val="920"/>
    <w:next w:val="920"/>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20"/>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20"/>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20"/>
    <w:next w:val="920"/>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2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2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1"/>
    <w:basedOn w:val="920"/>
    <w:next w:val="920"/>
    <w:uiPriority w:val="39"/>
    <w:unhideWhenUsed/>
    <w:pPr>
      <w:ind w:left="0" w:right="0" w:firstLine="0"/>
      <w:spacing w:after="57"/>
    </w:p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0"/>
    <w:link w:val="920"/>
    <w:qFormat/>
    <w:pPr>
      <w:jc w:val="both"/>
      <w:widowControl w:val="off"/>
    </w:pPr>
    <w:rPr>
      <w:sz w:val="21"/>
      <w:szCs w:val="22"/>
      <w:lang w:val="en-US" w:eastAsia="zh-CN" w:bidi="ar-SA"/>
    </w:rPr>
  </w:style>
  <w:style w:type="paragraph" w:styleId="921">
    <w:name w:val="标题 1"/>
    <w:basedOn w:val="920"/>
    <w:next w:val="920"/>
    <w:link w:val="932"/>
    <w:qFormat/>
    <w:pPr>
      <w:jc w:val="center"/>
      <w:keepNext/>
      <w:outlineLvl w:val="0"/>
    </w:pPr>
    <w:rPr>
      <w:rFonts w:ascii="楷体_GB2312" w:hAnsi="Times New Roman" w:eastAsia="楷体_GB2312" w:cs="Times New Roman"/>
      <w:sz w:val="28"/>
      <w:szCs w:val="28"/>
    </w:rPr>
  </w:style>
  <w:style w:type="paragraph" w:styleId="922">
    <w:name w:val="标题 2"/>
    <w:basedOn w:val="920"/>
    <w:next w:val="934"/>
    <w:link w:val="933"/>
    <w:qFormat/>
    <w:pPr>
      <w:jc w:val="center"/>
      <w:keepLines/>
      <w:keepNext/>
      <w:spacing w:before="260" w:after="260" w:line="416" w:lineRule="auto"/>
      <w:outlineLvl w:val="1"/>
    </w:pPr>
    <w:rPr>
      <w:rFonts w:ascii="Arial" w:hAnsi="Arial" w:eastAsia="幼圆" w:cs="Arial"/>
      <w:b/>
      <w:bCs/>
      <w:sz w:val="44"/>
      <w:szCs w:val="44"/>
    </w:rPr>
  </w:style>
  <w:style w:type="paragraph" w:styleId="923">
    <w:name w:val="标题 3"/>
    <w:basedOn w:val="920"/>
    <w:next w:val="934"/>
    <w:link w:val="936"/>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4">
    <w:name w:val="标题 4"/>
    <w:basedOn w:val="920"/>
    <w:next w:val="934"/>
    <w:link w:val="937"/>
    <w:qFormat/>
    <w:pPr>
      <w:keepLines/>
      <w:keepNext/>
      <w:spacing w:before="280" w:after="290" w:line="376" w:lineRule="auto"/>
      <w:outlineLvl w:val="3"/>
    </w:pPr>
    <w:rPr>
      <w:rFonts w:ascii="Arial" w:hAnsi="Arial" w:eastAsia="黑体" w:cs="Arial"/>
      <w:b/>
      <w:bCs/>
      <w:sz w:val="28"/>
      <w:szCs w:val="28"/>
    </w:rPr>
  </w:style>
  <w:style w:type="paragraph" w:styleId="925">
    <w:name w:val="标题 5"/>
    <w:basedOn w:val="920"/>
    <w:next w:val="934"/>
    <w:link w:val="938"/>
    <w:qFormat/>
    <w:pPr>
      <w:keepNext/>
      <w:outlineLvl w:val="4"/>
    </w:pPr>
    <w:rPr>
      <w:rFonts w:ascii="宋体" w:hAnsi="Times New Roman" w:eastAsia="宋体" w:cs="Times New Roman"/>
      <w:color w:val="000000"/>
      <w:sz w:val="28"/>
      <w:szCs w:val="28"/>
    </w:rPr>
  </w:style>
  <w:style w:type="paragraph" w:styleId="926">
    <w:name w:val="标题 6"/>
    <w:basedOn w:val="920"/>
    <w:next w:val="920"/>
    <w:link w:val="93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7">
    <w:name w:val="标题 7"/>
    <w:basedOn w:val="920"/>
    <w:next w:val="920"/>
    <w:link w:val="94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8">
    <w:name w:val="标题 8"/>
    <w:basedOn w:val="920"/>
    <w:next w:val="920"/>
    <w:link w:val="94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9">
    <w:name w:val="标题 9"/>
    <w:basedOn w:val="920"/>
    <w:next w:val="920"/>
    <w:link w:val="942"/>
    <w:qFormat/>
    <w:pPr>
      <w:numPr>
        <w:ilvl w:val="8"/>
        <w:numId w:val="1"/>
      </w:numPr>
      <w:keepLines/>
      <w:keepNext/>
      <w:spacing w:before="240" w:after="64" w:line="320" w:lineRule="auto"/>
      <w:outlineLvl w:val="8"/>
    </w:pPr>
    <w:rPr>
      <w:rFonts w:ascii="Arial" w:hAnsi="Arial" w:eastAsia="黑体" w:cs="Times New Roman"/>
      <w:szCs w:val="21"/>
    </w:rPr>
  </w:style>
  <w:style w:type="character" w:styleId="930">
    <w:name w:val="默认段落字体"/>
    <w:next w:val="930"/>
    <w:link w:val="920"/>
    <w:uiPriority w:val="1"/>
    <w:unhideWhenUsed/>
  </w:style>
  <w:style w:type="table" w:styleId="931">
    <w:name w:val="普通表格"/>
    <w:next w:val="931"/>
    <w:link w:val="920"/>
    <w:uiPriority w:val="99"/>
    <w:unhideWhenUsed/>
    <w:tblPr/>
  </w:style>
  <w:style w:type="character" w:styleId="932">
    <w:name w:val="标题 1 字符"/>
    <w:next w:val="932"/>
    <w:link w:val="921"/>
    <w:rPr>
      <w:rFonts w:ascii="楷体_GB2312" w:hAnsi="Times New Roman" w:eastAsia="楷体_GB2312" w:cs="Times New Roman"/>
      <w:sz w:val="28"/>
      <w:szCs w:val="28"/>
    </w:rPr>
  </w:style>
  <w:style w:type="character" w:styleId="933">
    <w:name w:val="标题 2 字符"/>
    <w:next w:val="933"/>
    <w:link w:val="922"/>
    <w:rPr>
      <w:rFonts w:ascii="Arial" w:hAnsi="Arial" w:eastAsia="幼圆" w:cs="Arial"/>
      <w:b/>
      <w:bCs/>
      <w:sz w:val="44"/>
      <w:szCs w:val="44"/>
    </w:rPr>
  </w:style>
  <w:style w:type="paragraph" w:styleId="934">
    <w:name w:val="正文缩进"/>
    <w:basedOn w:val="920"/>
    <w:next w:val="934"/>
    <w:link w:val="935"/>
    <w:pPr>
      <w:ind w:firstLine="420"/>
    </w:pPr>
    <w:rPr>
      <w:szCs w:val="21"/>
    </w:rPr>
  </w:style>
  <w:style w:type="character" w:styleId="935">
    <w:name w:val="正文缩进 字符"/>
    <w:next w:val="935"/>
    <w:link w:val="934"/>
    <w:rPr>
      <w:szCs w:val="21"/>
    </w:rPr>
  </w:style>
  <w:style w:type="character" w:styleId="936">
    <w:name w:val="标题 3 字符"/>
    <w:next w:val="936"/>
    <w:link w:val="923"/>
    <w:rPr>
      <w:rFonts w:ascii="Times New Roman" w:hAnsi="Times New Roman" w:eastAsia="宋体" w:cs="Times New Roman"/>
      <w:b/>
      <w:bCs/>
      <w:sz w:val="32"/>
      <w:szCs w:val="32"/>
    </w:rPr>
  </w:style>
  <w:style w:type="character" w:styleId="937">
    <w:name w:val="标题 4 字符"/>
    <w:next w:val="937"/>
    <w:link w:val="924"/>
    <w:rPr>
      <w:rFonts w:ascii="Arial" w:hAnsi="Arial" w:eastAsia="黑体" w:cs="Arial"/>
      <w:b/>
      <w:bCs/>
      <w:sz w:val="28"/>
      <w:szCs w:val="28"/>
    </w:rPr>
  </w:style>
  <w:style w:type="character" w:styleId="938">
    <w:name w:val="标题 5 字符"/>
    <w:next w:val="938"/>
    <w:link w:val="925"/>
    <w:rPr>
      <w:rFonts w:ascii="宋体" w:hAnsi="Times New Roman" w:eastAsia="宋体" w:cs="Times New Roman"/>
      <w:color w:val="000000"/>
      <w:sz w:val="28"/>
      <w:szCs w:val="28"/>
    </w:rPr>
  </w:style>
  <w:style w:type="character" w:styleId="939">
    <w:name w:val="标题 6 字符"/>
    <w:next w:val="939"/>
    <w:link w:val="926"/>
    <w:rPr>
      <w:rFonts w:ascii="Arial" w:hAnsi="Arial" w:eastAsia="黑体" w:cs="Times New Roman"/>
      <w:b/>
      <w:bCs/>
      <w:sz w:val="24"/>
      <w:szCs w:val="24"/>
    </w:rPr>
  </w:style>
  <w:style w:type="character" w:styleId="940">
    <w:name w:val="标题 7 字符"/>
    <w:next w:val="940"/>
    <w:link w:val="927"/>
    <w:rPr>
      <w:rFonts w:ascii="Times New Roman" w:hAnsi="Times New Roman" w:eastAsia="宋体" w:cs="Times New Roman"/>
      <w:b/>
      <w:bCs/>
      <w:sz w:val="24"/>
      <w:szCs w:val="24"/>
    </w:rPr>
  </w:style>
  <w:style w:type="character" w:styleId="941">
    <w:name w:val="标题 8 字符"/>
    <w:next w:val="941"/>
    <w:link w:val="928"/>
    <w:rPr>
      <w:rFonts w:ascii="Arial" w:hAnsi="Arial" w:eastAsia="黑体" w:cs="Times New Roman"/>
      <w:sz w:val="24"/>
      <w:szCs w:val="24"/>
    </w:rPr>
  </w:style>
  <w:style w:type="character" w:styleId="942">
    <w:name w:val="标题 9 字符"/>
    <w:next w:val="942"/>
    <w:link w:val="929"/>
    <w:rPr>
      <w:rFonts w:ascii="Arial" w:hAnsi="Arial" w:eastAsia="黑体" w:cs="Times New Roman"/>
      <w:szCs w:val="21"/>
    </w:rPr>
  </w:style>
  <w:style w:type="paragraph" w:styleId="943">
    <w:name w:val="列表 3"/>
    <w:basedOn w:val="920"/>
    <w:next w:val="943"/>
    <w:link w:val="920"/>
    <w:pPr>
      <w:ind w:left="100" w:hanging="200"/>
    </w:pPr>
    <w:rPr>
      <w:rFonts w:ascii="Times New Roman" w:hAnsi="Times New Roman" w:eastAsia="宋体" w:cs="Times New Roman"/>
      <w:szCs w:val="21"/>
    </w:rPr>
  </w:style>
  <w:style w:type="paragraph" w:styleId="944">
    <w:name w:val="目录 7"/>
    <w:basedOn w:val="920"/>
    <w:next w:val="920"/>
    <w:link w:val="920"/>
    <w:semiHidden/>
    <w:pPr>
      <w:ind w:left="1260"/>
      <w:jc w:val="left"/>
    </w:pPr>
    <w:rPr>
      <w:rFonts w:ascii="Times New Roman" w:hAnsi="Times New Roman" w:eastAsia="宋体" w:cs="Times New Roman"/>
      <w:szCs w:val="21"/>
    </w:rPr>
  </w:style>
  <w:style w:type="paragraph" w:styleId="945">
    <w:name w:val="文档结构图"/>
    <w:basedOn w:val="920"/>
    <w:next w:val="945"/>
    <w:link w:val="946"/>
    <w:semiHidden/>
    <w:pPr>
      <w:shd w:val="clear" w:color="auto" w:fill="000080"/>
    </w:pPr>
    <w:rPr>
      <w:rFonts w:ascii="Times New Roman" w:hAnsi="Times New Roman" w:eastAsia="宋体" w:cs="Times New Roman"/>
      <w:szCs w:val="21"/>
    </w:rPr>
  </w:style>
  <w:style w:type="character" w:styleId="946">
    <w:name w:val="文档结构图 字符"/>
    <w:next w:val="946"/>
    <w:link w:val="945"/>
    <w:semiHidden/>
    <w:rPr>
      <w:rFonts w:ascii="Times New Roman" w:hAnsi="Times New Roman" w:eastAsia="宋体" w:cs="Times New Roman"/>
      <w:szCs w:val="21"/>
      <w:shd w:val="clear" w:color="auto" w:fill="000080"/>
    </w:rPr>
  </w:style>
  <w:style w:type="paragraph" w:styleId="947">
    <w:name w:val="批注文字"/>
    <w:basedOn w:val="920"/>
    <w:next w:val="947"/>
    <w:link w:val="948"/>
    <w:unhideWhenUsed/>
    <w:pPr>
      <w:jc w:val="left"/>
    </w:pPr>
  </w:style>
  <w:style w:type="character" w:styleId="948">
    <w:name w:val="批注文字 字符"/>
    <w:next w:val="948"/>
    <w:link w:val="947"/>
    <w:uiPriority w:val="99"/>
    <w:semiHidden/>
  </w:style>
  <w:style w:type="paragraph" w:styleId="949">
    <w:name w:val="正文文本 3"/>
    <w:basedOn w:val="920"/>
    <w:next w:val="949"/>
    <w:link w:val="950"/>
    <w:rPr>
      <w:rFonts w:ascii="仿宋_GB2312" w:hAnsi="Arial" w:eastAsia="仿宋_GB2312" w:cs="Times New Roman"/>
      <w:sz w:val="32"/>
      <w:szCs w:val="32"/>
    </w:rPr>
  </w:style>
  <w:style w:type="character" w:styleId="950">
    <w:name w:val="正文文本 3 字符"/>
    <w:next w:val="950"/>
    <w:link w:val="949"/>
    <w:rPr>
      <w:rFonts w:ascii="仿宋_GB2312" w:hAnsi="Arial" w:eastAsia="仿宋_GB2312" w:cs="Times New Roman"/>
      <w:sz w:val="32"/>
      <w:szCs w:val="32"/>
    </w:rPr>
  </w:style>
  <w:style w:type="paragraph" w:styleId="951">
    <w:name w:val="正文文本"/>
    <w:basedOn w:val="920"/>
    <w:next w:val="951"/>
    <w:link w:val="952"/>
    <w:rPr>
      <w:rFonts w:ascii="楷体_GB2312" w:hAnsi="Arial" w:eastAsia="楷体_GB2312" w:cs="Times New Roman"/>
      <w:sz w:val="28"/>
      <w:szCs w:val="28"/>
    </w:rPr>
  </w:style>
  <w:style w:type="character" w:styleId="952">
    <w:name w:val="正文文本 字符"/>
    <w:next w:val="952"/>
    <w:link w:val="951"/>
    <w:rPr>
      <w:rFonts w:ascii="楷体_GB2312" w:hAnsi="Arial" w:eastAsia="楷体_GB2312" w:cs="Times New Roman"/>
      <w:sz w:val="28"/>
      <w:szCs w:val="28"/>
    </w:rPr>
  </w:style>
  <w:style w:type="paragraph" w:styleId="953">
    <w:name w:val="正文文本缩进"/>
    <w:basedOn w:val="920"/>
    <w:next w:val="953"/>
    <w:link w:val="954"/>
    <w:unhideWhenUsed/>
    <w:pPr>
      <w:ind w:left="420"/>
      <w:spacing w:after="120"/>
    </w:pPr>
  </w:style>
  <w:style w:type="character" w:styleId="954">
    <w:name w:val="正文文本缩进 字符"/>
    <w:next w:val="954"/>
    <w:link w:val="953"/>
    <w:uiPriority w:val="99"/>
    <w:semiHidden/>
  </w:style>
  <w:style w:type="paragraph" w:styleId="955">
    <w:name w:val="列表 2"/>
    <w:basedOn w:val="920"/>
    <w:next w:val="955"/>
    <w:link w:val="920"/>
    <w:pPr>
      <w:ind w:left="100" w:hanging="200"/>
    </w:pPr>
    <w:rPr>
      <w:rFonts w:ascii="Times New Roman" w:hAnsi="Times New Roman" w:eastAsia="宋体" w:cs="Times New Roman"/>
      <w:szCs w:val="21"/>
    </w:rPr>
  </w:style>
  <w:style w:type="paragraph" w:styleId="956">
    <w:name w:val="目录 5"/>
    <w:basedOn w:val="920"/>
    <w:next w:val="920"/>
    <w:link w:val="920"/>
    <w:semiHidden/>
    <w:pPr>
      <w:ind w:left="840"/>
      <w:jc w:val="left"/>
    </w:pPr>
    <w:rPr>
      <w:rFonts w:ascii="Times New Roman" w:hAnsi="Times New Roman" w:eastAsia="宋体" w:cs="Times New Roman"/>
      <w:szCs w:val="21"/>
    </w:rPr>
  </w:style>
  <w:style w:type="paragraph" w:styleId="957">
    <w:name w:val="目录 3"/>
    <w:basedOn w:val="920"/>
    <w:next w:val="920"/>
    <w:link w:val="920"/>
    <w:semiHidden/>
    <w:pPr>
      <w:ind w:left="420"/>
      <w:jc w:val="left"/>
    </w:pPr>
    <w:rPr>
      <w:rFonts w:ascii="Times New Roman" w:hAnsi="Times New Roman" w:eastAsia="宋体" w:cs="Times New Roman"/>
      <w:i/>
      <w:iCs/>
      <w:szCs w:val="24"/>
    </w:rPr>
  </w:style>
  <w:style w:type="paragraph" w:styleId="958">
    <w:name w:val="纯文本"/>
    <w:basedOn w:val="920"/>
    <w:next w:val="958"/>
    <w:link w:val="959"/>
    <w:qFormat/>
    <w:rPr>
      <w:rFonts w:ascii="宋体" w:hAnsi="Courier New" w:eastAsia="宋体" w:cs="Courier New"/>
      <w:szCs w:val="21"/>
    </w:rPr>
  </w:style>
  <w:style w:type="character" w:styleId="959">
    <w:name w:val="纯文本 字符"/>
    <w:next w:val="959"/>
    <w:link w:val="958"/>
    <w:rPr>
      <w:rFonts w:ascii="宋体" w:hAnsi="Courier New" w:eastAsia="宋体" w:cs="Courier New"/>
      <w:szCs w:val="21"/>
    </w:rPr>
  </w:style>
  <w:style w:type="paragraph" w:styleId="960">
    <w:name w:val="目录 8"/>
    <w:basedOn w:val="920"/>
    <w:next w:val="920"/>
    <w:link w:val="920"/>
    <w:semiHidden/>
    <w:pPr>
      <w:ind w:left="1470"/>
      <w:jc w:val="left"/>
    </w:pPr>
    <w:rPr>
      <w:rFonts w:ascii="Times New Roman" w:hAnsi="Times New Roman" w:eastAsia="宋体" w:cs="Times New Roman"/>
      <w:szCs w:val="21"/>
    </w:rPr>
  </w:style>
  <w:style w:type="paragraph" w:styleId="961">
    <w:name w:val="日期"/>
    <w:basedOn w:val="920"/>
    <w:next w:val="920"/>
    <w:link w:val="962"/>
    <w:rPr>
      <w:rFonts w:ascii="Times New Roman" w:hAnsi="Times New Roman" w:eastAsia="宋体" w:cs="Times New Roman"/>
      <w:sz w:val="24"/>
      <w:szCs w:val="24"/>
    </w:rPr>
  </w:style>
  <w:style w:type="character" w:styleId="962">
    <w:name w:val="日期 字符"/>
    <w:next w:val="962"/>
    <w:link w:val="961"/>
    <w:rPr>
      <w:rFonts w:ascii="Times New Roman" w:hAnsi="Times New Roman" w:eastAsia="宋体" w:cs="Times New Roman"/>
      <w:sz w:val="24"/>
      <w:szCs w:val="24"/>
    </w:rPr>
  </w:style>
  <w:style w:type="paragraph" w:styleId="963">
    <w:name w:val="正文文本缩进 2"/>
    <w:basedOn w:val="920"/>
    <w:next w:val="963"/>
    <w:link w:val="964"/>
    <w:pPr>
      <w:ind w:left="630" w:firstLine="645"/>
    </w:pPr>
    <w:rPr>
      <w:rFonts w:ascii="Arial" w:hAnsi="Arial" w:eastAsia="仿宋_GB2312" w:cs="Arial"/>
      <w:sz w:val="32"/>
      <w:szCs w:val="32"/>
    </w:rPr>
  </w:style>
  <w:style w:type="character" w:styleId="964">
    <w:name w:val="正文文本缩进 2 字符"/>
    <w:next w:val="964"/>
    <w:link w:val="963"/>
    <w:rPr>
      <w:rFonts w:ascii="Arial" w:hAnsi="Arial" w:eastAsia="仿宋_GB2312" w:cs="Arial"/>
      <w:sz w:val="32"/>
      <w:szCs w:val="32"/>
    </w:rPr>
  </w:style>
  <w:style w:type="paragraph" w:styleId="965">
    <w:name w:val="批注框文本"/>
    <w:basedOn w:val="920"/>
    <w:next w:val="965"/>
    <w:link w:val="966"/>
    <w:semiHidden/>
    <w:rPr>
      <w:rFonts w:ascii="Times New Roman" w:hAnsi="Times New Roman" w:eastAsia="宋体" w:cs="Times New Roman"/>
      <w:sz w:val="18"/>
      <w:szCs w:val="18"/>
    </w:rPr>
  </w:style>
  <w:style w:type="character" w:styleId="966">
    <w:name w:val="批注框文本 字符"/>
    <w:next w:val="966"/>
    <w:link w:val="965"/>
    <w:semiHidden/>
    <w:rPr>
      <w:rFonts w:ascii="Times New Roman" w:hAnsi="Times New Roman" w:eastAsia="宋体" w:cs="Times New Roman"/>
      <w:sz w:val="18"/>
      <w:szCs w:val="18"/>
    </w:rPr>
  </w:style>
  <w:style w:type="paragraph" w:styleId="967">
    <w:name w:val="页脚"/>
    <w:basedOn w:val="920"/>
    <w:next w:val="967"/>
    <w:link w:val="968"/>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68">
    <w:name w:val="页脚 字符"/>
    <w:next w:val="968"/>
    <w:link w:val="967"/>
    <w:uiPriority w:val="99"/>
    <w:rPr>
      <w:rFonts w:ascii="Times New Roman" w:hAnsi="Times New Roman" w:eastAsia="宋体" w:cs="Times New Roman"/>
      <w:sz w:val="18"/>
      <w:szCs w:val="18"/>
    </w:rPr>
  </w:style>
  <w:style w:type="paragraph" w:styleId="969">
    <w:name w:val="页眉"/>
    <w:basedOn w:val="920"/>
    <w:next w:val="969"/>
    <w:link w:val="97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0">
    <w:name w:val="页眉 字符"/>
    <w:next w:val="970"/>
    <w:link w:val="969"/>
    <w:rPr>
      <w:rFonts w:ascii="Times New Roman" w:hAnsi="Times New Roman" w:eastAsia="宋体" w:cs="Times New Roman"/>
      <w:sz w:val="18"/>
      <w:szCs w:val="18"/>
    </w:rPr>
  </w:style>
  <w:style w:type="paragraph" w:styleId="971">
    <w:name w:val="目录 1"/>
    <w:basedOn w:val="920"/>
    <w:next w:val="920"/>
    <w:link w:val="92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2">
    <w:name w:val="目录 4"/>
    <w:basedOn w:val="920"/>
    <w:next w:val="920"/>
    <w:link w:val="920"/>
    <w:semiHidden/>
    <w:pPr>
      <w:ind w:left="630"/>
      <w:jc w:val="left"/>
    </w:pPr>
    <w:rPr>
      <w:rFonts w:ascii="Times New Roman" w:hAnsi="Times New Roman" w:eastAsia="宋体" w:cs="Times New Roman"/>
      <w:szCs w:val="21"/>
    </w:rPr>
  </w:style>
  <w:style w:type="paragraph" w:styleId="973">
    <w:name w:val="列表"/>
    <w:basedOn w:val="920"/>
    <w:next w:val="973"/>
    <w:link w:val="920"/>
    <w:pPr>
      <w:ind w:left="200" w:hanging="200"/>
    </w:pPr>
    <w:rPr>
      <w:rFonts w:ascii="Times New Roman" w:hAnsi="Times New Roman" w:eastAsia="宋体" w:cs="Times New Roman"/>
      <w:szCs w:val="21"/>
    </w:rPr>
  </w:style>
  <w:style w:type="paragraph" w:styleId="974">
    <w:name w:val="目录 6"/>
    <w:basedOn w:val="920"/>
    <w:next w:val="920"/>
    <w:link w:val="920"/>
    <w:semiHidden/>
    <w:pPr>
      <w:ind w:left="1050"/>
      <w:jc w:val="left"/>
    </w:pPr>
    <w:rPr>
      <w:rFonts w:ascii="Times New Roman" w:hAnsi="Times New Roman" w:eastAsia="宋体" w:cs="Times New Roman"/>
      <w:szCs w:val="21"/>
    </w:rPr>
  </w:style>
  <w:style w:type="paragraph" w:styleId="975">
    <w:name w:val="正文文本缩进 3"/>
    <w:basedOn w:val="920"/>
    <w:next w:val="975"/>
    <w:link w:val="976"/>
    <w:pPr>
      <w:ind w:left="645" w:firstLine="645"/>
    </w:pPr>
    <w:rPr>
      <w:rFonts w:ascii="Arial" w:hAnsi="Arial" w:eastAsia="仿宋_GB2312" w:cs="Arial"/>
      <w:color w:val="ffff00"/>
      <w:sz w:val="32"/>
      <w:szCs w:val="32"/>
    </w:rPr>
  </w:style>
  <w:style w:type="character" w:styleId="976">
    <w:name w:val="正文文本缩进 3 字符"/>
    <w:next w:val="976"/>
    <w:link w:val="975"/>
    <w:rPr>
      <w:rFonts w:ascii="Arial" w:hAnsi="Arial" w:eastAsia="仿宋_GB2312" w:cs="Arial"/>
      <w:color w:val="ffff00"/>
      <w:sz w:val="32"/>
      <w:szCs w:val="32"/>
    </w:rPr>
  </w:style>
  <w:style w:type="paragraph" w:styleId="977">
    <w:name w:val="图表目录"/>
    <w:basedOn w:val="920"/>
    <w:next w:val="920"/>
    <w:link w:val="920"/>
    <w:semiHidden/>
    <w:pPr>
      <w:ind w:left="840" w:hanging="420"/>
    </w:pPr>
    <w:rPr>
      <w:rFonts w:ascii="Times New Roman" w:hAnsi="Times New Roman" w:eastAsia="宋体" w:cs="Times New Roman"/>
      <w:szCs w:val="21"/>
    </w:rPr>
  </w:style>
  <w:style w:type="paragraph" w:styleId="978">
    <w:name w:val="目录 2"/>
    <w:basedOn w:val="920"/>
    <w:next w:val="920"/>
    <w:link w:val="920"/>
    <w:semiHidden/>
    <w:pPr>
      <w:ind w:left="210"/>
      <w:jc w:val="left"/>
    </w:pPr>
    <w:rPr>
      <w:rFonts w:ascii="Times New Roman" w:hAnsi="Times New Roman" w:eastAsia="宋体" w:cs="Times New Roman"/>
      <w:smallCaps/>
      <w:szCs w:val="24"/>
    </w:rPr>
  </w:style>
  <w:style w:type="paragraph" w:styleId="979">
    <w:name w:val="目录 9"/>
    <w:basedOn w:val="920"/>
    <w:next w:val="920"/>
    <w:link w:val="920"/>
    <w:semiHidden/>
    <w:pPr>
      <w:ind w:left="1680"/>
      <w:jc w:val="left"/>
    </w:pPr>
    <w:rPr>
      <w:rFonts w:ascii="Times New Roman" w:hAnsi="Times New Roman" w:eastAsia="宋体" w:cs="Times New Roman"/>
      <w:szCs w:val="21"/>
    </w:rPr>
  </w:style>
  <w:style w:type="paragraph" w:styleId="980">
    <w:name w:val="正文文本 2"/>
    <w:basedOn w:val="920"/>
    <w:next w:val="980"/>
    <w:link w:val="981"/>
    <w:pPr>
      <w:jc w:val="center"/>
      <w:widowControl/>
    </w:pPr>
    <w:rPr>
      <w:rFonts w:ascii="楷体_GB2312" w:hAnsi="Times New Roman" w:eastAsia="楷体_GB2312" w:cs="Times New Roman"/>
      <w:sz w:val="28"/>
      <w:szCs w:val="28"/>
    </w:rPr>
  </w:style>
  <w:style w:type="character" w:styleId="981">
    <w:name w:val="正文文本 2 字符"/>
    <w:next w:val="981"/>
    <w:link w:val="980"/>
    <w:rPr>
      <w:rFonts w:ascii="楷体_GB2312" w:hAnsi="Times New Roman" w:eastAsia="楷体_GB2312" w:cs="Times New Roman"/>
      <w:sz w:val="28"/>
      <w:szCs w:val="28"/>
    </w:rPr>
  </w:style>
  <w:style w:type="paragraph" w:styleId="982">
    <w:name w:val="普通(网站)"/>
    <w:basedOn w:val="920"/>
    <w:next w:val="982"/>
    <w:link w:val="920"/>
    <w:uiPriority w:val="99"/>
    <w:pPr>
      <w:jc w:val="left"/>
      <w:spacing w:before="100" w:beforeAutospacing="1" w:after="100" w:afterAutospacing="1"/>
      <w:widowControl/>
    </w:pPr>
    <w:rPr>
      <w:rFonts w:ascii="宋体" w:hAnsi="宋体" w:eastAsia="宋体" w:cs="宋体"/>
      <w:sz w:val="24"/>
      <w:szCs w:val="24"/>
    </w:rPr>
  </w:style>
  <w:style w:type="paragraph" w:styleId="983">
    <w:name w:val="索引 1"/>
    <w:basedOn w:val="920"/>
    <w:next w:val="920"/>
    <w:link w:val="920"/>
    <w:semiHidden/>
    <w:pPr>
      <w:spacing w:line="240" w:lineRule="atLeast"/>
    </w:pPr>
    <w:rPr>
      <w:rFonts w:ascii="Times New Roman" w:hAnsi="Times New Roman" w:eastAsia="宋体" w:cs="Times New Roman"/>
      <w:b/>
      <w:bCs/>
      <w:szCs w:val="21"/>
    </w:rPr>
  </w:style>
  <w:style w:type="paragraph" w:styleId="984">
    <w:name w:val="批注主题"/>
    <w:basedOn w:val="947"/>
    <w:next w:val="947"/>
    <w:link w:val="985"/>
    <w:semiHidden/>
    <w:rPr>
      <w:rFonts w:ascii="Times New Roman" w:hAnsi="Times New Roman" w:eastAsia="宋体" w:cs="Times New Roman"/>
      <w:b/>
      <w:bCs/>
      <w:szCs w:val="21"/>
    </w:rPr>
  </w:style>
  <w:style w:type="character" w:styleId="985">
    <w:name w:val="批注主题 字符"/>
    <w:next w:val="985"/>
    <w:link w:val="984"/>
    <w:semiHidden/>
    <w:rPr>
      <w:rFonts w:ascii="Times New Roman" w:hAnsi="Times New Roman" w:eastAsia="宋体" w:cs="Times New Roman"/>
      <w:b/>
      <w:bCs/>
      <w:szCs w:val="21"/>
    </w:rPr>
  </w:style>
  <w:style w:type="paragraph" w:styleId="986">
    <w:name w:val="正文首行缩进"/>
    <w:basedOn w:val="920"/>
    <w:next w:val="986"/>
    <w:link w:val="987"/>
    <w:pPr>
      <w:ind w:firstLine="200"/>
      <w:spacing w:line="360" w:lineRule="auto"/>
    </w:pPr>
    <w:rPr>
      <w:rFonts w:ascii="仿宋_GB2312" w:hAnsi="Times New Roman" w:eastAsia="仿宋_GB2312" w:cs="Times New Roman"/>
      <w:sz w:val="30"/>
      <w:szCs w:val="30"/>
    </w:rPr>
  </w:style>
  <w:style w:type="character" w:styleId="987">
    <w:name w:val="正文首行缩进 字符"/>
    <w:next w:val="987"/>
    <w:link w:val="986"/>
    <w:rPr>
      <w:rFonts w:ascii="仿宋_GB2312" w:hAnsi="Times New Roman" w:eastAsia="仿宋_GB2312" w:cs="Times New Roman"/>
      <w:sz w:val="30"/>
      <w:szCs w:val="30"/>
    </w:rPr>
  </w:style>
  <w:style w:type="paragraph" w:styleId="988">
    <w:name w:val="正文首行缩进 2"/>
    <w:basedOn w:val="953"/>
    <w:next w:val="988"/>
    <w:link w:val="989"/>
    <w:pPr>
      <w:ind w:left="0" w:firstLine="420"/>
      <w:spacing w:after="0" w:line="360" w:lineRule="auto"/>
    </w:pPr>
    <w:rPr>
      <w:rFonts w:ascii="宋体" w:hAnsi="宋体" w:eastAsia="宋体" w:cs="Times New Roman"/>
      <w:szCs w:val="20"/>
    </w:rPr>
  </w:style>
  <w:style w:type="character" w:styleId="989">
    <w:name w:val="正文首行缩进 2 字符"/>
    <w:next w:val="989"/>
    <w:link w:val="988"/>
    <w:rPr>
      <w:rFonts w:ascii="宋体" w:hAnsi="宋体" w:eastAsia="宋体" w:cs="Times New Roman"/>
      <w:szCs w:val="20"/>
    </w:rPr>
  </w:style>
  <w:style w:type="table" w:styleId="990">
    <w:name w:val="网格型"/>
    <w:basedOn w:val="931"/>
    <w:next w:val="990"/>
    <w:link w:val="920"/>
    <w:pPr>
      <w:jc w:val="both"/>
      <w:widowControl w:val="off"/>
    </w:pPr>
    <w:rPr>
      <w:rFonts w:ascii="Times New Roman" w:hAnsi="Times New Roman" w:eastAsia="宋体" w:cs="Times New Roman"/>
      <w:sz w:val="20"/>
      <w:szCs w:val="20"/>
    </w:rPr>
    <w:tblPr/>
  </w:style>
  <w:style w:type="character" w:styleId="991">
    <w:name w:val="要点"/>
    <w:next w:val="991"/>
    <w:link w:val="920"/>
    <w:qFormat/>
    <w:rPr>
      <w:b/>
      <w:bCs/>
    </w:rPr>
  </w:style>
  <w:style w:type="character" w:styleId="992">
    <w:name w:val="页码"/>
    <w:next w:val="992"/>
    <w:link w:val="920"/>
  </w:style>
  <w:style w:type="character" w:styleId="993">
    <w:name w:val="已访问的超链接"/>
    <w:next w:val="993"/>
    <w:link w:val="920"/>
    <w:rPr>
      <w:color w:val="800080"/>
      <w:u w:val="single"/>
    </w:rPr>
  </w:style>
  <w:style w:type="character" w:styleId="994">
    <w:name w:val="强调"/>
    <w:next w:val="994"/>
    <w:link w:val="920"/>
    <w:qFormat/>
    <w:rPr>
      <w:i/>
    </w:rPr>
  </w:style>
  <w:style w:type="character" w:styleId="995">
    <w:name w:val="超链接"/>
    <w:next w:val="995"/>
    <w:link w:val="920"/>
    <w:rPr>
      <w:color w:val="0000ff"/>
      <w:u w:val="single"/>
    </w:rPr>
  </w:style>
  <w:style w:type="character" w:styleId="996">
    <w:name w:val="批注引用"/>
    <w:next w:val="996"/>
    <w:link w:val="920"/>
    <w:semiHidden/>
    <w:rPr>
      <w:sz w:val="21"/>
      <w:szCs w:val="21"/>
    </w:rPr>
  </w:style>
  <w:style w:type="character" w:styleId="997">
    <w:name w:val="font5 Char"/>
    <w:next w:val="997"/>
    <w:link w:val="920"/>
    <w:rPr>
      <w:rFonts w:ascii="宋体" w:hAnsi="宋体" w:eastAsia="宋体"/>
      <w:sz w:val="28"/>
      <w:szCs w:val="28"/>
      <w:lang w:val="en-US" w:eastAsia="zh-CN" w:bidi="ar-SA"/>
    </w:rPr>
  </w:style>
  <w:style w:type="character" w:styleId="998">
    <w:name w:val="二级目录 Char"/>
    <w:next w:val="998"/>
    <w:link w:val="999"/>
    <w:rPr>
      <w:b/>
      <w:sz w:val="30"/>
      <w:szCs w:val="28"/>
    </w:rPr>
  </w:style>
  <w:style w:type="paragraph" w:styleId="999">
    <w:name w:val="二级目录"/>
    <w:next w:val="920"/>
    <w:link w:val="998"/>
    <w:pPr>
      <w:numPr>
        <w:ilvl w:val="0"/>
        <w:numId w:val="2"/>
      </w:numPr>
      <w:tabs>
        <w:tab w:val="left" w:pos="907" w:leader="none"/>
        <w:tab w:val="left" w:pos="1145" w:leader="none"/>
      </w:tabs>
      <w:outlineLvl w:val="1"/>
    </w:pPr>
    <w:rPr>
      <w:b/>
      <w:sz w:val="30"/>
      <w:szCs w:val="28"/>
      <w:lang w:val="en-US" w:eastAsia="zh-CN" w:bidi="ar-SA"/>
    </w:rPr>
  </w:style>
  <w:style w:type="character" w:styleId="1000">
    <w:name w:val="列出段落 Char,Bullet List Char,numbered Char,FooterText Char,List Paragraph1 Char,Paragraphe de liste1 Char"/>
    <w:next w:val="1000"/>
    <w:link w:val="1001"/>
    <w:rPr>
      <w:rFonts w:ascii="Calibri" w:hAnsi="Calibri"/>
      <w:sz w:val="24"/>
      <w:szCs w:val="24"/>
      <w:lang w:eastAsia="en-US" w:bidi="en-US"/>
    </w:rPr>
  </w:style>
  <w:style w:type="paragraph" w:styleId="1001">
    <w:name w:val="列出段落1"/>
    <w:basedOn w:val="920"/>
    <w:next w:val="1001"/>
    <w:link w:val="1000"/>
    <w:qFormat/>
    <w:pPr>
      <w:contextualSpacing/>
      <w:ind w:left="720"/>
      <w:jc w:val="left"/>
      <w:widowControl/>
    </w:pPr>
    <w:rPr>
      <w:rFonts w:ascii="Calibri" w:hAnsi="Calibri"/>
      <w:sz w:val="24"/>
      <w:szCs w:val="24"/>
      <w:lang w:eastAsia="en-US" w:bidi="en-US"/>
    </w:rPr>
  </w:style>
  <w:style w:type="paragraph" w:styleId="1002">
    <w:name w:val="Body Text(ch)"/>
    <w:basedOn w:val="920"/>
    <w:next w:val="951"/>
    <w:link w:val="920"/>
    <w:pPr>
      <w:spacing w:after="120"/>
    </w:pPr>
    <w:rPr>
      <w:rFonts w:ascii="宋体" w:hAnsi="Arial" w:eastAsia="宋体" w:cs="Times New Roman"/>
      <w:bCs/>
      <w:iCs/>
      <w:szCs w:val="24"/>
    </w:rPr>
  </w:style>
  <w:style w:type="paragraph" w:styleId="1003">
    <w:name w:val="xl27"/>
    <w:basedOn w:val="920"/>
    <w:next w:val="1003"/>
    <w:link w:val="92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4">
    <w:name w:val="xl26"/>
    <w:basedOn w:val="920"/>
    <w:next w:val="1004"/>
    <w:link w:val="9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5">
    <w:name w:val="Char"/>
    <w:basedOn w:val="920"/>
    <w:next w:val="1005"/>
    <w:link w:val="920"/>
    <w:pPr>
      <w:ind w:firstLine="200"/>
      <w:tabs>
        <w:tab w:val="left" w:pos="360" w:leader="none"/>
      </w:tabs>
    </w:pPr>
    <w:rPr>
      <w:rFonts w:ascii="Times New Roman" w:hAnsi="Times New Roman" w:eastAsia="宋体" w:cs="Times New Roman"/>
      <w:sz w:val="28"/>
      <w:szCs w:val="30"/>
    </w:rPr>
  </w:style>
  <w:style w:type="paragraph" w:styleId="1006">
    <w:name w:val=" Char"/>
    <w:basedOn w:val="945"/>
    <w:next w:val="1006"/>
    <w:link w:val="920"/>
    <w:rPr>
      <w:rFonts w:ascii="Tahoma" w:hAnsi="Tahoma"/>
      <w:sz w:val="24"/>
      <w:szCs w:val="24"/>
    </w:rPr>
  </w:style>
  <w:style w:type="paragraph" w:styleId="1007">
    <w:name w:val="普通正文"/>
    <w:basedOn w:val="920"/>
    <w:next w:val="1007"/>
    <w:link w:val="920"/>
    <w:pPr>
      <w:ind w:firstLine="480"/>
      <w:jc w:val="left"/>
      <w:spacing w:before="120" w:after="120" w:line="360" w:lineRule="auto"/>
    </w:pPr>
    <w:rPr>
      <w:rFonts w:ascii="Arial" w:hAnsi="Arial" w:eastAsia="宋体" w:cs="Times New Roman"/>
      <w:sz w:val="24"/>
      <w:szCs w:val="24"/>
    </w:rPr>
  </w:style>
  <w:style w:type="paragraph" w:styleId="1008">
    <w:name w:val="table_lines"/>
    <w:basedOn w:val="920"/>
    <w:next w:val="1008"/>
    <w:link w:val="920"/>
    <w:pPr>
      <w:jc w:val="left"/>
      <w:widowControl/>
    </w:pPr>
    <w:rPr>
      <w:rFonts w:ascii="Times New Roman" w:hAnsi="Times New Roman" w:eastAsia="宋体" w:cs="Times New Roman"/>
      <w:sz w:val="20"/>
      <w:szCs w:val="20"/>
      <w:lang w:val="de-DE" w:eastAsia="de-DE"/>
    </w:rPr>
  </w:style>
  <w:style w:type="paragraph" w:styleId="1009">
    <w:name w:val="附录1"/>
    <w:next w:val="1009"/>
    <w:link w:val="920"/>
    <w:pPr>
      <w:numPr>
        <w:ilvl w:val="0"/>
        <w:numId w:val="2"/>
      </w:numPr>
      <w:spacing w:before="240" w:line="600" w:lineRule="atLeast"/>
      <w:tabs>
        <w:tab w:val="left" w:pos="907" w:leader="none"/>
      </w:tabs>
    </w:pPr>
    <w:rPr>
      <w:b/>
      <w:i/>
      <w:sz w:val="28"/>
      <w:lang w:val="en-US" w:eastAsia="zh-CN" w:bidi="ar-SA"/>
    </w:rPr>
  </w:style>
  <w:style w:type="paragraph" w:styleId="1010">
    <w:name w:val="font7"/>
    <w:basedOn w:val="920"/>
    <w:next w:val="1010"/>
    <w:link w:val="920"/>
    <w:pPr>
      <w:jc w:val="left"/>
      <w:spacing w:before="100" w:beforeAutospacing="1" w:after="100" w:afterAutospacing="1"/>
      <w:widowControl/>
    </w:pPr>
    <w:rPr>
      <w:rFonts w:hint="eastAsia" w:ascii="宋体" w:hAnsi="宋体" w:eastAsia="宋体" w:cs="Times New Roman"/>
      <w:sz w:val="18"/>
      <w:szCs w:val="18"/>
    </w:rPr>
  </w:style>
  <w:style w:type="paragraph" w:styleId="1011">
    <w:name w:val=" Char Char Char Char"/>
    <w:basedOn w:val="945"/>
    <w:next w:val="1011"/>
    <w:link w:val="920"/>
    <w:pPr>
      <w:spacing w:line="360" w:lineRule="auto"/>
    </w:pPr>
    <w:rPr>
      <w:rFonts w:ascii="Tahoma" w:hAnsi="Tahoma"/>
      <w:sz w:val="24"/>
      <w:szCs w:val="24"/>
    </w:rPr>
  </w:style>
  <w:style w:type="paragraph" w:styleId="1012">
    <w:name w:val="列出段落"/>
    <w:basedOn w:val="920"/>
    <w:next w:val="1012"/>
    <w:link w:val="920"/>
    <w:qFormat/>
    <w:pPr>
      <w:contextualSpacing/>
      <w:ind w:left="720"/>
      <w:jc w:val="left"/>
      <w:widowControl/>
    </w:pPr>
    <w:rPr>
      <w:rFonts w:ascii="Calibri" w:hAnsi="Calibri" w:eastAsia="宋体" w:cs="Times New Roman"/>
      <w:sz w:val="24"/>
      <w:szCs w:val="24"/>
      <w:lang w:eastAsia="en-US" w:bidi="en-US"/>
    </w:rPr>
  </w:style>
  <w:style w:type="paragraph" w:styleId="1013">
    <w:name w:val="4"/>
    <w:basedOn w:val="920"/>
    <w:next w:val="975"/>
    <w:link w:val="920"/>
    <w:pPr>
      <w:ind w:firstLine="420"/>
      <w:spacing w:line="360" w:lineRule="auto"/>
    </w:pPr>
    <w:rPr>
      <w:rFonts w:ascii="Times New Roman" w:hAnsi="Times New Roman" w:eastAsia="宋体" w:cs="Times New Roman"/>
      <w:color w:val="ff0000"/>
      <w:sz w:val="24"/>
      <w:szCs w:val="24"/>
    </w:rPr>
  </w:style>
  <w:style w:type="paragraph" w:styleId="1014">
    <w:name w:val="普通 (Web)"/>
    <w:basedOn w:val="920"/>
    <w:next w:val="1014"/>
    <w:link w:val="920"/>
    <w:pPr>
      <w:jc w:val="left"/>
      <w:spacing w:before="100" w:beforeAutospacing="1" w:after="100" w:afterAutospacing="1"/>
      <w:widowControl/>
    </w:pPr>
    <w:rPr>
      <w:rFonts w:ascii="宋体" w:hAnsi="宋体" w:eastAsia="宋体" w:cs="Times New Roman"/>
      <w:sz w:val="24"/>
      <w:szCs w:val="24"/>
    </w:rPr>
  </w:style>
  <w:style w:type="paragraph" w:styleId="1015">
    <w:name w:val=" Char Char Char Char Char Char Char Char Char Char"/>
    <w:basedOn w:val="920"/>
    <w:next w:val="1015"/>
    <w:link w:val="920"/>
    <w:pPr>
      <w:spacing w:line="360" w:lineRule="auto"/>
    </w:pPr>
    <w:rPr>
      <w:rFonts w:ascii="Times New Roman" w:hAnsi="Times New Roman" w:eastAsia="宋体" w:cs="Times New Roman"/>
      <w:sz w:val="24"/>
      <w:szCs w:val="20"/>
    </w:rPr>
  </w:style>
  <w:style w:type="paragraph" w:styleId="1016">
    <w:name w:val="样式1"/>
    <w:basedOn w:val="920"/>
    <w:next w:val="1016"/>
    <w:link w:val="920"/>
    <w:pPr>
      <w:numPr>
        <w:ilvl w:val="0"/>
        <w:numId w:val="3"/>
      </w:numPr>
      <w:tabs>
        <w:tab w:val="left" w:pos="709" w:leader="none"/>
      </w:tabs>
    </w:pPr>
    <w:rPr>
      <w:rFonts w:ascii="宋体" w:hAnsi="宋体" w:eastAsia="宋体" w:cs="Times New Roman"/>
      <w:szCs w:val="21"/>
    </w:rPr>
  </w:style>
  <w:style w:type="paragraph" w:styleId="1017">
    <w:name w:val="font6"/>
    <w:basedOn w:val="920"/>
    <w:next w:val="1017"/>
    <w:link w:val="920"/>
    <w:pPr>
      <w:jc w:val="left"/>
      <w:spacing w:before="100" w:beforeAutospacing="1" w:after="100" w:afterAutospacing="1"/>
      <w:widowControl/>
    </w:pPr>
    <w:rPr>
      <w:rFonts w:hint="eastAsia" w:ascii="宋体" w:hAnsi="宋体" w:eastAsia="宋体" w:cs="Times New Roman"/>
      <w:sz w:val="28"/>
      <w:szCs w:val="28"/>
      <w:u w:val="single"/>
    </w:rPr>
  </w:style>
  <w:style w:type="paragraph" w:styleId="1018">
    <w:name w:val="xl25"/>
    <w:basedOn w:val="920"/>
    <w:next w:val="1018"/>
    <w:link w:val="92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9">
    <w:name w:val="图标"/>
    <w:basedOn w:val="920"/>
    <w:next w:val="920"/>
    <w:link w:val="92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0">
    <w:name w:val="标题3"/>
    <w:basedOn w:val="920"/>
    <w:next w:val="920"/>
    <w:link w:val="920"/>
    <w:pPr>
      <w:ind w:firstLine="624"/>
      <w:spacing w:line="590" w:lineRule="atLeast"/>
    </w:pPr>
    <w:rPr>
      <w:rFonts w:ascii="方正黑体_GBK" w:hAnsi="Times New Roman" w:eastAsia="方正黑体_GBK" w:cs="Times New Roman"/>
      <w:sz w:val="32"/>
      <w:szCs w:val="32"/>
    </w:rPr>
  </w:style>
  <w:style w:type="paragraph" w:styleId="1021">
    <w:name w:val="xl24"/>
    <w:basedOn w:val="920"/>
    <w:next w:val="1021"/>
    <w:link w:val="92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2">
    <w:name w:val="xl29"/>
    <w:basedOn w:val="920"/>
    <w:next w:val="1022"/>
    <w:link w:val="92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3">
    <w:name w:val="Char Char Char Char Char Char Char Char"/>
    <w:basedOn w:val="920"/>
    <w:next w:val="1023"/>
    <w:link w:val="920"/>
    <w:pPr>
      <w:jc w:val="left"/>
      <w:spacing w:after="160" w:line="240" w:lineRule="exact"/>
      <w:widowControl/>
    </w:pPr>
    <w:rPr>
      <w:rFonts w:ascii="Verdana" w:hAnsi="Verdana" w:eastAsia="宋体" w:cs="Times New Roman"/>
      <w:sz w:val="20"/>
      <w:szCs w:val="20"/>
      <w:lang w:eastAsia="en-US"/>
    </w:rPr>
  </w:style>
  <w:style w:type="paragraph" w:styleId="1024">
    <w:name w:val="xl28"/>
    <w:basedOn w:val="920"/>
    <w:next w:val="1024"/>
    <w:link w:val="92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5">
    <w:name w:val=" Char Char Char Char Char Char Char Char"/>
    <w:basedOn w:val="920"/>
    <w:next w:val="1025"/>
    <w:link w:val="920"/>
    <w:pPr>
      <w:jc w:val="left"/>
      <w:spacing w:after="160" w:line="240" w:lineRule="exact"/>
      <w:widowControl/>
    </w:pPr>
    <w:rPr>
      <w:rFonts w:ascii="Verdana" w:hAnsi="Verdana" w:eastAsia="宋体" w:cs="Times New Roman"/>
      <w:sz w:val="20"/>
      <w:szCs w:val="20"/>
      <w:lang w:eastAsia="en-US"/>
    </w:rPr>
  </w:style>
  <w:style w:type="paragraph" w:styleId="1026">
    <w:name w:val="xl30"/>
    <w:basedOn w:val="920"/>
    <w:next w:val="1026"/>
    <w:link w:val="920"/>
    <w:pPr>
      <w:jc w:val="center"/>
      <w:spacing w:before="100" w:beforeAutospacing="1" w:after="100" w:afterAutospacing="1"/>
      <w:widowControl/>
    </w:pPr>
    <w:rPr>
      <w:rFonts w:ascii="宋体" w:hAnsi="宋体" w:eastAsia="宋体" w:cs="Times New Roman"/>
      <w:b/>
      <w:bCs/>
      <w:sz w:val="36"/>
      <w:szCs w:val="36"/>
    </w:rPr>
  </w:style>
  <w:style w:type="paragraph" w:styleId="1027">
    <w:name w:val="Char Char Char Char"/>
    <w:basedOn w:val="945"/>
    <w:next w:val="1027"/>
    <w:link w:val="920"/>
    <w:pPr>
      <w:spacing w:line="360" w:lineRule="auto"/>
    </w:pPr>
    <w:rPr>
      <w:rFonts w:ascii="Tahoma" w:hAnsi="Tahoma"/>
      <w:sz w:val="24"/>
      <w:szCs w:val="24"/>
    </w:rPr>
  </w:style>
  <w:style w:type="paragraph" w:styleId="1028">
    <w:name w:val="table_1stline"/>
    <w:basedOn w:val="920"/>
    <w:next w:val="1028"/>
    <w:link w:val="920"/>
    <w:pPr>
      <w:jc w:val="left"/>
      <w:spacing w:before="120"/>
      <w:widowControl/>
    </w:pPr>
    <w:rPr>
      <w:rFonts w:ascii="Times New Roman" w:hAnsi="Times New Roman" w:eastAsia="宋体" w:cs="Times New Roman"/>
      <w:bCs/>
      <w:sz w:val="20"/>
      <w:szCs w:val="20"/>
      <w:lang w:val="de-DE" w:eastAsia="de-DE"/>
    </w:rPr>
  </w:style>
  <w:style w:type="paragraph" w:styleId="1029">
    <w:name w:val="font5"/>
    <w:basedOn w:val="920"/>
    <w:next w:val="1029"/>
    <w:link w:val="920"/>
    <w:pPr>
      <w:jc w:val="left"/>
      <w:spacing w:before="100" w:beforeAutospacing="1" w:after="100" w:afterAutospacing="1"/>
      <w:widowControl/>
    </w:pPr>
    <w:rPr>
      <w:rFonts w:hint="eastAsia" w:ascii="宋体" w:hAnsi="宋体" w:eastAsia="宋体" w:cs="Times New Roman"/>
      <w:sz w:val="28"/>
      <w:szCs w:val="28"/>
    </w:rPr>
  </w:style>
  <w:style w:type="paragraph" w:styleId="1030">
    <w:name w:val="标题1"/>
    <w:basedOn w:val="920"/>
    <w:next w:val="920"/>
    <w:link w:val="92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1">
    <w:name w:val="修订"/>
    <w:next w:val="1031"/>
    <w:link w:val="920"/>
    <w:uiPriority w:val="99"/>
    <w:semiHidden/>
    <w:rPr>
      <w:sz w:val="21"/>
      <w:szCs w:val="21"/>
      <w:lang w:val="en-US" w:eastAsia="zh-CN" w:bidi="ar-SA"/>
    </w:rPr>
  </w:style>
  <w:style w:type="paragraph" w:styleId="1032">
    <w:name w:val="无间隔"/>
    <w:next w:val="1032"/>
    <w:link w:val="920"/>
    <w:uiPriority w:val="99"/>
    <w:qFormat/>
    <w:pPr>
      <w:jc w:val="both"/>
      <w:widowControl w:val="off"/>
    </w:pPr>
    <w:rPr>
      <w:sz w:val="21"/>
      <w:szCs w:val="21"/>
      <w:lang w:val="en-US" w:eastAsia="zh-CN" w:bidi="ar-SA"/>
    </w:rPr>
  </w:style>
  <w:style w:type="paragraph" w:styleId="1033">
    <w:name w:val="AONormal"/>
    <w:next w:val="1033"/>
    <w:link w:val="920"/>
    <w:qFormat/>
    <w:pPr>
      <w:ind w:firstLine="440"/>
      <w:spacing w:line="400" w:lineRule="exact"/>
    </w:pPr>
    <w:rPr>
      <w:rFonts w:ascii="华文楷体" w:hAnsi="华文楷体" w:eastAsia="华文楷体" w:cs="华文楷体"/>
      <w:sz w:val="22"/>
      <w:szCs w:val="21"/>
      <w:lang w:val="en-US" w:eastAsia="zh-CN" w:bidi="ar-SA"/>
    </w:rPr>
  </w:style>
  <w:style w:type="paragraph" w:styleId="1034">
    <w:name w:val="普通(网站)1"/>
    <w:basedOn w:val="920"/>
    <w:next w:val="1034"/>
    <w:link w:val="920"/>
    <w:uiPriority w:val="99"/>
    <w:qFormat/>
    <w:pPr>
      <w:jc w:val="left"/>
      <w:spacing w:before="100" w:beforeAutospacing="1" w:after="100" w:afterAutospacing="1"/>
      <w:widowControl/>
    </w:pPr>
    <w:rPr>
      <w:rFonts w:ascii="宋体" w:hAnsi="宋体" w:eastAsia="宋体" w:cs="宋体"/>
      <w:sz w:val="24"/>
      <w:szCs w:val="24"/>
    </w:rPr>
  </w:style>
  <w:style w:type="paragraph" w:styleId="1035">
    <w:name w:val="索引 41"/>
    <w:basedOn w:val="920"/>
    <w:next w:val="920"/>
    <w:link w:val="920"/>
    <w:qFormat/>
    <w:pPr>
      <w:ind w:left="600"/>
      <w:jc w:val="both"/>
    </w:pPr>
    <w:rPr>
      <w:rFonts w:ascii="Calibri" w:hAnsi="Calibri" w:cs="Times New Roman"/>
      <w:sz w:val="21"/>
    </w:rPr>
  </w:style>
  <w:style w:type="paragraph" w:styleId="1036">
    <w:name w:val="正文缩进11"/>
    <w:basedOn w:val="920"/>
    <w:next w:val="1036"/>
    <w:link w:val="920"/>
    <w:qFormat/>
    <w:pPr>
      <w:ind w:firstLine="420"/>
    </w:pPr>
  </w:style>
  <w:style w:type="character" w:styleId="1037" w:default="1">
    <w:name w:val="Default Paragraph Font"/>
    <w:uiPriority w:val="1"/>
    <w:semiHidden/>
    <w:unhideWhenUsed/>
  </w:style>
  <w:style w:type="numbering" w:styleId="1038" w:default="1">
    <w:name w:val="No List"/>
    <w:uiPriority w:val="99"/>
    <w:semiHidden/>
    <w:unhideWhenUsed/>
  </w:style>
  <w:style w:type="table" w:styleId="10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4</cp:revision>
  <dcterms:created xsi:type="dcterms:W3CDTF">2023-03-27T07:28:00Z</dcterms:created>
  <dcterms:modified xsi:type="dcterms:W3CDTF">2026-10-28T01:48:40Z</dcterms:modified>
</cp:coreProperties>
</file>