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859"/>
        <w:ind w:firstLine="300"/>
        <w:spacing w:line="360" w:lineRule="auto"/>
        <w:rPr>
          <w:rFonts w:ascii="宋体" w:hAnsi="宋体"/>
          <w:sz w:val="60"/>
          <w:szCs w:val="60"/>
        </w:rPr>
      </w:pPr>
      <w:r>
        <w:rPr>
          <w:rFonts w:ascii="宋体" w:hAnsi="宋体"/>
          <w:sz w:val="60"/>
          <w:szCs w:val="60"/>
        </w:rPr>
      </w:r>
      <w:r/>
    </w:p>
    <w:p>
      <w:pPr>
        <w:pStyle w:val="859"/>
        <w:jc w:val="center"/>
        <w:rPr>
          <w:rFonts w:ascii="宋体" w:hAnsi="宋体"/>
          <w:b/>
          <w:bCs/>
          <w:sz w:val="60"/>
          <w:szCs w:val="60"/>
        </w:rPr>
      </w:pPr>
      <w:r>
        <w:rPr>
          <w:rFonts w:ascii="宋体" w:hAnsi="宋体"/>
          <w:b/>
          <w:bCs/>
          <w:sz w:val="60"/>
          <w:szCs w:val="60"/>
        </w:rPr>
        <w:t xml:space="preserve">常州市政府采购项目</w:t>
      </w:r>
      <w:r/>
    </w:p>
    <w:p>
      <w:pPr>
        <w:pStyle w:val="859"/>
        <w:jc w:val="center"/>
        <w:rPr>
          <w:rFonts w:ascii="宋体" w:hAnsi="宋体"/>
          <w:b/>
          <w:bCs/>
          <w:sz w:val="60"/>
          <w:szCs w:val="60"/>
        </w:rPr>
      </w:pPr>
      <w:r>
        <w:rPr>
          <w:rFonts w:ascii="宋体" w:hAnsi="宋体"/>
          <w:b/>
          <w:bCs/>
          <w:sz w:val="60"/>
          <w:szCs w:val="60"/>
        </w:rPr>
      </w:r>
      <w:r/>
    </w:p>
    <w:p>
      <w:pPr>
        <w:pStyle w:val="859"/>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859"/>
        <w:jc w:val="center"/>
        <w:rPr>
          <w:rFonts w:ascii="宋体" w:hAnsi="宋体"/>
          <w:b/>
          <w:bCs/>
          <w:sz w:val="60"/>
          <w:szCs w:val="60"/>
        </w:rPr>
      </w:pPr>
      <w:r>
        <w:rPr>
          <w:rFonts w:ascii="宋体" w:hAnsi="宋体"/>
          <w:b/>
          <w:bCs/>
          <w:sz w:val="60"/>
          <w:szCs w:val="60"/>
        </w:rPr>
      </w:r>
      <w:r/>
    </w:p>
    <w:p>
      <w:pPr>
        <w:pStyle w:val="859"/>
        <w:jc w:val="center"/>
        <w:rPr>
          <w:rFonts w:ascii="宋体" w:hAnsi="宋体"/>
          <w:b/>
          <w:bCs/>
          <w:sz w:val="60"/>
          <w:szCs w:val="60"/>
        </w:rPr>
      </w:pPr>
      <w:r>
        <w:rPr>
          <w:rFonts w:ascii="宋体" w:hAnsi="宋体"/>
          <w:b/>
          <w:bCs/>
          <w:sz w:val="60"/>
          <w:szCs w:val="60"/>
        </w:rPr>
      </w:r>
      <w:r/>
    </w:p>
    <w:p>
      <w:pPr>
        <w:pStyle w:val="859"/>
        <w:jc w:val="center"/>
        <w:spacing w:line="360" w:lineRule="auto"/>
        <w:rPr>
          <w:rFonts w:ascii="宋体" w:hAnsi="宋体"/>
          <w:sz w:val="60"/>
          <w:szCs w:val="60"/>
        </w:rPr>
      </w:pPr>
      <w:r>
        <w:rPr>
          <w:rFonts w:ascii="宋体" w:hAnsi="宋体"/>
          <w:sz w:val="60"/>
          <w:szCs w:val="60"/>
        </w:rPr>
      </w:r>
      <w:r/>
    </w:p>
    <w:p>
      <w:pPr>
        <w:pStyle w:val="859"/>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乌兹别克斯坦新能源汽车工程技术学院建设项目</w:t>
      </w:r>
      <w:r>
        <w:rPr>
          <w:rFonts w:ascii="宋体" w:hAnsi="宋体"/>
          <w:bCs/>
          <w:sz w:val="36"/>
          <w:szCs w:val="36"/>
        </w:rPr>
      </w:r>
      <w:r/>
    </w:p>
    <w:p>
      <w:pPr>
        <w:pStyle w:val="859"/>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JSZC-320400-CTZB-G2026-0150</w:t>
      </w:r>
      <w:r>
        <w:rPr>
          <w:rFonts w:ascii="宋体" w:hAnsi="宋体"/>
          <w:bCs/>
          <w:sz w:val="36"/>
          <w:szCs w:val="36"/>
        </w:rPr>
      </w:r>
      <w:r/>
    </w:p>
    <w:p>
      <w:pPr>
        <w:pStyle w:val="859"/>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常州信息职业技术学院</w:t>
      </w:r>
      <w:r/>
    </w:p>
    <w:p>
      <w:pPr>
        <w:pStyle w:val="859"/>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859"/>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859"/>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913"/>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913"/>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936"/>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913"/>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936"/>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913"/>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936"/>
          <w:color w:val="000000"/>
          <w:sz w:val="32"/>
          <w:szCs w:val="32"/>
        </w:rPr>
        <w:t xml:space="preserve">第三章   资</w:t>
      </w:r>
      <w:bookmarkStart w:id="1" w:name="_Hlt100754117"/>
      <w:r>
        <w:rPr>
          <w:rStyle w:val="936"/>
          <w:color w:val="000000"/>
          <w:sz w:val="32"/>
          <w:szCs w:val="32"/>
        </w:rPr>
        <w:t xml:space="preserve">格</w:t>
      </w:r>
      <w:bookmarkEnd w:id="1"/>
      <w:r>
        <w:rPr>
          <w:rStyle w:val="936"/>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913"/>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936"/>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913"/>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936"/>
          <w:color w:val="000000"/>
          <w:sz w:val="32"/>
          <w:szCs w:val="32"/>
        </w:rPr>
        <w:t xml:space="preserve">第五章   采购</w:t>
      </w:r>
      <w:bookmarkStart w:id="2" w:name="_Hlt100754102"/>
      <w:r/>
      <w:bookmarkStart w:id="3" w:name="_Hlt100754103"/>
      <w:r>
        <w:rPr>
          <w:rStyle w:val="936"/>
          <w:color w:val="000000"/>
          <w:sz w:val="32"/>
          <w:szCs w:val="32"/>
        </w:rPr>
        <w:t xml:space="preserve">需</w:t>
      </w:r>
      <w:bookmarkEnd w:id="2"/>
      <w:r/>
      <w:bookmarkEnd w:id="3"/>
      <w:r>
        <w:rPr>
          <w:rStyle w:val="936"/>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33</w:t>
      </w:r>
      <w:r>
        <w:rPr>
          <w:sz w:val="32"/>
          <w:szCs w:val="32"/>
        </w:rPr>
        <w:fldChar w:fldCharType="end"/>
        <w:fldChar w:fldCharType="end"/>
      </w:r>
      <w:r>
        <w:rPr>
          <w:b w:val="0"/>
          <w:sz w:val="32"/>
          <w:szCs w:val="32"/>
        </w:rPr>
      </w:r>
      <w:r/>
    </w:p>
    <w:p>
      <w:pPr>
        <w:pStyle w:val="913"/>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936"/>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50</w:t>
      </w:r>
      <w:r>
        <w:rPr>
          <w:sz w:val="32"/>
          <w:szCs w:val="32"/>
        </w:rPr>
        <w:fldChar w:fldCharType="end"/>
        <w:fldChar w:fldCharType="end"/>
      </w:r>
      <w:r>
        <w:rPr>
          <w:b w:val="0"/>
          <w:sz w:val="32"/>
          <w:szCs w:val="32"/>
        </w:rPr>
      </w:r>
      <w:r/>
    </w:p>
    <w:p>
      <w:pPr>
        <w:pStyle w:val="913"/>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936"/>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57</w:t>
      </w:r>
      <w:r>
        <w:rPr>
          <w:sz w:val="32"/>
          <w:szCs w:val="32"/>
        </w:rPr>
        <w:fldChar w:fldCharType="end"/>
        <w:fldChar w:fldCharType="end"/>
      </w:r>
      <w:r>
        <w:rPr>
          <w:b w:val="0"/>
          <w:sz w:val="32"/>
          <w:szCs w:val="32"/>
        </w:rPr>
      </w:r>
      <w:r/>
    </w:p>
    <w:p>
      <w:pPr>
        <w:pStyle w:val="913"/>
        <w:spacing w:line="720" w:lineRule="auto"/>
        <w:rPr>
          <w:b w:val="0"/>
        </w:rPr>
      </w:pPr>
      <w:r>
        <w:rPr>
          <w:b w:val="0"/>
          <w:sz w:val="32"/>
          <w:szCs w:val="32"/>
        </w:rPr>
        <w:fldChar w:fldCharType="end"/>
      </w:r>
      <w:r>
        <w:rPr>
          <w:b w:val="0"/>
        </w:rPr>
      </w:r>
      <w:r/>
    </w:p>
    <w:p>
      <w:pPr>
        <w:pStyle w:val="859"/>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859"/>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859"/>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乌兹别克斯坦新能源汽车工程技术学院建设项目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1</w:t>
      </w:r>
      <w:r>
        <w:rPr>
          <w:rFonts w:ascii="仿宋" w:hAnsi="仿宋" w:eastAsia="仿宋" w:cs="宋体"/>
          <w:b/>
          <w:bCs/>
          <w:sz w:val="32"/>
          <w:szCs w:val="32"/>
        </w:rPr>
        <w:t xml:space="preserve">1</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2</w:t>
      </w:r>
      <w:r>
        <w:rPr>
          <w:rFonts w:ascii="仿宋" w:hAnsi="仿宋" w:eastAsia="仿宋" w:cs="宋体"/>
          <w:b/>
          <w:bCs/>
          <w:sz w:val="32"/>
          <w:szCs w:val="32"/>
        </w:rPr>
        <w:t xml:space="preserve">3</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1</w:t>
      </w:r>
      <w:r>
        <w:rPr>
          <w:rFonts w:ascii="仿宋" w:hAnsi="仿宋" w:eastAsia="仿宋" w:cs="宋体"/>
          <w:b/>
          <w:bCs/>
          <w:sz w:val="32"/>
          <w:szCs w:val="32"/>
        </w:rPr>
        <w:t xml:space="preserve">4</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0</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861"/>
        <w:ind w:firstLine="643"/>
        <w:jc w:val="left"/>
        <w:spacing w:before="240" w:line="360" w:lineRule="auto"/>
        <w:rPr>
          <w:rFonts w:ascii="仿宋" w:hAnsi="仿宋" w:eastAsia="仿宋"/>
          <w:sz w:val="32"/>
          <w:szCs w:val="32"/>
        </w:rPr>
      </w:pPr>
      <w:r/>
      <w:bookmarkStart w:id="5" w:name="_Toc28359002"/>
      <w:r/>
      <w:bookmarkStart w:id="6" w:name="_Toc35393790"/>
      <w:r/>
      <w:bookmarkStart w:id="7" w:name="_Toc28359079"/>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859"/>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JSZC-320400-CTZB-G2026-0150</w:t>
      </w:r>
      <w:r>
        <w:rPr>
          <w:rFonts w:ascii="仿宋" w:hAnsi="仿宋" w:eastAsia="仿宋"/>
          <w:sz w:val="32"/>
          <w:szCs w:val="32"/>
        </w:rPr>
      </w:r>
      <w:r/>
    </w:p>
    <w:p>
      <w:pPr>
        <w:pStyle w:val="859"/>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乌兹别克斯坦新能源汽车工程技术学院建设项目</w:t>
      </w:r>
      <w:r>
        <w:rPr>
          <w:rFonts w:ascii="仿宋" w:hAnsi="仿宋" w:eastAsia="仿宋"/>
          <w:sz w:val="32"/>
          <w:szCs w:val="32"/>
        </w:rPr>
      </w:r>
      <w:r/>
    </w:p>
    <w:p>
      <w:pPr>
        <w:pStyle w:val="859"/>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3</w:t>
      </w:r>
      <w:r>
        <w:rPr>
          <w:rFonts w:ascii="仿宋" w:hAnsi="仿宋" w:eastAsia="仿宋"/>
          <w:sz w:val="32"/>
          <w:szCs w:val="32"/>
        </w:rPr>
        <w:t xml:space="preserve">35万元</w:t>
      </w:r>
      <w:r>
        <w:rPr>
          <w:rFonts w:hint="eastAsia" w:ascii="仿宋" w:hAnsi="仿宋" w:eastAsia="仿宋"/>
          <w:sz w:val="32"/>
          <w:szCs w:val="32"/>
        </w:rPr>
      </w:r>
      <w:r/>
    </w:p>
    <w:p>
      <w:pPr>
        <w:pStyle w:val="859"/>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3</w:t>
      </w:r>
      <w:r>
        <w:rPr>
          <w:rFonts w:ascii="仿宋" w:hAnsi="仿宋" w:eastAsia="仿宋"/>
          <w:sz w:val="32"/>
          <w:szCs w:val="32"/>
        </w:rPr>
        <w:t xml:space="preserve">3</w:t>
      </w:r>
      <w:r>
        <w:rPr>
          <w:rFonts w:hint="eastAsia" w:ascii="仿宋" w:hAnsi="仿宋" w:eastAsia="仿宋"/>
          <w:sz w:val="32"/>
          <w:szCs w:val="32"/>
        </w:rPr>
        <w:t xml:space="preserve">0</w:t>
      </w:r>
      <w:r>
        <w:rPr>
          <w:rFonts w:ascii="仿宋" w:hAnsi="仿宋" w:eastAsia="仿宋"/>
          <w:sz w:val="32"/>
          <w:szCs w:val="32"/>
        </w:rPr>
        <w:t xml:space="preserve">万元</w:t>
      </w:r>
      <w:r/>
    </w:p>
    <w:p>
      <w:pPr>
        <w:pStyle w:val="859"/>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本项目涵盖前期合作调研、海外分院筹建、国际化标准及教学资源建设、技能人才培养中心建设与培训运营、项目质量评估及品牌宣传等，重点提供境外属地协调、本土化适配、认证认定、资源开发及项目实施保障服务。</w:t>
      </w:r>
      <w:r>
        <w:rPr>
          <w:rFonts w:ascii="仿宋" w:hAnsi="仿宋" w:eastAsia="仿宋"/>
          <w:sz w:val="32"/>
          <w:szCs w:val="32"/>
        </w:rPr>
      </w:r>
      <w:r/>
    </w:p>
    <w:p>
      <w:pPr>
        <w:pStyle w:val="859"/>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合同履行期限：三年。</w:t>
      </w:r>
      <w:r>
        <w:rPr>
          <w:rFonts w:ascii="仿宋" w:hAnsi="仿宋" w:eastAsia="仿宋"/>
          <w:sz w:val="32"/>
          <w:szCs w:val="32"/>
          <w:u w:val="single"/>
        </w:rPr>
      </w:r>
      <w:r/>
    </w:p>
    <w:p>
      <w:pPr>
        <w:pStyle w:val="859"/>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859"/>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861"/>
        <w:ind w:firstLine="643"/>
        <w:jc w:val="left"/>
        <w:spacing w:before="0" w:line="360" w:lineRule="auto"/>
        <w:rPr>
          <w:rFonts w:ascii="仿宋" w:hAnsi="仿宋" w:eastAsia="仿宋"/>
          <w:sz w:val="32"/>
          <w:szCs w:val="32"/>
        </w:rPr>
      </w:pPr>
      <w:r/>
      <w:bookmarkStart w:id="10" w:name="_Toc35393622"/>
      <w:r/>
      <w:bookmarkStart w:id="11" w:name="_Toc28359080"/>
      <w:r/>
      <w:bookmarkStart w:id="12" w:name="_Toc28359003"/>
      <w:r/>
      <w:bookmarkStart w:id="13" w:name="_Toc35393791"/>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859"/>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859"/>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859"/>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859"/>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859"/>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859"/>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859"/>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提供的服务全部由符合政策要求的中小/小微企业承接。</w:t>
      </w:r>
      <w:r/>
    </w:p>
    <w:p>
      <w:pPr>
        <w:pStyle w:val="859"/>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859"/>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859"/>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859"/>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859"/>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859"/>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859"/>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859"/>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861"/>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859"/>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0</w:t>
      </w:r>
      <w:r>
        <w:rPr>
          <w:rFonts w:hint="eastAsia" w:ascii="仿宋" w:hAnsi="仿宋" w:eastAsia="仿宋" w:cs="宋体"/>
          <w:sz w:val="32"/>
          <w:szCs w:val="32"/>
        </w:rPr>
        <w:t xml:space="preserve">月</w:t>
      </w:r>
      <w:r>
        <w:rPr>
          <w:rFonts w:hint="eastAsia" w:ascii="仿宋" w:hAnsi="仿宋" w:eastAsia="仿宋" w:cs="宋体"/>
          <w:sz w:val="32"/>
          <w:szCs w:val="32"/>
        </w:rPr>
        <w:t xml:space="preserve">3</w:t>
      </w:r>
      <w:r>
        <w:rPr>
          <w:rFonts w:ascii="仿宋" w:hAnsi="仿宋" w:eastAsia="仿宋" w:cs="宋体"/>
          <w:sz w:val="32"/>
          <w:szCs w:val="32"/>
        </w:rPr>
        <w:t xml:space="preserve">0</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1</w:t>
      </w:r>
      <w:r>
        <w:rPr>
          <w:rFonts w:hint="eastAsia" w:ascii="仿宋" w:hAnsi="仿宋" w:eastAsia="仿宋" w:cs="宋体"/>
          <w:sz w:val="32"/>
          <w:szCs w:val="32"/>
        </w:rPr>
        <w:t xml:space="preserve">月</w:t>
      </w:r>
      <w:r>
        <w:rPr>
          <w:rFonts w:hint="eastAsia" w:ascii="仿宋" w:hAnsi="仿宋" w:eastAsia="仿宋" w:cs="宋体"/>
          <w:sz w:val="32"/>
          <w:szCs w:val="32"/>
        </w:rPr>
        <w:t xml:space="preserve">0</w:t>
      </w:r>
      <w:r>
        <w:rPr>
          <w:rFonts w:ascii="仿宋" w:hAnsi="仿宋" w:eastAsia="仿宋" w:cs="宋体"/>
          <w:sz w:val="32"/>
          <w:szCs w:val="32"/>
        </w:rPr>
        <w:t xml:space="preserve">6</w:t>
      </w:r>
      <w:r>
        <w:rPr>
          <w:rFonts w:hint="eastAsia" w:ascii="仿宋" w:hAnsi="仿宋" w:eastAsia="仿宋" w:cs="宋体"/>
          <w:sz w:val="32"/>
          <w:szCs w:val="32"/>
        </w:rPr>
        <w:t xml:space="preserve">日</w:t>
      </w:r>
      <w:r>
        <w:rPr>
          <w:rFonts w:hint="eastAsia" w:ascii="仿宋" w:hAnsi="仿宋" w:eastAsia="仿宋" w:cs="宋体"/>
          <w:sz w:val="32"/>
          <w:szCs w:val="32"/>
        </w:rPr>
        <w:t xml:space="preserve">。</w:t>
      </w:r>
      <w:r>
        <w:rPr>
          <w:rFonts w:ascii="仿宋" w:hAnsi="仿宋" w:eastAsia="仿宋"/>
          <w:sz w:val="32"/>
          <w:szCs w:val="32"/>
          <w:lang w:bidi="ar"/>
        </w:rPr>
      </w:r>
      <w:r/>
    </w:p>
    <w:p>
      <w:pPr>
        <w:pStyle w:val="859"/>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859"/>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859"/>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861"/>
        <w:ind w:firstLine="643"/>
        <w:jc w:val="left"/>
        <w:spacing w:before="0" w:line="360" w:lineRule="auto"/>
        <w:widowControl/>
        <w:rPr>
          <w:rFonts w:ascii="仿宋" w:hAnsi="仿宋" w:eastAsia="仿宋"/>
          <w:sz w:val="32"/>
          <w:szCs w:val="32"/>
        </w:rPr>
      </w:pPr>
      <w:r/>
      <w:bookmarkStart w:id="18" w:name="_Toc28359082"/>
      <w:r/>
      <w:bookmarkStart w:id="19" w:name="_Toc28359005"/>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859"/>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2026年11月23日14点00分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859"/>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861"/>
        <w:ind w:firstLine="643"/>
        <w:jc w:val="left"/>
        <w:spacing w:before="0" w:line="360" w:lineRule="auto"/>
        <w:rPr>
          <w:rFonts w:ascii="仿宋" w:hAnsi="仿宋" w:eastAsia="仿宋"/>
          <w:sz w:val="32"/>
          <w:szCs w:val="32"/>
        </w:rPr>
      </w:pPr>
      <w:r/>
      <w:bookmarkStart w:id="22" w:name="_Toc28359007"/>
      <w:r/>
      <w:bookmarkStart w:id="23" w:name="_Toc35393625"/>
      <w:r/>
      <w:bookmarkStart w:id="24" w:name="_Toc28359084"/>
      <w:r/>
      <w:bookmarkStart w:id="25" w:name="_Toc3539379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859"/>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861"/>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859"/>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859"/>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59"/>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859"/>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859"/>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861"/>
        <w:ind w:firstLine="643"/>
        <w:jc w:val="left"/>
        <w:spacing w:before="0" w:line="360" w:lineRule="auto"/>
        <w:rPr>
          <w:rFonts w:ascii="仿宋" w:hAnsi="仿宋" w:eastAsia="仿宋"/>
          <w:sz w:val="32"/>
          <w:szCs w:val="32"/>
        </w:rPr>
      </w:pPr>
      <w:r/>
      <w:bookmarkStart w:id="28" w:name="_Toc28359008"/>
      <w:r/>
      <w:bookmarkStart w:id="29" w:name="_Toc35393627"/>
      <w:r/>
      <w:bookmarkStart w:id="30" w:name="_Toc28359085"/>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859"/>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859"/>
        <w:ind w:firstLine="640"/>
        <w:jc w:val="left"/>
        <w:spacing w:line="360" w:lineRule="auto"/>
        <w:rPr>
          <w:rFonts w:hint="eastAsia"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称：常州信息职业技术学院</w:t>
      </w:r>
      <w:r/>
    </w:p>
    <w:p>
      <w:pPr>
        <w:pStyle w:val="859"/>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址：常州市武进区科教城鸣新中路22号</w:t>
      </w:r>
      <w:r/>
    </w:p>
    <w:p>
      <w:pPr>
        <w:pStyle w:val="859"/>
        <w:ind w:firstLine="640"/>
        <w:jc w:val="left"/>
        <w:spacing w:line="360" w:lineRule="auto"/>
        <w:rPr>
          <w:rFonts w:ascii="仿宋" w:hAnsi="仿宋" w:eastAsia="仿宋"/>
          <w:sz w:val="32"/>
          <w:szCs w:val="32"/>
        </w:rPr>
      </w:pPr>
      <w:r>
        <w:rPr>
          <w:rFonts w:hint="eastAsia" w:ascii="仿宋" w:hAnsi="仿宋" w:eastAsia="仿宋"/>
          <w:sz w:val="32"/>
          <w:szCs w:val="32"/>
        </w:rPr>
        <w:t xml:space="preserve">联系方式：何老师 0519-86338034</w:t>
      </w:r>
      <w:r>
        <w:rPr>
          <w:rFonts w:ascii="仿宋" w:hAnsi="仿宋" w:eastAsia="仿宋"/>
          <w:sz w:val="32"/>
          <w:szCs w:val="32"/>
        </w:rPr>
      </w:r>
      <w:r/>
    </w:p>
    <w:p>
      <w:pPr>
        <w:pStyle w:val="859"/>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其它联系方式：0519-86338021  邮箱：ccitjw@163.com</w:t>
      </w:r>
      <w:r/>
    </w:p>
    <w:p>
      <w:pPr>
        <w:pStyle w:val="859"/>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859"/>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p>
    <w:p>
      <w:pPr>
        <w:pStyle w:val="859"/>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859"/>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859"/>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859"/>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859"/>
        <w:ind w:firstLine="640"/>
        <w:spacing w:line="360" w:lineRule="auto"/>
        <w:rPr>
          <w:rFonts w:hint="eastAsia" w:ascii="仿宋" w:hAnsi="仿宋" w:eastAsia="仿宋"/>
          <w:sz w:val="32"/>
          <w:szCs w:val="32"/>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p>
    <w:p>
      <w:pPr>
        <w:pStyle w:val="859"/>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859"/>
        <w:jc w:val="center"/>
        <w:spacing w:line="360" w:lineRule="auto"/>
        <w:rPr>
          <w:rFonts w:ascii="宋体" w:hAnsi="宋体"/>
          <w:b/>
          <w:sz w:val="32"/>
          <w:szCs w:val="32"/>
        </w:rPr>
        <w:outlineLvl w:val="0"/>
      </w:pPr>
      <w:r>
        <w:rPr>
          <w:rFonts w:ascii="宋体" w:hAnsi="宋体"/>
          <w:sz w:val="24"/>
        </w:rPr>
        <w:br w:type="page" w:clear="all"/>
      </w:r>
      <w:bookmarkStart w:id="36" w:name="_Toc264969275"/>
      <w:r/>
      <w:bookmarkStart w:id="37" w:name="_Toc353873938"/>
      <w:r/>
      <w:bookmarkStart w:id="38" w:name="_Toc195842950"/>
      <w:r/>
      <w:bookmarkStart w:id="39" w:name="_Toc150774783"/>
      <w:r/>
      <w:bookmarkStart w:id="40" w:name="_Toc265228423"/>
      <w:r/>
      <w:bookmarkStart w:id="41" w:name="_Toc99301420"/>
      <w:r/>
      <w:bookmarkStart w:id="42" w:name="_Toc127161488"/>
      <w:r/>
      <w:bookmarkStart w:id="43" w:name="_Toc305158928"/>
      <w:r/>
      <w:bookmarkStart w:id="44" w:name="_Toc305158854"/>
      <w:r/>
      <w:bookmarkStart w:id="45" w:name="_Toc512937850"/>
      <w:r/>
      <w:bookmarkStart w:id="46" w:name="_Toc127151777"/>
      <w:r/>
      <w:bookmarkStart w:id="47" w:name="_Toc226965856"/>
      <w:r/>
      <w:bookmarkStart w:id="48" w:name="_Toc35382554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861"/>
        <w:spacing w:before="0" w:line="360" w:lineRule="auto"/>
        <w:tabs>
          <w:tab w:val="center" w:pos="4592" w:leader="none"/>
          <w:tab w:val="left" w:pos="7860" w:leader="none"/>
        </w:tabs>
        <w:rPr>
          <w:rFonts w:ascii="宋体" w:hAnsi="宋体" w:eastAsia="宋体"/>
          <w:sz w:val="28"/>
        </w:rPr>
      </w:pPr>
      <w:r/>
      <w:bookmarkStart w:id="49" w:name="_Toc226965709"/>
      <w:r/>
      <w:bookmarkStart w:id="50" w:name="_Toc150774724"/>
      <w:r/>
      <w:bookmarkStart w:id="51" w:name="_Toc127161433"/>
      <w:r/>
      <w:bookmarkStart w:id="52" w:name="_Toc127151519"/>
      <w:r/>
      <w:bookmarkStart w:id="53" w:name="_Toc142311021"/>
      <w:r/>
      <w:bookmarkStart w:id="54" w:name="_Toc151193833"/>
      <w:r/>
      <w:bookmarkStart w:id="55" w:name="_Toc164229214"/>
      <w:r/>
      <w:bookmarkStart w:id="56" w:name="_Toc520356144"/>
      <w:r/>
      <w:bookmarkStart w:id="57" w:name="_Toc150509270"/>
      <w:r/>
      <w:bookmarkStart w:id="58" w:name="_Toc151193761"/>
      <w:r/>
      <w:bookmarkStart w:id="59" w:name="_Toc226965792"/>
      <w:r/>
      <w:bookmarkStart w:id="60" w:name="_Toc195842884"/>
      <w:r/>
      <w:bookmarkStart w:id="61" w:name="_Toc150774619"/>
      <w:r/>
      <w:bookmarkStart w:id="62" w:name="_Toc164608788"/>
      <w:r/>
      <w:bookmarkStart w:id="63" w:name="_Toc149720812"/>
      <w:r/>
      <w:bookmarkStart w:id="64" w:name="_Toc151193689"/>
      <w:r/>
      <w:bookmarkStart w:id="65" w:name="_Toc151193617"/>
      <w:r/>
      <w:bookmarkStart w:id="66" w:name="_Toc226337215"/>
      <w:r/>
      <w:bookmarkStart w:id="67" w:name="_Toc164351613"/>
      <w:r/>
      <w:bookmarkStart w:id="68" w:name="_Toc164608633"/>
      <w:r/>
      <w:bookmarkStart w:id="69" w:name="_Toc150480757"/>
      <w:r/>
      <w:bookmarkStart w:id="70" w:name="_Toc226309763"/>
      <w:r/>
      <w:bookmarkStart w:id="71" w:name="_Toc127151720"/>
      <w:r/>
      <w:bookmarkStart w:id="72" w:name="_Toc164229360"/>
      <w:r/>
      <w:bookmarkStart w:id="73" w:name="_Toc151190146"/>
      <w:r/>
      <w:bookmarkStart w:id="74" w:name="_Toc151193907"/>
      <w:r>
        <w:rPr>
          <w:rFonts w:ascii="宋体" w:hAnsi="宋体" w:eastAsia="宋体"/>
          <w:sz w:val="28"/>
        </w:rPr>
        <w:t xml:space="preserve">投标人须知资料表</w:t>
      </w:r>
      <w:r/>
    </w:p>
    <w:p>
      <w:pPr>
        <w:pStyle w:val="859"/>
        <w:jc w:val="center"/>
        <w:rPr>
          <w:rFonts w:ascii="宋体" w:hAnsi="宋体"/>
          <w:b/>
          <w:sz w:val="28"/>
          <w:szCs w:val="28"/>
        </w:rPr>
      </w:pPr>
      <w:r>
        <w:rPr>
          <w:rFonts w:ascii="宋体" w:hAnsi="宋体"/>
          <w:b/>
          <w:sz w:val="28"/>
          <w:szCs w:val="28"/>
        </w:rPr>
      </w:r>
      <w:r/>
    </w:p>
    <w:p>
      <w:pPr>
        <w:pStyle w:val="859"/>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859"/>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9"/>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859"/>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859"/>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900"/>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项目属性：</w:t>
            </w:r>
            <w:r/>
          </w:p>
          <w:p>
            <w:pPr>
              <w:pStyle w:val="859"/>
              <w:jc w:val="left"/>
              <w:rPr>
                <w:rFonts w:hint="eastAsia" w:ascii="宋体" w:hAnsi="宋体" w:cs="宋体"/>
                <w:sz w:val="24"/>
              </w:rPr>
            </w:pPr>
            <w:r>
              <w:rPr>
                <w:rFonts w:hint="eastAsia" w:ascii="宋体" w:hAnsi="宋体" w:cs="宋体"/>
                <w:b/>
                <w:sz w:val="24"/>
              </w:rPr>
              <w:t xml:space="preserve">■</w:t>
            </w:r>
            <w:r>
              <w:rPr>
                <w:rFonts w:hint="eastAsia" w:ascii="宋体" w:hAnsi="宋体" w:cs="宋体"/>
                <w:sz w:val="24"/>
              </w:rPr>
              <w:t xml:space="preserve">服务</w:t>
            </w:r>
            <w:r/>
          </w:p>
          <w:p>
            <w:pPr>
              <w:pStyle w:val="859"/>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900"/>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是否属于科研仪器设备采购项目：</w:t>
            </w:r>
            <w:r/>
          </w:p>
          <w:p>
            <w:pPr>
              <w:pStyle w:val="859"/>
              <w:jc w:val="left"/>
              <w:rPr>
                <w:rFonts w:hint="eastAsia" w:ascii="宋体" w:hAnsi="宋体" w:cs="宋体"/>
                <w:sz w:val="24"/>
              </w:rPr>
            </w:pPr>
            <w:r>
              <w:rPr>
                <w:rFonts w:hint="eastAsia" w:ascii="宋体" w:hAnsi="宋体" w:cs="宋体"/>
                <w:sz w:val="24"/>
              </w:rPr>
              <w:t xml:space="preserve">□是</w:t>
            </w:r>
            <w:r/>
          </w:p>
          <w:p>
            <w:pPr>
              <w:pStyle w:val="859"/>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900"/>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900"/>
              <w:rPr>
                <w:rFonts w:hAnsi="宋体" w:cs="宋体"/>
                <w:sz w:val="24"/>
                <w:szCs w:val="24"/>
              </w:rPr>
            </w:pPr>
            <w:r>
              <w:rPr>
                <w:rFonts w:hAnsi="宋体" w:cs="宋体"/>
                <w:sz w:val="24"/>
                <w:szCs w:val="24"/>
              </w:rPr>
              <w:t xml:space="preserve">□关于核心产品本项目__包不适用。</w:t>
            </w:r>
            <w:r/>
          </w:p>
          <w:p>
            <w:pPr>
              <w:pStyle w:val="900"/>
              <w:rPr>
                <w:rFonts w:hAnsi="宋体" w:cs="宋体"/>
                <w:sz w:val="24"/>
                <w:szCs w:val="24"/>
              </w:rPr>
            </w:pPr>
            <w:r>
              <w:rPr>
                <w:rFonts w:hAnsi="宋体" w:cs="宋体"/>
                <w:sz w:val="24"/>
                <w:szCs w:val="24"/>
              </w:rPr>
              <w:t xml:space="preserve">□本项目__包为单一产品采购项目。</w:t>
            </w:r>
            <w:r/>
          </w:p>
          <w:p>
            <w:pPr>
              <w:pStyle w:val="859"/>
              <w:jc w:val="left"/>
              <w:rPr>
                <w:rFonts w:hint="eastAsia" w:ascii="宋体" w:hAnsi="宋体" w:cs="宋体"/>
                <w:sz w:val="24"/>
              </w:rPr>
            </w:pP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900"/>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■不组织</w:t>
            </w:r>
            <w:r/>
          </w:p>
          <w:p>
            <w:pPr>
              <w:pStyle w:val="859"/>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900"/>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900"/>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■不召开</w:t>
            </w:r>
            <w:r/>
          </w:p>
          <w:p>
            <w:pPr>
              <w:pStyle w:val="859"/>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859"/>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900"/>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投标样品递交：</w:t>
            </w:r>
            <w:r/>
          </w:p>
          <w:p>
            <w:pPr>
              <w:pStyle w:val="859"/>
              <w:jc w:val="left"/>
              <w:rPr>
                <w:rFonts w:hint="eastAsia" w:ascii="宋体" w:hAnsi="宋体" w:cs="宋体"/>
                <w:sz w:val="24"/>
              </w:rPr>
            </w:pPr>
            <w:r>
              <w:rPr>
                <w:rFonts w:hint="eastAsia" w:ascii="宋体" w:hAnsi="宋体" w:cs="宋体"/>
                <w:sz w:val="24"/>
              </w:rPr>
              <w:t xml:space="preserve">■不需要</w:t>
            </w:r>
            <w:r/>
          </w:p>
          <w:p>
            <w:pPr>
              <w:pStyle w:val="859"/>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900"/>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其他未列明行业。</w:t>
            </w:r>
            <w:r>
              <w:rPr>
                <w:rFonts w:hint="eastAsia" w:ascii="宋体" w:hAnsi="宋体" w:cs="宋体"/>
                <w:sz w:val="24"/>
              </w:rPr>
            </w:r>
            <w:r/>
          </w:p>
        </w:tc>
      </w:tr>
      <w:tr>
        <w:trPr>
          <w:trHeight w:val="517"/>
        </w:trPr>
        <w:tc>
          <w:tcPr>
            <w:tcW w:w="988" w:type="dxa"/>
            <w:vAlign w:val="center"/>
            <w:textDirection w:val="lrTb"/>
            <w:noWrap w:val="false"/>
          </w:tcPr>
          <w:p>
            <w:pPr>
              <w:pStyle w:val="900"/>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859"/>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859"/>
              <w:jc w:val="left"/>
              <w:spacing w:line="360" w:lineRule="exact"/>
              <w:rPr>
                <w:rFonts w:hint="eastAsia"/>
                <w:sz w:val="24"/>
              </w:rPr>
            </w:pPr>
            <w:r>
              <w:rPr>
                <w:sz w:val="24"/>
              </w:rPr>
              <w:t xml:space="preserve">关于</w:t>
            </w:r>
            <w:r>
              <w:rPr>
                <w:rFonts w:hint="eastAsia"/>
                <w:sz w:val="24"/>
              </w:rPr>
              <w:t xml:space="preserve">对采购本国产品给予政策支持，</w:t>
            </w:r>
            <w:r>
              <w:rPr>
                <w:rFonts w:hint="eastAsia"/>
                <w:b/>
                <w:sz w:val="24"/>
              </w:rPr>
              <w:t xml:space="preserve">本项目：不适用。</w:t>
            </w:r>
            <w:r>
              <w:rPr>
                <w:rFonts w:hint="eastAsia"/>
                <w:sz w:val="24"/>
              </w:rPr>
            </w:r>
            <w:r/>
          </w:p>
          <w:p>
            <w:pPr>
              <w:pStyle w:val="861"/>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900"/>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投标报价的特殊规定：</w:t>
            </w:r>
            <w:r/>
          </w:p>
          <w:p>
            <w:pPr>
              <w:pStyle w:val="859"/>
              <w:jc w:val="left"/>
              <w:rPr>
                <w:rFonts w:hint="eastAsia" w:ascii="宋体" w:hAnsi="宋体" w:cs="宋体"/>
                <w:sz w:val="24"/>
              </w:rPr>
            </w:pPr>
            <w:r>
              <w:rPr>
                <w:rFonts w:hint="eastAsia" w:ascii="宋体" w:hAnsi="宋体" w:cs="宋体"/>
                <w:sz w:val="24"/>
              </w:rPr>
              <w:t xml:space="preserve">■无</w:t>
            </w:r>
            <w:r/>
          </w:p>
          <w:p>
            <w:pPr>
              <w:pStyle w:val="859"/>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900"/>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900"/>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900"/>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859"/>
              <w:jc w:val="left"/>
              <w:rPr>
                <w:rFonts w:hint="eastAsia" w:ascii="宋体" w:hAnsi="宋体" w:cs="宋体"/>
                <w:sz w:val="24"/>
              </w:rPr>
            </w:pPr>
            <w:r>
              <w:rPr>
                <w:rFonts w:hint="eastAsia" w:ascii="宋体" w:hAnsi="宋体" w:cs="宋体"/>
                <w:sz w:val="24"/>
              </w:rPr>
              <w:t xml:space="preserve">■不允许</w:t>
            </w:r>
            <w:r/>
          </w:p>
          <w:p>
            <w:pPr>
              <w:pStyle w:val="859"/>
              <w:jc w:val="left"/>
              <w:rPr>
                <w:rFonts w:hint="eastAsia" w:ascii="宋体" w:hAnsi="宋体" w:cs="宋体"/>
                <w:sz w:val="24"/>
              </w:rPr>
            </w:pPr>
            <w:r>
              <w:rPr>
                <w:rFonts w:hint="eastAsia" w:ascii="宋体" w:hAnsi="宋体" w:cs="宋体"/>
                <w:sz w:val="24"/>
              </w:rPr>
              <w:t xml:space="preserve">□允许，具体要求：</w:t>
            </w:r>
            <w:r/>
          </w:p>
          <w:p>
            <w:pPr>
              <w:pStyle w:val="859"/>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859"/>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859"/>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900"/>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1</w:t>
            </w:r>
            <w:r>
              <w:rPr>
                <w:rFonts w:ascii="宋体" w:hAnsi="宋体" w:cs="宋体"/>
                <w:b/>
                <w:sz w:val="24"/>
              </w:rPr>
              <w:t xml:space="preserve">1</w:t>
            </w:r>
            <w:r>
              <w:rPr>
                <w:rFonts w:hint="eastAsia" w:ascii="宋体" w:hAnsi="宋体" w:cs="宋体"/>
                <w:b/>
                <w:sz w:val="24"/>
              </w:rPr>
              <w:t xml:space="preserve">月</w:t>
            </w:r>
            <w:r>
              <w:rPr>
                <w:rFonts w:hint="eastAsia" w:ascii="宋体" w:hAnsi="宋体" w:cs="宋体"/>
                <w:b/>
                <w:sz w:val="24"/>
              </w:rPr>
              <w:t xml:space="preserve">0</w:t>
            </w:r>
            <w:r>
              <w:rPr>
                <w:rFonts w:ascii="宋体" w:hAnsi="宋体" w:cs="宋体"/>
                <w:b/>
                <w:sz w:val="24"/>
              </w:rPr>
              <w:t xml:space="preserve">9</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900"/>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接收询问和质疑的联系方式</w:t>
            </w:r>
            <w:r/>
          </w:p>
          <w:p>
            <w:pPr>
              <w:pStyle w:val="859"/>
              <w:jc w:val="left"/>
              <w:rPr>
                <w:rFonts w:hint="eastAsia" w:ascii="宋体" w:hAnsi="宋体" w:cs="宋体"/>
                <w:sz w:val="24"/>
              </w:rPr>
            </w:pPr>
            <w:r>
              <w:rPr>
                <w:rFonts w:hint="eastAsia" w:ascii="宋体" w:hAnsi="宋体" w:cs="宋体"/>
                <w:sz w:val="24"/>
              </w:rPr>
              <w:t xml:space="preserve">联系部门：技术部；</w:t>
            </w:r>
            <w:r/>
          </w:p>
          <w:p>
            <w:pPr>
              <w:pStyle w:val="859"/>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859"/>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00"/>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9"/>
              <w:jc w:val="left"/>
              <w:rPr>
                <w:rFonts w:hint="eastAsia" w:ascii="宋体" w:hAnsi="宋体" w:cs="宋体"/>
                <w:b/>
                <w:sz w:val="24"/>
              </w:rPr>
            </w:pPr>
            <w:r>
              <w:rPr>
                <w:rFonts w:hint="eastAsia" w:ascii="宋体" w:hAnsi="宋体" w:cs="宋体"/>
                <w:b/>
                <w:sz w:val="24"/>
              </w:rPr>
              <w:t xml:space="preserve">（一）收费对象：</w:t>
            </w:r>
            <w:r/>
          </w:p>
          <w:p>
            <w:pPr>
              <w:pStyle w:val="859"/>
              <w:jc w:val="left"/>
              <w:rPr>
                <w:rFonts w:hint="eastAsia" w:ascii="宋体" w:hAnsi="宋体" w:cs="宋体"/>
                <w:sz w:val="24"/>
              </w:rPr>
            </w:pPr>
            <w:r>
              <w:rPr>
                <w:rFonts w:hint="eastAsia" w:ascii="宋体" w:hAnsi="宋体" w:cs="宋体"/>
                <w:sz w:val="24"/>
              </w:rPr>
              <w:t xml:space="preserve">□采购人</w:t>
            </w:r>
            <w:r/>
          </w:p>
          <w:p>
            <w:pPr>
              <w:pStyle w:val="859"/>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859"/>
              <w:numPr>
                <w:ilvl w:val="0"/>
                <w:numId w:val="8"/>
              </w:numPr>
              <w:jc w:val="left"/>
              <w:rPr>
                <w:rFonts w:hint="eastAsia" w:ascii="宋体" w:hAnsi="宋体" w:cs="宋体"/>
                <w:b/>
                <w:sz w:val="24"/>
              </w:rPr>
            </w:pPr>
            <w:r>
              <w:rPr>
                <w:rFonts w:hint="eastAsia" w:ascii="宋体" w:hAnsi="宋体" w:cs="宋体"/>
                <w:b/>
                <w:sz w:val="24"/>
              </w:rPr>
              <w:t xml:space="preserve">收费标准：</w:t>
            </w:r>
            <w:r/>
          </w:p>
          <w:tbl>
            <w:tblPr>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59"/>
                    <w:ind w:firstLine="945"/>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 w:val="24"/>
                    </w:rPr>
                    <w:t xml:space="preserve">服</w:t>
                  </w:r>
                  <w:r/>
                </w:p>
                <w:p>
                  <w:pPr>
                    <w:pStyle w:val="859"/>
                    <w:ind w:firstLine="240"/>
                    <w:spacing w:line="440" w:lineRule="exact"/>
                    <w:rPr>
                      <w:rFonts w:hint="eastAsia" w:ascii="宋体" w:hAnsi="宋体" w:cs="宋体"/>
                      <w:bCs/>
                      <w:sz w:val="24"/>
                    </w:rPr>
                  </w:pPr>
                  <w:r>
                    <w:rPr>
                      <w:rFonts w:hint="eastAsia" w:ascii="宋体" w:hAnsi="宋体" w:cs="宋体"/>
                      <w:bCs/>
                      <w:sz w:val="24"/>
                    </w:rPr>
                    <w:t xml:space="preserve">费　　　   务</w:t>
                  </w:r>
                  <w:r/>
                </w:p>
                <w:p>
                  <w:pPr>
                    <w:pStyle w:val="859"/>
                    <w:ind w:firstLine="1260"/>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 w:val="24"/>
                    </w:rPr>
                    <w:t xml:space="preserve">　   类</w:t>
                  </w:r>
                  <w:r/>
                </w:p>
                <w:p>
                  <w:pPr>
                    <w:pStyle w:val="859"/>
                    <w:ind w:firstLine="1200"/>
                    <w:spacing w:line="440" w:lineRule="exact"/>
                    <w:rPr>
                      <w:rFonts w:hint="eastAsia" w:ascii="宋体" w:hAnsi="宋体" w:cs="宋体"/>
                      <w:bCs/>
                      <w:sz w:val="24"/>
                    </w:rPr>
                  </w:pPr>
                  <w:r>
                    <w:rPr>
                      <w:rFonts w:hint="eastAsia" w:ascii="宋体" w:hAnsi="宋体" w:cs="宋体"/>
                      <w:bCs/>
                      <w:sz w:val="24"/>
                    </w:rPr>
                    <w:t xml:space="preserve">率　       型</w:t>
                  </w:r>
                  <w:r/>
                </w:p>
                <w:p>
                  <w:pPr>
                    <w:pStyle w:val="859"/>
                    <w:ind w:firstLine="1200"/>
                    <w:spacing w:line="440" w:lineRule="exact"/>
                    <w:rPr>
                      <w:rFonts w:hint="eastAsia" w:ascii="宋体" w:hAnsi="宋体" w:cs="宋体"/>
                      <w:bCs/>
                      <w:sz w:val="24"/>
                    </w:rPr>
                  </w:pPr>
                  <w:r>
                    <w:rPr>
                      <w:rFonts w:hint="eastAsia" w:ascii="宋体" w:hAnsi="宋体" w:cs="宋体"/>
                      <w:bCs/>
                      <w:sz w:val="24"/>
                    </w:rPr>
                    <w:t xml:space="preserve">　　　　</w:t>
                  </w:r>
                  <w:r/>
                </w:p>
                <w:p>
                  <w:pPr>
                    <w:pStyle w:val="859"/>
                    <w:spacing w:line="440" w:lineRule="exact"/>
                    <w:rPr>
                      <w:rFonts w:hint="eastAsia" w:ascii="宋体" w:hAnsi="宋体" w:cs="宋体"/>
                      <w:bCs/>
                      <w:sz w:val="24"/>
                    </w:rPr>
                  </w:pPr>
                  <w:r>
                    <w:rPr>
                      <w:rFonts w:hint="eastAsia" w:ascii="宋体" w:hAnsi="宋体" w:cs="宋体"/>
                      <w:bCs/>
                      <w:sz w:val="24"/>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859"/>
                    <w:jc w:val="center"/>
                    <w:spacing w:line="440" w:lineRule="exact"/>
                    <w:rPr>
                      <w:rFonts w:hint="eastAsia" w:ascii="宋体" w:hAnsi="宋体" w:cs="宋体"/>
                      <w:bCs/>
                      <w:sz w:val="24"/>
                    </w:rPr>
                  </w:pPr>
                  <w:r>
                    <w:rPr>
                      <w:rFonts w:hint="eastAsia" w:ascii="宋体" w:hAnsi="宋体" w:cs="宋体"/>
                      <w:bCs/>
                      <w:sz w:val="24"/>
                    </w:rPr>
                    <w:t xml:space="preserve">服务类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59"/>
                    <w:jc w:val="center"/>
                    <w:spacing w:line="280" w:lineRule="exact"/>
                    <w:rPr>
                      <w:rFonts w:hint="eastAsia" w:ascii="宋体" w:hAnsi="宋体" w:cs="宋体"/>
                      <w:sz w:val="24"/>
                    </w:rPr>
                  </w:pPr>
                  <w:r>
                    <w:rPr>
                      <w:rFonts w:hint="eastAsia" w:ascii="宋体" w:hAnsi="宋体" w:cs="宋体"/>
                      <w:sz w:val="24"/>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59"/>
                    <w:jc w:val="center"/>
                    <w:spacing w:line="280" w:lineRule="exact"/>
                    <w:rPr>
                      <w:rFonts w:hint="eastAsia" w:ascii="宋体" w:hAnsi="宋体" w:cs="宋体"/>
                      <w:sz w:val="24"/>
                    </w:rPr>
                  </w:pPr>
                  <w:r>
                    <w:rPr>
                      <w:rFonts w:hint="eastAsia" w:ascii="宋体" w:hAnsi="宋体" w:cs="宋体"/>
                      <w:sz w:val="24"/>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59"/>
                    <w:jc w:val="center"/>
                    <w:spacing w:line="280" w:lineRule="exact"/>
                    <w:rPr>
                      <w:rFonts w:hint="eastAsia" w:ascii="宋体" w:hAnsi="宋体" w:cs="宋体"/>
                      <w:sz w:val="24"/>
                    </w:rPr>
                  </w:pPr>
                  <w:r>
                    <w:rPr>
                      <w:rFonts w:hint="eastAsia" w:ascii="宋体" w:hAnsi="宋体" w:cs="宋体"/>
                      <w:sz w:val="24"/>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59"/>
                    <w:jc w:val="center"/>
                    <w:spacing w:line="280" w:lineRule="exact"/>
                    <w:rPr>
                      <w:rFonts w:hint="eastAsia" w:ascii="宋体" w:hAnsi="宋体" w:cs="宋体"/>
                      <w:sz w:val="24"/>
                    </w:rPr>
                  </w:pPr>
                  <w:r>
                    <w:rPr>
                      <w:rFonts w:hint="eastAsia" w:ascii="宋体" w:hAnsi="宋体" w:cs="宋体"/>
                      <w:sz w:val="24"/>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859"/>
                    <w:jc w:val="center"/>
                    <w:spacing w:line="280" w:lineRule="exact"/>
                    <w:rPr>
                      <w:rFonts w:hint="eastAsia" w:ascii="宋体" w:hAnsi="宋体" w:cs="宋体"/>
                      <w:sz w:val="24"/>
                    </w:rPr>
                  </w:pPr>
                  <w:r>
                    <w:rPr>
                      <w:rFonts w:hint="eastAsia" w:ascii="宋体" w:hAnsi="宋体" w:cs="宋体"/>
                      <w:sz w:val="24"/>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859"/>
                    <w:jc w:val="center"/>
                    <w:spacing w:line="280" w:lineRule="exact"/>
                    <w:rPr>
                      <w:rFonts w:hint="eastAsia" w:ascii="宋体" w:hAnsi="宋体" w:cs="宋体"/>
                      <w:sz w:val="24"/>
                    </w:rPr>
                  </w:pPr>
                  <w:r>
                    <w:rPr>
                      <w:rFonts w:hint="eastAsia" w:ascii="宋体" w:hAnsi="宋体" w:cs="宋体"/>
                      <w:sz w:val="24"/>
                    </w:rPr>
                    <w:t xml:space="preserve">0.45%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59"/>
                    <w:jc w:val="center"/>
                    <w:spacing w:line="440" w:lineRule="exact"/>
                    <w:rPr>
                      <w:rFonts w:hint="eastAsia"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59"/>
                    <w:jc w:val="center"/>
                    <w:spacing w:line="440" w:lineRule="exact"/>
                    <w:rPr>
                      <w:rFonts w:hint="eastAsia" w:ascii="宋体" w:hAnsi="宋体" w:cs="宋体"/>
                      <w:sz w:val="24"/>
                    </w:rPr>
                  </w:pPr>
                  <w:r>
                    <w:rPr>
                      <w:rFonts w:hint="eastAsia" w:ascii="宋体" w:hAnsi="宋体" w:cs="宋体"/>
                      <w:sz w:val="24"/>
                    </w:rPr>
                    <w:t xml:space="preserve">……</w:t>
                  </w:r>
                  <w:r/>
                </w:p>
              </w:tc>
            </w:tr>
          </w:tbl>
          <w:p>
            <w:pPr>
              <w:pStyle w:val="859"/>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859"/>
              <w:ind w:firstLine="480"/>
              <w:jc w:val="left"/>
              <w:rPr>
                <w:rFonts w:hint="eastAsia" w:ascii="宋体" w:hAnsi="宋体" w:cs="宋体"/>
                <w:b/>
                <w:sz w:val="24"/>
              </w:rPr>
            </w:pPr>
            <w:r>
              <w:rPr>
                <w:rFonts w:hint="eastAsia" w:ascii="宋体" w:hAnsi="宋体" w:cs="宋体"/>
                <w:sz w:val="24"/>
              </w:rPr>
              <w:t xml:space="preserve">三年代理费</w:t>
            </w:r>
            <w:r>
              <w:rPr>
                <w:rFonts w:hint="eastAsia" w:ascii="宋体" w:hAnsi="宋体" w:cs="宋体"/>
                <w:b/>
                <w:sz w:val="24"/>
              </w:rPr>
              <w:t xml:space="preserve">按照上述标准的</w:t>
            </w:r>
            <w:r>
              <w:rPr>
                <w:rFonts w:ascii="宋体" w:hAnsi="宋体" w:cs="宋体"/>
                <w:b/>
                <w:sz w:val="24"/>
              </w:rPr>
              <w:t xml:space="preserve">75</w:t>
            </w:r>
            <w:r>
              <w:rPr>
                <w:rFonts w:hint="eastAsia" w:ascii="宋体" w:hAnsi="宋体" w:cs="宋体"/>
                <w:b/>
                <w:sz w:val="24"/>
              </w:rPr>
              <w:t xml:space="preserve">%收取。</w:t>
            </w:r>
            <w:r/>
          </w:p>
          <w:p>
            <w:pPr>
              <w:pStyle w:val="859"/>
              <w:ind w:firstLine="480"/>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859"/>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在领取中标通知书时将三年代理费支付至常州市城投建设工程招标有限公司账户。</w:t>
            </w:r>
            <w:r/>
          </w:p>
          <w:p>
            <w:pPr>
              <w:pStyle w:val="859"/>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859"/>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859"/>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00"/>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9"/>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9"/>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859"/>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859"/>
        <w:jc w:val="center"/>
        <w:spacing w:before="240" w:after="240"/>
        <w:rPr>
          <w:rFonts w:hint="eastAsia" w:ascii="宋体" w:hAnsi="宋体" w:cs="宋体"/>
          <w:b/>
          <w:sz w:val="28"/>
          <w:szCs w:val="28"/>
        </w:rPr>
      </w:pPr>
      <w:r/>
      <w:bookmarkStart w:id="75" w:name="_Toc353873662"/>
      <w:r/>
      <w:bookmarkStart w:id="76" w:name="_Toc195842882"/>
      <w:r/>
      <w:bookmarkStart w:id="77" w:name="_Toc264969207"/>
      <w:r/>
      <w:bookmarkStart w:id="78" w:name="_Toc353873932"/>
      <w:r/>
      <w:bookmarkStart w:id="79" w:name="_Toc150774722"/>
      <w:r/>
      <w:bookmarkStart w:id="80" w:name="_Toc150480755"/>
      <w:r/>
      <w:bookmarkStart w:id="81" w:name="_Toc226965790"/>
      <w:r/>
      <w:bookmarkStart w:id="82" w:name="_Toc353825542"/>
      <w:r/>
      <w:bookmarkStart w:id="83" w:name="_Toc305158859"/>
      <w:r/>
      <w:bookmarkStart w:id="84" w:name="_Toc265228355"/>
      <w:r/>
      <w:bookmarkStart w:id="85" w:name="_Toc226337213"/>
      <w:r/>
      <w:bookmarkStart w:id="86" w:name="_Toc305158785"/>
      <w:r/>
      <w:bookmarkStart w:id="87" w:name="_Toc142311019"/>
      <w:r/>
      <w:bookmarkStart w:id="88" w:name="_Toc127151517"/>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861"/>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150774618"/>
      <w:r/>
      <w:bookmarkStart w:id="92" w:name="_Toc151193906"/>
      <w:r/>
      <w:bookmarkStart w:id="93" w:name="_Toc305158860"/>
      <w:r/>
      <w:bookmarkStart w:id="94" w:name="_Toc150774723"/>
      <w:r/>
      <w:bookmarkStart w:id="95" w:name="_Toc226965708"/>
      <w:r/>
      <w:bookmarkStart w:id="96" w:name="_Toc151190145"/>
      <w:r/>
      <w:bookmarkStart w:id="97" w:name="_Toc150509269"/>
      <w:r/>
      <w:bookmarkStart w:id="98" w:name="_Toc142311020"/>
      <w:r/>
      <w:bookmarkStart w:id="99" w:name="_Toc151193616"/>
      <w:r/>
      <w:bookmarkStart w:id="100" w:name="_Toc226309762"/>
      <w:r/>
      <w:bookmarkStart w:id="101" w:name="_Toc195842883"/>
      <w:r/>
      <w:bookmarkStart w:id="102" w:name="_Toc265228356"/>
      <w:r/>
      <w:bookmarkStart w:id="103" w:name="_Toc151193832"/>
      <w:r/>
      <w:bookmarkStart w:id="104" w:name="_Toc305158786"/>
      <w:r/>
      <w:bookmarkStart w:id="105" w:name="_Toc151193760"/>
      <w:r/>
      <w:bookmarkStart w:id="106" w:name="_Toc226965791"/>
      <w:r/>
      <w:bookmarkStart w:id="107" w:name="_Toc226337214"/>
      <w:r/>
      <w:bookmarkStart w:id="108" w:name="_Toc150480756"/>
      <w:r/>
      <w:bookmarkStart w:id="109" w:name="_Toc264969208"/>
      <w:r/>
      <w:bookmarkStart w:id="110" w:name="_Toc151193688"/>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859"/>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861"/>
      <w:r/>
      <w:bookmarkStart w:id="112" w:name="_Toc265228357"/>
      <w:r/>
      <w:bookmarkStart w:id="113" w:name="_Toc305158787"/>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859"/>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859"/>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859"/>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859"/>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64608634"/>
      <w:r/>
      <w:bookmarkStart w:id="116" w:name="_Toc264969210"/>
      <w:r/>
      <w:bookmarkStart w:id="117" w:name="_Toc151193762"/>
      <w:r/>
      <w:bookmarkStart w:id="118" w:name="_Toc127151721"/>
      <w:r/>
      <w:bookmarkStart w:id="119" w:name="_Toc150774725"/>
      <w:r/>
      <w:bookmarkStart w:id="120" w:name="_Toc151193618"/>
      <w:r/>
      <w:bookmarkStart w:id="121" w:name="_Toc127151520"/>
      <w:r/>
      <w:bookmarkStart w:id="122" w:name="_Toc164608789"/>
      <w:r/>
      <w:bookmarkStart w:id="123" w:name="_Toc151193690"/>
      <w:r/>
      <w:bookmarkStart w:id="124" w:name="_Toc151193834"/>
      <w:r/>
      <w:bookmarkStart w:id="125" w:name="_Toc164229361"/>
      <w:r/>
      <w:bookmarkStart w:id="126" w:name="_Toc151190147"/>
      <w:r/>
      <w:bookmarkStart w:id="127" w:name="_Toc149720813"/>
      <w:r/>
      <w:bookmarkStart w:id="128" w:name="_Toc127161434"/>
      <w:r/>
      <w:bookmarkStart w:id="129" w:name="_Toc151193908"/>
      <w:r/>
      <w:bookmarkStart w:id="130" w:name="_Toc164229215"/>
      <w:r/>
      <w:bookmarkStart w:id="131" w:name="_Toc195842885"/>
      <w:r/>
      <w:bookmarkStart w:id="132" w:name="_Toc164351614"/>
      <w:r/>
      <w:bookmarkStart w:id="133" w:name="_Toc305158788"/>
      <w:r/>
      <w:bookmarkStart w:id="134" w:name="_Toc150509271"/>
      <w:r/>
      <w:bookmarkStart w:id="135" w:name="_Toc150480758"/>
      <w:r/>
      <w:bookmarkStart w:id="136" w:name="_Toc226965793"/>
      <w:r/>
      <w:bookmarkStart w:id="137" w:name="_Toc150774620"/>
      <w:r/>
      <w:bookmarkStart w:id="138" w:name="_Toc265228358"/>
      <w:r/>
      <w:bookmarkStart w:id="139" w:name="_Toc226965710"/>
      <w:r/>
      <w:bookmarkStart w:id="140" w:name="_Toc142311022"/>
      <w:r/>
      <w:bookmarkStart w:id="141" w:name="_Toc305158862"/>
      <w:r/>
      <w:bookmarkStart w:id="142" w:name="_Toc226337216"/>
      <w:r/>
      <w:bookmarkStart w:id="143" w:name="_Toc226309764"/>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859"/>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859"/>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305158790"/>
      <w:r/>
      <w:bookmarkStart w:id="145" w:name="_Toc226309766"/>
      <w:r/>
      <w:bookmarkStart w:id="146" w:name="_Toc520356146"/>
      <w:r/>
      <w:bookmarkStart w:id="147" w:name="_Toc151193836"/>
      <w:r/>
      <w:bookmarkStart w:id="148" w:name="_Toc151190149"/>
      <w:r/>
      <w:bookmarkStart w:id="149" w:name="_Toc265228360"/>
      <w:r/>
      <w:bookmarkStart w:id="150" w:name="_Toc226965795"/>
      <w:r/>
      <w:bookmarkStart w:id="151" w:name="_Toc226965712"/>
      <w:r/>
      <w:bookmarkStart w:id="152" w:name="_Toc142311024"/>
      <w:r/>
      <w:bookmarkStart w:id="153" w:name="_Toc151193692"/>
      <w:r/>
      <w:bookmarkStart w:id="154" w:name="_Toc150509273"/>
      <w:r/>
      <w:bookmarkStart w:id="155" w:name="_Toc150774622"/>
      <w:r/>
      <w:bookmarkStart w:id="156" w:name="_Toc195842887"/>
      <w:r/>
      <w:bookmarkStart w:id="157" w:name="_Toc150774727"/>
      <w:r/>
      <w:bookmarkStart w:id="158" w:name="_Toc264969212"/>
      <w:r/>
      <w:bookmarkStart w:id="159" w:name="_Toc127151522"/>
      <w:r/>
      <w:bookmarkStart w:id="160" w:name="_Toc151193620"/>
      <w:r/>
      <w:bookmarkStart w:id="161" w:name="_Toc151193910"/>
      <w:r/>
      <w:bookmarkStart w:id="162" w:name="_Toc226337218"/>
      <w:r/>
      <w:bookmarkStart w:id="163" w:name="_Toc150480760"/>
      <w:r/>
      <w:bookmarkStart w:id="164" w:name="_Toc305158864"/>
      <w:r/>
      <w:bookmarkStart w:id="165" w:name="_Toc151193764"/>
      <w:r>
        <w:rPr>
          <w:rFonts w:hint="eastAsia" w:ascii="宋体" w:hAnsi="宋体" w:cs="宋体"/>
          <w:sz w:val="28"/>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859"/>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859"/>
        <w:numPr>
          <w:ilvl w:val="0"/>
          <w:numId w:val="9"/>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85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859"/>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95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5"/>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5"/>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5"/>
        <w:numPr>
          <w:ilvl w:val="2"/>
          <w:numId w:val="10"/>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9"/>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9"/>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859"/>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859"/>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859"/>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859"/>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859"/>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859"/>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9"/>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955"/>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5"/>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9"/>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859"/>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859"/>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859"/>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859"/>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859"/>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85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5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59"/>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5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85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59"/>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859"/>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59"/>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859"/>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859"/>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859"/>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859"/>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859"/>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859"/>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861"/>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226337219"/>
      <w:r/>
      <w:bookmarkStart w:id="168" w:name="_Toc127151523"/>
      <w:r/>
      <w:bookmarkStart w:id="169" w:name="_Toc150774728"/>
      <w:r/>
      <w:bookmarkStart w:id="170" w:name="_Toc151193621"/>
      <w:r/>
      <w:bookmarkStart w:id="171" w:name="_Toc150480761"/>
      <w:r/>
      <w:bookmarkStart w:id="172" w:name="_Toc226965796"/>
      <w:r/>
      <w:bookmarkStart w:id="173" w:name="_Toc149720816"/>
      <w:r/>
      <w:bookmarkStart w:id="174" w:name="_Toc150774623"/>
      <w:r/>
      <w:bookmarkStart w:id="175" w:name="_Toc150509274"/>
      <w:r/>
      <w:bookmarkStart w:id="176" w:name="_Toc305158791"/>
      <w:r/>
      <w:bookmarkStart w:id="177" w:name="_Toc151193765"/>
      <w:r/>
      <w:bookmarkStart w:id="178" w:name="_Toc151193837"/>
      <w:r/>
      <w:bookmarkStart w:id="179" w:name="_Toc151193693"/>
      <w:r/>
      <w:bookmarkStart w:id="180" w:name="_Toc520356147"/>
      <w:r/>
      <w:bookmarkStart w:id="181" w:name="_Toc164608792"/>
      <w:r/>
      <w:bookmarkStart w:id="182" w:name="_Toc226309767"/>
      <w:r/>
      <w:bookmarkStart w:id="183" w:name="_Toc305158865"/>
      <w:r/>
      <w:bookmarkStart w:id="184" w:name="_Toc142311025"/>
      <w:r/>
      <w:bookmarkStart w:id="185" w:name="_Toc164351617"/>
      <w:r/>
      <w:bookmarkStart w:id="186" w:name="_Toc265228361"/>
      <w:r/>
      <w:bookmarkStart w:id="187" w:name="_Toc195842888"/>
      <w:r/>
      <w:bookmarkStart w:id="188" w:name="_Toc164608637"/>
      <w:r/>
      <w:bookmarkStart w:id="189" w:name="_Toc264969213"/>
      <w:r/>
      <w:bookmarkStart w:id="190" w:name="_Toc151193911"/>
      <w:r/>
      <w:bookmarkStart w:id="191" w:name="_Toc127151724"/>
      <w:r/>
      <w:bookmarkStart w:id="192" w:name="_Toc127161437"/>
      <w:r/>
      <w:bookmarkStart w:id="193" w:name="_Toc151190150"/>
      <w:r/>
      <w:bookmarkStart w:id="194" w:name="_Toc226965713"/>
      <w:r/>
      <w:bookmarkStart w:id="195" w:name="_Toc164229364"/>
      <w:r/>
      <w:bookmarkStart w:id="196" w:name="_Toc164229218"/>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85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85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85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85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85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85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85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859"/>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859"/>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861"/>
        <w:ind w:firstLine="562"/>
        <w:spacing w:before="0" w:line="360" w:lineRule="auto"/>
        <w:rPr>
          <w:rFonts w:hint="eastAsia" w:ascii="宋体" w:hAnsi="宋体" w:eastAsia="宋体" w:cs="宋体"/>
          <w:sz w:val="28"/>
        </w:rPr>
      </w:pPr>
      <w:r/>
      <w:bookmarkStart w:id="197" w:name="_Toc264969216"/>
      <w:r/>
      <w:bookmarkStart w:id="198" w:name="_Toc150509277"/>
      <w:r/>
      <w:bookmarkStart w:id="199" w:name="_Toc142311028"/>
      <w:r/>
      <w:bookmarkStart w:id="200" w:name="_Toc150480764"/>
      <w:r/>
      <w:bookmarkStart w:id="201" w:name="_Toc305158868"/>
      <w:r/>
      <w:bookmarkStart w:id="202" w:name="_Toc195842891"/>
      <w:r/>
      <w:bookmarkStart w:id="203" w:name="_Toc151193768"/>
      <w:r/>
      <w:bookmarkStart w:id="204" w:name="_Toc150774731"/>
      <w:r/>
      <w:bookmarkStart w:id="205" w:name="_Toc226337222"/>
      <w:r/>
      <w:bookmarkStart w:id="206" w:name="_Toc226965799"/>
      <w:r/>
      <w:bookmarkStart w:id="207" w:name="_Toc151193624"/>
      <w:r/>
      <w:bookmarkStart w:id="208" w:name="_Toc226965716"/>
      <w:r/>
      <w:bookmarkStart w:id="209" w:name="_Toc226309770"/>
      <w:r/>
      <w:bookmarkStart w:id="210" w:name="_Toc516367020"/>
      <w:r/>
      <w:bookmarkStart w:id="211" w:name="_Toc150774626"/>
      <w:r/>
      <w:bookmarkStart w:id="212" w:name="_Toc151193840"/>
      <w:r/>
      <w:bookmarkStart w:id="213" w:name="_Toc305158794"/>
      <w:r/>
      <w:bookmarkStart w:id="214" w:name="_Toc520356150"/>
      <w:r/>
      <w:bookmarkStart w:id="215" w:name="_Toc151193914"/>
      <w:r/>
      <w:bookmarkStart w:id="216" w:name="_Toc151190153"/>
      <w:r/>
      <w:bookmarkStart w:id="217" w:name="_Toc127151526"/>
      <w:r/>
      <w:bookmarkStart w:id="218" w:name="_Toc265228364"/>
      <w:r/>
      <w:bookmarkStart w:id="219" w:name="_Toc151193696"/>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520356151"/>
      <w:r/>
      <w:bookmarkStart w:id="221" w:name="_Toc150480765"/>
      <w:r/>
      <w:bookmarkStart w:id="222" w:name="_Toc226965800"/>
      <w:r/>
      <w:bookmarkStart w:id="223" w:name="_Toc149720820"/>
      <w:r/>
      <w:bookmarkStart w:id="224" w:name="_Toc164229368"/>
      <w:r/>
      <w:bookmarkStart w:id="225" w:name="_Toc226337223"/>
      <w:r/>
      <w:bookmarkStart w:id="226" w:name="_Toc305158869"/>
      <w:r/>
      <w:bookmarkStart w:id="227" w:name="_Toc127151527"/>
      <w:r/>
      <w:bookmarkStart w:id="228" w:name="_Toc150509278"/>
      <w:r/>
      <w:bookmarkStart w:id="229" w:name="_Toc151193625"/>
      <w:r/>
      <w:bookmarkStart w:id="230" w:name="_Toc151193697"/>
      <w:r/>
      <w:bookmarkStart w:id="231" w:name="_Toc127161441"/>
      <w:r/>
      <w:bookmarkStart w:id="232" w:name="_Toc151193915"/>
      <w:r/>
      <w:bookmarkStart w:id="233" w:name="_Toc516367021"/>
      <w:r/>
      <w:bookmarkStart w:id="234" w:name="_Toc164229222"/>
      <w:r/>
      <w:bookmarkStart w:id="235" w:name="_Toc151190154"/>
      <w:r/>
      <w:bookmarkStart w:id="236" w:name="_Toc226965717"/>
      <w:r/>
      <w:bookmarkStart w:id="237" w:name="_Toc164608641"/>
      <w:r/>
      <w:bookmarkStart w:id="238" w:name="_Toc164351621"/>
      <w:r/>
      <w:bookmarkStart w:id="239" w:name="_Toc195842892"/>
      <w:r/>
      <w:bookmarkStart w:id="240" w:name="_Toc151193769"/>
      <w:r/>
      <w:bookmarkStart w:id="241" w:name="_Toc151193841"/>
      <w:r/>
      <w:bookmarkStart w:id="242" w:name="_Toc150774732"/>
      <w:r/>
      <w:bookmarkStart w:id="243" w:name="_Toc142311029"/>
      <w:r/>
      <w:bookmarkStart w:id="244" w:name="_Toc164608796"/>
      <w:r/>
      <w:bookmarkStart w:id="245" w:name="_Toc265228365"/>
      <w:r/>
      <w:bookmarkStart w:id="246" w:name="_Toc226309771"/>
      <w:r/>
      <w:bookmarkStart w:id="247" w:name="_Toc150774627"/>
      <w:r/>
      <w:bookmarkStart w:id="248" w:name="_Toc264969217"/>
      <w:r/>
      <w:bookmarkStart w:id="249" w:name="_Toc305158795"/>
      <w:r/>
      <w:bookmarkStart w:id="250" w:name="_Toc127151728"/>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226965801"/>
      <w:r/>
      <w:bookmarkStart w:id="252" w:name="_Toc305158870"/>
      <w:r/>
      <w:bookmarkStart w:id="253" w:name="_Toc164351622"/>
      <w:r/>
      <w:bookmarkStart w:id="254" w:name="_Toc195842893"/>
      <w:r/>
      <w:bookmarkStart w:id="255" w:name="_Toc151193626"/>
      <w:r/>
      <w:bookmarkStart w:id="256" w:name="_Toc226337224"/>
      <w:r/>
      <w:bookmarkStart w:id="257" w:name="_Toc164608797"/>
      <w:r/>
      <w:bookmarkStart w:id="258" w:name="_Ref467306676"/>
      <w:r/>
      <w:bookmarkStart w:id="259" w:name="_Toc516367022"/>
      <w:r/>
      <w:bookmarkStart w:id="260" w:name="_Ref467306195"/>
      <w:r/>
      <w:bookmarkStart w:id="261" w:name="_Toc305158796"/>
      <w:r/>
      <w:bookmarkStart w:id="262" w:name="_Toc164229223"/>
      <w:r/>
      <w:bookmarkStart w:id="263" w:name="_Toc226309772"/>
      <w:r/>
      <w:bookmarkStart w:id="264" w:name="_Toc151193698"/>
      <w:r/>
      <w:bookmarkStart w:id="265" w:name="_Toc142311030"/>
      <w:r/>
      <w:bookmarkStart w:id="266" w:name="_Toc264969218"/>
      <w:r/>
      <w:bookmarkStart w:id="267" w:name="_Toc265228366"/>
      <w:r/>
      <w:bookmarkStart w:id="268" w:name="_Toc151193770"/>
      <w:r/>
      <w:bookmarkStart w:id="269" w:name="_Toc164229369"/>
      <w:r/>
      <w:bookmarkStart w:id="270" w:name="_Toc150509279"/>
      <w:r/>
      <w:bookmarkStart w:id="271" w:name="_Toc520356152"/>
      <w:r/>
      <w:bookmarkStart w:id="272" w:name="_Toc151193842"/>
      <w:r/>
      <w:bookmarkStart w:id="273" w:name="_Toc150774628"/>
      <w:r/>
      <w:bookmarkStart w:id="274" w:name="_Toc127161442"/>
      <w:r/>
      <w:bookmarkStart w:id="275" w:name="_Toc151190155"/>
      <w:r/>
      <w:bookmarkStart w:id="276" w:name="_Toc150774733"/>
      <w:r/>
      <w:bookmarkStart w:id="277" w:name="_Toc164608642"/>
      <w:r/>
      <w:bookmarkStart w:id="278" w:name="_Toc127151729"/>
      <w:r/>
      <w:bookmarkStart w:id="279" w:name="_Toc226965718"/>
      <w:r/>
      <w:bookmarkStart w:id="280" w:name="_Toc151193916"/>
      <w:r/>
      <w:bookmarkStart w:id="281" w:name="_Toc127151528"/>
      <w:r/>
      <w:bookmarkStart w:id="282" w:name="_Toc149720821"/>
      <w:r/>
      <w:bookmarkStart w:id="283" w:name="_Toc150480766"/>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64351624"/>
      <w:r/>
      <w:bookmarkStart w:id="286" w:name="_Toc520356155"/>
      <w:r/>
      <w:bookmarkStart w:id="287" w:name="_Toc151193844"/>
      <w:r/>
      <w:bookmarkStart w:id="288" w:name="_Toc127151731"/>
      <w:r/>
      <w:bookmarkStart w:id="289" w:name="_Toc164229371"/>
      <w:r/>
      <w:bookmarkStart w:id="290" w:name="_Toc150480768"/>
      <w:r/>
      <w:bookmarkStart w:id="291" w:name="_Toc164608799"/>
      <w:r/>
      <w:bookmarkStart w:id="292" w:name="_Toc151193700"/>
      <w:r/>
      <w:bookmarkStart w:id="293" w:name="_Toc151193628"/>
      <w:r/>
      <w:bookmarkStart w:id="294" w:name="_Toc164229225"/>
      <w:r/>
      <w:bookmarkStart w:id="295" w:name="_Toc150509281"/>
      <w:r/>
      <w:bookmarkStart w:id="296" w:name="_Toc195842895"/>
      <w:r/>
      <w:bookmarkStart w:id="297" w:name="_Toc151190157"/>
      <w:r/>
      <w:bookmarkStart w:id="298" w:name="_Toc150774630"/>
      <w:r/>
      <w:bookmarkStart w:id="299" w:name="_Toc151193772"/>
      <w:r/>
      <w:bookmarkStart w:id="300" w:name="_Toc127161444"/>
      <w:r/>
      <w:bookmarkStart w:id="301" w:name="_Toc151193918"/>
      <w:r/>
      <w:bookmarkStart w:id="302" w:name="_Toc164608644"/>
      <w:r/>
      <w:bookmarkStart w:id="303" w:name="_Toc149720823"/>
      <w:r/>
      <w:bookmarkStart w:id="304" w:name="_Toc142311032"/>
      <w:r/>
      <w:bookmarkStart w:id="305" w:name="_Toc127151530"/>
      <w:r/>
      <w:bookmarkStart w:id="306" w:name="_Toc150774735"/>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51190158"/>
      <w:r/>
      <w:bookmarkStart w:id="308" w:name="_Toc164229372"/>
      <w:r/>
      <w:bookmarkStart w:id="309" w:name="_Toc151193701"/>
      <w:r/>
      <w:bookmarkStart w:id="310" w:name="_Toc127161445"/>
      <w:r/>
      <w:bookmarkStart w:id="311" w:name="_Toc151193629"/>
      <w:r/>
      <w:bookmarkStart w:id="312" w:name="_Toc265228369"/>
      <w:r/>
      <w:bookmarkStart w:id="313" w:name="_Toc164229226"/>
      <w:r/>
      <w:bookmarkStart w:id="314" w:name="_Toc264969221"/>
      <w:r/>
      <w:bookmarkStart w:id="315" w:name="_Toc151193773"/>
      <w:r/>
      <w:bookmarkStart w:id="316" w:name="_Toc150509282"/>
      <w:r/>
      <w:bookmarkStart w:id="317" w:name="_Toc195842896"/>
      <w:r/>
      <w:bookmarkStart w:id="318" w:name="_Toc164608645"/>
      <w:r/>
      <w:bookmarkStart w:id="319" w:name="_Toc305158873"/>
      <w:r/>
      <w:bookmarkStart w:id="320" w:name="_Toc226337227"/>
      <w:r/>
      <w:bookmarkStart w:id="321" w:name="_Toc226309775"/>
      <w:r/>
      <w:bookmarkStart w:id="322" w:name="_Toc150774631"/>
      <w:r/>
      <w:bookmarkStart w:id="323" w:name="_Toc226965721"/>
      <w:r/>
      <w:bookmarkStart w:id="324" w:name="_Toc164351625"/>
      <w:r/>
      <w:bookmarkStart w:id="325" w:name="_Toc150774736"/>
      <w:r/>
      <w:bookmarkStart w:id="326" w:name="_Toc305158799"/>
      <w:r/>
      <w:bookmarkStart w:id="327" w:name="_Toc149720824"/>
      <w:r/>
      <w:bookmarkStart w:id="328" w:name="_Toc127151732"/>
      <w:r/>
      <w:bookmarkStart w:id="329" w:name="_Toc151193919"/>
      <w:r/>
      <w:bookmarkStart w:id="330" w:name="_Toc142311033"/>
      <w:r/>
      <w:bookmarkStart w:id="331" w:name="_Toc151193845"/>
      <w:r/>
      <w:bookmarkStart w:id="332" w:name="_Toc127151531"/>
      <w:r/>
      <w:bookmarkStart w:id="333" w:name="_Toc164608800"/>
      <w:r/>
      <w:bookmarkStart w:id="334" w:name="_Toc150480769"/>
      <w:r/>
      <w:bookmarkStart w:id="335" w:name="_Toc520356156"/>
      <w:r/>
      <w:bookmarkStart w:id="336" w:name="_Ref467306513"/>
      <w:r/>
      <w:bookmarkStart w:id="337" w:name="_Toc226965804"/>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859"/>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305158874"/>
      <w:r/>
      <w:bookmarkStart w:id="339" w:name="_Toc151190159"/>
      <w:r/>
      <w:bookmarkStart w:id="340" w:name="_Toc151193702"/>
      <w:r/>
      <w:bookmarkStart w:id="341" w:name="_Toc142311034"/>
      <w:r/>
      <w:bookmarkStart w:id="342" w:name="_Toc226309776"/>
      <w:r/>
      <w:bookmarkStart w:id="343" w:name="_Toc150509283"/>
      <w:r/>
      <w:bookmarkStart w:id="344" w:name="_Toc264969222"/>
      <w:r/>
      <w:bookmarkStart w:id="345" w:name="_Toc151193630"/>
      <w:r/>
      <w:bookmarkStart w:id="346" w:name="_Toc265228370"/>
      <w:r/>
      <w:bookmarkStart w:id="347" w:name="_Toc226965722"/>
      <w:r/>
      <w:bookmarkStart w:id="348" w:name="_Toc150774737"/>
      <w:r/>
      <w:bookmarkStart w:id="349" w:name="_Toc195842897"/>
      <w:r/>
      <w:bookmarkStart w:id="350" w:name="_Toc151193774"/>
      <w:r/>
      <w:bookmarkStart w:id="351" w:name="_Toc164608801"/>
      <w:r/>
      <w:bookmarkStart w:id="352" w:name="_Toc305158800"/>
      <w:r/>
      <w:bookmarkStart w:id="353" w:name="_Toc164229373"/>
      <w:r/>
      <w:bookmarkStart w:id="354" w:name="_Toc149720825"/>
      <w:r/>
      <w:bookmarkStart w:id="355" w:name="_Toc151193920"/>
      <w:r/>
      <w:bookmarkStart w:id="356" w:name="_Toc150774632"/>
      <w:r/>
      <w:bookmarkStart w:id="357" w:name="_Toc226965805"/>
      <w:r/>
      <w:bookmarkStart w:id="358" w:name="_Toc127151532"/>
      <w:r/>
      <w:bookmarkStart w:id="359" w:name="_Toc164351626"/>
      <w:r/>
      <w:bookmarkStart w:id="360" w:name="_Toc164608646"/>
      <w:r/>
      <w:bookmarkStart w:id="361" w:name="_Toc226337228"/>
      <w:r/>
      <w:bookmarkStart w:id="362" w:name="_Toc520356157"/>
      <w:r/>
      <w:bookmarkStart w:id="363" w:name="_Toc127151733"/>
      <w:r/>
      <w:bookmarkStart w:id="364" w:name="_Toc150480770"/>
      <w:r/>
      <w:bookmarkStart w:id="365" w:name="_Toc164229227"/>
      <w:r/>
      <w:bookmarkStart w:id="366" w:name="_Toc127161446"/>
      <w:r/>
      <w:bookmarkStart w:id="367" w:name="_Toc151193846"/>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0480771"/>
      <w:r/>
      <w:bookmarkStart w:id="369" w:name="_Toc305158875"/>
      <w:r/>
      <w:bookmarkStart w:id="370" w:name="_Toc226337229"/>
      <w:r/>
      <w:bookmarkStart w:id="371" w:name="_Toc164229228"/>
      <w:r/>
      <w:bookmarkStart w:id="372" w:name="_Toc305158801"/>
      <w:r/>
      <w:bookmarkStart w:id="373" w:name="_Toc151193631"/>
      <w:r/>
      <w:bookmarkStart w:id="374" w:name="_Toc151193847"/>
      <w:r/>
      <w:bookmarkStart w:id="375" w:name="_Toc150774633"/>
      <w:r/>
      <w:bookmarkStart w:id="376" w:name="_Toc151193775"/>
      <w:r/>
      <w:bookmarkStart w:id="377" w:name="_Toc164608647"/>
      <w:r/>
      <w:bookmarkStart w:id="378" w:name="_Toc127161447"/>
      <w:r/>
      <w:bookmarkStart w:id="379" w:name="_Toc226309777"/>
      <w:r/>
      <w:bookmarkStart w:id="380" w:name="_Toc127151533"/>
      <w:r/>
      <w:bookmarkStart w:id="381" w:name="_Toc149720826"/>
      <w:r/>
      <w:bookmarkStart w:id="382" w:name="_Toc264969223"/>
      <w:r/>
      <w:bookmarkStart w:id="383" w:name="_Toc150774738"/>
      <w:r/>
      <w:bookmarkStart w:id="384" w:name="_Toc150509284"/>
      <w:r/>
      <w:bookmarkStart w:id="385" w:name="_Toc151193921"/>
      <w:r/>
      <w:bookmarkStart w:id="386" w:name="_Toc127151734"/>
      <w:r/>
      <w:bookmarkStart w:id="387" w:name="_Toc142311035"/>
      <w:r/>
      <w:bookmarkStart w:id="388" w:name="_Toc164351627"/>
      <w:r/>
      <w:bookmarkStart w:id="389" w:name="_Toc226965806"/>
      <w:r/>
      <w:bookmarkStart w:id="390" w:name="_Toc520356158"/>
      <w:r/>
      <w:bookmarkStart w:id="391" w:name="_Toc164229374"/>
      <w:r/>
      <w:bookmarkStart w:id="392" w:name="_Toc151193703"/>
      <w:r/>
      <w:bookmarkStart w:id="393" w:name="_Toc265228371"/>
      <w:r/>
      <w:bookmarkStart w:id="394" w:name="_Toc151190160"/>
      <w:r/>
      <w:bookmarkStart w:id="395" w:name="_Toc195842898"/>
      <w:r/>
      <w:bookmarkStart w:id="396" w:name="_Toc226965723"/>
      <w:r/>
      <w:bookmarkStart w:id="397" w:name="_Toc164608802"/>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42311036"/>
      <w:r/>
      <w:bookmarkStart w:id="399" w:name="_Toc265228372"/>
      <w:r/>
      <w:bookmarkStart w:id="400" w:name="_Toc151193632"/>
      <w:r/>
      <w:bookmarkStart w:id="401" w:name="_Toc150774739"/>
      <w:r/>
      <w:bookmarkStart w:id="402" w:name="_Toc195842899"/>
      <w:r/>
      <w:bookmarkStart w:id="403" w:name="_Toc151190161"/>
      <w:r/>
      <w:bookmarkStart w:id="404" w:name="_Toc150774634"/>
      <w:r/>
      <w:bookmarkStart w:id="405" w:name="_Toc305158876"/>
      <w:r/>
      <w:bookmarkStart w:id="406" w:name="_Toc520356159"/>
      <w:r/>
      <w:bookmarkStart w:id="407" w:name="_Toc226337230"/>
      <w:r/>
      <w:bookmarkStart w:id="408" w:name="_Toc151193922"/>
      <w:r/>
      <w:bookmarkStart w:id="409" w:name="_Toc127151534"/>
      <w:r/>
      <w:bookmarkStart w:id="410" w:name="_Toc226965807"/>
      <w:r/>
      <w:bookmarkStart w:id="411" w:name="_Toc226965724"/>
      <w:r/>
      <w:bookmarkStart w:id="412" w:name="_Toc151193776"/>
      <w:r/>
      <w:bookmarkStart w:id="413" w:name="_Toc151193704"/>
      <w:r/>
      <w:bookmarkStart w:id="414" w:name="_Toc150480772"/>
      <w:r/>
      <w:bookmarkStart w:id="415" w:name="_Toc226309778"/>
      <w:r/>
      <w:bookmarkStart w:id="416" w:name="_Toc151193848"/>
      <w:r/>
      <w:bookmarkStart w:id="417" w:name="_Toc305158802"/>
      <w:r/>
      <w:bookmarkStart w:id="418" w:name="_Toc264969224"/>
      <w:r/>
      <w:bookmarkStart w:id="419" w:name="_Toc150509285"/>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859"/>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861"/>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27161449"/>
      <w:r/>
      <w:bookmarkStart w:id="421" w:name="_Toc265228373"/>
      <w:r/>
      <w:bookmarkStart w:id="422" w:name="_Toc164608804"/>
      <w:r/>
      <w:bookmarkStart w:id="423" w:name="_Toc226337231"/>
      <w:r/>
      <w:bookmarkStart w:id="424" w:name="_Toc151193923"/>
      <w:r/>
      <w:bookmarkStart w:id="425" w:name="_Toc127151535"/>
      <w:r/>
      <w:bookmarkStart w:id="426" w:name="_Toc164608649"/>
      <w:r/>
      <w:bookmarkStart w:id="427" w:name="_Toc305158877"/>
      <w:r/>
      <w:bookmarkStart w:id="428" w:name="_Toc151193777"/>
      <w:r/>
      <w:bookmarkStart w:id="429" w:name="_Toc151193633"/>
      <w:r/>
      <w:bookmarkStart w:id="430" w:name="_Toc151193705"/>
      <w:r/>
      <w:bookmarkStart w:id="431" w:name="_Toc226965725"/>
      <w:r/>
      <w:bookmarkStart w:id="432" w:name="_Toc195842900"/>
      <w:r/>
      <w:bookmarkStart w:id="433" w:name="_Toc264969225"/>
      <w:r/>
      <w:bookmarkStart w:id="434" w:name="_Toc164351629"/>
      <w:r/>
      <w:bookmarkStart w:id="435" w:name="_Toc149720828"/>
      <w:r/>
      <w:bookmarkStart w:id="436" w:name="_Toc127151736"/>
      <w:r/>
      <w:bookmarkStart w:id="437" w:name="_Toc151190162"/>
      <w:r/>
      <w:bookmarkStart w:id="438" w:name="_Toc520356160"/>
      <w:r/>
      <w:bookmarkStart w:id="439" w:name="_Toc226965808"/>
      <w:r/>
      <w:bookmarkStart w:id="440" w:name="_Toc150509286"/>
      <w:r/>
      <w:bookmarkStart w:id="441" w:name="_Toc150774740"/>
      <w:r/>
      <w:bookmarkStart w:id="442" w:name="_Toc164229376"/>
      <w:r/>
      <w:bookmarkStart w:id="443" w:name="_Toc151193849"/>
      <w:r/>
      <w:bookmarkStart w:id="444" w:name="_Toc150774635"/>
      <w:r/>
      <w:bookmarkStart w:id="445" w:name="_Toc150480773"/>
      <w:r/>
      <w:bookmarkStart w:id="446" w:name="_Toc142311037"/>
      <w:r/>
      <w:bookmarkStart w:id="447" w:name="_Toc305158803"/>
      <w:r/>
      <w:bookmarkStart w:id="448" w:name="_Toc164229230"/>
      <w:r/>
      <w:bookmarkStart w:id="449" w:name="_Toc226309779"/>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64608805"/>
      <w:r/>
      <w:bookmarkStart w:id="451" w:name="_Toc164608650"/>
      <w:r/>
      <w:bookmarkStart w:id="452" w:name="_Toc127161450"/>
      <w:r/>
      <w:bookmarkStart w:id="453" w:name="_Toc127151737"/>
      <w:r/>
      <w:bookmarkStart w:id="454" w:name="_Toc150509287"/>
      <w:r/>
      <w:bookmarkStart w:id="455" w:name="_Toc151193706"/>
      <w:r/>
      <w:bookmarkStart w:id="456" w:name="_Toc149720829"/>
      <w:r/>
      <w:bookmarkStart w:id="457" w:name="_Toc164229377"/>
      <w:r/>
      <w:bookmarkStart w:id="458" w:name="_Toc226337232"/>
      <w:r/>
      <w:bookmarkStart w:id="459" w:name="_Toc142311038"/>
      <w:r/>
      <w:bookmarkStart w:id="460" w:name="_Toc150774741"/>
      <w:r/>
      <w:bookmarkStart w:id="461" w:name="_Toc164351630"/>
      <w:r/>
      <w:bookmarkStart w:id="462" w:name="_Toc226965809"/>
      <w:r/>
      <w:bookmarkStart w:id="463" w:name="_Toc164229231"/>
      <w:r/>
      <w:bookmarkStart w:id="464" w:name="_Toc151193634"/>
      <w:r/>
      <w:bookmarkStart w:id="465" w:name="_Toc226965726"/>
      <w:r/>
      <w:bookmarkStart w:id="466" w:name="_Toc150480774"/>
      <w:r/>
      <w:bookmarkStart w:id="467" w:name="_Toc150774636"/>
      <w:r/>
      <w:bookmarkStart w:id="468" w:name="_Toc151193778"/>
      <w:r/>
      <w:bookmarkStart w:id="469" w:name="_Toc305158878"/>
      <w:r/>
      <w:bookmarkStart w:id="470" w:name="_Toc151193924"/>
      <w:r/>
      <w:bookmarkStart w:id="471" w:name="_Toc305158804"/>
      <w:r/>
      <w:bookmarkStart w:id="472" w:name="_Toc226309780"/>
      <w:r/>
      <w:bookmarkStart w:id="473" w:name="_Toc151193850"/>
      <w:r/>
      <w:bookmarkStart w:id="474" w:name="_Toc265228374"/>
      <w:r/>
      <w:bookmarkStart w:id="475" w:name="_Toc151190163"/>
      <w:r/>
      <w:bookmarkStart w:id="476" w:name="_Toc264969226"/>
      <w:r/>
      <w:bookmarkStart w:id="477" w:name="_Toc127151536"/>
      <w:r/>
      <w:bookmarkStart w:id="478" w:name="_Toc520356161"/>
      <w:r/>
      <w:bookmarkStart w:id="479" w:name="_Toc195842901"/>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27161451"/>
      <w:r/>
      <w:bookmarkStart w:id="481" w:name="_Toc150480775"/>
      <w:r/>
      <w:bookmarkStart w:id="482" w:name="_Toc226965727"/>
      <w:r/>
      <w:bookmarkStart w:id="483" w:name="_Toc151193779"/>
      <w:r/>
      <w:bookmarkStart w:id="484" w:name="_Toc149720830"/>
      <w:r/>
      <w:bookmarkStart w:id="485" w:name="_Toc150774742"/>
      <w:r/>
      <w:bookmarkStart w:id="486" w:name="_Toc226337233"/>
      <w:r/>
      <w:bookmarkStart w:id="487" w:name="_Toc164608806"/>
      <w:r/>
      <w:bookmarkStart w:id="488" w:name="_Toc127151537"/>
      <w:r/>
      <w:bookmarkStart w:id="489" w:name="_Toc195842902"/>
      <w:r/>
      <w:bookmarkStart w:id="490" w:name="_Toc164229232"/>
      <w:r/>
      <w:bookmarkStart w:id="491" w:name="_Toc305158805"/>
      <w:r/>
      <w:bookmarkStart w:id="492" w:name="_Toc226309781"/>
      <w:r/>
      <w:bookmarkStart w:id="493" w:name="_Toc127151738"/>
      <w:r/>
      <w:bookmarkStart w:id="494" w:name="_Toc226965810"/>
      <w:r/>
      <w:bookmarkStart w:id="495" w:name="_Toc164229378"/>
      <w:r/>
      <w:bookmarkStart w:id="496" w:name="_Toc264969227"/>
      <w:r/>
      <w:bookmarkStart w:id="497" w:name="_Toc520356162"/>
      <w:r/>
      <w:bookmarkStart w:id="498" w:name="_Toc151193851"/>
      <w:r/>
      <w:bookmarkStart w:id="499" w:name="_Toc151193925"/>
      <w:r/>
      <w:bookmarkStart w:id="500" w:name="_Toc164351631"/>
      <w:r/>
      <w:bookmarkStart w:id="501" w:name="_Toc265228375"/>
      <w:r/>
      <w:bookmarkStart w:id="502" w:name="_Toc150774637"/>
      <w:r/>
      <w:bookmarkStart w:id="503" w:name="_Toc151193635"/>
      <w:r/>
      <w:bookmarkStart w:id="504" w:name="_Toc151193707"/>
      <w:r/>
      <w:bookmarkStart w:id="505" w:name="_Toc150509288"/>
      <w:r/>
      <w:bookmarkStart w:id="506" w:name="_Toc305158879"/>
      <w:r/>
      <w:bookmarkStart w:id="507" w:name="_Toc142311039"/>
      <w:r/>
      <w:bookmarkStart w:id="508" w:name="_Toc164608651"/>
      <w:r/>
      <w:bookmarkStart w:id="509" w:name="_Toc151190164"/>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859"/>
        <w:ind w:firstLine="480"/>
        <w:spacing w:line="360" w:lineRule="auto"/>
        <w:rPr>
          <w:rFonts w:hint="eastAsia" w:ascii="宋体" w:hAnsi="宋体" w:cs="宋体"/>
          <w:sz w:val="24"/>
        </w:rPr>
      </w:pPr>
      <w:r>
        <w:rPr>
          <w:rFonts w:hint="eastAsia" w:ascii="宋体" w:hAnsi="宋体" w:cs="宋体"/>
          <w:sz w:val="24"/>
        </w:rPr>
      </w:r>
      <w:r/>
    </w:p>
    <w:p>
      <w:pPr>
        <w:pStyle w:val="861"/>
        <w:ind w:firstLine="562"/>
        <w:spacing w:before="0" w:line="360" w:lineRule="auto"/>
        <w:rPr>
          <w:rFonts w:hint="eastAsia" w:ascii="宋体" w:hAnsi="宋体" w:eastAsia="宋体" w:cs="宋体"/>
          <w:sz w:val="28"/>
        </w:rPr>
      </w:pPr>
      <w:r/>
      <w:bookmarkStart w:id="510" w:name="_Toc195842903"/>
      <w:r/>
      <w:bookmarkStart w:id="511" w:name="_Toc151193926"/>
      <w:r/>
      <w:bookmarkStart w:id="512" w:name="_Toc151193852"/>
      <w:r/>
      <w:bookmarkStart w:id="513" w:name="_Toc265228376"/>
      <w:r/>
      <w:bookmarkStart w:id="514" w:name="_Toc520356163"/>
      <w:r/>
      <w:bookmarkStart w:id="515" w:name="_Toc151193636"/>
      <w:r/>
      <w:bookmarkStart w:id="516" w:name="_Toc142311040"/>
      <w:r/>
      <w:bookmarkStart w:id="517" w:name="_Toc151190165"/>
      <w:r/>
      <w:bookmarkStart w:id="518" w:name="_Toc264969228"/>
      <w:r/>
      <w:bookmarkStart w:id="519" w:name="_Toc151193708"/>
      <w:r/>
      <w:bookmarkStart w:id="520" w:name="_Toc226965728"/>
      <w:r/>
      <w:bookmarkStart w:id="521" w:name="_Toc150509289"/>
      <w:r/>
      <w:bookmarkStart w:id="522" w:name="_Toc150774743"/>
      <w:r/>
      <w:bookmarkStart w:id="523" w:name="_Toc150480776"/>
      <w:r/>
      <w:bookmarkStart w:id="524" w:name="_Toc150774638"/>
      <w:r/>
      <w:bookmarkStart w:id="525" w:name="_Toc305158880"/>
      <w:r/>
      <w:bookmarkStart w:id="526" w:name="_Toc127151538"/>
      <w:r/>
      <w:bookmarkStart w:id="527" w:name="_Toc151193780"/>
      <w:r/>
      <w:bookmarkStart w:id="528" w:name="_Toc305158806"/>
      <w:r/>
      <w:bookmarkStart w:id="529" w:name="_Toc226965811"/>
      <w:r/>
      <w:bookmarkStart w:id="530" w:name="_Toc226337234"/>
      <w:r/>
      <w:bookmarkStart w:id="531" w:name="_Toc226309782"/>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50774744"/>
      <w:r/>
      <w:bookmarkStart w:id="533" w:name="_Toc164608808"/>
      <w:r/>
      <w:bookmarkStart w:id="534" w:name="_Toc226309783"/>
      <w:r/>
      <w:bookmarkStart w:id="535" w:name="_Toc151193853"/>
      <w:r/>
      <w:bookmarkStart w:id="536" w:name="_Toc305158881"/>
      <w:r/>
      <w:bookmarkStart w:id="537" w:name="_Toc151190166"/>
      <w:r/>
      <w:bookmarkStart w:id="538" w:name="_Toc305158807"/>
      <w:r/>
      <w:bookmarkStart w:id="539" w:name="_Toc164229234"/>
      <w:r/>
      <w:bookmarkStart w:id="540" w:name="_Toc127151740"/>
      <w:r/>
      <w:bookmarkStart w:id="541" w:name="_Toc164608653"/>
      <w:r/>
      <w:bookmarkStart w:id="542" w:name="_Toc164351633"/>
      <w:r/>
      <w:bookmarkStart w:id="543" w:name="_Toc150480777"/>
      <w:r/>
      <w:bookmarkStart w:id="544" w:name="_Toc195842904"/>
      <w:r/>
      <w:bookmarkStart w:id="545" w:name="_Toc226337235"/>
      <w:r/>
      <w:bookmarkStart w:id="546" w:name="_Toc164229380"/>
      <w:r/>
      <w:bookmarkStart w:id="547" w:name="_Toc151193927"/>
      <w:r/>
      <w:bookmarkStart w:id="548" w:name="_Toc226965812"/>
      <w:r/>
      <w:bookmarkStart w:id="549" w:name="_Toc151193781"/>
      <w:r/>
      <w:bookmarkStart w:id="550" w:name="_Toc226965729"/>
      <w:r/>
      <w:bookmarkStart w:id="551" w:name="_Toc150774639"/>
      <w:r/>
      <w:bookmarkStart w:id="552" w:name="_Toc264969229"/>
      <w:r/>
      <w:bookmarkStart w:id="553" w:name="_Toc142311041"/>
      <w:r/>
      <w:bookmarkStart w:id="554" w:name="_Toc127151539"/>
      <w:r/>
      <w:bookmarkStart w:id="555" w:name="_Toc151193637"/>
      <w:r/>
      <w:bookmarkStart w:id="556" w:name="_Toc265228377"/>
      <w:r/>
      <w:bookmarkStart w:id="557" w:name="_Toc150509290"/>
      <w:r/>
      <w:bookmarkStart w:id="558" w:name="_Toc151193709"/>
      <w:r/>
      <w:bookmarkStart w:id="559" w:name="_Toc149720832"/>
      <w:r/>
      <w:bookmarkStart w:id="560" w:name="_Toc520356164"/>
      <w:r/>
      <w:bookmarkStart w:id="561" w:name="_Toc127161453"/>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859"/>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859"/>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859"/>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859"/>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859"/>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859"/>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226309784"/>
      <w:r/>
      <w:bookmarkStart w:id="564" w:name="_Toc151193782"/>
      <w:r/>
      <w:bookmarkStart w:id="565" w:name="_Toc226965730"/>
      <w:r/>
      <w:bookmarkStart w:id="566" w:name="_Toc150774745"/>
      <w:r/>
      <w:bookmarkStart w:id="567" w:name="_Toc164608654"/>
      <w:r/>
      <w:bookmarkStart w:id="568" w:name="_Toc150774640"/>
      <w:r/>
      <w:bookmarkStart w:id="569" w:name="_Toc142311042"/>
      <w:r/>
      <w:bookmarkStart w:id="570" w:name="_Toc164351634"/>
      <w:r/>
      <w:bookmarkStart w:id="571" w:name="_Toc151193638"/>
      <w:r/>
      <w:bookmarkStart w:id="572" w:name="_Toc151193928"/>
      <w:r/>
      <w:bookmarkStart w:id="573" w:name="_Toc305158808"/>
      <w:r/>
      <w:bookmarkStart w:id="574" w:name="_Toc164229235"/>
      <w:r/>
      <w:bookmarkStart w:id="575" w:name="_Toc195842905"/>
      <w:r/>
      <w:bookmarkStart w:id="576" w:name="_Toc264969230"/>
      <w:r/>
      <w:bookmarkStart w:id="577" w:name="_Toc127151741"/>
      <w:r/>
      <w:bookmarkStart w:id="578" w:name="_Toc150480778"/>
      <w:r/>
      <w:bookmarkStart w:id="579" w:name="_Toc151193854"/>
      <w:r/>
      <w:bookmarkStart w:id="580" w:name="_Toc127151540"/>
      <w:r/>
      <w:bookmarkStart w:id="581" w:name="_Toc226337236"/>
      <w:r/>
      <w:bookmarkStart w:id="582" w:name="_Toc226965813"/>
      <w:r/>
      <w:bookmarkStart w:id="583" w:name="_Toc151193710"/>
      <w:r/>
      <w:bookmarkStart w:id="584" w:name="_Toc164229381"/>
      <w:r/>
      <w:bookmarkStart w:id="585" w:name="_Toc127161454"/>
      <w:r/>
      <w:bookmarkStart w:id="586" w:name="_Toc265228378"/>
      <w:r/>
      <w:bookmarkStart w:id="587" w:name="_Toc164608809"/>
      <w:r/>
      <w:bookmarkStart w:id="588" w:name="_Toc151190167"/>
      <w:r/>
      <w:bookmarkStart w:id="589" w:name="_Toc305158882"/>
      <w:r/>
      <w:bookmarkStart w:id="590" w:name="_Toc149720833"/>
      <w:r/>
      <w:bookmarkStart w:id="591" w:name="_Toc150509291"/>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859"/>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61"/>
        <w:ind w:firstLine="562"/>
        <w:spacing w:before="0" w:line="360" w:lineRule="auto"/>
        <w:rPr>
          <w:rFonts w:hint="eastAsia" w:ascii="宋体" w:hAnsi="宋体" w:eastAsia="宋体" w:cs="宋体"/>
          <w:sz w:val="28"/>
        </w:rPr>
      </w:pPr>
      <w:r/>
      <w:bookmarkStart w:id="594" w:name="_Toc151193859"/>
      <w:r/>
      <w:bookmarkStart w:id="595" w:name="_Toc150480783"/>
      <w:r/>
      <w:bookmarkStart w:id="596" w:name="_Toc265228383"/>
      <w:r/>
      <w:bookmarkStart w:id="597" w:name="_Toc264969235"/>
      <w:r/>
      <w:bookmarkStart w:id="598" w:name="_Toc151193643"/>
      <w:r/>
      <w:bookmarkStart w:id="599" w:name="_Toc226337241"/>
      <w:r/>
      <w:bookmarkStart w:id="600" w:name="_Toc305158887"/>
      <w:r/>
      <w:bookmarkStart w:id="601" w:name="_Toc151193715"/>
      <w:r/>
      <w:bookmarkStart w:id="602" w:name="_Toc226309789"/>
      <w:r/>
      <w:bookmarkStart w:id="603" w:name="_Toc151193933"/>
      <w:r/>
      <w:bookmarkStart w:id="604" w:name="_Toc150774750"/>
      <w:r/>
      <w:bookmarkStart w:id="605" w:name="_Toc142311047"/>
      <w:r/>
      <w:bookmarkStart w:id="606" w:name="_Toc226965735"/>
      <w:r/>
      <w:bookmarkStart w:id="607" w:name="_Toc150509296"/>
      <w:r/>
      <w:bookmarkStart w:id="608" w:name="_Toc150774645"/>
      <w:r/>
      <w:bookmarkStart w:id="609" w:name="_Toc195842910"/>
      <w:r/>
      <w:bookmarkStart w:id="610" w:name="_Toc151190172"/>
      <w:r/>
      <w:bookmarkStart w:id="611" w:name="_Toc305158813"/>
      <w:r/>
      <w:bookmarkStart w:id="612" w:name="_Toc151193787"/>
      <w:r/>
      <w:bookmarkStart w:id="613" w:name="_Toc226965818"/>
      <w:r/>
      <w:bookmarkStart w:id="614" w:name="_Toc127151545"/>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608661"/>
      <w:r/>
      <w:bookmarkStart w:id="616" w:name="_Toc164351641"/>
      <w:r/>
      <w:bookmarkStart w:id="617" w:name="_Toc127161461"/>
      <w:r/>
      <w:bookmarkStart w:id="618" w:name="_Toc305158889"/>
      <w:r/>
      <w:bookmarkStart w:id="619" w:name="_Toc264969237"/>
      <w:r/>
      <w:bookmarkStart w:id="620" w:name="_Toc151193935"/>
      <w:r/>
      <w:bookmarkStart w:id="621" w:name="_Toc151190174"/>
      <w:r/>
      <w:bookmarkStart w:id="622" w:name="_Toc226965820"/>
      <w:r/>
      <w:bookmarkStart w:id="623" w:name="_Toc305158815"/>
      <w:r/>
      <w:bookmarkStart w:id="624" w:name="_Toc226337243"/>
      <w:r/>
      <w:bookmarkStart w:id="625" w:name="_Toc151193789"/>
      <w:r/>
      <w:bookmarkStart w:id="626" w:name="_Toc226309791"/>
      <w:r/>
      <w:bookmarkStart w:id="627" w:name="_Toc127151748"/>
      <w:r/>
      <w:bookmarkStart w:id="628" w:name="_Toc195842912"/>
      <w:r/>
      <w:bookmarkStart w:id="629" w:name="_Toc127151547"/>
      <w:r/>
      <w:bookmarkStart w:id="630" w:name="_Toc149720840"/>
      <w:r/>
      <w:bookmarkStart w:id="631" w:name="_Toc265228385"/>
      <w:r/>
      <w:bookmarkStart w:id="632" w:name="_Toc164229242"/>
      <w:r/>
      <w:bookmarkStart w:id="633" w:name="_Toc150774647"/>
      <w:r/>
      <w:bookmarkStart w:id="634" w:name="_Toc151193717"/>
      <w:r/>
      <w:bookmarkStart w:id="635" w:name="_Toc226965737"/>
      <w:r/>
      <w:bookmarkStart w:id="636" w:name="_Toc150509298"/>
      <w:r/>
      <w:bookmarkStart w:id="637" w:name="_Toc150774752"/>
      <w:r/>
      <w:bookmarkStart w:id="638" w:name="_Toc164229388"/>
      <w:r/>
      <w:bookmarkStart w:id="639" w:name="_Toc164608816"/>
      <w:r/>
      <w:bookmarkStart w:id="640" w:name="_Toc150480785"/>
      <w:r/>
      <w:bookmarkStart w:id="641" w:name="_Toc142311049"/>
      <w:r/>
      <w:bookmarkStart w:id="642" w:name="_Toc151193861"/>
      <w:r/>
      <w:bookmarkStart w:id="643" w:name="_Toc151193645"/>
      <w:r>
        <w:rPr>
          <w:rFonts w:hint="eastAsia" w:ascii="宋体" w:hAnsi="宋体" w:eastAsia="宋体" w:cs="宋体"/>
          <w:sz w:val="28"/>
        </w:rPr>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1190176"/>
      <w:r/>
      <w:bookmarkStart w:id="645" w:name="_Toc151193647"/>
      <w:r/>
      <w:bookmarkStart w:id="646" w:name="_Toc127161463"/>
      <w:r/>
      <w:bookmarkStart w:id="647" w:name="_Toc305158817"/>
      <w:r/>
      <w:bookmarkStart w:id="648" w:name="_Toc226965822"/>
      <w:r/>
      <w:bookmarkStart w:id="649" w:name="_Toc142311051"/>
      <w:r/>
      <w:bookmarkStart w:id="650" w:name="_Toc164351643"/>
      <w:r/>
      <w:bookmarkStart w:id="651" w:name="_Toc226309793"/>
      <w:r/>
      <w:bookmarkStart w:id="652" w:name="_Toc520356176"/>
      <w:r/>
      <w:bookmarkStart w:id="653" w:name="_Ref467307090"/>
      <w:r/>
      <w:bookmarkStart w:id="654" w:name="_Ref467306425"/>
      <w:r/>
      <w:bookmarkStart w:id="655" w:name="_Toc127151549"/>
      <w:r/>
      <w:bookmarkStart w:id="656" w:name="_Toc164229390"/>
      <w:r/>
      <w:bookmarkStart w:id="657" w:name="_Toc164608818"/>
      <w:r/>
      <w:bookmarkStart w:id="658" w:name="_Toc150480787"/>
      <w:r/>
      <w:bookmarkStart w:id="659" w:name="_Toc151193719"/>
      <w:r/>
      <w:bookmarkStart w:id="660" w:name="_Toc164229244"/>
      <w:r/>
      <w:bookmarkStart w:id="661" w:name="_Toc305158891"/>
      <w:r/>
      <w:bookmarkStart w:id="662" w:name="_Toc150509300"/>
      <w:r/>
      <w:bookmarkStart w:id="663" w:name="_Toc151193791"/>
      <w:r/>
      <w:bookmarkStart w:id="664" w:name="_Toc164608663"/>
      <w:r/>
      <w:bookmarkStart w:id="665" w:name="_Toc226337245"/>
      <w:r/>
      <w:bookmarkStart w:id="666" w:name="_Toc226965739"/>
      <w:r/>
      <w:bookmarkStart w:id="667" w:name="_Toc127151750"/>
      <w:r/>
      <w:bookmarkStart w:id="668" w:name="_Toc195842914"/>
      <w:r/>
      <w:bookmarkStart w:id="669" w:name="_Toc265228387"/>
      <w:r/>
      <w:bookmarkStart w:id="670" w:name="_Toc150774754"/>
      <w:r/>
      <w:bookmarkStart w:id="671" w:name="_Toc264969239"/>
      <w:r/>
      <w:bookmarkStart w:id="672" w:name="_Toc150774649"/>
      <w:r/>
      <w:bookmarkStart w:id="673" w:name="_Toc151193863"/>
      <w:r/>
      <w:bookmarkStart w:id="674" w:name="_Toc149720842"/>
      <w:r/>
      <w:bookmarkStart w:id="675" w:name="_Toc151193937"/>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859"/>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Ref467306377"/>
      <w:r/>
      <w:bookmarkStart w:id="677" w:name="_Toc150774650"/>
      <w:r/>
      <w:bookmarkStart w:id="678" w:name="_Toc226337246"/>
      <w:r/>
      <w:bookmarkStart w:id="679" w:name="_Toc151193938"/>
      <w:r/>
      <w:bookmarkStart w:id="680" w:name="_Toc151193792"/>
      <w:r/>
      <w:bookmarkStart w:id="681" w:name="_Toc127151751"/>
      <w:r/>
      <w:bookmarkStart w:id="682" w:name="_Toc305158818"/>
      <w:r/>
      <w:bookmarkStart w:id="683" w:name="_Toc226965823"/>
      <w:r/>
      <w:bookmarkStart w:id="684" w:name="_Toc164351644"/>
      <w:r/>
      <w:bookmarkStart w:id="685" w:name="_Toc520356175"/>
      <w:r/>
      <w:bookmarkStart w:id="686" w:name="_Toc151190177"/>
      <w:r/>
      <w:bookmarkStart w:id="687" w:name="_Toc164229391"/>
      <w:r/>
      <w:bookmarkStart w:id="688" w:name="_Toc149720843"/>
      <w:r/>
      <w:bookmarkStart w:id="689" w:name="_Toc164229245"/>
      <w:r/>
      <w:bookmarkStart w:id="690" w:name="_Toc226965740"/>
      <w:r/>
      <w:bookmarkStart w:id="691" w:name="_Toc150480788"/>
      <w:r/>
      <w:bookmarkStart w:id="692" w:name="_Toc151193648"/>
      <w:r/>
      <w:bookmarkStart w:id="693" w:name="_Toc127151550"/>
      <w:r/>
      <w:bookmarkStart w:id="694" w:name="_Toc305158892"/>
      <w:r/>
      <w:bookmarkStart w:id="695" w:name="_Toc142311052"/>
      <w:r/>
      <w:bookmarkStart w:id="696" w:name="_Toc164608664"/>
      <w:r/>
      <w:bookmarkStart w:id="697" w:name="_Toc151193864"/>
      <w:r/>
      <w:bookmarkStart w:id="698" w:name="_Toc164608819"/>
      <w:r/>
      <w:bookmarkStart w:id="699" w:name="_Toc150774755"/>
      <w:r/>
      <w:bookmarkStart w:id="700" w:name="_Ref467306978"/>
      <w:r/>
      <w:bookmarkStart w:id="701" w:name="_Ref467307062"/>
      <w:r/>
      <w:bookmarkStart w:id="702" w:name="_Toc265228388"/>
      <w:r/>
      <w:bookmarkStart w:id="703" w:name="_Ref467307204"/>
      <w:r/>
      <w:bookmarkStart w:id="704" w:name="_Toc264969240"/>
      <w:r/>
      <w:bookmarkStart w:id="705" w:name="_Toc127161464"/>
      <w:r/>
      <w:bookmarkStart w:id="706" w:name="_Toc226309794"/>
      <w:r/>
      <w:bookmarkStart w:id="707" w:name="_Toc151193720"/>
      <w:r/>
      <w:bookmarkStart w:id="708" w:name="_Toc195842915"/>
      <w:r/>
      <w:bookmarkStart w:id="709" w:name="_Toc150509301"/>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859"/>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859"/>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936"/>
          <w:rFonts w:hint="eastAsia" w:ascii="宋体" w:hAnsi="宋体" w:cs="宋体"/>
          <w:color w:val="000000"/>
        </w:rPr>
        <w:t xml:space="preserve">http://gk</w:t>
      </w:r>
      <w:bookmarkStart w:id="710" w:name="_Hlt100654014"/>
      <w:r>
        <w:rPr>
          <w:rStyle w:val="936"/>
          <w:rFonts w:hint="eastAsia" w:ascii="宋体" w:hAnsi="宋体" w:cs="宋体"/>
          <w:color w:val="000000"/>
        </w:rPr>
        <w:t xml:space="preserve">s</w:t>
      </w:r>
      <w:bookmarkEnd w:id="710"/>
      <w:r>
        <w:rPr>
          <w:rStyle w:val="936"/>
          <w:rFonts w:hint="eastAsia" w:ascii="宋体" w:hAnsi="宋体" w:cs="宋体"/>
          <w:color w:val="000000"/>
        </w:rPr>
        <w:t xml:space="preserve">.m</w:t>
      </w:r>
      <w:bookmarkStart w:id="711" w:name="_Hlt100653993"/>
      <w:r/>
      <w:bookmarkStart w:id="712" w:name="_Hlt100653994"/>
      <w:r>
        <w:rPr>
          <w:rStyle w:val="936"/>
          <w:rFonts w:hint="eastAsia" w:ascii="宋体" w:hAnsi="宋体" w:cs="宋体"/>
          <w:color w:val="000000"/>
        </w:rPr>
        <w:t xml:space="preserve">o</w:t>
      </w:r>
      <w:bookmarkEnd w:id="711"/>
      <w:r/>
      <w:bookmarkEnd w:id="712"/>
      <w:r>
        <w:rPr>
          <w:rStyle w:val="936"/>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859"/>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859"/>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85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859"/>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9"/>
        <w:jc w:val="center"/>
        <w:spacing w:line="360" w:lineRule="auto"/>
        <w:rPr>
          <w:rFonts w:hint="eastAsia" w:ascii="宋体" w:hAnsi="宋体" w:cs="宋体"/>
          <w:b/>
          <w:sz w:val="36"/>
          <w:szCs w:val="36"/>
        </w:rPr>
        <w:outlineLvl w:val="0"/>
      </w:pPr>
      <w:r/>
      <w:bookmarkStart w:id="713" w:name="_Toc353873934"/>
      <w:r/>
      <w:bookmarkStart w:id="714" w:name="_Toc142311056"/>
      <w:r/>
      <w:bookmarkStart w:id="715" w:name="_Toc226965827"/>
      <w:r/>
      <w:bookmarkStart w:id="716" w:name="_Toc127151554"/>
      <w:r/>
      <w:bookmarkStart w:id="717" w:name="_Toc305158896"/>
      <w:r/>
      <w:bookmarkStart w:id="718" w:name="_Toc226337250"/>
      <w:r/>
      <w:bookmarkStart w:id="719" w:name="_Toc150480792"/>
      <w:r/>
      <w:bookmarkStart w:id="720" w:name="_Toc264969244"/>
      <w:r/>
      <w:bookmarkStart w:id="721" w:name="_Toc305158822"/>
      <w:r/>
      <w:bookmarkStart w:id="722" w:name="_Toc150774759"/>
      <w:r/>
      <w:bookmarkStart w:id="723" w:name="_Toc353825544"/>
      <w:r/>
      <w:bookmarkStart w:id="724" w:name="_Toc353873664"/>
      <w:r/>
      <w:bookmarkStart w:id="725" w:name="_Toc265228392"/>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859"/>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859"/>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859"/>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859"/>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859"/>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859"/>
        <w:jc w:val="left"/>
        <w:widowControl/>
        <w:rPr>
          <w:rFonts w:hint="eastAsia" w:ascii="宋体" w:hAnsi="宋体" w:cs="宋体"/>
          <w:sz w:val="24"/>
        </w:rPr>
      </w:pPr>
      <w:r>
        <w:rPr>
          <w:rFonts w:hint="eastAsia" w:ascii="宋体" w:hAnsi="宋体" w:cs="宋体"/>
          <w:sz w:val="24"/>
        </w:rPr>
      </w:r>
      <w:r/>
    </w:p>
    <w:p>
      <w:pPr>
        <w:pStyle w:val="859"/>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859"/>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859"/>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859"/>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859"/>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859"/>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9"/>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59"/>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859"/>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859"/>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859"/>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859"/>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9"/>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859"/>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859"/>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9"/>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859"/>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353873940"/>
      <w:r/>
      <w:bookmarkStart w:id="732" w:name="_Toc127161490"/>
      <w:r/>
      <w:bookmarkStart w:id="733" w:name="_Toc353825550"/>
      <w:r/>
      <w:bookmarkStart w:id="734" w:name="_Toc226965858"/>
      <w:r>
        <w:rPr>
          <w:rFonts w:hint="eastAsia" w:ascii="宋体" w:hAnsi="宋体" w:cs="宋体"/>
          <w:sz w:val="24"/>
        </w:rPr>
        <w:br w:type="page" w:clear="all"/>
      </w:r>
      <w:r/>
    </w:p>
    <w:p>
      <w:pPr>
        <w:pStyle w:val="859"/>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859"/>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859"/>
        <w:numPr>
          <w:ilvl w:val="0"/>
          <w:numId w:val="13"/>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50480779"/>
      <w:r/>
      <w:bookmarkStart w:id="738" w:name="_Toc150774746"/>
      <w:r/>
      <w:bookmarkStart w:id="739" w:name="_Toc151193855"/>
      <w:r/>
      <w:bookmarkStart w:id="740" w:name="_Toc305158883"/>
      <w:r/>
      <w:bookmarkStart w:id="741" w:name="_Toc142311043"/>
      <w:r/>
      <w:bookmarkStart w:id="742" w:name="_Toc164608655"/>
      <w:r/>
      <w:bookmarkStart w:id="743" w:name="_Toc226309785"/>
      <w:r/>
      <w:bookmarkStart w:id="744" w:name="_Toc226965731"/>
      <w:r/>
      <w:bookmarkStart w:id="745" w:name="_Toc151193711"/>
      <w:r/>
      <w:bookmarkStart w:id="746" w:name="_Toc127151742"/>
      <w:r/>
      <w:bookmarkStart w:id="747" w:name="_Toc151193639"/>
      <w:r/>
      <w:bookmarkStart w:id="748" w:name="_Toc164608810"/>
      <w:r/>
      <w:bookmarkStart w:id="749" w:name="_Toc150509292"/>
      <w:r/>
      <w:bookmarkStart w:id="750" w:name="_Toc149720834"/>
      <w:r/>
      <w:bookmarkStart w:id="751" w:name="_Toc164229236"/>
      <w:r/>
      <w:bookmarkStart w:id="752" w:name="_Toc164351635"/>
      <w:r/>
      <w:bookmarkStart w:id="753" w:name="_Toc150774641"/>
      <w:r/>
      <w:bookmarkStart w:id="754" w:name="_Toc264969231"/>
      <w:r/>
      <w:bookmarkStart w:id="755" w:name="_Toc195842906"/>
      <w:r/>
      <w:bookmarkStart w:id="756" w:name="_Toc151190168"/>
      <w:r/>
      <w:bookmarkStart w:id="757" w:name="_Toc265228379"/>
      <w:r/>
      <w:bookmarkStart w:id="758" w:name="_Toc305158809"/>
      <w:r/>
      <w:bookmarkStart w:id="759" w:name="_Toc226337237"/>
      <w:r/>
      <w:bookmarkStart w:id="760" w:name="_Toc226965814"/>
      <w:r/>
      <w:bookmarkStart w:id="761" w:name="_Toc127161455"/>
      <w:r/>
      <w:bookmarkStart w:id="762" w:name="_Toc151193929"/>
      <w:r/>
      <w:bookmarkStart w:id="763" w:name="_Toc151193783"/>
      <w:r/>
      <w:bookmarkStart w:id="764" w:name="_Toc127151541"/>
      <w:r/>
      <w:bookmarkStart w:id="765" w:name="_Toc164229382"/>
      <w:r/>
      <w:bookmarkStart w:id="766" w:name="_Toc353825551"/>
      <w:r/>
      <w:bookmarkStart w:id="767" w:name="_Toc353873941"/>
      <w:r/>
      <w:bookmarkStart w:id="768" w:name="_Toc305158897"/>
      <w:r/>
      <w:bookmarkStart w:id="769" w:name="_Toc265228393"/>
      <w:r/>
      <w:bookmarkStart w:id="770" w:name="_Toc226965828"/>
      <w:r/>
      <w:bookmarkStart w:id="771" w:name="_Toc142311057"/>
      <w:r/>
      <w:bookmarkStart w:id="772" w:name="_Toc353873665"/>
      <w:r/>
      <w:bookmarkStart w:id="773" w:name="_Toc264969245"/>
      <w:r/>
      <w:bookmarkStart w:id="774" w:name="_Toc150480793"/>
      <w:r/>
      <w:bookmarkStart w:id="775" w:name="_Toc305158823"/>
      <w:r/>
      <w:bookmarkStart w:id="776" w:name="_Toc195842920"/>
      <w:r/>
      <w:bookmarkStart w:id="777" w:name="_Toc226337251"/>
      <w:r/>
      <w:bookmarkStart w:id="778" w:name="_Toc353825545"/>
      <w:r/>
      <w:bookmarkStart w:id="779" w:name="_Toc150774760"/>
      <w:r/>
      <w:bookmarkStart w:id="780" w:name="_Toc127151555"/>
      <w:r/>
      <w:bookmarkStart w:id="781" w:name="_Toc35387393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859"/>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859"/>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859"/>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59"/>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859"/>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859"/>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分包意向协议</w:t>
            </w:r>
            <w:r/>
          </w:p>
          <w:p>
            <w:pPr>
              <w:pStyle w:val="859"/>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进口产品</w:t>
            </w:r>
            <w:r/>
          </w:p>
          <w:p>
            <w:pPr>
              <w:pStyle w:val="859"/>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859"/>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859"/>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859"/>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859"/>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859"/>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859"/>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859"/>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859"/>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859"/>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859"/>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859"/>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859"/>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859"/>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859"/>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859"/>
        <w:numPr>
          <w:ilvl w:val="1"/>
          <w:numId w:val="13"/>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859"/>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859"/>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859"/>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859"/>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859"/>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859"/>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859"/>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859"/>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85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859"/>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859"/>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w:t>
      </w:r>
      <w:r>
        <w:rPr>
          <w:rFonts w:ascii="宋体" w:hAnsi="宋体" w:cs="宋体"/>
          <w:sz w:val="24"/>
        </w:rPr>
        <w:t xml:space="preserve">9</w:t>
      </w:r>
      <w:r>
        <w:rPr>
          <w:rFonts w:hint="eastAsia" w:ascii="宋体" w:hAnsi="宋体" w:cs="宋体"/>
          <w:sz w:val="24"/>
        </w:rPr>
        <w:t xml:space="preserve">.2-2.</w:t>
      </w:r>
      <w:r>
        <w:rPr>
          <w:rFonts w:ascii="宋体" w:hAnsi="宋体" w:cs="宋体"/>
          <w:sz w:val="24"/>
        </w:rPr>
        <w:t xml:space="preserve">9</w:t>
      </w:r>
      <w:r>
        <w:rPr>
          <w:rFonts w:hint="eastAsia" w:ascii="宋体" w:hAnsi="宋体" w:cs="宋体"/>
          <w:sz w:val="24"/>
        </w:rPr>
        <w:t xml:space="preserve">.7项规定修正。</w:t>
      </w:r>
      <w:r/>
    </w:p>
    <w:p>
      <w:pPr>
        <w:pStyle w:val="859"/>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859"/>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859"/>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859"/>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859"/>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85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859"/>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859"/>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ascii="宋体" w:hAnsi="宋体" w:cs="宋体"/>
          <w:sz w:val="24"/>
          <w:u w:val="single"/>
        </w:rPr>
        <w:t xml:space="preserve">1</w:t>
      </w:r>
      <w:r>
        <w:rPr>
          <w:rFonts w:hint="eastAsia" w:ascii="宋体" w:hAnsi="宋体" w:cs="宋体"/>
          <w:sz w:val="24"/>
          <w:u w:val="single"/>
        </w:rPr>
        <w:t xml:space="preserve">0</w:t>
      </w:r>
      <w:r>
        <w:rPr>
          <w:rFonts w:hint="eastAsia" w:ascii="宋体" w:hAnsi="宋体" w:cs="宋体"/>
          <w:sz w:val="24"/>
        </w:rPr>
        <w:t xml:space="preserve">%的扣除，用扣除后的价格参加评审。</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859"/>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9"/>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859"/>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85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859"/>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859"/>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85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859"/>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859"/>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85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9"/>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51193788"/>
      <w:r/>
      <w:bookmarkStart w:id="784" w:name="_Toc151193934"/>
      <w:r/>
      <w:bookmarkStart w:id="785" w:name="_Toc150480784"/>
      <w:r/>
      <w:bookmarkStart w:id="786" w:name="_Toc150509297"/>
      <w:r/>
      <w:bookmarkStart w:id="787" w:name="_Toc264969236"/>
      <w:r/>
      <w:bookmarkStart w:id="788" w:name="_Toc305158814"/>
      <w:r/>
      <w:bookmarkStart w:id="789" w:name="_Toc265228384"/>
      <w:r/>
      <w:bookmarkStart w:id="790" w:name="_Toc164351640"/>
      <w:r/>
      <w:bookmarkStart w:id="791" w:name="_Toc127161460"/>
      <w:r/>
      <w:bookmarkStart w:id="792" w:name="_Toc226965736"/>
      <w:r/>
      <w:bookmarkStart w:id="793" w:name="_Toc164608815"/>
      <w:r/>
      <w:bookmarkStart w:id="794" w:name="_Toc150774751"/>
      <w:r/>
      <w:bookmarkStart w:id="795" w:name="_Toc151193644"/>
      <w:r/>
      <w:bookmarkStart w:id="796" w:name="_Ref467307010"/>
      <w:r/>
      <w:bookmarkStart w:id="797" w:name="_Toc226337242"/>
      <w:r/>
      <w:bookmarkStart w:id="798" w:name="_Toc164229241"/>
      <w:r/>
      <w:bookmarkStart w:id="799" w:name="_Toc195842911"/>
      <w:r/>
      <w:bookmarkStart w:id="800" w:name="_Toc226309790"/>
      <w:r/>
      <w:bookmarkStart w:id="801" w:name="_Toc149720839"/>
      <w:r/>
      <w:bookmarkStart w:id="802" w:name="_Toc127151546"/>
      <w:r/>
      <w:bookmarkStart w:id="803" w:name="_Toc164229387"/>
      <w:r/>
      <w:bookmarkStart w:id="804" w:name="_Toc520356170"/>
      <w:r/>
      <w:bookmarkStart w:id="805" w:name="_Toc151193716"/>
      <w:r/>
      <w:bookmarkStart w:id="806" w:name="_Toc127151747"/>
      <w:r/>
      <w:bookmarkStart w:id="807" w:name="_Toc305158888"/>
      <w:r/>
      <w:bookmarkStart w:id="808" w:name="_Toc151193860"/>
      <w:r/>
      <w:bookmarkStart w:id="809" w:name="_Toc226965819"/>
      <w:r/>
      <w:bookmarkStart w:id="810" w:name="_Toc151190173"/>
      <w:r/>
      <w:bookmarkStart w:id="811" w:name="_Toc142311048"/>
      <w:r/>
      <w:bookmarkStart w:id="812" w:name="_Toc164608660"/>
      <w:r/>
      <w:bookmarkStart w:id="813" w:name="_Toc150774646"/>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0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90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859"/>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85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859"/>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859"/>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859"/>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488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398"/>
        <w:gridCol w:w="871"/>
        <w:gridCol w:w="6009"/>
      </w:tblGrid>
      <w:tr>
        <w:trPr/>
        <w:tc>
          <w:tcPr>
            <w:tcW w:w="436" w:type="pct"/>
            <w:vAlign w:val="center"/>
            <w:textDirection w:val="lrTb"/>
            <w:noWrap w:val="false"/>
          </w:tcPr>
          <w:p>
            <w:pPr>
              <w:pStyle w:val="859"/>
              <w:ind w:firstLine="28"/>
              <w:jc w:val="center"/>
              <w:rPr>
                <w:rFonts w:ascii="宋体" w:hAnsi="宋体"/>
                <w:b/>
                <w:sz w:val="24"/>
              </w:rPr>
            </w:pPr>
            <w:r>
              <w:rPr>
                <w:rFonts w:ascii="宋体" w:hAnsi="宋体"/>
                <w:b/>
                <w:sz w:val="24"/>
              </w:rPr>
              <w:t xml:space="preserve">序号</w:t>
            </w:r>
            <w:r/>
          </w:p>
        </w:tc>
        <w:tc>
          <w:tcPr>
            <w:tcW w:w="770" w:type="pct"/>
            <w:vAlign w:val="center"/>
            <w:textDirection w:val="lrTb"/>
            <w:noWrap w:val="false"/>
          </w:tcPr>
          <w:p>
            <w:pPr>
              <w:pStyle w:val="859"/>
              <w:ind w:firstLine="28"/>
              <w:jc w:val="center"/>
              <w:rPr>
                <w:rFonts w:ascii="宋体" w:hAnsi="宋体"/>
                <w:b/>
                <w:sz w:val="24"/>
              </w:rPr>
            </w:pPr>
            <w:r>
              <w:rPr>
                <w:rFonts w:ascii="宋体" w:hAnsi="宋体"/>
                <w:b/>
                <w:sz w:val="24"/>
              </w:rPr>
              <w:t xml:space="preserve">评分因素</w:t>
            </w:r>
            <w:r/>
          </w:p>
        </w:tc>
        <w:tc>
          <w:tcPr>
            <w:tcW w:w="480" w:type="pct"/>
            <w:vAlign w:val="center"/>
            <w:textDirection w:val="lrTb"/>
            <w:noWrap w:val="false"/>
          </w:tcPr>
          <w:p>
            <w:pPr>
              <w:pStyle w:val="859"/>
              <w:ind w:firstLine="28"/>
              <w:jc w:val="center"/>
              <w:rPr>
                <w:rFonts w:ascii="宋体" w:hAnsi="宋体"/>
                <w:b/>
                <w:sz w:val="24"/>
              </w:rPr>
            </w:pPr>
            <w:r>
              <w:rPr>
                <w:rFonts w:ascii="宋体" w:hAnsi="宋体"/>
                <w:b/>
                <w:sz w:val="24"/>
              </w:rPr>
              <w:t xml:space="preserve">分值</w:t>
            </w:r>
            <w:r/>
          </w:p>
        </w:tc>
        <w:tc>
          <w:tcPr>
            <w:tcW w:w="3312" w:type="pct"/>
            <w:vAlign w:val="center"/>
            <w:textDirection w:val="lrTb"/>
            <w:noWrap w:val="false"/>
          </w:tcPr>
          <w:p>
            <w:pPr>
              <w:pStyle w:val="859"/>
              <w:ind w:firstLine="28"/>
              <w:jc w:val="center"/>
              <w:rPr>
                <w:rFonts w:ascii="宋体" w:hAnsi="宋体"/>
                <w:b/>
                <w:sz w:val="24"/>
              </w:rPr>
            </w:pPr>
            <w:r>
              <w:rPr>
                <w:rFonts w:ascii="宋体" w:hAnsi="宋体"/>
                <w:b/>
                <w:sz w:val="24"/>
              </w:rPr>
              <w:t xml:space="preserve">评分标准</w:t>
            </w:r>
            <w:r/>
          </w:p>
        </w:tc>
      </w:tr>
      <w:tr>
        <w:trPr>
          <w:trHeight w:val="631"/>
        </w:trPr>
        <w:tc>
          <w:tcPr>
            <w:tcW w:w="436" w:type="pct"/>
            <w:vAlign w:val="center"/>
            <w:textDirection w:val="lrTb"/>
            <w:noWrap w:val="false"/>
          </w:tcPr>
          <w:p>
            <w:pPr>
              <w:pStyle w:val="859"/>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770"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480"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20</w:t>
            </w:r>
            <w:r>
              <w:rPr>
                <w:rFonts w:ascii="宋体" w:hAnsi="宋体"/>
                <w:sz w:val="24"/>
              </w:rPr>
            </w:r>
            <w:r/>
          </w:p>
        </w:tc>
        <w:tc>
          <w:tcPr>
            <w:tcW w:w="3312" w:type="pct"/>
            <w:vAlign w:val="center"/>
            <w:textDirection w:val="lrTb"/>
            <w:noWrap w:val="false"/>
          </w:tcPr>
          <w:p>
            <w:pPr>
              <w:pStyle w:val="859"/>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满足招标文件要求且投标价格最低的投标报价为评标基准价，其价格分为满分。其他投标人的价格分统一按照下列公式计算：投标报价得分＝（评标基准价/投标报价）×分值。</w:t>
            </w:r>
            <w:r/>
          </w:p>
          <w:p>
            <w:pPr>
              <w:pStyle w:val="859"/>
              <w:rPr>
                <w:rFonts w:hint="eastAsia" w:ascii="宋体" w:hAnsi="宋体"/>
                <w:b/>
                <w:sz w:val="24"/>
              </w:rPr>
            </w:pPr>
            <w:r>
              <w:rPr>
                <w:rFonts w:hint="eastAsia" w:ascii="宋体" w:hAnsi="宋体"/>
                <w:b/>
                <w:sz w:val="24"/>
              </w:rPr>
              <w:t xml:space="preserve">此处投标报价指经过报价修正，及</w:t>
            </w:r>
            <w:r>
              <w:rPr>
                <w:rFonts w:ascii="宋体" w:hAnsi="宋体"/>
                <w:b/>
                <w:sz w:val="24"/>
              </w:rPr>
              <w:t xml:space="preserve">因落实政府采购政策进行价格调整</w:t>
            </w:r>
            <w:r>
              <w:rPr>
                <w:rFonts w:hint="eastAsia" w:ascii="宋体" w:hAnsi="宋体"/>
                <w:b/>
                <w:sz w:val="24"/>
              </w:rPr>
              <w:t xml:space="preserve">后</w:t>
            </w:r>
            <w:r>
              <w:rPr>
                <w:rFonts w:ascii="宋体" w:hAnsi="宋体"/>
                <w:b/>
                <w:sz w:val="24"/>
              </w:rPr>
              <w:t xml:space="preserve">的</w:t>
            </w:r>
            <w:r>
              <w:rPr>
                <w:rFonts w:hint="eastAsia" w:ascii="宋体" w:hAnsi="宋体"/>
                <w:b/>
                <w:sz w:val="24"/>
              </w:rPr>
              <w:t xml:space="preserve">报价</w:t>
            </w:r>
            <w:r>
              <w:rPr>
                <w:rFonts w:ascii="宋体" w:hAnsi="宋体"/>
                <w:b/>
                <w:sz w:val="24"/>
              </w:rPr>
              <w:t xml:space="preserve">，详见第</w:t>
            </w:r>
            <w:r>
              <w:rPr>
                <w:rFonts w:hint="eastAsia" w:ascii="宋体" w:hAnsi="宋体"/>
                <w:b/>
                <w:sz w:val="24"/>
              </w:rPr>
              <w:t xml:space="preserve">三</w:t>
            </w:r>
            <w:r>
              <w:rPr>
                <w:rFonts w:ascii="宋体" w:hAnsi="宋体"/>
                <w:b/>
                <w:sz w:val="24"/>
              </w:rPr>
              <w:t xml:space="preserve">章《评标方法和评标标准》</w:t>
            </w:r>
            <w:r>
              <w:rPr>
                <w:rFonts w:hint="eastAsia" w:ascii="宋体" w:hAnsi="宋体"/>
                <w:b/>
                <w:sz w:val="24"/>
              </w:rPr>
            </w:r>
            <w:r/>
          </w:p>
        </w:tc>
      </w:tr>
      <w:tr>
        <w:trPr/>
        <w:tc>
          <w:tcPr>
            <w:tcW w:w="436"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770"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480"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3</w:t>
            </w:r>
            <w:r>
              <w:rPr>
                <w:rFonts w:ascii="宋体" w:hAnsi="宋体"/>
                <w:sz w:val="24"/>
              </w:rPr>
              <w:t xml:space="preserve">5</w:t>
            </w:r>
            <w:r/>
          </w:p>
        </w:tc>
        <w:tc>
          <w:tcPr>
            <w:tcW w:w="3312" w:type="pct"/>
            <w:vAlign w:val="center"/>
            <w:textDirection w:val="lrTb"/>
            <w:noWrap w:val="false"/>
          </w:tcPr>
          <w:p>
            <w:pPr>
              <w:pStyle w:val="859"/>
              <w:rPr>
                <w:rFonts w:ascii="宋体" w:hAnsi="宋体"/>
                <w:sz w:val="24"/>
              </w:rPr>
            </w:pPr>
            <w:r>
              <w:rPr>
                <w:rFonts w:ascii="宋体" w:hAnsi="宋体"/>
                <w:sz w:val="24"/>
              </w:rPr>
            </w:r>
            <w:r/>
          </w:p>
        </w:tc>
      </w:tr>
      <w:tr>
        <w:trPr/>
        <w:tc>
          <w:tcPr>
            <w:tcW w:w="436"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2.1</w:t>
            </w:r>
            <w:r>
              <w:rPr>
                <w:rFonts w:ascii="宋体" w:hAnsi="宋体"/>
                <w:sz w:val="24"/>
              </w:rPr>
            </w:r>
            <w:r/>
          </w:p>
        </w:tc>
        <w:tc>
          <w:tcPr>
            <w:tcW w:w="770" w:type="pct"/>
            <w:vAlign w:val="center"/>
            <w:textDirection w:val="lrTb"/>
            <w:noWrap w:val="false"/>
          </w:tcPr>
          <w:p>
            <w:pPr>
              <w:pStyle w:val="859"/>
              <w:jc w:val="center"/>
              <w:spacing w:line="360" w:lineRule="exact"/>
              <w:rPr>
                <w:rFonts w:hint="eastAsia" w:ascii="宋体" w:hAnsi="宋体"/>
                <w:sz w:val="24"/>
              </w:rPr>
            </w:pPr>
            <w:r>
              <w:rPr>
                <w:rFonts w:hint="eastAsia" w:ascii="宋体" w:hAnsi="宋体" w:cs="宋体"/>
                <w:sz w:val="24"/>
              </w:rPr>
              <w:t xml:space="preserve">项目需求与理解</w:t>
            </w:r>
            <w:r>
              <w:rPr>
                <w:rFonts w:hint="eastAsia" w:ascii="宋体" w:hAnsi="宋体"/>
                <w:sz w:val="24"/>
              </w:rPr>
            </w:r>
            <w:r/>
          </w:p>
        </w:tc>
        <w:tc>
          <w:tcPr>
            <w:tcW w:w="480"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5</w:t>
            </w:r>
            <w:r>
              <w:rPr>
                <w:rFonts w:ascii="宋体" w:hAnsi="宋体"/>
                <w:sz w:val="24"/>
              </w:rPr>
            </w:r>
            <w:r/>
          </w:p>
        </w:tc>
        <w:tc>
          <w:tcPr>
            <w:tcW w:w="3312" w:type="pct"/>
            <w:vAlign w:val="center"/>
            <w:textDirection w:val="lrTb"/>
            <w:noWrap w:val="false"/>
          </w:tcPr>
          <w:p>
            <w:pPr>
              <w:pStyle w:val="859"/>
              <w:rPr>
                <w:rFonts w:ascii="宋体" w:hAnsi="宋体"/>
                <w:b/>
                <w:sz w:val="24"/>
              </w:rPr>
            </w:pPr>
            <w:r>
              <w:rPr>
                <w:rFonts w:hint="eastAsia" w:ascii="宋体" w:hAnsi="宋体"/>
                <w:b/>
                <w:sz w:val="24"/>
              </w:rPr>
              <w:t xml:space="preserve">项目需求与理解</w:t>
            </w:r>
            <w:r>
              <w:rPr>
                <w:rFonts w:ascii="宋体" w:hAnsi="宋体"/>
                <w:b/>
                <w:sz w:val="24"/>
              </w:rPr>
              <w:t xml:space="preserve">包括但不限于</w:t>
            </w:r>
            <w:r>
              <w:rPr>
                <w:rFonts w:hint="eastAsia" w:ascii="宋体" w:hAnsi="宋体"/>
                <w:b/>
                <w:sz w:val="24"/>
              </w:rPr>
              <w:t xml:space="preserve">项目背景、</w:t>
            </w:r>
            <w:r>
              <w:rPr>
                <w:rFonts w:ascii="宋体" w:hAnsi="宋体"/>
                <w:b/>
                <w:sz w:val="24"/>
              </w:rPr>
              <w:t xml:space="preserve">项目建设总体思路、</w:t>
            </w:r>
            <w:r>
              <w:rPr>
                <w:rFonts w:hint="eastAsia" w:ascii="宋体" w:hAnsi="宋体"/>
                <w:b/>
                <w:sz w:val="24"/>
              </w:rPr>
              <w:t xml:space="preserve">项目需求及建设内容、项目预期目标与效益等内容</w:t>
            </w:r>
            <w:r>
              <w:rPr>
                <w:rFonts w:ascii="宋体" w:hAnsi="宋体"/>
                <w:b/>
                <w:sz w:val="24"/>
              </w:rPr>
              <w:t xml:space="preserve">。</w:t>
            </w:r>
            <w:r/>
          </w:p>
          <w:p>
            <w:pPr>
              <w:pStyle w:val="859"/>
              <w:rPr>
                <w:rFonts w:hint="eastAsia" w:ascii="宋体" w:hAnsi="宋体" w:cs="宋体"/>
                <w:bCs/>
                <w:sz w:val="24"/>
              </w:rPr>
            </w:pPr>
            <w:r>
              <w:rPr>
                <w:rFonts w:hint="eastAsia" w:ascii="宋体" w:hAnsi="宋体" w:cs="宋体"/>
                <w:bCs/>
                <w:sz w:val="24"/>
              </w:rPr>
              <w:t xml:space="preserve">（1）项目需求与理解分析深入透彻，充分理解项目全部需求，建设思路贴合中乌职教合作目标：项目背景、项目建设总体思路、项目需求及建设内容、项目预期目标与效益等内容针对性强、内容完整、可直接落地，得5分；</w:t>
            </w:r>
            <w:r/>
          </w:p>
          <w:p>
            <w:pPr>
              <w:pStyle w:val="859"/>
              <w:rPr>
                <w:rFonts w:hint="eastAsia" w:ascii="宋体" w:hAnsi="宋体" w:cs="宋体"/>
                <w:bCs/>
                <w:sz w:val="24"/>
              </w:rPr>
            </w:pPr>
            <w:r>
              <w:rPr>
                <w:rFonts w:hint="eastAsia" w:ascii="宋体" w:hAnsi="宋体" w:cs="宋体"/>
                <w:bCs/>
                <w:sz w:val="24"/>
              </w:rPr>
              <w:t xml:space="preserve">（2）项目需求与理解基本完整：项目建设背景、项目建设总体思路、项目需求及建设内容、项目预期目标与效益针对性较强、内容较为完整、个别内容实操性略有不足，得3分；</w:t>
            </w:r>
            <w:r/>
          </w:p>
          <w:p>
            <w:pPr>
              <w:pStyle w:val="859"/>
              <w:rPr>
                <w:rFonts w:hint="eastAsia" w:ascii="宋体" w:hAnsi="宋体" w:cs="宋体"/>
                <w:bCs/>
                <w:sz w:val="24"/>
              </w:rPr>
            </w:pPr>
            <w:r>
              <w:rPr>
                <w:rFonts w:hint="eastAsia" w:ascii="宋体" w:hAnsi="宋体" w:cs="宋体"/>
                <w:bCs/>
                <w:sz w:val="24"/>
              </w:rPr>
              <w:t xml:space="preserve">（3）多个关键模块缺失；方案框架简单，对境外办学场景考虑不足，项目需求及建设内容、项目预期目标与效益基本无实质性落地措施，得1分；</w:t>
            </w:r>
            <w:r/>
          </w:p>
          <w:p>
            <w:pPr>
              <w:pStyle w:val="859"/>
              <w:rPr>
                <w:rFonts w:ascii="宋体" w:hAnsi="宋体"/>
                <w:sz w:val="24"/>
              </w:rPr>
            </w:pPr>
            <w:r>
              <w:rPr>
                <w:rFonts w:hint="eastAsia" w:ascii="宋体" w:hAnsi="宋体"/>
                <w:sz w:val="24"/>
              </w:rPr>
              <w:t xml:space="preserve">（4）较差或未提供方案的本项不得分。</w:t>
            </w:r>
            <w:r>
              <w:rPr>
                <w:rFonts w:ascii="宋体" w:hAnsi="宋体"/>
                <w:sz w:val="24"/>
              </w:rPr>
            </w:r>
            <w:r/>
          </w:p>
        </w:tc>
      </w:tr>
      <w:tr>
        <w:trPr/>
        <w:tc>
          <w:tcPr>
            <w:tcW w:w="436"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2</w:t>
            </w:r>
            <w:r>
              <w:rPr>
                <w:rFonts w:ascii="宋体" w:hAnsi="宋体"/>
                <w:sz w:val="24"/>
              </w:rPr>
              <w:t xml:space="preserve">.2</w:t>
            </w:r>
            <w:r/>
          </w:p>
        </w:tc>
        <w:tc>
          <w:tcPr>
            <w:tcW w:w="770" w:type="pct"/>
            <w:vAlign w:val="center"/>
            <w:textDirection w:val="lrTb"/>
            <w:noWrap w:val="false"/>
          </w:tcPr>
          <w:p>
            <w:pPr>
              <w:pStyle w:val="859"/>
              <w:jc w:val="center"/>
              <w:spacing w:line="360" w:lineRule="exact"/>
              <w:rPr>
                <w:rFonts w:ascii="等线" w:hAnsi="等线" w:cs="等线"/>
                <w:sz w:val="24"/>
              </w:rPr>
            </w:pPr>
            <w:r>
              <w:rPr>
                <w:rFonts w:hint="eastAsia" w:ascii="宋体" w:hAnsi="宋体" w:cs="宋体"/>
                <w:bCs/>
                <w:sz w:val="24"/>
              </w:rPr>
              <w:t xml:space="preserve">总体实施方案</w:t>
            </w:r>
            <w:r>
              <w:rPr>
                <w:rFonts w:ascii="等线" w:hAnsi="等线" w:cs="等线"/>
                <w:sz w:val="24"/>
              </w:rPr>
            </w:r>
            <w:r/>
          </w:p>
        </w:tc>
        <w:tc>
          <w:tcPr>
            <w:tcW w:w="480" w:type="pct"/>
            <w:vAlign w:val="center"/>
            <w:textDirection w:val="lrTb"/>
            <w:noWrap w:val="false"/>
          </w:tcPr>
          <w:p>
            <w:pPr>
              <w:pStyle w:val="859"/>
              <w:ind w:firstLine="28"/>
              <w:jc w:val="center"/>
              <w:rPr>
                <w:rFonts w:ascii="宋体" w:hAnsi="宋体"/>
                <w:sz w:val="24"/>
              </w:rPr>
            </w:pPr>
            <w:r>
              <w:rPr>
                <w:rFonts w:ascii="宋体" w:hAnsi="宋体"/>
                <w:sz w:val="24"/>
              </w:rPr>
              <w:t xml:space="preserve">10</w:t>
            </w:r>
            <w:r/>
          </w:p>
        </w:tc>
        <w:tc>
          <w:tcPr>
            <w:tcW w:w="3312" w:type="pct"/>
            <w:vAlign w:val="center"/>
            <w:textDirection w:val="lrTb"/>
            <w:noWrap w:val="false"/>
          </w:tcPr>
          <w:p>
            <w:pPr>
              <w:pStyle w:val="859"/>
              <w:rPr>
                <w:rFonts w:hint="eastAsia" w:ascii="宋体" w:hAnsi="宋体" w:cs="宋体"/>
                <w:bCs/>
                <w:sz w:val="24"/>
              </w:rPr>
            </w:pPr>
            <w:r>
              <w:rPr>
                <w:rFonts w:hint="eastAsia" w:ascii="宋体" w:hAnsi="宋体" w:cs="宋体"/>
                <w:b/>
                <w:sz w:val="24"/>
              </w:rPr>
              <w:t xml:space="preserve">总体实施方案包括但不限于服务总体目标、主要服务内容清单、总体工作思路与工作计划、分阶段实施计划、项目人员架构、项目质量管控机制、培训方案等内容。</w:t>
            </w:r>
            <w:r>
              <w:rPr>
                <w:rFonts w:hint="eastAsia" w:ascii="宋体" w:hAnsi="宋体" w:cs="宋体"/>
                <w:bCs/>
                <w:sz w:val="24"/>
              </w:rPr>
            </w:r>
            <w:r/>
          </w:p>
          <w:p>
            <w:pPr>
              <w:pStyle w:val="859"/>
              <w:rPr>
                <w:rFonts w:hint="eastAsia" w:ascii="宋体" w:hAnsi="宋体" w:cs="宋体"/>
                <w:bCs/>
                <w:sz w:val="24"/>
              </w:rPr>
            </w:pPr>
            <w:r>
              <w:rPr>
                <w:rFonts w:hint="eastAsia" w:ascii="宋体" w:hAnsi="宋体" w:cs="宋体"/>
                <w:bCs/>
                <w:sz w:val="24"/>
              </w:rPr>
              <w:t xml:space="preserve">（1）方案科学完整、可落地性强：服务总体目标明确、主要服务内容清单全面、总体工作思路与工作计划清晰、分阶段实施计划合理、项目人员架构完备、项目质量管控机制健全、培训方案针对性强，各项内容衔接紧密，可直接落地执行，得10分；</w:t>
            </w:r>
            <w:r/>
          </w:p>
          <w:p>
            <w:pPr>
              <w:pStyle w:val="859"/>
              <w:rPr>
                <w:rFonts w:hint="eastAsia" w:ascii="宋体" w:hAnsi="宋体" w:cs="宋体"/>
                <w:bCs/>
                <w:sz w:val="24"/>
              </w:rPr>
            </w:pPr>
            <w:r>
              <w:rPr>
                <w:rFonts w:hint="eastAsia" w:ascii="宋体" w:hAnsi="宋体" w:cs="宋体"/>
                <w:bCs/>
                <w:sz w:val="24"/>
              </w:rPr>
              <w:t xml:space="preserve">（2）方案整体完善，仅少量细节不足：所有核心模块均齐全，仅个别内容深度不足，少数环节保障措施不够细化，整体具备落地条件，得8分；</w:t>
            </w:r>
            <w:r/>
          </w:p>
          <w:p>
            <w:pPr>
              <w:pStyle w:val="859"/>
              <w:rPr>
                <w:rFonts w:hint="eastAsia" w:ascii="宋体" w:hAnsi="宋体" w:cs="宋体"/>
                <w:bCs/>
                <w:sz w:val="24"/>
              </w:rPr>
            </w:pPr>
            <w:r>
              <w:rPr>
                <w:rFonts w:hint="eastAsia" w:ascii="宋体" w:hAnsi="宋体" w:cs="宋体"/>
                <w:bCs/>
                <w:sz w:val="24"/>
              </w:rPr>
              <w:t xml:space="preserve">（3）方案基本合理：服务总体目标、主要服务内容清单、总体工作思路与工作计划、分阶段实施计划、项目人员架构、项目质量管控机制、培训方案等内容个别存在遗漏，部分环节应对措施较为笼统，得6分；</w:t>
            </w:r>
            <w:r/>
          </w:p>
          <w:p>
            <w:pPr>
              <w:pStyle w:val="859"/>
              <w:rPr>
                <w:rFonts w:hint="eastAsia" w:ascii="宋体" w:hAnsi="宋体" w:cs="宋体"/>
                <w:bCs/>
                <w:sz w:val="24"/>
              </w:rPr>
            </w:pPr>
            <w:r>
              <w:rPr>
                <w:rFonts w:hint="eastAsia" w:ascii="宋体" w:hAnsi="宋体" w:cs="宋体"/>
                <w:bCs/>
                <w:sz w:val="24"/>
              </w:rPr>
              <w:t xml:space="preserve">（4）多个关键模块缺失：方案框架简单，分阶段实施计划、项目人员架构、质量管控机制及培训方案基本无实质性落地措施，得4分；</w:t>
            </w:r>
            <w:r/>
          </w:p>
          <w:p>
            <w:pPr>
              <w:pStyle w:val="859"/>
              <w:rPr>
                <w:rFonts w:hint="eastAsia" w:ascii="宋体" w:hAnsi="宋体"/>
                <w:sz w:val="24"/>
              </w:rPr>
            </w:pPr>
            <w:r>
              <w:rPr>
                <w:rFonts w:hint="eastAsia" w:ascii="宋体" w:hAnsi="宋体" w:cs="宋体"/>
                <w:bCs/>
                <w:sz w:val="24"/>
              </w:rPr>
              <w:t xml:space="preserve">（5）方案较差或未提供实施方案的，本项不得分。</w:t>
            </w:r>
            <w:r>
              <w:rPr>
                <w:rFonts w:hint="eastAsia" w:ascii="宋体" w:hAnsi="宋体"/>
                <w:sz w:val="24"/>
              </w:rPr>
            </w:r>
            <w:r/>
          </w:p>
        </w:tc>
      </w:tr>
      <w:tr>
        <w:trPr/>
        <w:tc>
          <w:tcPr>
            <w:tcW w:w="436"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2.3</w:t>
            </w:r>
            <w:r>
              <w:rPr>
                <w:rFonts w:ascii="宋体" w:hAnsi="宋体"/>
                <w:sz w:val="24"/>
              </w:rPr>
            </w:r>
            <w:r/>
          </w:p>
        </w:tc>
        <w:tc>
          <w:tcPr>
            <w:tcW w:w="770" w:type="pct"/>
            <w:vAlign w:val="center"/>
            <w:textDirection w:val="lrTb"/>
            <w:noWrap w:val="false"/>
          </w:tcPr>
          <w:p>
            <w:pPr>
              <w:pStyle w:val="859"/>
              <w:jc w:val="center"/>
              <w:spacing w:line="360" w:lineRule="exact"/>
              <w:rPr>
                <w:rFonts w:hint="eastAsia" w:ascii="宋体" w:hAnsi="宋体" w:cs="宋体"/>
                <w:sz w:val="24"/>
              </w:rPr>
            </w:pPr>
            <w:r>
              <w:rPr>
                <w:rFonts w:hint="eastAsia" w:ascii="宋体" w:hAnsi="宋体" w:cs="宋体"/>
                <w:sz w:val="24"/>
              </w:rPr>
              <w:t xml:space="preserve">质量保障措施</w:t>
            </w:r>
            <w:r/>
          </w:p>
        </w:tc>
        <w:tc>
          <w:tcPr>
            <w:tcW w:w="480" w:type="pct"/>
            <w:vAlign w:val="center"/>
            <w:textDirection w:val="lrTb"/>
            <w:noWrap w:val="false"/>
          </w:tcPr>
          <w:p>
            <w:pPr>
              <w:pStyle w:val="859"/>
              <w:ind w:firstLine="28"/>
              <w:jc w:val="center"/>
              <w:rPr>
                <w:rFonts w:hint="eastAsia" w:ascii="宋体" w:hAnsi="宋体"/>
                <w:sz w:val="24"/>
              </w:rPr>
            </w:pPr>
            <w:r>
              <w:rPr>
                <w:rFonts w:hint="eastAsia" w:ascii="宋体" w:hAnsi="宋体"/>
                <w:sz w:val="24"/>
              </w:rPr>
              <w:t xml:space="preserve">5</w:t>
            </w:r>
            <w:r/>
          </w:p>
        </w:tc>
        <w:tc>
          <w:tcPr>
            <w:tcW w:w="3312" w:type="pct"/>
            <w:vAlign w:val="top"/>
            <w:textDirection w:val="lrTb"/>
            <w:noWrap w:val="false"/>
          </w:tcPr>
          <w:p>
            <w:pPr>
              <w:pStyle w:val="859"/>
              <w:spacing w:line="360" w:lineRule="exact"/>
              <w:rPr>
                <w:rFonts w:hint="eastAsia" w:ascii="宋体" w:hAnsi="宋体" w:cs="宋体"/>
                <w:b/>
                <w:sz w:val="24"/>
              </w:rPr>
            </w:pPr>
            <w:r>
              <w:rPr>
                <w:rFonts w:hint="eastAsia" w:ascii="宋体" w:hAnsi="宋体" w:cs="宋体"/>
                <w:b/>
                <w:sz w:val="24"/>
              </w:rPr>
              <w:t xml:space="preserve">质量保障措施包括但不限于课程质量保证措施、流程管理措施、质量评估机制、保障体系等。</w:t>
            </w:r>
            <w:r/>
          </w:p>
          <w:p>
            <w:pPr>
              <w:pStyle w:val="859"/>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课程质量保证措施健全，标准明确且可落地；流程管理措施完善，覆盖项目全流程关键节点；质量评估机制科学；保障体系完整，组织、制度、资源三重保障到位，四项内容针对性强、为本项目定制化编写，得5分；</w:t>
            </w:r>
            <w:r/>
          </w:p>
          <w:p>
            <w:pPr>
              <w:pStyle w:val="859"/>
              <w:rPr>
                <w:rFonts w:hint="eastAsia" w:ascii="宋体" w:hAnsi="宋体" w:cs="宋体"/>
                <w:bCs/>
                <w:sz w:val="24"/>
              </w:rPr>
            </w:pPr>
            <w:r>
              <w:rPr>
                <w:rFonts w:hint="eastAsia" w:ascii="宋体" w:hAnsi="宋体" w:cs="宋体"/>
                <w:bCs/>
                <w:sz w:val="24"/>
              </w:rPr>
              <w:t xml:space="preserve">（2）课程质量保证措施基本建立；流程管理措施覆盖主要环节；质量评估机制具备基本框架；保障体系有相关安排；但部分评估指标、流程细节不够详实，得3分；</w:t>
            </w:r>
            <w:r/>
          </w:p>
          <w:p>
            <w:pPr>
              <w:pStyle w:val="859"/>
              <w:rPr>
                <w:rFonts w:hint="eastAsia" w:ascii="宋体" w:hAnsi="宋体" w:cs="宋体"/>
                <w:bCs/>
                <w:sz w:val="24"/>
              </w:rPr>
            </w:pPr>
            <w:r>
              <w:rPr>
                <w:rFonts w:hint="eastAsia" w:ascii="宋体" w:hAnsi="宋体" w:cs="宋体"/>
                <w:bCs/>
                <w:sz w:val="24"/>
              </w:rPr>
              <w:t xml:space="preserve">（3）多个关键模块缺失；仅有通用性质量口号，缺少课程质量标准、流程管控、评估机制等实质性措施，方案可参考性弱，得 1 分；</w:t>
            </w:r>
            <w:r/>
          </w:p>
          <w:p>
            <w:pPr>
              <w:pStyle w:val="859"/>
              <w:spacing w:line="360" w:lineRule="exact"/>
              <w:rPr>
                <w:rFonts w:hint="eastAsia" w:ascii="宋体" w:hAnsi="宋体"/>
                <w:sz w:val="24"/>
              </w:rPr>
            </w:pPr>
            <w:r>
              <w:rPr>
                <w:rFonts w:hint="eastAsia" w:ascii="宋体" w:hAnsi="宋体" w:cs="宋体"/>
                <w:bCs/>
                <w:sz w:val="24"/>
              </w:rPr>
              <w:t xml:space="preserve">（4）较差或未提供方案的本项不得分。</w:t>
            </w:r>
            <w:r>
              <w:rPr>
                <w:rFonts w:hint="eastAsia" w:ascii="宋体" w:hAnsi="宋体"/>
                <w:sz w:val="24"/>
              </w:rPr>
            </w:r>
            <w:r/>
          </w:p>
        </w:tc>
      </w:tr>
      <w:tr>
        <w:trPr/>
        <w:tc>
          <w:tcPr>
            <w:tcW w:w="436"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4</w:t>
            </w:r>
            <w:r>
              <w:rPr>
                <w:rFonts w:ascii="宋体" w:hAnsi="宋体"/>
                <w:sz w:val="24"/>
              </w:rPr>
            </w:r>
            <w:r/>
          </w:p>
        </w:tc>
        <w:tc>
          <w:tcPr>
            <w:tcW w:w="770" w:type="pct"/>
            <w:vAlign w:val="center"/>
            <w:textDirection w:val="lrTb"/>
            <w:noWrap w:val="false"/>
          </w:tcPr>
          <w:p>
            <w:pPr>
              <w:pStyle w:val="859"/>
              <w:jc w:val="center"/>
              <w:spacing w:line="360" w:lineRule="exact"/>
              <w:rPr>
                <w:rFonts w:hint="eastAsia" w:ascii="宋体" w:hAnsi="宋体"/>
                <w:sz w:val="24"/>
              </w:rPr>
            </w:pPr>
            <w:r>
              <w:rPr>
                <w:rFonts w:hint="eastAsia" w:ascii="宋体" w:hAnsi="宋体"/>
                <w:sz w:val="24"/>
              </w:rPr>
              <w:t xml:space="preserve">人员配备方案</w:t>
            </w:r>
            <w:r/>
          </w:p>
        </w:tc>
        <w:tc>
          <w:tcPr>
            <w:tcW w:w="480" w:type="pct"/>
            <w:vAlign w:val="center"/>
            <w:textDirection w:val="lrTb"/>
            <w:noWrap w:val="false"/>
          </w:tcPr>
          <w:p>
            <w:pPr>
              <w:pStyle w:val="859"/>
              <w:ind w:firstLine="28"/>
              <w:jc w:val="center"/>
              <w:rPr>
                <w:rFonts w:hint="eastAsia" w:ascii="宋体" w:hAnsi="宋体"/>
                <w:sz w:val="24"/>
              </w:rPr>
            </w:pPr>
            <w:r>
              <w:rPr>
                <w:rFonts w:hint="eastAsia" w:ascii="宋体" w:hAnsi="宋体"/>
                <w:sz w:val="24"/>
              </w:rPr>
              <w:t xml:space="preserve">5</w:t>
            </w:r>
            <w:r/>
          </w:p>
        </w:tc>
        <w:tc>
          <w:tcPr>
            <w:tcW w:w="3312" w:type="pct"/>
            <w:vAlign w:val="top"/>
            <w:textDirection w:val="lrTb"/>
            <w:noWrap w:val="false"/>
          </w:tcPr>
          <w:p>
            <w:pPr>
              <w:pStyle w:val="859"/>
              <w:spacing w:line="360" w:lineRule="exact"/>
              <w:rPr>
                <w:rFonts w:hint="eastAsia" w:ascii="宋体" w:hAnsi="宋体" w:cs="宋体"/>
                <w:bCs/>
                <w:sz w:val="24"/>
              </w:rPr>
            </w:pPr>
            <w:r>
              <w:rPr>
                <w:rFonts w:hint="eastAsia" w:ascii="宋体" w:hAnsi="宋体" w:cs="宋体"/>
                <w:b/>
                <w:sz w:val="24"/>
              </w:rPr>
              <w:t xml:space="preserve">人员配备方案包括但不限于项目人员分工及要求、项目总负责人职责、核心专业人员岗位要求等。</w:t>
            </w:r>
            <w:r>
              <w:rPr>
                <w:rFonts w:hint="eastAsia" w:ascii="宋体" w:hAnsi="宋体" w:cs="宋体"/>
                <w:bCs/>
                <w:sz w:val="24"/>
              </w:rPr>
            </w:r>
            <w:r/>
          </w:p>
          <w:p>
            <w:pPr>
              <w:pStyle w:val="859"/>
              <w:spacing w:line="360" w:lineRule="exact"/>
              <w:rPr>
                <w:rFonts w:ascii="宋体" w:hAnsi="宋体"/>
                <w:sz w:val="24"/>
              </w:rPr>
            </w:pPr>
            <w:r>
              <w:rPr>
                <w:rFonts w:hint="eastAsia" w:ascii="宋体" w:hAnsi="宋体"/>
                <w:sz w:val="24"/>
              </w:rPr>
              <w:t xml:space="preserve">（1）</w:t>
            </w:r>
            <w:r>
              <w:rPr>
                <w:rFonts w:ascii="宋体" w:hAnsi="宋体"/>
                <w:sz w:val="24"/>
              </w:rPr>
              <w:t xml:space="preserve">项目组织架构清晰完整，项目总负责人具备境外职教项目管理相关经验；境内</w:t>
            </w:r>
            <w:r>
              <w:rPr>
                <w:rFonts w:hint="eastAsia" w:ascii="宋体" w:hAnsi="宋体"/>
                <w:sz w:val="24"/>
              </w:rPr>
              <w:t xml:space="preserve">核心</w:t>
            </w:r>
            <w:r>
              <w:rPr>
                <w:rFonts w:ascii="宋体" w:hAnsi="宋体"/>
                <w:sz w:val="24"/>
              </w:rPr>
              <w:t xml:space="preserve">专业人员、乌兹别克斯坦属地专职人员岗位配置齐全，岗位职责划分明确；双语及专业翻译人员满足职教专业翻译要求；人员配置匹配本项目工作量，全部为本项目针对性配置，</w:t>
            </w:r>
            <w:r>
              <w:rPr>
                <w:rFonts w:hint="eastAsia" w:ascii="宋体" w:hAnsi="宋体"/>
                <w:sz w:val="24"/>
              </w:rPr>
              <w:t xml:space="preserve">得5分；</w:t>
            </w:r>
            <w:r>
              <w:rPr>
                <w:rFonts w:ascii="宋体" w:hAnsi="宋体"/>
                <w:sz w:val="24"/>
              </w:rPr>
            </w:r>
            <w:r/>
          </w:p>
          <w:p>
            <w:pPr>
              <w:pStyle w:val="859"/>
              <w:spacing w:line="360" w:lineRule="exact"/>
              <w:rPr>
                <w:rFonts w:ascii="宋体" w:hAnsi="宋体"/>
                <w:sz w:val="24"/>
              </w:rPr>
            </w:pPr>
            <w:r>
              <w:rPr>
                <w:rFonts w:hint="eastAsia" w:ascii="宋体" w:hAnsi="宋体"/>
                <w:sz w:val="24"/>
              </w:rPr>
              <w:t xml:space="preserve">（2）</w:t>
            </w:r>
            <w:r>
              <w:rPr>
                <w:rFonts w:ascii="宋体" w:hAnsi="宋体"/>
                <w:sz w:val="24"/>
              </w:rPr>
              <w:t xml:space="preserve">项目组织架构</w:t>
            </w:r>
            <w:r>
              <w:rPr>
                <w:rFonts w:hint="eastAsia" w:ascii="宋体" w:hAnsi="宋体"/>
                <w:sz w:val="24"/>
              </w:rPr>
              <w:t xml:space="preserve">基本</w:t>
            </w:r>
            <w:r>
              <w:rPr>
                <w:rFonts w:ascii="宋体" w:hAnsi="宋体"/>
                <w:sz w:val="24"/>
              </w:rPr>
              <w:t xml:space="preserve">完整，主要岗位均已配置人员，岗位职责明确；配备属地人员、翻译人员及专家资源；具备人员稳定与替补思路；但部分人员描述、构成细节不够详实</w:t>
            </w:r>
            <w:r>
              <w:rPr>
                <w:rFonts w:hint="eastAsia" w:ascii="宋体" w:hAnsi="宋体"/>
                <w:sz w:val="24"/>
              </w:rPr>
              <w:t xml:space="preserve">，得3分；</w:t>
            </w:r>
            <w:r>
              <w:rPr>
                <w:rFonts w:ascii="宋体" w:hAnsi="宋体"/>
                <w:sz w:val="24"/>
              </w:rPr>
            </w:r>
            <w:r/>
          </w:p>
          <w:p>
            <w:pPr>
              <w:pStyle w:val="859"/>
              <w:spacing w:line="360" w:lineRule="exact"/>
              <w:rPr>
                <w:rFonts w:ascii="宋体" w:hAnsi="宋体"/>
                <w:sz w:val="24"/>
              </w:rPr>
            </w:pPr>
            <w:r>
              <w:rPr>
                <w:rFonts w:hint="eastAsia" w:ascii="宋体" w:hAnsi="宋体"/>
                <w:sz w:val="24"/>
              </w:rPr>
              <w:t xml:space="preserve">（3）</w:t>
            </w:r>
            <w:r>
              <w:rPr>
                <w:rFonts w:ascii="宋体" w:hAnsi="宋体"/>
                <w:sz w:val="24"/>
              </w:rPr>
              <w:t xml:space="preserve">多个关键岗位</w:t>
            </w:r>
            <w:r>
              <w:rPr>
                <w:rFonts w:hint="eastAsia" w:ascii="宋体" w:hAnsi="宋体"/>
                <w:sz w:val="24"/>
              </w:rPr>
              <w:t xml:space="preserve">、</w:t>
            </w:r>
            <w:r>
              <w:rPr>
                <w:rFonts w:ascii="宋体" w:hAnsi="宋体"/>
                <w:sz w:val="24"/>
              </w:rPr>
              <w:t xml:space="preserve">机制缺失；仅有简单人员清单，缺少岗位职责等内容，人员配备方案可参考性弱</w:t>
            </w:r>
            <w:r>
              <w:rPr>
                <w:rFonts w:hint="eastAsia" w:ascii="宋体" w:hAnsi="宋体"/>
                <w:sz w:val="24"/>
              </w:rPr>
              <w:t xml:space="preserve">，得1分；</w:t>
            </w:r>
            <w:r>
              <w:rPr>
                <w:rFonts w:ascii="宋体" w:hAnsi="宋体"/>
                <w:sz w:val="24"/>
              </w:rPr>
            </w:r>
            <w:r/>
          </w:p>
          <w:p>
            <w:pPr>
              <w:pStyle w:val="859"/>
              <w:spacing w:line="360" w:lineRule="exact"/>
              <w:rPr>
                <w:rFonts w:hint="eastAsia" w:ascii="宋体" w:hAnsi="宋体"/>
                <w:b/>
                <w:sz w:val="24"/>
              </w:rPr>
            </w:pPr>
            <w:r>
              <w:rPr>
                <w:rFonts w:hint="eastAsia" w:ascii="宋体" w:hAnsi="宋体"/>
                <w:sz w:val="24"/>
              </w:rPr>
              <w:t xml:space="preserve">（4）较差或未提供方案的本项不得分。</w:t>
            </w:r>
            <w:r>
              <w:rPr>
                <w:rFonts w:hint="eastAsia" w:ascii="宋体" w:hAnsi="宋体"/>
                <w:b/>
                <w:sz w:val="24"/>
              </w:rPr>
            </w:r>
            <w:r/>
          </w:p>
        </w:tc>
      </w:tr>
      <w:tr>
        <w:trPr/>
        <w:tc>
          <w:tcPr>
            <w:tcW w:w="436"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5</w:t>
            </w:r>
            <w:r>
              <w:rPr>
                <w:rFonts w:ascii="宋体" w:hAnsi="宋体"/>
                <w:sz w:val="24"/>
              </w:rPr>
            </w:r>
            <w:r/>
          </w:p>
        </w:tc>
        <w:tc>
          <w:tcPr>
            <w:tcW w:w="770" w:type="pct"/>
            <w:vAlign w:val="center"/>
            <w:textDirection w:val="lrTb"/>
            <w:noWrap w:val="false"/>
          </w:tcPr>
          <w:p>
            <w:pPr>
              <w:pStyle w:val="859"/>
              <w:jc w:val="center"/>
              <w:spacing w:line="360" w:lineRule="exact"/>
              <w:rPr>
                <w:rFonts w:ascii="宋体" w:hAnsi="宋体"/>
                <w:sz w:val="24"/>
              </w:rPr>
            </w:pPr>
            <w:r>
              <w:rPr>
                <w:rFonts w:hint="eastAsia" w:ascii="宋体" w:hAnsi="宋体"/>
                <w:sz w:val="24"/>
              </w:rPr>
              <w:t xml:space="preserve">保密方案</w:t>
            </w:r>
            <w:r>
              <w:rPr>
                <w:rFonts w:ascii="宋体" w:hAnsi="宋体"/>
                <w:sz w:val="24"/>
              </w:rPr>
            </w:r>
            <w:r/>
          </w:p>
        </w:tc>
        <w:tc>
          <w:tcPr>
            <w:tcW w:w="480" w:type="pct"/>
            <w:vAlign w:val="center"/>
            <w:textDirection w:val="lrTb"/>
            <w:noWrap w:val="false"/>
          </w:tcPr>
          <w:p>
            <w:pPr>
              <w:pStyle w:val="859"/>
              <w:ind w:firstLine="28"/>
              <w:jc w:val="center"/>
              <w:rPr>
                <w:rFonts w:hint="eastAsia" w:ascii="宋体" w:hAnsi="宋体"/>
                <w:sz w:val="24"/>
              </w:rPr>
            </w:pPr>
            <w:r>
              <w:rPr>
                <w:rFonts w:hint="eastAsia" w:ascii="宋体" w:hAnsi="宋体"/>
                <w:sz w:val="24"/>
              </w:rPr>
              <w:t xml:space="preserve">5</w:t>
            </w:r>
            <w:r/>
          </w:p>
        </w:tc>
        <w:tc>
          <w:tcPr>
            <w:tcW w:w="3312" w:type="pct"/>
            <w:vAlign w:val="center"/>
            <w:textDirection w:val="lrTb"/>
            <w:noWrap w:val="false"/>
          </w:tcPr>
          <w:p>
            <w:pPr>
              <w:pStyle w:val="859"/>
              <w:rPr>
                <w:rFonts w:ascii="宋体" w:hAnsi="宋体"/>
                <w:b/>
                <w:sz w:val="24"/>
              </w:rPr>
            </w:pPr>
            <w:r>
              <w:rPr>
                <w:rFonts w:hint="eastAsia" w:ascii="宋体" w:hAnsi="宋体"/>
                <w:b/>
                <w:sz w:val="24"/>
              </w:rPr>
              <w:t xml:space="preserve">保密方案包括但不限于项目资料保密管理制度、境外学员个人信息保护、项目业务数据管控、项目成果素材知识产权管理、境外合作方保密约束、数据跨境传输管控、内部人员保密教育、泄密风险处置预案、保密责任与追责机制等。</w:t>
            </w:r>
            <w:r>
              <w:rPr>
                <w:rFonts w:ascii="宋体" w:hAnsi="宋体"/>
                <w:b/>
                <w:sz w:val="24"/>
              </w:rPr>
            </w:r>
            <w:r/>
          </w:p>
          <w:p>
            <w:pPr>
              <w:pStyle w:val="859"/>
              <w:rPr>
                <w:rFonts w:hint="eastAsia" w:ascii="宋体" w:hAnsi="宋体" w:cs="宋体"/>
                <w:bCs/>
                <w:sz w:val="24"/>
              </w:rPr>
            </w:pPr>
            <w:r>
              <w:rPr>
                <w:rFonts w:hint="eastAsia" w:ascii="宋体" w:hAnsi="宋体"/>
                <w:sz w:val="24"/>
              </w:rPr>
              <w:t xml:space="preserve">（1）针对中乌跨境办学场景制定</w:t>
            </w:r>
            <w:r>
              <w:rPr>
                <w:rFonts w:hint="eastAsia" w:ascii="宋体" w:hAnsi="宋体" w:cs="宋体"/>
                <w:bCs/>
                <w:sz w:val="24"/>
              </w:rPr>
              <w:t xml:space="preserve">专项保密方案：项目资料保密管理制度健全；境外学员个人信息保护措施完善；项目业务数据全流程管控到位；对项目成果素材建立分级保密管控与知识产权管理；明确境外合作方保密约束条款，数据跨境传输流程合规；内部人员保密教育与保密协议管理落实到位；泄密风险识别全面，处置预案、保密责任与追责机制完整具体，为本项目定制化编写，得5分；</w:t>
            </w:r>
            <w:r/>
          </w:p>
          <w:p>
            <w:pPr>
              <w:pStyle w:val="859"/>
              <w:rPr>
                <w:rFonts w:hint="eastAsia" w:ascii="宋体" w:hAnsi="宋体" w:cs="宋体"/>
                <w:bCs/>
                <w:sz w:val="24"/>
              </w:rPr>
            </w:pPr>
            <w:r>
              <w:rPr>
                <w:rFonts w:hint="eastAsia" w:ascii="宋体" w:hAnsi="宋体" w:cs="宋体"/>
                <w:bCs/>
                <w:sz w:val="24"/>
              </w:rPr>
              <w:t xml:space="preserve">（2）建立保密、数据安全、知识产权管控相关措施；对境外数据、学员信息有管理要求，具备泄密处置思路；但部分管控流程、境外合作方约束细节不够详实，得3分；</w:t>
            </w:r>
            <w:r/>
          </w:p>
          <w:p>
            <w:pPr>
              <w:pStyle w:val="859"/>
              <w:rPr>
                <w:rFonts w:hint="eastAsia" w:ascii="宋体" w:hAnsi="宋体" w:cs="宋体"/>
                <w:bCs/>
                <w:sz w:val="24"/>
              </w:rPr>
            </w:pPr>
            <w:r>
              <w:rPr>
                <w:rFonts w:hint="eastAsia" w:ascii="宋体" w:hAnsi="宋体" w:cs="宋体"/>
                <w:bCs/>
                <w:sz w:val="24"/>
              </w:rPr>
              <w:t xml:space="preserve">（3）多个关键管控模块缺失；仅有笼统保密口号，缺少跨境项目、境外合作方、学员个人信息等实质性管控措施，方案可参考性弱，得1分；</w:t>
            </w:r>
            <w:r/>
          </w:p>
          <w:p>
            <w:pPr>
              <w:pStyle w:val="859"/>
              <w:rPr>
                <w:rFonts w:hint="eastAsia" w:ascii="宋体" w:hAnsi="宋体"/>
                <w:sz w:val="24"/>
              </w:rPr>
            </w:pPr>
            <w:r>
              <w:rPr>
                <w:rFonts w:hint="eastAsia" w:ascii="宋体" w:hAnsi="宋体"/>
                <w:sz w:val="24"/>
              </w:rPr>
              <w:t xml:space="preserve">（4）较差或未提供方案的本项不得分。</w:t>
            </w:r>
            <w:r/>
          </w:p>
        </w:tc>
      </w:tr>
      <w:tr>
        <w:trPr/>
        <w:tc>
          <w:tcPr>
            <w:tcW w:w="436"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6</w:t>
            </w:r>
            <w:r>
              <w:rPr>
                <w:rFonts w:ascii="宋体" w:hAnsi="宋体"/>
                <w:sz w:val="24"/>
              </w:rPr>
            </w:r>
            <w:r/>
          </w:p>
        </w:tc>
        <w:tc>
          <w:tcPr>
            <w:tcW w:w="770" w:type="pct"/>
            <w:vAlign w:val="center"/>
            <w:textDirection w:val="lrTb"/>
            <w:noWrap w:val="false"/>
          </w:tcPr>
          <w:p>
            <w:pPr>
              <w:pStyle w:val="859"/>
              <w:jc w:val="center"/>
              <w:spacing w:line="360" w:lineRule="exact"/>
              <w:rPr>
                <w:rFonts w:hint="eastAsia" w:ascii="宋体" w:hAnsi="宋体"/>
                <w:sz w:val="24"/>
              </w:rPr>
            </w:pPr>
            <w:r>
              <w:rPr>
                <w:rFonts w:hint="eastAsia" w:ascii="宋体" w:hAnsi="宋体"/>
                <w:sz w:val="24"/>
              </w:rPr>
              <w:t xml:space="preserve">安全及应急预案</w:t>
            </w:r>
            <w:r/>
          </w:p>
        </w:tc>
        <w:tc>
          <w:tcPr>
            <w:tcW w:w="480" w:type="pct"/>
            <w:vAlign w:val="center"/>
            <w:textDirection w:val="lrTb"/>
            <w:noWrap w:val="false"/>
          </w:tcPr>
          <w:p>
            <w:pPr>
              <w:pStyle w:val="859"/>
              <w:ind w:firstLine="28"/>
              <w:jc w:val="center"/>
              <w:rPr>
                <w:rFonts w:hint="eastAsia" w:ascii="宋体" w:hAnsi="宋体"/>
                <w:sz w:val="24"/>
              </w:rPr>
            </w:pPr>
            <w:r>
              <w:rPr>
                <w:rFonts w:hint="eastAsia" w:ascii="宋体" w:hAnsi="宋体"/>
                <w:sz w:val="24"/>
              </w:rPr>
              <w:t xml:space="preserve">5</w:t>
            </w:r>
            <w:r/>
          </w:p>
        </w:tc>
        <w:tc>
          <w:tcPr>
            <w:tcW w:w="3312" w:type="pct"/>
            <w:vAlign w:val="center"/>
            <w:textDirection w:val="lrTb"/>
            <w:noWrap w:val="false"/>
          </w:tcPr>
          <w:p>
            <w:pPr>
              <w:pStyle w:val="859"/>
              <w:spacing w:line="360" w:lineRule="exact"/>
              <w:rPr>
                <w:rFonts w:hint="eastAsia" w:ascii="宋体" w:hAnsi="宋体" w:cs="宋体"/>
                <w:bCs/>
                <w:sz w:val="24"/>
              </w:rPr>
            </w:pPr>
            <w:r>
              <w:rPr>
                <w:rFonts w:hint="eastAsia" w:ascii="宋体" w:hAnsi="宋体" w:cs="宋体"/>
                <w:b/>
                <w:sz w:val="24"/>
              </w:rPr>
              <w:t xml:space="preserve">安全及应急预案包括但不限于安全管理制度、内外联络上报机制、出行与外勤安全保障、公共卫生事件处置、当地政策变动风险应对、其他重大风险应急预案等</w:t>
            </w:r>
            <w:r>
              <w:rPr>
                <w:rFonts w:hint="eastAsia" w:ascii="宋体" w:hAnsi="宋体" w:cs="宋体"/>
                <w:bCs/>
                <w:sz w:val="24"/>
              </w:rPr>
              <w:t xml:space="preserve"> </w:t>
            </w:r>
            <w:r/>
          </w:p>
          <w:p>
            <w:pPr>
              <w:pStyle w:val="859"/>
              <w:rPr>
                <w:rFonts w:hint="eastAsia" w:ascii="宋体" w:hAnsi="宋体" w:cs="宋体"/>
                <w:bCs/>
                <w:sz w:val="24"/>
              </w:rPr>
            </w:pPr>
            <w:r>
              <w:rPr>
                <w:rFonts w:hint="eastAsia" w:ascii="宋体" w:hAnsi="宋体" w:cs="宋体"/>
                <w:bCs/>
                <w:sz w:val="24"/>
              </w:rPr>
              <w:t xml:space="preserve">（1）充分结合乌兹别克斯坦当地社会、治安、政策环境制定专项安全管理制度；内外联络上报机制健全，明确上报流程与联系人；出行与外勤安全保障措施完备；公共卫生事件处置流程清晰；当地政策变动风险应对方案具体；其他重大风险应急预案完善，为本项目定制化编制，得5分；</w:t>
            </w:r>
            <w:r/>
          </w:p>
          <w:p>
            <w:pPr>
              <w:pStyle w:val="859"/>
              <w:rPr>
                <w:rFonts w:hint="eastAsia" w:ascii="宋体" w:hAnsi="宋体" w:cs="宋体"/>
                <w:bCs/>
                <w:sz w:val="24"/>
              </w:rPr>
            </w:pPr>
            <w:r>
              <w:rPr>
                <w:rFonts w:hint="eastAsia" w:ascii="宋体" w:hAnsi="宋体" w:cs="宋体"/>
                <w:bCs/>
                <w:sz w:val="24"/>
              </w:rPr>
              <w:t xml:space="preserve">（2）具备境外安全管理制度和各类突发场景应急处置思路；内外联络上报机制基本建立；出行与外勤安全、公共卫生事件均有相应安排；但部分处置流程、上报细节不够详实，得3分；</w:t>
            </w:r>
            <w:r/>
          </w:p>
          <w:p>
            <w:pPr>
              <w:pStyle w:val="859"/>
              <w:rPr>
                <w:rFonts w:hint="eastAsia" w:ascii="宋体" w:hAnsi="宋体" w:cs="宋体"/>
                <w:bCs/>
                <w:sz w:val="24"/>
              </w:rPr>
            </w:pPr>
            <w:r>
              <w:rPr>
                <w:rFonts w:hint="eastAsia" w:ascii="宋体" w:hAnsi="宋体" w:cs="宋体"/>
                <w:bCs/>
                <w:sz w:val="24"/>
              </w:rPr>
              <w:t xml:space="preserve">（3）多个关键模块缺失；只有通用性安全口号，缺少针对乌兹别克斯坦境外办学场景的实质性安全管控、应急处置举措，方案可参考性弱，得1分；</w:t>
            </w:r>
            <w:r/>
          </w:p>
          <w:p>
            <w:pPr>
              <w:pStyle w:val="859"/>
              <w:rPr>
                <w:rFonts w:hint="eastAsia" w:ascii="宋体" w:hAnsi="宋体"/>
                <w:sz w:val="24"/>
              </w:rPr>
            </w:pPr>
            <w:r>
              <w:rPr>
                <w:rFonts w:hint="eastAsia" w:ascii="宋体" w:hAnsi="宋体" w:cs="宋体"/>
                <w:bCs/>
                <w:sz w:val="24"/>
              </w:rPr>
              <w:t xml:space="preserve">（4）较差或未提供方案的本项不得分。</w:t>
            </w:r>
            <w:r>
              <w:rPr>
                <w:rFonts w:hint="eastAsia" w:ascii="宋体" w:hAnsi="宋体"/>
                <w:sz w:val="24"/>
              </w:rPr>
            </w:r>
            <w:r/>
          </w:p>
        </w:tc>
      </w:tr>
      <w:tr>
        <w:trPr/>
        <w:tc>
          <w:tcPr>
            <w:tcW w:w="436"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770"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客观分</w:t>
            </w:r>
            <w:r>
              <w:rPr>
                <w:rFonts w:ascii="宋体" w:hAnsi="宋体"/>
                <w:sz w:val="24"/>
              </w:rPr>
            </w:r>
            <w:r/>
          </w:p>
        </w:tc>
        <w:tc>
          <w:tcPr>
            <w:tcW w:w="480" w:type="pct"/>
            <w:vAlign w:val="center"/>
            <w:textDirection w:val="lrTb"/>
            <w:noWrap w:val="false"/>
          </w:tcPr>
          <w:p>
            <w:pPr>
              <w:pStyle w:val="859"/>
              <w:ind w:firstLine="28"/>
              <w:jc w:val="center"/>
              <w:rPr>
                <w:rFonts w:ascii="宋体" w:hAnsi="宋体"/>
                <w:sz w:val="24"/>
              </w:rPr>
            </w:pPr>
            <w:r>
              <w:rPr>
                <w:rFonts w:ascii="宋体" w:hAnsi="宋体"/>
                <w:sz w:val="24"/>
              </w:rPr>
              <w:t xml:space="preserve">45</w:t>
            </w:r>
            <w:r/>
          </w:p>
        </w:tc>
        <w:tc>
          <w:tcPr>
            <w:tcW w:w="3312" w:type="pct"/>
            <w:vAlign w:val="center"/>
            <w:textDirection w:val="lrTb"/>
            <w:noWrap w:val="false"/>
          </w:tcPr>
          <w:p>
            <w:pPr>
              <w:pStyle w:val="859"/>
              <w:rPr>
                <w:rFonts w:ascii="宋体" w:hAnsi="宋体"/>
                <w:sz w:val="24"/>
              </w:rPr>
            </w:pPr>
            <w:r>
              <w:rPr>
                <w:rFonts w:ascii="宋体" w:hAnsi="宋体"/>
                <w:sz w:val="24"/>
              </w:rPr>
            </w:r>
            <w:r/>
          </w:p>
        </w:tc>
      </w:tr>
      <w:tr>
        <w:trPr/>
        <w:tc>
          <w:tcPr>
            <w:tcW w:w="436"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3.1</w:t>
            </w:r>
            <w:r>
              <w:rPr>
                <w:rFonts w:ascii="宋体" w:hAnsi="宋体"/>
                <w:sz w:val="24"/>
              </w:rPr>
            </w:r>
            <w:r/>
          </w:p>
        </w:tc>
        <w:tc>
          <w:tcPr>
            <w:tcW w:w="770" w:type="pct"/>
            <w:vAlign w:val="center"/>
            <w:textDirection w:val="lrTb"/>
            <w:noWrap w:val="false"/>
          </w:tcPr>
          <w:p>
            <w:pPr>
              <w:pStyle w:val="859"/>
              <w:jc w:val="center"/>
              <w:spacing w:line="360" w:lineRule="exact"/>
              <w:rPr>
                <w:rFonts w:hint="eastAsia" w:ascii="宋体" w:hAnsi="宋体"/>
                <w:sz w:val="24"/>
              </w:rPr>
            </w:pPr>
            <w:r>
              <w:rPr>
                <w:rFonts w:hint="eastAsia" w:ascii="宋体" w:hAnsi="宋体"/>
                <w:sz w:val="24"/>
              </w:rPr>
              <w:t xml:space="preserve">企业业绩</w:t>
            </w:r>
            <w:r/>
          </w:p>
        </w:tc>
        <w:tc>
          <w:tcPr>
            <w:tcW w:w="480" w:type="pct"/>
            <w:vAlign w:val="center"/>
            <w:textDirection w:val="lrTb"/>
            <w:noWrap w:val="false"/>
          </w:tcPr>
          <w:p>
            <w:pPr>
              <w:pStyle w:val="859"/>
              <w:ind w:firstLine="28"/>
              <w:jc w:val="center"/>
              <w:rPr>
                <w:rFonts w:ascii="宋体" w:hAnsi="宋体"/>
                <w:sz w:val="24"/>
              </w:rPr>
            </w:pPr>
            <w:r>
              <w:rPr>
                <w:rFonts w:ascii="宋体" w:hAnsi="宋体"/>
                <w:sz w:val="24"/>
              </w:rPr>
              <w:t xml:space="preserve">25</w:t>
            </w:r>
            <w:r/>
          </w:p>
        </w:tc>
        <w:tc>
          <w:tcPr>
            <w:tcW w:w="3312" w:type="pct"/>
            <w:vAlign w:val="top"/>
            <w:textDirection w:val="lrTb"/>
            <w:noWrap w:val="false"/>
          </w:tcPr>
          <w:p>
            <w:pPr>
              <w:pStyle w:val="859"/>
              <w:spacing w:line="360" w:lineRule="exact"/>
              <w:rPr>
                <w:rFonts w:hint="eastAsia" w:ascii="宋体" w:hAnsi="宋体" w:cs="宋体"/>
                <w:bCs/>
                <w:sz w:val="24"/>
              </w:rPr>
            </w:pPr>
            <w:r>
              <w:rPr>
                <w:rFonts w:hint="eastAsia" w:ascii="宋体" w:hAnsi="宋体" w:cs="宋体"/>
                <w:bCs/>
                <w:sz w:val="24"/>
              </w:rPr>
              <w:t xml:space="preserve">（1）供应商提供自202</w:t>
            </w:r>
            <w:r>
              <w:rPr>
                <w:rFonts w:ascii="宋体" w:hAnsi="宋体" w:cs="宋体"/>
                <w:bCs/>
                <w:sz w:val="24"/>
              </w:rPr>
              <w:t xml:space="preserve">3</w:t>
            </w:r>
            <w:r>
              <w:rPr>
                <w:rFonts w:hint="eastAsia" w:ascii="宋体" w:hAnsi="宋体" w:cs="宋体"/>
                <w:bCs/>
                <w:sz w:val="24"/>
              </w:rPr>
              <w:t xml:space="preserve">年</w:t>
            </w:r>
            <w:r>
              <w:rPr>
                <w:rFonts w:ascii="宋体" w:hAnsi="宋体" w:cs="宋体"/>
                <w:bCs/>
                <w:sz w:val="24"/>
              </w:rPr>
              <w:t xml:space="preserve">10</w:t>
            </w:r>
            <w:r>
              <w:rPr>
                <w:rFonts w:hint="eastAsia" w:ascii="宋体" w:hAnsi="宋体" w:cs="宋体"/>
                <w:bCs/>
                <w:sz w:val="24"/>
              </w:rPr>
              <w:t xml:space="preserve">月至今（以合同签订时间为准）承担的类似项目业绩（含国际培训项目或境外培训组织服务或国际教育合作），每提供一项有效业绩得3分，最高计15分；</w:t>
            </w:r>
            <w:r/>
          </w:p>
          <w:p>
            <w:pPr>
              <w:pStyle w:val="859"/>
              <w:spacing w:line="360" w:lineRule="exact"/>
              <w:rPr>
                <w:rFonts w:hint="eastAsia" w:ascii="宋体" w:hAnsi="宋体" w:cs="宋体"/>
                <w:bCs/>
                <w:sz w:val="24"/>
              </w:rPr>
            </w:pPr>
            <w:r>
              <w:rPr>
                <w:rFonts w:hint="eastAsia" w:ascii="宋体" w:hAnsi="宋体" w:cs="宋体"/>
                <w:bCs/>
                <w:sz w:val="24"/>
              </w:rPr>
              <w:t xml:space="preserve">（2）每提供一份针对乌兹别克斯坦的学校/教学机构/企业合作谅解备忘录（MOU）、合作协议或有效合作证明文件得 </w:t>
            </w:r>
            <w:r>
              <w:rPr>
                <w:rFonts w:ascii="宋体" w:hAnsi="宋体" w:cs="宋体"/>
                <w:bCs/>
                <w:sz w:val="24"/>
              </w:rPr>
              <w:t xml:space="preserve">2</w:t>
            </w:r>
            <w:r>
              <w:rPr>
                <w:rFonts w:hint="eastAsia" w:ascii="宋体" w:hAnsi="宋体" w:cs="宋体"/>
                <w:bCs/>
                <w:sz w:val="24"/>
              </w:rPr>
              <w:t xml:space="preserve">分，最高计 1</w:t>
            </w:r>
            <w:r>
              <w:rPr>
                <w:rFonts w:ascii="宋体" w:hAnsi="宋体" w:cs="宋体"/>
                <w:bCs/>
                <w:sz w:val="24"/>
              </w:rPr>
              <w:t xml:space="preserve">0</w:t>
            </w:r>
            <w:r>
              <w:rPr>
                <w:rFonts w:hint="eastAsia" w:ascii="宋体" w:hAnsi="宋体" w:cs="宋体"/>
                <w:bCs/>
                <w:sz w:val="24"/>
              </w:rPr>
              <w:t xml:space="preserve">分。</w:t>
            </w:r>
            <w:r/>
          </w:p>
          <w:p>
            <w:pPr>
              <w:pStyle w:val="859"/>
              <w:spacing w:line="360" w:lineRule="exact"/>
              <w:rPr>
                <w:rFonts w:hint="eastAsia" w:ascii="宋体" w:hAnsi="宋体"/>
                <w:b/>
                <w:sz w:val="24"/>
              </w:rPr>
            </w:pPr>
            <w:r>
              <w:rPr>
                <w:rFonts w:hint="eastAsia" w:ascii="宋体" w:hAnsi="宋体" w:cs="宋体"/>
                <w:b/>
                <w:bCs/>
                <w:sz w:val="24"/>
              </w:rPr>
              <w:t xml:space="preserve">注：业绩及合作文件须提交加盖投标人公章的复印件或原件扫描件，包含合同（或协议）首尾页、合作范围及内容、签订时间、双方签字盖章页，否则不予计分；同类证明材料不重复计分。</w:t>
            </w:r>
            <w:r>
              <w:rPr>
                <w:rFonts w:hint="eastAsia" w:ascii="宋体" w:hAnsi="宋体"/>
                <w:b/>
                <w:sz w:val="24"/>
              </w:rPr>
            </w:r>
            <w:r/>
          </w:p>
        </w:tc>
      </w:tr>
      <w:tr>
        <w:trPr/>
        <w:tc>
          <w:tcPr>
            <w:tcW w:w="436"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3.2</w:t>
            </w:r>
            <w:r>
              <w:rPr>
                <w:rFonts w:ascii="宋体" w:hAnsi="宋体"/>
                <w:sz w:val="24"/>
              </w:rPr>
            </w:r>
            <w:r/>
          </w:p>
        </w:tc>
        <w:tc>
          <w:tcPr>
            <w:tcW w:w="770" w:type="pct"/>
            <w:vAlign w:val="center"/>
            <w:textDirection w:val="lrTb"/>
            <w:noWrap w:val="false"/>
          </w:tcPr>
          <w:p>
            <w:pPr>
              <w:pStyle w:val="859"/>
              <w:ind w:firstLine="28"/>
              <w:jc w:val="center"/>
              <w:rPr>
                <w:rFonts w:hint="eastAsia" w:ascii="宋体" w:hAnsi="宋体"/>
                <w:sz w:val="24"/>
              </w:rPr>
            </w:pPr>
            <w:r>
              <w:rPr>
                <w:rFonts w:hint="eastAsia" w:ascii="宋体" w:hAnsi="宋体" w:cs="宋体"/>
                <w:sz w:val="24"/>
              </w:rPr>
              <w:t xml:space="preserve">服务团队</w:t>
            </w:r>
            <w:r>
              <w:rPr>
                <w:rFonts w:hint="eastAsia" w:ascii="宋体" w:hAnsi="宋体"/>
                <w:sz w:val="24"/>
              </w:rPr>
            </w:r>
            <w:r/>
          </w:p>
        </w:tc>
        <w:tc>
          <w:tcPr>
            <w:tcW w:w="480" w:type="pct"/>
            <w:vAlign w:val="center"/>
            <w:textDirection w:val="lrTb"/>
            <w:noWrap w:val="false"/>
          </w:tcPr>
          <w:p>
            <w:pPr>
              <w:pStyle w:val="859"/>
              <w:ind w:firstLine="28"/>
              <w:jc w:val="center"/>
              <w:rPr>
                <w:rFonts w:ascii="宋体" w:hAnsi="宋体"/>
                <w:sz w:val="24"/>
              </w:rPr>
            </w:pPr>
            <w:r>
              <w:rPr>
                <w:rFonts w:hint="eastAsia" w:ascii="宋体" w:hAnsi="宋体"/>
                <w:sz w:val="24"/>
              </w:rPr>
              <w:t xml:space="preserve">9</w:t>
            </w:r>
            <w:r>
              <w:rPr>
                <w:rFonts w:ascii="宋体" w:hAnsi="宋体"/>
                <w:sz w:val="24"/>
              </w:rPr>
            </w:r>
            <w:r/>
          </w:p>
        </w:tc>
        <w:tc>
          <w:tcPr>
            <w:tcW w:w="3312" w:type="pct"/>
            <w:vAlign w:val="top"/>
            <w:textDirection w:val="lrTb"/>
            <w:noWrap w:val="false"/>
          </w:tcPr>
          <w:p>
            <w:pPr>
              <w:pStyle w:val="859"/>
              <w:spacing w:line="320" w:lineRule="exact"/>
              <w:rPr>
                <w:rFonts w:hint="eastAsia" w:ascii="宋体" w:hAnsi="宋体" w:cs="宋体"/>
                <w:sz w:val="24"/>
              </w:rPr>
            </w:pPr>
            <w:r>
              <w:rPr>
                <w:rFonts w:hint="eastAsia" w:ascii="宋体" w:hAnsi="宋体" w:cs="宋体"/>
                <w:sz w:val="24"/>
              </w:rPr>
              <w:t xml:space="preserve">供应商拟投入本项目的双语及属地工作人员按下列要素计分，同一人员同时符合下列两项条件的，两项得分累加计算：</w:t>
            </w:r>
            <w:r/>
          </w:p>
          <w:p>
            <w:pPr>
              <w:pStyle w:val="859"/>
              <w:spacing w:line="320" w:lineRule="exact"/>
              <w:rPr>
                <w:rFonts w:ascii="宋体" w:hAnsi="宋体" w:cs="宋体"/>
                <w:sz w:val="24"/>
              </w:rPr>
            </w:pPr>
            <w:r>
              <w:rPr>
                <w:rFonts w:hint="eastAsia" w:ascii="宋体" w:hAnsi="宋体" w:cs="宋体"/>
                <w:sz w:val="24"/>
              </w:rPr>
              <w:t xml:space="preserve">（1）驻场专职人员（1人）：</w:t>
            </w:r>
            <w:r>
              <w:rPr>
                <w:rFonts w:ascii="宋体" w:hAnsi="宋体" w:cs="宋体"/>
                <w:sz w:val="24"/>
              </w:rPr>
            </w:r>
            <w:r/>
          </w:p>
          <w:p>
            <w:pPr>
              <w:pStyle w:val="859"/>
              <w:spacing w:line="320" w:lineRule="exact"/>
              <w:rPr>
                <w:rFonts w:hint="eastAsia" w:ascii="宋体" w:hAnsi="宋体" w:cs="宋体"/>
                <w:sz w:val="24"/>
              </w:rPr>
            </w:pPr>
            <w:r>
              <w:rPr>
                <w:rFonts w:hint="eastAsia" w:ascii="宋体" w:hAnsi="宋体" w:cs="宋体"/>
                <w:sz w:val="24"/>
              </w:rPr>
              <w:t xml:space="preserve">拟投入本项目的人员中，在乌兹别克斯坦驻场工作的专职人员，得3分；持有乌兹别克斯坦高等教育、科学与创新部所属知识与能力评估机构等官方语言测评机构出具的乌兹别克语水平证书，成绩等级达到B1级（含）以上的，再加3分。本项最高得6分。</w:t>
            </w:r>
            <w:r/>
          </w:p>
          <w:p>
            <w:pPr>
              <w:pStyle w:val="872"/>
              <w:rPr>
                <w:color w:val="000000"/>
              </w:rPr>
            </w:pPr>
            <w:r>
              <w:rPr>
                <w:rFonts w:hint="eastAsia" w:ascii="宋体" w:hAnsi="宋体" w:cs="宋体"/>
                <w:color w:val="000000"/>
              </w:rPr>
              <w:t xml:space="preserve">（</w:t>
            </w:r>
            <w:r>
              <w:rPr>
                <w:rFonts w:ascii="宋体" w:hAnsi="宋体" w:cs="宋体"/>
                <w:color w:val="000000"/>
              </w:rPr>
              <w:t xml:space="preserve">2</w:t>
            </w:r>
            <w:r>
              <w:rPr>
                <w:rFonts w:hint="eastAsia" w:ascii="宋体" w:hAnsi="宋体" w:cs="宋体"/>
                <w:color w:val="000000"/>
              </w:rPr>
              <w:t xml:space="preserve">）</w:t>
            </w:r>
            <w:r>
              <w:rPr>
                <w:rFonts w:ascii="宋体" w:hAnsi="宋体" w:cs="宋体"/>
                <w:color w:val="000000"/>
              </w:rPr>
              <w:t xml:space="preserve">专业资质：拟投入本项目的团队成员中，持有出版专业</w:t>
            </w:r>
            <w:r>
              <w:rPr>
                <w:rFonts w:hint="eastAsia" w:ascii="宋体" w:hAnsi="宋体" w:cs="宋体"/>
                <w:color w:val="000000"/>
              </w:rPr>
              <w:t xml:space="preserve">相关的</w:t>
            </w:r>
            <w:r>
              <w:rPr>
                <w:rFonts w:ascii="宋体" w:hAnsi="宋体" w:cs="宋体"/>
                <w:color w:val="000000"/>
              </w:rPr>
              <w:t xml:space="preserve">中级</w:t>
            </w:r>
            <w:r>
              <w:rPr>
                <w:rFonts w:hint="eastAsia" w:ascii="宋体" w:hAnsi="宋体" w:cs="宋体"/>
                <w:color w:val="000000"/>
              </w:rPr>
              <w:t xml:space="preserve">（含）</w:t>
            </w:r>
            <w:r>
              <w:rPr>
                <w:rFonts w:ascii="宋体" w:hAnsi="宋体" w:cs="宋体"/>
                <w:color w:val="000000"/>
              </w:rPr>
              <w:t xml:space="preserve">以上职业资格证书的，得 </w:t>
            </w:r>
            <w:r>
              <w:rPr>
                <w:rFonts w:hint="eastAsia" w:ascii="宋体" w:hAnsi="宋体" w:cs="宋体"/>
                <w:color w:val="000000"/>
              </w:rPr>
              <w:t xml:space="preserve">3</w:t>
            </w:r>
            <w:r>
              <w:rPr>
                <w:rFonts w:ascii="宋体" w:hAnsi="宋体" w:cs="宋体"/>
                <w:color w:val="000000"/>
              </w:rPr>
              <w:t xml:space="preserve"> 分</w:t>
            </w:r>
            <w:r>
              <w:rPr>
                <w:rFonts w:hint="eastAsia" w:ascii="宋体" w:hAnsi="宋体" w:cs="宋体"/>
                <w:color w:val="000000"/>
              </w:rPr>
              <w:t xml:space="preserve">，本项最高得3分</w:t>
            </w:r>
            <w:r>
              <w:rPr>
                <w:rFonts w:ascii="宋体" w:hAnsi="宋体" w:cs="宋体"/>
                <w:color w:val="000000"/>
              </w:rPr>
              <w:t xml:space="preserve">。</w:t>
            </w:r>
            <w:r>
              <w:rPr>
                <w:color w:val="000000"/>
              </w:rPr>
            </w:r>
            <w:r/>
          </w:p>
          <w:p>
            <w:pPr>
              <w:pStyle w:val="859"/>
              <w:spacing w:line="320" w:lineRule="exact"/>
              <w:rPr>
                <w:rFonts w:hint="eastAsia" w:ascii="宋体" w:hAnsi="宋体"/>
                <w:b/>
                <w:sz w:val="24"/>
              </w:rPr>
            </w:pPr>
            <w:r>
              <w:rPr>
                <w:rFonts w:hint="eastAsia" w:ascii="宋体" w:hAnsi="宋体" w:cs="宋体"/>
                <w:b/>
                <w:sz w:val="24"/>
              </w:rPr>
              <w:t xml:space="preserve">注：上述人员须随投标文件提交身份证明、语言能力证书复印件，以及在有效期内的劳动合同复印件，劳动合同上需体现在乌兹别克斯坦驻场，并加盖投标人公章；未提供或无法核验的，不予计分。</w:t>
            </w:r>
            <w:r>
              <w:rPr>
                <w:rFonts w:hint="eastAsia" w:ascii="宋体" w:hAnsi="宋体"/>
                <w:b/>
                <w:sz w:val="24"/>
              </w:rPr>
            </w:r>
            <w:r/>
          </w:p>
        </w:tc>
      </w:tr>
      <w:tr>
        <w:trPr/>
        <w:tc>
          <w:tcPr>
            <w:tcW w:w="436" w:type="pct"/>
            <w:vAlign w:val="center"/>
            <w:textDirection w:val="lrTb"/>
            <w:noWrap w:val="false"/>
          </w:tcPr>
          <w:p>
            <w:pPr>
              <w:pStyle w:val="859"/>
              <w:ind w:firstLine="28"/>
              <w:jc w:val="center"/>
              <w:rPr>
                <w:rFonts w:ascii="宋体" w:hAnsi="宋体"/>
                <w:sz w:val="24"/>
              </w:rPr>
            </w:pPr>
            <w:r>
              <w:rPr>
                <w:rFonts w:ascii="宋体" w:hAnsi="宋体"/>
                <w:sz w:val="24"/>
              </w:rPr>
              <w:t xml:space="preserve">3.</w:t>
            </w:r>
            <w:r>
              <w:rPr>
                <w:rFonts w:hint="eastAsia" w:ascii="宋体" w:hAnsi="宋体"/>
                <w:sz w:val="24"/>
              </w:rPr>
              <w:t xml:space="preserve">3</w:t>
            </w:r>
            <w:r>
              <w:rPr>
                <w:rFonts w:ascii="宋体" w:hAnsi="宋体"/>
                <w:sz w:val="24"/>
              </w:rPr>
            </w:r>
            <w:r/>
          </w:p>
        </w:tc>
        <w:tc>
          <w:tcPr>
            <w:tcW w:w="770" w:type="pct"/>
            <w:vAlign w:val="center"/>
            <w:textDirection w:val="lrTb"/>
            <w:noWrap w:val="false"/>
          </w:tcPr>
          <w:p>
            <w:pPr>
              <w:pStyle w:val="859"/>
              <w:ind w:firstLine="28"/>
              <w:jc w:val="center"/>
              <w:rPr>
                <w:rFonts w:ascii="宋体" w:hAnsi="宋体"/>
                <w:sz w:val="24"/>
              </w:rPr>
            </w:pPr>
            <w:r>
              <w:rPr>
                <w:rFonts w:hint="eastAsia" w:ascii="宋体" w:hAnsi="宋体" w:cs="宋体"/>
                <w:sz w:val="24"/>
              </w:rPr>
              <w:t xml:space="preserve">认证证书</w:t>
            </w:r>
            <w:r>
              <w:rPr>
                <w:rFonts w:ascii="宋体" w:hAnsi="宋体"/>
                <w:sz w:val="24"/>
              </w:rPr>
            </w:r>
            <w:r/>
          </w:p>
        </w:tc>
        <w:tc>
          <w:tcPr>
            <w:tcW w:w="480" w:type="pct"/>
            <w:vAlign w:val="center"/>
            <w:textDirection w:val="lrTb"/>
            <w:noWrap w:val="false"/>
          </w:tcPr>
          <w:p>
            <w:pPr>
              <w:pStyle w:val="859"/>
              <w:ind w:firstLine="28"/>
              <w:jc w:val="center"/>
              <w:rPr>
                <w:rFonts w:hint="eastAsia" w:ascii="宋体" w:hAnsi="宋体"/>
                <w:sz w:val="24"/>
              </w:rPr>
            </w:pPr>
            <w:r>
              <w:rPr>
                <w:rFonts w:hint="eastAsia" w:ascii="宋体" w:hAnsi="宋体"/>
                <w:sz w:val="24"/>
              </w:rPr>
              <w:t xml:space="preserve">6</w:t>
            </w:r>
            <w:r/>
          </w:p>
        </w:tc>
        <w:tc>
          <w:tcPr>
            <w:tcW w:w="3312" w:type="pct"/>
            <w:vAlign w:val="top"/>
            <w:textDirection w:val="lrTb"/>
            <w:noWrap w:val="false"/>
          </w:tcPr>
          <w:p>
            <w:pPr>
              <w:pStyle w:val="859"/>
              <w:spacing w:line="360" w:lineRule="exact"/>
              <w:rPr>
                <w:rFonts w:ascii="宋体" w:hAnsi="宋体" w:cs="宋体"/>
                <w:sz w:val="24"/>
              </w:rPr>
            </w:pPr>
            <w:r>
              <w:rPr>
                <w:rFonts w:hint="eastAsia" w:ascii="宋体" w:hAnsi="宋体" w:cs="宋体"/>
                <w:sz w:val="24"/>
              </w:rPr>
              <w:t xml:space="preserve">供应商具有ISO9001质量管理体系、ISO14001环境管理体系、ISO45001职业健康安全管理体系有效证书，每提供1项有效证书得2分，满分6分。</w:t>
            </w:r>
            <w:r>
              <w:rPr>
                <w:rFonts w:ascii="宋体" w:hAnsi="宋体" w:cs="宋体"/>
                <w:sz w:val="24"/>
              </w:rPr>
            </w:r>
            <w:r/>
          </w:p>
          <w:p>
            <w:pPr>
              <w:pStyle w:val="859"/>
              <w:spacing w:line="360" w:lineRule="exact"/>
              <w:rPr>
                <w:rFonts w:hint="eastAsia" w:ascii="宋体" w:hAnsi="宋体"/>
                <w:b/>
                <w:sz w:val="24"/>
              </w:rPr>
            </w:pPr>
            <w:r>
              <w:rPr>
                <w:rFonts w:hint="eastAsia" w:ascii="宋体" w:hAnsi="宋体" w:cs="宋体"/>
                <w:b/>
                <w:sz w:val="24"/>
              </w:rPr>
              <w:t xml:space="preserve">注：提供有效证书复印件及证书在“全国认证认可信息公共服务平台”网站查询到的有效认证截图并加盖投标人公章，否则不得分。</w:t>
            </w:r>
            <w:r>
              <w:rPr>
                <w:rFonts w:hint="eastAsia" w:ascii="宋体" w:hAnsi="宋体"/>
                <w:b/>
                <w:sz w:val="24"/>
              </w:rPr>
            </w:r>
            <w:r/>
          </w:p>
        </w:tc>
      </w:tr>
      <w:tr>
        <w:trPr>
          <w:trHeight w:val="1888"/>
        </w:trPr>
        <w:tc>
          <w:tcPr>
            <w:tcW w:w="436" w:type="pct"/>
            <w:vAlign w:val="center"/>
            <w:textDirection w:val="lrTb"/>
            <w:noWrap w:val="false"/>
          </w:tcPr>
          <w:p>
            <w:pPr>
              <w:pStyle w:val="859"/>
              <w:ind w:firstLine="28"/>
              <w:jc w:val="center"/>
              <w:rPr>
                <w:rFonts w:ascii="宋体" w:hAnsi="宋体" w:cs="宋体"/>
                <w:sz w:val="24"/>
              </w:rPr>
            </w:pPr>
            <w:r>
              <w:rPr>
                <w:rFonts w:hint="eastAsia" w:ascii="宋体" w:hAnsi="宋体" w:cs="宋体"/>
                <w:sz w:val="24"/>
              </w:rPr>
              <w:t xml:space="preserve">3.4</w:t>
            </w:r>
            <w:r>
              <w:rPr>
                <w:rFonts w:ascii="宋体" w:hAnsi="宋体" w:cs="宋体"/>
                <w:sz w:val="24"/>
              </w:rPr>
            </w:r>
            <w:r/>
          </w:p>
        </w:tc>
        <w:tc>
          <w:tcPr>
            <w:tcW w:w="770" w:type="pct"/>
            <w:vAlign w:val="center"/>
            <w:textDirection w:val="lrTb"/>
            <w:noWrap w:val="false"/>
          </w:tcPr>
          <w:p>
            <w:pPr>
              <w:pStyle w:val="859"/>
              <w:ind w:firstLine="28"/>
              <w:jc w:val="center"/>
              <w:rPr>
                <w:rFonts w:hint="eastAsia" w:ascii="宋体" w:hAnsi="宋体" w:cs="宋体"/>
                <w:sz w:val="24"/>
              </w:rPr>
            </w:pPr>
            <w:r>
              <w:rPr>
                <w:rFonts w:hint="eastAsia" w:ascii="宋体" w:hAnsi="宋体" w:cs="宋体"/>
                <w:sz w:val="24"/>
              </w:rPr>
              <w:t xml:space="preserve">属地办公办学场地</w:t>
            </w:r>
            <w:r/>
          </w:p>
        </w:tc>
        <w:tc>
          <w:tcPr>
            <w:tcW w:w="480" w:type="pct"/>
            <w:vAlign w:val="center"/>
            <w:textDirection w:val="lrTb"/>
            <w:noWrap w:val="false"/>
          </w:tcPr>
          <w:p>
            <w:pPr>
              <w:pStyle w:val="859"/>
              <w:ind w:firstLine="28"/>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3312" w:type="pct"/>
            <w:vAlign w:val="top"/>
            <w:textDirection w:val="lrTb"/>
            <w:noWrap w:val="false"/>
          </w:tcPr>
          <w:p>
            <w:pPr>
              <w:pStyle w:val="859"/>
              <w:spacing w:line="360" w:lineRule="exact"/>
              <w:rPr>
                <w:rFonts w:hint="eastAsia" w:ascii="宋体" w:hAnsi="宋体" w:cs="宋体"/>
                <w:sz w:val="24"/>
              </w:rPr>
            </w:pPr>
            <w:r>
              <w:rPr>
                <w:rFonts w:hint="eastAsia" w:ascii="宋体" w:hAnsi="宋体" w:cs="宋体"/>
                <w:sz w:val="24"/>
              </w:rPr>
              <w:t xml:space="preserve">供应商提供乌兹别克斯坦境内可服务于本项目的固定办公及办学场地证明文件：</w:t>
            </w:r>
            <w:r/>
          </w:p>
          <w:p>
            <w:pPr>
              <w:pStyle w:val="859"/>
              <w:spacing w:line="360" w:lineRule="exact"/>
              <w:rPr>
                <w:rFonts w:hint="eastAsia" w:ascii="宋体" w:hAnsi="宋体" w:cs="宋体"/>
                <w:sz w:val="24"/>
              </w:rPr>
            </w:pPr>
            <w:r>
              <w:rPr>
                <w:rFonts w:hint="eastAsia" w:ascii="宋体" w:hAnsi="宋体" w:cs="宋体"/>
                <w:sz w:val="24"/>
              </w:rPr>
              <w:t xml:space="preserve">（1）投标人承诺中标后可签订租期5年及以上、覆盖本项目实施周期的正式租赁协议，且场地用途明确包含职教培训、教学办公相关内容的，得5分。</w:t>
            </w:r>
            <w:r/>
          </w:p>
          <w:p>
            <w:pPr>
              <w:pStyle w:val="859"/>
              <w:spacing w:line="360" w:lineRule="exact"/>
              <w:rPr>
                <w:rFonts w:hint="eastAsia" w:ascii="宋体" w:hAnsi="宋体" w:cs="宋体"/>
                <w:sz w:val="24"/>
              </w:rPr>
            </w:pPr>
            <w:r>
              <w:rPr>
                <w:rFonts w:hint="eastAsia" w:ascii="宋体" w:hAnsi="宋体" w:cs="宋体"/>
                <w:sz w:val="24"/>
              </w:rPr>
              <w:t xml:space="preserve">注：承诺函须加盖投标人公章，否则不得分；中标后须按承诺提交符合要求的租赁协议，协议须清晰体现场地所在国家、场地用途、有效期限、租赁双方主体等关键信息，否则采购人有权按相关约定处理。</w:t>
            </w:r>
            <w:r/>
          </w:p>
        </w:tc>
      </w:tr>
      <w:tr>
        <w:trPr>
          <w:trHeight w:val="996"/>
        </w:trPr>
        <w:tc>
          <w:tcPr>
            <w:gridSpan w:val="2"/>
            <w:tcW w:w="1207" w:type="pct"/>
            <w:vAlign w:val="center"/>
            <w:textDirection w:val="lrTb"/>
            <w:noWrap w:val="false"/>
          </w:tcPr>
          <w:p>
            <w:pPr>
              <w:pStyle w:val="859"/>
              <w:ind w:firstLine="28"/>
              <w:jc w:val="center"/>
              <w:rPr>
                <w:rFonts w:ascii="宋体" w:hAnsi="宋体"/>
                <w:sz w:val="24"/>
              </w:rPr>
            </w:pPr>
            <w:r>
              <w:rPr>
                <w:rFonts w:ascii="宋体" w:hAnsi="宋体"/>
                <w:sz w:val="24"/>
              </w:rPr>
              <w:t xml:space="preserve">合计</w:t>
            </w:r>
            <w:r/>
          </w:p>
        </w:tc>
        <w:tc>
          <w:tcPr>
            <w:tcW w:w="480" w:type="pct"/>
            <w:vAlign w:val="center"/>
            <w:textDirection w:val="lrTb"/>
            <w:noWrap w:val="false"/>
          </w:tcPr>
          <w:p>
            <w:pPr>
              <w:pStyle w:val="859"/>
              <w:ind w:firstLine="28"/>
              <w:jc w:val="center"/>
              <w:rPr>
                <w:rFonts w:ascii="宋体" w:hAnsi="宋体"/>
                <w:sz w:val="24"/>
              </w:rPr>
            </w:pPr>
            <w:r>
              <w:rPr>
                <w:rFonts w:ascii="宋体" w:hAnsi="宋体"/>
                <w:sz w:val="24"/>
              </w:rPr>
              <w:t xml:space="preserve">100</w:t>
            </w:r>
            <w:r/>
          </w:p>
        </w:tc>
        <w:tc>
          <w:tcPr>
            <w:tcW w:w="3312" w:type="pct"/>
            <w:vAlign w:val="center"/>
            <w:textDirection w:val="lrTb"/>
            <w:noWrap w:val="false"/>
          </w:tcPr>
          <w:p>
            <w:pPr>
              <w:pStyle w:val="859"/>
              <w:rPr>
                <w:rFonts w:ascii="宋体" w:hAnsi="宋体"/>
                <w:sz w:val="24"/>
              </w:rPr>
            </w:pPr>
            <w:r>
              <w:rPr>
                <w:rFonts w:ascii="宋体" w:hAnsi="宋体"/>
                <w:sz w:val="24"/>
              </w:rPr>
            </w:r>
            <w:r/>
          </w:p>
        </w:tc>
      </w:tr>
    </w:tbl>
    <w:p>
      <w:pPr>
        <w:pStyle w:val="859"/>
        <w:ind w:left="1080"/>
        <w:spacing w:line="360" w:lineRule="auto"/>
        <w:tabs>
          <w:tab w:val="left" w:pos="360" w:leader="none"/>
          <w:tab w:val="left" w:pos="1080" w:leader="none"/>
        </w:tabs>
        <w:rPr>
          <w:rFonts w:ascii="宋体" w:hAnsi="宋体"/>
          <w:sz w:val="24"/>
        </w:rPr>
      </w:pPr>
      <w:r>
        <w:rPr>
          <w:rFonts w:ascii="宋体" w:hAnsi="宋体"/>
          <w:sz w:val="24"/>
        </w:rPr>
      </w:r>
      <w:r/>
    </w:p>
    <w:p>
      <w:pPr>
        <w:pStyle w:val="859"/>
        <w:jc w:val="left"/>
        <w:widowControl/>
        <w:rPr>
          <w:rFonts w:ascii="宋体" w:hAnsi="宋体"/>
          <w:b/>
          <w:sz w:val="36"/>
          <w:szCs w:val="36"/>
        </w:rPr>
      </w:pPr>
      <w:r>
        <w:rPr>
          <w:rFonts w:ascii="宋体" w:hAnsi="宋体"/>
          <w:b/>
          <w:sz w:val="36"/>
          <w:szCs w:val="36"/>
        </w:rPr>
      </w:r>
      <w:r/>
    </w:p>
    <w:p>
      <w:pPr>
        <w:pStyle w:val="859"/>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955"/>
        <w:contextualSpacing/>
        <w:ind w:left="480" w:firstLine="0"/>
        <w:spacing w:line="360" w:lineRule="auto"/>
        <w:tabs>
          <w:tab w:val="left" w:pos="567" w:leader="none"/>
        </w:tabs>
        <w:rPr>
          <w:rFonts w:hint="eastAsia" w:ascii="宋体" w:hAnsi="宋体"/>
          <w:b/>
          <w:sz w:val="24"/>
          <w:szCs w:val="24"/>
        </w:rPr>
      </w:pPr>
      <w:r>
        <w:rPr>
          <w:rFonts w:hint="eastAsia" w:ascii="宋体" w:hAnsi="宋体"/>
          <w:b/>
          <w:sz w:val="24"/>
          <w:szCs w:val="24"/>
        </w:rPr>
        <w:t xml:space="preserve">一、采购标的</w:t>
      </w:r>
      <w:r/>
    </w:p>
    <w:p>
      <w:pPr>
        <w:pStyle w:val="859"/>
        <w:contextualSpacing/>
        <w:ind w:left="-2" w:firstLine="480"/>
        <w:spacing w:line="360" w:lineRule="auto"/>
        <w:tabs>
          <w:tab w:val="left" w:pos="567" w:leader="none"/>
        </w:tabs>
        <w:rPr>
          <w:rFonts w:ascii="宋体" w:hAnsi="宋体"/>
          <w:bCs/>
          <w:sz w:val="24"/>
        </w:rPr>
      </w:pPr>
      <w:r>
        <w:rPr>
          <w:rFonts w:hint="eastAsia" w:ascii="宋体" w:hAnsi="宋体"/>
          <w:bCs/>
          <w:sz w:val="24"/>
        </w:rPr>
        <w:t xml:space="preserve">本项目涵盖前期合作调研、海外分院筹建、国际化标准及教学资源建设、技能人才培养中心建设与培训运营、项目质量评估及品牌宣传等，重点提供境外属地协调、本土化适配、认证认定、资源开发及项目实施保障服务。</w:t>
      </w:r>
      <w:r>
        <w:rPr>
          <w:rFonts w:ascii="宋体" w:hAnsi="宋体"/>
          <w:bCs/>
          <w:sz w:val="24"/>
        </w:rPr>
      </w:r>
      <w:r/>
    </w:p>
    <w:p>
      <w:pPr>
        <w:pStyle w:val="859"/>
        <w:contextualSpacing/>
        <w:ind w:left="-2" w:firstLine="482"/>
        <w:spacing w:line="360" w:lineRule="auto"/>
        <w:tabs>
          <w:tab w:val="left" w:pos="567" w:leader="none"/>
        </w:tabs>
        <w:rPr>
          <w:rFonts w:hint="eastAsia" w:ascii="宋体" w:hAnsi="宋体"/>
          <w:b/>
          <w:bCs/>
          <w:sz w:val="24"/>
        </w:rPr>
      </w:pPr>
      <w:r>
        <w:rPr>
          <w:rFonts w:hint="eastAsia" w:ascii="宋体" w:hAnsi="宋体"/>
          <w:b/>
          <w:bCs/>
          <w:sz w:val="24"/>
        </w:rPr>
        <w:t xml:space="preserve">二、采购清单</w:t>
      </w:r>
      <w:r/>
    </w:p>
    <w:tbl>
      <w:tblPr>
        <w:tblW w:w="8899"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3544"/>
        <w:gridCol w:w="992"/>
        <w:gridCol w:w="901"/>
        <w:gridCol w:w="1225"/>
        <w:gridCol w:w="1418"/>
      </w:tblGrid>
      <w:tr>
        <w:trPr>
          <w:trHeight w:val="170"/>
        </w:trPr>
        <w:tc>
          <w:tcPr>
            <w:tcW w:w="819" w:type="dxa"/>
            <w:vAlign w:val="center"/>
            <w:textDirection w:val="lrTb"/>
            <w:noWrap w:val="false"/>
          </w:tcPr>
          <w:p>
            <w:pPr>
              <w:pStyle w:val="859"/>
              <w:contextualSpacing/>
              <w:jc w:val="center"/>
              <w:spacing w:line="360" w:lineRule="exact"/>
              <w:tabs>
                <w:tab w:val="left" w:pos="567" w:leader="none"/>
              </w:tabs>
              <w:rPr>
                <w:rFonts w:ascii="宋体" w:hAnsi="宋体"/>
                <w:b/>
                <w:sz w:val="24"/>
              </w:rPr>
            </w:pPr>
            <w:r>
              <w:rPr>
                <w:rFonts w:hint="eastAsia" w:ascii="宋体" w:hAnsi="宋体"/>
                <w:b/>
                <w:sz w:val="24"/>
              </w:rPr>
              <w:t xml:space="preserve">序号</w:t>
            </w:r>
            <w:r>
              <w:rPr>
                <w:rFonts w:ascii="宋体" w:hAnsi="宋体"/>
                <w:b/>
                <w:sz w:val="24"/>
              </w:rPr>
            </w:r>
            <w:r/>
          </w:p>
        </w:tc>
        <w:tc>
          <w:tcPr>
            <w:tcW w:w="3544" w:type="dxa"/>
            <w:vAlign w:val="center"/>
            <w:textDirection w:val="lrTb"/>
            <w:noWrap w:val="false"/>
          </w:tcPr>
          <w:p>
            <w:pPr>
              <w:pStyle w:val="859"/>
              <w:contextualSpacing/>
              <w:jc w:val="center"/>
              <w:spacing w:line="360" w:lineRule="exact"/>
              <w:tabs>
                <w:tab w:val="left" w:pos="567" w:leader="none"/>
              </w:tabs>
              <w:rPr>
                <w:rFonts w:ascii="宋体" w:hAnsi="宋体"/>
                <w:b/>
                <w:sz w:val="24"/>
              </w:rPr>
            </w:pPr>
            <w:r>
              <w:rPr>
                <w:rFonts w:hint="eastAsia" w:ascii="宋体" w:hAnsi="宋体"/>
                <w:b/>
                <w:sz w:val="24"/>
              </w:rPr>
              <w:t xml:space="preserve">服务名称</w:t>
            </w:r>
            <w:r>
              <w:rPr>
                <w:rFonts w:ascii="宋体" w:hAnsi="宋体"/>
                <w:b/>
                <w:sz w:val="24"/>
              </w:rPr>
            </w:r>
            <w:r/>
          </w:p>
        </w:tc>
        <w:tc>
          <w:tcPr>
            <w:tcW w:w="992"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数量</w:t>
            </w:r>
            <w:r/>
          </w:p>
        </w:tc>
        <w:tc>
          <w:tcPr>
            <w:tcW w:w="901"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单位</w:t>
            </w:r>
            <w:r/>
          </w:p>
        </w:tc>
        <w:tc>
          <w:tcPr>
            <w:tcW w:w="1225" w:type="dxa"/>
            <w:vAlign w:val="top"/>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单价最高限价（元）</w:t>
            </w:r>
            <w:r/>
          </w:p>
        </w:tc>
        <w:tc>
          <w:tcPr>
            <w:tcW w:w="1418" w:type="dxa"/>
            <w:vAlign w:val="top"/>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总价最高限价（元）</w:t>
            </w:r>
            <w:r/>
          </w:p>
        </w:tc>
      </w:tr>
      <w:tr>
        <w:trPr>
          <w:trHeight w:val="170"/>
        </w:trPr>
        <w:tc>
          <w:tcPr>
            <w:gridSpan w:val="2"/>
            <w:tcBorders>
              <w:right w:val="single" w:color="000000" w:sz="4" w:space="0"/>
            </w:tcBorders>
            <w:tcW w:w="4363"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一、合作调研服务</w:t>
            </w:r>
            <w:r/>
          </w:p>
        </w:tc>
        <w:tc>
          <w:tcPr>
            <w:tcBorders>
              <w:left w:val="single" w:color="000000" w:sz="4" w:space="0"/>
              <w:right w:val="single" w:color="000000" w:sz="4" w:space="0"/>
            </w:tcBorders>
            <w:tcW w:w="992"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c>
          <w:tcPr>
            <w:tcBorders>
              <w:left w:val="single" w:color="000000" w:sz="4" w:space="0"/>
            </w:tcBorders>
            <w:tcW w:w="901"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c>
          <w:tcPr>
            <w:tcW w:w="1225"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418"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r>
      <w:tr>
        <w:trPr>
          <w:trHeight w:val="170"/>
        </w:trPr>
        <w:tc>
          <w:tcPr>
            <w:tcW w:w="819"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Borders>
              <w:right w:val="single" w:color="000000" w:sz="4" w:space="0"/>
            </w:tcBorders>
            <w:tcW w:w="3544"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海外分院建设境外前期筹备调研服务</w:t>
            </w:r>
            <w:r/>
          </w:p>
        </w:tc>
        <w:tc>
          <w:tcPr>
            <w:tcBorders>
              <w:left w:val="single" w:color="000000" w:sz="4" w:space="0"/>
              <w:right w:val="single" w:color="000000" w:sz="4" w:space="0"/>
            </w:tcBorders>
            <w:tcW w:w="992" w:type="dxa"/>
            <w:vAlign w:val="center"/>
            <w:textDirection w:val="lrTb"/>
            <w:noWrap w:val="false"/>
          </w:tcPr>
          <w:p>
            <w:pPr>
              <w:pStyle w:val="859"/>
              <w:contextualSpacing/>
              <w:jc w:val="center"/>
              <w:spacing w:line="360" w:lineRule="exact"/>
              <w:tabs>
                <w:tab w:val="left" w:pos="567" w:leader="none"/>
              </w:tabs>
              <w:rPr>
                <w:rFonts w:ascii="宋体" w:hAnsi="宋体"/>
                <w:sz w:val="24"/>
              </w:rPr>
            </w:pPr>
            <w:r>
              <w:rPr>
                <w:rFonts w:hint="eastAsia" w:ascii="宋体" w:hAnsi="宋体"/>
                <w:sz w:val="24"/>
              </w:rPr>
              <w:t xml:space="preserve">1</w:t>
            </w:r>
            <w:r>
              <w:rPr>
                <w:rFonts w:ascii="宋体" w:hAnsi="宋体"/>
                <w:sz w:val="24"/>
              </w:rPr>
            </w:r>
            <w:r/>
          </w:p>
        </w:tc>
        <w:tc>
          <w:tcPr>
            <w:tcBorders>
              <w:left w:val="single" w:color="000000" w:sz="4" w:space="0"/>
            </w:tcBorders>
            <w:tcW w:w="901" w:type="dxa"/>
            <w:vAlign w:val="center"/>
            <w:textDirection w:val="lrTb"/>
            <w:noWrap w:val="false"/>
          </w:tcPr>
          <w:p>
            <w:pPr>
              <w:pStyle w:val="859"/>
              <w:contextualSpacing/>
              <w:jc w:val="center"/>
              <w:spacing w:line="360" w:lineRule="exact"/>
              <w:tabs>
                <w:tab w:val="left" w:pos="567" w:leader="none"/>
              </w:tabs>
              <w:rPr>
                <w:rFonts w:ascii="宋体" w:hAnsi="宋体"/>
                <w:sz w:val="24"/>
              </w:rPr>
            </w:pPr>
            <w:r>
              <w:rPr>
                <w:rFonts w:hint="eastAsia" w:ascii="宋体" w:hAnsi="宋体"/>
                <w:sz w:val="24"/>
              </w:rPr>
              <w:t xml:space="preserve">项</w:t>
            </w:r>
            <w:r>
              <w:rPr>
                <w:rFonts w:ascii="宋体" w:hAnsi="宋体"/>
                <w:sz w:val="24"/>
              </w:rPr>
            </w:r>
            <w:r/>
          </w:p>
        </w:tc>
        <w:tc>
          <w:tcPr>
            <w:tcW w:w="1225" w:type="dxa"/>
            <w:vAlign w:val="center"/>
            <w:textDirection w:val="lrTb"/>
            <w:noWrap w:val="false"/>
          </w:tcPr>
          <w:p>
            <w:pPr>
              <w:pStyle w:val="859"/>
              <w:contextualSpacing/>
              <w:jc w:val="center"/>
              <w:spacing w:line="360" w:lineRule="exact"/>
              <w:tabs>
                <w:tab w:val="left" w:pos="567" w:leader="none"/>
              </w:tabs>
              <w:rPr>
                <w:rFonts w:ascii="宋体" w:hAnsi="宋体"/>
                <w:sz w:val="24"/>
              </w:rPr>
            </w:pPr>
            <w:r>
              <w:rPr>
                <w:rFonts w:hint="eastAsia" w:ascii="宋体" w:hAnsi="宋体"/>
                <w:sz w:val="24"/>
              </w:rPr>
              <w:t xml:space="preserve">50000</w:t>
            </w:r>
            <w:r>
              <w:rPr>
                <w:rFonts w:ascii="宋体" w:hAnsi="宋体"/>
                <w:sz w:val="24"/>
              </w:rPr>
            </w:r>
            <w:r/>
          </w:p>
        </w:tc>
        <w:tc>
          <w:tcPr>
            <w:tcW w:w="141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5</w:t>
            </w:r>
            <w:r>
              <w:rPr>
                <w:rFonts w:ascii="宋体" w:hAnsi="宋体"/>
                <w:sz w:val="24"/>
              </w:rPr>
              <w:t xml:space="preserve">0000</w:t>
            </w:r>
            <w:r>
              <w:rPr>
                <w:rFonts w:hint="eastAsia" w:ascii="宋体" w:hAnsi="宋体"/>
                <w:sz w:val="24"/>
              </w:rPr>
            </w:r>
            <w:r/>
          </w:p>
        </w:tc>
      </w:tr>
      <w:tr>
        <w:trPr>
          <w:trHeight w:val="170"/>
        </w:trPr>
        <w:tc>
          <w:tcPr>
            <w:tcW w:w="819"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3544"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乌兹别克斯坦师资来华交流对接统筹服务</w:t>
            </w:r>
            <w:r/>
          </w:p>
        </w:tc>
        <w:tc>
          <w:tcPr>
            <w:tcBorders>
              <w:right w:val="single" w:color="000000" w:sz="4" w:space="0"/>
            </w:tcBorders>
            <w:tcW w:w="99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Borders>
              <w:left w:val="single" w:color="000000" w:sz="4" w:space="0"/>
            </w:tcBorders>
            <w:tcW w:w="90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项</w:t>
            </w:r>
            <w:r/>
          </w:p>
        </w:tc>
        <w:tc>
          <w:tcPr>
            <w:tcW w:w="122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100000</w:t>
            </w:r>
            <w:r/>
          </w:p>
        </w:tc>
        <w:tc>
          <w:tcPr>
            <w:tcW w:w="141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rPr>
                <w:rFonts w:ascii="宋体" w:hAnsi="宋体"/>
                <w:sz w:val="24"/>
              </w:rPr>
              <w:t xml:space="preserve">00000</w:t>
            </w:r>
            <w:r>
              <w:rPr>
                <w:rFonts w:hint="eastAsia" w:ascii="宋体" w:hAnsi="宋体"/>
                <w:sz w:val="24"/>
              </w:rPr>
            </w:r>
            <w:r/>
          </w:p>
        </w:tc>
      </w:tr>
      <w:tr>
        <w:trPr>
          <w:trHeight w:val="170"/>
        </w:trPr>
        <w:tc>
          <w:tcPr>
            <w:gridSpan w:val="2"/>
            <w:tcBorders>
              <w:right w:val="single" w:color="000000" w:sz="4" w:space="0"/>
            </w:tcBorders>
            <w:tcW w:w="4363"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二、海外分院筹建服务</w:t>
            </w:r>
            <w:r/>
          </w:p>
        </w:tc>
        <w:tc>
          <w:tcPr>
            <w:tcBorders>
              <w:left w:val="single" w:color="000000" w:sz="4" w:space="0"/>
              <w:right w:val="single" w:color="000000" w:sz="4" w:space="0"/>
            </w:tcBorders>
            <w:tcW w:w="992"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c>
          <w:tcPr>
            <w:tcBorders>
              <w:left w:val="single" w:color="000000" w:sz="4" w:space="0"/>
            </w:tcBorders>
            <w:tcW w:w="90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22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418"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819"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Borders>
              <w:right w:val="single" w:color="000000" w:sz="4" w:space="0"/>
            </w:tcBorders>
            <w:tcW w:w="3544"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bCs/>
                <w:sz w:val="24"/>
              </w:rPr>
              <w:t xml:space="preserve">三方合作机制建设咨询与缔结协议境外合规性服务</w:t>
            </w:r>
            <w:r>
              <w:rPr>
                <w:rFonts w:hint="eastAsia" w:ascii="宋体" w:hAnsi="宋体"/>
                <w:sz w:val="24"/>
              </w:rPr>
            </w:r>
            <w:r/>
          </w:p>
        </w:tc>
        <w:tc>
          <w:tcPr>
            <w:tcBorders>
              <w:left w:val="single" w:color="000000" w:sz="4" w:space="0"/>
              <w:right w:val="single" w:color="000000" w:sz="4" w:space="0"/>
            </w:tcBorders>
            <w:tcW w:w="992" w:type="dxa"/>
            <w:vAlign w:val="center"/>
            <w:textDirection w:val="lrTb"/>
            <w:noWrap w:val="false"/>
          </w:tcPr>
          <w:p>
            <w:pPr>
              <w:pStyle w:val="859"/>
              <w:jc w:val="center"/>
            </w:pPr>
            <w:r>
              <w:rPr>
                <w:rFonts w:hint="eastAsia" w:ascii="宋体" w:hAnsi="宋体"/>
                <w:sz w:val="24"/>
              </w:rPr>
              <w:t xml:space="preserve">1</w:t>
            </w:r>
            <w:r/>
          </w:p>
        </w:tc>
        <w:tc>
          <w:tcPr>
            <w:tcBorders>
              <w:left w:val="single" w:color="000000" w:sz="4" w:space="0"/>
            </w:tcBorders>
            <w:tcW w:w="901" w:type="dxa"/>
            <w:vAlign w:val="center"/>
            <w:textDirection w:val="lrTb"/>
            <w:noWrap w:val="false"/>
          </w:tcPr>
          <w:p>
            <w:pPr>
              <w:pStyle w:val="859"/>
              <w:jc w:val="center"/>
            </w:pPr>
            <w:r>
              <w:rPr>
                <w:rFonts w:hint="eastAsia" w:ascii="宋体" w:hAnsi="宋体"/>
                <w:sz w:val="24"/>
              </w:rPr>
              <w:t xml:space="preserve">项</w:t>
            </w:r>
            <w:r/>
          </w:p>
        </w:tc>
        <w:tc>
          <w:tcPr>
            <w:tcW w:w="122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5</w:t>
            </w:r>
            <w:r>
              <w:rPr>
                <w:rFonts w:ascii="宋体" w:hAnsi="宋体"/>
                <w:sz w:val="24"/>
              </w:rPr>
              <w:t xml:space="preserve">0000</w:t>
            </w:r>
            <w:r>
              <w:rPr>
                <w:rFonts w:hint="eastAsia" w:ascii="宋体" w:hAnsi="宋体"/>
                <w:sz w:val="24"/>
              </w:rPr>
            </w:r>
            <w:r/>
          </w:p>
        </w:tc>
        <w:tc>
          <w:tcPr>
            <w:tcW w:w="141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5</w:t>
            </w:r>
            <w:r>
              <w:rPr>
                <w:rFonts w:ascii="宋体" w:hAnsi="宋体"/>
                <w:sz w:val="24"/>
              </w:rPr>
              <w:t xml:space="preserve">0000</w:t>
            </w:r>
            <w:r>
              <w:rPr>
                <w:rFonts w:hint="eastAsia" w:ascii="宋体" w:hAnsi="宋体"/>
                <w:sz w:val="24"/>
              </w:rPr>
            </w:r>
            <w:r/>
          </w:p>
        </w:tc>
      </w:tr>
      <w:tr>
        <w:trPr>
          <w:trHeight w:val="170"/>
        </w:trPr>
        <w:tc>
          <w:tcPr>
            <w:tcW w:w="819"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3544"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实体办学场地设置</w:t>
            </w:r>
            <w:r/>
          </w:p>
        </w:tc>
        <w:tc>
          <w:tcPr>
            <w:tcBorders>
              <w:right w:val="single" w:color="000000" w:sz="4" w:space="0"/>
            </w:tcBorders>
            <w:tcW w:w="992" w:type="dxa"/>
            <w:vAlign w:val="center"/>
            <w:textDirection w:val="lrTb"/>
            <w:noWrap w:val="false"/>
          </w:tcPr>
          <w:p>
            <w:pPr>
              <w:pStyle w:val="859"/>
              <w:jc w:val="center"/>
            </w:pPr>
            <w:r>
              <w:rPr>
                <w:rFonts w:hint="eastAsia" w:ascii="宋体" w:hAnsi="宋体"/>
                <w:sz w:val="24"/>
              </w:rPr>
              <w:t xml:space="preserve">1</w:t>
            </w:r>
            <w:r/>
          </w:p>
        </w:tc>
        <w:tc>
          <w:tcPr>
            <w:tcBorders>
              <w:left w:val="single" w:color="000000" w:sz="4" w:space="0"/>
            </w:tcBorders>
            <w:tcW w:w="901" w:type="dxa"/>
            <w:vAlign w:val="center"/>
            <w:textDirection w:val="lrTb"/>
            <w:noWrap w:val="false"/>
          </w:tcPr>
          <w:p>
            <w:pPr>
              <w:pStyle w:val="859"/>
              <w:jc w:val="center"/>
            </w:pPr>
            <w:r>
              <w:rPr>
                <w:rFonts w:hint="eastAsia" w:ascii="宋体" w:hAnsi="宋体"/>
                <w:sz w:val="24"/>
              </w:rPr>
              <w:t xml:space="preserve">项</w:t>
            </w:r>
            <w:r/>
          </w:p>
        </w:tc>
        <w:tc>
          <w:tcPr>
            <w:tcW w:w="122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rPr>
                <w:rFonts w:ascii="宋体" w:hAnsi="宋体"/>
                <w:sz w:val="24"/>
              </w:rPr>
              <w:t xml:space="preserve">00000</w:t>
            </w:r>
            <w:r>
              <w:rPr>
                <w:rFonts w:hint="eastAsia" w:ascii="宋体" w:hAnsi="宋体"/>
                <w:sz w:val="24"/>
              </w:rPr>
            </w:r>
            <w:r/>
          </w:p>
        </w:tc>
        <w:tc>
          <w:tcPr>
            <w:tcW w:w="141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rPr>
                <w:rFonts w:ascii="宋体" w:hAnsi="宋体"/>
                <w:sz w:val="24"/>
              </w:rPr>
              <w:t xml:space="preserve">00000</w:t>
            </w:r>
            <w:r>
              <w:rPr>
                <w:rFonts w:hint="eastAsia" w:ascii="宋体" w:hAnsi="宋体"/>
                <w:sz w:val="24"/>
              </w:rPr>
            </w:r>
            <w:r/>
          </w:p>
        </w:tc>
      </w:tr>
      <w:tr>
        <w:trPr>
          <w:trHeight w:val="170"/>
        </w:trPr>
        <w:tc>
          <w:tcPr>
            <w:tcW w:w="819"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3</w:t>
            </w:r>
            <w:r/>
          </w:p>
        </w:tc>
        <w:tc>
          <w:tcPr>
            <w:tcW w:w="3544"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海外分院（培训中心）境外揭牌仪式筹备服务</w:t>
            </w:r>
            <w:r/>
          </w:p>
        </w:tc>
        <w:tc>
          <w:tcPr>
            <w:tcBorders>
              <w:right w:val="single" w:color="000000" w:sz="4" w:space="0"/>
            </w:tcBorders>
            <w:tcW w:w="992" w:type="dxa"/>
            <w:vAlign w:val="center"/>
            <w:textDirection w:val="lrTb"/>
            <w:noWrap w:val="false"/>
          </w:tcPr>
          <w:p>
            <w:pPr>
              <w:pStyle w:val="859"/>
              <w:jc w:val="center"/>
            </w:pPr>
            <w:r>
              <w:rPr>
                <w:rFonts w:hint="eastAsia" w:ascii="宋体" w:hAnsi="宋体"/>
                <w:sz w:val="24"/>
              </w:rPr>
              <w:t xml:space="preserve">1</w:t>
            </w:r>
            <w:r/>
          </w:p>
        </w:tc>
        <w:tc>
          <w:tcPr>
            <w:tcBorders>
              <w:left w:val="single" w:color="000000" w:sz="4" w:space="0"/>
            </w:tcBorders>
            <w:tcW w:w="901" w:type="dxa"/>
            <w:vAlign w:val="center"/>
            <w:textDirection w:val="lrTb"/>
            <w:noWrap w:val="false"/>
          </w:tcPr>
          <w:p>
            <w:pPr>
              <w:pStyle w:val="859"/>
              <w:jc w:val="center"/>
            </w:pPr>
            <w:r>
              <w:rPr>
                <w:rFonts w:hint="eastAsia" w:ascii="宋体" w:hAnsi="宋体"/>
                <w:sz w:val="24"/>
              </w:rPr>
              <w:t xml:space="preserve">项</w:t>
            </w:r>
            <w:r/>
          </w:p>
        </w:tc>
        <w:tc>
          <w:tcPr>
            <w:tcW w:w="122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5</w:t>
            </w:r>
            <w:r>
              <w:rPr>
                <w:rFonts w:ascii="宋体" w:hAnsi="宋体"/>
                <w:sz w:val="24"/>
              </w:rPr>
              <w:t xml:space="preserve">0000</w:t>
            </w:r>
            <w:r>
              <w:rPr>
                <w:rFonts w:hint="eastAsia" w:ascii="宋体" w:hAnsi="宋体"/>
                <w:sz w:val="24"/>
              </w:rPr>
            </w:r>
            <w:r/>
          </w:p>
        </w:tc>
        <w:tc>
          <w:tcPr>
            <w:tcW w:w="141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5</w:t>
            </w:r>
            <w:r>
              <w:rPr>
                <w:rFonts w:ascii="宋体" w:hAnsi="宋体"/>
                <w:sz w:val="24"/>
              </w:rPr>
              <w:t xml:space="preserve">0000</w:t>
            </w:r>
            <w:r>
              <w:rPr>
                <w:rFonts w:hint="eastAsia" w:ascii="宋体" w:hAnsi="宋体"/>
                <w:sz w:val="24"/>
              </w:rPr>
            </w:r>
            <w:r/>
          </w:p>
        </w:tc>
      </w:tr>
      <w:tr>
        <w:trPr>
          <w:trHeight w:val="170"/>
        </w:trPr>
        <w:tc>
          <w:tcPr>
            <w:gridSpan w:val="2"/>
            <w:tcBorders>
              <w:right w:val="single" w:color="000000" w:sz="4" w:space="0"/>
            </w:tcBorders>
            <w:tcW w:w="4363"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三、国际化标准适配及资源建设一期</w:t>
            </w:r>
            <w:r/>
          </w:p>
        </w:tc>
        <w:tc>
          <w:tcPr>
            <w:tcBorders>
              <w:left w:val="single" w:color="000000" w:sz="4" w:space="0"/>
              <w:right w:val="single" w:color="000000" w:sz="4" w:space="0"/>
            </w:tcBorders>
            <w:tcW w:w="992"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c>
          <w:tcPr>
            <w:tcBorders>
              <w:left w:val="single" w:color="000000" w:sz="4" w:space="0"/>
            </w:tcBorders>
            <w:tcW w:w="90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22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418"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819"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W w:w="3544"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国际化课程标准与专业教学标准境外适配支持服务</w:t>
            </w:r>
            <w:r/>
          </w:p>
        </w:tc>
        <w:tc>
          <w:tcPr>
            <w:tcBorders>
              <w:right w:val="single" w:color="000000" w:sz="4" w:space="0"/>
            </w:tcBorders>
            <w:tcW w:w="992" w:type="dxa"/>
            <w:vAlign w:val="center"/>
            <w:textDirection w:val="lrTb"/>
            <w:noWrap w:val="false"/>
          </w:tcPr>
          <w:p>
            <w:pPr>
              <w:pStyle w:val="859"/>
              <w:jc w:val="center"/>
            </w:pPr>
            <w:r>
              <w:rPr>
                <w:rFonts w:hint="eastAsia" w:ascii="宋体" w:hAnsi="宋体"/>
                <w:sz w:val="24"/>
              </w:rPr>
              <w:t xml:space="preserve">1</w:t>
            </w:r>
            <w:r/>
          </w:p>
        </w:tc>
        <w:tc>
          <w:tcPr>
            <w:tcBorders>
              <w:left w:val="single" w:color="000000" w:sz="4" w:space="0"/>
            </w:tcBorders>
            <w:tcW w:w="901" w:type="dxa"/>
            <w:vAlign w:val="center"/>
            <w:textDirection w:val="lrTb"/>
            <w:noWrap w:val="false"/>
          </w:tcPr>
          <w:p>
            <w:pPr>
              <w:pStyle w:val="859"/>
              <w:jc w:val="center"/>
            </w:pPr>
            <w:r>
              <w:rPr>
                <w:rFonts w:hint="eastAsia" w:ascii="宋体" w:hAnsi="宋体"/>
                <w:sz w:val="24"/>
              </w:rPr>
              <w:t xml:space="preserve">项</w:t>
            </w:r>
            <w:r/>
          </w:p>
        </w:tc>
        <w:tc>
          <w:tcPr>
            <w:tcW w:w="122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6</w:t>
            </w:r>
            <w:r>
              <w:rPr>
                <w:rFonts w:ascii="宋体" w:hAnsi="宋体"/>
                <w:sz w:val="24"/>
              </w:rPr>
              <w:t xml:space="preserve">00000</w:t>
            </w:r>
            <w:r>
              <w:rPr>
                <w:rFonts w:hint="eastAsia" w:ascii="宋体" w:hAnsi="宋体"/>
                <w:sz w:val="24"/>
              </w:rPr>
            </w:r>
            <w:r/>
          </w:p>
        </w:tc>
        <w:tc>
          <w:tcPr>
            <w:tcW w:w="141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6</w:t>
            </w:r>
            <w:r>
              <w:rPr>
                <w:rFonts w:ascii="宋体" w:hAnsi="宋体"/>
                <w:sz w:val="24"/>
              </w:rPr>
              <w:t xml:space="preserve">00000</w:t>
            </w:r>
            <w:r>
              <w:rPr>
                <w:rFonts w:hint="eastAsia" w:ascii="宋体" w:hAnsi="宋体"/>
                <w:sz w:val="24"/>
              </w:rPr>
            </w:r>
            <w:r/>
          </w:p>
        </w:tc>
      </w:tr>
      <w:tr>
        <w:trPr>
          <w:trHeight w:val="170"/>
        </w:trPr>
        <w:tc>
          <w:tcPr>
            <w:tcW w:w="819"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Borders>
              <w:right w:val="single" w:color="000000" w:sz="4" w:space="0"/>
            </w:tcBorders>
            <w:tcW w:w="3544"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境外官方认证申报支持服务</w:t>
            </w:r>
            <w:r/>
          </w:p>
        </w:tc>
        <w:tc>
          <w:tcPr>
            <w:tcBorders>
              <w:left w:val="single" w:color="000000" w:sz="4" w:space="0"/>
              <w:right w:val="single" w:color="000000" w:sz="4" w:space="0"/>
            </w:tcBorders>
            <w:tcW w:w="992" w:type="dxa"/>
            <w:vAlign w:val="center"/>
            <w:textDirection w:val="lrTb"/>
            <w:noWrap w:val="false"/>
          </w:tcPr>
          <w:p>
            <w:pPr>
              <w:pStyle w:val="859"/>
              <w:jc w:val="center"/>
            </w:pPr>
            <w:r>
              <w:rPr>
                <w:rFonts w:hint="eastAsia" w:ascii="宋体" w:hAnsi="宋体"/>
                <w:sz w:val="24"/>
              </w:rPr>
              <w:t xml:space="preserve">1</w:t>
            </w:r>
            <w:r/>
          </w:p>
        </w:tc>
        <w:tc>
          <w:tcPr>
            <w:tcBorders>
              <w:left w:val="single" w:color="000000" w:sz="4" w:space="0"/>
            </w:tcBorders>
            <w:tcW w:w="901" w:type="dxa"/>
            <w:vAlign w:val="center"/>
            <w:textDirection w:val="lrTb"/>
            <w:noWrap w:val="false"/>
          </w:tcPr>
          <w:p>
            <w:pPr>
              <w:pStyle w:val="859"/>
              <w:jc w:val="center"/>
            </w:pPr>
            <w:r>
              <w:rPr>
                <w:rFonts w:hint="eastAsia" w:ascii="宋体" w:hAnsi="宋体"/>
                <w:sz w:val="24"/>
              </w:rPr>
              <w:t xml:space="preserve">项</w:t>
            </w:r>
            <w:r/>
          </w:p>
        </w:tc>
        <w:tc>
          <w:tcPr>
            <w:tcW w:w="122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rPr>
                <w:rFonts w:ascii="宋体" w:hAnsi="宋体"/>
                <w:sz w:val="24"/>
              </w:rPr>
              <w:t xml:space="preserve">00000</w:t>
            </w:r>
            <w:r>
              <w:rPr>
                <w:rFonts w:hint="eastAsia" w:ascii="宋体" w:hAnsi="宋体"/>
                <w:sz w:val="24"/>
              </w:rPr>
            </w:r>
            <w:r/>
          </w:p>
        </w:tc>
        <w:tc>
          <w:tcPr>
            <w:tcW w:w="141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rPr>
                <w:rFonts w:ascii="宋体" w:hAnsi="宋体"/>
                <w:sz w:val="24"/>
              </w:rPr>
              <w:t xml:space="preserve">00000</w:t>
            </w:r>
            <w:r>
              <w:rPr>
                <w:rFonts w:hint="eastAsia" w:ascii="宋体" w:hAnsi="宋体"/>
                <w:sz w:val="24"/>
              </w:rPr>
            </w:r>
            <w:r/>
          </w:p>
        </w:tc>
      </w:tr>
      <w:tr>
        <w:trPr>
          <w:trHeight w:val="170"/>
        </w:trPr>
        <w:tc>
          <w:tcPr>
            <w:gridSpan w:val="2"/>
            <w:tcBorders>
              <w:right w:val="single" w:color="000000" w:sz="4" w:space="0"/>
            </w:tcBorders>
            <w:tcW w:w="4363"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四、国际化标准适配及资源建设二期</w:t>
            </w:r>
            <w:r/>
          </w:p>
        </w:tc>
        <w:tc>
          <w:tcPr>
            <w:tcBorders>
              <w:left w:val="single" w:color="000000" w:sz="4" w:space="0"/>
              <w:right w:val="single" w:color="000000" w:sz="4" w:space="0"/>
            </w:tcBorders>
            <w:tcW w:w="992"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c>
          <w:tcPr>
            <w:tcBorders>
              <w:left w:val="single" w:color="000000" w:sz="4" w:space="0"/>
            </w:tcBorders>
            <w:tcW w:w="90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22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418"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819"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Borders>
              <w:right w:val="single" w:color="000000" w:sz="4" w:space="0"/>
            </w:tcBorders>
            <w:tcW w:w="3544"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国际化双语教材建设境外适配支持服务</w:t>
            </w:r>
            <w:r/>
          </w:p>
        </w:tc>
        <w:tc>
          <w:tcPr>
            <w:tcBorders>
              <w:left w:val="single" w:color="000000" w:sz="4" w:space="0"/>
              <w:right w:val="single" w:color="000000" w:sz="4" w:space="0"/>
            </w:tcBorders>
            <w:tcW w:w="99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5</w:t>
            </w:r>
            <w:r/>
          </w:p>
        </w:tc>
        <w:tc>
          <w:tcPr>
            <w:tcBorders>
              <w:left w:val="single" w:color="000000" w:sz="4" w:space="0"/>
            </w:tcBorders>
            <w:tcW w:w="90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项</w:t>
            </w:r>
            <w:r/>
          </w:p>
        </w:tc>
        <w:tc>
          <w:tcPr>
            <w:tcW w:w="122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rPr>
                <w:rFonts w:ascii="宋体" w:hAnsi="宋体"/>
                <w:sz w:val="24"/>
              </w:rPr>
              <w:t xml:space="preserve">00000</w:t>
            </w:r>
            <w:r>
              <w:rPr>
                <w:rFonts w:hint="eastAsia" w:ascii="宋体" w:hAnsi="宋体"/>
                <w:sz w:val="24"/>
              </w:rPr>
            </w:r>
            <w:r/>
          </w:p>
        </w:tc>
        <w:tc>
          <w:tcPr>
            <w:tcW w:w="141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rPr>
                <w:rFonts w:ascii="宋体" w:hAnsi="宋体"/>
                <w:sz w:val="24"/>
              </w:rPr>
              <w:t xml:space="preserve">000000</w:t>
            </w:r>
            <w:r>
              <w:rPr>
                <w:rFonts w:hint="eastAsia" w:ascii="宋体" w:hAnsi="宋体"/>
                <w:sz w:val="24"/>
              </w:rPr>
            </w:r>
            <w:r/>
          </w:p>
        </w:tc>
      </w:tr>
      <w:tr>
        <w:trPr>
          <w:trHeight w:val="170"/>
        </w:trPr>
        <w:tc>
          <w:tcPr>
            <w:tcW w:w="819"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3544"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国际化课程教学视频建设境外适配支持服务</w:t>
            </w:r>
            <w:r/>
          </w:p>
        </w:tc>
        <w:tc>
          <w:tcPr>
            <w:tcBorders>
              <w:right w:val="single" w:color="000000" w:sz="4" w:space="0"/>
            </w:tcBorders>
            <w:tcW w:w="99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ascii="宋体" w:hAnsi="宋体"/>
                <w:sz w:val="24"/>
              </w:rPr>
              <w:t xml:space="preserve">10</w:t>
            </w:r>
            <w:r>
              <w:rPr>
                <w:rFonts w:hint="eastAsia" w:ascii="宋体" w:hAnsi="宋体"/>
                <w:sz w:val="24"/>
              </w:rPr>
            </w:r>
            <w:r/>
          </w:p>
        </w:tc>
        <w:tc>
          <w:tcPr>
            <w:tcBorders>
              <w:left w:val="single" w:color="000000" w:sz="4" w:space="0"/>
            </w:tcBorders>
            <w:tcW w:w="90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项</w:t>
            </w:r>
            <w:r/>
          </w:p>
        </w:tc>
        <w:tc>
          <w:tcPr>
            <w:tcW w:w="122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rPr>
                <w:rFonts w:ascii="宋体" w:hAnsi="宋体"/>
                <w:sz w:val="24"/>
              </w:rPr>
              <w:t xml:space="preserve">0000</w:t>
            </w:r>
            <w:r>
              <w:rPr>
                <w:rFonts w:hint="eastAsia" w:ascii="宋体" w:hAnsi="宋体"/>
                <w:sz w:val="24"/>
              </w:rPr>
            </w:r>
            <w:r/>
          </w:p>
        </w:tc>
        <w:tc>
          <w:tcPr>
            <w:tcW w:w="141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rPr>
                <w:rFonts w:ascii="宋体" w:hAnsi="宋体"/>
                <w:sz w:val="24"/>
              </w:rPr>
              <w:t xml:space="preserve">00000</w:t>
            </w:r>
            <w:r>
              <w:rPr>
                <w:rFonts w:hint="eastAsia" w:ascii="宋体" w:hAnsi="宋体"/>
                <w:sz w:val="24"/>
              </w:rPr>
            </w:r>
            <w:r/>
          </w:p>
        </w:tc>
      </w:tr>
      <w:tr>
        <w:trPr>
          <w:trHeight w:val="170"/>
        </w:trPr>
        <w:tc>
          <w:tcPr>
            <w:gridSpan w:val="2"/>
            <w:tcBorders>
              <w:right w:val="single" w:color="000000" w:sz="4" w:space="0"/>
            </w:tcBorders>
            <w:tcW w:w="4363"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五、国际技能人才培养中心建设及培训运营</w:t>
            </w:r>
            <w:r/>
          </w:p>
        </w:tc>
        <w:tc>
          <w:tcPr>
            <w:tcBorders>
              <w:left w:val="single" w:color="000000" w:sz="4" w:space="0"/>
              <w:right w:val="single" w:color="000000" w:sz="4" w:space="0"/>
            </w:tcBorders>
            <w:tcW w:w="992"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c>
          <w:tcPr>
            <w:tcBorders>
              <w:left w:val="single" w:color="000000" w:sz="4" w:space="0"/>
            </w:tcBorders>
            <w:tcW w:w="90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22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418"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819"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W w:w="3544"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企业短期培训需求调研及课程包境外适配服务</w:t>
            </w:r>
            <w:r/>
          </w:p>
        </w:tc>
        <w:tc>
          <w:tcPr>
            <w:tcBorders>
              <w:right w:val="single" w:color="000000" w:sz="4" w:space="0"/>
            </w:tcBorders>
            <w:tcW w:w="99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r>
            <w:r/>
          </w:p>
        </w:tc>
        <w:tc>
          <w:tcPr>
            <w:tcBorders>
              <w:left w:val="single" w:color="000000" w:sz="4" w:space="0"/>
            </w:tcBorders>
            <w:tcW w:w="901" w:type="dxa"/>
            <w:vAlign w:val="center"/>
            <w:textDirection w:val="lrTb"/>
            <w:noWrap w:val="false"/>
          </w:tcPr>
          <w:p>
            <w:pPr>
              <w:pStyle w:val="859"/>
              <w:jc w:val="center"/>
            </w:pPr>
            <w:r>
              <w:rPr>
                <w:rFonts w:hint="eastAsia" w:ascii="宋体" w:hAnsi="宋体"/>
                <w:sz w:val="24"/>
              </w:rPr>
              <w:t xml:space="preserve">项</w:t>
            </w:r>
            <w:r/>
          </w:p>
        </w:tc>
        <w:tc>
          <w:tcPr>
            <w:tcW w:w="1225" w:type="dxa"/>
            <w:vAlign w:val="center"/>
            <w:textDirection w:val="lrTb"/>
            <w:noWrap w:val="false"/>
          </w:tcPr>
          <w:p>
            <w:pPr>
              <w:pStyle w:val="859"/>
              <w:contextualSpacing/>
              <w:jc w:val="center"/>
              <w:spacing w:line="360" w:lineRule="exact"/>
              <w:tabs>
                <w:tab w:val="left" w:pos="567" w:leader="none"/>
              </w:tabs>
              <w:rPr>
                <w:rFonts w:ascii="宋体" w:hAnsi="宋体"/>
                <w:sz w:val="24"/>
              </w:rPr>
            </w:pPr>
            <w:r>
              <w:rPr>
                <w:rFonts w:hint="eastAsia" w:ascii="宋体" w:hAnsi="宋体"/>
                <w:sz w:val="24"/>
              </w:rPr>
              <w:t xml:space="preserve">60000</w:t>
            </w:r>
            <w:r>
              <w:rPr>
                <w:rFonts w:ascii="宋体" w:hAnsi="宋体"/>
                <w:sz w:val="24"/>
              </w:rPr>
            </w:r>
            <w:r/>
          </w:p>
        </w:tc>
        <w:tc>
          <w:tcPr>
            <w:tcW w:w="1418" w:type="dxa"/>
            <w:vAlign w:val="center"/>
            <w:textDirection w:val="lrTb"/>
            <w:noWrap w:val="false"/>
          </w:tcPr>
          <w:p>
            <w:pPr>
              <w:pStyle w:val="859"/>
              <w:contextualSpacing/>
              <w:jc w:val="center"/>
              <w:spacing w:line="360" w:lineRule="exact"/>
              <w:tabs>
                <w:tab w:val="left" w:pos="567" w:leader="none"/>
              </w:tabs>
              <w:rPr>
                <w:rFonts w:ascii="宋体" w:hAnsi="宋体"/>
                <w:sz w:val="24"/>
              </w:rPr>
            </w:pPr>
            <w:r>
              <w:rPr>
                <w:rFonts w:hint="eastAsia" w:ascii="宋体" w:hAnsi="宋体"/>
                <w:sz w:val="24"/>
              </w:rPr>
              <w:t xml:space="preserve">600000</w:t>
            </w:r>
            <w:r>
              <w:rPr>
                <w:rFonts w:ascii="宋体" w:hAnsi="宋体"/>
                <w:sz w:val="24"/>
              </w:rPr>
            </w:r>
            <w:r/>
          </w:p>
        </w:tc>
      </w:tr>
      <w:tr>
        <w:trPr>
          <w:trHeight w:val="170"/>
        </w:trPr>
        <w:tc>
          <w:tcPr>
            <w:tcW w:w="819"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3544"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本土员工技能培训组织管理支持</w:t>
            </w:r>
            <w:r/>
          </w:p>
        </w:tc>
        <w:tc>
          <w:tcPr>
            <w:tcW w:w="992" w:type="dxa"/>
            <w:vAlign w:val="center"/>
            <w:textDirection w:val="lrTb"/>
            <w:noWrap w:val="false"/>
          </w:tcPr>
          <w:p>
            <w:pPr>
              <w:pStyle w:val="859"/>
              <w:jc w:val="center"/>
            </w:pPr>
            <w:r>
              <w:rPr>
                <w:rFonts w:hint="eastAsia" w:ascii="宋体" w:hAnsi="宋体"/>
                <w:sz w:val="24"/>
              </w:rPr>
              <w:t xml:space="preserve">1</w:t>
            </w:r>
            <w:r/>
          </w:p>
        </w:tc>
        <w:tc>
          <w:tcPr>
            <w:tcW w:w="901" w:type="dxa"/>
            <w:vAlign w:val="center"/>
            <w:textDirection w:val="lrTb"/>
            <w:noWrap w:val="false"/>
          </w:tcPr>
          <w:p>
            <w:pPr>
              <w:pStyle w:val="859"/>
              <w:jc w:val="center"/>
            </w:pPr>
            <w:r>
              <w:rPr>
                <w:rFonts w:hint="eastAsia" w:ascii="宋体" w:hAnsi="宋体"/>
                <w:sz w:val="24"/>
              </w:rPr>
              <w:t xml:space="preserve">项</w:t>
            </w:r>
            <w:r/>
          </w:p>
        </w:tc>
        <w:tc>
          <w:tcPr>
            <w:tcW w:w="122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rPr>
                <w:rFonts w:ascii="宋体" w:hAnsi="宋体"/>
                <w:sz w:val="24"/>
              </w:rPr>
              <w:t xml:space="preserve">50000</w:t>
            </w:r>
            <w:r>
              <w:rPr>
                <w:rFonts w:hint="eastAsia" w:ascii="宋体" w:hAnsi="宋体"/>
                <w:sz w:val="24"/>
              </w:rPr>
            </w:r>
            <w:r/>
          </w:p>
        </w:tc>
        <w:tc>
          <w:tcPr>
            <w:tcW w:w="141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rPr>
                <w:rFonts w:ascii="宋体" w:hAnsi="宋体"/>
                <w:sz w:val="24"/>
              </w:rPr>
              <w:t xml:space="preserve">50000</w:t>
            </w:r>
            <w:r>
              <w:rPr>
                <w:rFonts w:hint="eastAsia" w:ascii="宋体" w:hAnsi="宋体"/>
                <w:sz w:val="24"/>
              </w:rPr>
            </w:r>
            <w:r/>
          </w:p>
        </w:tc>
      </w:tr>
      <w:tr>
        <w:trPr>
          <w:trHeight w:val="170"/>
        </w:trPr>
        <w:tc>
          <w:tcPr>
            <w:tcW w:w="819"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3</w:t>
            </w:r>
            <w:r/>
          </w:p>
        </w:tc>
        <w:tc>
          <w:tcPr>
            <w:tcW w:w="3544"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技能人才培养中心申报与认定服务</w:t>
            </w:r>
            <w:r/>
          </w:p>
        </w:tc>
        <w:tc>
          <w:tcPr>
            <w:tcW w:w="992" w:type="dxa"/>
            <w:vAlign w:val="center"/>
            <w:textDirection w:val="lrTb"/>
            <w:noWrap w:val="false"/>
          </w:tcPr>
          <w:p>
            <w:pPr>
              <w:pStyle w:val="859"/>
              <w:jc w:val="center"/>
            </w:pPr>
            <w:r>
              <w:rPr>
                <w:rFonts w:hint="eastAsia" w:ascii="宋体" w:hAnsi="宋体"/>
                <w:sz w:val="24"/>
              </w:rPr>
              <w:t xml:space="preserve">1</w:t>
            </w:r>
            <w:r/>
          </w:p>
        </w:tc>
        <w:tc>
          <w:tcPr>
            <w:tcW w:w="901" w:type="dxa"/>
            <w:vAlign w:val="center"/>
            <w:textDirection w:val="lrTb"/>
            <w:noWrap w:val="false"/>
          </w:tcPr>
          <w:p>
            <w:pPr>
              <w:pStyle w:val="859"/>
              <w:jc w:val="center"/>
            </w:pPr>
            <w:r>
              <w:rPr>
                <w:rFonts w:hint="eastAsia" w:ascii="宋体" w:hAnsi="宋体"/>
                <w:sz w:val="24"/>
              </w:rPr>
              <w:t xml:space="preserve">项</w:t>
            </w:r>
            <w:r/>
          </w:p>
        </w:tc>
        <w:tc>
          <w:tcPr>
            <w:tcW w:w="122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rPr>
                <w:rFonts w:ascii="宋体" w:hAnsi="宋体"/>
                <w:sz w:val="24"/>
              </w:rPr>
              <w:t xml:space="preserve">00000</w:t>
            </w:r>
            <w:r>
              <w:rPr>
                <w:rFonts w:hint="eastAsia" w:ascii="宋体" w:hAnsi="宋体"/>
                <w:sz w:val="24"/>
              </w:rPr>
            </w:r>
            <w:r/>
          </w:p>
        </w:tc>
        <w:tc>
          <w:tcPr>
            <w:tcW w:w="141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rPr>
                <w:rFonts w:ascii="宋体" w:hAnsi="宋体"/>
                <w:sz w:val="24"/>
              </w:rPr>
              <w:t xml:space="preserve">00000</w:t>
            </w:r>
            <w:r>
              <w:rPr>
                <w:rFonts w:hint="eastAsia" w:ascii="宋体" w:hAnsi="宋体"/>
                <w:sz w:val="24"/>
              </w:rPr>
            </w:r>
            <w:r/>
          </w:p>
        </w:tc>
      </w:tr>
      <w:tr>
        <w:trPr>
          <w:trHeight w:val="170"/>
        </w:trPr>
        <w:tc>
          <w:tcPr>
            <w:gridSpan w:val="2"/>
            <w:tcBorders>
              <w:right w:val="single" w:color="000000" w:sz="4" w:space="0"/>
            </w:tcBorders>
            <w:tcW w:w="4363"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六、项目评估与品牌宣传</w:t>
            </w:r>
            <w:r/>
          </w:p>
        </w:tc>
        <w:tc>
          <w:tcPr>
            <w:tcBorders>
              <w:left w:val="single" w:color="000000" w:sz="4" w:space="0"/>
              <w:right w:val="single" w:color="000000" w:sz="4" w:space="0"/>
            </w:tcBorders>
            <w:tcW w:w="992"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c>
          <w:tcPr>
            <w:tcBorders>
              <w:left w:val="single" w:color="000000" w:sz="4" w:space="0"/>
            </w:tcBorders>
            <w:tcW w:w="90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22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418"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819"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W w:w="3544"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项目境外办学质量评估及评估报告服务</w:t>
            </w:r>
            <w:r/>
          </w:p>
        </w:tc>
        <w:tc>
          <w:tcPr>
            <w:tcBorders>
              <w:right w:val="single" w:color="000000" w:sz="4" w:space="0"/>
            </w:tcBorders>
            <w:tcW w:w="992" w:type="dxa"/>
            <w:vAlign w:val="center"/>
            <w:textDirection w:val="lrTb"/>
            <w:noWrap w:val="false"/>
          </w:tcPr>
          <w:p>
            <w:pPr>
              <w:pStyle w:val="859"/>
              <w:jc w:val="center"/>
            </w:pPr>
            <w:r>
              <w:rPr>
                <w:rFonts w:hint="eastAsia" w:ascii="宋体" w:hAnsi="宋体"/>
                <w:sz w:val="24"/>
              </w:rPr>
              <w:t xml:space="preserve">1</w:t>
            </w:r>
            <w:r/>
          </w:p>
        </w:tc>
        <w:tc>
          <w:tcPr>
            <w:tcBorders>
              <w:left w:val="single" w:color="000000" w:sz="4" w:space="0"/>
            </w:tcBorders>
            <w:tcW w:w="901" w:type="dxa"/>
            <w:vAlign w:val="center"/>
            <w:textDirection w:val="lrTb"/>
            <w:noWrap w:val="false"/>
          </w:tcPr>
          <w:p>
            <w:pPr>
              <w:pStyle w:val="859"/>
              <w:jc w:val="center"/>
            </w:pPr>
            <w:r>
              <w:rPr>
                <w:rFonts w:hint="eastAsia" w:ascii="宋体" w:hAnsi="宋体"/>
                <w:sz w:val="24"/>
              </w:rPr>
              <w:t xml:space="preserve">项</w:t>
            </w:r>
            <w:r/>
          </w:p>
        </w:tc>
        <w:tc>
          <w:tcPr>
            <w:tcW w:w="122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5</w:t>
            </w:r>
            <w:r>
              <w:rPr>
                <w:rFonts w:ascii="宋体" w:hAnsi="宋体"/>
                <w:sz w:val="24"/>
              </w:rPr>
              <w:t xml:space="preserve">0000</w:t>
            </w:r>
            <w:r>
              <w:rPr>
                <w:rFonts w:hint="eastAsia" w:ascii="宋体" w:hAnsi="宋体"/>
                <w:sz w:val="24"/>
              </w:rPr>
            </w:r>
            <w:r/>
          </w:p>
        </w:tc>
        <w:tc>
          <w:tcPr>
            <w:tcW w:w="141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5</w:t>
            </w:r>
            <w:r>
              <w:rPr>
                <w:rFonts w:ascii="宋体" w:hAnsi="宋体"/>
                <w:sz w:val="24"/>
              </w:rPr>
              <w:t xml:space="preserve">0000</w:t>
            </w:r>
            <w:r>
              <w:rPr>
                <w:rFonts w:hint="eastAsia" w:ascii="宋体" w:hAnsi="宋体"/>
                <w:sz w:val="24"/>
              </w:rPr>
            </w:r>
            <w:r/>
          </w:p>
        </w:tc>
      </w:tr>
      <w:tr>
        <w:trPr>
          <w:trHeight w:val="170"/>
        </w:trPr>
        <w:tc>
          <w:tcPr>
            <w:tcW w:w="819"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3544"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境外办学品牌项目认定服务</w:t>
            </w:r>
            <w:r/>
          </w:p>
        </w:tc>
        <w:tc>
          <w:tcPr>
            <w:tcW w:w="992" w:type="dxa"/>
            <w:vAlign w:val="center"/>
            <w:textDirection w:val="lrTb"/>
            <w:noWrap w:val="false"/>
          </w:tcPr>
          <w:p>
            <w:pPr>
              <w:pStyle w:val="859"/>
              <w:jc w:val="center"/>
            </w:pPr>
            <w:r>
              <w:rPr>
                <w:rFonts w:hint="eastAsia" w:ascii="宋体" w:hAnsi="宋体"/>
                <w:sz w:val="24"/>
              </w:rPr>
              <w:t xml:space="preserve">1</w:t>
            </w:r>
            <w:r/>
          </w:p>
        </w:tc>
        <w:tc>
          <w:tcPr>
            <w:tcW w:w="901" w:type="dxa"/>
            <w:vAlign w:val="center"/>
            <w:textDirection w:val="lrTb"/>
            <w:noWrap w:val="false"/>
          </w:tcPr>
          <w:p>
            <w:pPr>
              <w:pStyle w:val="859"/>
              <w:jc w:val="center"/>
            </w:pPr>
            <w:r>
              <w:rPr>
                <w:rFonts w:hint="eastAsia" w:ascii="宋体" w:hAnsi="宋体"/>
                <w:sz w:val="24"/>
              </w:rPr>
              <w:t xml:space="preserve">项</w:t>
            </w:r>
            <w:r/>
          </w:p>
        </w:tc>
        <w:tc>
          <w:tcPr>
            <w:tcW w:w="122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rPr>
                <w:rFonts w:ascii="宋体" w:hAnsi="宋体"/>
                <w:sz w:val="24"/>
              </w:rPr>
              <w:t xml:space="preserve">00000</w:t>
            </w:r>
            <w:r>
              <w:rPr>
                <w:rFonts w:hint="eastAsia" w:ascii="宋体" w:hAnsi="宋体"/>
                <w:sz w:val="24"/>
              </w:rPr>
            </w:r>
            <w:r/>
          </w:p>
        </w:tc>
        <w:tc>
          <w:tcPr>
            <w:tcW w:w="141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rPr>
                <w:rFonts w:ascii="宋体" w:hAnsi="宋体"/>
                <w:sz w:val="24"/>
              </w:rPr>
              <w:t xml:space="preserve">00000</w:t>
            </w:r>
            <w:r>
              <w:rPr>
                <w:rFonts w:hint="eastAsia" w:ascii="宋体" w:hAnsi="宋体"/>
                <w:sz w:val="24"/>
              </w:rPr>
            </w:r>
            <w:r/>
          </w:p>
        </w:tc>
      </w:tr>
      <w:tr>
        <w:trPr>
          <w:trHeight w:val="170"/>
        </w:trPr>
        <w:tc>
          <w:tcPr>
            <w:tcW w:w="819"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3</w:t>
            </w:r>
            <w:r/>
          </w:p>
        </w:tc>
        <w:tc>
          <w:tcPr>
            <w:tcW w:w="3544"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项目成果境外宣传物料设计与制作服务</w:t>
            </w:r>
            <w:r/>
          </w:p>
        </w:tc>
        <w:tc>
          <w:tcPr>
            <w:tcW w:w="992" w:type="dxa"/>
            <w:vAlign w:val="center"/>
            <w:textDirection w:val="lrTb"/>
            <w:noWrap w:val="false"/>
          </w:tcPr>
          <w:p>
            <w:pPr>
              <w:pStyle w:val="859"/>
              <w:jc w:val="center"/>
            </w:pPr>
            <w:r>
              <w:rPr>
                <w:rFonts w:hint="eastAsia" w:ascii="宋体" w:hAnsi="宋体"/>
                <w:sz w:val="24"/>
              </w:rPr>
              <w:t xml:space="preserve">1</w:t>
            </w:r>
            <w:r/>
          </w:p>
        </w:tc>
        <w:tc>
          <w:tcPr>
            <w:tcW w:w="901" w:type="dxa"/>
            <w:vAlign w:val="center"/>
            <w:textDirection w:val="lrTb"/>
            <w:noWrap w:val="false"/>
          </w:tcPr>
          <w:p>
            <w:pPr>
              <w:pStyle w:val="859"/>
              <w:jc w:val="center"/>
            </w:pPr>
            <w:r>
              <w:rPr>
                <w:rFonts w:hint="eastAsia" w:ascii="宋体" w:hAnsi="宋体"/>
                <w:sz w:val="24"/>
              </w:rPr>
              <w:t xml:space="preserve">项</w:t>
            </w:r>
            <w:r/>
          </w:p>
        </w:tc>
        <w:tc>
          <w:tcPr>
            <w:tcW w:w="122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5</w:t>
            </w:r>
            <w:r>
              <w:rPr>
                <w:rFonts w:ascii="宋体" w:hAnsi="宋体"/>
                <w:sz w:val="24"/>
              </w:rPr>
              <w:t xml:space="preserve">0000</w:t>
            </w:r>
            <w:r>
              <w:rPr>
                <w:rFonts w:hint="eastAsia" w:ascii="宋体" w:hAnsi="宋体"/>
                <w:sz w:val="24"/>
              </w:rPr>
            </w:r>
            <w:r/>
          </w:p>
        </w:tc>
        <w:tc>
          <w:tcPr>
            <w:tcW w:w="141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5</w:t>
            </w:r>
            <w:r>
              <w:rPr>
                <w:rFonts w:ascii="宋体" w:hAnsi="宋体"/>
                <w:sz w:val="24"/>
              </w:rPr>
              <w:t xml:space="preserve">0000</w:t>
            </w:r>
            <w:r>
              <w:rPr>
                <w:rFonts w:hint="eastAsia" w:ascii="宋体" w:hAnsi="宋体"/>
                <w:sz w:val="24"/>
              </w:rPr>
            </w:r>
            <w:r/>
          </w:p>
        </w:tc>
      </w:tr>
      <w:tr>
        <w:trPr>
          <w:trHeight w:val="170"/>
        </w:trPr>
        <w:tc>
          <w:tcPr>
            <w:gridSpan w:val="5"/>
            <w:tcW w:w="748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合计（元）</w:t>
            </w:r>
            <w:r/>
          </w:p>
        </w:tc>
        <w:tc>
          <w:tcPr>
            <w:tcW w:w="141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t xml:space="preserve">0</w:t>
            </w:r>
            <w:r>
              <w:rPr>
                <w:rFonts w:ascii="宋体" w:hAnsi="宋体"/>
                <w:sz w:val="24"/>
              </w:rPr>
              <w:t xml:space="preserve">0000</w:t>
            </w:r>
            <w:r>
              <w:rPr>
                <w:rFonts w:hint="eastAsia" w:ascii="宋体" w:hAnsi="宋体"/>
                <w:sz w:val="24"/>
              </w:rPr>
            </w:r>
            <w:r/>
          </w:p>
        </w:tc>
      </w:tr>
    </w:tbl>
    <w:p>
      <w:pPr>
        <w:pStyle w:val="859"/>
        <w:contextualSpacing/>
        <w:ind w:left="-2" w:firstLine="482"/>
        <w:spacing w:line="360" w:lineRule="auto"/>
        <w:tabs>
          <w:tab w:val="left" w:pos="567" w:leader="none"/>
        </w:tabs>
        <w:rPr>
          <w:rFonts w:ascii="宋体" w:hAnsi="宋体"/>
          <w:b/>
          <w:bCs/>
          <w:sz w:val="24"/>
        </w:rPr>
      </w:pPr>
      <w:r>
        <w:rPr>
          <w:rFonts w:hint="eastAsia" w:ascii="宋体" w:hAnsi="宋体"/>
          <w:b/>
          <w:bCs/>
          <w:sz w:val="24"/>
        </w:rPr>
        <w:t xml:space="preserve">三、服务要求</w:t>
      </w:r>
      <w:r>
        <w:rPr>
          <w:rFonts w:ascii="宋体" w:hAnsi="宋体"/>
          <w:b/>
          <w:bCs/>
          <w:sz w:val="24"/>
        </w:rPr>
      </w:r>
      <w:r/>
    </w:p>
    <w:tbl>
      <w:tblPr>
        <w:tblW w:w="52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1856"/>
        <w:gridCol w:w="6951"/>
      </w:tblGrid>
      <w:tr>
        <w:trPr>
          <w:trHeight w:val="170"/>
        </w:trPr>
        <w:tc>
          <w:tcPr>
            <w:tcW w:w="459" w:type="pct"/>
            <w:vAlign w:val="center"/>
            <w:textDirection w:val="lrTb"/>
            <w:noWrap w:val="false"/>
          </w:tcPr>
          <w:p>
            <w:pPr>
              <w:pStyle w:val="859"/>
              <w:contextualSpacing/>
              <w:jc w:val="center"/>
              <w:spacing w:line="360" w:lineRule="exact"/>
              <w:tabs>
                <w:tab w:val="left" w:pos="567" w:leader="none"/>
              </w:tabs>
              <w:rPr>
                <w:rFonts w:ascii="宋体" w:hAnsi="宋体"/>
                <w:b/>
                <w:sz w:val="24"/>
              </w:rPr>
            </w:pPr>
            <w:r>
              <w:rPr>
                <w:rFonts w:hint="eastAsia" w:ascii="宋体" w:hAnsi="宋体"/>
                <w:b/>
                <w:sz w:val="24"/>
              </w:rPr>
              <w:t xml:space="preserve">序号</w:t>
            </w:r>
            <w:r>
              <w:rPr>
                <w:rFonts w:ascii="宋体" w:hAnsi="宋体"/>
                <w:b/>
                <w:sz w:val="24"/>
              </w:rPr>
            </w:r>
            <w:r/>
          </w:p>
        </w:tc>
        <w:tc>
          <w:tcPr>
            <w:tcW w:w="957" w:type="pct"/>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服务名称</w:t>
            </w:r>
            <w:r/>
          </w:p>
        </w:tc>
        <w:tc>
          <w:tcPr>
            <w:tcW w:w="3584" w:type="pct"/>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服务要求</w:t>
            </w:r>
            <w:r/>
          </w:p>
        </w:tc>
      </w:tr>
      <w:tr>
        <w:trPr>
          <w:trHeight w:val="170"/>
        </w:trPr>
        <w:tc>
          <w:tcPr>
            <w:gridSpan w:val="2"/>
            <w:tcBorders>
              <w:right w:val="single" w:color="000000" w:sz="4" w:space="0"/>
            </w:tcBorders>
            <w:tcW w:w="1416"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一、合作调研服务</w:t>
            </w:r>
            <w:r/>
          </w:p>
        </w:tc>
        <w:tc>
          <w:tcPr>
            <w:tcBorders>
              <w:left w:val="single" w:color="000000" w:sz="4" w:space="0"/>
              <w:right w:val="single" w:color="000000" w:sz="4" w:space="0"/>
            </w:tcBorders>
            <w:tcW w:w="3584" w:type="pct"/>
            <w:vAlign w:val="center"/>
            <w:textDirection w:val="lrTb"/>
            <w:noWrap w:val="false"/>
          </w:tcPr>
          <w:p>
            <w:pPr>
              <w:pStyle w:val="859"/>
              <w:contextualSpacing/>
              <w:jc w:val="left"/>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45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Borders>
              <w:right w:val="single" w:color="000000" w:sz="4" w:space="0"/>
            </w:tcBorders>
            <w:tcW w:w="957"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海外分院建设境外前期筹备调研服务</w:t>
            </w:r>
            <w:r/>
          </w:p>
        </w:tc>
        <w:tc>
          <w:tcPr>
            <w:tcBorders>
              <w:left w:val="single" w:color="000000" w:sz="4" w:space="0"/>
              <w:right w:val="single" w:color="000000" w:sz="4" w:space="0"/>
            </w:tcBorders>
            <w:tcW w:w="3584" w:type="pct"/>
            <w:vAlign w:val="center"/>
            <w:textDirection w:val="lrTb"/>
            <w:noWrap w:val="false"/>
          </w:tcPr>
          <w:p>
            <w:pPr>
              <w:pStyle w:val="892"/>
              <w:jc w:val="left"/>
              <w:spacing w:before="0" w:line="360" w:lineRule="exact"/>
              <w:tabs>
                <w:tab w:val="left" w:pos="780" w:leader="none"/>
              </w:tabs>
              <w:rPr>
                <w:rFonts w:cs="仿宋_GB2312"/>
              </w:rPr>
            </w:pPr>
            <w:r>
              <w:rPr>
                <w:rFonts w:hint="eastAsia" w:cs="仿宋_GB2312"/>
              </w:rPr>
              <w:t xml:space="preserve">1</w:t>
            </w:r>
            <w:r>
              <w:rPr>
                <w:rFonts w:cs="仿宋_GB2312"/>
              </w:rPr>
              <w:t xml:space="preserve">.</w:t>
            </w:r>
            <w:r>
              <w:rPr>
                <w:rFonts w:hint="eastAsia" w:cs="仿宋_GB2312"/>
              </w:rPr>
              <w:t xml:space="preserve">组建项目工作小组，深入乌兹别克斯坦开展系统性的前期调研。通过线上数据收集及多轮实地考察，对乌兹别克斯坦教育体系、重点合作专业行业发展状况、新能源产业现状及中资企业境外工厂用工需求进行全面调研。针对本土职业院校实训教学场所建设情况、设备技术规格及课程衔接问题进行系</w:t>
            </w:r>
            <w:r>
              <w:rPr>
                <w:rFonts w:hint="eastAsia" w:cs="仿宋_GB2312"/>
              </w:rPr>
              <w:t xml:space="preserve">统化信息收集与分析。本阶段调研着眼于海外分院建设的整体可行性与宏观定位，重在摸清乌兹别克斯坦相关行业全貌、劳动力市场总体供需结构及教育体系基本格局，为后续短期课程适配等具体实施环节提供方向性依据；不同于后续短期课程需求调研聚焦某一专业或某一培训项目的具体学员需求与教学落地细节，是避免后续课程设计脱离当地实际产业与用工基础的必要环节。考虑到乌兹别克斯坦调研范围涉及多个城市与工业园区，且产业与用工数据需要驻外实时更新，供应商应依托在中亚地区深耕多年的本地化团队和渠道网络，高效完成上述信息的系统化采集与动态跟踪，</w:t>
            </w:r>
            <w:r>
              <w:rPr>
                <w:rFonts w:hint="eastAsia" w:cs="仿宋_GB2312"/>
                <w:shd w:val="clear" w:color="auto" w:fill="ffffff"/>
              </w:rPr>
              <w:t xml:space="preserve">完成《乌兹别克斯坦海外分院建设项目可行性调研分析报告》的编制与交</w:t>
            </w:r>
            <w:r>
              <w:rPr>
                <w:rFonts w:hint="eastAsia" w:cs="仿宋_GB2312"/>
              </w:rPr>
              <w:t xml:space="preserve">付，为海外工程技术学院的建设提供坚实的数据支撑。</w:t>
            </w:r>
            <w:r>
              <w:rPr>
                <w:rFonts w:cs="仿宋_GB2312"/>
              </w:rPr>
            </w:r>
            <w:r/>
          </w:p>
          <w:p>
            <w:pPr>
              <w:pStyle w:val="859"/>
              <w:contextualSpacing/>
              <w:jc w:val="left"/>
              <w:spacing w:line="360" w:lineRule="exact"/>
              <w:tabs>
                <w:tab w:val="left" w:pos="567" w:leader="none"/>
              </w:tabs>
              <w:rPr>
                <w:rFonts w:ascii="宋体" w:hAnsi="宋体"/>
                <w:sz w:val="24"/>
              </w:rPr>
            </w:pPr>
            <w:r>
              <w:rPr>
                <w:rFonts w:hint="eastAsia" w:ascii="宋体" w:hAnsi="宋体" w:cs="仿宋_GB2312"/>
                <w:sz w:val="24"/>
              </w:rPr>
              <w:t xml:space="preserve">2</w:t>
            </w:r>
            <w:r>
              <w:rPr>
                <w:rFonts w:ascii="宋体" w:hAnsi="宋体" w:cs="仿宋_GB2312"/>
                <w:sz w:val="24"/>
              </w:rPr>
              <w:t xml:space="preserve">.</w:t>
            </w:r>
            <w:r>
              <w:rPr>
                <w:rFonts w:hint="eastAsia" w:ascii="宋体" w:hAnsi="宋体" w:cs="仿宋_GB2312"/>
                <w:sz w:val="24"/>
              </w:rPr>
              <w:t xml:space="preserve">交付成果包括《乌兹别克斯坦新能源汽车工程技术学院建设可行性调研分析报告》1份(不少于10000字)，内容覆盖乌兹别克斯坦教育体系、新能源产业现状、中资企业境外工厂用工需求、本土职业院校实训教学条件，附中资企业岗位及技能需求清单1份、合作院校资源与项目任务匹配清单1份，以及访谈提纲、访谈记录、调研照片、数据来源说明等过程材料。报告须经学校审定，调研结论应能够直接支撑后续课程、标准、培训、场地和绩效目标设置。</w:t>
            </w:r>
            <w:r>
              <w:rPr>
                <w:rFonts w:ascii="宋体" w:hAnsi="宋体"/>
                <w:sz w:val="24"/>
              </w:rPr>
            </w:r>
            <w:r/>
          </w:p>
        </w:tc>
      </w:tr>
      <w:tr>
        <w:trPr>
          <w:trHeight w:val="170"/>
        </w:trPr>
        <w:tc>
          <w:tcPr>
            <w:tcW w:w="45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957"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乌兹别克斯坦师资来华交流对接统筹服务</w:t>
            </w:r>
            <w:r/>
          </w:p>
        </w:tc>
        <w:tc>
          <w:tcPr>
            <w:tcBorders>
              <w:right w:val="single" w:color="000000" w:sz="4" w:space="0"/>
            </w:tcBorders>
            <w:tcW w:w="3584" w:type="pct"/>
            <w:vAlign w:val="center"/>
            <w:textDirection w:val="lrTb"/>
            <w:noWrap w:val="false"/>
          </w:tcPr>
          <w:p>
            <w:pPr>
              <w:pStyle w:val="892"/>
              <w:jc w:val="left"/>
              <w:spacing w:before="0" w:line="360" w:lineRule="exact"/>
              <w:tabs>
                <w:tab w:val="left" w:pos="780" w:leader="none"/>
              </w:tabs>
              <w:rPr>
                <w:rFonts w:cs="仿宋_GB2312"/>
              </w:rPr>
            </w:pPr>
            <w:r>
              <w:rPr>
                <w:rFonts w:hint="eastAsia" w:cs="仿宋_GB2312"/>
              </w:rPr>
              <w:t xml:space="preserve">1</w:t>
            </w:r>
            <w:r>
              <w:rPr>
                <w:rFonts w:cs="仿宋_GB2312"/>
              </w:rPr>
              <w:t xml:space="preserve">.</w:t>
            </w:r>
            <w:r>
              <w:rPr>
                <w:rFonts w:hint="eastAsia" w:cs="仿宋_GB2312"/>
              </w:rPr>
              <w:t xml:space="preserve">三年项目建设期内，统筹开展乌兹别克斯坦合作院校骨干教师、管理人员及行业技术代表来华交流、访学对接工作，累计完成乌方师资来华交流总量不少于200人日。人日按实际在华参加本项目交流活动的自然日计算，即1人实际参加1个自然日计1人日；同一人员连续参加多日按实际参加天数累计，多人同期参加分别累计，国际往返途中时间不计入人日。依托中乌职教合作基础，常态化邀请乌兹别克斯坦合作院校师资、教学管理者、企业技术代表来华实地考察，深度调研采购人办学体系、实训设施建设、专业人才培养模式及产教融合建设成果，通过面对面交流、课堂观摩</w:t>
            </w:r>
            <w:r>
              <w:rPr>
                <w:rFonts w:hint="eastAsia" w:cs="仿宋_GB2312"/>
              </w:rPr>
              <w:t xml:space="preserve">、实训研学、校企座谈等形式，深化双方办学互信、统一合作标准、夯实海外分院建设基础，保障中乌合作办学项目稳步落地、长效运营。根据采购人年度交流需求与合作目标，分批次制定细化可行的来华交流日程方案，涉及落实全部外宾来华保障工作。服务范围包括：乌方来访人员国际往返旅费、签证费用、在华住宿费、餐饮费；来华交流期间全程双语翻译、市内交通接驳、研学路线统筹、座谈保障、日常需求协调等全套配套服务。项目执行期间，采购人仅承担课时费及一次官方宴请接待费用，其余所有来华人员保障、会务、交通、手续办理等费用均包含在本包干预算内。</w:t>
            </w:r>
            <w:r>
              <w:rPr>
                <w:rFonts w:cs="仿宋_GB2312"/>
              </w:rPr>
            </w:r>
            <w:r/>
          </w:p>
          <w:p>
            <w:pPr>
              <w:pStyle w:val="892"/>
              <w:jc w:val="left"/>
              <w:spacing w:before="0" w:line="360" w:lineRule="exact"/>
              <w:tabs>
                <w:tab w:val="left" w:pos="780" w:leader="none"/>
              </w:tabs>
              <w:rPr>
                <w:rFonts w:hint="eastAsia" w:cs="仿宋_GB2312"/>
              </w:rPr>
            </w:pPr>
            <w:r>
              <w:rPr>
                <w:rFonts w:hint="eastAsia" w:cs="仿宋_GB2312"/>
              </w:rPr>
              <w:t xml:space="preserve">2</w:t>
            </w:r>
            <w:r>
              <w:rPr>
                <w:rFonts w:cs="仿宋_GB2312"/>
              </w:rPr>
              <w:t xml:space="preserve">.</w:t>
            </w:r>
            <w:r>
              <w:rPr>
                <w:rFonts w:hint="eastAsia" w:cs="仿宋_GB2312"/>
              </w:rPr>
              <w:t xml:space="preserve">交付成果为三年项目周期内，累计完成乌兹别克斯坦师资来华交流不少于200人日，顺利完成各批次来华考察、研学、座谈交流日程，提交来访人员名单、来访人员日程安排等。项目周期内达成并签署正式合作协议1份。</w:t>
            </w:r>
            <w:r/>
          </w:p>
        </w:tc>
      </w:tr>
      <w:tr>
        <w:trPr>
          <w:trHeight w:val="170"/>
        </w:trPr>
        <w:tc>
          <w:tcPr>
            <w:gridSpan w:val="2"/>
            <w:tcBorders>
              <w:right w:val="single" w:color="000000" w:sz="4" w:space="0"/>
            </w:tcBorders>
            <w:tcW w:w="1416"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二、海外分院筹建服务</w:t>
            </w:r>
            <w:r/>
          </w:p>
        </w:tc>
        <w:tc>
          <w:tcPr>
            <w:tcBorders>
              <w:left w:val="single" w:color="000000" w:sz="4" w:space="0"/>
              <w:right w:val="single" w:color="000000" w:sz="4" w:space="0"/>
            </w:tcBorders>
            <w:tcW w:w="3584" w:type="pct"/>
            <w:vAlign w:val="center"/>
            <w:textDirection w:val="lrTb"/>
            <w:noWrap w:val="false"/>
          </w:tcPr>
          <w:p>
            <w:pPr>
              <w:pStyle w:val="859"/>
              <w:contextualSpacing/>
              <w:jc w:val="left"/>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45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Borders>
              <w:right w:val="single" w:color="000000" w:sz="4" w:space="0"/>
            </w:tcBorders>
            <w:tcW w:w="957"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bCs/>
                <w:sz w:val="24"/>
              </w:rPr>
              <w:t xml:space="preserve">三方合作机制建设咨询与缔结协议境外合规性服务</w:t>
            </w:r>
            <w:r>
              <w:rPr>
                <w:rFonts w:hint="eastAsia" w:ascii="宋体" w:hAnsi="宋体"/>
                <w:sz w:val="24"/>
              </w:rPr>
            </w:r>
            <w:r/>
          </w:p>
        </w:tc>
        <w:tc>
          <w:tcPr>
            <w:tcBorders>
              <w:left w:val="single" w:color="000000" w:sz="4" w:space="0"/>
              <w:right w:val="single" w:color="000000" w:sz="4" w:space="0"/>
            </w:tcBorders>
            <w:tcW w:w="3584" w:type="pct"/>
            <w:vAlign w:val="center"/>
            <w:textDirection w:val="lrTb"/>
            <w:noWrap w:val="false"/>
          </w:tcPr>
          <w:p>
            <w:pPr>
              <w:pStyle w:val="892"/>
              <w:jc w:val="left"/>
              <w:spacing w:before="0" w:line="360" w:lineRule="exact"/>
              <w:tabs>
                <w:tab w:val="left" w:pos="780" w:leader="none"/>
              </w:tabs>
              <w:rPr>
                <w:rFonts w:cs="仿宋_GB2312"/>
              </w:rPr>
            </w:pPr>
            <w:r>
              <w:rPr>
                <w:rFonts w:hint="eastAsia" w:cs="仿宋_GB2312"/>
              </w:rPr>
              <w:t xml:space="preserve">1</w:t>
            </w:r>
            <w:r>
              <w:rPr>
                <w:rFonts w:cs="仿宋_GB2312"/>
              </w:rPr>
              <w:t xml:space="preserve">.</w:t>
            </w:r>
            <w:r>
              <w:rPr>
                <w:rFonts w:hint="eastAsia" w:cs="仿宋_GB2312"/>
              </w:rPr>
              <w:t xml:space="preserve">供应商需深入乌兹别克斯坦，对目标合作院校及中资企业进行实地调研与综合评估，需精准评估合作方的办学资质、产业对接能力及合作意愿，还需结合当地法律环境、产业政策及文化背景，完成多轮次、多维度的实地摸排，遴选优质院校及企业，最终形成具有可操作性的“校-企-校”三方联动共建方案，明确运营模式、权责划分及长效协作机制。依据前期调研成果与三方共建方案，起草中乌（或中英）双语版的国际联合办学合作协议，明确各方职责、合作边界及保障措施。协议经相关涉外法律顾问审核并确保合规后，组织协调中外三方完成正式签约。</w:t>
            </w:r>
            <w:r>
              <w:rPr>
                <w:rFonts w:cs="仿宋_GB2312"/>
              </w:rPr>
            </w:r>
            <w:r/>
          </w:p>
          <w:p>
            <w:pPr>
              <w:pStyle w:val="859"/>
              <w:jc w:val="left"/>
              <w:spacing w:line="360" w:lineRule="exact"/>
              <w:rPr>
                <w:rFonts w:ascii="宋体" w:hAnsi="宋体"/>
                <w:sz w:val="24"/>
              </w:rPr>
            </w:pPr>
            <w:r>
              <w:rPr>
                <w:rFonts w:hint="eastAsia" w:ascii="宋体" w:hAnsi="宋体" w:cs="仿宋_GB2312"/>
                <w:sz w:val="24"/>
              </w:rPr>
              <w:t xml:space="preserve">2</w:t>
            </w:r>
            <w:r>
              <w:rPr>
                <w:rFonts w:ascii="宋体" w:hAnsi="宋体" w:cs="仿宋_GB2312"/>
                <w:sz w:val="24"/>
              </w:rPr>
              <w:t xml:space="preserve">.</w:t>
            </w:r>
            <w:r>
              <w:rPr>
                <w:rFonts w:hint="eastAsia" w:ascii="宋体" w:hAnsi="宋体" w:cs="仿宋_GB2312"/>
                <w:sz w:val="24"/>
              </w:rPr>
              <w:t xml:space="preserve">交付成果包括合作方尽职调查及风险提示报告1份、三方合作机制方案1份、中外双语合作协议文本1套、涉外合规审核意见或审核记录1份，以及签约文本或能够证明协议推进情况的正式材料。</w:t>
            </w:r>
            <w:r>
              <w:rPr>
                <w:rFonts w:ascii="宋体" w:hAnsi="宋体"/>
                <w:sz w:val="24"/>
              </w:rPr>
            </w:r>
            <w:r/>
          </w:p>
        </w:tc>
      </w:tr>
      <w:tr>
        <w:trPr>
          <w:trHeight w:val="170"/>
        </w:trPr>
        <w:tc>
          <w:tcPr>
            <w:tcW w:w="45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957"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实体办学场地设置</w:t>
            </w:r>
            <w:r/>
          </w:p>
        </w:tc>
        <w:tc>
          <w:tcPr>
            <w:tcBorders>
              <w:right w:val="single" w:color="000000" w:sz="4" w:space="0"/>
            </w:tcBorders>
            <w:tcW w:w="3584" w:type="pct"/>
            <w:vAlign w:val="center"/>
            <w:textDirection w:val="lrTb"/>
            <w:noWrap w:val="false"/>
          </w:tcPr>
          <w:p>
            <w:pPr>
              <w:pStyle w:val="892"/>
              <w:jc w:val="left"/>
              <w:spacing w:before="0" w:line="360" w:lineRule="exact"/>
              <w:tabs>
                <w:tab w:val="left" w:pos="780" w:leader="none"/>
              </w:tabs>
              <w:rPr>
                <w:rFonts w:cs="仿宋_GB2312"/>
              </w:rPr>
            </w:pPr>
            <w:r>
              <w:rPr>
                <w:rFonts w:hint="eastAsia" w:cs="仿宋_GB2312"/>
              </w:rPr>
              <w:t xml:space="preserve">1</w:t>
            </w:r>
            <w:r>
              <w:rPr>
                <w:rFonts w:cs="仿宋_GB2312"/>
              </w:rPr>
              <w:t xml:space="preserve">.</w:t>
            </w:r>
            <w:r>
              <w:rPr>
                <w:rFonts w:hint="eastAsia" w:cs="仿宋_GB2312"/>
              </w:rPr>
              <w:t xml:space="preserve">供应商需利用其属地化信息渠道优势，负责在乌兹别克斯坦的合作院校内，完成海外工程技术学院实体场地的选址、租赁与交付工作。具体包括使用面积≥200㎡（根据海外实际办学条件调整）、可容纳≥30-40人的线下实训场地，以及配</w:t>
            </w:r>
            <w:r>
              <w:rPr>
                <w:rFonts w:hint="eastAsia" w:cs="仿宋_GB2312"/>
              </w:rPr>
              <w:t xml:space="preserve">套教学场地，具备必要教学设备与设施的办公室1间（面积≥25平方米）、多媒体教室1间（面积≥80平方米，可容纳30至40人），满足中方教师日常办公及线上授课需求。实训、教学、办公场地均具备必要的水电及网络设备，本项目费用为场地及设备的整体租赁费用（包含后期设备设施维护费用、水电费、网络费以及地方政府规定缴纳的所有费用等），供应商须确保上述场地及配套设备的合作使用期限为5年，自场地正式交付并经采购人验收合格之日起计算。采购人完成本项目支付后，不再另行承担上述场地租赁费用及配套设备设施使用费用。三年合同履行期限届</w:t>
            </w:r>
            <w:r>
              <w:rPr>
                <w:rFonts w:hint="eastAsia" w:cs="仿宋_GB2312"/>
              </w:rPr>
              <w:t xml:space="preserve">满后，剩余2年场地及配套设施使用权益继续有效，供应商仍应负责协调乌兹别克斯坦合作方维持场地租赁或合作关系，保障水、电、网络及设施设备基本可用。服务期届满前60日历天，供应商须向采购人提交剩余2年场地使用有效性证明文件，包括但不限于更新后的合作协议、场地确认函或其他具有同等效力的证明材料。如发生或可能发生场地到期收回、租赁或合作中断、配套设施设备无法正常使用等风险，供应商应在知悉后立即书面预警，并原则上不晚于预计风险发生前90日历天提出等效替代场地方案；替代场地的面积、功能及配套条件不得低于本项目原约定标准。</w:t>
            </w:r>
            <w:r>
              <w:rPr>
                <w:rFonts w:cs="仿宋_GB2312"/>
              </w:rPr>
            </w:r>
            <w:r/>
          </w:p>
          <w:p>
            <w:pPr>
              <w:pStyle w:val="892"/>
              <w:jc w:val="left"/>
              <w:spacing w:before="0" w:line="360" w:lineRule="exact"/>
              <w:tabs>
                <w:tab w:val="left" w:pos="780" w:leader="none"/>
              </w:tabs>
              <w:rPr>
                <w:rFonts w:hint="eastAsia" w:cs="仿宋_GB2312"/>
              </w:rPr>
            </w:pPr>
            <w:r>
              <w:rPr>
                <w:rFonts w:hint="eastAsia" w:cs="仿宋_GB2312"/>
              </w:rPr>
              <w:t xml:space="preserve">2</w:t>
            </w:r>
            <w:r>
              <w:rPr>
                <w:rFonts w:cs="仿宋_GB2312"/>
              </w:rPr>
              <w:t xml:space="preserve">.</w:t>
            </w:r>
            <w:r>
              <w:rPr>
                <w:rFonts w:hint="eastAsia" w:cs="仿宋_GB2312"/>
              </w:rPr>
              <w:t xml:space="preserve">交付成果包括场地使用或合作协议、场地平面或功能说明、设施设备清单、现场照片、场地与设备各方管理维护责任说明。</w:t>
            </w:r>
            <w:r/>
          </w:p>
        </w:tc>
      </w:tr>
      <w:tr>
        <w:trPr>
          <w:trHeight w:val="170"/>
        </w:trPr>
        <w:tc>
          <w:tcPr>
            <w:tcW w:w="45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3</w:t>
            </w:r>
            <w:r/>
          </w:p>
        </w:tc>
        <w:tc>
          <w:tcPr>
            <w:tcW w:w="957"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海外分院（培训中心）境外揭牌仪式筹备服务</w:t>
            </w:r>
            <w:r/>
          </w:p>
        </w:tc>
        <w:tc>
          <w:tcPr>
            <w:tcBorders>
              <w:right w:val="single" w:color="000000" w:sz="4" w:space="0"/>
            </w:tcBorders>
            <w:tcW w:w="3584" w:type="pct"/>
            <w:vAlign w:val="center"/>
            <w:textDirection w:val="lrTb"/>
            <w:noWrap w:val="false"/>
          </w:tcPr>
          <w:p>
            <w:pPr>
              <w:pStyle w:val="892"/>
              <w:jc w:val="left"/>
              <w:spacing w:before="0" w:line="360" w:lineRule="exact"/>
              <w:tabs>
                <w:tab w:val="left" w:pos="780" w:leader="none"/>
              </w:tabs>
              <w:rPr>
                <w:rFonts w:cs="仿宋_GB2312"/>
              </w:rPr>
            </w:pPr>
            <w:r>
              <w:rPr>
                <w:rFonts w:hint="eastAsia" w:cs="仿宋_GB2312"/>
              </w:rPr>
              <w:t xml:space="preserve">1</w:t>
            </w:r>
            <w:r>
              <w:rPr>
                <w:rFonts w:cs="仿宋_GB2312"/>
              </w:rPr>
              <w:t xml:space="preserve">.</w:t>
            </w:r>
            <w:r>
              <w:rPr>
                <w:rFonts w:hint="eastAsia" w:cs="仿宋_GB2312"/>
              </w:rPr>
              <w:t xml:space="preserve">为海外分院（培训中心）境外揭牌仪式提供策划与执行支持服务，包括仪式方案策划、场地布置、设备租赁、材料制作、乌方嘉宾邀请与接待、双语主持、摄影摄像及现场翻译等工作，确保仪式流程顺畅、氛围庄重且符合当地文化礼仪。设计并制作贴</w:t>
            </w:r>
            <w:r>
              <w:rPr>
                <w:rFonts w:hint="eastAsia" w:cs="仿宋_GB2312"/>
              </w:rPr>
              <w:t xml:space="preserve">合当地文化、包含学校名称的LOGO标识的双语标识牌，监督海外合作方完成标识牌的安装布置，并提供安装环节照片或安装后的照片。邀请乌兹别克斯坦教育部职教署局级领导 1—2位、比亚迪吉扎克工厂中方领导不少于2位，统筹邀约当地同级别境外嘉宾参会。本项服务中的媒体宣传仅包含揭牌仪式现场相关媒体联络与活动报道协调，确保仪式当日有媒体到场并完成活动记录；仪式结束后宣传稿的撰写、发布及省级、国家级媒体的推广投放，统一归入项目宣传服务分项执行，不在本项服务中重复列支费用。同步制定海外分院（培训中心）境外揭牌仪式整体执行方案。</w:t>
            </w:r>
            <w:r>
              <w:rPr>
                <w:rFonts w:cs="仿宋_GB2312"/>
              </w:rPr>
            </w:r>
            <w:r/>
          </w:p>
          <w:p>
            <w:pPr>
              <w:pStyle w:val="859"/>
              <w:jc w:val="left"/>
              <w:spacing w:line="360" w:lineRule="exact"/>
              <w:rPr>
                <w:rFonts w:ascii="宋体" w:hAnsi="宋体"/>
                <w:sz w:val="24"/>
              </w:rPr>
            </w:pPr>
            <w:r>
              <w:rPr>
                <w:rFonts w:hint="eastAsia" w:ascii="宋体" w:hAnsi="宋体" w:cs="仿宋_GB2312"/>
                <w:sz w:val="24"/>
              </w:rPr>
              <w:t xml:space="preserve">2</w:t>
            </w:r>
            <w:r>
              <w:rPr>
                <w:rFonts w:ascii="宋体" w:hAnsi="宋体" w:cs="仿宋_GB2312"/>
                <w:sz w:val="24"/>
              </w:rPr>
              <w:t xml:space="preserve">.</w:t>
            </w:r>
            <w:r>
              <w:rPr>
                <w:rFonts w:hint="eastAsia" w:ascii="宋体" w:hAnsi="宋体" w:cs="仿宋_GB2312"/>
                <w:sz w:val="24"/>
              </w:rPr>
              <w:t xml:space="preserve">交付成果包括双语标识牌1套、嘉宾及议程清单1套、现场影像资料1套、中乌双语新闻稿1篇和活动总结1份。活动宣传原则上通过采购人、合作院校、合作企业官方渠道及与项目相关的当地或行业媒体开展，并提供发布链接、页面截图或正式证明。</w:t>
            </w:r>
            <w:r>
              <w:rPr>
                <w:rFonts w:ascii="宋体" w:hAnsi="宋体"/>
                <w:sz w:val="24"/>
              </w:rPr>
            </w:r>
            <w:r/>
          </w:p>
        </w:tc>
      </w:tr>
      <w:tr>
        <w:trPr>
          <w:trHeight w:val="170"/>
        </w:trPr>
        <w:tc>
          <w:tcPr>
            <w:gridSpan w:val="2"/>
            <w:tcBorders>
              <w:right w:val="single" w:color="000000" w:sz="4" w:space="0"/>
            </w:tcBorders>
            <w:tcW w:w="1416"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三、国际化标准适配及资源建设一期</w:t>
            </w:r>
            <w:r/>
          </w:p>
        </w:tc>
        <w:tc>
          <w:tcPr>
            <w:tcBorders>
              <w:left w:val="single" w:color="000000" w:sz="4" w:space="0"/>
              <w:right w:val="single" w:color="000000" w:sz="4" w:space="0"/>
            </w:tcBorders>
            <w:tcW w:w="3584" w:type="pct"/>
            <w:vAlign w:val="center"/>
            <w:textDirection w:val="lrTb"/>
            <w:noWrap w:val="false"/>
          </w:tcPr>
          <w:p>
            <w:pPr>
              <w:pStyle w:val="859"/>
              <w:contextualSpacing/>
              <w:jc w:val="left"/>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45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W w:w="957"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国际化课程标准与专业教学标准境外适配支持服务</w:t>
            </w:r>
            <w:r/>
          </w:p>
        </w:tc>
        <w:tc>
          <w:tcPr>
            <w:tcBorders>
              <w:right w:val="single" w:color="000000" w:sz="4" w:space="0"/>
            </w:tcBorders>
            <w:tcW w:w="3584" w:type="pct"/>
            <w:vAlign w:val="center"/>
            <w:textDirection w:val="lrTb"/>
            <w:noWrap w:val="false"/>
          </w:tcPr>
          <w:p>
            <w:pPr>
              <w:pStyle w:val="892"/>
              <w:jc w:val="left"/>
              <w:spacing w:before="0" w:line="360" w:lineRule="exact"/>
              <w:tabs>
                <w:tab w:val="left" w:pos="780" w:leader="none"/>
              </w:tabs>
              <w:rPr>
                <w:rFonts w:cs="仿宋_GB2312"/>
              </w:rPr>
            </w:pPr>
            <w:r>
              <w:rPr>
                <w:rFonts w:hint="eastAsia" w:cs="仿宋_GB2312"/>
              </w:rPr>
              <w:t xml:space="preserve">1</w:t>
            </w:r>
            <w:r>
              <w:rPr>
                <w:rFonts w:cs="仿宋_GB2312"/>
              </w:rPr>
              <w:t xml:space="preserve">.</w:t>
            </w:r>
            <w:r>
              <w:rPr>
                <w:rFonts w:hint="eastAsia" w:cs="仿宋_GB2312"/>
              </w:rPr>
              <w:t xml:space="preserve">围绕海外分院的建设需求，提供课程标准与专业教学标准的境外适配支持服务，最终交付物为经中乌双方专家研讨确认、供采购人审定的标准文件草案。组建由乌兹别克斯</w:t>
            </w:r>
            <w:r>
              <w:rPr>
                <w:rFonts w:hint="eastAsia" w:cs="仿宋_GB2312"/>
              </w:rPr>
              <w:t xml:space="preserve">坦行业专家、中资企业海内外代表及中乌院校教师组成的国际化标准建设联合团队。依托该团队对乌兹别克斯坦合作院校的现有专业设置、课程体系及考核评价标准进行系统梳理与比对分析，精准识别中国职业教育标准与当地教学实际之间的应用匹配点与差异点。在此基础上，协助院校围绕海外分院专业建设需求，适配具有国际水准的专业教学标准1个及课程标准3个，组织并完成乌方专家研讨会，确保中方牵头适配的标准内容在知识体系、技能要求及评价方式上兼顾中国职业教育优势与乌兹别克斯坦本土产业需求，充分符合教学实践需求。专业教学标准1个及课程标准3个</w:t>
            </w:r>
            <w:r>
              <w:rPr>
                <w:rFonts w:cs="仿宋_GB2312"/>
              </w:rPr>
              <w:t xml:space="preserve">建设后，应在项目服务期内推动在乌方院校实际应用，应用周期累计不少于3期，应用院校累计不少于10所</w:t>
            </w:r>
            <w:r>
              <w:rPr>
                <w:rFonts w:hint="eastAsia" w:cs="仿宋_GB2312"/>
              </w:rPr>
              <w:t xml:space="preserve">不同乌方院校</w:t>
            </w:r>
            <w:r>
              <w:rPr>
                <w:rFonts w:cs="仿宋_GB2312"/>
              </w:rPr>
              <w:t xml:space="preserve">。</w:t>
            </w:r>
            <w:r>
              <w:rPr>
                <w:rFonts w:hint="eastAsia" w:cs="仿宋_GB2312"/>
              </w:rPr>
              <w:t xml:space="preserve">上述“1期”是指围绕相应成果开展的一次具有明确起止时间、实施计划、教学或培训对象和完整过程记录的独立教学或培训应用周期；同一院校同一课程在同一连续教学周期内不得拆分重复计期。应用院校应为不少于10所不同乌方院校，按院校主体去重，同一院校多次应用仅计1所。</w:t>
            </w:r>
            <w:r>
              <w:rPr>
                <w:rFonts w:cs="仿宋_GB2312"/>
              </w:rPr>
            </w:r>
            <w:r/>
          </w:p>
          <w:p>
            <w:pPr>
              <w:pStyle w:val="892"/>
              <w:jc w:val="left"/>
              <w:spacing w:before="0" w:line="360" w:lineRule="exact"/>
              <w:tabs>
                <w:tab w:val="left" w:pos="780" w:leader="none"/>
              </w:tabs>
              <w:rPr>
                <w:rFonts w:hint="eastAsia" w:cs="仿宋_GB2312"/>
              </w:rPr>
            </w:pPr>
            <w:r>
              <w:rPr>
                <w:rFonts w:hint="eastAsia" w:cs="仿宋_GB2312"/>
              </w:rPr>
              <w:t xml:space="preserve">2</w:t>
            </w:r>
            <w:r>
              <w:rPr>
                <w:rFonts w:cs="仿宋_GB2312"/>
              </w:rPr>
              <w:t xml:space="preserve">.</w:t>
            </w:r>
            <w:r>
              <w:rPr>
                <w:rFonts w:hint="eastAsia" w:cs="仿宋_GB2312"/>
              </w:rPr>
              <w:t xml:space="preserve">交付成果国际化课程标准文本及可编辑源文件3套、国际化专业教学标准文本及可编辑源文件1套、中乌双方专家研讨及论证全套材料1套、专家参与佐证材料及采购人审定记录文件1套。</w:t>
            </w:r>
            <w:r/>
          </w:p>
        </w:tc>
      </w:tr>
      <w:tr>
        <w:trPr>
          <w:trHeight w:val="170"/>
        </w:trPr>
        <w:tc>
          <w:tcPr>
            <w:tcW w:w="45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Borders>
              <w:right w:val="single" w:color="000000" w:sz="4" w:space="0"/>
            </w:tcBorders>
            <w:tcW w:w="957"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境外官方认证申报支持服务</w:t>
            </w:r>
            <w:r/>
          </w:p>
        </w:tc>
        <w:tc>
          <w:tcPr>
            <w:tcBorders>
              <w:left w:val="single" w:color="000000" w:sz="4" w:space="0"/>
              <w:right w:val="single" w:color="000000" w:sz="4" w:space="0"/>
            </w:tcBorders>
            <w:tcW w:w="3584" w:type="pct"/>
            <w:vAlign w:val="center"/>
            <w:textDirection w:val="lrTb"/>
            <w:noWrap w:val="false"/>
          </w:tcPr>
          <w:p>
            <w:pPr>
              <w:pStyle w:val="892"/>
              <w:jc w:val="left"/>
              <w:spacing w:before="0" w:line="360" w:lineRule="exact"/>
              <w:tabs>
                <w:tab w:val="left" w:pos="780" w:leader="none"/>
              </w:tabs>
              <w:rPr>
                <w:rFonts w:cs="仿宋_GB2312"/>
              </w:rPr>
            </w:pPr>
            <w:r>
              <w:rPr>
                <w:rFonts w:cs="仿宋_GB2312"/>
              </w:rPr>
              <w:t xml:space="preserve">1.</w:t>
            </w:r>
            <w:r>
              <w:rPr>
                <w:rFonts w:hint="eastAsia" w:cs="仿宋_GB2312"/>
              </w:rPr>
              <w:t xml:space="preserve">为采购人适配的课程标准与专业教学标准提供乌兹别克斯坦官方认证申报的材料整理及申报工作支持服务，协助采购人及乌方合作院校有序推进认证申报工作。全面开展标准认证材料的系统整理与申报工作</w:t>
            </w:r>
            <w:r>
              <w:rPr>
                <w:rFonts w:hint="eastAsia" w:cs="仿宋_GB2312"/>
              </w:rPr>
              <w:t xml:space="preserve">，包括按照乌兹别克斯坦教育主管部门或相关认证机构的要求，协助院校梳理并汇编专业教学标准、课程标准等全套佐证材料，并完成所有外文材料的翻译工作，确保文件在语言表达、格式规范及法律效力上符合当地认证要求。主动探索并推动该专业及课程标准在乌兹别克斯坦当地教育行政主管部门或海外国家认可的相关教育认证部门的认证工作，落实在乌组织专家研讨或论证会，并根据海外有关部门要求完成有关流程的海外线下申请工作，全程跟进材料递交、审核反馈、补充说明及最终颁证等环节，确保认证流程合规、高效推进，最终实现标准在乌兹别克斯坦的官方认可。</w:t>
            </w:r>
            <w:r>
              <w:rPr>
                <w:rFonts w:cs="仿宋_GB2312"/>
              </w:rPr>
            </w:r>
            <w:r/>
          </w:p>
          <w:p>
            <w:pPr>
              <w:pStyle w:val="892"/>
              <w:jc w:val="left"/>
              <w:spacing w:before="0" w:line="360" w:lineRule="exact"/>
              <w:tabs>
                <w:tab w:val="left" w:pos="780" w:leader="none"/>
              </w:tabs>
              <w:rPr>
                <w:rFonts w:hint="eastAsia" w:cs="仿宋_GB2312"/>
              </w:rPr>
            </w:pPr>
            <w:r>
              <w:rPr>
                <w:rFonts w:hint="eastAsia" w:cs="仿宋_GB2312"/>
              </w:rPr>
              <w:t xml:space="preserve">2</w:t>
            </w:r>
            <w:r>
              <w:rPr>
                <w:rFonts w:cs="仿宋_GB2312"/>
              </w:rPr>
              <w:t xml:space="preserve">.</w:t>
            </w:r>
            <w:r>
              <w:rPr>
                <w:rFonts w:hint="eastAsia" w:cs="仿宋_GB2312"/>
              </w:rPr>
              <w:t xml:space="preserve">交付成果对应申报通过的各项标准，取得乌兹别克斯坦职教署官方认证文件原件及电子扫描件各1份/项，配套完整的认证申报汇编材料、外文翻译文件、专家研讨论证材料、申报跟进记录及审核佐证资料全套1套。未取得认证正式结果的，不得将材料递交、沟通函件或一般性咨询意见等同于认证完成，此项费用不支付。</w:t>
            </w:r>
            <w:r/>
          </w:p>
        </w:tc>
      </w:tr>
      <w:tr>
        <w:trPr>
          <w:trHeight w:val="170"/>
        </w:trPr>
        <w:tc>
          <w:tcPr>
            <w:gridSpan w:val="2"/>
            <w:tcBorders>
              <w:right w:val="single" w:color="000000" w:sz="4" w:space="0"/>
            </w:tcBorders>
            <w:tcW w:w="1416"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四、国际化标准适配及资源建设二期</w:t>
            </w:r>
            <w:r/>
          </w:p>
        </w:tc>
        <w:tc>
          <w:tcPr>
            <w:tcBorders>
              <w:left w:val="single" w:color="000000" w:sz="4" w:space="0"/>
              <w:right w:val="single" w:color="000000" w:sz="4" w:space="0"/>
            </w:tcBorders>
            <w:tcW w:w="3584" w:type="pct"/>
            <w:vAlign w:val="center"/>
            <w:textDirection w:val="lrTb"/>
            <w:noWrap w:val="false"/>
          </w:tcPr>
          <w:p>
            <w:pPr>
              <w:pStyle w:val="859"/>
              <w:contextualSpacing/>
              <w:jc w:val="left"/>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45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Borders>
              <w:right w:val="single" w:color="000000" w:sz="4" w:space="0"/>
            </w:tcBorders>
            <w:tcW w:w="957"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国际化双语教材建设境外适配支持服务</w:t>
            </w:r>
            <w:r/>
          </w:p>
        </w:tc>
        <w:tc>
          <w:tcPr>
            <w:tcBorders>
              <w:left w:val="single" w:color="000000" w:sz="4" w:space="0"/>
              <w:right w:val="single" w:color="000000" w:sz="4" w:space="0"/>
            </w:tcBorders>
            <w:tcW w:w="3584" w:type="pct"/>
            <w:vAlign w:val="center"/>
            <w:textDirection w:val="lrTb"/>
            <w:noWrap w:val="false"/>
          </w:tcPr>
          <w:p>
            <w:pPr>
              <w:pStyle w:val="892"/>
              <w:jc w:val="left"/>
              <w:spacing w:before="0" w:line="360" w:lineRule="exact"/>
              <w:tabs>
                <w:tab w:val="left" w:pos="780" w:leader="none"/>
              </w:tabs>
              <w:rPr>
                <w:rFonts w:cs="仿宋_GB2312"/>
              </w:rPr>
            </w:pPr>
            <w:r>
              <w:rPr>
                <w:rFonts w:hint="eastAsia" w:cs="仿宋_GB2312"/>
              </w:rPr>
              <w:t xml:space="preserve">1</w:t>
            </w:r>
            <w:r>
              <w:rPr>
                <w:rFonts w:cs="仿宋_GB2312"/>
              </w:rPr>
              <w:t xml:space="preserve">.</w:t>
            </w:r>
            <w:r>
              <w:rPr>
                <w:rFonts w:hint="eastAsia" w:cs="仿宋_GB2312"/>
              </w:rPr>
              <w:t xml:space="preserve">组织中方专业教师与合作企业技术骨干，邀请乌方合作院校教师，联合适配编写适用于乌兹别克斯坦本土的双语核心教材5本。为采购人组织编</w:t>
            </w:r>
            <w:r>
              <w:rPr>
                <w:rFonts w:hint="eastAsia" w:cs="仿宋_GB2312"/>
              </w:rPr>
              <w:t xml:space="preserve">写的5本专业双语核心教材提供教材建设、专业翻译、术语校审协调与印前排版服务，最终交付符合乌兹别克斯坦教育规范并正式出版。教材内容须涵盖专业理论、实践教学、岗位技能训练及安全规范等内容。深度适配乌兹别克斯坦教育体系与当地学情，兼顾国际化表达与本土化应用需求，并精准对接在乌中资企业前沿技术与用工需求。适配过程中，供应商须统筹教材编写的全流程工作：前期依托对乌兹别克斯坦教育体系与本土学情的掌握，协同中乌双方编写团队完成教材体例设计、章节结构规划、本土案例与实训任务选编，确保教材框架与内容选材贴合当地教学实际及在乌</w:t>
            </w:r>
            <w:r>
              <w:rPr>
                <w:rFonts w:hint="eastAsia" w:cs="仿宋_GB2312"/>
              </w:rPr>
              <w:t xml:space="preserve">中资企业岗位需求；中期组织中方专业教师与企业技术骨干完成内容编写，同步邀请乌方合作院校教师参与审读，对教材中涉及当地行业规范、工艺习惯及教学适用性的内容提出修改意见，确保教材在知识呈现与技能训练设计上符合乌方教学逻辑；后期负责完成中外双语的专业翻译、术语校审协调与印前排版定稿，组织中乌双方专家对技术术语进行统一校对，最终形成在专业表述、版式规范及本土适用性上均达到乌兹别克斯坦出版要求并正式出版。5本双语教材完成建设后，应在项目服务期内推动在乌方院校实际应用，应用周期累计不少于3期，应用院校累计不少于10所。</w:t>
            </w:r>
            <w:r>
              <w:rPr>
                <w:rFonts w:cs="仿宋_GB2312"/>
              </w:rPr>
            </w:r>
            <w:r/>
          </w:p>
          <w:p>
            <w:pPr>
              <w:pStyle w:val="892"/>
              <w:jc w:val="left"/>
              <w:spacing w:before="0" w:line="360" w:lineRule="exact"/>
              <w:tabs>
                <w:tab w:val="left" w:pos="780" w:leader="none"/>
              </w:tabs>
              <w:rPr>
                <w:rFonts w:hint="eastAsia" w:cs="仿宋_GB2312"/>
              </w:rPr>
            </w:pPr>
            <w:r>
              <w:rPr>
                <w:rFonts w:hint="eastAsia" w:cs="仿宋_GB2312"/>
              </w:rPr>
              <w:t xml:space="preserve">2</w:t>
            </w:r>
            <w:r>
              <w:rPr>
                <w:rFonts w:cs="仿宋_GB2312"/>
              </w:rPr>
              <w:t xml:space="preserve">.</w:t>
            </w:r>
            <w:r>
              <w:rPr>
                <w:rFonts w:hint="eastAsia" w:cs="仿宋_GB2312"/>
              </w:rPr>
              <w:t xml:space="preserve">交付成果包括本土化适配并正式出版第一主编为采购方的双语核心教材5本；对应5本教材全套可编辑源文件、高清可印刷PDF定稿文件；中乌双方专家教材审校记录、内容修改说明全套成册资料1套；教材出版核发的国际标准书号（ISBN）官方证书1份。</w:t>
            </w:r>
            <w:r/>
          </w:p>
        </w:tc>
      </w:tr>
      <w:tr>
        <w:trPr>
          <w:trHeight w:val="170"/>
        </w:trPr>
        <w:tc>
          <w:tcPr>
            <w:tcW w:w="45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957"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国际化课程教学视频建设境外适配支持服务</w:t>
            </w:r>
            <w:r/>
          </w:p>
        </w:tc>
        <w:tc>
          <w:tcPr>
            <w:tcBorders>
              <w:right w:val="single" w:color="000000" w:sz="4" w:space="0"/>
            </w:tcBorders>
            <w:tcW w:w="3584" w:type="pct"/>
            <w:vAlign w:val="center"/>
            <w:textDirection w:val="lrTb"/>
            <w:noWrap w:val="false"/>
          </w:tcPr>
          <w:p>
            <w:pPr>
              <w:pStyle w:val="892"/>
              <w:jc w:val="left"/>
              <w:spacing w:before="0" w:line="360" w:lineRule="exact"/>
              <w:tabs>
                <w:tab w:val="left" w:pos="780" w:leader="none"/>
              </w:tabs>
              <w:rPr>
                <w:rFonts w:cs="仿宋_GB2312"/>
              </w:rPr>
            </w:pPr>
            <w:r>
              <w:rPr>
                <w:rFonts w:cs="仿宋_GB2312"/>
              </w:rPr>
              <w:t xml:space="preserve">1.</w:t>
            </w:r>
            <w:r>
              <w:rPr>
                <w:rFonts w:hint="eastAsia" w:cs="仿宋_GB2312"/>
              </w:rPr>
              <w:t xml:space="preserve">依托院校现有成熟的数字教育平台或相关信息化载体，开展数字化课程教学资源翻译与推广工作，为采购人录制完成的10门核心课程视频提供双语翻译、内容审校与字幕制作服务，最终交付符合教学应用标准的双语教学视频资源包。院校负责课程的录制及设计，供应商须基于对乌方教学场景、学员认知习惯及在乌中资企业培训需求的分析，协同院校课程团队对视频的教学结构、内容节奏、案例呈现方式进行适配性规划，明确哪些内容需要本土化调整或补充说明；中期</w:t>
            </w:r>
            <w:r>
              <w:rPr>
                <w:rFonts w:hint="eastAsia" w:cs="仿宋_GB2312"/>
              </w:rPr>
              <w:t xml:space="preserve">，在院校完成课程录制后，供应商负责对视频内容进行教学适用性审校，结合乌兹别克斯坦行业规范与岗位实操要求，对其中涉及技术表述、操作流程及安全规范的内容提出修正建议，并完成中外双语字幕的翻译与制作；后期，对全部视频资源进行统一的画面质量检查、音画同步校准及平台格式适配处理，确保视频在境外数字教育平台上能够流畅播放、清晰呈现。全部视频类资源200个以上，总时长不少于1800分钟，需基于企业专业人才培养要求，完成配套的国际化双语教学资源适配，在乌兹合作学校应用推广，应用周期累计不少于3期，应用院校累计不少于10所。</w:t>
            </w:r>
            <w:r>
              <w:rPr>
                <w:rFonts w:cs="仿宋_GB2312"/>
              </w:rPr>
            </w:r>
            <w:r/>
          </w:p>
          <w:p>
            <w:pPr>
              <w:pStyle w:val="859"/>
              <w:contextualSpacing/>
              <w:jc w:val="left"/>
              <w:spacing w:line="360" w:lineRule="exact"/>
              <w:tabs>
                <w:tab w:val="left" w:pos="567" w:leader="none"/>
              </w:tabs>
              <w:rPr>
                <w:rFonts w:hint="eastAsia" w:ascii="宋体" w:hAnsi="宋体"/>
                <w:sz w:val="24"/>
              </w:rPr>
            </w:pPr>
            <w:r>
              <w:rPr>
                <w:rFonts w:hint="eastAsia" w:ascii="宋体" w:hAnsi="宋体" w:cs="仿宋_GB2312"/>
                <w:sz w:val="24"/>
              </w:rPr>
              <w:t xml:space="preserve">2</w:t>
            </w:r>
            <w:r>
              <w:rPr>
                <w:rFonts w:ascii="宋体" w:hAnsi="宋体" w:cs="仿宋_GB2312"/>
                <w:sz w:val="24"/>
              </w:rPr>
              <w:t xml:space="preserve">.</w:t>
            </w:r>
            <w:r>
              <w:rPr>
                <w:rFonts w:hint="eastAsia" w:ascii="宋体" w:hAnsi="宋体" w:cs="仿宋_GB2312"/>
                <w:sz w:val="24"/>
              </w:rPr>
              <w:t xml:space="preserve">交付成果包括10门核心课程全套中英双语教学视频资源包（含200个以上视频、总时长≥1800分钟，含视频原文件、双语字幕文件）；视频内容审校报告、本土化适配修改记录1套；数字教学平台使用浏览截图不少于10张；课堂试用记录、教学应用佐证材料全套1套。</w:t>
            </w:r>
            <w:r>
              <w:rPr>
                <w:rFonts w:hint="eastAsia" w:ascii="宋体" w:hAnsi="宋体"/>
                <w:sz w:val="24"/>
              </w:rPr>
            </w:r>
            <w:r/>
          </w:p>
        </w:tc>
      </w:tr>
      <w:tr>
        <w:trPr>
          <w:trHeight w:val="170"/>
        </w:trPr>
        <w:tc>
          <w:tcPr>
            <w:gridSpan w:val="2"/>
            <w:tcBorders>
              <w:right w:val="single" w:color="000000" w:sz="4" w:space="0"/>
            </w:tcBorders>
            <w:tcW w:w="1416"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五、国际技能人才培养中心建设及培训运营</w:t>
            </w:r>
            <w:r/>
          </w:p>
        </w:tc>
        <w:tc>
          <w:tcPr>
            <w:tcBorders>
              <w:left w:val="single" w:color="000000" w:sz="4" w:space="0"/>
              <w:right w:val="single" w:color="000000" w:sz="4" w:space="0"/>
            </w:tcBorders>
            <w:tcW w:w="3584" w:type="pct"/>
            <w:vAlign w:val="center"/>
            <w:textDirection w:val="lrTb"/>
            <w:noWrap w:val="false"/>
          </w:tcPr>
          <w:p>
            <w:pPr>
              <w:pStyle w:val="859"/>
              <w:contextualSpacing/>
              <w:jc w:val="left"/>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45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W w:w="957"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企业短期培训需求调研及课程包境外适配服务</w:t>
            </w:r>
            <w:r/>
          </w:p>
        </w:tc>
        <w:tc>
          <w:tcPr>
            <w:tcBorders>
              <w:right w:val="single" w:color="000000" w:sz="4" w:space="0"/>
            </w:tcBorders>
            <w:tcW w:w="3584" w:type="pct"/>
            <w:vAlign w:val="center"/>
            <w:textDirection w:val="lrTb"/>
            <w:noWrap w:val="false"/>
          </w:tcPr>
          <w:p>
            <w:pPr>
              <w:pStyle w:val="892"/>
              <w:jc w:val="left"/>
              <w:spacing w:before="0" w:line="360" w:lineRule="exact"/>
              <w:tabs>
                <w:tab w:val="left" w:pos="780" w:leader="none"/>
              </w:tabs>
              <w:rPr>
                <w:rFonts w:cs="仿宋_GB2312"/>
              </w:rPr>
            </w:pPr>
            <w:r>
              <w:rPr>
                <w:rFonts w:hint="eastAsia" w:cs="仿宋_GB2312"/>
              </w:rPr>
              <w:t xml:space="preserve">1</w:t>
            </w:r>
            <w:r>
              <w:rPr>
                <w:rFonts w:cs="仿宋_GB2312"/>
              </w:rPr>
              <w:t xml:space="preserve">.</w:t>
            </w:r>
            <w:r>
              <w:rPr>
                <w:rFonts w:hint="eastAsia" w:cs="仿宋_GB2312"/>
              </w:rPr>
              <w:t xml:space="preserve">短期培训课程包主要面向在乌中资企业具体岗位和本土员工短期技能提升需求，不</w:t>
            </w:r>
            <w:r>
              <w:rPr>
                <w:rFonts w:hint="eastAsia" w:cs="仿宋_GB2312"/>
              </w:rPr>
              <w:t xml:space="preserve">是对学校现有课程资料的简单翻译。供应商应针对不同企业和岗位开展个性化需求调研，分析岗位任务、技能差距、学员基础和企业生产安排，在采购人专业教师确定核心培训内容的基础上，对培训内容进行模块化重构、专业翻译和本土化适配，形成不少于10个短期培训课程包，并组织采购人、企业及乌方相关专家开展论证。课程包投入培训后，应根据企业、教师和学员反馈进行必要修订优化，形成“需求调研—内容重构—本土适配—专家论证—实施应用—反馈优化”的闭环。不同课程包应对应明确的企业、岗位或典型岗位任务，不得以同一套材料简单更换名称重复交付。</w:t>
            </w:r>
            <w:r>
              <w:rPr>
                <w:rFonts w:cs="仿宋_GB2312"/>
              </w:rPr>
            </w:r>
            <w:r/>
          </w:p>
          <w:p>
            <w:pPr>
              <w:pStyle w:val="859"/>
              <w:contextualSpacing/>
              <w:jc w:val="left"/>
              <w:spacing w:line="360" w:lineRule="exact"/>
              <w:tabs>
                <w:tab w:val="left" w:pos="567" w:leader="none"/>
              </w:tabs>
              <w:rPr>
                <w:rFonts w:hint="eastAsia" w:ascii="宋体" w:hAnsi="宋体"/>
                <w:sz w:val="24"/>
              </w:rPr>
            </w:pPr>
            <w:r>
              <w:rPr>
                <w:rFonts w:hint="eastAsia" w:ascii="宋体" w:hAnsi="宋体" w:cs="仿宋_GB2312"/>
                <w:sz w:val="24"/>
              </w:rPr>
              <w:t xml:space="preserve">2</w:t>
            </w:r>
            <w:r>
              <w:rPr>
                <w:rFonts w:ascii="宋体" w:hAnsi="宋体" w:cs="仿宋_GB2312"/>
                <w:sz w:val="24"/>
              </w:rPr>
              <w:t xml:space="preserve">.</w:t>
            </w:r>
            <w:r>
              <w:rPr>
                <w:rFonts w:hint="eastAsia" w:ascii="宋体" w:hAnsi="宋体" w:cs="仿宋_GB2312"/>
                <w:sz w:val="24"/>
              </w:rPr>
              <w:t xml:space="preserve">交付成果包括企业岗位及短期培训需求调研报告（培训期数相应的份数），企业岗位任务与课程包匹配清单1套，不少于10个短期培训课程包。每个课程包原则上包括培训目标、培训方案、教学计划、双语课件、教案或教学指导材料、实践任务、考核任务等，并配套专家论证材料、企业及校方审核记录、实施反馈和修订记录。全部成果须提交可编辑源文件。</w:t>
            </w:r>
            <w:r>
              <w:rPr>
                <w:rFonts w:hint="eastAsia" w:ascii="宋体" w:hAnsi="宋体"/>
                <w:sz w:val="24"/>
              </w:rPr>
            </w:r>
            <w:r/>
          </w:p>
        </w:tc>
      </w:tr>
      <w:tr>
        <w:trPr>
          <w:trHeight w:val="170"/>
        </w:trPr>
        <w:tc>
          <w:tcPr>
            <w:tcW w:w="45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957"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本土员工技能培训组织管理支持</w:t>
            </w:r>
            <w:r/>
          </w:p>
        </w:tc>
        <w:tc>
          <w:tcPr>
            <w:tcW w:w="3584" w:type="pct"/>
            <w:vAlign w:val="center"/>
            <w:textDirection w:val="lrTb"/>
            <w:noWrap w:val="false"/>
          </w:tcPr>
          <w:p>
            <w:pPr>
              <w:pStyle w:val="892"/>
              <w:jc w:val="left"/>
              <w:spacing w:before="0" w:line="360" w:lineRule="exact"/>
              <w:tabs>
                <w:tab w:val="left" w:pos="780" w:leader="none"/>
              </w:tabs>
              <w:rPr>
                <w:rFonts w:cs="仿宋_GB2312"/>
              </w:rPr>
            </w:pPr>
            <w:r>
              <w:rPr>
                <w:rFonts w:hint="eastAsia" w:cs="仿宋_GB2312"/>
              </w:rPr>
              <w:t xml:space="preserve">1</w:t>
            </w:r>
            <w:r>
              <w:rPr>
                <w:rFonts w:cs="仿宋_GB2312"/>
              </w:rPr>
              <w:t xml:space="preserve">.</w:t>
            </w:r>
            <w:r>
              <w:rPr>
                <w:rFonts w:hint="eastAsia" w:cs="仿宋_GB2312"/>
              </w:rPr>
              <w:t xml:space="preserve">三年服务期内，组织完成不少于300有效人次培训，培训对象包含在乌中资企业在岗员工、乌兹别克斯坦本土企业员工及当地有学习意愿的社会学员。供应商负责学员联络和资格核验、班级编排、培训通知、现场协调、翻译支持、签到考勤、学习过程记录、考核组织、满意度调查和企业反馈等工作；采购人负责选派教师、确定核心教学内容和考核要求。有效培训人次应具备真实可核验的学员信息，达到规定学习要求，完成过程记录并参加考核，不得仅按报名人数或签到次数计算。模块2已取得使用权益的场地和设备用于本项培训时，不得重复收取场地、设备使用费。</w:t>
            </w:r>
            <w:r>
              <w:rPr>
                <w:rFonts w:cs="仿宋_GB2312"/>
              </w:rPr>
            </w:r>
            <w:r/>
          </w:p>
          <w:p>
            <w:pPr>
              <w:pStyle w:val="892"/>
              <w:jc w:val="left"/>
              <w:spacing w:before="0" w:line="360" w:lineRule="exact"/>
              <w:tabs>
                <w:tab w:val="left" w:pos="780" w:leader="none"/>
              </w:tabs>
              <w:rPr>
                <w:rFonts w:hint="eastAsia" w:cs="仿宋_GB2312"/>
              </w:rPr>
            </w:pPr>
            <w:r>
              <w:rPr>
                <w:rFonts w:hint="eastAsia" w:cs="仿宋_GB2312"/>
              </w:rPr>
              <w:t xml:space="preserve">2</w:t>
            </w:r>
            <w:r>
              <w:rPr>
                <w:rFonts w:cs="仿宋_GB2312"/>
              </w:rPr>
              <w:t xml:space="preserve">.</w:t>
            </w:r>
            <w:r>
              <w:rPr>
                <w:rFonts w:hint="eastAsia" w:cs="仿宋_GB2312"/>
              </w:rPr>
              <w:t xml:space="preserve">交付成果包括项目整体培训实施方案、每期专项培训计划双语版1套；每期参训学员名册及上课记录台账1套；每期培训现场教学影像、实训过程素材、结业考核佐证材料1套；300人次有效学员名单，本项目涉及到的所有翻译材料1套。学员满意度调查问卷、统计分析报告及训后跟踪记录1套。</w:t>
            </w:r>
            <w:r/>
          </w:p>
        </w:tc>
      </w:tr>
      <w:tr>
        <w:trPr>
          <w:trHeight w:val="170"/>
        </w:trPr>
        <w:tc>
          <w:tcPr>
            <w:tcW w:w="45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3</w:t>
            </w:r>
            <w:r/>
          </w:p>
        </w:tc>
        <w:tc>
          <w:tcPr>
            <w:tcW w:w="957"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技能人才培养中心申报与认定服务</w:t>
            </w:r>
            <w:r/>
          </w:p>
        </w:tc>
        <w:tc>
          <w:tcPr>
            <w:tcW w:w="3584" w:type="pct"/>
            <w:vAlign w:val="center"/>
            <w:textDirection w:val="lrTb"/>
            <w:noWrap w:val="false"/>
          </w:tcPr>
          <w:p>
            <w:pPr>
              <w:pStyle w:val="892"/>
              <w:jc w:val="left"/>
              <w:spacing w:before="0" w:line="360" w:lineRule="exact"/>
              <w:tabs>
                <w:tab w:val="left" w:pos="780" w:leader="none"/>
              </w:tabs>
              <w:rPr>
                <w:rFonts w:cs="仿宋_GB2312"/>
              </w:rPr>
            </w:pPr>
            <w:r>
              <w:rPr>
                <w:rFonts w:hint="eastAsia" w:cs="仿宋_GB2312"/>
              </w:rPr>
              <w:t xml:space="preserve">1</w:t>
            </w:r>
            <w:r>
              <w:rPr>
                <w:rFonts w:cs="仿宋_GB2312"/>
              </w:rPr>
              <w:t xml:space="preserve">.</w:t>
            </w:r>
            <w:r>
              <w:rPr>
                <w:rFonts w:hint="eastAsia" w:cs="仿宋_GB2312"/>
              </w:rPr>
              <w:t xml:space="preserve">围绕技能人才培养中心建设成果，研究乌兹别克斯坦有关州级以上职业教育主管部门的申报条件和材料要求，系统梳理办学条件、课程包建设、培训实施、师资和校企合作成果，完成双语申报材料编制、佐证归集、正式申报、沟通答疑和进度跟踪，推动技能人才培养中心取得乌兹州级以上职教署或实际具有受理、认定权限的相应州级以上职业教育主管部门正式认定。</w:t>
            </w:r>
            <w:r>
              <w:rPr>
                <w:rFonts w:cs="仿宋_GB2312"/>
              </w:rPr>
            </w:r>
            <w:r/>
          </w:p>
          <w:p>
            <w:pPr>
              <w:pStyle w:val="892"/>
              <w:jc w:val="left"/>
              <w:spacing w:before="0" w:line="360" w:lineRule="exact"/>
              <w:tabs>
                <w:tab w:val="left" w:pos="780" w:leader="none"/>
              </w:tabs>
              <w:rPr>
                <w:rFonts w:hint="eastAsia" w:cs="仿宋_GB2312"/>
              </w:rPr>
            </w:pPr>
            <w:r>
              <w:rPr>
                <w:rFonts w:hint="eastAsia" w:cs="仿宋_GB2312"/>
              </w:rPr>
              <w:t xml:space="preserve">2</w:t>
            </w:r>
            <w:r>
              <w:rPr>
                <w:rFonts w:cs="仿宋_GB2312"/>
              </w:rPr>
              <w:t xml:space="preserve">.</w:t>
            </w:r>
            <w:r>
              <w:rPr>
                <w:rFonts w:hint="eastAsia" w:cs="仿宋_GB2312"/>
              </w:rPr>
              <w:t xml:space="preserve">交付成果包括技能人才培养中心申报方案1份、双语申报材料完整稿1套、佐证材料汇编1套、正式受理证明或受理回执1份、沟通及进度跟踪记录1套，以及乌兹州级以上职教署或实际具有受理、认定权限的相应州级以上职业教育主管部门出具的正式认定文件1份。完成正式申报并取得主管部门出具的受理回执或具有同等效力的正式受理证明后支付</w:t>
            </w:r>
            <w:r>
              <w:rPr>
                <w:rFonts w:cs="仿宋_GB2312"/>
              </w:rPr>
              <w:t xml:space="preserve">50%</w:t>
            </w:r>
            <w:r>
              <w:rPr>
                <w:rFonts w:hint="eastAsia" w:cs="仿宋_GB2312"/>
              </w:rPr>
              <w:t xml:space="preserve">；取得技能人才培养中心正式认定文件后支付剩余5</w:t>
            </w:r>
            <w:r>
              <w:rPr>
                <w:rFonts w:cs="仿宋_GB2312"/>
              </w:rPr>
              <w:t xml:space="preserve">0%</w:t>
            </w:r>
            <w:r>
              <w:rPr>
                <w:rFonts w:hint="eastAsia" w:cs="仿宋_GB2312"/>
              </w:rPr>
              <w:t xml:space="preserve">。未取得正式认定结果的，不支付认定结果对应的款项。</w:t>
            </w:r>
            <w:r/>
          </w:p>
        </w:tc>
      </w:tr>
      <w:tr>
        <w:trPr>
          <w:trHeight w:val="170"/>
        </w:trPr>
        <w:tc>
          <w:tcPr>
            <w:gridSpan w:val="2"/>
            <w:tcBorders>
              <w:right w:val="single" w:color="000000" w:sz="4" w:space="0"/>
            </w:tcBorders>
            <w:tcW w:w="1416"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六、项目评估与品牌宣传</w:t>
            </w:r>
            <w:r/>
          </w:p>
        </w:tc>
        <w:tc>
          <w:tcPr>
            <w:tcBorders>
              <w:left w:val="single" w:color="000000" w:sz="4" w:space="0"/>
              <w:right w:val="single" w:color="000000" w:sz="4" w:space="0"/>
            </w:tcBorders>
            <w:tcW w:w="3584" w:type="pct"/>
            <w:vAlign w:val="center"/>
            <w:textDirection w:val="lrTb"/>
            <w:noWrap w:val="false"/>
          </w:tcPr>
          <w:p>
            <w:pPr>
              <w:pStyle w:val="859"/>
              <w:contextualSpacing/>
              <w:jc w:val="left"/>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45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W w:w="957"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项目境外办学质量评估及评估报告服务</w:t>
            </w:r>
            <w:r/>
          </w:p>
        </w:tc>
        <w:tc>
          <w:tcPr>
            <w:tcBorders>
              <w:right w:val="single" w:color="000000" w:sz="4" w:space="0"/>
            </w:tcBorders>
            <w:tcW w:w="3584" w:type="pct"/>
            <w:vAlign w:val="center"/>
            <w:textDirection w:val="lrTb"/>
            <w:noWrap w:val="false"/>
          </w:tcPr>
          <w:p>
            <w:pPr>
              <w:pStyle w:val="892"/>
              <w:jc w:val="left"/>
              <w:spacing w:before="0" w:line="360" w:lineRule="exact"/>
              <w:tabs>
                <w:tab w:val="left" w:pos="780" w:leader="none"/>
              </w:tabs>
              <w:rPr>
                <w:rFonts w:cs="仿宋_GB2312"/>
              </w:rPr>
            </w:pPr>
            <w:r>
              <w:rPr>
                <w:rFonts w:hint="eastAsia" w:cs="仿宋_GB2312"/>
              </w:rPr>
              <w:t xml:space="preserve">1</w:t>
            </w:r>
            <w:r>
              <w:rPr>
                <w:rFonts w:cs="仿宋_GB2312"/>
              </w:rPr>
              <w:t xml:space="preserve">.</w:t>
            </w:r>
            <w:r>
              <w:rPr>
                <w:rFonts w:hint="eastAsia" w:cs="仿宋_GB2312"/>
              </w:rPr>
              <w:t xml:space="preserve">围绕项目建设目标和境外办学实际运行情况，协助采购人组织中乌相关专家、合作企业代表开展质量评估，重点评价合作机制、标准资源应用、教学培训实施、校企协同、学员培养成效和项目运行保障等内容。采购人负责确定评价重点和最终审定，供应商负责专家联络、资料收集、会务与翻译、现场或线上评估组织、数据整理和报告编制等支持工作。</w:t>
            </w:r>
            <w:r>
              <w:rPr>
                <w:rFonts w:cs="仿宋_GB2312"/>
              </w:rPr>
            </w:r>
            <w:r/>
          </w:p>
          <w:p>
            <w:pPr>
              <w:pStyle w:val="892"/>
              <w:jc w:val="left"/>
              <w:spacing w:before="0" w:line="360" w:lineRule="exact"/>
              <w:tabs>
                <w:tab w:val="left" w:pos="780" w:leader="none"/>
              </w:tabs>
              <w:rPr>
                <w:rFonts w:hint="eastAsia" w:cs="仿宋_GB2312"/>
              </w:rPr>
            </w:pPr>
            <w:r>
              <w:rPr>
                <w:rFonts w:hint="eastAsia" w:cs="仿宋_GB2312"/>
              </w:rPr>
              <w:t xml:space="preserve">2</w:t>
            </w:r>
            <w:r>
              <w:rPr>
                <w:rFonts w:cs="仿宋_GB2312"/>
              </w:rPr>
              <w:t xml:space="preserve">.</w:t>
            </w:r>
            <w:r>
              <w:rPr>
                <w:rFonts w:hint="eastAsia" w:cs="仿宋_GB2312"/>
              </w:rPr>
              <w:t xml:space="preserve">交付成果包括评估专家名单及专家意见1套，现场核查或线上访谈记录及佐证材料1套，项目境外办学质量评估报告1份，问题清单和改进建议1套，以及整改跟踪记录1套。</w:t>
            </w:r>
            <w:r/>
          </w:p>
        </w:tc>
      </w:tr>
      <w:tr>
        <w:trPr>
          <w:trHeight w:val="170"/>
        </w:trPr>
        <w:tc>
          <w:tcPr>
            <w:tcW w:w="45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957"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境外办学品牌项目认定服务</w:t>
            </w:r>
            <w:r/>
          </w:p>
        </w:tc>
        <w:tc>
          <w:tcPr>
            <w:tcW w:w="3584" w:type="pct"/>
            <w:vAlign w:val="center"/>
            <w:textDirection w:val="lrTb"/>
            <w:noWrap w:val="false"/>
          </w:tcPr>
          <w:p>
            <w:pPr>
              <w:pStyle w:val="892"/>
              <w:jc w:val="left"/>
              <w:spacing w:before="0" w:line="360" w:lineRule="exact"/>
              <w:tabs>
                <w:tab w:val="left" w:pos="780" w:leader="none"/>
              </w:tabs>
              <w:rPr>
                <w:rFonts w:cs="仿宋_GB2312"/>
              </w:rPr>
            </w:pPr>
            <w:r>
              <w:rPr>
                <w:rFonts w:hint="eastAsia" w:cs="仿宋_GB2312"/>
              </w:rPr>
              <w:t xml:space="preserve">1</w:t>
            </w:r>
            <w:r>
              <w:rPr>
                <w:rFonts w:cs="仿宋_GB2312"/>
              </w:rPr>
              <w:t xml:space="preserve">.</w:t>
            </w:r>
            <w:r>
              <w:rPr>
                <w:rFonts w:hint="eastAsia" w:cs="仿宋_GB2312"/>
              </w:rPr>
              <w:t xml:space="preserve">根据采购人确定的申报方向，梳理项目建设条件和阶段成果，开展申报政策研究、材料编制完善、佐证归集、沟通协调和结果跟踪，推动项目取得中文工坊、鲁班工坊、绿色工坊等相关境外办学品牌项目中的至少1项正式认定。取得2项及以上认定的，本项费用不累计增加。</w:t>
            </w:r>
            <w:r>
              <w:rPr>
                <w:rFonts w:cs="仿宋_GB2312"/>
              </w:rPr>
            </w:r>
            <w:r/>
          </w:p>
          <w:p>
            <w:pPr>
              <w:pStyle w:val="859"/>
              <w:jc w:val="left"/>
              <w:spacing w:line="360" w:lineRule="exact"/>
              <w:rPr>
                <w:rFonts w:ascii="宋体" w:hAnsi="宋体"/>
                <w:sz w:val="24"/>
              </w:rPr>
            </w:pPr>
            <w:r>
              <w:rPr>
                <w:rFonts w:hint="eastAsia" w:ascii="宋体" w:hAnsi="宋体" w:cs="仿宋_GB2312"/>
                <w:sz w:val="24"/>
              </w:rPr>
              <w:t xml:space="preserve">2</w:t>
            </w:r>
            <w:r>
              <w:rPr>
                <w:rFonts w:ascii="宋体" w:hAnsi="宋体" w:cs="仿宋_GB2312"/>
                <w:sz w:val="24"/>
              </w:rPr>
              <w:t xml:space="preserve">.</w:t>
            </w:r>
            <w:r>
              <w:rPr>
                <w:rFonts w:hint="eastAsia" w:ascii="宋体" w:hAnsi="宋体" w:cs="仿宋_GB2312"/>
                <w:sz w:val="24"/>
              </w:rPr>
              <w:t xml:space="preserve">交付成果包括完整申报材料及佐证汇编1套、申报和沟通记录1套，以及中文工坊、鲁班工坊、绿色工坊等相关境外办学品牌项目中至少1项正式认定结果。有效认定证明可以为主管或授权单位出具的正式认定文件、批复文件、官方入选名单、官方公示结果、授权证明、证书或其他具有同等效力且可核验的官方材料。该项目为结果性费用，未取得约定正式认定结果不支付；取得2项及以上认定仍按本项限价支付，不累计计费。</w:t>
            </w:r>
            <w:r>
              <w:rPr>
                <w:rFonts w:ascii="宋体" w:hAnsi="宋体"/>
                <w:sz w:val="24"/>
              </w:rPr>
            </w:r>
            <w:r/>
          </w:p>
        </w:tc>
      </w:tr>
      <w:tr>
        <w:trPr>
          <w:trHeight w:val="170"/>
        </w:trPr>
        <w:tc>
          <w:tcPr>
            <w:tcW w:w="45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3</w:t>
            </w:r>
            <w:r/>
          </w:p>
        </w:tc>
        <w:tc>
          <w:tcPr>
            <w:tcW w:w="957"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项目成果境外宣传物料设计与制作服务</w:t>
            </w:r>
            <w:r/>
          </w:p>
        </w:tc>
        <w:tc>
          <w:tcPr>
            <w:tcW w:w="3584" w:type="pct"/>
            <w:vAlign w:val="center"/>
            <w:textDirection w:val="lrTb"/>
            <w:noWrap w:val="false"/>
          </w:tcPr>
          <w:p>
            <w:pPr>
              <w:pStyle w:val="892"/>
              <w:jc w:val="left"/>
              <w:spacing w:before="0" w:line="360" w:lineRule="exact"/>
              <w:tabs>
                <w:tab w:val="left" w:pos="780" w:leader="none"/>
              </w:tabs>
              <w:rPr>
                <w:rFonts w:cs="仿宋_GB2312"/>
              </w:rPr>
            </w:pPr>
            <w:r>
              <w:rPr>
                <w:rFonts w:hint="eastAsia" w:cs="仿宋_GB2312"/>
              </w:rPr>
              <w:t xml:space="preserve">1</w:t>
            </w:r>
            <w:r>
              <w:rPr>
                <w:rFonts w:cs="仿宋_GB2312"/>
              </w:rPr>
              <w:t xml:space="preserve">.</w:t>
            </w:r>
            <w:r>
              <w:rPr>
                <w:rFonts w:hint="eastAsia" w:cs="仿宋_GB2312"/>
              </w:rPr>
              <w:t xml:space="preserve">需为采购人的合作办学项目提供成果宣传物料的设计与制作服务，协助采购人开展项目品牌展示与成果推介工作。围绕合作办学项目的阶段性成果与亮点，策划并执行一系列国际化宣传与品牌打造活动，通过主流媒体与社交平台矩阵，系统提升项目在乌兹别克斯坦及国际范围内的知名度与影响力。制作项目成果宣传视频1个，排版设计并完成合作办学项目成果宣传手册每年1本，建设期结束后总成果手册1本，手册共计4本均需</w:t>
            </w:r>
            <w:r>
              <w:rPr>
                <w:rFonts w:hint="eastAsia" w:cs="仿宋_GB2312"/>
              </w:rPr>
              <w:t xml:space="preserve">图文并茂，系统呈现项目发展历程、人才培养模式、校企合作案例及未来规划等内容，采用中乌双语排版，设计风格兼顾国际化审美与乌兹别克斯坦本土文化元素，最终交付可印刷的PDF定稿；在当地知名媒体、官方账号或合作地方网络平台上开展每年不少于2次的宣传报道，报道形式可涵盖新闻稿、专题采访、短视频或图文推送等，需结合乌兹别克斯坦当地行业展会或项目关键节点进行精准投放，确保传播内容的时效性与本地关联性。宣传内容应以项目实际成果为基础，与模块2揭牌仪式现场纪实和新闻联络相区分，已有影像、新闻稿等素材应优先复用，不得重复计费。</w:t>
            </w:r>
            <w:r>
              <w:rPr>
                <w:rFonts w:cs="仿宋_GB2312"/>
              </w:rPr>
            </w:r>
            <w:r/>
          </w:p>
          <w:p>
            <w:pPr>
              <w:pStyle w:val="859"/>
              <w:jc w:val="left"/>
              <w:spacing w:line="360" w:lineRule="exact"/>
              <w:rPr>
                <w:rFonts w:ascii="宋体" w:hAnsi="宋体"/>
                <w:sz w:val="24"/>
              </w:rPr>
            </w:pPr>
            <w:r>
              <w:rPr>
                <w:rFonts w:hint="eastAsia" w:ascii="宋体" w:hAnsi="宋体" w:cs="仿宋_GB2312"/>
                <w:sz w:val="24"/>
              </w:rPr>
              <w:t xml:space="preserve">2</w:t>
            </w:r>
            <w:r>
              <w:rPr>
                <w:rFonts w:ascii="宋体" w:hAnsi="宋体" w:cs="仿宋_GB2312"/>
                <w:sz w:val="24"/>
              </w:rPr>
              <w:t xml:space="preserve">.</w:t>
            </w:r>
            <w:r>
              <w:rPr>
                <w:rFonts w:hint="eastAsia" w:ascii="宋体" w:hAnsi="宋体" w:cs="仿宋_GB2312"/>
                <w:sz w:val="24"/>
              </w:rPr>
              <w:t xml:space="preserve">交付成果项目成果宣传成片视频1个，含高清成片文件；中乌双语项目成果宣传手册4本，含可编辑源文件、高清可印刷PDF定稿文件；适配境外平台发布的双语新闻宣传稿件若干篇；年度宣传推广执行清单1套（三年服务期内每年累计不少于2次官方平台宣传报道）各渠道宣传发布链接、官方截图、传播留存佐证材料1套；宣传传播数据统计报表、内容合规性审核记录全套归档材料1套。</w:t>
            </w:r>
            <w:r>
              <w:rPr>
                <w:rFonts w:ascii="宋体" w:hAnsi="宋体"/>
                <w:sz w:val="24"/>
              </w:rPr>
            </w:r>
            <w:r/>
          </w:p>
        </w:tc>
      </w:tr>
    </w:tbl>
    <w:p>
      <w:pPr>
        <w:pStyle w:val="859"/>
        <w:contextualSpacing/>
        <w:ind w:left="-2" w:firstLine="482"/>
        <w:spacing w:line="360" w:lineRule="auto"/>
        <w:tabs>
          <w:tab w:val="left" w:pos="567" w:leader="none"/>
        </w:tabs>
        <w:rPr>
          <w:rFonts w:ascii="宋体" w:hAnsi="宋体"/>
          <w:b/>
          <w:sz w:val="24"/>
        </w:rPr>
      </w:pPr>
      <w:r>
        <w:rPr>
          <w:rFonts w:hint="eastAsia" w:ascii="宋体" w:hAnsi="宋体"/>
          <w:b/>
          <w:sz w:val="24"/>
        </w:rPr>
        <w:t xml:space="preserve">2. 各方职责和采购边界。采购人负责专业方向、人才培养目标、标准和课程核心内容、教材专业内容、教师选派、教学实施、考核要求、成果学术审定和质量管理。供应商重点承担采购人难以在境外持续独立完成的属地协调、专业翻译与术语校审、境外合规、本土化适配、申报认定、人员组织、活动执行、数据和证据材料整理等专业服务。采购人、乌方合作院校或中资企业能够无偿提供的场地、设备、师资、课程资源和已有素材不得再次计费。</w:t>
      </w:r>
      <w:r>
        <w:rPr>
          <w:rFonts w:ascii="宋体" w:hAnsi="宋体"/>
          <w:b/>
          <w:sz w:val="24"/>
        </w:rPr>
      </w:r>
      <w:r/>
    </w:p>
    <w:p>
      <w:pPr>
        <w:pStyle w:val="859"/>
        <w:contextualSpacing/>
        <w:ind w:left="-2" w:firstLine="482"/>
        <w:spacing w:line="360" w:lineRule="auto"/>
        <w:tabs>
          <w:tab w:val="left" w:pos="567" w:leader="none"/>
        </w:tabs>
        <w:rPr>
          <w:rFonts w:hint="eastAsia" w:ascii="宋体" w:hAnsi="宋体"/>
          <w:b/>
          <w:sz w:val="24"/>
        </w:rPr>
      </w:pPr>
      <w:r>
        <w:rPr>
          <w:rFonts w:hint="eastAsia" w:ascii="宋体" w:hAnsi="宋体"/>
          <w:b/>
          <w:sz w:val="24"/>
        </w:rPr>
        <w:t xml:space="preserve">双语成果和源文件要求。承担翻译和本土化工作的人员应具备相应专业背景或专业翻译能力，标准、教材、课程包、视频字幕、评估报告、宣传材料等成果均应提交采购人可持续使用的可编辑源文件和最终定稿文件，并按采购人意见完成必要修改。重要教学成果应组织中乌双方或校企相关专家审校论证。</w:t>
      </w:r>
      <w:r/>
    </w:p>
    <w:p>
      <w:pPr>
        <w:pStyle w:val="955"/>
        <w:contextualSpacing/>
        <w:ind w:left="480" w:firstLine="0"/>
        <w:spacing w:line="360" w:lineRule="auto"/>
        <w:tabs>
          <w:tab w:val="left" w:pos="567" w:leader="none"/>
        </w:tabs>
        <w:rPr>
          <w:rFonts w:hint="eastAsia" w:ascii="宋体" w:hAnsi="宋体"/>
          <w:b/>
          <w:sz w:val="24"/>
          <w:szCs w:val="24"/>
        </w:rPr>
      </w:pPr>
      <w:r>
        <w:rPr>
          <w:rFonts w:hint="eastAsia" w:ascii="宋体" w:hAnsi="宋体"/>
          <w:b/>
          <w:sz w:val="24"/>
          <w:szCs w:val="24"/>
        </w:rPr>
        <w:t xml:space="preserve">四、商务要求</w:t>
      </w:r>
      <w:r/>
    </w:p>
    <w:p>
      <w:pPr>
        <w:pStyle w:val="859"/>
        <w:contextualSpacing/>
        <w:ind w:left="-2" w:firstLine="482"/>
        <w:spacing w:line="360" w:lineRule="auto"/>
        <w:tabs>
          <w:tab w:val="left" w:pos="567" w:leader="none"/>
        </w:tabs>
        <w:rPr>
          <w:rFonts w:ascii="宋体" w:hAnsi="宋体"/>
          <w:sz w:val="24"/>
        </w:rPr>
      </w:pPr>
      <w:r>
        <w:rPr>
          <w:rFonts w:hint="eastAsia" w:ascii="宋体" w:hAnsi="宋体"/>
          <w:b/>
          <w:sz w:val="24"/>
        </w:rPr>
        <w:t xml:space="preserve">（一）合同履行期限：</w:t>
      </w:r>
      <w:r>
        <w:rPr>
          <w:rFonts w:hint="eastAsia" w:ascii="宋体" w:hAnsi="宋体"/>
          <w:sz w:val="24"/>
        </w:rPr>
        <w:t xml:space="preserve">三年。</w:t>
      </w:r>
      <w:r>
        <w:rPr>
          <w:rFonts w:ascii="宋体" w:hAnsi="宋体"/>
          <w:sz w:val="24"/>
        </w:rPr>
      </w:r>
      <w:r/>
    </w:p>
    <w:p>
      <w:pPr>
        <w:pStyle w:val="859"/>
        <w:contextualSpacing/>
        <w:ind w:left="-2" w:firstLine="482"/>
        <w:spacing w:line="360" w:lineRule="auto"/>
        <w:tabs>
          <w:tab w:val="left" w:pos="567" w:leader="none"/>
        </w:tabs>
        <w:rPr>
          <w:rFonts w:hint="eastAsia" w:ascii="宋体" w:hAnsi="宋体"/>
          <w:sz w:val="24"/>
        </w:rPr>
      </w:pPr>
      <w:r>
        <w:rPr>
          <w:rFonts w:hint="eastAsia" w:ascii="宋体" w:hAnsi="宋体"/>
          <w:b/>
          <w:sz w:val="24"/>
        </w:rPr>
        <w:t xml:space="preserve">（二）投标报价：</w:t>
      </w:r>
      <w:r>
        <w:rPr>
          <w:rFonts w:hint="eastAsia" w:ascii="宋体" w:hAnsi="宋体"/>
          <w:sz w:val="24"/>
        </w:rPr>
        <w:t xml:space="preserve">本项目投标报价为</w:t>
      </w:r>
      <w:r>
        <w:rPr>
          <w:rFonts w:hint="eastAsia" w:ascii="宋体" w:hAnsi="宋体"/>
          <w:b/>
          <w:sz w:val="24"/>
        </w:rPr>
        <w:t xml:space="preserve">固定单价</w:t>
      </w:r>
      <w:r>
        <w:rPr>
          <w:rFonts w:hint="eastAsia" w:ascii="宋体" w:hAnsi="宋体"/>
          <w:sz w:val="24"/>
        </w:rPr>
        <w:t xml:space="preserve">，投标报价应包括招标文件所确定的招标范围相应服务的提供、人员（包括工资和补贴）、翻译、会务、交通、场地、设备、网络、第三方服务、保险、劳保、管理、各种税费、利润、税金、政策性文件规定及合同包含的所有风险、责任等各项应有费用，以及为完成该项服务项目所涉及到的一切相关费用，采购人不再支付其他任何费用。若有工期发生延长情况，则采购人不支付成交供应商任何费用。</w:t>
      </w:r>
      <w:r/>
    </w:p>
    <w:p>
      <w:pPr>
        <w:pStyle w:val="859"/>
        <w:contextualSpacing/>
        <w:ind w:left="-2" w:firstLine="482"/>
        <w:spacing w:line="360" w:lineRule="auto"/>
        <w:tabs>
          <w:tab w:val="left" w:pos="567" w:leader="none"/>
        </w:tabs>
        <w:rPr>
          <w:rFonts w:ascii="宋体" w:hAnsi="宋体"/>
          <w:b/>
          <w:sz w:val="24"/>
        </w:rPr>
      </w:pPr>
      <w:r>
        <w:rPr>
          <w:rFonts w:hint="eastAsia" w:ascii="宋体" w:hAnsi="宋体"/>
          <w:b/>
          <w:sz w:val="24"/>
        </w:rPr>
        <w:t xml:space="preserve">注：</w:t>
      </w:r>
      <w:r>
        <w:rPr>
          <w:rFonts w:ascii="宋体" w:hAnsi="宋体"/>
          <w:b/>
          <w:sz w:val="24"/>
        </w:rPr>
      </w:r>
      <w:r/>
    </w:p>
    <w:p>
      <w:pPr>
        <w:pStyle w:val="859"/>
        <w:numPr>
          <w:ilvl w:val="0"/>
          <w:numId w:val="15"/>
        </w:numPr>
        <w:contextualSpacing/>
        <w:ind w:left="-2" w:firstLine="482"/>
        <w:spacing w:line="360" w:lineRule="auto"/>
        <w:tabs>
          <w:tab w:val="left" w:pos="312" w:leader="none"/>
          <w:tab w:val="left" w:pos="567" w:leader="none"/>
        </w:tabs>
        <w:rPr>
          <w:rFonts w:hint="eastAsia" w:ascii="宋体" w:hAnsi="宋体"/>
          <w:b/>
          <w:sz w:val="24"/>
        </w:rPr>
      </w:pPr>
      <w:r>
        <w:rPr>
          <w:rFonts w:hint="eastAsia" w:ascii="宋体" w:hAnsi="宋体"/>
          <w:b/>
          <w:sz w:val="24"/>
        </w:rPr>
        <w:t xml:space="preserve">供应商须按分项报价，不得突破一级模块和项目限价。涉及5年场地及设备使用权益的义务不因3年服务期届满而终止。</w:t>
      </w:r>
      <w:r/>
    </w:p>
    <w:p>
      <w:pPr>
        <w:pStyle w:val="859"/>
        <w:numPr>
          <w:ilvl w:val="0"/>
          <w:numId w:val="15"/>
        </w:numPr>
        <w:contextualSpacing/>
        <w:ind w:left="-2" w:firstLine="482"/>
        <w:spacing w:line="360" w:lineRule="auto"/>
        <w:tabs>
          <w:tab w:val="left" w:pos="312" w:leader="none"/>
          <w:tab w:val="left" w:pos="567" w:leader="none"/>
        </w:tabs>
        <w:rPr>
          <w:rFonts w:hint="eastAsia" w:ascii="宋体" w:hAnsi="宋体"/>
          <w:b/>
          <w:sz w:val="24"/>
        </w:rPr>
      </w:pPr>
      <w:r>
        <w:rPr>
          <w:rFonts w:hint="eastAsia" w:ascii="宋体" w:hAnsi="宋体"/>
          <w:b/>
          <w:sz w:val="24"/>
        </w:rPr>
        <w:t xml:space="preserve">3年合同服务期内：场地无法使用、被收回或设备不能正常使用，30日内未恢复或提供替代场地，按该分项合同金额 20%支付违约金；造成项目无法开展的，可解除合同、退还未履行部分价款并赔偿直接损失。</w:t>
      </w:r>
      <w:r/>
    </w:p>
    <w:p>
      <w:pPr>
        <w:pStyle w:val="859"/>
        <w:numPr>
          <w:ilvl w:val="0"/>
          <w:numId w:val="15"/>
        </w:numPr>
        <w:contextualSpacing/>
        <w:ind w:left="-2" w:firstLine="482"/>
        <w:spacing w:line="360" w:lineRule="auto"/>
        <w:tabs>
          <w:tab w:val="left" w:pos="312" w:leader="none"/>
          <w:tab w:val="left" w:pos="567" w:leader="none"/>
        </w:tabs>
        <w:rPr>
          <w:rFonts w:hint="eastAsia" w:ascii="宋体" w:hAnsi="宋体"/>
          <w:b/>
          <w:sz w:val="24"/>
        </w:rPr>
      </w:pPr>
      <w:r>
        <w:rPr>
          <w:rFonts w:hint="eastAsia" w:ascii="宋体" w:hAnsi="宋体"/>
          <w:b/>
          <w:sz w:val="24"/>
        </w:rPr>
        <w:t xml:space="preserve">3年服务期届满后的剩余2年：30日内未修复或提供同等标准替代场地的，每发生一次按该分项合同金额 15%支付违约金。</w:t>
      </w:r>
      <w:r/>
    </w:p>
    <w:p>
      <w:pPr>
        <w:pStyle w:val="859"/>
        <w:numPr>
          <w:ilvl w:val="0"/>
          <w:numId w:val="15"/>
        </w:numPr>
        <w:contextualSpacing/>
        <w:ind w:left="-2" w:firstLine="482"/>
        <w:spacing w:line="360" w:lineRule="auto"/>
        <w:tabs>
          <w:tab w:val="left" w:pos="312" w:leader="none"/>
          <w:tab w:val="left" w:pos="567" w:leader="none"/>
        </w:tabs>
        <w:rPr>
          <w:rFonts w:ascii="宋体" w:hAnsi="宋体"/>
          <w:b/>
          <w:sz w:val="24"/>
        </w:rPr>
      </w:pPr>
      <w:r>
        <w:rPr>
          <w:rFonts w:hint="eastAsia" w:ascii="宋体" w:hAnsi="宋体"/>
          <w:b/>
          <w:sz w:val="24"/>
        </w:rPr>
        <w:t xml:space="preserve">完全丧失场地使用权且无合格替代方案：按该分项合同金额 50%支付违约金；违约金不足以弥补直接经济损失或项目停滞损失的，继续赔偿不足部分。</w:t>
      </w:r>
      <w:r>
        <w:rPr>
          <w:rFonts w:ascii="宋体" w:hAnsi="宋体"/>
          <w:b/>
          <w:sz w:val="24"/>
        </w:rPr>
      </w:r>
      <w:r/>
    </w:p>
    <w:p>
      <w:pPr>
        <w:pStyle w:val="859"/>
        <w:contextualSpacing/>
        <w:ind w:left="-2" w:firstLine="482"/>
        <w:spacing w:line="360" w:lineRule="auto"/>
        <w:tabs>
          <w:tab w:val="left" w:pos="567" w:leader="none"/>
        </w:tabs>
        <w:rPr>
          <w:rFonts w:hint="eastAsia" w:ascii="宋体" w:hAnsi="宋体"/>
          <w:b/>
          <w:sz w:val="24"/>
        </w:rPr>
      </w:pPr>
      <w:r>
        <w:rPr>
          <w:rFonts w:ascii="宋体" w:hAnsi="宋体"/>
          <w:b/>
          <w:sz w:val="24"/>
        </w:rPr>
        <w:t xml:space="preserve">5.</w:t>
      </w:r>
      <w:r>
        <w:rPr>
          <w:rFonts w:hint="eastAsia" w:ascii="宋体" w:hAnsi="宋体"/>
          <w:b/>
          <w:sz w:val="24"/>
        </w:rPr>
        <w:t xml:space="preserve">供应商应逐项列明服务数量、单价或限价、费用构成、完成时点、交付载体和验收凭证。合同约定已包含的人员、翻译、会务、交通、场地、设备、网络、第三方服务、税费等费用不得以同一事项另行追加。前期基础调研与短期培训需求调研、揭牌活动与成果宣传、教材视频建设与课程包适配、培训过程管理与中心认定等应分别核算、分别验收，不得交叉重复收费。</w:t>
      </w:r>
      <w:r/>
    </w:p>
    <w:p>
      <w:pPr>
        <w:pStyle w:val="859"/>
        <w:contextualSpacing/>
        <w:ind w:left="-2" w:firstLine="482"/>
        <w:spacing w:line="360" w:lineRule="auto"/>
        <w:tabs>
          <w:tab w:val="left" w:pos="567" w:leader="none"/>
        </w:tabs>
        <w:rPr>
          <w:rFonts w:ascii="宋体" w:hAnsi="宋体"/>
          <w:b/>
          <w:sz w:val="24"/>
        </w:rPr>
      </w:pPr>
      <w:r>
        <w:rPr>
          <w:rFonts w:hint="eastAsia" w:ascii="宋体" w:hAnsi="宋体"/>
          <w:b/>
          <w:sz w:val="24"/>
        </w:rPr>
        <w:t xml:space="preserve">（三）过程留痕、审计和变更控制</w:t>
      </w:r>
      <w:r>
        <w:rPr>
          <w:rFonts w:ascii="宋体" w:hAnsi="宋体"/>
          <w:b/>
          <w:sz w:val="24"/>
        </w:rPr>
      </w:r>
      <w:r/>
    </w:p>
    <w:p>
      <w:pPr>
        <w:pStyle w:val="859"/>
        <w:contextualSpacing/>
        <w:ind w:left="-2" w:firstLine="480"/>
        <w:spacing w:line="360" w:lineRule="auto"/>
        <w:tabs>
          <w:tab w:val="left" w:pos="567" w:leader="none"/>
        </w:tabs>
        <w:rPr>
          <w:rFonts w:ascii="宋体" w:hAnsi="宋体"/>
          <w:sz w:val="24"/>
        </w:rPr>
      </w:pPr>
      <w:r>
        <w:rPr>
          <w:rFonts w:hint="eastAsia" w:ascii="宋体" w:hAnsi="宋体"/>
          <w:sz w:val="24"/>
        </w:rPr>
        <w:t xml:space="preserve">对调研、协议、场地、标准适配、教材视频、课程包、培训、申报认定、质量评估和宣传等关键环节，应保存原始数据、工作记录、往来函件、会议纪要、影像资料、版本修改记录、费用凭证和成果应用证明。任务数量、成果要求、场地设备安排、培训规模、认证认定目标或费用结构发生实质性变化时，供应商应书面说明原因、影响和替代方案，经采购人履行审批程序后实施；未经批准的变更不得作为验收和付款依据。采购人有权开展阶段检查、财务核查、专项审计和境外现场抽查。</w:t>
      </w:r>
      <w:r>
        <w:rPr>
          <w:rFonts w:ascii="宋体" w:hAnsi="宋体"/>
          <w:sz w:val="24"/>
        </w:rPr>
      </w:r>
      <w:r/>
    </w:p>
    <w:p>
      <w:pPr>
        <w:pStyle w:val="859"/>
        <w:contextualSpacing/>
        <w:ind w:left="-2" w:firstLine="482"/>
        <w:spacing w:line="360" w:lineRule="auto"/>
        <w:tabs>
          <w:tab w:val="left" w:pos="567" w:leader="none"/>
        </w:tabs>
        <w:rPr>
          <w:rFonts w:hint="eastAsia" w:ascii="宋体" w:hAnsi="宋体"/>
          <w:b/>
          <w:sz w:val="24"/>
        </w:rPr>
      </w:pPr>
      <w:r>
        <w:rPr>
          <w:rFonts w:hint="eastAsia" w:ascii="宋体" w:hAnsi="宋体"/>
          <w:b/>
          <w:sz w:val="24"/>
        </w:rPr>
        <w:t xml:space="preserve">（四）拟投入场地设备：包含但不限于电脑、复印件、打印机、投影仪、课桌椅、讲台、音响设备等基本教学设备。</w:t>
      </w:r>
      <w:r/>
    </w:p>
    <w:p>
      <w:pPr>
        <w:pStyle w:val="859"/>
        <w:contextualSpacing/>
        <w:ind w:left="-2" w:firstLine="482"/>
        <w:spacing w:line="360" w:lineRule="auto"/>
        <w:tabs>
          <w:tab w:val="left" w:pos="567" w:leader="none"/>
        </w:tabs>
        <w:rPr>
          <w:rFonts w:ascii="宋体" w:hAnsi="宋体"/>
          <w:b/>
          <w:sz w:val="24"/>
        </w:rPr>
      </w:pPr>
      <w:r>
        <w:rPr>
          <w:rFonts w:hint="eastAsia" w:ascii="宋体" w:hAnsi="宋体"/>
          <w:b/>
          <w:sz w:val="24"/>
        </w:rPr>
        <w:t xml:space="preserve">（五）知识产权、数据和安全</w:t>
      </w:r>
      <w:r>
        <w:rPr>
          <w:rFonts w:ascii="宋体" w:hAnsi="宋体"/>
          <w:b/>
          <w:sz w:val="24"/>
        </w:rPr>
      </w:r>
      <w:r/>
    </w:p>
    <w:p>
      <w:pPr>
        <w:pStyle w:val="859"/>
        <w:contextualSpacing/>
        <w:ind w:left="-2" w:firstLine="480"/>
        <w:spacing w:line="360" w:lineRule="auto"/>
        <w:tabs>
          <w:tab w:val="left" w:pos="567" w:leader="none"/>
        </w:tabs>
        <w:rPr>
          <w:rFonts w:hint="eastAsia" w:ascii="宋体" w:hAnsi="宋体"/>
          <w:sz w:val="24"/>
        </w:rPr>
      </w:pPr>
      <w:r>
        <w:rPr>
          <w:rFonts w:hint="eastAsia" w:ascii="宋体" w:hAnsi="宋体"/>
          <w:sz w:val="24"/>
        </w:rPr>
        <w:t xml:space="preserve">除依法不得转让的人身权外，本项目实施过程中由项目经费支付、专门为本项目形成</w:t>
      </w:r>
      <w:r>
        <w:rPr>
          <w:rFonts w:hint="eastAsia" w:ascii="宋体" w:hAnsi="宋体"/>
          <w:sz w:val="24"/>
        </w:rPr>
        <w:t xml:space="preserve">的标准文本、教材及其源文件、视频及字幕、课程包、评估报告、宣传材料、数据整理成果等，其著作财产权及其他可转让知识产权权益归采购人所有。供应商及其境外合作方仅可为履行本项目之目的使用，未经采购人书面同意，不得复制、许可第三方使用、公开发布或用于本项目以外的研究、宣传和商业活动。供应商已有或依法取得授权的通用工具、底层技术、模板及第三方素材，其原有知识产权不因本项目转移，但供应商应保证采购人获得永久、免费、不可撤销、可在中国及乌兹别克斯坦境内外用于教学、培训、修改、翻译、复制、汇编、展示和项目推广的合法使用权。</w:t>
      </w:r>
      <w:r/>
    </w:p>
    <w:p>
      <w:pPr>
        <w:pStyle w:val="859"/>
        <w:contextualSpacing/>
        <w:ind w:left="-2" w:firstLine="480"/>
        <w:spacing w:line="360" w:lineRule="auto"/>
        <w:tabs>
          <w:tab w:val="left" w:pos="567" w:leader="none"/>
        </w:tabs>
        <w:rPr>
          <w:rFonts w:hint="eastAsia" w:ascii="宋体" w:hAnsi="宋体"/>
          <w:sz w:val="24"/>
        </w:rPr>
      </w:pPr>
      <w:r>
        <w:rPr>
          <w:rFonts w:hint="eastAsia" w:ascii="宋体" w:hAnsi="宋体"/>
          <w:sz w:val="24"/>
        </w:rPr>
        <w:t xml:space="preserve">涉及乌兹别克斯坦境内制作、共同创作、出版或使用的成果，供应商应负责取得乌方合作院校、作者、制作方、出版社及其他权利主体必要的书面授权、转让或许可文件，确保采购人在中国和乌兹别克斯坦均享有持续、合法且不低于本条约定范围的使用权益。供应商应保证交付成果不侵犯任何第三方合法权益；发生知识产权争议或侵权责任的，由供应商负责处理并承担相应责任。供应商及其境外合作方还应遵守保密、数据跨境和个人信息保护要求，不得以采购人名义擅自对外承诺、签署文件或发布信息。</w:t>
      </w:r>
      <w:r/>
    </w:p>
    <w:p>
      <w:pPr>
        <w:pStyle w:val="859"/>
        <w:contextualSpacing/>
        <w:ind w:left="-2" w:firstLine="480"/>
        <w:spacing w:line="360" w:lineRule="auto"/>
        <w:tabs>
          <w:tab w:val="left" w:pos="567" w:leader="none"/>
        </w:tabs>
        <w:rPr>
          <w:rFonts w:ascii="宋体" w:hAnsi="宋体"/>
          <w:sz w:val="24"/>
        </w:rPr>
      </w:pPr>
      <w:r>
        <w:rPr>
          <w:rFonts w:hint="eastAsia" w:ascii="宋体" w:hAnsi="宋体"/>
          <w:sz w:val="24"/>
        </w:rPr>
        <w:t xml:space="preserve">成果知识产权和使用权归属采购人。供应商及其境外合作方不得以采购人名义擅自对外承诺、签署文件或发布信息。未经采购人书面同意，不得将项目数据、课程资源、学员信息和成果素材用于本项目以外的研究、宣传或商业用途。</w:t>
      </w:r>
      <w:r>
        <w:rPr>
          <w:rFonts w:ascii="宋体" w:hAnsi="宋体"/>
          <w:sz w:val="24"/>
        </w:rPr>
      </w:r>
      <w:r/>
    </w:p>
    <w:p>
      <w:pPr>
        <w:pStyle w:val="859"/>
        <w:contextualSpacing/>
        <w:ind w:left="-2" w:firstLine="480"/>
        <w:spacing w:line="360" w:lineRule="auto"/>
        <w:tabs>
          <w:tab w:val="left" w:pos="567" w:leader="none"/>
        </w:tabs>
        <w:rPr>
          <w:rFonts w:hint="eastAsia" w:ascii="宋体" w:hAnsi="宋体"/>
          <w:sz w:val="24"/>
        </w:rPr>
      </w:pPr>
      <w:r>
        <w:rPr>
          <w:rFonts w:hint="eastAsia" w:ascii="宋体" w:hAnsi="宋体"/>
          <w:sz w:val="24"/>
        </w:rPr>
        <w:t xml:space="preserve">人员与教学安全：中标供应商须落实本项目境外办学全过程安全管理责任，建立教学、实训、出行、疫情、治安等风险防控及应急处置预案；对赴乌兹别克斯坦参与项目的中方人员、乌方参训学员、师资做好安全告知、风险提示与安全教育，落实必要安全保障措施；教学实训活动须符合当地安全规范，防范实训设备操作、场地活动等安全事故，如发生安全事件，由中标供应商承担相应责任及处置工作。</w:t>
      </w:r>
      <w:r/>
    </w:p>
    <w:p>
      <w:pPr>
        <w:pStyle w:val="859"/>
        <w:contextualSpacing/>
        <w:ind w:left="-2" w:firstLine="482"/>
        <w:spacing w:line="360" w:lineRule="auto"/>
        <w:tabs>
          <w:tab w:val="left" w:pos="567" w:leader="none"/>
        </w:tabs>
        <w:rPr>
          <w:rFonts w:ascii="宋体" w:hAnsi="宋体"/>
          <w:b/>
          <w:sz w:val="24"/>
        </w:rPr>
      </w:pPr>
      <w:r>
        <w:rPr>
          <w:rFonts w:hint="eastAsia" w:ascii="宋体" w:hAnsi="宋体"/>
          <w:b/>
          <w:sz w:val="24"/>
        </w:rPr>
        <w:t xml:space="preserve">（五）付款条件</w:t>
      </w:r>
      <w:r>
        <w:rPr>
          <w:rFonts w:ascii="宋体" w:hAnsi="宋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937"/>
        <w:gridCol w:w="5450"/>
        <w:gridCol w:w="11"/>
      </w:tblGrid>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ascii="宋体" w:hAnsi="宋体"/>
                <w:b/>
                <w:sz w:val="24"/>
              </w:rPr>
            </w:pPr>
            <w:r>
              <w:rPr>
                <w:rFonts w:hint="eastAsia" w:ascii="宋体" w:hAnsi="宋体"/>
                <w:b/>
                <w:sz w:val="24"/>
              </w:rPr>
              <w:t xml:space="preserve">序号</w:t>
            </w:r>
            <w:r>
              <w:rPr>
                <w:rFonts w:ascii="宋体" w:hAnsi="宋体"/>
                <w:b/>
                <w:sz w:val="24"/>
              </w:rPr>
            </w:r>
            <w:r/>
          </w:p>
        </w:tc>
        <w:tc>
          <w:tcPr>
            <w:tcW w:w="1581" w:type="pct"/>
            <w:vAlign w:val="center"/>
            <w:textDirection w:val="lrTb"/>
            <w:noWrap w:val="false"/>
          </w:tcPr>
          <w:p>
            <w:pPr>
              <w:pStyle w:val="859"/>
              <w:contextualSpacing/>
              <w:jc w:val="center"/>
              <w:spacing w:line="360" w:lineRule="exact"/>
              <w:tabs>
                <w:tab w:val="left" w:pos="567" w:leader="none"/>
              </w:tabs>
              <w:rPr>
                <w:rFonts w:ascii="宋体" w:hAnsi="宋体"/>
                <w:b/>
                <w:sz w:val="24"/>
              </w:rPr>
            </w:pPr>
            <w:r>
              <w:rPr>
                <w:rFonts w:hint="eastAsia" w:ascii="宋体" w:hAnsi="宋体"/>
                <w:b/>
                <w:sz w:val="24"/>
              </w:rPr>
              <w:t xml:space="preserve">服务名称</w:t>
            </w:r>
            <w:r>
              <w:rPr>
                <w:rFonts w:ascii="宋体" w:hAnsi="宋体"/>
                <w:b/>
                <w:sz w:val="24"/>
              </w:rPr>
            </w:r>
            <w:r/>
          </w:p>
        </w:tc>
        <w:tc>
          <w:tcPr>
            <w:gridSpan w:val="2"/>
            <w:tcW w:w="2940" w:type="pct"/>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付款条件</w:t>
            </w:r>
            <w:r/>
          </w:p>
        </w:tc>
      </w:tr>
      <w:tr>
        <w:trPr>
          <w:gridAfter w:val="1"/>
          <w:trHeight w:val="170"/>
        </w:trPr>
        <w:tc>
          <w:tcPr>
            <w:gridSpan w:val="2"/>
            <w:tcBorders>
              <w:right w:val="single" w:color="000000" w:sz="4" w:space="0"/>
            </w:tcBorders>
            <w:tcW w:w="2060"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一、合作调研服务</w:t>
            </w:r>
            <w:r/>
          </w:p>
        </w:tc>
        <w:tc>
          <w:tcPr>
            <w:tcBorders>
              <w:left w:val="single" w:color="000000" w:sz="4" w:space="0"/>
              <w:right w:val="single" w:color="000000" w:sz="4" w:space="0"/>
            </w:tcBorders>
            <w:tcW w:w="2934"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Borders>
              <w:right w:val="single" w:color="000000" w:sz="4" w:space="0"/>
            </w:tcBorders>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海外分院建设境外前期筹备调研服务</w:t>
            </w:r>
            <w:r/>
          </w:p>
        </w:tc>
        <w:tc>
          <w:tcPr>
            <w:gridSpan w:val="2"/>
            <w:tcBorders>
              <w:left w:val="single" w:color="000000" w:sz="4" w:space="0"/>
              <w:right w:val="single" w:color="000000" w:sz="4" w:space="0"/>
            </w:tcBorders>
            <w:tcW w:w="2940" w:type="pct"/>
            <w:vAlign w:val="center"/>
            <w:textDirection w:val="lrTb"/>
            <w:noWrap w:val="false"/>
          </w:tcPr>
          <w:p>
            <w:pPr>
              <w:pStyle w:val="859"/>
              <w:contextualSpacing/>
              <w:spacing w:line="360" w:lineRule="exact"/>
              <w:tabs>
                <w:tab w:val="left" w:pos="567" w:leader="none"/>
              </w:tabs>
              <w:rPr>
                <w:rFonts w:ascii="宋体" w:hAnsi="宋体"/>
                <w:sz w:val="24"/>
              </w:rPr>
            </w:pPr>
            <w:r>
              <w:rPr>
                <w:rFonts w:hint="eastAsia" w:ascii="宋体" w:hAnsi="宋体" w:cs="宋体"/>
                <w:sz w:val="24"/>
                <w:shd w:val="clear" w:color="auto" w:fill="ffffff"/>
              </w:rPr>
              <w:t xml:space="preserve">完成约定调研工作并提交全部交付成果，经采购人审定、验收合格后，供应商提交合法有效发票及完整结算资料，采购人在3个月内一次性支付该分项合同价款的100%。</w:t>
            </w:r>
            <w:r>
              <w:rPr>
                <w:rFonts w:ascii="宋体" w:hAnsi="宋体"/>
                <w:sz w:val="24"/>
              </w:rPr>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乌兹别克斯坦师资来华交流对接统筹服务</w:t>
            </w:r>
            <w:r/>
          </w:p>
        </w:tc>
        <w:tc>
          <w:tcPr>
            <w:gridSpan w:val="2"/>
            <w:tcBorders>
              <w:right w:val="single" w:color="000000" w:sz="4" w:space="0"/>
            </w:tcBorders>
            <w:tcW w:w="2940" w:type="pct"/>
            <w:vAlign w:val="center"/>
            <w:textDirection w:val="lrTb"/>
            <w:noWrap w:val="false"/>
          </w:tcPr>
          <w:p>
            <w:pPr>
              <w:pStyle w:val="859"/>
              <w:contextualSpacing/>
              <w:spacing w:line="360" w:lineRule="exact"/>
              <w:tabs>
                <w:tab w:val="left" w:pos="567" w:leader="none"/>
              </w:tabs>
              <w:rPr>
                <w:rFonts w:hint="eastAsia" w:ascii="宋体" w:hAnsi="宋体"/>
                <w:sz w:val="24"/>
              </w:rPr>
            </w:pPr>
            <w:r>
              <w:rPr>
                <w:rFonts w:hint="eastAsia" w:ascii="宋体" w:hAnsi="宋体"/>
                <w:sz w:val="24"/>
              </w:rPr>
              <w:t xml:space="preserve">三年项目周期内全部来华交流任务执行完毕，累计达到不少于200人日，约定合作协议及人员名单、人日统计表、日程安排、活动过程记录等资料归档完整并验收合格后，供应商提交合法有效发票及完整结算资料，采购人在3个月内一次性支付该分项合同价款的100%。</w:t>
            </w:r>
            <w:r/>
          </w:p>
        </w:tc>
      </w:tr>
      <w:tr>
        <w:trPr>
          <w:gridAfter w:val="1"/>
          <w:trHeight w:val="170"/>
        </w:trPr>
        <w:tc>
          <w:tcPr>
            <w:gridSpan w:val="2"/>
            <w:tcBorders>
              <w:right w:val="single" w:color="000000" w:sz="4" w:space="0"/>
            </w:tcBorders>
            <w:tcW w:w="2060"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二、海外分院筹建服务</w:t>
            </w:r>
            <w:r/>
          </w:p>
        </w:tc>
        <w:tc>
          <w:tcPr>
            <w:tcBorders>
              <w:left w:val="single" w:color="000000" w:sz="4" w:space="0"/>
              <w:right w:val="single" w:color="000000" w:sz="4" w:space="0"/>
            </w:tcBorders>
            <w:tcW w:w="2934"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Borders>
              <w:right w:val="single" w:color="000000" w:sz="4" w:space="0"/>
            </w:tcBorders>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bCs/>
                <w:sz w:val="24"/>
              </w:rPr>
              <w:t xml:space="preserve">三方合作机制建设咨询与缔结协议境外合规性服务</w:t>
            </w:r>
            <w:r>
              <w:rPr>
                <w:rFonts w:hint="eastAsia" w:ascii="宋体" w:hAnsi="宋体"/>
                <w:sz w:val="24"/>
              </w:rPr>
            </w:r>
            <w:r/>
          </w:p>
        </w:tc>
        <w:tc>
          <w:tcPr>
            <w:gridSpan w:val="2"/>
            <w:tcBorders>
              <w:left w:val="single" w:color="000000" w:sz="4" w:space="0"/>
              <w:right w:val="single" w:color="000000" w:sz="4" w:space="0"/>
            </w:tcBorders>
            <w:tcW w:w="2940" w:type="pct"/>
            <w:vAlign w:val="center"/>
            <w:textDirection w:val="lrTb"/>
            <w:noWrap w:val="false"/>
          </w:tcPr>
          <w:p>
            <w:pPr>
              <w:pStyle w:val="859"/>
            </w:pPr>
            <w:r>
              <w:rPr>
                <w:rFonts w:hint="eastAsia" w:ascii="宋体" w:hAnsi="宋体" w:cs="宋体"/>
                <w:sz w:val="24"/>
                <w:shd w:val="clear" w:color="auto" w:fill="ffffff"/>
              </w:rPr>
              <w:t xml:space="preserve">三方合作机制方案、双语合作协议文本、涉外合规审核材料等交付成果全部完成，且约定合作协议正式签署并经采购人验收合格后，供应商提交合法有效发票及完整结算资料，采购人在3个月内一次性支付该分项合同价款的100%。</w:t>
            </w:r>
            <w:r/>
          </w:p>
        </w:tc>
      </w:tr>
      <w:tr>
        <w:trPr>
          <w:trHeight w:val="333"/>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实体办学场地设置</w:t>
            </w:r>
            <w:r/>
          </w:p>
        </w:tc>
        <w:tc>
          <w:tcPr>
            <w:gridSpan w:val="2"/>
            <w:tcBorders>
              <w:right w:val="single" w:color="000000" w:sz="4" w:space="0"/>
            </w:tcBorders>
            <w:tcW w:w="2940" w:type="pct"/>
            <w:vAlign w:val="center"/>
            <w:textDirection w:val="lrTb"/>
            <w:noWrap w:val="false"/>
          </w:tcPr>
          <w:p>
            <w:pPr>
              <w:pStyle w:val="859"/>
            </w:pPr>
            <w:r>
              <w:rPr>
                <w:rFonts w:hint="eastAsia" w:ascii="宋体" w:hAnsi="宋体" w:cs="宋体"/>
                <w:sz w:val="24"/>
                <w:shd w:val="clear" w:color="auto" w:fill="ffffff"/>
              </w:rPr>
              <w:t xml:space="preserve">场地及配套设备按约定标准完成交付并验收合格，供应商提交能够覆盖完整5年使用期的有效场地使用或合作证明、设施设备清单及其他约定材料后，供应商提交合法有效发票及完整结算资料，采购人在3个月内一次性支付该分项合同价款的100%。该项价款支付不免除供应商在完整5年使用期内的持续保障义务。</w:t>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3</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海外分院（培训中心）境外揭牌仪式筹备服务</w:t>
            </w:r>
            <w:r/>
          </w:p>
        </w:tc>
        <w:tc>
          <w:tcPr>
            <w:gridSpan w:val="2"/>
            <w:tcBorders>
              <w:right w:val="single" w:color="000000" w:sz="4" w:space="0"/>
            </w:tcBorders>
            <w:tcW w:w="2940" w:type="pct"/>
            <w:vAlign w:val="center"/>
            <w:textDirection w:val="lrTb"/>
            <w:noWrap w:val="false"/>
          </w:tcPr>
          <w:p>
            <w:pPr>
              <w:pStyle w:val="859"/>
            </w:pPr>
            <w:r>
              <w:rPr>
                <w:rFonts w:hint="eastAsia" w:ascii="宋体" w:hAnsi="宋体" w:cs="宋体"/>
                <w:sz w:val="24"/>
                <w:shd w:val="clear" w:color="auto" w:fill="ffffff"/>
              </w:rPr>
              <w:t xml:space="preserve">境外揭牌活动按约定完成，双语标识牌、嘉宾及议程清单、现场影像资料、双语新闻稿、活动总结及宣传佐证材料等全部交付并验收合格后，供应商提交合法有效发票及完整结算资料，采购人在3个月内一次性支付该分项合同价款的100%。</w:t>
            </w:r>
            <w:r/>
          </w:p>
        </w:tc>
      </w:tr>
      <w:tr>
        <w:trPr>
          <w:gridAfter w:val="1"/>
          <w:trHeight w:val="170"/>
        </w:trPr>
        <w:tc>
          <w:tcPr>
            <w:gridSpan w:val="2"/>
            <w:tcBorders>
              <w:right w:val="single" w:color="000000" w:sz="4" w:space="0"/>
            </w:tcBorders>
            <w:tcW w:w="2060"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三、国际化标准适配及资源建设一期</w:t>
            </w:r>
            <w:r/>
          </w:p>
        </w:tc>
        <w:tc>
          <w:tcPr>
            <w:tcBorders>
              <w:left w:val="single" w:color="000000" w:sz="4" w:space="0"/>
              <w:right w:val="single" w:color="000000" w:sz="4" w:space="0"/>
            </w:tcBorders>
            <w:tcW w:w="2934"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国际化课程标准与专业教学标准境外适配支持服务</w:t>
            </w:r>
            <w:r/>
          </w:p>
        </w:tc>
        <w:tc>
          <w:tcPr>
            <w:gridSpan w:val="2"/>
            <w:tcBorders>
              <w:right w:val="single" w:color="000000" w:sz="4" w:space="0"/>
            </w:tcBorders>
            <w:tcW w:w="2940" w:type="pct"/>
            <w:vAlign w:val="center"/>
            <w:textDirection w:val="lrTb"/>
            <w:noWrap w:val="false"/>
          </w:tcPr>
          <w:p>
            <w:pPr>
              <w:pStyle w:val="859"/>
            </w:pPr>
            <w:r>
              <w:rPr>
                <w:rFonts w:hint="eastAsia" w:ascii="宋体" w:hAnsi="宋体" w:cs="宋体"/>
                <w:sz w:val="24"/>
                <w:shd w:val="clear" w:color="auto" w:fill="ffffff"/>
              </w:rPr>
              <w:t xml:space="preserve">专业教学标准1个、课程标准3个及全部可编辑源文件、专家研讨论证材料、审定记录等交付成果完成并验收合格后，供应商提交合法有效发票及完整结算资料，采购人在3个月内一次性支付该分项合同价款的100%。后续应用周期和应用院校要求按履约保证金及履约考核条款执行。</w:t>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Borders>
              <w:right w:val="single" w:color="000000" w:sz="4" w:space="0"/>
            </w:tcBorders>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境外官方认证申报支持服务</w:t>
            </w:r>
            <w:r/>
          </w:p>
        </w:tc>
        <w:tc>
          <w:tcPr>
            <w:gridSpan w:val="2"/>
            <w:tcBorders>
              <w:left w:val="single" w:color="000000" w:sz="4" w:space="0"/>
              <w:right w:val="single" w:color="000000" w:sz="4" w:space="0"/>
            </w:tcBorders>
            <w:tcW w:w="2940" w:type="pct"/>
            <w:vAlign w:val="center"/>
            <w:textDirection w:val="lrTb"/>
            <w:noWrap w:val="false"/>
          </w:tcPr>
          <w:p>
            <w:pPr>
              <w:pStyle w:val="859"/>
            </w:pPr>
            <w:r>
              <w:rPr>
                <w:rFonts w:hint="eastAsia" w:ascii="宋体" w:hAnsi="宋体" w:cs="宋体"/>
                <w:sz w:val="24"/>
                <w:shd w:val="clear" w:color="auto" w:fill="ffffff"/>
              </w:rPr>
              <w:t xml:space="preserve">以取得乌兹别克斯坦有权部门出具的正式认证结果为付款条件。约定申报的专业教学标准1项和课程标准3项可按取得正式认证的标准项数分项验收、分项支付，单项支付金额按该分项中标价×已取得正式认证的标准项数÷4计算；未取得正式认证结果的对应标准项不支付费用。累计支付金额不超过该分项中标价。</w:t>
            </w:r>
            <w:r/>
          </w:p>
        </w:tc>
      </w:tr>
      <w:tr>
        <w:trPr>
          <w:gridAfter w:val="1"/>
          <w:trHeight w:val="170"/>
        </w:trPr>
        <w:tc>
          <w:tcPr>
            <w:gridSpan w:val="2"/>
            <w:tcBorders>
              <w:right w:val="single" w:color="000000" w:sz="4" w:space="0"/>
            </w:tcBorders>
            <w:tcW w:w="2060"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四、国际化标准适配及资源建设二期</w:t>
            </w:r>
            <w:r/>
          </w:p>
        </w:tc>
        <w:tc>
          <w:tcPr>
            <w:tcBorders>
              <w:left w:val="single" w:color="000000" w:sz="4" w:space="0"/>
              <w:right w:val="single" w:color="000000" w:sz="4" w:space="0"/>
            </w:tcBorders>
            <w:tcW w:w="2934"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Borders>
              <w:right w:val="single" w:color="000000" w:sz="4" w:space="0"/>
            </w:tcBorders>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国际化双语教材建设境外适配支持服务</w:t>
            </w:r>
            <w:r/>
          </w:p>
        </w:tc>
        <w:tc>
          <w:tcPr>
            <w:gridSpan w:val="2"/>
            <w:tcBorders>
              <w:left w:val="single" w:color="000000" w:sz="4" w:space="0"/>
              <w:right w:val="single" w:color="000000" w:sz="4" w:space="0"/>
            </w:tcBorders>
            <w:tcW w:w="2940" w:type="pct"/>
            <w:vAlign w:val="center"/>
            <w:textDirection w:val="lrTb"/>
            <w:noWrap w:val="false"/>
          </w:tcPr>
          <w:p>
            <w:pPr>
              <w:pStyle w:val="859"/>
              <w:contextualSpacing/>
              <w:spacing w:line="360" w:lineRule="exact"/>
              <w:tabs>
                <w:tab w:val="left" w:pos="567" w:leader="none"/>
              </w:tabs>
              <w:rPr>
                <w:rFonts w:hint="eastAsia" w:ascii="宋体" w:hAnsi="宋体"/>
                <w:sz w:val="24"/>
              </w:rPr>
            </w:pPr>
            <w:r>
              <w:rPr>
                <w:rFonts w:hint="eastAsia" w:ascii="宋体" w:hAnsi="宋体" w:cs="宋体"/>
                <w:sz w:val="24"/>
                <w:shd w:val="clear" w:color="auto" w:fill="ffffff"/>
              </w:rPr>
              <w:t xml:space="preserve">按教材单册验收、分册支付。每本双语核心教材完成本土化适配、正式出版并取得有效ISBN，且可编辑源文件、印刷定稿文件、审校记录等资料验收合格后，按该教材对应中标单价支付；累计支付不超过5本教材的分项中标总价。后续应用周期和应用院校要求按履约保证金及履约考核条款执行。</w:t>
            </w:r>
            <w:r>
              <w:rPr>
                <w:rFonts w:hint="eastAsia" w:ascii="宋体" w:hAnsi="宋体"/>
                <w:sz w:val="24"/>
              </w:rPr>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国际化课程教学视频建设境外适配支持服务</w:t>
            </w:r>
            <w:r/>
          </w:p>
        </w:tc>
        <w:tc>
          <w:tcPr>
            <w:gridSpan w:val="2"/>
            <w:tcBorders>
              <w:right w:val="single" w:color="000000" w:sz="4" w:space="0"/>
            </w:tcBorders>
            <w:tcW w:w="2940" w:type="pct"/>
            <w:vAlign w:val="center"/>
            <w:textDirection w:val="lrTb"/>
            <w:noWrap w:val="false"/>
          </w:tcPr>
          <w:p>
            <w:pPr>
              <w:pStyle w:val="859"/>
              <w:contextualSpacing/>
              <w:spacing w:line="360" w:lineRule="exact"/>
              <w:tabs>
                <w:tab w:val="left" w:pos="567" w:leader="none"/>
              </w:tabs>
              <w:rPr>
                <w:rFonts w:hint="eastAsia" w:ascii="宋体" w:hAnsi="宋体"/>
                <w:sz w:val="24"/>
              </w:rPr>
            </w:pPr>
            <w:r>
              <w:rPr>
                <w:rFonts w:hint="eastAsia" w:ascii="宋体" w:hAnsi="宋体" w:cs="宋体"/>
                <w:sz w:val="24"/>
                <w:shd w:val="clear" w:color="auto" w:fill="ffffff"/>
              </w:rPr>
              <w:t xml:space="preserve">按课程视频资源包逐门验收、逐门支付。每门课程完成约定视频资源、双语字幕、内容审校、本土化适配记录及平台应用佐证并验收合格后，按该门课程对应中标单价支付；累计支付不超过10门课程的分项中标总价。后续应用周期和应用院校要求按履约保证金及履约考核条款执行。</w:t>
            </w:r>
            <w:r>
              <w:rPr>
                <w:rFonts w:hint="eastAsia" w:ascii="宋体" w:hAnsi="宋体"/>
                <w:sz w:val="24"/>
              </w:rPr>
            </w:r>
            <w:r/>
          </w:p>
        </w:tc>
      </w:tr>
      <w:tr>
        <w:trPr>
          <w:gridAfter w:val="1"/>
          <w:trHeight w:val="170"/>
        </w:trPr>
        <w:tc>
          <w:tcPr>
            <w:gridSpan w:val="2"/>
            <w:tcBorders>
              <w:right w:val="single" w:color="000000" w:sz="4" w:space="0"/>
            </w:tcBorders>
            <w:tcW w:w="2060"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五、国际技能人才培养中心建设及培训运营</w:t>
            </w:r>
            <w:r/>
          </w:p>
        </w:tc>
        <w:tc>
          <w:tcPr>
            <w:tcBorders>
              <w:left w:val="single" w:color="000000" w:sz="4" w:space="0"/>
              <w:right w:val="single" w:color="000000" w:sz="4" w:space="0"/>
            </w:tcBorders>
            <w:tcW w:w="2934"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企业短期培训需求调研及课程包境外适配服务</w:t>
            </w:r>
            <w:r/>
          </w:p>
        </w:tc>
        <w:tc>
          <w:tcPr>
            <w:gridSpan w:val="2"/>
            <w:tcBorders>
              <w:right w:val="single" w:color="000000" w:sz="4" w:space="0"/>
            </w:tcBorders>
            <w:tcW w:w="2940" w:type="pct"/>
            <w:vAlign w:val="center"/>
            <w:textDirection w:val="lrTb"/>
            <w:noWrap w:val="false"/>
          </w:tcPr>
          <w:p>
            <w:pPr>
              <w:pStyle w:val="859"/>
              <w:contextualSpacing/>
              <w:spacing w:line="360" w:lineRule="exact"/>
              <w:tabs>
                <w:tab w:val="left" w:pos="567" w:leader="none"/>
              </w:tabs>
              <w:rPr>
                <w:rFonts w:hint="eastAsia" w:ascii="宋体" w:hAnsi="宋体"/>
                <w:sz w:val="24"/>
              </w:rPr>
            </w:pPr>
            <w:r>
              <w:rPr>
                <w:rFonts w:hint="eastAsia" w:ascii="宋体" w:hAnsi="宋体" w:cs="宋体"/>
                <w:sz w:val="24"/>
                <w:shd w:val="clear" w:color="auto" w:fill="ffffff"/>
              </w:rPr>
              <w:t xml:space="preserve">按短期培训课程包逐项验收、逐项支付。每个课程包完成岗位需求调研、内容适配、专家论证、实际应用反馈及修订优化，交付完整可编辑成果并验收合格后，按该课程包对应中标单价支付；累计支付不超过10个课程包的分项中标总价。</w:t>
            </w:r>
            <w:r>
              <w:rPr>
                <w:rFonts w:hint="eastAsia" w:ascii="宋体" w:hAnsi="宋体"/>
                <w:sz w:val="24"/>
              </w:rPr>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本土员工技能培训组织管理支持</w:t>
            </w:r>
            <w:r/>
          </w:p>
        </w:tc>
        <w:tc>
          <w:tcPr>
            <w:gridSpan w:val="2"/>
            <w:tcW w:w="2940" w:type="pct"/>
            <w:vAlign w:val="center"/>
            <w:textDirection w:val="lrTb"/>
            <w:noWrap w:val="false"/>
          </w:tcPr>
          <w:p>
            <w:pPr>
              <w:pStyle w:val="859"/>
            </w:pPr>
            <w:r>
              <w:rPr>
                <w:rFonts w:hint="eastAsia" w:ascii="宋体" w:hAnsi="宋体" w:cs="宋体"/>
                <w:sz w:val="24"/>
                <w:shd w:val="clear" w:color="auto" w:fill="ffffff"/>
              </w:rPr>
              <w:t xml:space="preserve">按实际完成并经验收确认的有效培训人次分批支付。每批次支付金额按“该分项中标价×本批新增有效培训人次÷300”计算，累计支付不超过该分项中标价的90%；完成累计不少于300有效人次并提交全部汇总交付成果、验收合格后支付剩余价款。</w:t>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3</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技能人才培养中心申报与认定服务</w:t>
            </w:r>
            <w:r/>
          </w:p>
        </w:tc>
        <w:tc>
          <w:tcPr>
            <w:gridSpan w:val="2"/>
            <w:tcW w:w="2940" w:type="pct"/>
            <w:vAlign w:val="center"/>
            <w:textDirection w:val="lrTb"/>
            <w:noWrap w:val="false"/>
          </w:tcPr>
          <w:p>
            <w:pPr>
              <w:pStyle w:val="859"/>
            </w:pPr>
            <w:r>
              <w:rPr>
                <w:rFonts w:hint="eastAsia" w:ascii="宋体" w:hAnsi="宋体" w:cs="宋体"/>
                <w:sz w:val="24"/>
                <w:shd w:val="clear" w:color="auto" w:fill="ffffff"/>
              </w:rPr>
              <w:t xml:space="preserve">完成正式申报并取得有权主管部门出具的受理回执或具有同等效力的正式受理证明，经采购人确认后支付该分项合同价款的50%；取得技能人才培养中心正式认定文件并验收合格后支付剩余50%。未取得正式认定结果的，不支付认定结果对应的剩余款项。</w:t>
            </w:r>
            <w:r/>
          </w:p>
        </w:tc>
      </w:tr>
      <w:tr>
        <w:trPr>
          <w:gridAfter w:val="1"/>
          <w:trHeight w:val="170"/>
        </w:trPr>
        <w:tc>
          <w:tcPr>
            <w:gridSpan w:val="2"/>
            <w:tcBorders>
              <w:right w:val="single" w:color="000000" w:sz="4" w:space="0"/>
            </w:tcBorders>
            <w:tcW w:w="2060"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六、项目评估与品牌宣传</w:t>
            </w:r>
            <w:r/>
          </w:p>
        </w:tc>
        <w:tc>
          <w:tcPr>
            <w:tcBorders>
              <w:left w:val="single" w:color="000000" w:sz="4" w:space="0"/>
              <w:right w:val="single" w:color="000000" w:sz="4" w:space="0"/>
            </w:tcBorders>
            <w:tcW w:w="2934"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项目境外办学质量评估及评估报告服务</w:t>
            </w:r>
            <w:r/>
          </w:p>
        </w:tc>
        <w:tc>
          <w:tcPr>
            <w:gridSpan w:val="2"/>
            <w:tcBorders>
              <w:right w:val="single" w:color="000000" w:sz="4" w:space="0"/>
            </w:tcBorders>
            <w:tcW w:w="2940" w:type="pct"/>
            <w:vAlign w:val="center"/>
            <w:textDirection w:val="lrTb"/>
            <w:noWrap w:val="false"/>
          </w:tcPr>
          <w:p>
            <w:pPr>
              <w:pStyle w:val="859"/>
            </w:pPr>
            <w:r>
              <w:rPr>
                <w:rFonts w:hint="eastAsia" w:ascii="宋体" w:hAnsi="宋体" w:cs="宋体"/>
                <w:sz w:val="24"/>
                <w:shd w:val="clear" w:color="auto" w:fill="ffffff"/>
              </w:rPr>
              <w:t xml:space="preserve">完成项目质量评估组织工作并提交评估专家意见、核查或访谈记录、质量评估报告、问题清单、改进建议及整改跟踪记录等全部成果，经采购人验收合格后，供应商提交合法有效发票及完整结算资料，采购人在3个月内一次性支付该分项合同价款的100%。</w:t>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境外办学品牌项目认定服务</w:t>
            </w:r>
            <w:r/>
          </w:p>
        </w:tc>
        <w:tc>
          <w:tcPr>
            <w:gridSpan w:val="2"/>
            <w:tcW w:w="2940" w:type="pct"/>
            <w:vAlign w:val="center"/>
            <w:textDirection w:val="lrTb"/>
            <w:noWrap w:val="false"/>
          </w:tcPr>
          <w:p>
            <w:pPr>
              <w:pStyle w:val="859"/>
            </w:pPr>
            <w:r>
              <w:rPr>
                <w:rFonts w:hint="eastAsia" w:ascii="宋体" w:hAnsi="宋体" w:cs="宋体"/>
                <w:sz w:val="24"/>
                <w:shd w:val="clear" w:color="auto" w:fill="ffffff"/>
              </w:rPr>
              <w:t xml:space="preserve">取得中文工坊、鲁班工坊、绿色工坊等相关境外办学品牌项目中至少1项正式认定结果并验收合格后，供应商提交合法有效发票及完整结算资料，采购人在3个月内一次性支付该分项合同价款的100%。未取得约定正式认定结果的不支付；取得2项及以上认定仍按该分项中标价支付，不累计增加费用。</w:t>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3</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项目成果境外宣传物料设计与制作服务</w:t>
            </w:r>
            <w:r/>
          </w:p>
        </w:tc>
        <w:tc>
          <w:tcPr>
            <w:gridSpan w:val="2"/>
            <w:tcW w:w="2940" w:type="pct"/>
            <w:vAlign w:val="center"/>
            <w:textDirection w:val="lrTb"/>
            <w:noWrap w:val="false"/>
          </w:tcPr>
          <w:p>
            <w:pPr>
              <w:pStyle w:val="859"/>
            </w:pPr>
            <w:r>
              <w:rPr>
                <w:rFonts w:hint="eastAsia" w:ascii="宋体" w:hAnsi="宋体" w:cs="宋体"/>
                <w:sz w:val="24"/>
                <w:shd w:val="clear" w:color="auto" w:fill="ffffff"/>
              </w:rPr>
              <w:t xml:space="preserve">三年项目周期内完成项目成果宣传成片1个、中乌双语年度成果手册3本、建设期总成果手册1本、每年不少于2次官方平台宣传报道及全部发布佐证、传播数据和合规审核材料，全部交付并验收合格后，供应商提交合法有效发票及完整结算资料，采购人在3个月内一次性支付该分项合同价款的100%。</w:t>
            </w:r>
            <w:r/>
          </w:p>
        </w:tc>
      </w:tr>
    </w:tbl>
    <w:p>
      <w:pPr>
        <w:pStyle w:val="859"/>
        <w:contextualSpacing/>
        <w:ind w:left="-2" w:firstLine="482"/>
        <w:spacing w:line="360" w:lineRule="auto"/>
        <w:tabs>
          <w:tab w:val="left" w:pos="567" w:leader="none"/>
        </w:tabs>
        <w:rPr>
          <w:rFonts w:ascii="宋体" w:hAnsi="宋体"/>
          <w:b/>
          <w:sz w:val="24"/>
        </w:rPr>
      </w:pPr>
      <w:r>
        <w:rPr>
          <w:rFonts w:hint="eastAsia" w:ascii="宋体" w:hAnsi="宋体"/>
          <w:b/>
          <w:sz w:val="24"/>
        </w:rPr>
        <w:t xml:space="preserve">（六）履约保证金</w:t>
      </w:r>
      <w:r>
        <w:rPr>
          <w:rFonts w:ascii="宋体" w:hAnsi="宋体"/>
          <w:b/>
          <w:sz w:val="24"/>
        </w:rPr>
      </w:r>
      <w:r/>
    </w:p>
    <w:p>
      <w:pPr>
        <w:pStyle w:val="955"/>
        <w:contextualSpacing/>
        <w:ind w:firstLine="480"/>
        <w:spacing w:line="360" w:lineRule="auto"/>
        <w:rPr>
          <w:rFonts w:ascii="宋体" w:hAnsi="宋体" w:cs="仿宋_GB2312"/>
          <w:bCs/>
          <w:sz w:val="24"/>
          <w:szCs w:val="24"/>
        </w:rPr>
      </w:pPr>
      <w:r>
        <w:rPr>
          <w:rFonts w:hint="eastAsia" w:ascii="宋体" w:hAnsi="宋体" w:cs="仿宋_GB2312"/>
          <w:bCs/>
          <w:sz w:val="24"/>
          <w:szCs w:val="24"/>
        </w:rPr>
        <w:t xml:space="preserve">1</w:t>
      </w:r>
      <w:r>
        <w:rPr>
          <w:rFonts w:ascii="宋体" w:hAnsi="宋体" w:cs="仿宋_GB2312"/>
          <w:bCs/>
          <w:sz w:val="24"/>
          <w:szCs w:val="24"/>
        </w:rPr>
        <w:t xml:space="preserve">.</w:t>
      </w:r>
      <w:r>
        <w:rPr>
          <w:rFonts w:hint="eastAsia" w:ascii="宋体" w:hAnsi="宋体" w:cs="仿宋_GB2312"/>
          <w:bCs/>
          <w:sz w:val="24"/>
          <w:szCs w:val="24"/>
        </w:rPr>
        <w:t xml:space="preserve">中标人在收到中标通知书后，合同签订前应向招标人缴纳中标总额5%的履约保证金(不接受现金），用以约束中标人在合同履行中的行为，弥补合同执行中由于自身行为可能给招标人带来的各种损失(另有约定的除外)，中标人应在拿到中标通知书后5个工作日内持《采购项目履约保证金缴纳联络单》、采购项目《中标通知书》至招标人财务处缴纳履约保证金，并领取缴费收据。如果中标人不同意按照规定缴纳履约保证金的，采购代理机构有权取消其中标资格，其投标履约保证金不予退还，并有权按照采购文件相关规定对其进行处理。</w:t>
      </w:r>
      <w:r>
        <w:rPr>
          <w:rFonts w:ascii="宋体" w:hAnsi="宋体" w:cs="仿宋_GB2312"/>
          <w:bCs/>
          <w:sz w:val="24"/>
          <w:szCs w:val="24"/>
        </w:rPr>
      </w:r>
      <w:r/>
    </w:p>
    <w:p>
      <w:pPr>
        <w:pStyle w:val="955"/>
        <w:contextualSpacing/>
        <w:ind w:firstLine="480"/>
        <w:spacing w:line="360" w:lineRule="auto"/>
        <w:rPr>
          <w:rFonts w:ascii="宋体" w:hAnsi="宋体" w:cs="仿宋_GB2312"/>
          <w:bCs/>
          <w:sz w:val="24"/>
          <w:szCs w:val="24"/>
        </w:rPr>
      </w:pPr>
      <w:r>
        <w:rPr>
          <w:rFonts w:hint="eastAsia" w:ascii="宋体" w:hAnsi="宋体" w:cs="仿宋_GB2312"/>
          <w:bCs/>
          <w:sz w:val="24"/>
          <w:szCs w:val="24"/>
        </w:rPr>
        <w:t xml:space="preserve">2</w:t>
      </w:r>
      <w:r>
        <w:rPr>
          <w:rFonts w:ascii="宋体" w:hAnsi="宋体" w:cs="仿宋_GB2312"/>
          <w:bCs/>
          <w:sz w:val="24"/>
          <w:szCs w:val="24"/>
        </w:rPr>
        <w:t xml:space="preserve">.</w:t>
      </w:r>
      <w:r>
        <w:rPr>
          <w:rFonts w:hint="eastAsia" w:ascii="宋体" w:hAnsi="宋体" w:cs="仿宋_GB2312"/>
          <w:bCs/>
          <w:sz w:val="24"/>
          <w:szCs w:val="24"/>
        </w:rPr>
        <w:t xml:space="preserve">项目主要建设成果可按分项完成验收和付款，但履约保证金的最终退还应与成果实际应用和持续运营情况挂钩。其中，标准类成果、教材类成果、视频类成果和短期培训课程包应分别达到应用周期累计不少于3期、应</w:t>
      </w:r>
      <w:r>
        <w:rPr>
          <w:rFonts w:hint="eastAsia" w:ascii="宋体" w:hAnsi="宋体" w:cs="仿宋_GB2312"/>
          <w:bCs/>
          <w:sz w:val="24"/>
          <w:szCs w:val="24"/>
        </w:rPr>
        <w:t xml:space="preserve">用院校累计不少于10所乌方院校的要求，并提交经采购人认可的院校清单、课程或培训安排、使用记录、平台记录、课堂或培训应用资料、院校或企业证明等可核验材料。上述四类成果应用要求全部完成并经采购人验收确认，是履约保证金最终退还的前提条件；任一类成果未达到约定应用要求的，履约保证金暂不退还，并按合同约定继续履行、整改或承担相应责任。项目最终验收后，供应商仍应对场地设备5年使用保障、已交付数字资源、认证认定成果及相关系统使用提供必要的持续协调和技术支持；涉及长期使用权益的未履行事项，同样纳入履约考核和保证金退还条件。</w:t>
      </w:r>
      <w:r>
        <w:rPr>
          <w:rFonts w:ascii="宋体" w:hAnsi="宋体" w:cs="仿宋_GB2312"/>
          <w:bCs/>
          <w:sz w:val="24"/>
          <w:szCs w:val="24"/>
        </w:rPr>
      </w:r>
      <w:r/>
    </w:p>
    <w:p>
      <w:pPr>
        <w:pStyle w:val="955"/>
        <w:contextualSpacing/>
        <w:ind w:firstLine="482"/>
        <w:spacing w:line="360" w:lineRule="auto"/>
        <w:rPr>
          <w:rFonts w:ascii="宋体" w:hAnsi="宋体" w:cs="仿宋_GB2312"/>
          <w:b/>
          <w:bCs/>
          <w:sz w:val="24"/>
          <w:szCs w:val="24"/>
        </w:rPr>
      </w:pPr>
      <w:r>
        <w:rPr>
          <w:rFonts w:hint="eastAsia" w:ascii="宋体" w:hAnsi="宋体" w:cs="仿宋_GB2312"/>
          <w:b/>
          <w:bCs/>
          <w:sz w:val="24"/>
          <w:szCs w:val="24"/>
        </w:rPr>
        <w:t xml:space="preserve">（七）履约与违约责任</w:t>
      </w:r>
      <w:r>
        <w:rPr>
          <w:rFonts w:ascii="宋体" w:hAnsi="宋体" w:cs="仿宋_GB2312"/>
          <w:b/>
          <w:bCs/>
          <w:sz w:val="24"/>
          <w:szCs w:val="24"/>
        </w:rPr>
      </w:r>
      <w:r/>
    </w:p>
    <w:p>
      <w:pPr>
        <w:pStyle w:val="955"/>
        <w:contextualSpacing/>
        <w:ind w:firstLine="480"/>
        <w:spacing w:line="360" w:lineRule="auto"/>
        <w:rPr>
          <w:rFonts w:hint="eastAsia" w:ascii="宋体" w:hAnsi="宋体" w:cs="仿宋_GB2312"/>
          <w:bCs/>
          <w:sz w:val="24"/>
          <w:szCs w:val="24"/>
        </w:rPr>
      </w:pPr>
      <w:r>
        <w:rPr>
          <w:rFonts w:hint="eastAsia" w:ascii="宋体" w:hAnsi="宋体" w:cs="仿宋_GB2312"/>
          <w:bCs/>
          <w:sz w:val="24"/>
          <w:szCs w:val="24"/>
        </w:rPr>
        <w:t xml:space="preserve">1</w:t>
      </w:r>
      <w:r>
        <w:rPr>
          <w:rFonts w:ascii="宋体" w:hAnsi="宋体" w:cs="仿宋_GB2312"/>
          <w:bCs/>
          <w:sz w:val="24"/>
          <w:szCs w:val="24"/>
        </w:rPr>
        <w:t xml:space="preserve">.</w:t>
      </w:r>
      <w:r>
        <w:rPr>
          <w:rFonts w:hint="eastAsia" w:ascii="宋体" w:hAnsi="宋体" w:cs="仿宋_GB2312"/>
          <w:bCs/>
          <w:sz w:val="24"/>
          <w:szCs w:val="24"/>
        </w:rPr>
        <w:t xml:space="preserve">供应商中标后，未按承诺取得租期 5 年及以上、覆盖本项目实施周期、场地用途包含职教培训、教学办公的正式租赁协议，或提交的租赁协议不满足招标文件要求的，属于违约。采购人有权：①单方解除合同；②不予退还履约保证金；③供应商承担采购人全部直接及间接损失；④采购人有权将该供应商失信行为报送政府采购监管部门。</w:t>
      </w:r>
      <w:r/>
    </w:p>
    <w:p>
      <w:pPr>
        <w:pStyle w:val="955"/>
        <w:contextualSpacing/>
        <w:ind w:firstLine="480"/>
        <w:spacing w:line="360" w:lineRule="auto"/>
        <w:rPr>
          <w:rFonts w:hint="eastAsia" w:ascii="宋体" w:hAnsi="宋体" w:cs="仿宋_GB2312"/>
          <w:bCs/>
          <w:sz w:val="24"/>
          <w:szCs w:val="24"/>
        </w:rPr>
      </w:pPr>
      <w:r>
        <w:rPr>
          <w:rFonts w:ascii="宋体" w:hAnsi="宋体" w:cs="仿宋_GB2312"/>
          <w:bCs/>
          <w:sz w:val="24"/>
          <w:szCs w:val="24"/>
        </w:rPr>
        <w:t xml:space="preserve">2</w:t>
      </w:r>
      <w:r>
        <w:rPr>
          <w:rFonts w:hint="eastAsia" w:ascii="宋体" w:hAnsi="宋体" w:cs="仿宋_GB2312"/>
          <w:bCs/>
          <w:sz w:val="24"/>
          <w:szCs w:val="24"/>
        </w:rPr>
        <w:t xml:space="preserve">.本项目实体办学场地及配套设备的5年使用权益自场地正式交付并经采购人验收合格之日起计算，独立于3年合同服务期。三年服务期届满后，中标供应商仍应保障采购人在剩余期限内按采购需求约定标准无偿使用约定实训、教学、办公场地及配套设备，采购人不再另行支付场地租赁费、设备使用费。</w:t>
      </w:r>
      <w:r/>
    </w:p>
    <w:p>
      <w:pPr>
        <w:pStyle w:val="955"/>
        <w:contextualSpacing/>
        <w:ind w:firstLine="480"/>
        <w:spacing w:line="360" w:lineRule="auto"/>
        <w:rPr>
          <w:rFonts w:hint="eastAsia" w:ascii="宋体" w:hAnsi="宋体" w:cs="仿宋_GB2312"/>
          <w:bCs/>
          <w:sz w:val="24"/>
          <w:szCs w:val="24"/>
        </w:rPr>
      </w:pPr>
      <w:r>
        <w:rPr>
          <w:rFonts w:ascii="宋体" w:hAnsi="宋体" w:cs="仿宋_GB2312"/>
          <w:bCs/>
          <w:sz w:val="24"/>
          <w:szCs w:val="24"/>
        </w:rPr>
        <w:t xml:space="preserve">3</w:t>
      </w:r>
      <w:r>
        <w:rPr>
          <w:rFonts w:hint="eastAsia" w:ascii="宋体" w:hAnsi="宋体" w:cs="仿宋_GB2312"/>
          <w:bCs/>
          <w:sz w:val="24"/>
          <w:szCs w:val="24"/>
        </w:rPr>
        <w:t xml:space="preserve">.中标供应商应持续负责协调乌兹别克斯坦合作方维持场地租赁或合作关系，保障水、电、网络及设施设备基本可用。三年服务期届满前60日历天，中标供应商须向采购人提交剩余2年场地使用有效性证明文件，包括但不限于更新后的合作协议、场地确认函或其他具有同等效力的证明材料。如发生或可能发生场地到期收回、租赁或合作中断、配套设施设备无法正常使用等风险，中标供应商应在知悉后立即书面预警，并原则上不晚于预计风险发生前90日历天提供等效替代场地方案，替代场地的面积、功能及配套条件不得低于原约定标准。</w:t>
      </w:r>
      <w:r/>
    </w:p>
    <w:p>
      <w:pPr>
        <w:pStyle w:val="955"/>
        <w:contextualSpacing/>
        <w:ind w:firstLine="480"/>
        <w:spacing w:line="360" w:lineRule="auto"/>
        <w:rPr>
          <w:rFonts w:hint="eastAsia" w:ascii="宋体" w:hAnsi="宋体" w:cs="仿宋_GB2312"/>
          <w:bCs/>
          <w:sz w:val="24"/>
          <w:szCs w:val="24"/>
        </w:rPr>
      </w:pPr>
      <w:r>
        <w:rPr>
          <w:rFonts w:ascii="宋体" w:hAnsi="宋体" w:cs="仿宋_GB2312"/>
          <w:bCs/>
          <w:sz w:val="24"/>
          <w:szCs w:val="24"/>
        </w:rPr>
        <w:t xml:space="preserve">4</w:t>
      </w:r>
      <w:r>
        <w:rPr>
          <w:rFonts w:hint="eastAsia" w:ascii="宋体" w:hAnsi="宋体" w:cs="仿宋_GB2312"/>
          <w:bCs/>
          <w:sz w:val="24"/>
          <w:szCs w:val="24"/>
        </w:rPr>
        <w:t xml:space="preserve">.在3年合同服务期内，发生场地无法使用、被收回或配套设施设备不能正常使用，且中标供应商未能在30日历天内恢复使用或提供不低于原标准的替代场地的，采购人有权要求中标供应商支付该分项合同金额20%的违约金；造成项目无法开展的，采购人有权解除合同，要求退还该分项已支付但对应义务未履行部分的价款，并要求中标供应商赔偿由此给采购人造成的直接损失。</w:t>
      </w:r>
      <w:r/>
    </w:p>
    <w:p>
      <w:pPr>
        <w:pStyle w:val="955"/>
        <w:contextualSpacing/>
        <w:ind w:firstLine="480"/>
        <w:spacing w:line="360" w:lineRule="auto"/>
        <w:rPr>
          <w:rFonts w:hint="eastAsia" w:ascii="宋体" w:hAnsi="宋体" w:cs="仿宋_GB2312"/>
          <w:bCs/>
          <w:sz w:val="24"/>
          <w:szCs w:val="24"/>
        </w:rPr>
      </w:pPr>
      <w:r>
        <w:rPr>
          <w:rFonts w:ascii="宋体" w:hAnsi="宋体" w:cs="仿宋_GB2312"/>
          <w:bCs/>
          <w:sz w:val="24"/>
          <w:szCs w:val="24"/>
        </w:rPr>
        <w:t xml:space="preserve">5</w:t>
      </w:r>
      <w:r>
        <w:rPr>
          <w:rFonts w:hint="eastAsia" w:ascii="宋体" w:hAnsi="宋体" w:cs="仿宋_GB2312"/>
          <w:bCs/>
          <w:sz w:val="24"/>
          <w:szCs w:val="24"/>
        </w:rPr>
        <w:t xml:space="preserve">.在3年服务期届满后的剩余2年履约期内，因中标供应商协调不到位导致场地使用权中断、场地被收回或配套设施失效，且中标供应商在30日历天内不能完成修复或提供同等标准替代场地的：（1）每发生一次场地中断事件，中标供应商向采购人支付该分项合同金额15%的违约金；（2）若完全丧失场地使用权且无合格替代方案，中标供应商须向采购人一次性支付该分项合同金额50%的违约金。给采购人造成直接经济损失或项目停滞损失，违约金不足以弥补损失的，中标供应商还应赔偿不足部分。</w:t>
      </w:r>
      <w:r/>
    </w:p>
    <w:p>
      <w:pPr>
        <w:pStyle w:val="955"/>
        <w:contextualSpacing/>
        <w:ind w:firstLine="480"/>
        <w:spacing w:line="360" w:lineRule="auto"/>
        <w:rPr>
          <w:rFonts w:hint="eastAsia" w:ascii="宋体" w:hAnsi="宋体" w:cs="仿宋_GB2312"/>
          <w:bCs/>
          <w:sz w:val="24"/>
          <w:szCs w:val="24"/>
        </w:rPr>
      </w:pPr>
      <w:r>
        <w:rPr>
          <w:rFonts w:ascii="宋体" w:hAnsi="宋体" w:cs="仿宋_GB2312"/>
          <w:bCs/>
          <w:sz w:val="24"/>
          <w:szCs w:val="24"/>
        </w:rPr>
        <w:t xml:space="preserve">6</w:t>
      </w:r>
      <w:r>
        <w:rPr>
          <w:rFonts w:hint="eastAsia" w:ascii="宋体" w:hAnsi="宋体" w:cs="仿宋_GB2312"/>
          <w:bCs/>
          <w:sz w:val="24"/>
          <w:szCs w:val="24"/>
        </w:rPr>
        <w:t xml:space="preserve">.三年服务期届满后，采购人有权在剩余2年内开展年度核验。中标供应商每年须配合采购人完成场地使用权核验，提交场地使用确认文件、现场佐证照片等材料；无正当理由拒绝配合核验的，视为履约违约，每次按该分项合同金额10%承担违约金。</w:t>
      </w:r>
      <w:r/>
    </w:p>
    <w:p>
      <w:pPr>
        <w:pStyle w:val="955"/>
        <w:contextualSpacing/>
        <w:ind w:firstLine="480"/>
        <w:spacing w:line="360" w:lineRule="auto"/>
        <w:rPr>
          <w:rFonts w:hint="eastAsia" w:ascii="宋体" w:hAnsi="宋体" w:cs="仿宋_GB2312"/>
          <w:bCs/>
          <w:sz w:val="24"/>
          <w:szCs w:val="24"/>
        </w:rPr>
      </w:pPr>
      <w:r>
        <w:rPr>
          <w:rFonts w:ascii="宋体" w:hAnsi="宋体" w:cs="仿宋_GB2312"/>
          <w:bCs/>
          <w:sz w:val="24"/>
          <w:szCs w:val="24"/>
        </w:rPr>
        <w:t xml:space="preserve">7</w:t>
      </w:r>
      <w:r>
        <w:rPr>
          <w:rFonts w:hint="eastAsia" w:ascii="宋体" w:hAnsi="宋体" w:cs="仿宋_GB2312"/>
          <w:bCs/>
          <w:sz w:val="24"/>
          <w:szCs w:val="24"/>
        </w:rPr>
        <w:t xml:space="preserve">.三年合同服务期届满不影响本条款效力。本条关于场地及配套设备5年使用权益、持续保障、核验及违约责任的约定对中标供应商持续有效，直至完整5年使用期届满且相关义务全部履行完毕。</w:t>
      </w:r>
      <w:r/>
    </w:p>
    <w:p>
      <w:pPr>
        <w:pStyle w:val="955"/>
        <w:contextualSpacing/>
        <w:ind w:firstLine="480"/>
        <w:spacing w:line="360" w:lineRule="auto"/>
        <w:rPr>
          <w:rFonts w:hint="eastAsia" w:ascii="宋体" w:hAnsi="宋体" w:cs="仿宋_GB2312"/>
          <w:bCs/>
          <w:sz w:val="24"/>
          <w:szCs w:val="24"/>
        </w:rPr>
      </w:pPr>
      <w:r>
        <w:rPr>
          <w:rFonts w:hint="eastAsia" w:ascii="宋体" w:hAnsi="宋体" w:cs="仿宋_GB2312"/>
          <w:bCs/>
          <w:sz w:val="24"/>
          <w:szCs w:val="24"/>
        </w:rPr>
      </w:r>
      <w:r/>
    </w:p>
    <w:p>
      <w:pPr>
        <w:pStyle w:val="955"/>
        <w:contextualSpacing/>
        <w:ind w:firstLine="480"/>
        <w:spacing w:line="360" w:lineRule="auto"/>
        <w:rPr>
          <w:rFonts w:hint="eastAsia" w:ascii="宋体" w:hAnsi="宋体" w:cs="仿宋_GB2312"/>
          <w:bCs/>
          <w:sz w:val="24"/>
          <w:szCs w:val="24"/>
        </w:rPr>
      </w:pPr>
      <w:r>
        <w:rPr>
          <w:rFonts w:hint="eastAsia" w:ascii="宋体" w:hAnsi="宋体" w:cs="仿宋_GB2312"/>
          <w:bCs/>
          <w:sz w:val="24"/>
          <w:szCs w:val="24"/>
        </w:rPr>
      </w:r>
      <w:r/>
    </w:p>
    <w:p>
      <w:pPr>
        <w:pStyle w:val="955"/>
        <w:contextualSpacing/>
        <w:ind w:firstLine="480"/>
        <w:spacing w:line="360" w:lineRule="auto"/>
        <w:rPr>
          <w:rFonts w:hint="eastAsia" w:ascii="宋体" w:hAnsi="宋体" w:cs="仿宋_GB2312"/>
          <w:bCs/>
          <w:sz w:val="24"/>
          <w:szCs w:val="24"/>
        </w:rPr>
      </w:pPr>
      <w:r>
        <w:rPr>
          <w:rFonts w:hint="eastAsia" w:ascii="宋体" w:hAnsi="宋体" w:cs="仿宋_GB2312"/>
          <w:bCs/>
          <w:sz w:val="24"/>
          <w:szCs w:val="24"/>
        </w:rPr>
      </w:r>
      <w:r/>
    </w:p>
    <w:p>
      <w:pPr>
        <w:pStyle w:val="859"/>
        <w:rPr>
          <w:rFonts w:ascii="宋体" w:hAnsi="宋体"/>
          <w:bCs/>
        </w:rPr>
      </w:pPr>
      <w:r>
        <w:rPr>
          <w:rFonts w:ascii="宋体" w:hAnsi="宋体"/>
          <w:bCs/>
        </w:rPr>
      </w:r>
      <w:r/>
    </w:p>
    <w:p>
      <w:pPr>
        <w:pStyle w:val="859"/>
        <w:jc w:val="center"/>
        <w:spacing w:line="480" w:lineRule="auto"/>
        <w:rPr>
          <w:b/>
          <w:sz w:val="32"/>
          <w:szCs w:val="32"/>
        </w:rPr>
      </w:pPr>
      <w:r>
        <w:rPr>
          <w:b/>
          <w:sz w:val="32"/>
          <w:szCs w:val="32"/>
        </w:rPr>
        <w:br w:type="page" w:clear="all"/>
      </w:r>
      <w:r/>
    </w:p>
    <w:p>
      <w:pPr>
        <w:pStyle w:val="859"/>
        <w:jc w:val="center"/>
        <w:spacing w:line="480" w:lineRule="auto"/>
        <w:rPr>
          <w:b/>
          <w:sz w:val="32"/>
          <w:szCs w:val="32"/>
        </w:rPr>
      </w:pPr>
      <w:r>
        <w:rPr>
          <w:rFonts w:hint="eastAsia"/>
          <w:b/>
          <w:sz w:val="32"/>
          <w:szCs w:val="32"/>
        </w:rPr>
        <w:t xml:space="preserve">采购项目履约保证金缴纳联络单</w:t>
      </w:r>
      <w:r>
        <w:rPr>
          <w:b/>
          <w:sz w:val="32"/>
          <w:szCs w:val="32"/>
        </w:rPr>
      </w:r>
      <w:r/>
    </w:p>
    <w:p>
      <w:pPr>
        <w:pStyle w:val="859"/>
        <w:spacing w:before="120" w:after="120" w:line="360" w:lineRule="auto"/>
        <w:rPr>
          <w:rFonts w:ascii="宋体" w:hAnsi="宋体"/>
          <w:b/>
          <w:bCs/>
          <w:szCs w:val="21"/>
        </w:rPr>
      </w:pPr>
      <w:r>
        <w:rPr>
          <w:rFonts w:ascii="宋体" w:hAnsi="宋体"/>
          <w:b/>
          <w:bCs/>
          <w:szCs w:val="21"/>
        </w:rPr>
        <w:t xml:space="preserve">重要提醒：</w:t>
      </w:r>
      <w:r/>
    </w:p>
    <w:p>
      <w:pPr>
        <w:pStyle w:val="859"/>
        <w:spacing w:before="120" w:after="120" w:line="360" w:lineRule="auto"/>
        <w:rPr>
          <w:rFonts w:ascii="宋体" w:hAnsi="宋体"/>
        </w:rPr>
      </w:pPr>
      <w:r>
        <w:rPr>
          <w:rFonts w:ascii="宋体" w:hAnsi="宋体"/>
        </w:rPr>
        <w:t xml:space="preserve">中标供应商持本</w:t>
      </w:r>
      <w:r>
        <w:rPr>
          <w:rFonts w:hint="eastAsia" w:ascii="宋体" w:hAnsi="宋体"/>
        </w:rPr>
        <w:t xml:space="preserve">单</w:t>
      </w:r>
      <w:r>
        <w:rPr>
          <w:rFonts w:ascii="宋体" w:hAnsi="宋体"/>
        </w:rPr>
        <w:t xml:space="preserve">、采购项目《中标通知书》在</w:t>
      </w:r>
      <w:r>
        <w:rPr>
          <w:rFonts w:ascii="宋体" w:hAnsi="宋体"/>
          <w:b/>
          <w:bCs/>
          <w:u w:val="single"/>
        </w:rPr>
        <w:t xml:space="preserve">合同签订前</w:t>
      </w:r>
      <w:r>
        <w:rPr>
          <w:rFonts w:hint="eastAsia" w:ascii="宋体" w:hAnsi="宋体"/>
        </w:rPr>
        <w:t xml:space="preserve">到</w:t>
      </w:r>
      <w:r>
        <w:rPr>
          <w:rFonts w:ascii="宋体" w:hAnsi="宋体"/>
        </w:rPr>
        <w:t xml:space="preserve">常信院财务处缴纳履约保证金，领取缴费收据。</w:t>
      </w:r>
      <w:r/>
    </w:p>
    <w:p>
      <w:pPr>
        <w:pStyle w:val="859"/>
        <w:spacing w:before="120" w:line="22" w:lineRule="atLeast"/>
        <w:tabs>
          <w:tab w:val="left" w:pos="567" w:leader="none"/>
        </w:tabs>
        <w:rPr>
          <w:rFonts w:ascii="宋体" w:hAnsi="宋体"/>
          <w:sz w:val="24"/>
        </w:rPr>
      </w:pPr>
      <w:r>
        <w:rPr>
          <w:rFonts w:ascii="宋体" w:hAnsi="宋体"/>
          <w:sz w:val="24"/>
        </w:rPr>
      </w:r>
      <w:r/>
    </w:p>
    <w:tbl>
      <w:tblPr>
        <w:tblW w:w="5000" w:type="pct"/>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683"/>
        <w:gridCol w:w="2238"/>
        <w:gridCol w:w="1531"/>
        <w:gridCol w:w="1380"/>
        <w:gridCol w:w="1456"/>
      </w:tblGrid>
      <w:tr>
        <w:trPr>
          <w:trHeight w:val="1067"/>
        </w:trPr>
        <w:tc>
          <w:tcPr>
            <w:tcW w:w="1444" w:type="pct"/>
            <w:vAlign w:val="center"/>
            <w:textDirection w:val="lrTb"/>
            <w:noWrap w:val="false"/>
          </w:tcPr>
          <w:p>
            <w:pPr>
              <w:pStyle w:val="859"/>
              <w:jc w:val="center"/>
              <w:rPr>
                <w:rFonts w:ascii="宋体" w:hAnsi="宋体"/>
                <w:szCs w:val="21"/>
              </w:rPr>
            </w:pPr>
            <w:r>
              <w:rPr>
                <w:rFonts w:ascii="宋体" w:hAnsi="宋体"/>
                <w:szCs w:val="21"/>
              </w:rPr>
              <w:t xml:space="preserve">中标供应商名称</w:t>
            </w:r>
            <w:r/>
          </w:p>
        </w:tc>
        <w:tc>
          <w:tcPr>
            <w:tcW w:w="1205" w:type="pct"/>
            <w:vAlign w:val="center"/>
            <w:textDirection w:val="lrTb"/>
            <w:noWrap w:val="false"/>
          </w:tcPr>
          <w:p>
            <w:pPr>
              <w:pStyle w:val="859"/>
              <w:jc w:val="center"/>
              <w:rPr>
                <w:rFonts w:ascii="宋体" w:hAnsi="宋体"/>
                <w:szCs w:val="21"/>
              </w:rPr>
            </w:pPr>
            <w:r>
              <w:rPr>
                <w:rFonts w:ascii="宋体" w:hAnsi="宋体"/>
                <w:szCs w:val="21"/>
              </w:rPr>
            </w:r>
            <w:r/>
          </w:p>
        </w:tc>
        <w:tc>
          <w:tcPr>
            <w:tcW w:w="824" w:type="pct"/>
            <w:vAlign w:val="center"/>
            <w:textDirection w:val="lrTb"/>
            <w:noWrap w:val="false"/>
          </w:tcPr>
          <w:p>
            <w:pPr>
              <w:pStyle w:val="859"/>
              <w:jc w:val="center"/>
              <w:rPr>
                <w:rFonts w:ascii="宋体" w:hAnsi="宋体"/>
                <w:szCs w:val="21"/>
              </w:rPr>
            </w:pPr>
            <w:r>
              <w:rPr>
                <w:rFonts w:ascii="宋体" w:hAnsi="宋体"/>
                <w:szCs w:val="21"/>
              </w:rPr>
              <w:t xml:space="preserve">采购项目名称</w:t>
            </w:r>
            <w:r/>
          </w:p>
        </w:tc>
        <w:tc>
          <w:tcPr>
            <w:gridSpan w:val="2"/>
            <w:tcW w:w="1527" w:type="pct"/>
            <w:vAlign w:val="center"/>
            <w:textDirection w:val="lrTb"/>
            <w:noWrap w:val="false"/>
          </w:tcPr>
          <w:p>
            <w:pPr>
              <w:pStyle w:val="859"/>
              <w:jc w:val="center"/>
              <w:rPr>
                <w:rFonts w:ascii="宋体" w:hAnsi="宋体"/>
                <w:szCs w:val="21"/>
              </w:rPr>
            </w:pPr>
            <w:r>
              <w:rPr>
                <w:rFonts w:ascii="宋体" w:hAnsi="宋体"/>
                <w:szCs w:val="21"/>
              </w:rPr>
            </w:r>
            <w:r/>
          </w:p>
        </w:tc>
      </w:tr>
      <w:tr>
        <w:trPr>
          <w:trHeight w:val="1067"/>
        </w:trPr>
        <w:tc>
          <w:tcPr>
            <w:tcW w:w="1444" w:type="pct"/>
            <w:vAlign w:val="center"/>
            <w:textDirection w:val="lrTb"/>
            <w:noWrap w:val="false"/>
          </w:tcPr>
          <w:p>
            <w:pPr>
              <w:pStyle w:val="859"/>
              <w:jc w:val="center"/>
              <w:rPr>
                <w:rFonts w:ascii="宋体" w:hAnsi="宋体"/>
                <w:szCs w:val="21"/>
              </w:rPr>
            </w:pPr>
            <w:r>
              <w:rPr>
                <w:rFonts w:ascii="宋体" w:hAnsi="宋体"/>
                <w:szCs w:val="21"/>
              </w:rPr>
              <w:t xml:space="preserve">中标供应商联系人</w:t>
            </w:r>
            <w:r/>
          </w:p>
        </w:tc>
        <w:tc>
          <w:tcPr>
            <w:tcW w:w="1205" w:type="pct"/>
            <w:vAlign w:val="center"/>
            <w:textDirection w:val="lrTb"/>
            <w:noWrap w:val="false"/>
          </w:tcPr>
          <w:p>
            <w:pPr>
              <w:pStyle w:val="859"/>
              <w:jc w:val="center"/>
              <w:rPr>
                <w:rFonts w:ascii="宋体" w:hAnsi="宋体"/>
                <w:szCs w:val="21"/>
              </w:rPr>
            </w:pPr>
            <w:r>
              <w:rPr>
                <w:rFonts w:ascii="宋体" w:hAnsi="宋体"/>
                <w:szCs w:val="21"/>
              </w:rPr>
            </w:r>
            <w:r/>
          </w:p>
        </w:tc>
        <w:tc>
          <w:tcPr>
            <w:tcW w:w="824" w:type="pct"/>
            <w:vAlign w:val="center"/>
            <w:textDirection w:val="lrTb"/>
            <w:noWrap w:val="false"/>
          </w:tcPr>
          <w:p>
            <w:pPr>
              <w:pStyle w:val="859"/>
              <w:jc w:val="center"/>
              <w:rPr>
                <w:rFonts w:ascii="宋体" w:hAnsi="宋体"/>
                <w:szCs w:val="21"/>
              </w:rPr>
            </w:pPr>
            <w:r>
              <w:rPr>
                <w:rFonts w:ascii="宋体" w:hAnsi="宋体"/>
                <w:szCs w:val="21"/>
              </w:rPr>
              <w:t xml:space="preserve">中标供应商联系电话</w:t>
            </w:r>
            <w:r/>
          </w:p>
        </w:tc>
        <w:tc>
          <w:tcPr>
            <w:gridSpan w:val="2"/>
            <w:tcW w:w="1527" w:type="pct"/>
            <w:vAlign w:val="center"/>
            <w:textDirection w:val="lrTb"/>
            <w:noWrap w:val="false"/>
          </w:tcPr>
          <w:p>
            <w:pPr>
              <w:pStyle w:val="859"/>
              <w:jc w:val="center"/>
              <w:rPr>
                <w:rFonts w:ascii="宋体" w:hAnsi="宋体"/>
                <w:szCs w:val="21"/>
              </w:rPr>
            </w:pPr>
            <w:r>
              <w:rPr>
                <w:rFonts w:ascii="宋体" w:hAnsi="宋体"/>
                <w:szCs w:val="21"/>
              </w:rPr>
            </w:r>
            <w:r/>
          </w:p>
        </w:tc>
      </w:tr>
      <w:tr>
        <w:trPr>
          <w:trHeight w:val="510"/>
        </w:trPr>
        <w:tc>
          <w:tcPr>
            <w:tcW w:w="1444" w:type="pct"/>
            <w:vAlign w:val="center"/>
            <w:textDirection w:val="lrTb"/>
            <w:noWrap w:val="false"/>
          </w:tcPr>
          <w:p>
            <w:pPr>
              <w:pStyle w:val="859"/>
              <w:jc w:val="center"/>
              <w:rPr>
                <w:rFonts w:ascii="宋体" w:hAnsi="宋体"/>
                <w:szCs w:val="21"/>
              </w:rPr>
            </w:pPr>
            <w:r>
              <w:rPr>
                <w:rFonts w:ascii="宋体" w:hAnsi="宋体"/>
                <w:szCs w:val="21"/>
              </w:rPr>
              <w:t xml:space="preserve">中标价</w:t>
            </w:r>
            <w:r/>
          </w:p>
          <w:p>
            <w:pPr>
              <w:pStyle w:val="859"/>
              <w:jc w:val="center"/>
              <w:rPr>
                <w:rFonts w:ascii="宋体" w:hAnsi="宋体"/>
                <w:szCs w:val="21"/>
              </w:rPr>
            </w:pPr>
            <w:r>
              <w:rPr>
                <w:rFonts w:hint="eastAsia" w:ascii="宋体" w:hAnsi="宋体"/>
                <w:szCs w:val="21"/>
              </w:rPr>
              <w:t xml:space="preserve">（精确到元）</w:t>
            </w:r>
            <w:r>
              <w:rPr>
                <w:rFonts w:ascii="宋体" w:hAnsi="宋体"/>
                <w:szCs w:val="21"/>
              </w:rPr>
            </w:r>
            <w:r/>
          </w:p>
        </w:tc>
        <w:tc>
          <w:tcPr>
            <w:tcW w:w="1205" w:type="pct"/>
            <w:vAlign w:val="center"/>
            <w:textDirection w:val="lrTb"/>
            <w:noWrap w:val="false"/>
          </w:tcPr>
          <w:p>
            <w:pPr>
              <w:pStyle w:val="859"/>
              <w:jc w:val="center"/>
              <w:rPr>
                <w:rFonts w:ascii="宋体" w:hAnsi="宋体"/>
                <w:szCs w:val="21"/>
              </w:rPr>
            </w:pPr>
            <w:r>
              <w:rPr>
                <w:rFonts w:ascii="宋体" w:hAnsi="宋体"/>
                <w:szCs w:val="21"/>
              </w:rPr>
            </w:r>
            <w:r/>
          </w:p>
        </w:tc>
        <w:tc>
          <w:tcPr>
            <w:tcW w:w="824" w:type="pct"/>
            <w:vAlign w:val="center"/>
            <w:textDirection w:val="lrTb"/>
            <w:noWrap w:val="false"/>
          </w:tcPr>
          <w:p>
            <w:pPr>
              <w:pStyle w:val="859"/>
              <w:jc w:val="center"/>
              <w:rPr>
                <w:rFonts w:ascii="宋体" w:hAnsi="宋体"/>
                <w:szCs w:val="21"/>
              </w:rPr>
            </w:pPr>
            <w:r>
              <w:rPr>
                <w:rFonts w:hint="eastAsia" w:ascii="宋体" w:hAnsi="宋体"/>
                <w:szCs w:val="21"/>
              </w:rPr>
              <w:t xml:space="preserve">招标文件上的采购项目编号</w:t>
            </w:r>
            <w:r>
              <w:rPr>
                <w:rFonts w:ascii="宋体" w:hAnsi="宋体"/>
                <w:szCs w:val="21"/>
              </w:rPr>
            </w:r>
            <w:r/>
          </w:p>
        </w:tc>
        <w:tc>
          <w:tcPr>
            <w:gridSpan w:val="2"/>
            <w:tcW w:w="1527" w:type="pct"/>
            <w:vAlign w:val="center"/>
            <w:textDirection w:val="lrTb"/>
            <w:noWrap w:val="false"/>
          </w:tcPr>
          <w:p>
            <w:pPr>
              <w:pStyle w:val="859"/>
              <w:jc w:val="center"/>
              <w:rPr>
                <w:rFonts w:ascii="宋体" w:hAnsi="宋体"/>
                <w:szCs w:val="21"/>
              </w:rPr>
            </w:pPr>
            <w:r>
              <w:rPr>
                <w:rFonts w:ascii="宋体" w:hAnsi="宋体"/>
                <w:szCs w:val="21"/>
              </w:rPr>
            </w:r>
            <w:r/>
          </w:p>
        </w:tc>
      </w:tr>
      <w:tr>
        <w:trPr>
          <w:cantSplit/>
          <w:trHeight w:val="510"/>
        </w:trPr>
        <w:tc>
          <w:tcPr>
            <w:tcW w:w="1444" w:type="pct"/>
            <w:vAlign w:val="center"/>
            <w:vMerge w:val="restart"/>
            <w:textDirection w:val="lrTb"/>
            <w:noWrap w:val="false"/>
          </w:tcPr>
          <w:p>
            <w:pPr>
              <w:pStyle w:val="859"/>
              <w:jc w:val="center"/>
              <w:rPr>
                <w:rFonts w:ascii="宋体" w:hAnsi="宋体"/>
                <w:szCs w:val="21"/>
              </w:rPr>
            </w:pPr>
            <w:r>
              <w:rPr>
                <w:rFonts w:hint="eastAsia" w:ascii="宋体" w:hAnsi="宋体"/>
                <w:szCs w:val="21"/>
              </w:rPr>
              <w:t xml:space="preserve">使用部门</w:t>
            </w:r>
            <w:r>
              <w:rPr>
                <w:rFonts w:ascii="宋体" w:hAnsi="宋体"/>
                <w:szCs w:val="21"/>
              </w:rPr>
            </w:r>
            <w:r/>
          </w:p>
          <w:p>
            <w:pPr>
              <w:pStyle w:val="859"/>
              <w:jc w:val="center"/>
              <w:rPr>
                <w:rFonts w:ascii="宋体" w:hAnsi="宋体"/>
                <w:szCs w:val="21"/>
              </w:rPr>
            </w:pPr>
            <w:r>
              <w:rPr>
                <w:rFonts w:ascii="宋体" w:hAnsi="宋体"/>
                <w:szCs w:val="21"/>
              </w:rPr>
              <w:t xml:space="preserve">意见</w:t>
            </w:r>
            <w:r/>
          </w:p>
          <w:p>
            <w:pPr>
              <w:pStyle w:val="859"/>
              <w:jc w:val="center"/>
              <w:rPr>
                <w:rFonts w:ascii="宋体" w:hAnsi="宋体"/>
                <w:szCs w:val="21"/>
              </w:rPr>
            </w:pPr>
            <w:r>
              <w:rPr>
                <w:rFonts w:ascii="宋体" w:hAnsi="宋体"/>
                <w:szCs w:val="21"/>
              </w:rPr>
              <w:t xml:space="preserve">（部门盖章）</w:t>
            </w:r>
            <w:r/>
          </w:p>
        </w:tc>
        <w:tc>
          <w:tcPr>
            <w:tcW w:w="1205" w:type="pct"/>
            <w:vAlign w:val="center"/>
            <w:textDirection w:val="lrTb"/>
            <w:noWrap w:val="false"/>
          </w:tcPr>
          <w:p>
            <w:pPr>
              <w:pStyle w:val="859"/>
              <w:jc w:val="center"/>
              <w:rPr>
                <w:rFonts w:ascii="宋体" w:hAnsi="宋体"/>
                <w:szCs w:val="21"/>
              </w:rPr>
            </w:pPr>
            <w:r>
              <w:rPr>
                <w:rFonts w:hint="eastAsia" w:ascii="宋体" w:hAnsi="宋体"/>
                <w:szCs w:val="21"/>
              </w:rPr>
              <w:t xml:space="preserve">使用部门经办人</w:t>
            </w:r>
            <w:r>
              <w:rPr>
                <w:rFonts w:ascii="宋体" w:hAnsi="宋体"/>
                <w:szCs w:val="21"/>
              </w:rPr>
            </w:r>
            <w:r/>
          </w:p>
        </w:tc>
        <w:tc>
          <w:tcPr>
            <w:tcW w:w="824" w:type="pct"/>
            <w:vAlign w:val="center"/>
            <w:textDirection w:val="lrTb"/>
            <w:noWrap w:val="false"/>
          </w:tcPr>
          <w:p>
            <w:pPr>
              <w:pStyle w:val="859"/>
              <w:jc w:val="center"/>
              <w:rPr>
                <w:rFonts w:ascii="宋体" w:hAnsi="宋体"/>
                <w:szCs w:val="21"/>
              </w:rPr>
            </w:pPr>
            <w:r>
              <w:rPr>
                <w:rFonts w:ascii="宋体" w:hAnsi="宋体"/>
                <w:szCs w:val="21"/>
              </w:rPr>
            </w:r>
            <w:r/>
          </w:p>
        </w:tc>
        <w:tc>
          <w:tcPr>
            <w:tcW w:w="743" w:type="pct"/>
            <w:vAlign w:val="center"/>
            <w:textDirection w:val="lrTb"/>
            <w:noWrap w:val="false"/>
          </w:tcPr>
          <w:p>
            <w:pPr>
              <w:pStyle w:val="859"/>
              <w:jc w:val="center"/>
              <w:rPr>
                <w:rFonts w:ascii="宋体" w:hAnsi="宋体"/>
                <w:szCs w:val="21"/>
              </w:rPr>
            </w:pPr>
            <w:r>
              <w:rPr>
                <w:rFonts w:ascii="宋体" w:hAnsi="宋体"/>
                <w:szCs w:val="21"/>
              </w:rPr>
              <w:t xml:space="preserve">联系电话</w:t>
            </w:r>
            <w:r/>
          </w:p>
        </w:tc>
        <w:tc>
          <w:tcPr>
            <w:tcW w:w="784" w:type="pct"/>
            <w:vAlign w:val="center"/>
            <w:textDirection w:val="lrTb"/>
            <w:noWrap w:val="false"/>
          </w:tcPr>
          <w:p>
            <w:pPr>
              <w:pStyle w:val="859"/>
              <w:jc w:val="center"/>
              <w:rPr>
                <w:rFonts w:ascii="宋体" w:hAnsi="宋体"/>
                <w:szCs w:val="21"/>
              </w:rPr>
            </w:pPr>
            <w:r>
              <w:rPr>
                <w:rFonts w:ascii="宋体" w:hAnsi="宋体"/>
                <w:szCs w:val="21"/>
              </w:rPr>
            </w:r>
            <w:r/>
          </w:p>
        </w:tc>
      </w:tr>
      <w:tr>
        <w:trPr>
          <w:cantSplit/>
          <w:trHeight w:val="1737"/>
        </w:trPr>
        <w:tc>
          <w:tcPr>
            <w:tcW w:w="1444" w:type="pct"/>
            <w:vAlign w:val="center"/>
            <w:vMerge w:val="continue"/>
            <w:textDirection w:val="lrTb"/>
            <w:noWrap w:val="false"/>
          </w:tcPr>
          <w:p>
            <w:pPr>
              <w:pStyle w:val="859"/>
              <w:jc w:val="center"/>
              <w:rPr>
                <w:rFonts w:ascii="宋体" w:hAnsi="宋体"/>
                <w:szCs w:val="21"/>
              </w:rPr>
            </w:pPr>
            <w:r>
              <w:rPr>
                <w:rFonts w:ascii="宋体" w:hAnsi="宋体"/>
                <w:szCs w:val="21"/>
              </w:rPr>
            </w:r>
            <w:r/>
          </w:p>
        </w:tc>
        <w:tc>
          <w:tcPr>
            <w:gridSpan w:val="4"/>
            <w:tcW w:w="3556" w:type="pct"/>
            <w:vAlign w:val="center"/>
            <w:textDirection w:val="lrTb"/>
            <w:noWrap w:val="false"/>
          </w:tcPr>
          <w:p>
            <w:pPr>
              <w:pStyle w:val="859"/>
              <w:ind w:left="2940" w:hanging="2520"/>
              <w:rPr>
                <w:rFonts w:ascii="宋体" w:hAnsi="宋体"/>
                <w:szCs w:val="21"/>
              </w:rPr>
            </w:pPr>
            <w:r>
              <w:rPr>
                <w:rFonts w:hint="eastAsia" w:ascii="宋体" w:hAnsi="宋体"/>
                <w:szCs w:val="21"/>
              </w:rPr>
              <w:t xml:space="preserve">经初核，本项目需缴纳履约保证金（依照招标文件约定金额）为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元。     </w:t>
            </w:r>
            <w:r>
              <w:rPr>
                <w:rFonts w:ascii="宋体" w:hAnsi="宋体"/>
                <w:szCs w:val="21"/>
              </w:rPr>
            </w:r>
            <w:r/>
          </w:p>
          <w:p>
            <w:pPr>
              <w:pStyle w:val="859"/>
              <w:ind w:firstLine="420"/>
              <w:rPr>
                <w:rFonts w:ascii="宋体" w:hAnsi="宋体"/>
                <w:szCs w:val="21"/>
              </w:rPr>
            </w:pPr>
            <w:r>
              <w:rPr>
                <w:rFonts w:hint="eastAsia" w:ascii="宋体" w:hAnsi="宋体"/>
                <w:szCs w:val="21"/>
              </w:rPr>
              <w:t xml:space="preserve">大写金额：</w:t>
            </w:r>
            <w:r>
              <w:rPr>
                <w:rFonts w:ascii="宋体" w:hAnsi="宋体"/>
                <w:szCs w:val="21"/>
              </w:rPr>
            </w:r>
            <w:r/>
          </w:p>
          <w:p>
            <w:pPr>
              <w:pStyle w:val="859"/>
              <w:rPr>
                <w:rFonts w:ascii="宋体" w:hAnsi="宋体"/>
                <w:szCs w:val="21"/>
              </w:rPr>
            </w:pPr>
            <w:r>
              <w:rPr>
                <w:rFonts w:ascii="宋体" w:hAnsi="宋体"/>
                <w:szCs w:val="21"/>
              </w:rPr>
              <w:t xml:space="preserve">使用部门负责人签字：</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（部门盖章）</w:t>
            </w:r>
            <w:r>
              <w:rPr>
                <w:rFonts w:ascii="宋体" w:hAnsi="宋体"/>
                <w:szCs w:val="21"/>
              </w:rPr>
            </w:r>
            <w:r/>
          </w:p>
        </w:tc>
      </w:tr>
      <w:tr>
        <w:trPr>
          <w:trHeight w:val="1881"/>
        </w:trPr>
        <w:tc>
          <w:tcPr>
            <w:tcW w:w="1444" w:type="pct"/>
            <w:vAlign w:val="center"/>
            <w:textDirection w:val="lrTb"/>
            <w:noWrap w:val="false"/>
          </w:tcPr>
          <w:p>
            <w:pPr>
              <w:pStyle w:val="859"/>
              <w:jc w:val="center"/>
              <w:rPr>
                <w:rFonts w:ascii="宋体" w:hAnsi="宋体"/>
                <w:szCs w:val="21"/>
              </w:rPr>
            </w:pPr>
            <w:r>
              <w:rPr>
                <w:rFonts w:ascii="宋体" w:hAnsi="宋体"/>
                <w:szCs w:val="21"/>
              </w:rPr>
              <w:t xml:space="preserve">招标采购管理中心</w:t>
            </w:r>
            <w:r/>
          </w:p>
          <w:p>
            <w:pPr>
              <w:pStyle w:val="859"/>
              <w:jc w:val="center"/>
              <w:rPr>
                <w:rFonts w:ascii="宋体" w:hAnsi="宋体"/>
                <w:szCs w:val="21"/>
              </w:rPr>
            </w:pPr>
            <w:r>
              <w:rPr>
                <w:rFonts w:ascii="宋体" w:hAnsi="宋体"/>
                <w:szCs w:val="21"/>
              </w:rPr>
              <w:t xml:space="preserve">意见</w:t>
            </w:r>
            <w:r/>
          </w:p>
          <w:p>
            <w:pPr>
              <w:pStyle w:val="859"/>
              <w:jc w:val="center"/>
              <w:rPr>
                <w:rFonts w:ascii="宋体" w:hAnsi="宋体"/>
                <w:szCs w:val="21"/>
              </w:rPr>
            </w:pPr>
            <w:r>
              <w:rPr>
                <w:rFonts w:ascii="宋体" w:hAnsi="宋体"/>
                <w:szCs w:val="21"/>
              </w:rPr>
              <w:t xml:space="preserve">（部门盖章）</w:t>
            </w:r>
            <w:r/>
          </w:p>
        </w:tc>
        <w:tc>
          <w:tcPr>
            <w:gridSpan w:val="4"/>
            <w:tcW w:w="3556" w:type="pct"/>
            <w:vAlign w:val="center"/>
            <w:textDirection w:val="lrTb"/>
            <w:noWrap w:val="false"/>
          </w:tcPr>
          <w:p>
            <w:pPr>
              <w:pStyle w:val="859"/>
              <w:ind w:left="2100" w:hanging="1680"/>
              <w:rPr>
                <w:rFonts w:ascii="宋体" w:hAnsi="宋体"/>
                <w:szCs w:val="21"/>
              </w:rPr>
            </w:pPr>
            <w:r>
              <w:rPr>
                <w:rFonts w:hint="eastAsia" w:ascii="宋体" w:hAnsi="宋体"/>
                <w:szCs w:val="21"/>
              </w:rPr>
              <w:t xml:space="preserve">经复核，本项目需缴纳履约保证金（依照招标文件约定金额）为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  </w:t>
            </w:r>
            <w:r>
              <w:rPr>
                <w:rFonts w:ascii="宋体" w:hAnsi="宋体"/>
                <w:szCs w:val="21"/>
              </w:rPr>
            </w:r>
            <w:r/>
          </w:p>
          <w:p>
            <w:pPr>
              <w:pStyle w:val="859"/>
              <w:ind w:firstLine="420"/>
              <w:rPr>
                <w:rFonts w:ascii="宋体" w:hAnsi="宋体"/>
                <w:szCs w:val="21"/>
              </w:rPr>
            </w:pPr>
            <w:r>
              <w:rPr>
                <w:rFonts w:hint="eastAsia" w:ascii="宋体" w:hAnsi="宋体"/>
                <w:szCs w:val="21"/>
              </w:rPr>
              <w:t xml:space="preserve">大写金额：</w:t>
            </w:r>
            <w:r>
              <w:rPr>
                <w:rFonts w:ascii="宋体" w:hAnsi="宋体"/>
                <w:szCs w:val="21"/>
              </w:rPr>
            </w:r>
            <w:r/>
          </w:p>
          <w:p>
            <w:pPr>
              <w:pStyle w:val="859"/>
              <w:rPr>
                <w:rFonts w:ascii="宋体" w:hAnsi="宋体"/>
                <w:szCs w:val="21"/>
              </w:rPr>
            </w:pPr>
            <w:r>
              <w:rPr>
                <w:rFonts w:ascii="宋体" w:hAnsi="宋体"/>
                <w:szCs w:val="21"/>
              </w:rPr>
              <w:t xml:space="preserve">部门负责人签字：</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（部门盖章）</w:t>
            </w:r>
            <w:r>
              <w:rPr>
                <w:rFonts w:ascii="宋体" w:hAnsi="宋体"/>
                <w:szCs w:val="21"/>
              </w:rPr>
            </w:r>
            <w:r/>
          </w:p>
        </w:tc>
      </w:tr>
      <w:tr>
        <w:trPr>
          <w:trHeight w:val="1984"/>
        </w:trPr>
        <w:tc>
          <w:tcPr>
            <w:tcW w:w="1444" w:type="pct"/>
            <w:vAlign w:val="center"/>
            <w:textDirection w:val="lrTb"/>
            <w:noWrap w:val="false"/>
          </w:tcPr>
          <w:p>
            <w:pPr>
              <w:pStyle w:val="859"/>
              <w:rPr>
                <w:rFonts w:ascii="宋体" w:hAnsi="宋体"/>
                <w:szCs w:val="21"/>
              </w:rPr>
            </w:pPr>
            <w:r>
              <w:rPr>
                <w:rFonts w:ascii="宋体" w:hAnsi="宋体"/>
                <w:szCs w:val="21"/>
              </w:rPr>
            </w:r>
            <w:r/>
          </w:p>
          <w:p>
            <w:pPr>
              <w:pStyle w:val="859"/>
              <w:jc w:val="center"/>
              <w:rPr>
                <w:rFonts w:ascii="宋体" w:hAnsi="宋体"/>
                <w:szCs w:val="21"/>
              </w:rPr>
            </w:pPr>
            <w:r>
              <w:rPr>
                <w:rFonts w:ascii="宋体" w:hAnsi="宋体"/>
                <w:szCs w:val="21"/>
              </w:rPr>
              <w:t xml:space="preserve">履约保证金缴</w:t>
            </w:r>
            <w:r>
              <w:rPr>
                <w:rFonts w:hint="eastAsia" w:ascii="宋体" w:hAnsi="宋体"/>
                <w:szCs w:val="21"/>
              </w:rPr>
              <w:t xml:space="preserve">纳</w:t>
            </w:r>
            <w:r>
              <w:rPr>
                <w:rFonts w:ascii="宋体" w:hAnsi="宋体"/>
                <w:szCs w:val="21"/>
              </w:rPr>
              <w:t xml:space="preserve">账户</w:t>
            </w:r>
            <w:r/>
          </w:p>
        </w:tc>
        <w:tc>
          <w:tcPr>
            <w:gridSpan w:val="4"/>
            <w:tcW w:w="3556" w:type="pct"/>
            <w:vAlign w:val="center"/>
            <w:textDirection w:val="lrTb"/>
            <w:noWrap w:val="false"/>
          </w:tcPr>
          <w:p>
            <w:pPr>
              <w:pStyle w:val="859"/>
              <w:rPr>
                <w:rFonts w:ascii="宋体" w:hAnsi="宋体"/>
                <w:szCs w:val="21"/>
              </w:rPr>
            </w:pPr>
            <w:r>
              <w:rPr>
                <w:rFonts w:ascii="宋体" w:hAnsi="宋体"/>
                <w:szCs w:val="21"/>
              </w:rPr>
            </w:r>
            <w:r/>
          </w:p>
          <w:p>
            <w:pPr>
              <w:pStyle w:val="859"/>
              <w:rPr>
                <w:rFonts w:ascii="宋体" w:hAnsi="宋体"/>
                <w:szCs w:val="21"/>
              </w:rPr>
            </w:pPr>
            <w:r>
              <w:rPr>
                <w:rFonts w:hint="eastAsia" w:ascii="宋体" w:hAnsi="宋体"/>
                <w:szCs w:val="21"/>
              </w:rPr>
              <w:t xml:space="preserve">单位名称：常州信息职业技术学院</w:t>
            </w:r>
            <w:r>
              <w:rPr>
                <w:rFonts w:ascii="宋体" w:hAnsi="宋体"/>
                <w:szCs w:val="21"/>
              </w:rPr>
            </w:r>
            <w:r/>
          </w:p>
          <w:p>
            <w:pPr>
              <w:pStyle w:val="859"/>
              <w:rPr>
                <w:rFonts w:ascii="宋体" w:hAnsi="宋体"/>
                <w:szCs w:val="21"/>
              </w:rPr>
            </w:pPr>
            <w:r>
              <w:rPr>
                <w:rFonts w:hint="eastAsia" w:ascii="宋体" w:hAnsi="宋体"/>
                <w:szCs w:val="21"/>
              </w:rPr>
              <w:t xml:space="preserve">开户银行：中国建设银行股份有限公司常州白云支行</w:t>
            </w:r>
            <w:r>
              <w:rPr>
                <w:rFonts w:ascii="宋体" w:hAnsi="宋体"/>
                <w:szCs w:val="21"/>
              </w:rPr>
            </w:r>
            <w:r/>
          </w:p>
          <w:p>
            <w:pPr>
              <w:pStyle w:val="859"/>
              <w:rPr>
                <w:rFonts w:ascii="宋体" w:hAnsi="宋体"/>
                <w:szCs w:val="21"/>
              </w:rPr>
            </w:pPr>
            <w:r>
              <w:rPr>
                <w:rFonts w:hint="eastAsia" w:ascii="宋体" w:hAnsi="宋体"/>
                <w:szCs w:val="21"/>
              </w:rPr>
              <w:t xml:space="preserve">账    号：32050162803609096789</w:t>
            </w:r>
            <w:r>
              <w:rPr>
                <w:rFonts w:ascii="宋体" w:hAnsi="宋体"/>
                <w:szCs w:val="21"/>
              </w:rPr>
            </w:r>
            <w:r/>
          </w:p>
          <w:p>
            <w:pPr>
              <w:pStyle w:val="859"/>
              <w:rPr>
                <w:rFonts w:ascii="宋体" w:hAnsi="宋体"/>
                <w:szCs w:val="21"/>
              </w:rPr>
            </w:pPr>
            <w:r>
              <w:rPr>
                <w:rFonts w:hint="eastAsia" w:ascii="宋体" w:hAnsi="宋体"/>
                <w:szCs w:val="21"/>
              </w:rPr>
              <w:t xml:space="preserve">联系人：王杏              联系电话：86338027</w:t>
            </w:r>
            <w:r>
              <w:rPr>
                <w:rFonts w:ascii="宋体" w:hAnsi="宋体"/>
                <w:szCs w:val="21"/>
              </w:rPr>
            </w:r>
            <w:r/>
          </w:p>
          <w:p>
            <w:pPr>
              <w:pStyle w:val="859"/>
              <w:jc w:val="right"/>
              <w:rPr>
                <w:rFonts w:ascii="宋体" w:hAnsi="宋体"/>
                <w:szCs w:val="21"/>
              </w:rPr>
            </w:pPr>
            <w:r>
              <w:rPr>
                <w:rFonts w:ascii="宋体" w:hAnsi="宋体"/>
                <w:szCs w:val="21"/>
              </w:rPr>
            </w:r>
            <w:r/>
          </w:p>
        </w:tc>
      </w:tr>
    </w:tbl>
    <w:p>
      <w:pPr>
        <w:pStyle w:val="859"/>
        <w:rPr>
          <w:rFonts w:ascii="宋体" w:hAnsi="宋体"/>
        </w:rPr>
      </w:pPr>
      <w:r>
        <w:rPr>
          <w:rFonts w:ascii="宋体" w:hAnsi="宋体"/>
        </w:rPr>
      </w:r>
      <w:r/>
    </w:p>
    <w:p>
      <w:pPr>
        <w:pStyle w:val="859"/>
        <w:jc w:val="left"/>
        <w:widowControl/>
        <w:rPr>
          <w:rFonts w:ascii="宋体" w:hAnsi="宋体"/>
          <w:b/>
          <w:sz w:val="36"/>
          <w:szCs w:val="36"/>
        </w:rPr>
      </w:pPr>
      <w:r>
        <w:rPr>
          <w:rFonts w:ascii="宋体" w:hAnsi="宋体"/>
          <w:b/>
          <w:sz w:val="36"/>
          <w:szCs w:val="36"/>
        </w:rPr>
      </w:r>
      <w:r/>
    </w:p>
    <w:p>
      <w:pPr>
        <w:pStyle w:val="859"/>
        <w:jc w:val="center"/>
        <w:spacing w:line="360" w:lineRule="auto"/>
        <w:rPr>
          <w:rFonts w:ascii="宋体" w:hAnsi="宋体"/>
          <w:b/>
          <w:sz w:val="36"/>
          <w:szCs w:val="36"/>
        </w:rPr>
        <w:outlineLvl w:val="0"/>
      </w:pPr>
      <w:r/>
      <w:bookmarkStart w:id="815" w:name="_Toc99301425"/>
      <w:r>
        <w:rPr>
          <w:rFonts w:ascii="宋体" w:hAnsi="宋体"/>
          <w:b/>
          <w:sz w:val="36"/>
          <w:szCs w:val="36"/>
        </w:rPr>
        <w:br w:type="page" w:clear="all"/>
        <w:t xml:space="preserve">第六章   拟签订的合同文本</w:t>
      </w:r>
      <w:bookmarkEnd w:id="815"/>
      <w:r>
        <w:rPr>
          <w:rFonts w:ascii="宋体" w:hAnsi="宋体"/>
          <w:b/>
          <w:sz w:val="36"/>
          <w:szCs w:val="36"/>
        </w:rPr>
      </w:r>
      <w:r/>
    </w:p>
    <w:p>
      <w:pPr>
        <w:pStyle w:val="900"/>
        <w:spacing w:line="360" w:lineRule="auto"/>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w:t>
      </w:r>
      <w:r>
        <w:rPr>
          <w:rFonts w:hAnsi="宋体" w:cs="宋体"/>
          <w:sz w:val="24"/>
          <w:szCs w:val="24"/>
        </w:rPr>
      </w:r>
      <w:r/>
    </w:p>
    <w:p>
      <w:pPr>
        <w:pStyle w:val="900"/>
        <w:spacing w:line="360" w:lineRule="auto"/>
        <w:rPr>
          <w:rFonts w:hAnsi="宋体" w:cs="宋体"/>
          <w:b/>
          <w:sz w:val="24"/>
          <w:szCs w:val="24"/>
        </w:rPr>
      </w:pPr>
      <w:r>
        <w:rPr>
          <w:rFonts w:hAnsi="宋体" w:cs="宋体"/>
          <w:b/>
          <w:sz w:val="24"/>
          <w:szCs w:val="24"/>
        </w:rPr>
        <w:t xml:space="preserve">投标人（</w:t>
      </w:r>
      <w:r>
        <w:rPr>
          <w:rFonts w:hAnsi="宋体" w:cs="宋体"/>
          <w:b/>
          <w:sz w:val="24"/>
          <w:szCs w:val="24"/>
          <w:lang w:val="zh-CN"/>
        </w:rPr>
        <w:t xml:space="preserve">以下称</w:t>
      </w:r>
      <w:r>
        <w:rPr>
          <w:rFonts w:hAnsi="宋体" w:cs="宋体"/>
          <w:b/>
          <w:sz w:val="24"/>
          <w:szCs w:val="24"/>
        </w:rPr>
        <w:t xml:space="preserve">乙方）:                         </w:t>
      </w:r>
      <w:r>
        <w:rPr>
          <w:rFonts w:hAnsi="宋体" w:cs="宋体"/>
          <w:b/>
          <w:sz w:val="24"/>
          <w:szCs w:val="24"/>
        </w:rPr>
      </w:r>
      <w:r/>
    </w:p>
    <w:p>
      <w:pPr>
        <w:pStyle w:val="900"/>
        <w:spacing w:line="360" w:lineRule="auto"/>
        <w:rPr>
          <w:rFonts w:hAnsi="宋体" w:cs="宋体"/>
          <w:sz w:val="24"/>
          <w:szCs w:val="24"/>
          <w:u w:val="single"/>
        </w:rPr>
      </w:pPr>
      <w:r>
        <w:rPr>
          <w:rFonts w:hAnsi="宋体" w:cs="宋体"/>
          <w:sz w:val="24"/>
          <w:szCs w:val="24"/>
        </w:rPr>
        <w:t xml:space="preserve">签订地点：</w:t>
      </w:r>
      <w:r>
        <w:rPr>
          <w:rFonts w:hAnsi="宋体" w:cs="宋体"/>
          <w:sz w:val="24"/>
          <w:szCs w:val="24"/>
          <w:u w:val="single"/>
        </w:rPr>
      </w:r>
      <w:r/>
    </w:p>
    <w:p>
      <w:pPr>
        <w:pStyle w:val="875"/>
        <w:ind w:firstLine="0"/>
        <w:spacing w:line="360" w:lineRule="auto"/>
        <w:rPr>
          <w:rFonts w:hAnsi="宋体" w:cs="宋体"/>
          <w:b/>
        </w:rPr>
      </w:pPr>
      <w:r>
        <w:rPr>
          <w:rFonts w:hint="eastAsia" w:hAnsi="宋体" w:cs="宋体"/>
        </w:rPr>
        <w:t xml:space="preserve">合同时间: </w:t>
      </w:r>
      <w:r>
        <w:rPr>
          <w:rFonts w:hint="eastAsia" w:hAnsi="宋体" w:cs="宋体"/>
          <w:u w:val="single"/>
        </w:rPr>
        <w:t xml:space="preserve">    年   月   日</w:t>
      </w:r>
      <w:r>
        <w:rPr>
          <w:rFonts w:hAnsi="宋体" w:cs="宋体"/>
          <w:b/>
        </w:rPr>
      </w:r>
      <w:r/>
    </w:p>
    <w:p>
      <w:pPr>
        <w:pStyle w:val="900"/>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900"/>
        <w:ind w:firstLine="482"/>
        <w:spacing w:line="360" w:lineRule="auto"/>
        <w:rPr>
          <w:rFonts w:hAnsi="宋体" w:cs="宋体"/>
          <w:b/>
          <w:sz w:val="24"/>
          <w:szCs w:val="24"/>
        </w:rPr>
      </w:pPr>
      <w:r>
        <w:rPr>
          <w:rFonts w:hAnsi="宋体" w:cs="宋体"/>
          <w:b/>
          <w:sz w:val="24"/>
          <w:szCs w:val="24"/>
        </w:rPr>
        <w:t xml:space="preserve">第一条 合同标的</w:t>
      </w:r>
      <w:r/>
    </w:p>
    <w:p>
      <w:pPr>
        <w:pStyle w:val="859"/>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乙方根据甲方需求提供下列服务：         ，</w:t>
      </w:r>
      <w:r>
        <w:rPr>
          <w:rFonts w:hint="eastAsia" w:ascii="宋体" w:hAnsi="宋体" w:cs="宋体"/>
          <w:sz w:val="24"/>
        </w:rPr>
        <w:t xml:space="preserve">系指根据合同规定乙方须承担与服务有关的所有辅助服务</w:t>
      </w:r>
      <w:r>
        <w:rPr>
          <w:rFonts w:hint="eastAsia" w:ascii="宋体" w:hAnsi="宋体" w:cs="宋体"/>
          <w:sz w:val="24"/>
          <w:lang w:val="zh-CN"/>
        </w:rPr>
        <w:t xml:space="preserve">。</w:t>
      </w:r>
      <w:r>
        <w:rPr>
          <w:rFonts w:ascii="宋体" w:hAnsi="宋体" w:cs="宋体"/>
          <w:sz w:val="24"/>
          <w:lang w:val="zh-CN"/>
        </w:rPr>
      </w:r>
      <w:r/>
    </w:p>
    <w:p>
      <w:pPr>
        <w:pStyle w:val="900"/>
        <w:ind w:firstLine="482"/>
        <w:spacing w:line="360" w:lineRule="auto"/>
        <w:rPr>
          <w:rFonts w:hAnsi="宋体" w:cs="宋体"/>
          <w:b/>
          <w:sz w:val="24"/>
          <w:szCs w:val="24"/>
        </w:rPr>
      </w:pPr>
      <w:r>
        <w:rPr>
          <w:rFonts w:hAnsi="宋体" w:cs="宋体"/>
          <w:b/>
          <w:sz w:val="24"/>
          <w:szCs w:val="24"/>
        </w:rPr>
        <w:t xml:space="preserve">第二条 合同价格</w:t>
      </w:r>
      <w:r/>
    </w:p>
    <w:p>
      <w:pPr>
        <w:pStyle w:val="900"/>
        <w:ind w:firstLine="482"/>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元</w:t>
      </w:r>
      <w:r>
        <w:rPr>
          <w:rFonts w:hAnsi="宋体" w:cs="宋体"/>
          <w:b/>
          <w:sz w:val="24"/>
          <w:szCs w:val="24"/>
        </w:rPr>
        <w:t xml:space="preserve">（小写       ）。 </w:t>
      </w:r>
      <w:r/>
    </w:p>
    <w:p>
      <w:pPr>
        <w:pStyle w:val="900"/>
        <w:ind w:firstLine="480"/>
        <w:spacing w:line="360" w:lineRule="auto"/>
        <w:rPr>
          <w:rFonts w:hAnsi="宋体" w:cs="宋体"/>
          <w:sz w:val="24"/>
          <w:szCs w:val="24"/>
        </w:rPr>
      </w:pPr>
      <w:r>
        <w:rPr>
          <w:rFonts w:hAnsi="宋体" w:cs="宋体"/>
          <w:sz w:val="24"/>
          <w:szCs w:val="24"/>
        </w:rPr>
        <w:t xml:space="preserve">本合同总价包括招标文件所确定的招标范围相应服务的提供、人员（包括工资和补贴）、翻译、会务、交通、场地、设备、网络、第三方服务、保险、劳保、管理、各种税费、利润、税金、政策性文件规定及合同包含的所有风险、责任等各项应有费用，以及为完成该项服务项目所涉及到的一切相关费用，采购人不再支付其他任何费用。若有工期发生延长情况，则采购人不支付成交供应商任何费用。</w:t>
      </w:r>
      <w:r/>
    </w:p>
    <w:p>
      <w:pPr>
        <w:pStyle w:val="900"/>
        <w:ind w:firstLine="482"/>
        <w:spacing w:line="360" w:lineRule="auto"/>
        <w:rPr>
          <w:rFonts w:hAnsi="宋体" w:cs="宋体"/>
          <w:b/>
          <w:sz w:val="24"/>
          <w:szCs w:val="24"/>
        </w:rPr>
      </w:pPr>
      <w:r>
        <w:rPr>
          <w:rFonts w:hAnsi="宋体" w:cs="宋体"/>
          <w:b/>
          <w:sz w:val="24"/>
          <w:szCs w:val="24"/>
        </w:rPr>
        <w:t xml:space="preserve">第三条 合同履行期限</w:t>
      </w:r>
      <w:r/>
    </w:p>
    <w:p>
      <w:pPr>
        <w:pStyle w:val="900"/>
        <w:ind w:firstLine="480"/>
        <w:spacing w:line="360" w:lineRule="auto"/>
        <w:rPr>
          <w:rFonts w:hAnsi="宋体" w:cs="宋体"/>
          <w:b/>
          <w:sz w:val="24"/>
          <w:szCs w:val="24"/>
        </w:rPr>
      </w:pPr>
      <w:r>
        <w:rPr>
          <w:rFonts w:hAnsi="宋体" w:cs="宋体"/>
          <w:sz w:val="24"/>
        </w:rPr>
        <w:t xml:space="preserve">本项目合同履行期限为三年（   年  月  日—   年  月  日），合同一次签订，期限三年（含三届学生）。涉及实体办学场地及配套设备5年使用权益、成果知识产权和使用权、保密、数据安全、持续协调及违约责任等具有延续性质的义务，不因三年合同履行期限届满而终止，持续至相应义务履行完毕。</w:t>
      </w:r>
      <w:r>
        <w:rPr>
          <w:rFonts w:hAnsi="宋体" w:cs="宋体"/>
          <w:b/>
          <w:sz w:val="24"/>
          <w:szCs w:val="24"/>
        </w:rPr>
      </w:r>
      <w:r/>
    </w:p>
    <w:p>
      <w:pPr>
        <w:pStyle w:val="900"/>
        <w:ind w:firstLine="482"/>
        <w:spacing w:line="360" w:lineRule="auto"/>
        <w:rPr>
          <w:rFonts w:hAnsi="宋体" w:cs="宋体"/>
          <w:b/>
          <w:sz w:val="24"/>
          <w:szCs w:val="24"/>
        </w:rPr>
      </w:pPr>
      <w:r>
        <w:rPr>
          <w:rFonts w:hAnsi="宋体" w:cs="宋体"/>
          <w:b/>
          <w:sz w:val="24"/>
          <w:szCs w:val="24"/>
        </w:rPr>
        <w:t xml:space="preserve">第四条 组成本合同的有关文件</w:t>
      </w:r>
      <w:r/>
    </w:p>
    <w:p>
      <w:pPr>
        <w:pStyle w:val="900"/>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900"/>
        <w:ind w:firstLine="480"/>
        <w:spacing w:line="360" w:lineRule="auto"/>
        <w:rPr>
          <w:rFonts w:hAnsi="宋体" w:cs="宋体"/>
          <w:sz w:val="24"/>
          <w:szCs w:val="24"/>
        </w:rPr>
      </w:pPr>
      <w:r>
        <w:rPr>
          <w:rFonts w:hAnsi="宋体" w:cs="宋体"/>
          <w:sz w:val="24"/>
          <w:szCs w:val="24"/>
        </w:rPr>
        <w:t xml:space="preserve">（1）招标采购文件（编号：   ）           （2）乙方提供的投标文件； </w:t>
      </w:r>
      <w:r/>
    </w:p>
    <w:p>
      <w:pPr>
        <w:pStyle w:val="900"/>
        <w:ind w:firstLine="480"/>
        <w:spacing w:line="360" w:lineRule="auto"/>
        <w:rPr>
          <w:rFonts w:hAnsi="宋体" w:cs="宋体"/>
          <w:sz w:val="24"/>
          <w:szCs w:val="24"/>
        </w:rPr>
      </w:pPr>
      <w:r>
        <w:rPr>
          <w:rFonts w:hAnsi="宋体" w:cs="宋体"/>
          <w:sz w:val="24"/>
          <w:szCs w:val="24"/>
        </w:rPr>
        <w:t xml:space="preserve">（3）中标通知书；                        （4）甲乙双方商定的其他文件等。</w:t>
      </w:r>
      <w:r/>
    </w:p>
    <w:p>
      <w:pPr>
        <w:pStyle w:val="859"/>
        <w:ind w:firstLine="482"/>
        <w:spacing w:line="360" w:lineRule="auto"/>
        <w:rPr>
          <w:rFonts w:ascii="宋体" w:hAnsi="宋体" w:cs="宋体"/>
          <w:b/>
          <w:sz w:val="24"/>
        </w:rPr>
      </w:pPr>
      <w:r>
        <w:rPr>
          <w:rFonts w:hint="eastAsia" w:ascii="宋体" w:hAnsi="宋体" w:cs="宋体"/>
          <w:b/>
          <w:sz w:val="24"/>
        </w:rPr>
        <w:t xml:space="preserve">第五条 合同款结算及支付</w:t>
      </w:r>
      <w:r>
        <w:rPr>
          <w:rFonts w:ascii="宋体" w:hAnsi="宋体" w:cs="宋体"/>
          <w:b/>
          <w:sz w:val="24"/>
        </w:rPr>
      </w:r>
      <w:r/>
    </w:p>
    <w:p>
      <w:pPr>
        <w:pStyle w:val="859"/>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859"/>
        <w:ind w:firstLine="480"/>
        <w:spacing w:line="360" w:lineRule="auto"/>
        <w:rPr>
          <w:rFonts w:hint="eastAsia" w:ascii="宋体" w:hAnsi="宋体" w:cs="宋体"/>
          <w:sz w:val="24"/>
        </w:rPr>
      </w:pPr>
      <w:r>
        <w:rPr>
          <w:rFonts w:hint="eastAsia" w:ascii="宋体" w:hAnsi="宋体" w:cs="宋体"/>
          <w:sz w:val="24"/>
        </w:rPr>
        <w:t xml:space="preserve">3.结算原则：固定单价，按实结算。</w:t>
      </w:r>
      <w:r/>
    </w:p>
    <w:p>
      <w:pPr>
        <w:pStyle w:val="859"/>
        <w:ind w:firstLine="480"/>
        <w:spacing w:line="360" w:lineRule="auto"/>
        <w:rPr>
          <w:rFonts w:hint="eastAsia" w:ascii="宋体" w:hAnsi="宋体" w:cs="宋体"/>
          <w:sz w:val="24"/>
        </w:rPr>
      </w:pPr>
      <w:r>
        <w:rPr>
          <w:rFonts w:hint="eastAsia" w:ascii="宋体" w:hAnsi="宋体" w:cs="宋体"/>
          <w:sz w:val="24"/>
        </w:rPr>
        <w:t xml:space="preserve">4.付款方式：</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937"/>
        <w:gridCol w:w="5450"/>
        <w:gridCol w:w="11"/>
      </w:tblGrid>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ascii="宋体" w:hAnsi="宋体"/>
                <w:b/>
                <w:sz w:val="24"/>
              </w:rPr>
            </w:pPr>
            <w:r>
              <w:rPr>
                <w:rFonts w:hint="eastAsia" w:ascii="宋体" w:hAnsi="宋体"/>
                <w:b/>
                <w:sz w:val="24"/>
              </w:rPr>
              <w:t xml:space="preserve">序号</w:t>
            </w:r>
            <w:r>
              <w:rPr>
                <w:rFonts w:ascii="宋体" w:hAnsi="宋体"/>
                <w:b/>
                <w:sz w:val="24"/>
              </w:rPr>
            </w:r>
            <w:r/>
          </w:p>
        </w:tc>
        <w:tc>
          <w:tcPr>
            <w:tcW w:w="1581" w:type="pct"/>
            <w:vAlign w:val="center"/>
            <w:textDirection w:val="lrTb"/>
            <w:noWrap w:val="false"/>
          </w:tcPr>
          <w:p>
            <w:pPr>
              <w:pStyle w:val="859"/>
              <w:contextualSpacing/>
              <w:jc w:val="center"/>
              <w:spacing w:line="360" w:lineRule="exact"/>
              <w:tabs>
                <w:tab w:val="left" w:pos="567" w:leader="none"/>
              </w:tabs>
              <w:rPr>
                <w:rFonts w:ascii="宋体" w:hAnsi="宋体"/>
                <w:b/>
                <w:sz w:val="24"/>
              </w:rPr>
            </w:pPr>
            <w:r>
              <w:rPr>
                <w:rFonts w:hint="eastAsia" w:ascii="宋体" w:hAnsi="宋体"/>
                <w:b/>
                <w:sz w:val="24"/>
              </w:rPr>
              <w:t xml:space="preserve">服务名称</w:t>
            </w:r>
            <w:r>
              <w:rPr>
                <w:rFonts w:ascii="宋体" w:hAnsi="宋体"/>
                <w:b/>
                <w:sz w:val="24"/>
              </w:rPr>
            </w:r>
            <w:r/>
          </w:p>
        </w:tc>
        <w:tc>
          <w:tcPr>
            <w:gridSpan w:val="2"/>
            <w:tcW w:w="2940" w:type="pct"/>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付款条件</w:t>
            </w:r>
            <w:r/>
          </w:p>
        </w:tc>
      </w:tr>
      <w:tr>
        <w:trPr>
          <w:gridAfter w:val="1"/>
          <w:trHeight w:val="170"/>
        </w:trPr>
        <w:tc>
          <w:tcPr>
            <w:gridSpan w:val="2"/>
            <w:tcBorders>
              <w:right w:val="single" w:color="000000" w:sz="4" w:space="0"/>
            </w:tcBorders>
            <w:tcW w:w="2060"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一、合作调研服务</w:t>
            </w:r>
            <w:r/>
          </w:p>
        </w:tc>
        <w:tc>
          <w:tcPr>
            <w:tcBorders>
              <w:left w:val="single" w:color="000000" w:sz="4" w:space="0"/>
              <w:right w:val="single" w:color="000000" w:sz="4" w:space="0"/>
            </w:tcBorders>
            <w:tcW w:w="2934"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Borders>
              <w:right w:val="single" w:color="000000" w:sz="4" w:space="0"/>
            </w:tcBorders>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海外分院建设境外前期筹备调研服务</w:t>
            </w:r>
            <w:r/>
          </w:p>
        </w:tc>
        <w:tc>
          <w:tcPr>
            <w:gridSpan w:val="2"/>
            <w:tcBorders>
              <w:left w:val="single" w:color="000000" w:sz="4" w:space="0"/>
              <w:right w:val="single" w:color="000000" w:sz="4" w:space="0"/>
            </w:tcBorders>
            <w:tcW w:w="2940" w:type="pct"/>
            <w:vAlign w:val="center"/>
            <w:textDirection w:val="lrTb"/>
            <w:noWrap w:val="false"/>
          </w:tcPr>
          <w:p>
            <w:pPr>
              <w:pStyle w:val="859"/>
              <w:contextualSpacing/>
              <w:spacing w:line="360" w:lineRule="exact"/>
              <w:tabs>
                <w:tab w:val="left" w:pos="567" w:leader="none"/>
              </w:tabs>
              <w:rPr>
                <w:rFonts w:ascii="宋体" w:hAnsi="宋体"/>
                <w:sz w:val="24"/>
              </w:rPr>
            </w:pPr>
            <w:r>
              <w:rPr>
                <w:rFonts w:hint="eastAsia" w:ascii="宋体" w:hAnsi="宋体" w:cs="宋体"/>
                <w:sz w:val="24"/>
                <w:shd w:val="clear" w:color="auto" w:fill="ffffff"/>
              </w:rPr>
              <w:t xml:space="preserve">完成约定调研工作并提交全部交付成果，经采购人审定、验收合格后，供应商提交合法有效发票及完整结算资料，采购人在3个月内一次性支付该分项合同价款的100%。</w:t>
            </w:r>
            <w:r>
              <w:rPr>
                <w:rFonts w:ascii="宋体" w:hAnsi="宋体"/>
                <w:sz w:val="24"/>
              </w:rPr>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乌兹别克斯坦师资来华交流对接统筹服务</w:t>
            </w:r>
            <w:r/>
          </w:p>
        </w:tc>
        <w:tc>
          <w:tcPr>
            <w:gridSpan w:val="2"/>
            <w:tcBorders>
              <w:right w:val="single" w:color="000000" w:sz="4" w:space="0"/>
            </w:tcBorders>
            <w:tcW w:w="2940" w:type="pct"/>
            <w:vAlign w:val="center"/>
            <w:textDirection w:val="lrTb"/>
            <w:noWrap w:val="false"/>
          </w:tcPr>
          <w:p>
            <w:pPr>
              <w:pStyle w:val="859"/>
              <w:contextualSpacing/>
              <w:spacing w:line="360" w:lineRule="exact"/>
              <w:tabs>
                <w:tab w:val="left" w:pos="567" w:leader="none"/>
              </w:tabs>
              <w:rPr>
                <w:rFonts w:hint="eastAsia" w:ascii="宋体" w:hAnsi="宋体"/>
                <w:sz w:val="24"/>
              </w:rPr>
            </w:pPr>
            <w:r>
              <w:rPr>
                <w:rFonts w:hint="eastAsia" w:ascii="宋体" w:hAnsi="宋体"/>
                <w:sz w:val="24"/>
              </w:rPr>
              <w:t xml:space="preserve">三年项目周期内全部来华交流任务执行完毕，累计达到不少于200人日，约定合作协议及人员名单、人日统计表、日程安排、活动过程记录等资料归档完整并验收合格后，供应商提交合法有效发票及完整结算资料，采购人在3个月内一次性支付该分项合同价款的100%。</w:t>
            </w:r>
            <w:r/>
          </w:p>
        </w:tc>
      </w:tr>
      <w:tr>
        <w:trPr>
          <w:gridAfter w:val="1"/>
          <w:trHeight w:val="170"/>
        </w:trPr>
        <w:tc>
          <w:tcPr>
            <w:gridSpan w:val="2"/>
            <w:tcBorders>
              <w:right w:val="single" w:color="000000" w:sz="4" w:space="0"/>
            </w:tcBorders>
            <w:tcW w:w="2060"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二、海外分院筹建服务</w:t>
            </w:r>
            <w:r/>
          </w:p>
        </w:tc>
        <w:tc>
          <w:tcPr>
            <w:tcBorders>
              <w:left w:val="single" w:color="000000" w:sz="4" w:space="0"/>
              <w:right w:val="single" w:color="000000" w:sz="4" w:space="0"/>
            </w:tcBorders>
            <w:tcW w:w="2934"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Borders>
              <w:right w:val="single" w:color="000000" w:sz="4" w:space="0"/>
            </w:tcBorders>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bCs/>
                <w:sz w:val="24"/>
              </w:rPr>
              <w:t xml:space="preserve">三方合作机制建设咨询与缔结协议境外合规性服务</w:t>
            </w:r>
            <w:r>
              <w:rPr>
                <w:rFonts w:hint="eastAsia" w:ascii="宋体" w:hAnsi="宋体"/>
                <w:sz w:val="24"/>
              </w:rPr>
            </w:r>
            <w:r/>
          </w:p>
        </w:tc>
        <w:tc>
          <w:tcPr>
            <w:gridSpan w:val="2"/>
            <w:tcBorders>
              <w:left w:val="single" w:color="000000" w:sz="4" w:space="0"/>
              <w:right w:val="single" w:color="000000" w:sz="4" w:space="0"/>
            </w:tcBorders>
            <w:tcW w:w="2940" w:type="pct"/>
            <w:vAlign w:val="center"/>
            <w:textDirection w:val="lrTb"/>
            <w:noWrap w:val="false"/>
          </w:tcPr>
          <w:p>
            <w:pPr>
              <w:pStyle w:val="859"/>
            </w:pPr>
            <w:r>
              <w:rPr>
                <w:rFonts w:hint="eastAsia" w:ascii="宋体" w:hAnsi="宋体" w:cs="宋体"/>
                <w:sz w:val="24"/>
                <w:shd w:val="clear" w:color="auto" w:fill="ffffff"/>
              </w:rPr>
              <w:t xml:space="preserve">三方合作机制方案、双语合作协议文本、涉外合规审核材料等交付成果全部完成，且约定合作协议正式签署并经采购人验收合格后，供应商提交合法有效发票及完整结算资料，采购人在3个月内一次性支付该分项合同价款的100%。</w:t>
            </w:r>
            <w:r/>
          </w:p>
        </w:tc>
      </w:tr>
      <w:tr>
        <w:trPr>
          <w:trHeight w:val="333"/>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实体办学场地设置</w:t>
            </w:r>
            <w:r/>
          </w:p>
        </w:tc>
        <w:tc>
          <w:tcPr>
            <w:gridSpan w:val="2"/>
            <w:tcBorders>
              <w:right w:val="single" w:color="000000" w:sz="4" w:space="0"/>
            </w:tcBorders>
            <w:tcW w:w="2940" w:type="pct"/>
            <w:vAlign w:val="center"/>
            <w:textDirection w:val="lrTb"/>
            <w:noWrap w:val="false"/>
          </w:tcPr>
          <w:p>
            <w:pPr>
              <w:pStyle w:val="859"/>
            </w:pPr>
            <w:r>
              <w:rPr>
                <w:rFonts w:hint="eastAsia" w:ascii="宋体" w:hAnsi="宋体" w:cs="宋体"/>
                <w:sz w:val="24"/>
                <w:shd w:val="clear" w:color="auto" w:fill="ffffff"/>
              </w:rPr>
              <w:t xml:space="preserve">场地及配套设备按约定标准完成交付并验收合格，供应商提交能够覆盖完整5年使用期的有效场地使用或合作证明、设施设备清单及其他约定材料后，供应商提交合法有效发票及完整结算资料，采购人在3个月内一次性支付该分项合同价款的100%。该项价款支付不免除供应商在完整5年使用期内的持续保障义务。</w:t>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3</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海外分院（培训中心）境外揭牌仪式筹备服务</w:t>
            </w:r>
            <w:r/>
          </w:p>
        </w:tc>
        <w:tc>
          <w:tcPr>
            <w:gridSpan w:val="2"/>
            <w:tcBorders>
              <w:right w:val="single" w:color="000000" w:sz="4" w:space="0"/>
            </w:tcBorders>
            <w:tcW w:w="2940" w:type="pct"/>
            <w:vAlign w:val="center"/>
            <w:textDirection w:val="lrTb"/>
            <w:noWrap w:val="false"/>
          </w:tcPr>
          <w:p>
            <w:pPr>
              <w:pStyle w:val="859"/>
            </w:pPr>
            <w:r>
              <w:rPr>
                <w:rFonts w:hint="eastAsia" w:ascii="宋体" w:hAnsi="宋体" w:cs="宋体"/>
                <w:sz w:val="24"/>
                <w:shd w:val="clear" w:color="auto" w:fill="ffffff"/>
              </w:rPr>
              <w:t xml:space="preserve">境外揭牌活动按约定完成，双语标识牌、嘉宾及议程清单、现场影像资料、双语新闻稿、活动总结及宣传佐证材料等全部交付并验收合格后，供应商提交合法有效发票及完整结算资料，采购人在3个月内一次性支付该分项合同价款的100%。</w:t>
            </w:r>
            <w:r/>
          </w:p>
        </w:tc>
      </w:tr>
      <w:tr>
        <w:trPr>
          <w:gridAfter w:val="1"/>
          <w:trHeight w:val="170"/>
        </w:trPr>
        <w:tc>
          <w:tcPr>
            <w:gridSpan w:val="2"/>
            <w:tcBorders>
              <w:right w:val="single" w:color="000000" w:sz="4" w:space="0"/>
            </w:tcBorders>
            <w:tcW w:w="2060"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三、国际化标准适配及资源建设一期</w:t>
            </w:r>
            <w:r/>
          </w:p>
        </w:tc>
        <w:tc>
          <w:tcPr>
            <w:tcBorders>
              <w:left w:val="single" w:color="000000" w:sz="4" w:space="0"/>
              <w:right w:val="single" w:color="000000" w:sz="4" w:space="0"/>
            </w:tcBorders>
            <w:tcW w:w="2934"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国际化课程标准与专业教学标准境外适配支持服务</w:t>
            </w:r>
            <w:r/>
          </w:p>
        </w:tc>
        <w:tc>
          <w:tcPr>
            <w:gridSpan w:val="2"/>
            <w:tcBorders>
              <w:right w:val="single" w:color="000000" w:sz="4" w:space="0"/>
            </w:tcBorders>
            <w:tcW w:w="2940" w:type="pct"/>
            <w:vAlign w:val="center"/>
            <w:textDirection w:val="lrTb"/>
            <w:noWrap w:val="false"/>
          </w:tcPr>
          <w:p>
            <w:pPr>
              <w:pStyle w:val="859"/>
            </w:pPr>
            <w:r>
              <w:rPr>
                <w:rFonts w:hint="eastAsia" w:ascii="宋体" w:hAnsi="宋体" w:cs="宋体"/>
                <w:sz w:val="24"/>
                <w:shd w:val="clear" w:color="auto" w:fill="ffffff"/>
              </w:rPr>
              <w:t xml:space="preserve">专业教学标准1个、课程标准3个及全部可编辑源文件、专家研讨论证材料、审定记录等交付成果完成并验收合格后，供应商提交合法有效发票及完整结算资料，采购人在3个月内一次性支付该分项合同价款的100%。后续应用周期和应用院校要求按履约保证金及履约考核条款执行。</w:t>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Borders>
              <w:right w:val="single" w:color="000000" w:sz="4" w:space="0"/>
            </w:tcBorders>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境外官方认证申报支持服务</w:t>
            </w:r>
            <w:r/>
          </w:p>
        </w:tc>
        <w:tc>
          <w:tcPr>
            <w:gridSpan w:val="2"/>
            <w:tcBorders>
              <w:left w:val="single" w:color="000000" w:sz="4" w:space="0"/>
              <w:right w:val="single" w:color="000000" w:sz="4" w:space="0"/>
            </w:tcBorders>
            <w:tcW w:w="2940" w:type="pct"/>
            <w:vAlign w:val="center"/>
            <w:textDirection w:val="lrTb"/>
            <w:noWrap w:val="false"/>
          </w:tcPr>
          <w:p>
            <w:pPr>
              <w:pStyle w:val="859"/>
            </w:pPr>
            <w:r>
              <w:rPr>
                <w:rFonts w:hint="eastAsia" w:ascii="宋体" w:hAnsi="宋体" w:cs="宋体"/>
                <w:sz w:val="24"/>
                <w:shd w:val="clear" w:color="auto" w:fill="ffffff"/>
              </w:rPr>
              <w:t xml:space="preserve">以取得乌兹别克斯坦有权部门出具的正式认证结果为付款条件。约定申报的专业教学标准1项和课程标准3项可按取得正式认证的标准项数分项验收、分项支付，单项支付金额按该分项中标价×已取得正式认证的标准项数÷4计算；未取得正式认证结果的对应标准项不支付费用。累计支付金额不超过该分项中标价。</w:t>
            </w:r>
            <w:r/>
          </w:p>
        </w:tc>
      </w:tr>
      <w:tr>
        <w:trPr>
          <w:gridAfter w:val="1"/>
          <w:trHeight w:val="170"/>
        </w:trPr>
        <w:tc>
          <w:tcPr>
            <w:gridSpan w:val="2"/>
            <w:tcBorders>
              <w:right w:val="single" w:color="000000" w:sz="4" w:space="0"/>
            </w:tcBorders>
            <w:tcW w:w="2060"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四、国际化标准适配及资源建设二期</w:t>
            </w:r>
            <w:r/>
          </w:p>
        </w:tc>
        <w:tc>
          <w:tcPr>
            <w:tcBorders>
              <w:left w:val="single" w:color="000000" w:sz="4" w:space="0"/>
              <w:right w:val="single" w:color="000000" w:sz="4" w:space="0"/>
            </w:tcBorders>
            <w:tcW w:w="2934"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Borders>
              <w:right w:val="single" w:color="000000" w:sz="4" w:space="0"/>
            </w:tcBorders>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国际化双语教材建设境外适配支持服务</w:t>
            </w:r>
            <w:r/>
          </w:p>
        </w:tc>
        <w:tc>
          <w:tcPr>
            <w:gridSpan w:val="2"/>
            <w:tcBorders>
              <w:left w:val="single" w:color="000000" w:sz="4" w:space="0"/>
              <w:right w:val="single" w:color="000000" w:sz="4" w:space="0"/>
            </w:tcBorders>
            <w:tcW w:w="2940" w:type="pct"/>
            <w:vAlign w:val="center"/>
            <w:textDirection w:val="lrTb"/>
            <w:noWrap w:val="false"/>
          </w:tcPr>
          <w:p>
            <w:pPr>
              <w:pStyle w:val="859"/>
              <w:contextualSpacing/>
              <w:spacing w:line="360" w:lineRule="exact"/>
              <w:tabs>
                <w:tab w:val="left" w:pos="567" w:leader="none"/>
              </w:tabs>
              <w:rPr>
                <w:rFonts w:hint="eastAsia" w:ascii="宋体" w:hAnsi="宋体"/>
                <w:sz w:val="24"/>
              </w:rPr>
            </w:pPr>
            <w:r>
              <w:rPr>
                <w:rFonts w:hint="eastAsia" w:ascii="宋体" w:hAnsi="宋体" w:cs="宋体"/>
                <w:sz w:val="24"/>
                <w:shd w:val="clear" w:color="auto" w:fill="ffffff"/>
              </w:rPr>
              <w:t xml:space="preserve">按教材单册验收、分册支付。每本双语核心教材完成本土化适配、正式出版并取得有效ISBN，且可编辑源文件、印刷定稿文件、审校记录等资料验收合格后，按该教材对应中标单价支付；累计支付不超过5本教材的分项中标总价。后续应用周期和应用院校要求按履约保证金及履约考核条款执行。</w:t>
            </w:r>
            <w:r>
              <w:rPr>
                <w:rFonts w:hint="eastAsia" w:ascii="宋体" w:hAnsi="宋体"/>
                <w:sz w:val="24"/>
              </w:rPr>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国际化课程教学视频建设境外适配支持服务</w:t>
            </w:r>
            <w:r/>
          </w:p>
        </w:tc>
        <w:tc>
          <w:tcPr>
            <w:gridSpan w:val="2"/>
            <w:tcBorders>
              <w:right w:val="single" w:color="000000" w:sz="4" w:space="0"/>
            </w:tcBorders>
            <w:tcW w:w="2940" w:type="pct"/>
            <w:vAlign w:val="center"/>
            <w:textDirection w:val="lrTb"/>
            <w:noWrap w:val="false"/>
          </w:tcPr>
          <w:p>
            <w:pPr>
              <w:pStyle w:val="859"/>
              <w:contextualSpacing/>
              <w:spacing w:line="360" w:lineRule="exact"/>
              <w:tabs>
                <w:tab w:val="left" w:pos="567" w:leader="none"/>
              </w:tabs>
              <w:rPr>
                <w:rFonts w:hint="eastAsia" w:ascii="宋体" w:hAnsi="宋体"/>
                <w:sz w:val="24"/>
              </w:rPr>
            </w:pPr>
            <w:r>
              <w:rPr>
                <w:rFonts w:hint="eastAsia" w:ascii="宋体" w:hAnsi="宋体" w:cs="宋体"/>
                <w:sz w:val="24"/>
                <w:shd w:val="clear" w:color="auto" w:fill="ffffff"/>
              </w:rPr>
              <w:t xml:space="preserve">按课程视频资源包逐门验收、逐门支付。每门课程完成约定视频资源、双语字幕、内容审校、本土化适配记录及平台应用佐证并验收合格后，按该门课程对应中标单价支付；累计支付不超过10门课程的分项中标总价。后续应用周期和应用院校要求按履约保证金及履约考核条款执行。</w:t>
            </w:r>
            <w:r>
              <w:rPr>
                <w:rFonts w:hint="eastAsia" w:ascii="宋体" w:hAnsi="宋体"/>
                <w:sz w:val="24"/>
              </w:rPr>
            </w:r>
            <w:r/>
          </w:p>
        </w:tc>
      </w:tr>
      <w:tr>
        <w:trPr>
          <w:gridAfter w:val="1"/>
          <w:trHeight w:val="170"/>
        </w:trPr>
        <w:tc>
          <w:tcPr>
            <w:gridSpan w:val="2"/>
            <w:tcBorders>
              <w:right w:val="single" w:color="000000" w:sz="4" w:space="0"/>
            </w:tcBorders>
            <w:tcW w:w="2060"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五、国际技能人才培养中心建设及培训运营</w:t>
            </w:r>
            <w:r/>
          </w:p>
        </w:tc>
        <w:tc>
          <w:tcPr>
            <w:tcBorders>
              <w:left w:val="single" w:color="000000" w:sz="4" w:space="0"/>
              <w:right w:val="single" w:color="000000" w:sz="4" w:space="0"/>
            </w:tcBorders>
            <w:tcW w:w="2934"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企业短期培训需求调研及课程包境外适配服务</w:t>
            </w:r>
            <w:r/>
          </w:p>
        </w:tc>
        <w:tc>
          <w:tcPr>
            <w:gridSpan w:val="2"/>
            <w:tcBorders>
              <w:right w:val="single" w:color="000000" w:sz="4" w:space="0"/>
            </w:tcBorders>
            <w:tcW w:w="2940" w:type="pct"/>
            <w:vAlign w:val="center"/>
            <w:textDirection w:val="lrTb"/>
            <w:noWrap w:val="false"/>
          </w:tcPr>
          <w:p>
            <w:pPr>
              <w:pStyle w:val="859"/>
              <w:contextualSpacing/>
              <w:spacing w:line="360" w:lineRule="exact"/>
              <w:tabs>
                <w:tab w:val="left" w:pos="567" w:leader="none"/>
              </w:tabs>
              <w:rPr>
                <w:rFonts w:hint="eastAsia" w:ascii="宋体" w:hAnsi="宋体"/>
                <w:sz w:val="24"/>
              </w:rPr>
            </w:pPr>
            <w:r>
              <w:rPr>
                <w:rFonts w:hint="eastAsia" w:ascii="宋体" w:hAnsi="宋体" w:cs="宋体"/>
                <w:sz w:val="24"/>
                <w:shd w:val="clear" w:color="auto" w:fill="ffffff"/>
              </w:rPr>
              <w:t xml:space="preserve">按短期培训课程包逐项验收、逐项支付。每个课程包完成岗位需求调研、内容适配、专家论证、实际应用反馈及修订优化，交付完整可编辑成果并验收合格后，按该课程包对应中标单价支付；累计支付不超过10个课程包的分项中标总价。</w:t>
            </w:r>
            <w:r>
              <w:rPr>
                <w:rFonts w:hint="eastAsia" w:ascii="宋体" w:hAnsi="宋体"/>
                <w:sz w:val="24"/>
              </w:rPr>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本土员工技能培训组织管理支持</w:t>
            </w:r>
            <w:r/>
          </w:p>
        </w:tc>
        <w:tc>
          <w:tcPr>
            <w:gridSpan w:val="2"/>
            <w:tcW w:w="2940" w:type="pct"/>
            <w:vAlign w:val="center"/>
            <w:textDirection w:val="lrTb"/>
            <w:noWrap w:val="false"/>
          </w:tcPr>
          <w:p>
            <w:pPr>
              <w:pStyle w:val="859"/>
            </w:pPr>
            <w:r>
              <w:rPr>
                <w:rFonts w:hint="eastAsia" w:ascii="宋体" w:hAnsi="宋体" w:cs="宋体"/>
                <w:sz w:val="24"/>
                <w:shd w:val="clear" w:color="auto" w:fill="ffffff"/>
              </w:rPr>
              <w:t xml:space="preserve">按实际完成并经验收确认的有效培训人次分批支付。每批次支付金额按“该分项中标价×本批新增有效培训人次÷300”计算，累计支付不超过该分项中标价的90%；完成累计不少于300有效人次并提交全部汇总交付成果、验收合格后支付剩余价款。</w:t>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3</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技能人才培养中心申报与认定服务</w:t>
            </w:r>
            <w:r/>
          </w:p>
        </w:tc>
        <w:tc>
          <w:tcPr>
            <w:gridSpan w:val="2"/>
            <w:tcW w:w="2940" w:type="pct"/>
            <w:vAlign w:val="center"/>
            <w:textDirection w:val="lrTb"/>
            <w:noWrap w:val="false"/>
          </w:tcPr>
          <w:p>
            <w:pPr>
              <w:pStyle w:val="859"/>
            </w:pPr>
            <w:r>
              <w:rPr>
                <w:rFonts w:hint="eastAsia" w:ascii="宋体" w:hAnsi="宋体" w:cs="宋体"/>
                <w:sz w:val="24"/>
                <w:shd w:val="clear" w:color="auto" w:fill="ffffff"/>
              </w:rPr>
              <w:t xml:space="preserve">完成正式申报并取得有权主管部门出具的受理回执或具有同等效力的正式受理证明，经采购人确认后支付该分项合同价款的50%；取得技能人才培养中心正式认定文件并验收合格后支付剩余50%。未取得正式认定结果的，不支付认定结果对应的剩余款项。</w:t>
            </w:r>
            <w:r/>
          </w:p>
        </w:tc>
      </w:tr>
      <w:tr>
        <w:trPr>
          <w:gridAfter w:val="1"/>
          <w:trHeight w:val="170"/>
        </w:trPr>
        <w:tc>
          <w:tcPr>
            <w:gridSpan w:val="2"/>
            <w:tcBorders>
              <w:right w:val="single" w:color="000000" w:sz="4" w:space="0"/>
            </w:tcBorders>
            <w:tcW w:w="2060"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六、项目评估与品牌宣传</w:t>
            </w:r>
            <w:r/>
          </w:p>
        </w:tc>
        <w:tc>
          <w:tcPr>
            <w:tcBorders>
              <w:left w:val="single" w:color="000000" w:sz="4" w:space="0"/>
              <w:right w:val="single" w:color="000000" w:sz="4" w:space="0"/>
            </w:tcBorders>
            <w:tcW w:w="2934" w:type="pct"/>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项目境外办学质量评估及评估报告服务</w:t>
            </w:r>
            <w:r/>
          </w:p>
        </w:tc>
        <w:tc>
          <w:tcPr>
            <w:gridSpan w:val="2"/>
            <w:tcBorders>
              <w:right w:val="single" w:color="000000" w:sz="4" w:space="0"/>
            </w:tcBorders>
            <w:tcW w:w="2940" w:type="pct"/>
            <w:vAlign w:val="center"/>
            <w:textDirection w:val="lrTb"/>
            <w:noWrap w:val="false"/>
          </w:tcPr>
          <w:p>
            <w:pPr>
              <w:pStyle w:val="859"/>
            </w:pPr>
            <w:r>
              <w:rPr>
                <w:rFonts w:hint="eastAsia" w:ascii="宋体" w:hAnsi="宋体" w:cs="宋体"/>
                <w:sz w:val="24"/>
                <w:shd w:val="clear" w:color="auto" w:fill="ffffff"/>
              </w:rPr>
              <w:t xml:space="preserve">完成项目质量评估组织工作并提交评估专家意见、核查或访谈记录、质量评估报告、问题清单、改进建议及整改跟踪记录等全部成果，经采购人验收合格后，供应商提交合法有效发票及完整结算资料，采购人在3个月内一次性支付该分项合同价款的100%。</w:t>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境外办学品牌项目认定服务</w:t>
            </w:r>
            <w:r/>
          </w:p>
        </w:tc>
        <w:tc>
          <w:tcPr>
            <w:gridSpan w:val="2"/>
            <w:tcW w:w="2940" w:type="pct"/>
            <w:vAlign w:val="center"/>
            <w:textDirection w:val="lrTb"/>
            <w:noWrap w:val="false"/>
          </w:tcPr>
          <w:p>
            <w:pPr>
              <w:pStyle w:val="859"/>
            </w:pPr>
            <w:r>
              <w:rPr>
                <w:rFonts w:hint="eastAsia" w:ascii="宋体" w:hAnsi="宋体" w:cs="宋体"/>
                <w:sz w:val="24"/>
                <w:shd w:val="clear" w:color="auto" w:fill="ffffff"/>
              </w:rPr>
              <w:t xml:space="preserve">取得中文工坊、鲁班工坊、绿色工坊等相关境外办学品牌项目中至少1项正式认定结果并验收合格后，供应商提交合法有效发票及完整结算资料，采购人在3个月内一次性支付该分项合同价款的100%。未取得约定正式认定结果的不支付；取得2项及以上认定仍按该分项中标价支付，不累计增加费用。</w:t>
            </w:r>
            <w:r/>
          </w:p>
        </w:tc>
      </w:tr>
      <w:tr>
        <w:trPr>
          <w:trHeight w:val="170"/>
        </w:trPr>
        <w:tc>
          <w:tcPr>
            <w:tcW w:w="479"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3</w:t>
            </w:r>
            <w:r/>
          </w:p>
        </w:tc>
        <w:tc>
          <w:tcPr>
            <w:tcW w:w="1581" w:type="pct"/>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项目成果境外宣传物料设计与制作服务</w:t>
            </w:r>
            <w:r/>
          </w:p>
        </w:tc>
        <w:tc>
          <w:tcPr>
            <w:gridSpan w:val="2"/>
            <w:tcW w:w="2940" w:type="pct"/>
            <w:vAlign w:val="center"/>
            <w:textDirection w:val="lrTb"/>
            <w:noWrap w:val="false"/>
          </w:tcPr>
          <w:p>
            <w:pPr>
              <w:pStyle w:val="859"/>
            </w:pPr>
            <w:r>
              <w:rPr>
                <w:rFonts w:hint="eastAsia" w:ascii="宋体" w:hAnsi="宋体" w:cs="宋体"/>
                <w:sz w:val="24"/>
                <w:shd w:val="clear" w:color="auto" w:fill="ffffff"/>
              </w:rPr>
              <w:t xml:space="preserve">三年项目周期内完成项目成果宣传成片1个、中乌双语年度成果手册3本、建设期总成果手册1本、每年不少于2次官方平台宣传报道及全部发布佐证、传播数据和合规审核材料，全部交付并验收合格后，供应商提交合法有效发票及完整结算资料，采购人在3个月内一次性支付该分项合同价款的100%。</w:t>
            </w:r>
            <w:r/>
          </w:p>
        </w:tc>
      </w:tr>
    </w:tbl>
    <w:p>
      <w:pPr>
        <w:pStyle w:val="872"/>
        <w:rPr>
          <w:color w:val="000000"/>
        </w:rPr>
      </w:pPr>
      <w:r>
        <w:rPr>
          <w:color w:val="000000"/>
        </w:rPr>
      </w:r>
      <w:r/>
    </w:p>
    <w:p>
      <w:pPr>
        <w:pStyle w:val="859"/>
        <w:ind w:firstLine="482"/>
        <w:spacing w:line="360" w:lineRule="auto"/>
        <w:rPr>
          <w:rFonts w:ascii="宋体" w:hAnsi="宋体" w:cs="宋体"/>
          <w:b/>
          <w:sz w:val="24"/>
        </w:rPr>
      </w:pPr>
      <w:r>
        <w:rPr>
          <w:rFonts w:hint="eastAsia" w:ascii="宋体" w:hAnsi="宋体" w:cs="宋体"/>
          <w:b/>
          <w:sz w:val="24"/>
        </w:rPr>
        <w:t xml:space="preserve">第六条 违约责任</w:t>
      </w:r>
      <w:r>
        <w:rPr>
          <w:rFonts w:ascii="宋体" w:hAnsi="宋体" w:cs="宋体"/>
          <w:b/>
          <w:sz w:val="24"/>
        </w:rPr>
      </w:r>
      <w:r/>
    </w:p>
    <w:p>
      <w:pPr>
        <w:pStyle w:val="859"/>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乙方中标后，未按承诺取得租期5年及以上、覆盖本项目实施周期、场地用途包含职教培训、教学办公的正式租赁协议，或提交的租赁协议不满足招标文件要求的，属于违约。甲方有权：①单方解除合同；②不予退还履约保证金；③乙方承担甲方全部直接及间接损失；④甲方有权将该乙方失信行为报送政府采购监管部门。</w:t>
      </w:r>
      <w:r/>
    </w:p>
    <w:p>
      <w:pPr>
        <w:pStyle w:val="859"/>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本项目实体办学场地及配套设备的5年使用权益自场地正式交付并经甲方验收合格之日起计算，独立于3年合同服务期。三年服务期届满后，乙方仍应保障甲方在剩余期限内按采购需求约定标准无偿使用约定实训、教学、办公场地及配套设备，甲方不再另行支付场地租赁费、设备使用费。</w:t>
      </w:r>
      <w:r/>
    </w:p>
    <w:p>
      <w:pPr>
        <w:pStyle w:val="859"/>
        <w:ind w:firstLine="48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乙方应持续负责协调乌兹别克斯坦合作方维持场地租赁或合作关系，保障水、电、网络及设施设备基本可用。三年服务期届满前60日历天，乙方须向甲方提交剩余2年场地使用有效性证明文件，包括但不限于更新后的合作协议、场地确认函或其他具有同等效力的证明材料。如发生或可能发生场地到期收回、租赁或合作中断、配套设施设备无法正常使用等风险，乙方应在知悉后立即书面预警，并原则上不晚于预计风险发生前90日历天提供等效替代场地方案，替代场地的面积、功能及配套条件不得低于原约定标准。</w:t>
      </w:r>
      <w:r/>
    </w:p>
    <w:p>
      <w:pPr>
        <w:pStyle w:val="859"/>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在3年合同服务期内，发生场地无法使用、被收回或配套设施设备不能正常使用，且乙方未能在30日历天内恢复使用或提供不低于原标准的替代场地的，甲方有权要求乙方支付该分项合同金额20%的违约金；造成项目无法开展的，甲方有权解除合同，要求退还该分项已支付但对应义务未履行部分的价款，并要求乙方赔偿由此给甲方造成的直接损失。</w:t>
      </w:r>
      <w:r/>
    </w:p>
    <w:p>
      <w:pPr>
        <w:pStyle w:val="859"/>
        <w:ind w:firstLine="48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.在3年服务期届满后的剩余2年履约期内，因乙方协调不到位导致场地使用权中断、场地被收回或配套设施失效，且乙方在30日历天内不能完成修复或提供同等标准替代场地的：</w:t>
      </w:r>
      <w:r/>
    </w:p>
    <w:p>
      <w:pPr>
        <w:pStyle w:val="859"/>
        <w:ind w:firstLine="480"/>
        <w:spacing w:line="360" w:lineRule="auto"/>
        <w:rPr>
          <w:rFonts w:ascii="宋体" w:hAnsi="宋体" w:cs="宋体"/>
          <w:sz w:val="24"/>
        </w:rPr>
      </w:pPr>
      <w:r>
        <w:rPr>
          <w:rFonts w:ascii="宋体" w:hAnsi="宋体" w:cs="宋体"/>
          <w:sz w:val="24"/>
        </w:rPr>
        <w:t xml:space="preserve">（1）每发生一次场地中断事件，乙方向甲方支付该分项合同金额15%的违约金；</w:t>
      </w:r>
      <w:r/>
    </w:p>
    <w:p>
      <w:pPr>
        <w:pStyle w:val="859"/>
        <w:ind w:firstLine="480"/>
        <w:spacing w:line="360" w:lineRule="auto"/>
        <w:rPr>
          <w:rFonts w:ascii="宋体" w:hAnsi="宋体" w:cs="宋体"/>
          <w:sz w:val="24"/>
        </w:rPr>
      </w:pPr>
      <w:r>
        <w:rPr>
          <w:rFonts w:ascii="宋体" w:hAnsi="宋体" w:cs="宋体"/>
          <w:sz w:val="24"/>
        </w:rPr>
        <w:t xml:space="preserve">（2）若完全丧失场地使用权且无合格替代方案，乙方须向甲方一次性支付该分项合同金额50%的违约金。给甲方造成直接经济损失或项目停滞损失，违约金不足以弥补损失的，乙方还应赔偿不足部分。</w:t>
      </w:r>
      <w:r/>
    </w:p>
    <w:p>
      <w:pPr>
        <w:pStyle w:val="859"/>
        <w:ind w:firstLine="480"/>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t xml:space="preserve">.三年服务期届满后，甲方有权在剩余2年内开展年度核验。乙方每年须配合甲方完成场地使用权核验，提交场地使用确认文件、现场佐证照片等材料；无正当理由拒绝配合核验的，视为履约违约，每次按该分项合同金额10%承担违约金。</w:t>
      </w:r>
      <w:r/>
    </w:p>
    <w:p>
      <w:pPr>
        <w:pStyle w:val="859"/>
        <w:ind w:firstLine="480"/>
        <w:spacing w:line="360" w:lineRule="auto"/>
        <w:rPr>
          <w:rFonts w:ascii="宋体" w:hAnsi="宋体" w:cs="宋体"/>
          <w:sz w:val="24"/>
        </w:rPr>
      </w:pPr>
      <w:r>
        <w:rPr>
          <w:rFonts w:hint="eastAsia" w:ascii="宋体" w:hAnsi="宋体" w:cs="宋体"/>
          <w:sz w:val="24"/>
        </w:rPr>
        <w:t xml:space="preserve">7</w:t>
      </w:r>
      <w:r>
        <w:rPr>
          <w:rFonts w:ascii="宋体" w:hAnsi="宋体" w:cs="宋体"/>
          <w:sz w:val="24"/>
        </w:rPr>
        <w:t xml:space="preserve">.三年合同服务期届满不影响本条款效力。本条关于场地及配套设备5年使用权益、持续保障、核验及违约责任的约定对乙方持续有效，直至完整5年使用期届满且相关义务全部履行完毕。</w:t>
      </w:r>
      <w:r/>
    </w:p>
    <w:p>
      <w:pPr>
        <w:pStyle w:val="859"/>
        <w:ind w:firstLine="480"/>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t xml:space="preserve">.如乙方不能按约定进行服务的，甲方有权解除合同，乙方交纳的全部履约保证金不予退还，同时有权要求乙方按照合同总价5%的标准支付违约金，解除合同的通知自发出之日生效。</w:t>
      </w:r>
      <w:r/>
    </w:p>
    <w:p>
      <w:pPr>
        <w:pStyle w:val="859"/>
        <w:ind w:firstLine="480"/>
        <w:spacing w:line="360" w:lineRule="auto"/>
        <w:rPr>
          <w:rFonts w:ascii="宋体" w:hAnsi="宋体" w:cs="宋体"/>
          <w:sz w:val="24"/>
        </w:rPr>
      </w:pPr>
      <w:r>
        <w:rPr>
          <w:rFonts w:hint="eastAsia" w:ascii="宋体" w:hAnsi="宋体" w:cs="宋体"/>
          <w:sz w:val="24"/>
        </w:rPr>
        <w:t xml:space="preserve">9</w:t>
      </w:r>
      <w:r>
        <w:rPr>
          <w:rFonts w:ascii="宋体" w:hAnsi="宋体" w:cs="宋体"/>
          <w:sz w:val="24"/>
        </w:rPr>
        <w:t xml:space="preserve">.甲方未按合同规定的期限向乙方支付货款的，每逾期1天甲方向乙方偿付欠款总额的5‰滞纳金，但累计滞纳金总额不超过欠款总额的5%。</w:t>
      </w:r>
      <w:r/>
    </w:p>
    <w:p>
      <w:pPr>
        <w:pStyle w:val="859"/>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0.乙方未按本合同规定向甲方交付履约保证金的，甲方有权拒绝签订本合同，同时乙方应按应交付履约保证金的100%向甲方支付违约金。</w:t>
      </w:r>
      <w:r/>
    </w:p>
    <w:p>
      <w:pPr>
        <w:pStyle w:val="859"/>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1.乙方未按本合同的规定和“服务承诺”提供伴随服务的，甲方有权提前解除本合同，同时乙方应按合同总价款的5%向甲方承担违约责任。</w:t>
      </w:r>
      <w:r/>
    </w:p>
    <w:p>
      <w:pPr>
        <w:pStyle w:val="859"/>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2.乙方在承担上述一项或多项违约责任后，仍应继续履行合同规定的义务（甲方解除合同的除外）。甲方未能及时追究乙方的任何一项违约责任并不表明甲方放弃追究乙方该项或其他违约责任。</w:t>
      </w:r>
      <w:r/>
    </w:p>
    <w:p>
      <w:pPr>
        <w:pStyle w:val="859"/>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3.乙方投标属虚假承诺，或是由于乙方的过错造成合同无法继续履行的，除乙方已交履约保证金不予退还外，还应向甲方支付不少于合同总价30%违约金，若该违约金不足以弥补甲方损失，则应当赔偿甲方所有损失。同一违约事项同时触发多条违约约定的，甲方有权选择适用较重的违约条款，不重复累加计收违约金。</w:t>
      </w:r>
      <w:r/>
    </w:p>
    <w:p>
      <w:pPr>
        <w:pStyle w:val="859"/>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4.其他未尽事宜，以《民法典》等有关法律法规规定为准，无相关规定的，双方协商解决。</w:t>
      </w:r>
      <w:r/>
    </w:p>
    <w:p>
      <w:pPr>
        <w:pStyle w:val="859"/>
        <w:ind w:firstLine="482"/>
        <w:spacing w:line="360" w:lineRule="auto"/>
        <w:rPr>
          <w:rFonts w:ascii="宋体" w:hAnsi="宋体" w:cs="宋体"/>
          <w:b/>
          <w:sz w:val="24"/>
        </w:rPr>
      </w:pPr>
      <w:r>
        <w:rPr>
          <w:rFonts w:hint="eastAsia" w:ascii="宋体" w:hAnsi="宋体" w:cs="宋体"/>
          <w:b/>
          <w:sz w:val="24"/>
        </w:rPr>
        <w:t xml:space="preserve">第七条 合同的变更和终止</w:t>
      </w:r>
      <w:r>
        <w:rPr>
          <w:rFonts w:ascii="宋体" w:hAnsi="宋体" w:cs="宋体"/>
          <w:b/>
          <w:sz w:val="24"/>
        </w:rPr>
      </w:r>
      <w:r/>
    </w:p>
    <w:p>
      <w:pPr>
        <w:pStyle w:val="859"/>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2.除发生法律规定的不能预见、不能避免并不能克服的客观情况外，甲乙双方不得放弃或拒绝履行合同。乙方放弃或拒绝履行合同，履约保证金不予退还。</w:t>
      </w:r>
      <w:r>
        <w:rPr>
          <w:rFonts w:ascii="宋体" w:hAnsi="宋体" w:cs="宋体"/>
          <w:sz w:val="24"/>
        </w:rPr>
      </w:r>
      <w:r/>
    </w:p>
    <w:p>
      <w:pPr>
        <w:pStyle w:val="859"/>
        <w:ind w:firstLine="482"/>
        <w:spacing w:line="360" w:lineRule="auto"/>
        <w:rPr>
          <w:rFonts w:ascii="宋体" w:hAnsi="宋体" w:cs="宋体"/>
          <w:b/>
          <w:sz w:val="24"/>
        </w:rPr>
      </w:pPr>
      <w:r>
        <w:rPr>
          <w:rFonts w:hint="eastAsia" w:ascii="宋体" w:hAnsi="宋体" w:cs="宋体"/>
          <w:b/>
          <w:sz w:val="24"/>
        </w:rPr>
        <w:t xml:space="preserve">第八条 合同的转让</w:t>
      </w:r>
      <w:r>
        <w:rPr>
          <w:rFonts w:ascii="宋体" w:hAnsi="宋体" w:cs="宋体"/>
          <w:b/>
          <w:sz w:val="24"/>
        </w:rPr>
      </w:r>
      <w:r/>
    </w:p>
    <w:p>
      <w:pPr>
        <w:pStyle w:val="859"/>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859"/>
        <w:ind w:firstLine="482"/>
        <w:spacing w:line="360" w:lineRule="auto"/>
        <w:rPr>
          <w:rFonts w:ascii="宋体" w:hAnsi="宋体" w:cs="宋体"/>
          <w:b/>
          <w:sz w:val="24"/>
        </w:rPr>
      </w:pPr>
      <w:r>
        <w:rPr>
          <w:rFonts w:hint="eastAsia" w:ascii="宋体" w:hAnsi="宋体" w:cs="宋体"/>
          <w:b/>
          <w:sz w:val="24"/>
        </w:rPr>
        <w:t xml:space="preserve">第九条 不可抗力</w:t>
      </w:r>
      <w:r>
        <w:rPr>
          <w:rFonts w:ascii="宋体" w:hAnsi="宋体" w:cs="宋体"/>
          <w:b/>
          <w:sz w:val="24"/>
        </w:rPr>
      </w:r>
      <w:r/>
    </w:p>
    <w:p>
      <w:pPr>
        <w:pStyle w:val="859"/>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w:t>
      </w:r>
      <w:r>
        <w:rPr>
          <w:rFonts w:hint="eastAsia" w:ascii="宋体" w:hAnsi="宋体" w:cs="宋体"/>
          <w:sz w:val="24"/>
          <w:u w:val="single"/>
        </w:rPr>
        <w:t xml:space="preserve">   个</w:t>
      </w:r>
      <w:r>
        <w:rPr>
          <w:rFonts w:hint="eastAsia" w:ascii="宋体" w:hAnsi="宋体" w:cs="宋体"/>
          <w:sz w:val="24"/>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859"/>
        <w:ind w:firstLine="482"/>
        <w:spacing w:line="360" w:lineRule="auto"/>
        <w:rPr>
          <w:rFonts w:ascii="宋体" w:hAnsi="宋体" w:cs="宋体"/>
          <w:b/>
          <w:sz w:val="24"/>
        </w:rPr>
      </w:pPr>
      <w:r>
        <w:rPr>
          <w:rFonts w:hint="eastAsia" w:ascii="宋体" w:hAnsi="宋体" w:cs="宋体"/>
          <w:b/>
          <w:sz w:val="24"/>
        </w:rPr>
        <w:t xml:space="preserve">第十条 争议的解决</w:t>
      </w:r>
      <w:r>
        <w:rPr>
          <w:rFonts w:ascii="宋体" w:hAnsi="宋体" w:cs="宋体"/>
          <w:b/>
          <w:sz w:val="24"/>
        </w:rPr>
      </w:r>
      <w:r/>
    </w:p>
    <w:p>
      <w:pPr>
        <w:pStyle w:val="859"/>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rPr>
          <w:rFonts w:ascii="宋体" w:hAnsi="宋体" w:cs="宋体"/>
          <w:sz w:val="24"/>
        </w:rPr>
      </w:r>
      <w:r/>
    </w:p>
    <w:p>
      <w:pPr>
        <w:pStyle w:val="859"/>
        <w:ind w:firstLine="482"/>
        <w:spacing w:line="360" w:lineRule="auto"/>
        <w:rPr>
          <w:rFonts w:ascii="宋体" w:hAnsi="宋体" w:cs="宋体"/>
          <w:b/>
          <w:sz w:val="24"/>
        </w:rPr>
      </w:pPr>
      <w:r>
        <w:rPr>
          <w:rFonts w:hint="eastAsia" w:ascii="宋体" w:hAnsi="宋体" w:cs="宋体"/>
          <w:b/>
          <w:sz w:val="24"/>
        </w:rPr>
        <w:t xml:space="preserve">第十一条 诚实信用 </w:t>
      </w:r>
      <w:r>
        <w:rPr>
          <w:rFonts w:ascii="宋体" w:hAnsi="宋体" w:cs="宋体"/>
          <w:b/>
          <w:sz w:val="24"/>
        </w:rPr>
      </w:r>
      <w:r/>
    </w:p>
    <w:p>
      <w:pPr>
        <w:pStyle w:val="859"/>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859"/>
        <w:ind w:firstLine="482"/>
        <w:spacing w:line="360" w:lineRule="auto"/>
        <w:rPr>
          <w:rFonts w:ascii="宋体" w:hAnsi="宋体" w:cs="宋体"/>
          <w:b/>
          <w:sz w:val="24"/>
        </w:rPr>
      </w:pPr>
      <w:r>
        <w:rPr>
          <w:rFonts w:hint="eastAsia" w:ascii="宋体" w:hAnsi="宋体" w:cs="宋体"/>
          <w:b/>
          <w:sz w:val="24"/>
        </w:rPr>
        <w:t xml:space="preserve">第十二条 合同生效及其他</w:t>
      </w:r>
      <w:r>
        <w:rPr>
          <w:rFonts w:ascii="宋体" w:hAnsi="宋体" w:cs="宋体"/>
          <w:b/>
          <w:sz w:val="24"/>
        </w:rPr>
      </w:r>
      <w:r/>
    </w:p>
    <w:p>
      <w:pPr>
        <w:pStyle w:val="859"/>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859"/>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rPr>
          <w:rFonts w:ascii="宋体" w:hAnsi="宋体" w:cs="宋体"/>
          <w:sz w:val="24"/>
        </w:rPr>
      </w:r>
      <w:r/>
    </w:p>
    <w:p>
      <w:pPr>
        <w:pStyle w:val="859"/>
        <w:jc w:val="left"/>
        <w:spacing w:line="360" w:lineRule="auto"/>
        <w:rPr>
          <w:rFonts w:ascii="宋体" w:hAnsi="宋体" w:cs="宋体"/>
          <w:b/>
          <w:bCs/>
          <w:sz w:val="24"/>
        </w:rPr>
      </w:pPr>
      <w:r>
        <w:rPr>
          <w:rFonts w:ascii="宋体" w:hAnsi="宋体" w:cs="宋体"/>
          <w:b/>
          <w:bCs/>
          <w:sz w:val="24"/>
        </w:rPr>
      </w:r>
      <w:r/>
    </w:p>
    <w:p>
      <w:pPr>
        <w:pStyle w:val="859"/>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rPr>
          <w:rFonts w:ascii="宋体" w:hAnsi="宋体" w:cs="宋体"/>
          <w:sz w:val="24"/>
        </w:rPr>
      </w:r>
      <w:r/>
    </w:p>
    <w:p>
      <w:pPr>
        <w:pStyle w:val="859"/>
        <w:spacing w:line="360" w:lineRule="auto"/>
        <w:rPr>
          <w:rFonts w:ascii="宋体" w:hAnsi="宋体" w:cs="宋体"/>
          <w:sz w:val="24"/>
          <w:u w:val="single"/>
        </w:rPr>
      </w:pPr>
      <w:r>
        <w:rPr>
          <w:rFonts w:hint="eastAsia" w:ascii="宋体" w:hAnsi="宋体" w:cs="宋体"/>
          <w:sz w:val="24"/>
        </w:rPr>
        <w:t xml:space="preserve">单位名称（章）：                          单位名称（章）：</w:t>
      </w:r>
      <w:r>
        <w:rPr>
          <w:rFonts w:ascii="宋体" w:hAnsi="宋体" w:cs="宋体"/>
          <w:sz w:val="24"/>
          <w:u w:val="single"/>
        </w:rPr>
      </w:r>
      <w:r/>
    </w:p>
    <w:p>
      <w:pPr>
        <w:pStyle w:val="859"/>
        <w:spacing w:line="360" w:lineRule="auto"/>
        <w:rPr>
          <w:rFonts w:ascii="宋体" w:hAnsi="宋体" w:cs="宋体"/>
          <w:sz w:val="24"/>
          <w:u w:val="single"/>
        </w:rPr>
      </w:pPr>
      <w:r>
        <w:rPr>
          <w:rFonts w:hint="eastAsia" w:ascii="宋体" w:hAnsi="宋体" w:cs="宋体"/>
          <w:sz w:val="24"/>
        </w:rPr>
        <w:t xml:space="preserve">单位地址：                               单位地址：</w:t>
      </w:r>
      <w:r>
        <w:rPr>
          <w:rFonts w:ascii="宋体" w:hAnsi="宋体" w:cs="宋体"/>
          <w:sz w:val="24"/>
          <w:u w:val="single"/>
        </w:rPr>
      </w:r>
      <w:r/>
    </w:p>
    <w:p>
      <w:pPr>
        <w:pStyle w:val="859"/>
        <w:spacing w:line="360" w:lineRule="auto"/>
        <w:rPr>
          <w:rFonts w:ascii="宋体" w:hAnsi="宋体" w:cs="宋体"/>
          <w:sz w:val="24"/>
        </w:rPr>
      </w:pPr>
      <w:r>
        <w:rPr>
          <w:rFonts w:hint="eastAsia" w:ascii="宋体" w:hAnsi="宋体" w:cs="宋体"/>
          <w:sz w:val="24"/>
        </w:rPr>
        <w:t xml:space="preserve">法定代表人：       委托代理人：          法定代表人：     委托代理人：                            </w:t>
      </w:r>
      <w:r>
        <w:rPr>
          <w:rFonts w:ascii="宋体" w:hAnsi="宋体" w:cs="宋体"/>
          <w:sz w:val="24"/>
        </w:rPr>
      </w:r>
      <w:r/>
    </w:p>
    <w:p>
      <w:pPr>
        <w:pStyle w:val="859"/>
        <w:spacing w:line="360" w:lineRule="auto"/>
        <w:rPr>
          <w:rFonts w:ascii="宋体" w:hAnsi="宋体" w:cs="宋体"/>
          <w:sz w:val="24"/>
        </w:rPr>
      </w:pPr>
      <w:r>
        <w:rPr>
          <w:rFonts w:hint="eastAsia" w:ascii="宋体" w:hAnsi="宋体" w:cs="宋体"/>
          <w:sz w:val="24"/>
        </w:rPr>
        <w:t xml:space="preserve">电话：                                   电话：            传真：</w:t>
      </w:r>
      <w:r>
        <w:rPr>
          <w:rFonts w:ascii="宋体" w:hAnsi="宋体" w:cs="宋体"/>
          <w:sz w:val="24"/>
        </w:rPr>
      </w:r>
      <w:r/>
    </w:p>
    <w:p>
      <w:pPr>
        <w:pStyle w:val="859"/>
        <w:spacing w:line="360" w:lineRule="auto"/>
        <w:rPr>
          <w:rFonts w:ascii="宋体" w:hAnsi="宋体" w:cs="宋体"/>
          <w:sz w:val="24"/>
        </w:rPr>
      </w:pPr>
      <w:r>
        <w:rPr>
          <w:rFonts w:hint="eastAsia" w:ascii="宋体" w:hAnsi="宋体" w:cs="宋体"/>
          <w:sz w:val="24"/>
        </w:rPr>
        <w:t xml:space="preserve">传真：                                   开户银行：        账号：</w:t>
      </w:r>
      <w:r>
        <w:rPr>
          <w:rFonts w:ascii="宋体" w:hAnsi="宋体" w:cs="宋体"/>
          <w:sz w:val="24"/>
        </w:rPr>
        <w:br w:type="page" w:clear="all"/>
      </w:r>
      <w:r/>
    </w:p>
    <w:p>
      <w:pPr>
        <w:pStyle w:val="859"/>
        <w:jc w:val="center"/>
        <w:spacing w:line="360" w:lineRule="auto"/>
        <w:rPr>
          <w:rFonts w:ascii="宋体" w:hAnsi="宋体"/>
          <w:b/>
          <w:sz w:val="36"/>
          <w:szCs w:val="36"/>
        </w:rPr>
        <w:outlineLvl w:val="0"/>
      </w:pPr>
      <w:r/>
      <w:bookmarkStart w:id="816" w:name="_Toc99301426"/>
      <w:r>
        <w:rPr>
          <w:rFonts w:ascii="宋体" w:hAnsi="宋体"/>
          <w:b/>
          <w:sz w:val="36"/>
          <w:szCs w:val="36"/>
        </w:rPr>
        <w:t xml:space="preserve">第七章   投标文件格式</w:t>
      </w:r>
      <w:bookmarkEnd w:id="816"/>
      <w:r>
        <w:rPr>
          <w:rFonts w:ascii="宋体" w:hAnsi="宋体"/>
          <w:b/>
          <w:sz w:val="36"/>
          <w:szCs w:val="36"/>
        </w:rPr>
      </w:r>
      <w:r/>
    </w:p>
    <w:p>
      <w:pPr>
        <w:pStyle w:val="859"/>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9"/>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9"/>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859"/>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859"/>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859"/>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859"/>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9"/>
        <w:jc w:val="left"/>
        <w:widowControl/>
        <w:rPr>
          <w:rFonts w:ascii="宋体" w:hAnsi="宋体"/>
          <w:sz w:val="24"/>
        </w:rPr>
      </w:pPr>
      <w:r>
        <w:rPr>
          <w:rFonts w:ascii="宋体" w:hAnsi="宋体"/>
          <w:sz w:val="24"/>
        </w:rPr>
        <w:br w:type="page" w:clear="all"/>
      </w:r>
      <w:r/>
    </w:p>
    <w:p>
      <w:pPr>
        <w:pStyle w:val="859"/>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859"/>
        <w:rPr>
          <w:rFonts w:ascii="宋体" w:hAnsi="宋体"/>
          <w:b/>
          <w:spacing w:val="20"/>
          <w:szCs w:val="21"/>
        </w:rPr>
      </w:pPr>
      <w:r>
        <w:rPr>
          <w:rFonts w:ascii="宋体" w:hAnsi="宋体"/>
          <w:b/>
          <w:spacing w:val="20"/>
          <w:szCs w:val="21"/>
        </w:rPr>
      </w:r>
      <w:r/>
    </w:p>
    <w:p>
      <w:pPr>
        <w:pStyle w:val="859"/>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859"/>
        <w:jc w:val="center"/>
        <w:rPr>
          <w:rFonts w:ascii="宋体" w:hAnsi="宋体"/>
          <w:szCs w:val="21"/>
        </w:rPr>
      </w:pPr>
      <w:r>
        <w:rPr>
          <w:rFonts w:ascii="宋体" w:hAnsi="宋体"/>
          <w:szCs w:val="21"/>
        </w:rPr>
      </w:r>
      <w:r/>
    </w:p>
    <w:p>
      <w:pPr>
        <w:pStyle w:val="859"/>
        <w:jc w:val="center"/>
        <w:rPr>
          <w:rFonts w:ascii="宋体" w:hAnsi="宋体"/>
          <w:b/>
          <w:spacing w:val="60"/>
          <w:sz w:val="84"/>
          <w:szCs w:val="84"/>
        </w:rPr>
      </w:pPr>
      <w:r>
        <w:rPr>
          <w:rFonts w:ascii="宋体" w:hAnsi="宋体"/>
          <w:b/>
          <w:spacing w:val="60"/>
          <w:sz w:val="84"/>
          <w:szCs w:val="84"/>
        </w:rPr>
        <w:t xml:space="preserve">投 标 文 件</w:t>
      </w:r>
      <w:r/>
    </w:p>
    <w:p>
      <w:pPr>
        <w:pStyle w:val="859"/>
        <w:ind w:firstLine="963"/>
        <w:rPr>
          <w:rFonts w:hint="eastAsia" w:ascii="宋体" w:hAnsi="宋体"/>
          <w:b/>
          <w:spacing w:val="60"/>
          <w:sz w:val="52"/>
          <w:szCs w:val="52"/>
        </w:rPr>
      </w:pPr>
      <w:r>
        <w:rPr>
          <w:rFonts w:hint="eastAsia" w:ascii="宋体" w:hAnsi="宋体"/>
          <w:b/>
          <w:spacing w:val="60"/>
          <w:sz w:val="52"/>
          <w:szCs w:val="52"/>
        </w:rPr>
      </w:r>
      <w:r/>
    </w:p>
    <w:p>
      <w:pPr>
        <w:pStyle w:val="859"/>
        <w:ind w:firstLine="963"/>
        <w:rPr>
          <w:rFonts w:hint="eastAsia" w:ascii="宋体" w:hAnsi="宋体"/>
          <w:b/>
          <w:spacing w:val="60"/>
          <w:sz w:val="52"/>
          <w:szCs w:val="52"/>
        </w:rPr>
      </w:pPr>
      <w:r>
        <w:rPr>
          <w:rFonts w:hint="eastAsia" w:ascii="宋体" w:hAnsi="宋体"/>
          <w:b/>
          <w:spacing w:val="60"/>
          <w:sz w:val="52"/>
          <w:szCs w:val="52"/>
        </w:rPr>
      </w:r>
      <w:r/>
    </w:p>
    <w:p>
      <w:pPr>
        <w:pStyle w:val="859"/>
        <w:ind w:firstLine="542"/>
        <w:rPr>
          <w:rFonts w:ascii="宋体" w:hAnsi="宋体"/>
          <w:b/>
          <w:spacing w:val="20"/>
          <w:sz w:val="32"/>
          <w:szCs w:val="32"/>
        </w:rPr>
      </w:pPr>
      <w:r>
        <w:rPr>
          <w:rFonts w:ascii="宋体" w:hAnsi="宋体"/>
          <w:b/>
          <w:spacing w:val="20"/>
          <w:sz w:val="32"/>
          <w:szCs w:val="32"/>
        </w:rPr>
      </w:r>
      <w:r/>
    </w:p>
    <w:p>
      <w:pPr>
        <w:pStyle w:val="859"/>
        <w:ind w:firstLine="542"/>
        <w:rPr>
          <w:rFonts w:ascii="宋体" w:hAnsi="宋体"/>
          <w:b/>
          <w:spacing w:val="20"/>
          <w:sz w:val="32"/>
          <w:szCs w:val="32"/>
        </w:rPr>
      </w:pPr>
      <w:r>
        <w:rPr>
          <w:rFonts w:ascii="宋体" w:hAnsi="宋体"/>
          <w:b/>
          <w:spacing w:val="20"/>
          <w:sz w:val="32"/>
          <w:szCs w:val="32"/>
        </w:rPr>
      </w:r>
      <w:r/>
    </w:p>
    <w:p>
      <w:pPr>
        <w:pStyle w:val="85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59"/>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59"/>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59"/>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59"/>
        <w:jc w:val="center"/>
        <w:rPr>
          <w:rFonts w:ascii="宋体" w:hAnsi="宋体"/>
          <w:b/>
          <w:sz w:val="32"/>
          <w:szCs w:val="32"/>
        </w:rPr>
      </w:pPr>
      <w:r>
        <w:rPr>
          <w:rFonts w:ascii="宋体" w:hAnsi="宋体"/>
          <w:b/>
          <w:sz w:val="32"/>
          <w:szCs w:val="32"/>
        </w:rPr>
      </w:r>
      <w:r/>
    </w:p>
    <w:p>
      <w:pPr>
        <w:pStyle w:val="859"/>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59"/>
        <w:rPr>
          <w:rFonts w:ascii="宋体" w:hAnsi="宋体"/>
          <w:b/>
        </w:rPr>
      </w:pPr>
      <w:r>
        <w:rPr>
          <w:rFonts w:ascii="宋体" w:hAnsi="宋体"/>
          <w:b/>
        </w:rPr>
      </w:r>
      <w:r/>
    </w:p>
    <w:p>
      <w:pPr>
        <w:pStyle w:val="859"/>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862"/>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859"/>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59"/>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75"/>
        <w:ind w:firstLine="480"/>
        <w:spacing w:line="460" w:lineRule="exact"/>
        <w:rPr>
          <w:rFonts w:hAnsi="宋体"/>
        </w:rPr>
      </w:pPr>
      <w:r>
        <w:rPr>
          <w:rFonts w:hAnsi="宋体"/>
        </w:rPr>
      </w:r>
      <w:r/>
    </w:p>
    <w:p>
      <w:pPr>
        <w:pStyle w:val="875"/>
        <w:ind w:firstLine="480"/>
        <w:spacing w:line="460" w:lineRule="exact"/>
        <w:rPr>
          <w:rFonts w:hAnsi="宋体"/>
        </w:rPr>
      </w:pPr>
      <w:r>
        <w:rPr>
          <w:rFonts w:hint="eastAsia" w:hAnsi="宋体"/>
        </w:rPr>
        <w:t xml:space="preserve">致：常州市城投建设工程招标有限公司</w:t>
      </w:r>
      <w:r>
        <w:rPr>
          <w:rFonts w:hAnsi="宋体"/>
        </w:rPr>
      </w:r>
      <w:r/>
    </w:p>
    <w:p>
      <w:pPr>
        <w:pStyle w:val="875"/>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875"/>
        <w:ind w:firstLine="480"/>
        <w:spacing w:line="460" w:lineRule="exact"/>
        <w:rPr>
          <w:rFonts w:hAnsi="宋体"/>
        </w:rPr>
      </w:pPr>
      <w:r>
        <w:rPr>
          <w:rFonts w:hAnsi="宋体"/>
        </w:rPr>
      </w:r>
      <w:r/>
    </w:p>
    <w:p>
      <w:pPr>
        <w:pStyle w:val="875"/>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875"/>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875"/>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875"/>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875"/>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875"/>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875"/>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875"/>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875"/>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875"/>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875"/>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875"/>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875"/>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875"/>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875"/>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875"/>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875"/>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875"/>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875"/>
        <w:ind w:firstLine="480"/>
        <w:spacing w:line="460" w:lineRule="exact"/>
        <w:rPr>
          <w:rFonts w:hAnsi="宋体"/>
        </w:rPr>
      </w:pPr>
      <w:r>
        <w:rPr>
          <w:rFonts w:hAnsi="宋体"/>
        </w:rPr>
      </w:r>
      <w:r/>
    </w:p>
    <w:p>
      <w:pPr>
        <w:pStyle w:val="875"/>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875"/>
        <w:ind w:firstLine="480"/>
        <w:spacing w:line="460" w:lineRule="exact"/>
        <w:rPr>
          <w:rFonts w:hAnsi="宋体"/>
        </w:rPr>
      </w:pPr>
      <w:r>
        <w:rPr>
          <w:rFonts w:hAnsi="宋体"/>
        </w:rPr>
      </w:r>
      <w:r/>
    </w:p>
    <w:p>
      <w:pPr>
        <w:pStyle w:val="875"/>
        <w:ind w:firstLine="480"/>
        <w:spacing w:line="460" w:lineRule="exact"/>
        <w:rPr>
          <w:rFonts w:hAnsi="宋体"/>
        </w:rPr>
      </w:pPr>
      <w:r>
        <w:rPr>
          <w:rFonts w:hAnsi="宋体"/>
        </w:rPr>
      </w:r>
      <w:r/>
    </w:p>
    <w:p>
      <w:pPr>
        <w:pStyle w:val="875"/>
        <w:ind w:firstLine="840"/>
        <w:spacing w:line="460" w:lineRule="exact"/>
        <w:rPr>
          <w:rFonts w:hAnsi="宋体"/>
        </w:rPr>
      </w:pPr>
      <w:r>
        <w:rPr>
          <w:rFonts w:hint="eastAsia" w:hAnsi="宋体"/>
        </w:rPr>
        <w:t xml:space="preserve">投标人：（加盖公章）</w:t>
      </w:r>
      <w:r>
        <w:rPr>
          <w:rFonts w:hAnsi="宋体"/>
        </w:rPr>
      </w:r>
      <w:r/>
    </w:p>
    <w:p>
      <w:pPr>
        <w:pStyle w:val="875"/>
        <w:ind w:firstLine="840"/>
        <w:spacing w:line="460" w:lineRule="exact"/>
        <w:rPr>
          <w:rFonts w:hAnsi="宋体"/>
        </w:rPr>
      </w:pPr>
      <w:r>
        <w:rPr>
          <w:rFonts w:hint="eastAsia" w:hAnsi="宋体"/>
        </w:rPr>
        <w:t xml:space="preserve">法定代表人（或单位负责人）签字或盖章：</w:t>
      </w:r>
      <w:r>
        <w:rPr>
          <w:rFonts w:hAnsi="宋体"/>
        </w:rPr>
      </w:r>
      <w:r/>
    </w:p>
    <w:p>
      <w:pPr>
        <w:pStyle w:val="875"/>
        <w:ind w:firstLine="840"/>
        <w:spacing w:line="460" w:lineRule="exact"/>
        <w:rPr>
          <w:rFonts w:hint="eastAsia" w:hAnsi="宋体"/>
        </w:rPr>
      </w:pPr>
      <w:r>
        <w:rPr>
          <w:rFonts w:hint="eastAsia" w:hAnsi="宋体"/>
        </w:rPr>
        <w:t xml:space="preserve">日期：    年    月    日</w:t>
      </w:r>
      <w:r/>
    </w:p>
    <w:p>
      <w:pPr>
        <w:pStyle w:val="859"/>
        <w:spacing w:line="360" w:lineRule="auto"/>
        <w:rPr>
          <w:rFonts w:hint="eastAsia" w:ascii="宋体" w:hAnsi="宋体"/>
          <w:sz w:val="24"/>
        </w:rPr>
      </w:pPr>
      <w:r>
        <w:rPr>
          <w:rFonts w:hint="eastAsia" w:ascii="宋体" w:hAnsi="宋体"/>
          <w:sz w:val="24"/>
        </w:rPr>
      </w:r>
      <w:r/>
    </w:p>
    <w:p>
      <w:pPr>
        <w:pStyle w:val="859"/>
        <w:spacing w:line="360" w:lineRule="auto"/>
        <w:rPr>
          <w:rFonts w:hint="eastAsia" w:ascii="宋体" w:hAnsi="宋体"/>
          <w:sz w:val="24"/>
        </w:rPr>
      </w:pPr>
      <w:r>
        <w:rPr>
          <w:rFonts w:hint="eastAsia" w:ascii="宋体" w:hAnsi="宋体"/>
          <w:sz w:val="24"/>
        </w:rPr>
      </w:r>
      <w:r/>
    </w:p>
    <w:p>
      <w:pPr>
        <w:pStyle w:val="859"/>
        <w:spacing w:line="360" w:lineRule="auto"/>
        <w:rPr>
          <w:rFonts w:hint="eastAsia" w:ascii="宋体" w:hAnsi="宋体"/>
          <w:sz w:val="24"/>
        </w:rPr>
      </w:pPr>
      <w:r>
        <w:rPr>
          <w:rFonts w:hint="eastAsia" w:ascii="宋体" w:hAnsi="宋体"/>
          <w:sz w:val="24"/>
        </w:rPr>
      </w:r>
      <w:r/>
    </w:p>
    <w:p>
      <w:pPr>
        <w:pStyle w:val="859"/>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859"/>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859"/>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859"/>
        <w:spacing w:line="360" w:lineRule="auto"/>
        <w:rPr>
          <w:rFonts w:ascii="宋体" w:hAnsi="宋体"/>
          <w:spacing w:val="6"/>
          <w:sz w:val="24"/>
        </w:rPr>
        <w:outlineLvl w:val="2"/>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rPr>
          <w:rFonts w:ascii="宋体" w:hAnsi="宋体"/>
          <w:spacing w:val="6"/>
          <w:sz w:val="24"/>
        </w:rPr>
      </w:r>
      <w:r/>
    </w:p>
    <w:p>
      <w:pPr>
        <w:pStyle w:val="859"/>
        <w:jc w:val="left"/>
        <w:widowControl/>
        <w:rPr>
          <w:rFonts w:ascii="宋体" w:hAnsi="宋体"/>
          <w:sz w:val="24"/>
        </w:rPr>
      </w:pPr>
      <w:r>
        <w:rPr>
          <w:rFonts w:ascii="宋体" w:hAnsi="宋体"/>
          <w:sz w:val="24"/>
        </w:rPr>
      </w:r>
      <w:r/>
    </w:p>
    <w:p>
      <w:pPr>
        <w:pStyle w:val="859"/>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859"/>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ind w:left="719" w:hanging="240"/>
        <w:spacing w:line="360" w:lineRule="auto"/>
        <w:rPr>
          <w:rFonts w:hint="eastAsia" w:ascii="宋体" w:hAnsi="宋体"/>
          <w:sz w:val="24"/>
          <w:szCs w:val="20"/>
        </w:rPr>
      </w:pPr>
      <w:r>
        <w:rPr>
          <w:rFonts w:hint="eastAsia" w:ascii="宋体" w:hAnsi="宋体"/>
          <w:sz w:val="24"/>
          <w:szCs w:val="20"/>
        </w:rPr>
      </w:r>
      <w:r/>
    </w:p>
    <w:p>
      <w:pPr>
        <w:pStyle w:val="859"/>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17" w:name="_Toc226309800"/>
      <w:r/>
      <w:bookmarkStart w:id="818" w:name="_Toc226965829"/>
      <w:r/>
      <w:bookmarkStart w:id="819" w:name="_Toc480942349"/>
      <w:r/>
      <w:bookmarkStart w:id="820" w:name="_Toc226337252"/>
      <w:r/>
      <w:bookmarkStart w:id="821" w:name="_Toc195842921"/>
      <w:r/>
      <w:bookmarkStart w:id="822" w:name="_Toc226965746"/>
      <w:r/>
      <w:bookmarkStart w:id="823" w:name="_Toc142311058"/>
      <w:r/>
      <w:bookmarkStart w:id="824" w:name="_Toc150480794"/>
      <w:r/>
      <w:bookmarkStart w:id="825" w:name="_Toc127151556"/>
      <w:r/>
      <w:bookmarkStart w:id="826" w:name="_Ref467988698"/>
      <w:r/>
      <w:bookmarkStart w:id="827" w:name="_Toc150774761"/>
      <w:r/>
      <w:bookmarkStart w:id="828" w:name="_Toc520356217"/>
      <w:r>
        <w:rPr>
          <w:rFonts w:hint="eastAsia" w:ascii="宋体" w:hAnsi="宋体"/>
          <w:b/>
          <w:sz w:val="32"/>
          <w:szCs w:val="32"/>
        </w:rPr>
      </w:r>
      <w:r/>
    </w:p>
    <w:p>
      <w:pPr>
        <w:pStyle w:val="859"/>
        <w:jc w:val="center"/>
        <w:widowControl/>
        <w:rPr>
          <w:rFonts w:hint="eastAsia" w:ascii="宋体" w:hAnsi="宋体"/>
          <w:b/>
          <w:sz w:val="32"/>
          <w:szCs w:val="32"/>
        </w:rPr>
      </w:pPr>
      <w:r>
        <w:rPr>
          <w:rFonts w:hint="eastAsia" w:ascii="宋体" w:hAnsi="宋体"/>
          <w:b/>
          <w:sz w:val="32"/>
          <w:szCs w:val="32"/>
        </w:rPr>
      </w:r>
      <w:r/>
    </w:p>
    <w:p>
      <w:pPr>
        <w:pStyle w:val="859"/>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sz w:val="24"/>
        </w:rPr>
        <w:t xml:space="preserve">函</w:t>
      </w:r>
      <w:r>
        <w:rPr>
          <w:rFonts w:ascii="宋体" w:hAnsi="宋体"/>
          <w:b/>
          <w:sz w:val="24"/>
          <w:szCs w:val="20"/>
        </w:rPr>
        <w:t xml:space="preserve">（实质性格式）</w:t>
      </w:r>
      <w:r/>
    </w:p>
    <w:p>
      <w:pPr>
        <w:pStyle w:val="859"/>
        <w:spacing w:line="360" w:lineRule="auto"/>
        <w:tabs>
          <w:tab w:val="left" w:pos="5580" w:leader="none"/>
        </w:tabs>
        <w:rPr>
          <w:rFonts w:ascii="宋体" w:hAnsi="宋体"/>
          <w:sz w:val="24"/>
        </w:rPr>
      </w:pPr>
      <w:r>
        <w:rPr>
          <w:rFonts w:ascii="宋体" w:hAnsi="宋体"/>
          <w:sz w:val="24"/>
        </w:rPr>
      </w:r>
      <w:r/>
    </w:p>
    <w:p>
      <w:pPr>
        <w:pStyle w:val="859"/>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859"/>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859"/>
        <w:spacing w:line="360" w:lineRule="auto"/>
        <w:tabs>
          <w:tab w:val="left" w:pos="5580" w:leader="none"/>
        </w:tabs>
        <w:rPr>
          <w:rFonts w:ascii="宋体" w:hAnsi="宋体"/>
          <w:sz w:val="24"/>
          <w:szCs w:val="20"/>
        </w:rPr>
      </w:pPr>
      <w:r>
        <w:rPr>
          <w:rFonts w:ascii="宋体" w:hAnsi="宋体"/>
          <w:sz w:val="24"/>
          <w:szCs w:val="20"/>
        </w:rPr>
      </w:r>
      <w:r/>
    </w:p>
    <w:p>
      <w:pPr>
        <w:pStyle w:val="859"/>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859"/>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859"/>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859"/>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859"/>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859"/>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859"/>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859"/>
        <w:ind w:firstLine="480"/>
        <w:spacing w:line="360" w:lineRule="auto"/>
        <w:rPr>
          <w:rFonts w:ascii="宋体" w:hAnsi="宋体"/>
          <w:sz w:val="24"/>
        </w:rPr>
      </w:pPr>
      <w:r>
        <w:rPr>
          <w:rFonts w:ascii="宋体" w:hAnsi="宋体"/>
          <w:sz w:val="24"/>
        </w:rPr>
        <w:t xml:space="preserve">与本投标有关的一切正式往来信函请寄：</w:t>
      </w:r>
      <w:r/>
    </w:p>
    <w:p>
      <w:pPr>
        <w:pStyle w:val="859"/>
        <w:ind w:left="420"/>
        <w:spacing w:line="360" w:lineRule="auto"/>
        <w:tabs>
          <w:tab w:val="left" w:pos="5580" w:leader="none"/>
        </w:tabs>
        <w:rPr>
          <w:rFonts w:ascii="宋体" w:hAnsi="宋体"/>
          <w:sz w:val="24"/>
          <w:szCs w:val="20"/>
        </w:rPr>
      </w:pPr>
      <w:r>
        <w:rPr>
          <w:rFonts w:ascii="宋体" w:hAnsi="宋体"/>
          <w:sz w:val="24"/>
          <w:szCs w:val="20"/>
        </w:rPr>
      </w:r>
      <w:r/>
    </w:p>
    <w:p>
      <w:pPr>
        <w:pStyle w:val="859"/>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859"/>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859"/>
        <w:ind w:left="420"/>
        <w:spacing w:line="360" w:lineRule="auto"/>
        <w:tabs>
          <w:tab w:val="left" w:pos="5580" w:leader="none"/>
        </w:tabs>
        <w:rPr>
          <w:rFonts w:ascii="宋体" w:hAnsi="宋体"/>
          <w:sz w:val="24"/>
          <w:szCs w:val="20"/>
        </w:rPr>
      </w:pPr>
      <w:r>
        <w:rPr>
          <w:rFonts w:ascii="宋体" w:hAnsi="宋体"/>
          <w:sz w:val="24"/>
          <w:szCs w:val="20"/>
        </w:rPr>
      </w:r>
      <w:r/>
    </w:p>
    <w:p>
      <w:pPr>
        <w:pStyle w:val="859"/>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859"/>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859"/>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859"/>
        <w:jc w:val="left"/>
        <w:widowControl/>
        <w:rPr>
          <w:rFonts w:hint="eastAsia" w:ascii="宋体" w:hAnsi="宋体"/>
          <w:b/>
          <w:sz w:val="24"/>
        </w:rPr>
      </w:pPr>
      <w:r/>
      <w:bookmarkStart w:id="829" w:name="_Hlt520355938"/>
      <w:r/>
      <w:bookmarkEnd w:id="829"/>
      <w:r/>
      <w:bookmarkStart w:id="830" w:name="_Hlt520356243"/>
      <w:r/>
      <w:bookmarkEnd w:id="830"/>
      <w:r>
        <w:rPr>
          <w:rFonts w:ascii="宋体" w:hAnsi="宋体"/>
          <w:sz w:val="24"/>
        </w:rPr>
        <w:br w:type="page" w:clear="all"/>
      </w:r>
      <w:r>
        <w:rPr>
          <w:rFonts w:hint="eastAsia" w:ascii="宋体" w:hAnsi="宋体"/>
          <w:b/>
          <w:sz w:val="24"/>
        </w:rPr>
      </w:r>
      <w:r/>
    </w:p>
    <w:p>
      <w:pPr>
        <w:pStyle w:val="859"/>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859"/>
        <w:jc w:val="center"/>
        <w:spacing w:line="360" w:lineRule="auto"/>
        <w:rPr>
          <w:rFonts w:hint="eastAsia" w:ascii="宋体" w:hAnsi="宋体"/>
          <w:b/>
          <w:sz w:val="32"/>
          <w:szCs w:val="32"/>
        </w:rPr>
      </w:pPr>
      <w:r>
        <w:rPr>
          <w:rFonts w:hint="eastAsia" w:ascii="宋体" w:hAnsi="宋体"/>
          <w:b/>
          <w:sz w:val="32"/>
          <w:szCs w:val="32"/>
        </w:rPr>
      </w:r>
      <w:r/>
    </w:p>
    <w:p>
      <w:pPr>
        <w:pStyle w:val="859"/>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59"/>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59"/>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59"/>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59"/>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59"/>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59"/>
        <w:spacing w:line="560" w:lineRule="exact"/>
        <w:rPr>
          <w:rFonts w:ascii="宋体" w:hAnsi="宋体"/>
          <w:sz w:val="24"/>
        </w:rPr>
      </w:pPr>
      <w:r>
        <w:rPr>
          <w:rFonts w:ascii="宋体" w:hAnsi="宋体"/>
          <w:sz w:val="24"/>
        </w:rPr>
      </w:r>
      <w:r/>
    </w:p>
    <w:p>
      <w:pPr>
        <w:pStyle w:val="89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9"/>
              <w:jc w:val="left"/>
              <w:spacing w:line="360" w:lineRule="auto"/>
              <w:tabs>
                <w:tab w:val="left" w:pos="5580" w:leader="none"/>
              </w:tabs>
              <w:rPr>
                <w:rFonts w:ascii="宋体" w:hAnsi="宋体"/>
                <w:sz w:val="24"/>
                <w:szCs w:val="20"/>
              </w:rPr>
            </w:pPr>
            <w:r>
              <w:rPr>
                <w:rFonts w:ascii="宋体" w:hAnsi="宋体"/>
                <w:sz w:val="24"/>
                <w:szCs w:val="20"/>
              </w:rPr>
            </w:r>
            <w:r/>
          </w:p>
          <w:p>
            <w:pPr>
              <w:pStyle w:val="859"/>
              <w:jc w:val="left"/>
              <w:spacing w:line="360" w:lineRule="auto"/>
              <w:tabs>
                <w:tab w:val="left" w:pos="5580" w:leader="none"/>
              </w:tabs>
              <w:rPr>
                <w:rFonts w:ascii="宋体" w:hAnsi="宋体"/>
                <w:sz w:val="24"/>
                <w:szCs w:val="20"/>
              </w:rPr>
            </w:pPr>
            <w:r>
              <w:rPr>
                <w:rFonts w:ascii="宋体" w:hAnsi="宋体"/>
                <w:sz w:val="24"/>
                <w:szCs w:val="20"/>
              </w:rPr>
            </w:r>
            <w:r/>
          </w:p>
          <w:p>
            <w:pPr>
              <w:pStyle w:val="859"/>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59"/>
              <w:jc w:val="left"/>
              <w:spacing w:line="360" w:lineRule="auto"/>
              <w:tabs>
                <w:tab w:val="left" w:pos="5580" w:leader="none"/>
              </w:tabs>
              <w:rPr>
                <w:rFonts w:ascii="宋体" w:hAnsi="宋体"/>
                <w:sz w:val="24"/>
                <w:szCs w:val="20"/>
              </w:rPr>
            </w:pPr>
            <w:r>
              <w:rPr>
                <w:rFonts w:ascii="宋体" w:hAnsi="宋体"/>
                <w:sz w:val="24"/>
                <w:szCs w:val="20"/>
              </w:rPr>
            </w:r>
            <w:r/>
          </w:p>
          <w:p>
            <w:pPr>
              <w:pStyle w:val="859"/>
              <w:jc w:val="left"/>
              <w:spacing w:line="360" w:lineRule="auto"/>
              <w:tabs>
                <w:tab w:val="left" w:pos="5580" w:leader="none"/>
              </w:tabs>
              <w:rPr>
                <w:rFonts w:ascii="宋体" w:hAnsi="宋体"/>
                <w:sz w:val="24"/>
                <w:szCs w:val="20"/>
              </w:rPr>
            </w:pPr>
            <w:r>
              <w:rPr>
                <w:rFonts w:ascii="宋体" w:hAnsi="宋体"/>
                <w:sz w:val="24"/>
                <w:szCs w:val="20"/>
              </w:rPr>
            </w:r>
            <w:r/>
          </w:p>
          <w:p>
            <w:pPr>
              <w:pStyle w:val="859"/>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59"/>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59"/>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9"/>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59"/>
        <w:jc w:val="left"/>
        <w:widowControl/>
        <w:rPr>
          <w:rFonts w:hint="eastAsia" w:ascii="宋体" w:hAnsi="宋体"/>
          <w:sz w:val="24"/>
        </w:rPr>
      </w:pPr>
      <w:r>
        <w:rPr>
          <w:rFonts w:hint="eastAsia" w:ascii="宋体" w:hAnsi="宋体"/>
          <w:sz w:val="24"/>
        </w:rPr>
      </w:r>
      <w:r/>
    </w:p>
    <w:p>
      <w:pPr>
        <w:pStyle w:val="859"/>
        <w:jc w:val="left"/>
        <w:widowControl/>
        <w:rPr>
          <w:rFonts w:hint="eastAsia" w:ascii="宋体" w:hAnsi="宋体"/>
          <w:sz w:val="24"/>
        </w:rPr>
      </w:pPr>
      <w:r>
        <w:rPr>
          <w:rFonts w:hint="eastAsia" w:ascii="宋体" w:hAnsi="宋体"/>
          <w:sz w:val="24"/>
        </w:rPr>
      </w:r>
      <w:r/>
    </w:p>
    <w:p>
      <w:pPr>
        <w:pStyle w:val="859"/>
        <w:jc w:val="left"/>
        <w:widowControl/>
        <w:rPr>
          <w:rFonts w:hint="eastAsia" w:ascii="宋体" w:hAnsi="宋体"/>
          <w:sz w:val="24"/>
        </w:rPr>
      </w:pPr>
      <w:r>
        <w:rPr>
          <w:rFonts w:hint="eastAsia" w:ascii="宋体" w:hAnsi="宋体"/>
          <w:sz w:val="24"/>
        </w:rPr>
      </w:r>
      <w:r/>
    </w:p>
    <w:p>
      <w:pPr>
        <w:pStyle w:val="859"/>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859"/>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59"/>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59"/>
        <w:jc w:val="left"/>
        <w:widowControl/>
        <w:rPr>
          <w:rFonts w:hint="eastAsia" w:ascii="宋体" w:hAnsi="宋体"/>
          <w:sz w:val="24"/>
        </w:rPr>
      </w:pPr>
      <w:r>
        <w:rPr>
          <w:rFonts w:hint="eastAsia" w:ascii="宋体" w:hAnsi="宋体"/>
          <w:sz w:val="24"/>
        </w:rPr>
      </w:r>
      <w:r/>
    </w:p>
    <w:p>
      <w:pPr>
        <w:pStyle w:val="859"/>
        <w:jc w:val="left"/>
        <w:widowControl/>
        <w:rPr>
          <w:rFonts w:hint="eastAsia" w:ascii="宋体" w:hAnsi="宋体"/>
          <w:sz w:val="24"/>
        </w:rPr>
      </w:pPr>
      <w:r>
        <w:rPr>
          <w:rFonts w:hint="eastAsia" w:ascii="宋体" w:hAnsi="宋体"/>
          <w:sz w:val="24"/>
        </w:rPr>
      </w:r>
      <w:r/>
    </w:p>
    <w:p>
      <w:pPr>
        <w:pStyle w:val="859"/>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859"/>
        <w:jc w:val="center"/>
        <w:rPr>
          <w:rFonts w:hint="eastAsia" w:ascii="宋体" w:hAnsi="宋体"/>
          <w:b/>
          <w:sz w:val="32"/>
          <w:szCs w:val="32"/>
        </w:rPr>
      </w:pPr>
      <w:r>
        <w:rPr>
          <w:rFonts w:hint="eastAsia" w:ascii="宋体" w:hAnsi="宋体"/>
          <w:b/>
          <w:sz w:val="32"/>
          <w:szCs w:val="32"/>
        </w:rPr>
      </w:r>
      <w:r/>
    </w:p>
    <w:p>
      <w:pPr>
        <w:pStyle w:val="1112"/>
        <w:jc w:val="center"/>
        <w:spacing w:line="480" w:lineRule="auto"/>
        <w:rPr>
          <w:rFonts w:cs="宋体"/>
          <w:sz w:val="24"/>
        </w:rPr>
      </w:pPr>
      <w:r>
        <w:rPr>
          <w:rFonts w:hint="eastAsia"/>
          <w:b/>
          <w:sz w:val="36"/>
          <w:szCs w:val="36"/>
        </w:rPr>
        <w:t xml:space="preserve">授权委托书</w:t>
      </w:r>
      <w:r>
        <w:rPr>
          <w:rFonts w:cs="宋体"/>
          <w:sz w:val="24"/>
        </w:rPr>
      </w:r>
      <w:r/>
    </w:p>
    <w:p>
      <w:pPr>
        <w:pStyle w:val="859"/>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859"/>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859"/>
        <w:spacing w:line="400" w:lineRule="exact"/>
        <w:rPr>
          <w:rFonts w:hint="eastAsia" w:ascii="宋体" w:hAnsi="宋体" w:cs="宋体"/>
          <w:szCs w:val="21"/>
        </w:rPr>
      </w:pPr>
      <w:r>
        <w:rPr>
          <w:rFonts w:hint="eastAsia" w:ascii="宋体" w:hAnsi="宋体" w:cs="宋体"/>
          <w:szCs w:val="21"/>
        </w:rPr>
      </w:r>
      <w:r/>
    </w:p>
    <w:p>
      <w:pPr>
        <w:pStyle w:val="859"/>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859"/>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872"/>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859"/>
        <w:spacing w:line="400" w:lineRule="exact"/>
        <w:rPr>
          <w:rFonts w:ascii="宋体" w:hAnsi="宋体" w:cs="宋体"/>
          <w:sz w:val="24"/>
        </w:rPr>
      </w:pPr>
      <w:r>
        <w:rPr>
          <w:rFonts w:ascii="宋体" w:hAnsi="宋体" w:cs="宋体"/>
          <w:sz w:val="24"/>
        </w:rPr>
      </w:r>
      <w:r/>
    </w:p>
    <w:p>
      <w:pPr>
        <w:pStyle w:val="892"/>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9"/>
              <w:jc w:val="left"/>
              <w:spacing w:line="360" w:lineRule="auto"/>
              <w:tabs>
                <w:tab w:val="left" w:pos="5580" w:leader="none"/>
              </w:tabs>
              <w:rPr>
                <w:rFonts w:ascii="宋体" w:hAnsi="宋体"/>
                <w:szCs w:val="21"/>
              </w:rPr>
            </w:pPr>
            <w:r>
              <w:rPr>
                <w:rFonts w:ascii="宋体" w:hAnsi="宋体"/>
                <w:szCs w:val="21"/>
              </w:rPr>
            </w:r>
            <w:r/>
          </w:p>
          <w:p>
            <w:pPr>
              <w:pStyle w:val="859"/>
              <w:jc w:val="left"/>
              <w:spacing w:line="360" w:lineRule="auto"/>
              <w:tabs>
                <w:tab w:val="left" w:pos="5580" w:leader="none"/>
              </w:tabs>
              <w:rPr>
                <w:rFonts w:ascii="宋体" w:hAnsi="宋体"/>
                <w:szCs w:val="21"/>
              </w:rPr>
            </w:pPr>
            <w:r>
              <w:rPr>
                <w:rFonts w:ascii="宋体" w:hAnsi="宋体"/>
                <w:szCs w:val="21"/>
              </w:rPr>
            </w:r>
            <w:r/>
          </w:p>
          <w:p>
            <w:pPr>
              <w:pStyle w:val="859"/>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859"/>
              <w:jc w:val="left"/>
              <w:spacing w:line="360" w:lineRule="auto"/>
              <w:tabs>
                <w:tab w:val="left" w:pos="5580" w:leader="none"/>
              </w:tabs>
              <w:rPr>
                <w:rFonts w:ascii="宋体" w:hAnsi="宋体"/>
                <w:szCs w:val="21"/>
              </w:rPr>
            </w:pPr>
            <w:r>
              <w:rPr>
                <w:rFonts w:ascii="宋体" w:hAnsi="宋体"/>
                <w:szCs w:val="21"/>
              </w:rPr>
            </w:r>
            <w:r/>
          </w:p>
          <w:p>
            <w:pPr>
              <w:pStyle w:val="859"/>
              <w:jc w:val="left"/>
              <w:spacing w:line="360" w:lineRule="auto"/>
              <w:tabs>
                <w:tab w:val="left" w:pos="5580" w:leader="none"/>
              </w:tabs>
              <w:rPr>
                <w:rFonts w:ascii="宋体" w:hAnsi="宋体"/>
                <w:szCs w:val="21"/>
              </w:rPr>
            </w:pPr>
            <w:r>
              <w:rPr>
                <w:rFonts w:ascii="宋体" w:hAnsi="宋体"/>
                <w:szCs w:val="21"/>
              </w:rPr>
            </w:r>
            <w:r/>
          </w:p>
          <w:p>
            <w:pPr>
              <w:pStyle w:val="859"/>
              <w:jc w:val="left"/>
              <w:spacing w:line="360" w:lineRule="auto"/>
              <w:tabs>
                <w:tab w:val="left" w:pos="5580" w:leader="none"/>
              </w:tabs>
              <w:rPr>
                <w:rFonts w:ascii="宋体" w:hAnsi="宋体"/>
                <w:szCs w:val="21"/>
              </w:rPr>
            </w:pPr>
            <w:r>
              <w:rPr>
                <w:rFonts w:ascii="宋体" w:hAnsi="宋体"/>
                <w:szCs w:val="21"/>
              </w:rPr>
            </w:r>
            <w:r/>
          </w:p>
        </w:tc>
      </w:tr>
    </w:tbl>
    <w:p>
      <w:pPr>
        <w:pStyle w:val="892"/>
        <w:ind w:right="-46"/>
        <w:spacing w:line="583" w:lineRule="auto"/>
        <w:rPr>
          <w:rFonts w:hint="eastAsia"/>
          <w:b/>
          <w:bCs/>
        </w:rPr>
      </w:pPr>
      <w:r>
        <w:rPr>
          <w:rFonts w:hint="eastAsia"/>
          <w:b/>
          <w:bCs/>
        </w:rPr>
        <w:t xml:space="preserve">投标人近三个月内任意一个月（自开标之日往前推）为其缴纳社保的记录</w:t>
      </w:r>
      <w:r/>
    </w:p>
    <w:p>
      <w:pPr>
        <w:pStyle w:val="859"/>
        <w:spacing w:line="360" w:lineRule="auto"/>
        <w:rPr>
          <w:rFonts w:hint="eastAsia" w:ascii="宋体" w:hAnsi="宋体" w:cs="宋体"/>
          <w:szCs w:val="21"/>
        </w:rPr>
      </w:pPr>
      <w:r>
        <w:rPr>
          <w:rFonts w:hint="eastAsia" w:ascii="宋体" w:hAnsi="宋体" w:cs="宋体"/>
          <w:szCs w:val="21"/>
        </w:rPr>
      </w:r>
      <w:r/>
    </w:p>
    <w:p>
      <w:pPr>
        <w:pStyle w:val="859"/>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859"/>
        <w:spacing w:line="360" w:lineRule="auto"/>
        <w:rPr>
          <w:rFonts w:ascii="宋体" w:hAnsi="宋体" w:cs="宋体"/>
          <w:szCs w:val="21"/>
        </w:rPr>
      </w:pPr>
      <w:r>
        <w:rPr>
          <w:rFonts w:hint="eastAsia" w:ascii="宋体" w:hAnsi="宋体" w:cs="宋体"/>
          <w:szCs w:val="21"/>
        </w:rPr>
        <w:t xml:space="preserve">1.法定代表人参加投标时，不需要提供本授权委托书，需提供本人身份证。</w:t>
      </w:r>
      <w:r>
        <w:rPr>
          <w:rFonts w:ascii="宋体" w:hAnsi="宋体" w:cs="宋体"/>
          <w:szCs w:val="21"/>
        </w:rPr>
      </w:r>
      <w:r/>
    </w:p>
    <w:p>
      <w:pPr>
        <w:pStyle w:val="1112"/>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859"/>
        <w:jc w:val="left"/>
        <w:widowControl/>
        <w:rPr>
          <w:rFonts w:hint="eastAsia" w:ascii="宋体" w:hAnsi="宋体"/>
          <w:sz w:val="24"/>
        </w:rPr>
      </w:pPr>
      <w:r>
        <w:rPr>
          <w:rFonts w:hint="eastAsia" w:ascii="宋体" w:hAnsi="宋体"/>
          <w:sz w:val="24"/>
        </w:rPr>
      </w:r>
      <w:r/>
    </w:p>
    <w:p>
      <w:pPr>
        <w:pStyle w:val="859"/>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859"/>
        <w:ind w:firstLine="321"/>
        <w:jc w:val="center"/>
        <w:spacing w:line="560" w:lineRule="exact"/>
        <w:rPr>
          <w:rFonts w:hint="eastAsia" w:ascii="宋体" w:hAnsi="宋体"/>
          <w:b/>
          <w:sz w:val="32"/>
          <w:szCs w:val="32"/>
        </w:rPr>
      </w:pPr>
      <w:r>
        <w:rPr>
          <w:rFonts w:hint="eastAsia" w:ascii="宋体" w:hAnsi="宋体"/>
          <w:b/>
          <w:sz w:val="32"/>
          <w:szCs w:val="32"/>
        </w:rPr>
      </w:r>
      <w:r/>
    </w:p>
    <w:p>
      <w:pPr>
        <w:pStyle w:val="859"/>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859"/>
        <w:ind w:firstLine="640"/>
        <w:rPr>
          <w:rFonts w:ascii="宋体" w:hAnsi="宋体"/>
        </w:rPr>
      </w:pPr>
      <w:r>
        <w:rPr>
          <w:rFonts w:ascii="宋体" w:hAnsi="宋体"/>
        </w:rPr>
      </w:r>
      <w:r/>
    </w:p>
    <w:p>
      <w:pPr>
        <w:pStyle w:val="859"/>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59"/>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07"/>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59"/>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9"/>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9"/>
        <w:spacing w:line="360" w:lineRule="auto"/>
        <w:rPr>
          <w:rFonts w:ascii="宋体" w:hAnsi="宋体"/>
          <w:b/>
          <w:sz w:val="24"/>
        </w:rPr>
        <w:outlineLvl w:val="2"/>
      </w:pPr>
      <w:r/>
      <w:bookmarkStart w:id="831" w:name="_Hlt520274065"/>
      <w:r/>
      <w:bookmarkEnd w:id="831"/>
      <w:r/>
      <w:bookmarkStart w:id="832" w:name="_Hlt520343392"/>
      <w:r/>
      <w:bookmarkEnd w:id="832"/>
      <w:r/>
      <w:bookmarkStart w:id="833" w:name="_Hlt520350918"/>
      <w:r/>
      <w:bookmarkEnd w:id="833"/>
      <w:r/>
      <w:bookmarkStart w:id="834" w:name="_Hlt520273711"/>
      <w:r/>
      <w:bookmarkEnd w:id="834"/>
      <w:r/>
      <w:bookmarkStart w:id="835" w:name="_Hlt520355504"/>
      <w:r/>
      <w:bookmarkEnd w:id="835"/>
      <w:r/>
      <w:bookmarkStart w:id="836" w:name="_Hlt520343000"/>
      <w:r/>
      <w:bookmarkEnd w:id="836"/>
      <w:r/>
      <w:bookmarkStart w:id="837" w:name="_Hlt520271212"/>
      <w:r/>
      <w:bookmarkEnd w:id="837"/>
      <w:r/>
      <w:bookmarkStart w:id="838" w:name="_Hlt520274407"/>
      <w:r/>
      <w:bookmarkEnd w:id="838"/>
      <w:r/>
      <w:bookmarkStart w:id="839" w:name="_Hlt520274121"/>
      <w:r/>
      <w:bookmarkEnd w:id="839"/>
      <w:r/>
      <w:bookmarkStart w:id="840" w:name="_Hlt520274393"/>
      <w:r/>
      <w:bookmarkEnd w:id="840"/>
      <w:r/>
      <w:bookmarkStart w:id="841" w:name="_Toc305158899"/>
      <w:r/>
      <w:bookmarkStart w:id="842" w:name="_Toc520356218"/>
      <w:r/>
      <w:bookmarkStart w:id="843" w:name="_Toc127151557"/>
      <w:r/>
      <w:bookmarkStart w:id="844" w:name="_Toc226337253"/>
      <w:r/>
      <w:bookmarkStart w:id="845" w:name="_Toc265228395"/>
      <w:r/>
      <w:bookmarkStart w:id="846" w:name="_Toc480942350"/>
      <w:r/>
      <w:bookmarkStart w:id="847" w:name="_Toc226965830"/>
      <w:r/>
      <w:bookmarkStart w:id="848" w:name="_Ref467988705"/>
      <w:r/>
      <w:bookmarkStart w:id="849" w:name="_Toc150774762"/>
      <w:r/>
      <w:bookmarkStart w:id="850" w:name="_Toc264969247"/>
      <w:r/>
      <w:bookmarkStart w:id="851" w:name="_Toc142311059"/>
      <w:r/>
      <w:bookmarkStart w:id="852" w:name="_Toc226965747"/>
      <w:r/>
      <w:bookmarkStart w:id="853" w:name="_Toc305158825"/>
      <w:r/>
      <w:bookmarkStart w:id="854" w:name="_Toc150480795"/>
      <w:r/>
      <w:bookmarkStart w:id="855" w:name="_Toc195842922"/>
      <w:r/>
      <w:bookmarkStart w:id="856" w:name="_Toc226309801"/>
      <w:r>
        <w:rPr>
          <w:rFonts w:ascii="宋体" w:hAnsi="宋体"/>
          <w:sz w:val="24"/>
          <w:szCs w:val="20"/>
        </w:rPr>
        <w:br w:type="page" w:clear="all"/>
      </w:r>
      <w:r>
        <w:rPr>
          <w:rFonts w:hint="eastAsia" w:ascii="宋体" w:hAnsi="宋体"/>
          <w:b/>
          <w:sz w:val="24"/>
        </w:rPr>
        <w:t xml:space="preserve">5  投标供应商管理关系或控股关系信息情况表（实质性格式）</w:t>
      </w:r>
      <w:r>
        <w:rPr>
          <w:rFonts w:ascii="宋体" w:hAnsi="宋体"/>
          <w:b/>
          <w:sz w:val="24"/>
        </w:rPr>
      </w:r>
      <w:r/>
    </w:p>
    <w:p>
      <w:pPr>
        <w:pStyle w:val="859"/>
        <w:spacing w:line="360" w:lineRule="auto"/>
        <w:rPr>
          <w:rFonts w:hint="eastAsia" w:ascii="宋体" w:hAnsi="宋体"/>
          <w:b/>
          <w:sz w:val="28"/>
          <w:szCs w:val="28"/>
        </w:rPr>
        <w:outlineLvl w:val="2"/>
      </w:pPr>
      <w:r>
        <w:rPr>
          <w:rFonts w:hint="eastAsia" w:ascii="宋体" w:hAnsi="宋体"/>
          <w:b/>
          <w:sz w:val="28"/>
          <w:szCs w:val="28"/>
        </w:rPr>
      </w:r>
      <w:r/>
    </w:p>
    <w:p>
      <w:pPr>
        <w:pStyle w:val="859"/>
        <w:ind w:firstLine="321"/>
        <w:jc w:val="center"/>
        <w:spacing w:line="560" w:lineRule="exact"/>
        <w:rPr>
          <w:rFonts w:hint="eastAsia" w:ascii="宋体" w:hAnsi="宋体"/>
          <w:b/>
          <w:sz w:val="32"/>
          <w:szCs w:val="32"/>
        </w:rPr>
      </w:pPr>
      <w:r>
        <w:rPr>
          <w:rFonts w:hint="eastAsia" w:ascii="宋体" w:hAnsi="宋体"/>
          <w:b/>
          <w:sz w:val="32"/>
          <w:szCs w:val="32"/>
        </w:rPr>
        <w:t xml:space="preserve">投标供应商管理关系或控股关系信息情况表</w:t>
      </w:r>
      <w:r/>
    </w:p>
    <w:tbl>
      <w:tblPr>
        <w:tblW w:w="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trHeight w:val="463"/>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pStyle w:val="859"/>
              <w:ind w:firstLine="560"/>
              <w:jc w:val="left"/>
              <w:spacing w:line="360" w:lineRule="auto"/>
              <w:rPr>
                <w:rFonts w:hint="eastAsia" w:ascii="宋体" w:hAnsi="宋体" w:cs="Century Gothic"/>
                <w:sz w:val="24"/>
              </w:rPr>
            </w:pPr>
            <w:r>
              <w:rPr>
                <w:rFonts w:hint="eastAsia" w:ascii="宋体" w:hAnsi="宋体" w:cs="Century Gothic"/>
                <w:sz w:val="24"/>
              </w:rPr>
              <w:t xml:space="preserve">法定代表人</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pStyle w:val="859"/>
              <w:ind w:firstLine="560"/>
              <w:jc w:val="left"/>
              <w:spacing w:line="360" w:lineRule="auto"/>
              <w:rPr>
                <w:rFonts w:hint="eastAsia" w:ascii="宋体" w:hAnsi="宋体" w:cs="Century Gothic"/>
                <w:sz w:val="24"/>
              </w:rPr>
            </w:pPr>
            <w:r>
              <w:rPr>
                <w:rFonts w:hint="eastAsia" w:ascii="宋体" w:hAnsi="宋体" w:cs="Century Gothic"/>
                <w:sz w:val="24"/>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pStyle w:val="859"/>
              <w:jc w:val="left"/>
              <w:spacing w:line="360" w:lineRule="auto"/>
              <w:rPr>
                <w:rFonts w:hint="eastAsia" w:ascii="宋体" w:hAnsi="宋体" w:cs="Century Gothic"/>
                <w:sz w:val="24"/>
              </w:rPr>
            </w:pPr>
            <w:r>
              <w:rPr>
                <w:rFonts w:hint="eastAsia" w:ascii="宋体" w:hAnsi="宋体" w:cs="Century Gothic"/>
                <w:sz w:val="24"/>
              </w:rPr>
              <w:t xml:space="preserve">成立日期</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pStyle w:val="859"/>
              <w:ind w:firstLine="560"/>
              <w:jc w:val="left"/>
              <w:spacing w:line="360" w:lineRule="auto"/>
              <w:rPr>
                <w:rFonts w:hint="eastAsia" w:ascii="宋体" w:hAnsi="宋体" w:cs="Century Gothic"/>
                <w:sz w:val="24"/>
              </w:rPr>
            </w:pPr>
            <w:r>
              <w:rPr>
                <w:rFonts w:hint="eastAsia" w:ascii="宋体" w:hAnsi="宋体" w:cs="Century Gothic"/>
                <w:sz w:val="24"/>
              </w:rPr>
            </w:r>
            <w:r/>
          </w:p>
        </w:tc>
      </w:tr>
      <w:tr>
        <w:trPr>
          <w:cantSplit/>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pStyle w:val="859"/>
              <w:ind w:firstLine="560"/>
              <w:jc w:val="left"/>
              <w:spacing w:line="360" w:lineRule="auto"/>
              <w:rPr>
                <w:rFonts w:hint="eastAsia" w:ascii="宋体" w:hAnsi="宋体" w:cs="Century Gothic"/>
                <w:sz w:val="24"/>
              </w:rPr>
            </w:pPr>
            <w:r>
              <w:rPr>
                <w:rFonts w:hint="eastAsia" w:ascii="宋体" w:hAnsi="宋体" w:cs="Century Gothic"/>
                <w:sz w:val="24"/>
              </w:rPr>
              <w:t xml:space="preserve">企业地址</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pStyle w:val="859"/>
              <w:ind w:firstLine="560"/>
              <w:jc w:val="left"/>
              <w:spacing w:line="360" w:lineRule="auto"/>
              <w:rPr>
                <w:rFonts w:hint="eastAsia" w:ascii="宋体" w:hAnsi="宋体" w:cs="Century Gothic"/>
                <w:sz w:val="24"/>
              </w:rPr>
            </w:pPr>
            <w:r>
              <w:rPr>
                <w:rFonts w:hint="eastAsia" w:ascii="宋体" w:hAnsi="宋体" w:cs="Century Gothic"/>
                <w:sz w:val="24"/>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pStyle w:val="859"/>
              <w:jc w:val="left"/>
              <w:spacing w:line="360" w:lineRule="auto"/>
              <w:rPr>
                <w:rFonts w:hint="eastAsia" w:ascii="宋体" w:hAnsi="宋体" w:cs="Century Gothic"/>
                <w:sz w:val="24"/>
              </w:rPr>
            </w:pPr>
            <w:r>
              <w:rPr>
                <w:rFonts w:hint="eastAsia" w:ascii="宋体" w:hAnsi="宋体" w:cs="Century Gothic"/>
                <w:sz w:val="24"/>
              </w:rPr>
              <w:t xml:space="preserve">注册资本</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pStyle w:val="859"/>
              <w:ind w:firstLine="560"/>
              <w:jc w:val="left"/>
              <w:spacing w:line="360" w:lineRule="auto"/>
              <w:rPr>
                <w:rFonts w:hint="eastAsia" w:ascii="宋体" w:hAnsi="宋体" w:cs="Century Gothic"/>
                <w:sz w:val="24"/>
              </w:rPr>
            </w:pPr>
            <w:r>
              <w:rPr>
                <w:rFonts w:hint="eastAsia" w:ascii="宋体" w:hAnsi="宋体" w:cs="Century Gothic"/>
                <w:sz w:val="24"/>
              </w:rPr>
              <w:t xml:space="preserve">万元</w:t>
            </w:r>
            <w:r/>
          </w:p>
        </w:tc>
      </w:tr>
      <w:tr>
        <w:trPr>
          <w:cantSplit/>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pStyle w:val="859"/>
              <w:jc w:val="left"/>
              <w:spacing w:line="360" w:lineRule="auto"/>
              <w:rPr>
                <w:rFonts w:hint="eastAsia" w:ascii="宋体" w:hAnsi="宋体" w:cs="Century Gothic"/>
                <w:sz w:val="24"/>
              </w:rPr>
            </w:pPr>
            <w:r>
              <w:rPr>
                <w:rFonts w:hint="eastAsia" w:ascii="宋体" w:hAnsi="宋体" w:cs="Century Gothic"/>
                <w:sz w:val="24"/>
              </w:rPr>
              <w:t xml:space="preserve">统一社会信用代码</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pStyle w:val="859"/>
              <w:ind w:firstLine="560"/>
              <w:jc w:val="left"/>
              <w:spacing w:line="360" w:lineRule="auto"/>
              <w:rPr>
                <w:rFonts w:hint="eastAsia" w:ascii="宋体" w:hAnsi="宋体" w:cs="Century Gothic"/>
                <w:sz w:val="24"/>
              </w:rPr>
            </w:pPr>
            <w:r>
              <w:rPr>
                <w:rFonts w:hint="eastAsia" w:ascii="宋体" w:hAnsi="宋体" w:cs="Century Gothic"/>
                <w:sz w:val="24"/>
              </w:rPr>
            </w:r>
            <w:r/>
          </w:p>
        </w:tc>
      </w:tr>
      <w:tr>
        <w:trPr>
          <w:cantSplit/>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pStyle w:val="859"/>
              <w:ind w:firstLine="560"/>
              <w:jc w:val="left"/>
              <w:spacing w:line="360" w:lineRule="auto"/>
              <w:rPr>
                <w:rFonts w:hint="eastAsia" w:ascii="宋体" w:hAnsi="宋体" w:cs="Century Gothic"/>
                <w:sz w:val="24"/>
              </w:rPr>
            </w:pPr>
            <w:r>
              <w:rPr>
                <w:rFonts w:hint="eastAsia" w:ascii="宋体" w:hAnsi="宋体" w:cs="Century Gothic"/>
                <w:sz w:val="24"/>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pStyle w:val="859"/>
              <w:ind w:firstLine="560"/>
              <w:jc w:val="left"/>
              <w:spacing w:line="360" w:lineRule="auto"/>
              <w:rPr>
                <w:rFonts w:hint="eastAsia" w:ascii="宋体" w:hAnsi="宋体" w:cs="Century Gothic"/>
                <w:sz w:val="24"/>
              </w:rPr>
            </w:pPr>
            <w:r>
              <w:rPr>
                <w:rFonts w:hint="eastAsia" w:ascii="宋体" w:hAnsi="宋体" w:cs="Century Gothic"/>
                <w:sz w:val="24"/>
              </w:rPr>
            </w:r>
            <w:r/>
          </w:p>
        </w:tc>
      </w:tr>
      <w:tr>
        <w:trPr>
          <w:cantSplit/>
          <w:trHeight w:val="77"/>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pStyle w:val="859"/>
              <w:ind w:firstLine="560"/>
              <w:jc w:val="left"/>
              <w:spacing w:line="360" w:lineRule="auto"/>
              <w:rPr>
                <w:rFonts w:hint="eastAsia" w:ascii="宋体" w:hAnsi="宋体" w:cs="Century Gothic"/>
                <w:sz w:val="24"/>
              </w:rPr>
            </w:pPr>
            <w:r>
              <w:rPr>
                <w:rFonts w:hint="eastAsia" w:ascii="宋体" w:hAnsi="宋体" w:cs="Century Gothic"/>
                <w:sz w:val="24"/>
              </w:rPr>
              <w:t xml:space="preserve">股东信息</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pStyle w:val="859"/>
              <w:jc w:val="left"/>
              <w:spacing w:line="360" w:lineRule="auto"/>
              <w:rPr>
                <w:rFonts w:hint="eastAsia" w:ascii="宋体" w:hAnsi="宋体" w:cs="Century Gothic"/>
                <w:sz w:val="24"/>
              </w:rPr>
            </w:pPr>
            <w:r>
              <w:rPr>
                <w:rFonts w:hint="eastAsia" w:ascii="宋体" w:hAnsi="宋体" w:cs="Century Gothic"/>
                <w:sz w:val="24"/>
              </w:rPr>
              <w:t xml:space="preserve">股东1（姓名或单位名称）：</w:t>
            </w:r>
            <w:r/>
          </w:p>
          <w:p>
            <w:pPr>
              <w:pStyle w:val="859"/>
              <w:jc w:val="left"/>
              <w:spacing w:line="360" w:lineRule="auto"/>
              <w:rPr>
                <w:rFonts w:hint="eastAsia" w:ascii="宋体" w:hAnsi="宋体" w:cs="Century Gothic"/>
                <w:sz w:val="24"/>
              </w:rPr>
            </w:pPr>
            <w:r>
              <w:rPr>
                <w:rFonts w:hint="eastAsia" w:ascii="宋体" w:hAnsi="宋体" w:cs="Century Gothic"/>
                <w:sz w:val="24"/>
              </w:rPr>
              <w:t xml:space="preserve">股东1持股比例：</w:t>
            </w:r>
            <w:r/>
          </w:p>
          <w:p>
            <w:pPr>
              <w:pStyle w:val="859"/>
              <w:jc w:val="left"/>
              <w:spacing w:line="360" w:lineRule="auto"/>
              <w:rPr>
                <w:rFonts w:hint="eastAsia" w:ascii="宋体" w:hAnsi="宋体" w:cs="Century Gothic"/>
                <w:sz w:val="24"/>
              </w:rPr>
            </w:pPr>
            <w:r>
              <w:rPr>
                <w:rFonts w:hint="eastAsia" w:ascii="宋体" w:hAnsi="宋体" w:cs="Century Gothic"/>
                <w:sz w:val="24"/>
              </w:rPr>
            </w:r>
            <w:r/>
          </w:p>
          <w:p>
            <w:pPr>
              <w:pStyle w:val="859"/>
              <w:jc w:val="left"/>
              <w:spacing w:line="360" w:lineRule="auto"/>
              <w:rPr>
                <w:rFonts w:hint="eastAsia" w:ascii="宋体" w:hAnsi="宋体" w:cs="Century Gothic"/>
                <w:sz w:val="24"/>
              </w:rPr>
            </w:pPr>
            <w:r>
              <w:rPr>
                <w:rFonts w:hint="eastAsia" w:ascii="宋体" w:hAnsi="宋体" w:cs="Century Gothic"/>
                <w:sz w:val="24"/>
              </w:rPr>
              <w:t xml:space="preserve">股东2（姓名或单位名称）：</w:t>
            </w:r>
            <w:r/>
          </w:p>
          <w:p>
            <w:pPr>
              <w:pStyle w:val="859"/>
              <w:jc w:val="left"/>
              <w:spacing w:line="360" w:lineRule="auto"/>
              <w:rPr>
                <w:rFonts w:hint="eastAsia" w:ascii="宋体" w:hAnsi="宋体" w:cs="Century Gothic"/>
                <w:sz w:val="24"/>
              </w:rPr>
            </w:pPr>
            <w:r>
              <w:rPr>
                <w:rFonts w:hint="eastAsia" w:ascii="宋体" w:hAnsi="宋体" w:cs="Century Gothic"/>
                <w:sz w:val="24"/>
              </w:rPr>
              <w:t xml:space="preserve">股东2持股比例：</w:t>
            </w:r>
            <w:r/>
          </w:p>
          <w:p>
            <w:pPr>
              <w:pStyle w:val="859"/>
              <w:jc w:val="left"/>
              <w:spacing w:line="360" w:lineRule="auto"/>
              <w:rPr>
                <w:rFonts w:hint="eastAsia" w:ascii="宋体" w:hAnsi="宋体" w:cs="Century Gothic"/>
                <w:sz w:val="24"/>
              </w:rPr>
            </w:pPr>
            <w:r>
              <w:rPr>
                <w:rFonts w:hint="eastAsia" w:ascii="宋体" w:hAnsi="宋体" w:cs="Century Gothic"/>
                <w:sz w:val="24"/>
              </w:rPr>
            </w:r>
            <w:r/>
          </w:p>
          <w:p>
            <w:pPr>
              <w:pStyle w:val="859"/>
              <w:jc w:val="left"/>
              <w:spacing w:line="360" w:lineRule="auto"/>
              <w:rPr>
                <w:rFonts w:hint="eastAsia" w:ascii="宋体" w:hAnsi="宋体" w:cs="Century Gothic"/>
                <w:sz w:val="24"/>
              </w:rPr>
            </w:pPr>
            <w:r>
              <w:rPr>
                <w:rFonts w:hint="eastAsia" w:ascii="宋体" w:hAnsi="宋体" w:cs="Century Gothic"/>
                <w:sz w:val="24"/>
              </w:rPr>
              <w:t xml:space="preserve">（不够的可自行增加）</w:t>
            </w:r>
            <w:r/>
          </w:p>
        </w:tc>
      </w:tr>
      <w:tr>
        <w:trPr>
          <w:cantSplit/>
          <w:trHeight w:val="964"/>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pStyle w:val="859"/>
              <w:jc w:val="left"/>
              <w:spacing w:line="360" w:lineRule="auto"/>
              <w:rPr>
                <w:rFonts w:hint="eastAsia" w:ascii="宋体" w:hAnsi="宋体" w:cs="Century Gothic"/>
                <w:sz w:val="24"/>
              </w:rPr>
            </w:pPr>
            <w:r>
              <w:rPr>
                <w:rFonts w:hint="eastAsia" w:ascii="宋体" w:hAnsi="宋体" w:cs="Century Gothic"/>
                <w:sz w:val="24"/>
              </w:rPr>
              <w:t xml:space="preserve">公司是否有直接控股、管理关系的关联企业（在</w:t>
            </w:r>
            <w:r>
              <w:rPr>
                <w:rFonts w:ascii="仿宋" w:hAnsi="仿宋" w:eastAsia="仿宋" w:cs="仿宋"/>
                <w:sz w:val="24"/>
              </w:rPr>
              <w:t xml:space="preserve">£</w:t>
            </w:r>
            <w:r>
              <w:rPr>
                <w:rFonts w:hint="eastAsia" w:ascii="宋体" w:hAnsi="宋体" w:cs="Century Gothic"/>
                <w:sz w:val="24"/>
              </w:rPr>
              <w:t xml:space="preserve"> 中进行勾选）</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pStyle w:val="859"/>
              <w:jc w:val="left"/>
              <w:spacing w:line="360" w:lineRule="auto"/>
              <w:rPr>
                <w:rFonts w:hint="eastAsia" w:ascii="宋体" w:hAnsi="宋体" w:cs="Century Gothic"/>
                <w:sz w:val="24"/>
              </w:rPr>
            </w:pPr>
            <w:r>
              <w:rPr>
                <w:rFonts w:ascii="仿宋" w:hAnsi="仿宋" w:eastAsia="仿宋" w:cs="仿宋"/>
                <w:sz w:val="24"/>
              </w:rPr>
              <w:t xml:space="preserve">£</w:t>
            </w:r>
            <w:r>
              <w:rPr>
                <w:rFonts w:hint="eastAsia" w:ascii="宋体" w:hAnsi="宋体" w:cs="Century Gothic"/>
                <w:sz w:val="24"/>
              </w:rPr>
              <w:t xml:space="preserve"> 无直接控股、管理关系的关联企业</w:t>
            </w:r>
            <w:r/>
          </w:p>
          <w:p>
            <w:pPr>
              <w:pStyle w:val="859"/>
              <w:jc w:val="left"/>
              <w:spacing w:line="360" w:lineRule="auto"/>
              <w:rPr>
                <w:rFonts w:hint="eastAsia" w:ascii="宋体" w:hAnsi="宋体" w:cs="Century Gothic"/>
                <w:sz w:val="24"/>
              </w:rPr>
            </w:pPr>
            <w:r>
              <w:rPr>
                <w:rFonts w:ascii="仿宋" w:hAnsi="仿宋" w:eastAsia="仿宋" w:cs="仿宋"/>
                <w:sz w:val="24"/>
              </w:rPr>
              <w:t xml:space="preserve">£</w:t>
            </w:r>
            <w:r>
              <w:rPr>
                <w:rFonts w:hint="eastAsia" w:ascii="宋体" w:hAnsi="宋体" w:cs="Century Gothic"/>
                <w:sz w:val="24"/>
              </w:rPr>
              <w:t xml:space="preserve"> 有直接控股、管理关系的关联企业，关联信息如下：</w:t>
            </w:r>
            <w:r/>
          </w:p>
          <w:p>
            <w:pPr>
              <w:pStyle w:val="859"/>
              <w:jc w:val="left"/>
              <w:spacing w:line="360" w:lineRule="auto"/>
              <w:rPr>
                <w:rFonts w:hint="eastAsia" w:ascii="宋体" w:hAnsi="宋体" w:cs="Century Gothic"/>
                <w:sz w:val="24"/>
              </w:rPr>
            </w:pPr>
            <w:r>
              <w:rPr>
                <w:rFonts w:hint="eastAsia" w:ascii="宋体" w:hAnsi="宋体" w:cs="Century Gothic"/>
                <w:sz w:val="24"/>
              </w:rPr>
              <w:t xml:space="preserve">企业1名称：</w:t>
            </w:r>
            <w:r/>
          </w:p>
          <w:p>
            <w:pPr>
              <w:pStyle w:val="859"/>
              <w:jc w:val="left"/>
              <w:spacing w:line="360" w:lineRule="auto"/>
              <w:rPr>
                <w:rFonts w:hint="eastAsia" w:ascii="宋体" w:hAnsi="宋体" w:cs="Century Gothic"/>
                <w:sz w:val="24"/>
              </w:rPr>
            </w:pPr>
            <w:r>
              <w:rPr>
                <w:rFonts w:hint="eastAsia" w:ascii="宋体" w:hAnsi="宋体" w:cs="Century Gothic"/>
                <w:sz w:val="24"/>
              </w:rPr>
              <w:t xml:space="preserve">（直接控股</w:t>
            </w:r>
            <w:r>
              <w:rPr>
                <w:rFonts w:ascii="仿宋" w:hAnsi="仿宋" w:eastAsia="仿宋" w:cs="仿宋"/>
                <w:sz w:val="24"/>
              </w:rPr>
              <w:t xml:space="preserve">£</w:t>
            </w:r>
            <w:r>
              <w:rPr>
                <w:rFonts w:hint="eastAsia" w:ascii="宋体" w:hAnsi="宋体" w:cs="Century Gothic"/>
                <w:sz w:val="24"/>
              </w:rPr>
              <w:t xml:space="preserve"> （持股比例：    % ；管理关系</w:t>
            </w:r>
            <w:r>
              <w:rPr>
                <w:rFonts w:ascii="仿宋" w:hAnsi="仿宋" w:eastAsia="仿宋" w:cs="仿宋"/>
                <w:sz w:val="24"/>
              </w:rPr>
              <w:t xml:space="preserve">£</w:t>
            </w:r>
            <w:r>
              <w:rPr>
                <w:rFonts w:hint="eastAsia" w:ascii="宋体" w:hAnsi="宋体" w:cs="Century Gothic"/>
                <w:sz w:val="24"/>
              </w:rPr>
              <w:t xml:space="preserve"> ）</w:t>
            </w:r>
            <w:r/>
          </w:p>
          <w:p>
            <w:pPr>
              <w:pStyle w:val="859"/>
              <w:jc w:val="left"/>
              <w:spacing w:line="360" w:lineRule="auto"/>
              <w:rPr>
                <w:rFonts w:hint="eastAsia" w:ascii="宋体" w:hAnsi="宋体" w:cs="Century Gothic"/>
                <w:sz w:val="24"/>
              </w:rPr>
            </w:pPr>
            <w:r>
              <w:rPr>
                <w:rFonts w:hint="eastAsia" w:ascii="宋体" w:hAnsi="宋体" w:cs="Century Gothic"/>
                <w:sz w:val="24"/>
              </w:rPr>
              <w:t xml:space="preserve">企业2名称：</w:t>
            </w:r>
            <w:r/>
          </w:p>
          <w:p>
            <w:pPr>
              <w:pStyle w:val="859"/>
              <w:jc w:val="left"/>
              <w:spacing w:line="360" w:lineRule="auto"/>
              <w:rPr>
                <w:rFonts w:hint="eastAsia" w:ascii="宋体" w:hAnsi="宋体" w:cs="Century Gothic"/>
                <w:sz w:val="24"/>
              </w:rPr>
            </w:pPr>
            <w:r>
              <w:rPr>
                <w:rFonts w:hint="eastAsia" w:ascii="宋体" w:hAnsi="宋体" w:cs="Century Gothic"/>
                <w:sz w:val="24"/>
              </w:rPr>
              <w:t xml:space="preserve">（直接控股</w:t>
            </w:r>
            <w:r>
              <w:rPr>
                <w:rFonts w:ascii="仿宋" w:hAnsi="仿宋" w:eastAsia="仿宋" w:cs="仿宋"/>
                <w:sz w:val="24"/>
              </w:rPr>
              <w:t xml:space="preserve">£</w:t>
            </w:r>
            <w:r>
              <w:rPr>
                <w:rFonts w:hint="eastAsia" w:ascii="宋体" w:hAnsi="宋体" w:cs="Century Gothic"/>
                <w:sz w:val="24"/>
              </w:rPr>
              <w:t xml:space="preserve"> （持股比例：    % ；管理关系</w:t>
            </w:r>
            <w:r>
              <w:rPr>
                <w:rFonts w:ascii="仿宋" w:hAnsi="仿宋" w:eastAsia="仿宋" w:cs="仿宋"/>
                <w:sz w:val="24"/>
              </w:rPr>
              <w:t xml:space="preserve">£</w:t>
            </w:r>
            <w:r>
              <w:rPr>
                <w:rFonts w:hint="eastAsia" w:ascii="宋体" w:hAnsi="宋体" w:cs="Century Gothic"/>
                <w:sz w:val="24"/>
              </w:rPr>
              <w:t xml:space="preserve"> ）</w:t>
            </w:r>
            <w:r/>
          </w:p>
          <w:p>
            <w:pPr>
              <w:pStyle w:val="859"/>
              <w:jc w:val="left"/>
              <w:spacing w:line="360" w:lineRule="auto"/>
              <w:rPr>
                <w:rFonts w:hint="eastAsia" w:ascii="宋体" w:hAnsi="宋体" w:cs="Century Gothic"/>
                <w:sz w:val="24"/>
              </w:rPr>
            </w:pPr>
            <w:r>
              <w:rPr>
                <w:rFonts w:hint="eastAsia" w:ascii="宋体" w:hAnsi="宋体" w:cs="Century Gothic"/>
                <w:sz w:val="24"/>
              </w:rPr>
              <w:t xml:space="preserve">（不够的可自行增加）</w:t>
            </w:r>
            <w:r/>
          </w:p>
        </w:tc>
      </w:tr>
      <w:tr>
        <w:trPr>
          <w:cantSplit/>
          <w:trHeight w:val="2001"/>
        </w:trPr>
        <w:tc>
          <w:tcPr>
            <w:gridSpan w:val="4"/>
            <w:tcBorders>
              <w:top w:val="single" w:color="000000" w:sz="6" w:space="0"/>
              <w:left w:val="single" w:color="000000" w:sz="6" w:space="0"/>
              <w:bottom w:val="single" w:color="000000" w:sz="6" w:space="0"/>
              <w:right w:val="single" w:color="000000" w:sz="6" w:space="0"/>
            </w:tcBorders>
            <w:tcW w:w="8745" w:type="dxa"/>
            <w:vAlign w:val="center"/>
            <w:textDirection w:val="lrTb"/>
            <w:noWrap w:val="false"/>
          </w:tcPr>
          <w:p>
            <w:pPr>
              <w:pStyle w:val="859"/>
              <w:ind w:firstLine="561"/>
              <w:jc w:val="left"/>
              <w:spacing w:line="360" w:lineRule="auto"/>
              <w:rPr>
                <w:rFonts w:hint="eastAsia" w:ascii="宋体" w:hAnsi="宋体" w:cs="Century Gothic"/>
                <w:sz w:val="24"/>
              </w:rPr>
            </w:pPr>
            <w:r>
              <w:rPr>
                <w:rFonts w:hint="eastAsia" w:ascii="宋体" w:hAnsi="宋体" w:cs="Century Gothic"/>
                <w:sz w:val="24"/>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pStyle w:val="859"/>
              <w:ind w:firstLine="561"/>
              <w:jc w:val="left"/>
              <w:spacing w:line="360" w:lineRule="auto"/>
              <w:rPr>
                <w:rFonts w:hint="eastAsia" w:ascii="宋体" w:hAnsi="宋体" w:cs="Century Gothic"/>
                <w:sz w:val="24"/>
              </w:rPr>
            </w:pPr>
            <w:r>
              <w:rPr>
                <w:rFonts w:hint="eastAsia" w:ascii="宋体" w:hAnsi="宋体" w:cs="Century Gothic"/>
                <w:sz w:val="24"/>
              </w:rPr>
              <w:t xml:space="preserve">供应商（盖章）：</w:t>
            </w:r>
            <w:r/>
          </w:p>
          <w:p>
            <w:pPr>
              <w:pStyle w:val="859"/>
              <w:ind w:firstLine="561"/>
              <w:jc w:val="left"/>
              <w:spacing w:line="360" w:lineRule="auto"/>
              <w:rPr>
                <w:rFonts w:hint="eastAsia" w:ascii="宋体" w:hAnsi="宋体" w:cs="Century Gothic"/>
                <w:sz w:val="24"/>
              </w:rPr>
            </w:pPr>
            <w:r>
              <w:rPr>
                <w:rFonts w:hint="eastAsia" w:ascii="宋体" w:hAnsi="宋体" w:cs="Century Gothic"/>
                <w:sz w:val="24"/>
              </w:rPr>
              <w:t xml:space="preserve">法定代表人（签字或盖章）：</w:t>
            </w:r>
            <w:r/>
          </w:p>
          <w:p>
            <w:pPr>
              <w:pStyle w:val="859"/>
              <w:ind w:firstLine="560"/>
              <w:jc w:val="left"/>
              <w:spacing w:line="360" w:lineRule="auto"/>
              <w:rPr>
                <w:rFonts w:hint="eastAsia" w:ascii="宋体" w:hAnsi="宋体" w:cs="Century Gothic"/>
                <w:sz w:val="24"/>
              </w:rPr>
            </w:pPr>
            <w:r>
              <w:rPr>
                <w:rFonts w:hint="eastAsia" w:ascii="宋体" w:hAnsi="宋体" w:cs="Century Gothic"/>
                <w:sz w:val="24"/>
              </w:rPr>
              <w:t xml:space="preserve">                                              日期：   年  月  日</w:t>
            </w:r>
            <w:r/>
          </w:p>
        </w:tc>
      </w:tr>
    </w:tbl>
    <w:p>
      <w:pPr>
        <w:pStyle w:val="859"/>
        <w:spacing w:line="360" w:lineRule="auto"/>
        <w:rPr>
          <w:rFonts w:ascii="宋体" w:hAnsi="宋体"/>
          <w:b/>
          <w:sz w:val="24"/>
        </w:rPr>
        <w:outlineLvl w:val="2"/>
      </w:pPr>
      <w:r>
        <w:rPr>
          <w:rFonts w:ascii="宋体" w:hAnsi="宋体"/>
          <w:b/>
          <w:sz w:val="24"/>
        </w:rPr>
      </w:r>
      <w:r/>
    </w:p>
    <w:p>
      <w:pPr>
        <w:pStyle w:val="859"/>
        <w:spacing w:line="360" w:lineRule="auto"/>
        <w:rPr>
          <w:rFonts w:ascii="宋体" w:hAnsi="宋体"/>
          <w:b/>
          <w:sz w:val="24"/>
          <w:szCs w:val="20"/>
        </w:rPr>
        <w:outlineLvl w:val="2"/>
      </w:pPr>
      <w:r>
        <w:rPr>
          <w:rFonts w:ascii="宋体" w:hAnsi="宋体"/>
          <w:b/>
          <w:sz w:val="24"/>
        </w:rPr>
        <w:br w:type="page" w:clear="all"/>
        <w:t xml:space="preserve">6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sz w:val="24"/>
        </w:rPr>
        <w:t xml:space="preserve">（实质性格式）</w:t>
      </w:r>
      <w:r>
        <w:rPr>
          <w:rFonts w:ascii="宋体" w:hAnsi="宋体"/>
          <w:b/>
          <w:sz w:val="24"/>
          <w:szCs w:val="20"/>
        </w:rPr>
      </w:r>
      <w:r/>
    </w:p>
    <w:p>
      <w:pPr>
        <w:pStyle w:val="859"/>
        <w:jc w:val="center"/>
        <w:spacing w:line="360" w:lineRule="exact"/>
        <w:rPr>
          <w:rFonts w:ascii="宋体" w:hAnsi="宋体"/>
          <w:b/>
          <w:sz w:val="36"/>
          <w:szCs w:val="36"/>
        </w:rPr>
      </w:pPr>
      <w:r/>
      <w:bookmarkStart w:id="857" w:name="_Toc195842923"/>
      <w:r/>
      <w:bookmarkStart w:id="858" w:name="_Toc226965831"/>
      <w:r/>
      <w:bookmarkStart w:id="859" w:name="_Toc305158826"/>
      <w:r/>
      <w:bookmarkStart w:id="860" w:name="_Toc226309802"/>
      <w:r/>
      <w:bookmarkStart w:id="861" w:name="_Toc265228396"/>
      <w:r/>
      <w:bookmarkStart w:id="862" w:name="_Toc264969248"/>
      <w:r/>
      <w:bookmarkStart w:id="863" w:name="_Toc164608672"/>
      <w:r/>
      <w:bookmarkStart w:id="864" w:name="_Toc164608827"/>
      <w:r/>
      <w:bookmarkStart w:id="865" w:name="_Toc226965748"/>
      <w:r/>
      <w:bookmarkStart w:id="866" w:name="_Toc305158900"/>
      <w:r/>
      <w:bookmarkStart w:id="867" w:name="_Toc226337254"/>
      <w:r>
        <w:rPr>
          <w:rFonts w:hint="eastAsia" w:ascii="宋体" w:hAnsi="宋体"/>
          <w:b/>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sz w:val="36"/>
          <w:szCs w:val="36"/>
        </w:rPr>
      </w:r>
      <w:r/>
    </w:p>
    <w:p>
      <w:pPr>
        <w:pStyle w:val="859"/>
        <w:ind w:firstLine="24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859"/>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859"/>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859"/>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859"/>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859"/>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859"/>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9"/>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859"/>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859"/>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859"/>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9"/>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859"/>
              <w:jc w:val="center"/>
              <w:tabs>
                <w:tab w:val="left" w:pos="5580" w:leader="none"/>
              </w:tabs>
              <w:rPr>
                <w:rFonts w:ascii="宋体" w:hAnsi="宋体"/>
                <w:sz w:val="24"/>
              </w:rPr>
            </w:pPr>
            <w:r>
              <w:rPr>
                <w:rFonts w:ascii="宋体" w:hAnsi="宋体"/>
                <w:sz w:val="24"/>
              </w:rPr>
            </w:r>
            <w:r/>
          </w:p>
        </w:tc>
      </w:tr>
    </w:tbl>
    <w:p>
      <w:pPr>
        <w:pStyle w:val="859"/>
        <w:jc w:val="left"/>
        <w:rPr>
          <w:rFonts w:ascii="宋体" w:hAnsi="宋体"/>
          <w:sz w:val="24"/>
        </w:rPr>
      </w:pPr>
      <w:r>
        <w:rPr>
          <w:rFonts w:ascii="宋体" w:hAnsi="宋体"/>
          <w:sz w:val="24"/>
        </w:rPr>
      </w:r>
      <w:r/>
    </w:p>
    <w:p>
      <w:pPr>
        <w:pStyle w:val="859"/>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859"/>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859"/>
        <w:spacing w:before="25" w:after="25" w:line="360" w:lineRule="auto"/>
        <w:rPr>
          <w:rFonts w:ascii="宋体" w:hAnsi="宋体"/>
          <w:sz w:val="24"/>
          <w:lang w:val="zh-CN"/>
        </w:rPr>
      </w:pPr>
      <w:r>
        <w:rPr>
          <w:rFonts w:ascii="宋体" w:hAnsi="宋体"/>
          <w:sz w:val="24"/>
          <w:lang w:val="zh-CN"/>
        </w:rPr>
      </w:r>
      <w:r/>
    </w:p>
    <w:p>
      <w:pPr>
        <w:pStyle w:val="859"/>
        <w:spacing w:before="25" w:after="25" w:line="360" w:lineRule="auto"/>
        <w:rPr>
          <w:rFonts w:ascii="宋体" w:hAnsi="宋体"/>
          <w:sz w:val="24"/>
          <w:lang w:val="zh-CN"/>
        </w:rPr>
      </w:pPr>
      <w:r>
        <w:rPr>
          <w:rFonts w:ascii="宋体" w:hAnsi="宋体"/>
          <w:sz w:val="24"/>
          <w:lang w:val="zh-CN"/>
        </w:rPr>
        <w:t xml:space="preserve">                         </w:t>
      </w:r>
      <w:r/>
    </w:p>
    <w:p>
      <w:pPr>
        <w:pStyle w:val="859"/>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9"/>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9"/>
        <w:spacing w:line="360" w:lineRule="auto"/>
        <w:rPr>
          <w:rFonts w:ascii="宋体" w:hAnsi="宋体"/>
          <w:b/>
          <w:sz w:val="24"/>
          <w:szCs w:val="20"/>
        </w:rPr>
        <w:outlineLvl w:val="2"/>
      </w:pPr>
      <w:r/>
      <w:bookmarkStart w:id="868" w:name="_Toc150774763"/>
      <w:r/>
      <w:bookmarkStart w:id="869" w:name="_Toc305158901"/>
      <w:r/>
      <w:bookmarkStart w:id="870" w:name="_Toc195842924"/>
      <w:r/>
      <w:bookmarkStart w:id="871" w:name="_Toc150480796"/>
      <w:r/>
      <w:bookmarkStart w:id="872" w:name="_Toc226309803"/>
      <w:r/>
      <w:bookmarkStart w:id="873" w:name="_Toc142311060"/>
      <w:r/>
      <w:bookmarkStart w:id="874" w:name="_Toc264969249"/>
      <w:r/>
      <w:bookmarkStart w:id="875" w:name="_Toc226337255"/>
      <w:r/>
      <w:bookmarkStart w:id="876" w:name="_Toc226965749"/>
      <w:r/>
      <w:bookmarkStart w:id="877" w:name="_Toc305158827"/>
      <w:r/>
      <w:bookmarkStart w:id="878" w:name="_Toc226965832"/>
      <w:r/>
      <w:bookmarkStart w:id="879" w:name="_Toc127151558"/>
      <w:r/>
      <w:bookmarkStart w:id="880" w:name="_Toc265228397"/>
      <w:r>
        <w:rPr>
          <w:rFonts w:ascii="宋体" w:hAnsi="宋体"/>
          <w:sz w:val="24"/>
          <w:szCs w:val="20"/>
        </w:rPr>
        <w:br w:type="page" w:clear="all"/>
      </w:r>
      <w:r>
        <w:rPr>
          <w:rFonts w:ascii="宋体" w:hAnsi="宋体"/>
          <w:b/>
          <w:sz w:val="24"/>
        </w:rPr>
        <w:t xml:space="preserve">7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sz w:val="24"/>
        </w:rPr>
        <w:t xml:space="preserve">（实质性格式）</w:t>
      </w:r>
      <w:r>
        <w:rPr>
          <w:rFonts w:ascii="宋体" w:hAnsi="宋体"/>
          <w:b/>
          <w:sz w:val="24"/>
          <w:szCs w:val="20"/>
        </w:rPr>
      </w:r>
      <w:r/>
    </w:p>
    <w:p>
      <w:pPr>
        <w:pStyle w:val="859"/>
        <w:jc w:val="center"/>
        <w:spacing w:line="360" w:lineRule="exact"/>
        <w:rPr>
          <w:rFonts w:ascii="宋体" w:hAnsi="宋体"/>
          <w:sz w:val="36"/>
          <w:szCs w:val="36"/>
        </w:rPr>
      </w:pPr>
      <w:r>
        <w:rPr>
          <w:rFonts w:ascii="宋体" w:hAnsi="宋体"/>
          <w:sz w:val="36"/>
          <w:szCs w:val="36"/>
        </w:rPr>
      </w:r>
      <w:r/>
    </w:p>
    <w:p>
      <w:pPr>
        <w:pStyle w:val="859"/>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859"/>
        <w:jc w:val="center"/>
        <w:spacing w:line="260" w:lineRule="exact"/>
        <w:rPr>
          <w:rFonts w:ascii="宋体" w:hAnsi="宋体"/>
          <w:sz w:val="36"/>
          <w:szCs w:val="36"/>
        </w:rPr>
      </w:pPr>
      <w:r>
        <w:rPr>
          <w:rFonts w:ascii="宋体" w:hAnsi="宋体"/>
          <w:sz w:val="36"/>
          <w:szCs w:val="36"/>
        </w:rPr>
      </w:r>
      <w:r/>
    </w:p>
    <w:p>
      <w:pPr>
        <w:pStyle w:val="859"/>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929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405"/>
        <w:gridCol w:w="722"/>
        <w:gridCol w:w="708"/>
        <w:gridCol w:w="993"/>
        <w:gridCol w:w="1842"/>
        <w:gridCol w:w="1809"/>
      </w:tblGrid>
      <w:tr>
        <w:trPr>
          <w:trHeight w:val="170"/>
        </w:trPr>
        <w:tc>
          <w:tcPr>
            <w:tcW w:w="811" w:type="dxa"/>
            <w:vAlign w:val="center"/>
            <w:textDirection w:val="lrTb"/>
            <w:noWrap w:val="false"/>
          </w:tcPr>
          <w:p>
            <w:pPr>
              <w:pStyle w:val="859"/>
              <w:contextualSpacing/>
              <w:jc w:val="center"/>
              <w:spacing w:line="360" w:lineRule="exact"/>
              <w:tabs>
                <w:tab w:val="left" w:pos="567" w:leader="none"/>
              </w:tabs>
              <w:rPr>
                <w:rFonts w:ascii="宋体" w:hAnsi="宋体"/>
                <w:b/>
                <w:sz w:val="24"/>
              </w:rPr>
            </w:pPr>
            <w:r>
              <w:rPr>
                <w:rFonts w:hint="eastAsia" w:ascii="宋体" w:hAnsi="宋体"/>
                <w:b/>
                <w:sz w:val="24"/>
              </w:rPr>
              <w:t xml:space="preserve">序号</w:t>
            </w:r>
            <w:r>
              <w:rPr>
                <w:rFonts w:ascii="宋体" w:hAnsi="宋体"/>
                <w:b/>
                <w:sz w:val="24"/>
              </w:rPr>
            </w:r>
            <w:r/>
          </w:p>
        </w:tc>
        <w:tc>
          <w:tcPr>
            <w:tcW w:w="2405" w:type="dxa"/>
            <w:vAlign w:val="center"/>
            <w:textDirection w:val="lrTb"/>
            <w:noWrap w:val="false"/>
          </w:tcPr>
          <w:p>
            <w:pPr>
              <w:pStyle w:val="859"/>
              <w:contextualSpacing/>
              <w:jc w:val="center"/>
              <w:spacing w:line="360" w:lineRule="exact"/>
              <w:tabs>
                <w:tab w:val="left" w:pos="567" w:leader="none"/>
              </w:tabs>
              <w:rPr>
                <w:rFonts w:ascii="宋体" w:hAnsi="宋体"/>
                <w:b/>
                <w:sz w:val="24"/>
              </w:rPr>
            </w:pPr>
            <w:r>
              <w:rPr>
                <w:rFonts w:hint="eastAsia" w:ascii="宋体" w:hAnsi="宋体"/>
                <w:b/>
                <w:sz w:val="24"/>
              </w:rPr>
              <w:t xml:space="preserve">服务名称</w:t>
            </w:r>
            <w:r>
              <w:rPr>
                <w:rFonts w:ascii="宋体" w:hAnsi="宋体"/>
                <w:b/>
                <w:sz w:val="24"/>
              </w:rPr>
            </w:r>
            <w:r/>
          </w:p>
        </w:tc>
        <w:tc>
          <w:tcPr>
            <w:tcW w:w="722"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数量</w:t>
            </w:r>
            <w:r/>
          </w:p>
        </w:tc>
        <w:tc>
          <w:tcPr>
            <w:tcW w:w="708"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单位</w:t>
            </w:r>
            <w:r/>
          </w:p>
        </w:tc>
        <w:tc>
          <w:tcPr>
            <w:tcW w:w="993" w:type="dxa"/>
            <w:vAlign w:val="top"/>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单价最高限价</w:t>
            </w:r>
            <w:r/>
          </w:p>
        </w:tc>
        <w:tc>
          <w:tcPr>
            <w:tcW w:w="1842"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投标单价</w:t>
            </w:r>
            <w:r/>
          </w:p>
        </w:tc>
        <w:tc>
          <w:tcPr>
            <w:tcW w:w="1809"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投标总价</w:t>
            </w:r>
            <w:r/>
          </w:p>
        </w:tc>
      </w:tr>
      <w:tr>
        <w:trPr>
          <w:trHeight w:val="170"/>
        </w:trPr>
        <w:tc>
          <w:tcPr>
            <w:gridSpan w:val="2"/>
            <w:tcBorders>
              <w:right w:val="single" w:color="000000" w:sz="4" w:space="0"/>
            </w:tcBorders>
            <w:tcW w:w="3216"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一、合作调研服务</w:t>
            </w:r>
            <w:r/>
          </w:p>
        </w:tc>
        <w:tc>
          <w:tcPr>
            <w:tcBorders>
              <w:left w:val="single" w:color="000000" w:sz="4" w:space="0"/>
              <w:right w:val="single" w:color="000000" w:sz="4" w:space="0"/>
            </w:tcBorders>
            <w:tcW w:w="722"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c>
          <w:tcPr>
            <w:tcBorders>
              <w:left w:val="single" w:color="000000" w:sz="4" w:space="0"/>
            </w:tcBorders>
            <w:tcW w:w="708"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c>
          <w:tcPr>
            <w:tcW w:w="993" w:type="dxa"/>
            <w:vAlign w:val="top"/>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r>
            <w:r/>
          </w:p>
        </w:tc>
        <w:tc>
          <w:tcPr>
            <w:tcW w:w="1842"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809"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r>
      <w:tr>
        <w:trPr>
          <w:trHeight w:val="170"/>
        </w:trPr>
        <w:tc>
          <w:tcPr>
            <w:tcW w:w="81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Borders>
              <w:right w:val="single" w:color="000000" w:sz="4" w:space="0"/>
            </w:tcBorders>
            <w:tcW w:w="240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海外分院建设境外前期筹备调研服务</w:t>
            </w:r>
            <w:r/>
          </w:p>
        </w:tc>
        <w:tc>
          <w:tcPr>
            <w:tcBorders>
              <w:left w:val="single" w:color="000000" w:sz="4" w:space="0"/>
              <w:right w:val="single" w:color="000000" w:sz="4" w:space="0"/>
            </w:tcBorders>
            <w:tcW w:w="722" w:type="dxa"/>
            <w:vAlign w:val="center"/>
            <w:textDirection w:val="lrTb"/>
            <w:noWrap w:val="false"/>
          </w:tcPr>
          <w:p>
            <w:pPr>
              <w:pStyle w:val="859"/>
              <w:contextualSpacing/>
              <w:jc w:val="center"/>
              <w:spacing w:line="360" w:lineRule="exact"/>
              <w:tabs>
                <w:tab w:val="left" w:pos="567" w:leader="none"/>
              </w:tabs>
              <w:rPr>
                <w:rFonts w:ascii="宋体" w:hAnsi="宋体"/>
                <w:sz w:val="24"/>
              </w:rPr>
            </w:pPr>
            <w:r>
              <w:rPr>
                <w:rFonts w:hint="eastAsia" w:ascii="宋体" w:hAnsi="宋体"/>
                <w:sz w:val="24"/>
              </w:rPr>
              <w:t xml:space="preserve">1</w:t>
            </w:r>
            <w:r>
              <w:rPr>
                <w:rFonts w:ascii="宋体" w:hAnsi="宋体"/>
                <w:sz w:val="24"/>
              </w:rPr>
            </w:r>
            <w:r/>
          </w:p>
        </w:tc>
        <w:tc>
          <w:tcPr>
            <w:tcBorders>
              <w:left w:val="single" w:color="000000" w:sz="4" w:space="0"/>
            </w:tcBorders>
            <w:tcW w:w="708" w:type="dxa"/>
            <w:vAlign w:val="center"/>
            <w:textDirection w:val="lrTb"/>
            <w:noWrap w:val="false"/>
          </w:tcPr>
          <w:p>
            <w:pPr>
              <w:pStyle w:val="859"/>
              <w:contextualSpacing/>
              <w:jc w:val="center"/>
              <w:spacing w:line="360" w:lineRule="exact"/>
              <w:tabs>
                <w:tab w:val="left" w:pos="567" w:leader="none"/>
              </w:tabs>
              <w:rPr>
                <w:rFonts w:ascii="宋体" w:hAnsi="宋体"/>
                <w:sz w:val="24"/>
              </w:rPr>
            </w:pPr>
            <w:r>
              <w:rPr>
                <w:rFonts w:hint="eastAsia" w:ascii="宋体" w:hAnsi="宋体"/>
                <w:sz w:val="24"/>
              </w:rPr>
              <w:t xml:space="preserve">项</w:t>
            </w:r>
            <w:r>
              <w:rPr>
                <w:rFonts w:ascii="宋体" w:hAnsi="宋体"/>
                <w:sz w:val="24"/>
              </w:rPr>
            </w:r>
            <w:r/>
          </w:p>
        </w:tc>
        <w:tc>
          <w:tcPr>
            <w:tcW w:w="993" w:type="dxa"/>
            <w:vAlign w:val="center"/>
            <w:textDirection w:val="lrTb"/>
            <w:noWrap w:val="false"/>
          </w:tcPr>
          <w:p>
            <w:pPr>
              <w:pStyle w:val="859"/>
              <w:contextualSpacing/>
              <w:jc w:val="center"/>
              <w:spacing w:line="360" w:lineRule="exact"/>
              <w:tabs>
                <w:tab w:val="left" w:pos="567" w:leader="none"/>
              </w:tabs>
              <w:rPr>
                <w:rFonts w:ascii="宋体" w:hAnsi="宋体"/>
                <w:b/>
                <w:sz w:val="24"/>
              </w:rPr>
            </w:pPr>
            <w:r>
              <w:rPr>
                <w:rFonts w:hint="eastAsia" w:ascii="宋体" w:hAnsi="宋体"/>
                <w:b/>
                <w:sz w:val="24"/>
              </w:rPr>
              <w:t xml:space="preserve">50000</w:t>
            </w:r>
            <w:r>
              <w:rPr>
                <w:rFonts w:ascii="宋体" w:hAnsi="宋体"/>
                <w:b/>
                <w:sz w:val="24"/>
              </w:rPr>
            </w:r>
            <w:r/>
          </w:p>
        </w:tc>
        <w:tc>
          <w:tcPr>
            <w:tcW w:w="184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809"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r>
      <w:tr>
        <w:trPr>
          <w:trHeight w:val="170"/>
        </w:trPr>
        <w:tc>
          <w:tcPr>
            <w:tcW w:w="81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240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乌兹别克斯坦师资来华交流对接统筹服务</w:t>
            </w:r>
            <w:r/>
          </w:p>
        </w:tc>
        <w:tc>
          <w:tcPr>
            <w:tcBorders>
              <w:right w:val="single" w:color="000000" w:sz="4" w:space="0"/>
            </w:tcBorders>
            <w:tcW w:w="72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Borders>
              <w:left w:val="single" w:color="000000" w:sz="4" w:space="0"/>
            </w:tcBorders>
            <w:tcW w:w="70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项</w:t>
            </w:r>
            <w:r/>
          </w:p>
        </w:tc>
        <w:tc>
          <w:tcPr>
            <w:tcW w:w="993"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100000</w:t>
            </w:r>
            <w:r/>
          </w:p>
        </w:tc>
        <w:tc>
          <w:tcPr>
            <w:tcW w:w="184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809"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r>
      <w:tr>
        <w:trPr>
          <w:trHeight w:val="170"/>
        </w:trPr>
        <w:tc>
          <w:tcPr>
            <w:gridSpan w:val="2"/>
            <w:tcBorders>
              <w:right w:val="single" w:color="000000" w:sz="4" w:space="0"/>
            </w:tcBorders>
            <w:tcW w:w="3216"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二、海外分院筹建服务</w:t>
            </w:r>
            <w:r/>
          </w:p>
        </w:tc>
        <w:tc>
          <w:tcPr>
            <w:tcBorders>
              <w:left w:val="single" w:color="000000" w:sz="4" w:space="0"/>
              <w:right w:val="single" w:color="000000" w:sz="4" w:space="0"/>
            </w:tcBorders>
            <w:tcW w:w="722"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c>
          <w:tcPr>
            <w:tcBorders>
              <w:left w:val="single" w:color="000000" w:sz="4" w:space="0"/>
            </w:tcBorders>
            <w:tcW w:w="70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993"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r>
            <w:r/>
          </w:p>
        </w:tc>
        <w:tc>
          <w:tcPr>
            <w:tcW w:w="1842"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c>
          <w:tcPr>
            <w:tcW w:w="1809" w:type="dxa"/>
            <w:vAlign w:val="top"/>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81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Borders>
              <w:right w:val="single" w:color="000000" w:sz="4" w:space="0"/>
            </w:tcBorders>
            <w:tcW w:w="240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bCs/>
                <w:sz w:val="24"/>
              </w:rPr>
              <w:t xml:space="preserve">三方合作机制建设咨询与缔结协议境外合规性服务</w:t>
            </w:r>
            <w:r>
              <w:rPr>
                <w:rFonts w:hint="eastAsia" w:ascii="宋体" w:hAnsi="宋体"/>
                <w:sz w:val="24"/>
              </w:rPr>
            </w:r>
            <w:r/>
          </w:p>
        </w:tc>
        <w:tc>
          <w:tcPr>
            <w:tcBorders>
              <w:left w:val="single" w:color="000000" w:sz="4" w:space="0"/>
              <w:right w:val="single" w:color="000000" w:sz="4" w:space="0"/>
            </w:tcBorders>
            <w:tcW w:w="722" w:type="dxa"/>
            <w:vAlign w:val="center"/>
            <w:textDirection w:val="lrTb"/>
            <w:noWrap w:val="false"/>
          </w:tcPr>
          <w:p>
            <w:pPr>
              <w:pStyle w:val="859"/>
              <w:jc w:val="center"/>
            </w:pPr>
            <w:r>
              <w:rPr>
                <w:rFonts w:hint="eastAsia" w:ascii="宋体" w:hAnsi="宋体"/>
                <w:sz w:val="24"/>
              </w:rPr>
              <w:t xml:space="preserve">1</w:t>
            </w:r>
            <w:r/>
          </w:p>
        </w:tc>
        <w:tc>
          <w:tcPr>
            <w:tcBorders>
              <w:left w:val="single" w:color="000000" w:sz="4" w:space="0"/>
            </w:tcBorders>
            <w:tcW w:w="708" w:type="dxa"/>
            <w:vAlign w:val="center"/>
            <w:textDirection w:val="lrTb"/>
            <w:noWrap w:val="false"/>
          </w:tcPr>
          <w:p>
            <w:pPr>
              <w:pStyle w:val="859"/>
              <w:jc w:val="center"/>
            </w:pPr>
            <w:r>
              <w:rPr>
                <w:rFonts w:hint="eastAsia" w:ascii="宋体" w:hAnsi="宋体"/>
                <w:sz w:val="24"/>
              </w:rPr>
              <w:t xml:space="preserve">项</w:t>
            </w:r>
            <w:r/>
          </w:p>
        </w:tc>
        <w:tc>
          <w:tcPr>
            <w:tcW w:w="993"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5</w:t>
            </w:r>
            <w:r>
              <w:rPr>
                <w:rFonts w:ascii="宋体" w:hAnsi="宋体"/>
                <w:b/>
                <w:sz w:val="24"/>
              </w:rPr>
              <w:t xml:space="preserve">0000</w:t>
            </w:r>
            <w:r>
              <w:rPr>
                <w:rFonts w:hint="eastAsia" w:ascii="宋体" w:hAnsi="宋体"/>
                <w:b/>
                <w:sz w:val="24"/>
              </w:rPr>
            </w:r>
            <w:r/>
          </w:p>
        </w:tc>
        <w:tc>
          <w:tcPr>
            <w:tcW w:w="184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809"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r>
      <w:tr>
        <w:trPr>
          <w:trHeight w:val="170"/>
        </w:trPr>
        <w:tc>
          <w:tcPr>
            <w:tcW w:w="81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240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实体办学场地设置</w:t>
            </w:r>
            <w:r/>
          </w:p>
        </w:tc>
        <w:tc>
          <w:tcPr>
            <w:tcBorders>
              <w:right w:val="single" w:color="000000" w:sz="4" w:space="0"/>
            </w:tcBorders>
            <w:tcW w:w="722" w:type="dxa"/>
            <w:vAlign w:val="center"/>
            <w:textDirection w:val="lrTb"/>
            <w:noWrap w:val="false"/>
          </w:tcPr>
          <w:p>
            <w:pPr>
              <w:pStyle w:val="859"/>
              <w:jc w:val="center"/>
            </w:pPr>
            <w:r>
              <w:rPr>
                <w:rFonts w:hint="eastAsia" w:ascii="宋体" w:hAnsi="宋体"/>
                <w:sz w:val="24"/>
              </w:rPr>
              <w:t xml:space="preserve">1</w:t>
            </w:r>
            <w:r/>
          </w:p>
        </w:tc>
        <w:tc>
          <w:tcPr>
            <w:tcBorders>
              <w:left w:val="single" w:color="000000" w:sz="4" w:space="0"/>
            </w:tcBorders>
            <w:tcW w:w="708" w:type="dxa"/>
            <w:vAlign w:val="center"/>
            <w:textDirection w:val="lrTb"/>
            <w:noWrap w:val="false"/>
          </w:tcPr>
          <w:p>
            <w:pPr>
              <w:pStyle w:val="859"/>
              <w:jc w:val="center"/>
            </w:pPr>
            <w:r>
              <w:rPr>
                <w:rFonts w:hint="eastAsia" w:ascii="宋体" w:hAnsi="宋体"/>
                <w:sz w:val="24"/>
              </w:rPr>
              <w:t xml:space="preserve">项</w:t>
            </w:r>
            <w:r/>
          </w:p>
        </w:tc>
        <w:tc>
          <w:tcPr>
            <w:tcW w:w="993"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1</w:t>
            </w:r>
            <w:r>
              <w:rPr>
                <w:rFonts w:ascii="宋体" w:hAnsi="宋体"/>
                <w:b/>
                <w:sz w:val="24"/>
              </w:rPr>
              <w:t xml:space="preserve">00000</w:t>
            </w:r>
            <w:r>
              <w:rPr>
                <w:rFonts w:hint="eastAsia" w:ascii="宋体" w:hAnsi="宋体"/>
                <w:b/>
                <w:sz w:val="24"/>
              </w:rPr>
            </w:r>
            <w:r/>
          </w:p>
        </w:tc>
        <w:tc>
          <w:tcPr>
            <w:tcW w:w="184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809"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r>
      <w:tr>
        <w:trPr>
          <w:trHeight w:val="170"/>
        </w:trPr>
        <w:tc>
          <w:tcPr>
            <w:tcW w:w="81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3</w:t>
            </w:r>
            <w:r/>
          </w:p>
        </w:tc>
        <w:tc>
          <w:tcPr>
            <w:tcW w:w="240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海外分院（培训中心）境外揭牌仪式筹备服务</w:t>
            </w:r>
            <w:r/>
          </w:p>
        </w:tc>
        <w:tc>
          <w:tcPr>
            <w:tcBorders>
              <w:right w:val="single" w:color="000000" w:sz="4" w:space="0"/>
            </w:tcBorders>
            <w:tcW w:w="722" w:type="dxa"/>
            <w:vAlign w:val="center"/>
            <w:textDirection w:val="lrTb"/>
            <w:noWrap w:val="false"/>
          </w:tcPr>
          <w:p>
            <w:pPr>
              <w:pStyle w:val="859"/>
              <w:jc w:val="center"/>
            </w:pPr>
            <w:r>
              <w:rPr>
                <w:rFonts w:hint="eastAsia" w:ascii="宋体" w:hAnsi="宋体"/>
                <w:sz w:val="24"/>
              </w:rPr>
              <w:t xml:space="preserve">1</w:t>
            </w:r>
            <w:r/>
          </w:p>
        </w:tc>
        <w:tc>
          <w:tcPr>
            <w:tcBorders>
              <w:left w:val="single" w:color="000000" w:sz="4" w:space="0"/>
            </w:tcBorders>
            <w:tcW w:w="708" w:type="dxa"/>
            <w:vAlign w:val="center"/>
            <w:textDirection w:val="lrTb"/>
            <w:noWrap w:val="false"/>
          </w:tcPr>
          <w:p>
            <w:pPr>
              <w:pStyle w:val="859"/>
              <w:jc w:val="center"/>
            </w:pPr>
            <w:r>
              <w:rPr>
                <w:rFonts w:hint="eastAsia" w:ascii="宋体" w:hAnsi="宋体"/>
                <w:sz w:val="24"/>
              </w:rPr>
              <w:t xml:space="preserve">项</w:t>
            </w:r>
            <w:r/>
          </w:p>
        </w:tc>
        <w:tc>
          <w:tcPr>
            <w:tcW w:w="993"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5</w:t>
            </w:r>
            <w:r>
              <w:rPr>
                <w:rFonts w:ascii="宋体" w:hAnsi="宋体"/>
                <w:b/>
                <w:sz w:val="24"/>
              </w:rPr>
              <w:t xml:space="preserve">0000</w:t>
            </w:r>
            <w:r>
              <w:rPr>
                <w:rFonts w:hint="eastAsia" w:ascii="宋体" w:hAnsi="宋体"/>
                <w:b/>
                <w:sz w:val="24"/>
              </w:rPr>
            </w:r>
            <w:r/>
          </w:p>
        </w:tc>
        <w:tc>
          <w:tcPr>
            <w:tcW w:w="184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809"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r>
      <w:tr>
        <w:trPr>
          <w:trHeight w:val="170"/>
        </w:trPr>
        <w:tc>
          <w:tcPr>
            <w:gridSpan w:val="2"/>
            <w:tcBorders>
              <w:right w:val="single" w:color="000000" w:sz="4" w:space="0"/>
            </w:tcBorders>
            <w:tcW w:w="3216"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三、国际化标准适配及资源建设一期</w:t>
            </w:r>
            <w:r/>
          </w:p>
        </w:tc>
        <w:tc>
          <w:tcPr>
            <w:tcBorders>
              <w:left w:val="single" w:color="000000" w:sz="4" w:space="0"/>
              <w:right w:val="single" w:color="000000" w:sz="4" w:space="0"/>
            </w:tcBorders>
            <w:tcW w:w="722"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c>
          <w:tcPr>
            <w:tcBorders>
              <w:left w:val="single" w:color="000000" w:sz="4" w:space="0"/>
            </w:tcBorders>
            <w:tcW w:w="70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993"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r>
            <w:r/>
          </w:p>
        </w:tc>
        <w:tc>
          <w:tcPr>
            <w:tcW w:w="1842"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c>
          <w:tcPr>
            <w:tcW w:w="1809" w:type="dxa"/>
            <w:vAlign w:val="top"/>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81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W w:w="240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国际化课程标准与专业教学标准境外适配支持服务</w:t>
            </w:r>
            <w:r/>
          </w:p>
        </w:tc>
        <w:tc>
          <w:tcPr>
            <w:tcBorders>
              <w:right w:val="single" w:color="000000" w:sz="4" w:space="0"/>
            </w:tcBorders>
            <w:tcW w:w="722" w:type="dxa"/>
            <w:vAlign w:val="center"/>
            <w:textDirection w:val="lrTb"/>
            <w:noWrap w:val="false"/>
          </w:tcPr>
          <w:p>
            <w:pPr>
              <w:pStyle w:val="859"/>
              <w:jc w:val="center"/>
            </w:pPr>
            <w:r>
              <w:rPr>
                <w:rFonts w:hint="eastAsia" w:ascii="宋体" w:hAnsi="宋体"/>
                <w:sz w:val="24"/>
              </w:rPr>
              <w:t xml:space="preserve">1</w:t>
            </w:r>
            <w:r/>
          </w:p>
        </w:tc>
        <w:tc>
          <w:tcPr>
            <w:tcBorders>
              <w:left w:val="single" w:color="000000" w:sz="4" w:space="0"/>
            </w:tcBorders>
            <w:tcW w:w="708" w:type="dxa"/>
            <w:vAlign w:val="center"/>
            <w:textDirection w:val="lrTb"/>
            <w:noWrap w:val="false"/>
          </w:tcPr>
          <w:p>
            <w:pPr>
              <w:pStyle w:val="859"/>
              <w:jc w:val="center"/>
            </w:pPr>
            <w:r>
              <w:rPr>
                <w:rFonts w:hint="eastAsia" w:ascii="宋体" w:hAnsi="宋体"/>
                <w:sz w:val="24"/>
              </w:rPr>
              <w:t xml:space="preserve">项</w:t>
            </w:r>
            <w:r/>
          </w:p>
        </w:tc>
        <w:tc>
          <w:tcPr>
            <w:tcW w:w="993"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6</w:t>
            </w:r>
            <w:r>
              <w:rPr>
                <w:rFonts w:ascii="宋体" w:hAnsi="宋体"/>
                <w:b/>
                <w:sz w:val="24"/>
              </w:rPr>
              <w:t xml:space="preserve">00000</w:t>
            </w:r>
            <w:r>
              <w:rPr>
                <w:rFonts w:hint="eastAsia" w:ascii="宋体" w:hAnsi="宋体"/>
                <w:b/>
                <w:sz w:val="24"/>
              </w:rPr>
            </w:r>
            <w:r/>
          </w:p>
        </w:tc>
        <w:tc>
          <w:tcPr>
            <w:tcW w:w="184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809"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r>
      <w:tr>
        <w:trPr>
          <w:trHeight w:val="170"/>
        </w:trPr>
        <w:tc>
          <w:tcPr>
            <w:tcW w:w="81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Borders>
              <w:right w:val="single" w:color="000000" w:sz="4" w:space="0"/>
            </w:tcBorders>
            <w:tcW w:w="240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境外官方认证申报支持服务</w:t>
            </w:r>
            <w:r/>
          </w:p>
        </w:tc>
        <w:tc>
          <w:tcPr>
            <w:tcBorders>
              <w:left w:val="single" w:color="000000" w:sz="4" w:space="0"/>
              <w:right w:val="single" w:color="000000" w:sz="4" w:space="0"/>
            </w:tcBorders>
            <w:tcW w:w="722" w:type="dxa"/>
            <w:vAlign w:val="center"/>
            <w:textDirection w:val="lrTb"/>
            <w:noWrap w:val="false"/>
          </w:tcPr>
          <w:p>
            <w:pPr>
              <w:pStyle w:val="859"/>
              <w:jc w:val="center"/>
            </w:pPr>
            <w:r>
              <w:rPr>
                <w:rFonts w:hint="eastAsia" w:ascii="宋体" w:hAnsi="宋体"/>
                <w:sz w:val="24"/>
              </w:rPr>
              <w:t xml:space="preserve">1</w:t>
            </w:r>
            <w:r/>
          </w:p>
        </w:tc>
        <w:tc>
          <w:tcPr>
            <w:tcBorders>
              <w:left w:val="single" w:color="000000" w:sz="4" w:space="0"/>
            </w:tcBorders>
            <w:tcW w:w="708" w:type="dxa"/>
            <w:vAlign w:val="center"/>
            <w:textDirection w:val="lrTb"/>
            <w:noWrap w:val="false"/>
          </w:tcPr>
          <w:p>
            <w:pPr>
              <w:pStyle w:val="859"/>
              <w:jc w:val="center"/>
            </w:pPr>
            <w:r>
              <w:rPr>
                <w:rFonts w:hint="eastAsia" w:ascii="宋体" w:hAnsi="宋体"/>
                <w:sz w:val="24"/>
              </w:rPr>
              <w:t xml:space="preserve">项</w:t>
            </w:r>
            <w:r/>
          </w:p>
        </w:tc>
        <w:tc>
          <w:tcPr>
            <w:tcW w:w="993"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1</w:t>
            </w:r>
            <w:r>
              <w:rPr>
                <w:rFonts w:ascii="宋体" w:hAnsi="宋体"/>
                <w:b/>
                <w:sz w:val="24"/>
              </w:rPr>
              <w:t xml:space="preserve">00000</w:t>
            </w:r>
            <w:r>
              <w:rPr>
                <w:rFonts w:hint="eastAsia" w:ascii="宋体" w:hAnsi="宋体"/>
                <w:b/>
                <w:sz w:val="24"/>
              </w:rPr>
            </w:r>
            <w:r/>
          </w:p>
        </w:tc>
        <w:tc>
          <w:tcPr>
            <w:tcW w:w="184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809"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r>
      <w:tr>
        <w:trPr>
          <w:trHeight w:val="170"/>
        </w:trPr>
        <w:tc>
          <w:tcPr>
            <w:gridSpan w:val="2"/>
            <w:tcBorders>
              <w:right w:val="single" w:color="000000" w:sz="4" w:space="0"/>
            </w:tcBorders>
            <w:tcW w:w="3216"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四、国际化标准适配及资源建设二期</w:t>
            </w:r>
            <w:r/>
          </w:p>
        </w:tc>
        <w:tc>
          <w:tcPr>
            <w:tcBorders>
              <w:left w:val="single" w:color="000000" w:sz="4" w:space="0"/>
              <w:right w:val="single" w:color="000000" w:sz="4" w:space="0"/>
            </w:tcBorders>
            <w:tcW w:w="722"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c>
          <w:tcPr>
            <w:tcBorders>
              <w:left w:val="single" w:color="000000" w:sz="4" w:space="0"/>
            </w:tcBorders>
            <w:tcW w:w="70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993"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r>
            <w:r/>
          </w:p>
        </w:tc>
        <w:tc>
          <w:tcPr>
            <w:tcW w:w="1842"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c>
          <w:tcPr>
            <w:tcW w:w="1809" w:type="dxa"/>
            <w:vAlign w:val="top"/>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81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Borders>
              <w:right w:val="single" w:color="000000" w:sz="4" w:space="0"/>
            </w:tcBorders>
            <w:tcW w:w="240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国际化双语教材建设境外适配支持服务</w:t>
            </w:r>
            <w:r/>
          </w:p>
        </w:tc>
        <w:tc>
          <w:tcPr>
            <w:tcBorders>
              <w:left w:val="single" w:color="000000" w:sz="4" w:space="0"/>
              <w:right w:val="single" w:color="000000" w:sz="4" w:space="0"/>
            </w:tcBorders>
            <w:tcW w:w="72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5</w:t>
            </w:r>
            <w:r/>
          </w:p>
        </w:tc>
        <w:tc>
          <w:tcPr>
            <w:tcBorders>
              <w:left w:val="single" w:color="000000" w:sz="4" w:space="0"/>
            </w:tcBorders>
            <w:tcW w:w="70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项</w:t>
            </w:r>
            <w:r/>
          </w:p>
        </w:tc>
        <w:tc>
          <w:tcPr>
            <w:tcW w:w="993"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2</w:t>
            </w:r>
            <w:r>
              <w:rPr>
                <w:rFonts w:ascii="宋体" w:hAnsi="宋体"/>
                <w:b/>
                <w:sz w:val="24"/>
              </w:rPr>
              <w:t xml:space="preserve">00000</w:t>
            </w:r>
            <w:r>
              <w:rPr>
                <w:rFonts w:hint="eastAsia" w:ascii="宋体" w:hAnsi="宋体"/>
                <w:b/>
                <w:sz w:val="24"/>
              </w:rPr>
            </w:r>
            <w:r/>
          </w:p>
        </w:tc>
        <w:tc>
          <w:tcPr>
            <w:tcW w:w="184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809"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r>
      <w:tr>
        <w:trPr>
          <w:trHeight w:val="170"/>
        </w:trPr>
        <w:tc>
          <w:tcPr>
            <w:tcW w:w="81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240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国际化课程教学视频建设境外适配支持服务</w:t>
            </w:r>
            <w:r/>
          </w:p>
        </w:tc>
        <w:tc>
          <w:tcPr>
            <w:tcBorders>
              <w:right w:val="single" w:color="000000" w:sz="4" w:space="0"/>
            </w:tcBorders>
            <w:tcW w:w="72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ascii="宋体" w:hAnsi="宋体"/>
                <w:sz w:val="24"/>
              </w:rPr>
              <w:t xml:space="preserve">10</w:t>
            </w:r>
            <w:r>
              <w:rPr>
                <w:rFonts w:hint="eastAsia" w:ascii="宋体" w:hAnsi="宋体"/>
                <w:sz w:val="24"/>
              </w:rPr>
            </w:r>
            <w:r/>
          </w:p>
        </w:tc>
        <w:tc>
          <w:tcPr>
            <w:tcBorders>
              <w:left w:val="single" w:color="000000" w:sz="4" w:space="0"/>
            </w:tcBorders>
            <w:tcW w:w="70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项</w:t>
            </w:r>
            <w:r/>
          </w:p>
        </w:tc>
        <w:tc>
          <w:tcPr>
            <w:tcW w:w="993"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2</w:t>
            </w:r>
            <w:r>
              <w:rPr>
                <w:rFonts w:ascii="宋体" w:hAnsi="宋体"/>
                <w:b/>
                <w:sz w:val="24"/>
              </w:rPr>
              <w:t xml:space="preserve">0000</w:t>
            </w:r>
            <w:r>
              <w:rPr>
                <w:rFonts w:hint="eastAsia" w:ascii="宋体" w:hAnsi="宋体"/>
                <w:b/>
                <w:sz w:val="24"/>
              </w:rPr>
            </w:r>
            <w:r/>
          </w:p>
        </w:tc>
        <w:tc>
          <w:tcPr>
            <w:tcW w:w="184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809"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r>
      <w:tr>
        <w:trPr>
          <w:trHeight w:val="170"/>
        </w:trPr>
        <w:tc>
          <w:tcPr>
            <w:gridSpan w:val="2"/>
            <w:tcBorders>
              <w:right w:val="single" w:color="000000" w:sz="4" w:space="0"/>
            </w:tcBorders>
            <w:tcW w:w="3216"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五、国际技能人才培养中心建设及培训运营</w:t>
            </w:r>
            <w:r/>
          </w:p>
        </w:tc>
        <w:tc>
          <w:tcPr>
            <w:tcBorders>
              <w:left w:val="single" w:color="000000" w:sz="4" w:space="0"/>
              <w:right w:val="single" w:color="000000" w:sz="4" w:space="0"/>
            </w:tcBorders>
            <w:tcW w:w="722"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c>
          <w:tcPr>
            <w:tcBorders>
              <w:left w:val="single" w:color="000000" w:sz="4" w:space="0"/>
            </w:tcBorders>
            <w:tcW w:w="70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993"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r>
            <w:r/>
          </w:p>
        </w:tc>
        <w:tc>
          <w:tcPr>
            <w:tcW w:w="1842"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c>
          <w:tcPr>
            <w:tcW w:w="1809" w:type="dxa"/>
            <w:vAlign w:val="top"/>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81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W w:w="240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企业短期培训需求调研及课程包境外适配服务</w:t>
            </w:r>
            <w:r/>
          </w:p>
        </w:tc>
        <w:tc>
          <w:tcPr>
            <w:tcBorders>
              <w:right w:val="single" w:color="000000" w:sz="4" w:space="0"/>
            </w:tcBorders>
            <w:tcW w:w="72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r>
            <w:r/>
          </w:p>
        </w:tc>
        <w:tc>
          <w:tcPr>
            <w:tcBorders>
              <w:left w:val="single" w:color="000000" w:sz="4" w:space="0"/>
            </w:tcBorders>
            <w:tcW w:w="708" w:type="dxa"/>
            <w:vAlign w:val="center"/>
            <w:textDirection w:val="lrTb"/>
            <w:noWrap w:val="false"/>
          </w:tcPr>
          <w:p>
            <w:pPr>
              <w:pStyle w:val="859"/>
              <w:jc w:val="center"/>
            </w:pPr>
            <w:r>
              <w:rPr>
                <w:rFonts w:hint="eastAsia" w:ascii="宋体" w:hAnsi="宋体"/>
                <w:sz w:val="24"/>
              </w:rPr>
              <w:t xml:space="preserve">项</w:t>
            </w:r>
            <w:r/>
          </w:p>
        </w:tc>
        <w:tc>
          <w:tcPr>
            <w:tcW w:w="993"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60</w:t>
            </w:r>
            <w:r>
              <w:rPr>
                <w:rFonts w:ascii="宋体" w:hAnsi="宋体"/>
                <w:b/>
                <w:sz w:val="24"/>
              </w:rPr>
              <w:t xml:space="preserve">000</w:t>
            </w:r>
            <w:r>
              <w:rPr>
                <w:rFonts w:hint="eastAsia" w:ascii="宋体" w:hAnsi="宋体"/>
                <w:b/>
                <w:sz w:val="24"/>
              </w:rPr>
            </w:r>
            <w:r/>
          </w:p>
        </w:tc>
        <w:tc>
          <w:tcPr>
            <w:tcW w:w="184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809"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r>
      <w:tr>
        <w:trPr>
          <w:trHeight w:val="170"/>
        </w:trPr>
        <w:tc>
          <w:tcPr>
            <w:tcW w:w="81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240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本土员工技能培训组织管理支持</w:t>
            </w:r>
            <w:r/>
          </w:p>
        </w:tc>
        <w:tc>
          <w:tcPr>
            <w:tcW w:w="722" w:type="dxa"/>
            <w:vAlign w:val="center"/>
            <w:textDirection w:val="lrTb"/>
            <w:noWrap w:val="false"/>
          </w:tcPr>
          <w:p>
            <w:pPr>
              <w:pStyle w:val="859"/>
              <w:jc w:val="center"/>
            </w:pPr>
            <w:r>
              <w:rPr>
                <w:rFonts w:hint="eastAsia" w:ascii="宋体" w:hAnsi="宋体"/>
                <w:sz w:val="24"/>
              </w:rPr>
              <w:t xml:space="preserve">1</w:t>
            </w:r>
            <w:r/>
          </w:p>
        </w:tc>
        <w:tc>
          <w:tcPr>
            <w:tcW w:w="708" w:type="dxa"/>
            <w:vAlign w:val="center"/>
            <w:textDirection w:val="lrTb"/>
            <w:noWrap w:val="false"/>
          </w:tcPr>
          <w:p>
            <w:pPr>
              <w:pStyle w:val="859"/>
              <w:jc w:val="center"/>
            </w:pPr>
            <w:r>
              <w:rPr>
                <w:rFonts w:hint="eastAsia" w:ascii="宋体" w:hAnsi="宋体"/>
                <w:sz w:val="24"/>
              </w:rPr>
              <w:t xml:space="preserve">项</w:t>
            </w:r>
            <w:r/>
          </w:p>
        </w:tc>
        <w:tc>
          <w:tcPr>
            <w:tcW w:w="993"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1</w:t>
            </w:r>
            <w:r>
              <w:rPr>
                <w:rFonts w:ascii="宋体" w:hAnsi="宋体"/>
                <w:b/>
                <w:sz w:val="24"/>
              </w:rPr>
              <w:t xml:space="preserve">50000</w:t>
            </w:r>
            <w:r>
              <w:rPr>
                <w:rFonts w:hint="eastAsia" w:ascii="宋体" w:hAnsi="宋体"/>
                <w:b/>
                <w:sz w:val="24"/>
              </w:rPr>
            </w:r>
            <w:r/>
          </w:p>
        </w:tc>
        <w:tc>
          <w:tcPr>
            <w:tcW w:w="184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809"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r>
      <w:tr>
        <w:trPr>
          <w:trHeight w:val="170"/>
        </w:trPr>
        <w:tc>
          <w:tcPr>
            <w:tcW w:w="81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3</w:t>
            </w:r>
            <w:r/>
          </w:p>
        </w:tc>
        <w:tc>
          <w:tcPr>
            <w:tcW w:w="240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技能人才培养中心申报与认定服务</w:t>
            </w:r>
            <w:r/>
          </w:p>
        </w:tc>
        <w:tc>
          <w:tcPr>
            <w:tcW w:w="722" w:type="dxa"/>
            <w:vAlign w:val="center"/>
            <w:textDirection w:val="lrTb"/>
            <w:noWrap w:val="false"/>
          </w:tcPr>
          <w:p>
            <w:pPr>
              <w:pStyle w:val="859"/>
              <w:jc w:val="center"/>
            </w:pPr>
            <w:r>
              <w:rPr>
                <w:rFonts w:hint="eastAsia" w:ascii="宋体" w:hAnsi="宋体"/>
                <w:sz w:val="24"/>
              </w:rPr>
              <w:t xml:space="preserve">1</w:t>
            </w:r>
            <w:r/>
          </w:p>
        </w:tc>
        <w:tc>
          <w:tcPr>
            <w:tcW w:w="708" w:type="dxa"/>
            <w:vAlign w:val="center"/>
            <w:textDirection w:val="lrTb"/>
            <w:noWrap w:val="false"/>
          </w:tcPr>
          <w:p>
            <w:pPr>
              <w:pStyle w:val="859"/>
              <w:jc w:val="center"/>
            </w:pPr>
            <w:r>
              <w:rPr>
                <w:rFonts w:hint="eastAsia" w:ascii="宋体" w:hAnsi="宋体"/>
                <w:sz w:val="24"/>
              </w:rPr>
              <w:t xml:space="preserve">项</w:t>
            </w:r>
            <w:r/>
          </w:p>
        </w:tc>
        <w:tc>
          <w:tcPr>
            <w:tcW w:w="993"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1</w:t>
            </w:r>
            <w:r>
              <w:rPr>
                <w:rFonts w:ascii="宋体" w:hAnsi="宋体"/>
                <w:b/>
                <w:sz w:val="24"/>
              </w:rPr>
              <w:t xml:space="preserve">00000</w:t>
            </w:r>
            <w:r>
              <w:rPr>
                <w:rFonts w:hint="eastAsia" w:ascii="宋体" w:hAnsi="宋体"/>
                <w:b/>
                <w:sz w:val="24"/>
              </w:rPr>
            </w:r>
            <w:r/>
          </w:p>
        </w:tc>
        <w:tc>
          <w:tcPr>
            <w:tcW w:w="184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809"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r>
      <w:tr>
        <w:trPr>
          <w:trHeight w:val="170"/>
        </w:trPr>
        <w:tc>
          <w:tcPr>
            <w:gridSpan w:val="2"/>
            <w:tcBorders>
              <w:right w:val="single" w:color="000000" w:sz="4" w:space="0"/>
            </w:tcBorders>
            <w:tcW w:w="3216"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t xml:space="preserve">六、项目评估与品牌宣传</w:t>
            </w:r>
            <w:r/>
          </w:p>
        </w:tc>
        <w:tc>
          <w:tcPr>
            <w:tcBorders>
              <w:left w:val="single" w:color="000000" w:sz="4" w:space="0"/>
              <w:right w:val="single" w:color="000000" w:sz="4" w:space="0"/>
            </w:tcBorders>
            <w:tcW w:w="722"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c>
          <w:tcPr>
            <w:tcBorders>
              <w:left w:val="single" w:color="000000" w:sz="4" w:space="0"/>
            </w:tcBorders>
            <w:tcW w:w="708"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993"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r>
            <w:r/>
          </w:p>
        </w:tc>
        <w:tc>
          <w:tcPr>
            <w:tcW w:w="1842" w:type="dxa"/>
            <w:vAlign w:val="center"/>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c>
          <w:tcPr>
            <w:tcW w:w="1809" w:type="dxa"/>
            <w:vAlign w:val="top"/>
            <w:textDirection w:val="lrTb"/>
            <w:noWrap w:val="false"/>
          </w:tcPr>
          <w:p>
            <w:pPr>
              <w:pStyle w:val="859"/>
              <w:contextualSpacing/>
              <w:spacing w:line="360" w:lineRule="exact"/>
              <w:tabs>
                <w:tab w:val="left" w:pos="567" w:leader="none"/>
              </w:tabs>
              <w:rPr>
                <w:rFonts w:hint="eastAsia" w:ascii="宋体" w:hAnsi="宋体"/>
                <w:b/>
                <w:sz w:val="24"/>
              </w:rPr>
            </w:pPr>
            <w:r>
              <w:rPr>
                <w:rFonts w:hint="eastAsia" w:ascii="宋体" w:hAnsi="宋体"/>
                <w:b/>
                <w:sz w:val="24"/>
              </w:rPr>
            </w:r>
            <w:r/>
          </w:p>
        </w:tc>
      </w:tr>
      <w:tr>
        <w:trPr>
          <w:trHeight w:val="170"/>
        </w:trPr>
        <w:tc>
          <w:tcPr>
            <w:tcW w:w="81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1</w:t>
            </w:r>
            <w:r/>
          </w:p>
        </w:tc>
        <w:tc>
          <w:tcPr>
            <w:tcW w:w="240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项目境外办学质量评估及评估报告服务</w:t>
            </w:r>
            <w:r/>
          </w:p>
        </w:tc>
        <w:tc>
          <w:tcPr>
            <w:tcBorders>
              <w:right w:val="single" w:color="000000" w:sz="4" w:space="0"/>
            </w:tcBorders>
            <w:tcW w:w="722" w:type="dxa"/>
            <w:vAlign w:val="center"/>
            <w:textDirection w:val="lrTb"/>
            <w:noWrap w:val="false"/>
          </w:tcPr>
          <w:p>
            <w:pPr>
              <w:pStyle w:val="859"/>
              <w:jc w:val="center"/>
            </w:pPr>
            <w:r>
              <w:rPr>
                <w:rFonts w:hint="eastAsia" w:ascii="宋体" w:hAnsi="宋体"/>
                <w:sz w:val="24"/>
              </w:rPr>
              <w:t xml:space="preserve">1</w:t>
            </w:r>
            <w:r/>
          </w:p>
        </w:tc>
        <w:tc>
          <w:tcPr>
            <w:tcBorders>
              <w:left w:val="single" w:color="000000" w:sz="4" w:space="0"/>
            </w:tcBorders>
            <w:tcW w:w="708" w:type="dxa"/>
            <w:vAlign w:val="center"/>
            <w:textDirection w:val="lrTb"/>
            <w:noWrap w:val="false"/>
          </w:tcPr>
          <w:p>
            <w:pPr>
              <w:pStyle w:val="859"/>
              <w:jc w:val="center"/>
            </w:pPr>
            <w:r>
              <w:rPr>
                <w:rFonts w:hint="eastAsia" w:ascii="宋体" w:hAnsi="宋体"/>
                <w:sz w:val="24"/>
              </w:rPr>
              <w:t xml:space="preserve">项</w:t>
            </w:r>
            <w:r/>
          </w:p>
        </w:tc>
        <w:tc>
          <w:tcPr>
            <w:tcW w:w="993"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5</w:t>
            </w:r>
            <w:r>
              <w:rPr>
                <w:rFonts w:ascii="宋体" w:hAnsi="宋体"/>
                <w:b/>
                <w:sz w:val="24"/>
              </w:rPr>
              <w:t xml:space="preserve">0000</w:t>
            </w:r>
            <w:r>
              <w:rPr>
                <w:rFonts w:hint="eastAsia" w:ascii="宋体" w:hAnsi="宋体"/>
                <w:b/>
                <w:sz w:val="24"/>
              </w:rPr>
            </w:r>
            <w:r/>
          </w:p>
        </w:tc>
        <w:tc>
          <w:tcPr>
            <w:tcW w:w="184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809"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r>
      <w:tr>
        <w:trPr>
          <w:trHeight w:val="170"/>
        </w:trPr>
        <w:tc>
          <w:tcPr>
            <w:tcW w:w="81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2</w:t>
            </w:r>
            <w:r/>
          </w:p>
        </w:tc>
        <w:tc>
          <w:tcPr>
            <w:tcW w:w="240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境外办学品牌项目认定服务</w:t>
            </w:r>
            <w:r/>
          </w:p>
        </w:tc>
        <w:tc>
          <w:tcPr>
            <w:tcW w:w="722" w:type="dxa"/>
            <w:vAlign w:val="center"/>
            <w:textDirection w:val="lrTb"/>
            <w:noWrap w:val="false"/>
          </w:tcPr>
          <w:p>
            <w:pPr>
              <w:pStyle w:val="859"/>
              <w:jc w:val="center"/>
            </w:pPr>
            <w:r>
              <w:rPr>
                <w:rFonts w:hint="eastAsia" w:ascii="宋体" w:hAnsi="宋体"/>
                <w:sz w:val="24"/>
              </w:rPr>
              <w:t xml:space="preserve">1</w:t>
            </w:r>
            <w:r/>
          </w:p>
        </w:tc>
        <w:tc>
          <w:tcPr>
            <w:tcW w:w="708" w:type="dxa"/>
            <w:vAlign w:val="center"/>
            <w:textDirection w:val="lrTb"/>
            <w:noWrap w:val="false"/>
          </w:tcPr>
          <w:p>
            <w:pPr>
              <w:pStyle w:val="859"/>
              <w:jc w:val="center"/>
            </w:pPr>
            <w:r>
              <w:rPr>
                <w:rFonts w:hint="eastAsia" w:ascii="宋体" w:hAnsi="宋体"/>
                <w:sz w:val="24"/>
              </w:rPr>
              <w:t xml:space="preserve">项</w:t>
            </w:r>
            <w:r/>
          </w:p>
        </w:tc>
        <w:tc>
          <w:tcPr>
            <w:tcW w:w="993"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1</w:t>
            </w:r>
            <w:r>
              <w:rPr>
                <w:rFonts w:ascii="宋体" w:hAnsi="宋体"/>
                <w:b/>
                <w:sz w:val="24"/>
              </w:rPr>
              <w:t xml:space="preserve">00000</w:t>
            </w:r>
            <w:r>
              <w:rPr>
                <w:rFonts w:hint="eastAsia" w:ascii="宋体" w:hAnsi="宋体"/>
                <w:b/>
                <w:sz w:val="24"/>
              </w:rPr>
            </w:r>
            <w:r/>
          </w:p>
        </w:tc>
        <w:tc>
          <w:tcPr>
            <w:tcW w:w="184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809"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r>
      <w:tr>
        <w:trPr>
          <w:trHeight w:val="170"/>
        </w:trPr>
        <w:tc>
          <w:tcPr>
            <w:tcW w:w="81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3</w:t>
            </w:r>
            <w:r/>
          </w:p>
        </w:tc>
        <w:tc>
          <w:tcPr>
            <w:tcW w:w="2405"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t xml:space="preserve">项目成果境外宣传物料设计与制作服务</w:t>
            </w:r>
            <w:r/>
          </w:p>
        </w:tc>
        <w:tc>
          <w:tcPr>
            <w:tcW w:w="722" w:type="dxa"/>
            <w:vAlign w:val="center"/>
            <w:textDirection w:val="lrTb"/>
            <w:noWrap w:val="false"/>
          </w:tcPr>
          <w:p>
            <w:pPr>
              <w:pStyle w:val="859"/>
              <w:jc w:val="center"/>
            </w:pPr>
            <w:r>
              <w:rPr>
                <w:rFonts w:hint="eastAsia" w:ascii="宋体" w:hAnsi="宋体"/>
                <w:sz w:val="24"/>
              </w:rPr>
              <w:t xml:space="preserve">1</w:t>
            </w:r>
            <w:r/>
          </w:p>
        </w:tc>
        <w:tc>
          <w:tcPr>
            <w:tcW w:w="708" w:type="dxa"/>
            <w:vAlign w:val="center"/>
            <w:textDirection w:val="lrTb"/>
            <w:noWrap w:val="false"/>
          </w:tcPr>
          <w:p>
            <w:pPr>
              <w:pStyle w:val="859"/>
              <w:jc w:val="center"/>
            </w:pPr>
            <w:r>
              <w:rPr>
                <w:rFonts w:hint="eastAsia" w:ascii="宋体" w:hAnsi="宋体"/>
                <w:sz w:val="24"/>
              </w:rPr>
              <w:t xml:space="preserve">项</w:t>
            </w:r>
            <w:r/>
          </w:p>
        </w:tc>
        <w:tc>
          <w:tcPr>
            <w:tcW w:w="993" w:type="dxa"/>
            <w:vAlign w:val="center"/>
            <w:textDirection w:val="lrTb"/>
            <w:noWrap w:val="false"/>
          </w:tcPr>
          <w:p>
            <w:pPr>
              <w:pStyle w:val="859"/>
              <w:contextualSpacing/>
              <w:jc w:val="center"/>
              <w:spacing w:line="360" w:lineRule="exact"/>
              <w:tabs>
                <w:tab w:val="left" w:pos="567" w:leader="none"/>
              </w:tabs>
              <w:rPr>
                <w:rFonts w:hint="eastAsia" w:ascii="宋体" w:hAnsi="宋体"/>
                <w:b/>
                <w:sz w:val="24"/>
              </w:rPr>
            </w:pPr>
            <w:r>
              <w:rPr>
                <w:rFonts w:hint="eastAsia" w:ascii="宋体" w:hAnsi="宋体"/>
                <w:b/>
                <w:sz w:val="24"/>
              </w:rPr>
              <w:t xml:space="preserve">5</w:t>
            </w:r>
            <w:r>
              <w:rPr>
                <w:rFonts w:ascii="宋体" w:hAnsi="宋体"/>
                <w:b/>
                <w:sz w:val="24"/>
              </w:rPr>
              <w:t xml:space="preserve">0000</w:t>
            </w:r>
            <w:r>
              <w:rPr>
                <w:rFonts w:hint="eastAsia" w:ascii="宋体" w:hAnsi="宋体"/>
                <w:b/>
                <w:sz w:val="24"/>
              </w:rPr>
            </w:r>
            <w:r/>
          </w:p>
        </w:tc>
        <w:tc>
          <w:tcPr>
            <w:tcW w:w="1842"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c>
          <w:tcPr>
            <w:tcW w:w="1809"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r>
      <w:tr>
        <w:trPr>
          <w:trHeight w:val="170"/>
        </w:trPr>
        <w:tc>
          <w:tcPr>
            <w:gridSpan w:val="6"/>
            <w:tcW w:w="7481" w:type="dxa"/>
            <w:vAlign w:val="center"/>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b/>
                <w:sz w:val="24"/>
              </w:rPr>
              <w:t xml:space="preserve">合计（元）</w:t>
            </w:r>
            <w:r>
              <w:rPr>
                <w:rFonts w:hint="eastAsia" w:ascii="宋体" w:hAnsi="宋体"/>
                <w:sz w:val="24"/>
              </w:rPr>
            </w:r>
            <w:r/>
          </w:p>
        </w:tc>
        <w:tc>
          <w:tcPr>
            <w:tcW w:w="1809" w:type="dxa"/>
            <w:vAlign w:val="top"/>
            <w:textDirection w:val="lrTb"/>
            <w:noWrap w:val="false"/>
          </w:tcPr>
          <w:p>
            <w:pPr>
              <w:pStyle w:val="859"/>
              <w:contextualSpacing/>
              <w:jc w:val="center"/>
              <w:spacing w:line="360" w:lineRule="exact"/>
              <w:tabs>
                <w:tab w:val="left" w:pos="567" w:leader="none"/>
              </w:tabs>
              <w:rPr>
                <w:rFonts w:hint="eastAsia" w:ascii="宋体" w:hAnsi="宋体"/>
                <w:sz w:val="24"/>
              </w:rPr>
            </w:pPr>
            <w:r>
              <w:rPr>
                <w:rFonts w:hint="eastAsia" w:ascii="宋体" w:hAnsi="宋体"/>
                <w:sz w:val="24"/>
              </w:rPr>
            </w:r>
            <w:r/>
          </w:p>
        </w:tc>
      </w:tr>
    </w:tbl>
    <w:p>
      <w:pPr>
        <w:pStyle w:val="859"/>
        <w:tabs>
          <w:tab w:val="left" w:pos="1800" w:leader="none"/>
          <w:tab w:val="left" w:pos="5580" w:leader="none"/>
        </w:tabs>
        <w:rPr>
          <w:rFonts w:ascii="宋体" w:hAnsi="宋体"/>
          <w:sz w:val="24"/>
        </w:rPr>
      </w:pPr>
      <w:r>
        <w:rPr>
          <w:rFonts w:ascii="宋体" w:hAnsi="宋体"/>
          <w:sz w:val="24"/>
        </w:rPr>
      </w:r>
      <w:r/>
    </w:p>
    <w:p>
      <w:pPr>
        <w:pStyle w:val="859"/>
        <w:jc w:val="left"/>
        <w:tabs>
          <w:tab w:val="left" w:pos="1800" w:leader="none"/>
          <w:tab w:val="left" w:pos="5580" w:leader="none"/>
        </w:tabs>
        <w:rPr>
          <w:rFonts w:hint="eastAsia" w:ascii="宋体" w:hAnsi="宋体"/>
          <w:sz w:val="24"/>
        </w:rPr>
      </w:pPr>
      <w:r/>
      <w:bookmarkStart w:id="881" w:name="_Toc226965752"/>
      <w:r/>
      <w:bookmarkStart w:id="882" w:name="_Toc127151562"/>
      <w:r/>
      <w:bookmarkStart w:id="883" w:name="_Toc226309806"/>
      <w:r/>
      <w:bookmarkStart w:id="884" w:name="_Toc305158904"/>
      <w:r/>
      <w:bookmarkStart w:id="885" w:name="_Toc150480798"/>
      <w:r/>
      <w:bookmarkStart w:id="886" w:name="_Toc305158830"/>
      <w:r/>
      <w:bookmarkStart w:id="887" w:name="_Toc142311062"/>
      <w:r/>
      <w:bookmarkStart w:id="888" w:name="_Toc265228400"/>
      <w:r/>
      <w:bookmarkStart w:id="889" w:name="_Toc264969252"/>
      <w:r/>
      <w:bookmarkStart w:id="890" w:name="_Toc226965835"/>
      <w:r/>
      <w:bookmarkStart w:id="891" w:name="_Toc226337258"/>
      <w:r/>
      <w:bookmarkStart w:id="892" w:name="_Toc150774765"/>
      <w:r/>
      <w:bookmarkStart w:id="893" w:name="_Toc195842927"/>
      <w:r/>
      <w:bookmarkStart w:id="894" w:name="_Toc142311061"/>
      <w:r/>
      <w:bookmarkStart w:id="895" w:name="_Toc265228399"/>
      <w:r/>
      <w:bookmarkStart w:id="896" w:name="_Toc150480797"/>
      <w:r/>
      <w:bookmarkStart w:id="897" w:name="_Toc226309805"/>
      <w:r/>
      <w:bookmarkStart w:id="898" w:name="_Toc226965751"/>
      <w:r/>
      <w:bookmarkStart w:id="899" w:name="_Toc127151561"/>
      <w:r/>
      <w:bookmarkStart w:id="900" w:name="_Toc305158829"/>
      <w:r/>
      <w:bookmarkStart w:id="901" w:name="_Toc226337257"/>
      <w:r/>
      <w:bookmarkStart w:id="902" w:name="_Toc264969251"/>
      <w:r/>
      <w:bookmarkStart w:id="903" w:name="_Toc195842926"/>
      <w:r/>
      <w:bookmarkStart w:id="904" w:name="_Toc226965834"/>
      <w:r/>
      <w:bookmarkStart w:id="905" w:name="_Toc150774764"/>
      <w:r/>
      <w:bookmarkStart w:id="906" w:name="_Toc305158903"/>
      <w:r>
        <w:rPr>
          <w:rFonts w:hint="eastAsia" w:ascii="宋体" w:hAnsi="宋体"/>
          <w:sz w:val="24"/>
        </w:rPr>
      </w:r>
      <w:r/>
    </w:p>
    <w:p>
      <w:pPr>
        <w:pStyle w:val="859"/>
        <w:jc w:val="left"/>
        <w:tabs>
          <w:tab w:val="left" w:pos="1800" w:leader="none"/>
          <w:tab w:val="left" w:pos="5580" w:leader="none"/>
        </w:tabs>
        <w:rPr>
          <w:rFonts w:hint="eastAsia" w:ascii="宋体" w:hAnsi="宋体"/>
          <w:b/>
          <w:sz w:val="24"/>
        </w:rPr>
      </w:pPr>
      <w:r>
        <w:rPr>
          <w:rFonts w:ascii="宋体" w:hAnsi="宋体"/>
          <w:b/>
          <w:sz w:val="24"/>
        </w:rPr>
        <w:t xml:space="preserve">注</w:t>
      </w:r>
      <w:r>
        <w:rPr>
          <w:rFonts w:hint="eastAsia" w:ascii="宋体" w:hAnsi="宋体"/>
          <w:b/>
          <w:sz w:val="24"/>
        </w:rPr>
        <w:t xml:space="preserve">：</w:t>
      </w:r>
      <w:r/>
    </w:p>
    <w:p>
      <w:pPr>
        <w:pStyle w:val="859"/>
        <w:jc w:val="left"/>
        <w:tabs>
          <w:tab w:val="left" w:pos="1800" w:leader="none"/>
          <w:tab w:val="left" w:pos="5580" w:leader="none"/>
        </w:tabs>
        <w:rPr>
          <w:rFonts w:hint="eastAsia" w:ascii="宋体" w:hAnsi="宋体"/>
          <w:b/>
          <w:sz w:val="24"/>
        </w:rPr>
      </w:pPr>
      <w:r>
        <w:rPr>
          <w:rFonts w:hint="eastAsia" w:ascii="宋体" w:hAnsi="宋体"/>
          <w:b/>
          <w:sz w:val="24"/>
        </w:rPr>
        <w:t xml:space="preserve">1.供应商须按分项报价，不得突破一级模块和项目限价。涉及5年场地及设备使用权益的义务不因3年服务期届满而终止。</w:t>
      </w:r>
      <w:r/>
    </w:p>
    <w:p>
      <w:pPr>
        <w:pStyle w:val="859"/>
        <w:jc w:val="left"/>
        <w:tabs>
          <w:tab w:val="left" w:pos="1800" w:leader="none"/>
          <w:tab w:val="left" w:pos="5580" w:leader="none"/>
        </w:tabs>
        <w:rPr>
          <w:rFonts w:ascii="宋体" w:hAnsi="宋体"/>
          <w:b/>
          <w:sz w:val="24"/>
        </w:rPr>
      </w:pPr>
      <w:r>
        <w:rPr>
          <w:rFonts w:hint="eastAsia" w:ascii="宋体" w:hAnsi="宋体"/>
          <w:b/>
          <w:sz w:val="24"/>
        </w:rPr>
        <w:t xml:space="preserve">2.供应商应逐项列明服务数量、单价或限价、费用构成、完成时点、交付载体和验收凭证。合同约定已包含的人员、翻译、会务、交通、场地、设备、网络、第三方服务、税费等费用不得以同一事项另行追加。前期基础调研与短期培训需求调研、揭牌活动与成果宣传、教材视频建设与课程包适配、培训过程管理与中心认定等应分别核算、分别验收，不得交叉重复收费。</w:t>
      </w:r>
      <w:r>
        <w:rPr>
          <w:rFonts w:ascii="宋体" w:hAnsi="宋体"/>
          <w:b/>
          <w:sz w:val="24"/>
        </w:rPr>
      </w:r>
      <w:r/>
    </w:p>
    <w:p>
      <w:pPr>
        <w:pStyle w:val="859"/>
        <w:jc w:val="left"/>
        <w:tabs>
          <w:tab w:val="left" w:pos="1800" w:leader="none"/>
          <w:tab w:val="left" w:pos="5580" w:leader="none"/>
        </w:tabs>
        <w:rPr>
          <w:rFonts w:ascii="宋体" w:hAnsi="宋体"/>
          <w:sz w:val="24"/>
        </w:rPr>
      </w:pPr>
      <w:r>
        <w:rPr>
          <w:rFonts w:ascii="宋体" w:hAnsi="宋体"/>
          <w:sz w:val="24"/>
        </w:rPr>
      </w:r>
      <w:r/>
    </w:p>
    <w:p>
      <w:pPr>
        <w:pStyle w:val="859"/>
        <w:jc w:val="left"/>
        <w:tabs>
          <w:tab w:val="left" w:pos="1800" w:leader="none"/>
          <w:tab w:val="left" w:pos="5580" w:leader="none"/>
        </w:tabs>
        <w:rPr>
          <w:rFonts w:ascii="宋体" w:hAnsi="宋体"/>
          <w:sz w:val="24"/>
        </w:rPr>
      </w:pPr>
      <w:r>
        <w:rPr>
          <w:rFonts w:ascii="宋体" w:hAnsi="宋体"/>
          <w:sz w:val="24"/>
        </w:rPr>
      </w:r>
      <w:r/>
    </w:p>
    <w:p>
      <w:pPr>
        <w:pStyle w:val="859"/>
        <w:jc w:val="left"/>
        <w:tabs>
          <w:tab w:val="left" w:pos="1800" w:leader="none"/>
          <w:tab w:val="left" w:pos="5580" w:leader="none"/>
        </w:tabs>
        <w:rPr>
          <w:rFonts w:ascii="宋体" w:hAnsi="宋体"/>
          <w:sz w:val="24"/>
        </w:rPr>
      </w:pPr>
      <w:r>
        <w:rPr>
          <w:rFonts w:ascii="宋体" w:hAnsi="宋体"/>
          <w:sz w:val="24"/>
        </w:rPr>
      </w:r>
      <w:r/>
    </w:p>
    <w:p>
      <w:pPr>
        <w:pStyle w:val="859"/>
        <w:jc w:val="left"/>
        <w:tabs>
          <w:tab w:val="left" w:pos="1800" w:leader="none"/>
          <w:tab w:val="left" w:pos="5580" w:leader="none"/>
        </w:tabs>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9"/>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9"/>
        <w:spacing w:line="360" w:lineRule="auto"/>
        <w:rPr>
          <w:rFonts w:ascii="宋体" w:hAnsi="宋体"/>
          <w:b/>
          <w:sz w:val="24"/>
          <w:szCs w:val="20"/>
        </w:rPr>
        <w:outlineLvl w:val="2"/>
      </w:pPr>
      <w:r>
        <w:rPr>
          <w:rFonts w:ascii="宋体" w:hAnsi="宋体"/>
          <w:sz w:val="24"/>
          <w:szCs w:val="20"/>
        </w:rPr>
        <w:br w:type="page" w:clear="all"/>
      </w:r>
      <w:r>
        <w:rPr>
          <w:rFonts w:ascii="宋体" w:hAnsi="宋体"/>
          <w:b/>
          <w:sz w:val="24"/>
        </w:rPr>
        <w:t xml:space="preserve">8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sz w:val="24"/>
        </w:rPr>
        <w:t xml:space="preserve">（实质性格式）</w:t>
      </w:r>
      <w:r>
        <w:rPr>
          <w:rFonts w:ascii="宋体" w:hAnsi="宋体"/>
          <w:b/>
          <w:sz w:val="24"/>
          <w:szCs w:val="20"/>
        </w:rPr>
      </w:r>
      <w:r/>
    </w:p>
    <w:p>
      <w:pPr>
        <w:pStyle w:val="859"/>
        <w:spacing w:line="360" w:lineRule="auto"/>
        <w:rPr>
          <w:rFonts w:ascii="宋体" w:hAnsi="宋体"/>
          <w:sz w:val="24"/>
          <w:szCs w:val="20"/>
        </w:rPr>
      </w:pPr>
      <w:r>
        <w:rPr>
          <w:rFonts w:ascii="宋体" w:hAnsi="宋体"/>
          <w:sz w:val="24"/>
          <w:szCs w:val="20"/>
        </w:rPr>
      </w:r>
      <w:r/>
    </w:p>
    <w:p>
      <w:pPr>
        <w:pStyle w:val="859"/>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859"/>
        <w:spacing w:line="360" w:lineRule="auto"/>
        <w:rPr>
          <w:rFonts w:ascii="宋体" w:hAnsi="宋体"/>
          <w:sz w:val="24"/>
          <w:szCs w:val="20"/>
        </w:rPr>
      </w:pPr>
      <w:r>
        <w:rPr>
          <w:rFonts w:ascii="宋体" w:hAnsi="宋体"/>
          <w:sz w:val="24"/>
          <w:szCs w:val="20"/>
        </w:rPr>
      </w:r>
      <w:r/>
    </w:p>
    <w:p>
      <w:pPr>
        <w:pStyle w:val="859"/>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859"/>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859"/>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59"/>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859"/>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859"/>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859"/>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859"/>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859"/>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859"/>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859"/>
              <w:jc w:val="center"/>
              <w:rPr>
                <w:rFonts w:ascii="宋体" w:hAnsi="宋体"/>
                <w:sz w:val="24"/>
              </w:rPr>
            </w:pPr>
            <w:r>
              <w:rPr>
                <w:rFonts w:ascii="宋体" w:hAnsi="宋体"/>
                <w:sz w:val="24"/>
              </w:rPr>
            </w:r>
            <w:r/>
          </w:p>
        </w:tc>
        <w:tc>
          <w:tcPr>
            <w:tcW w:w="1301" w:type="dxa"/>
            <w:vAlign w:val="center"/>
            <w:textDirection w:val="lrTb"/>
            <w:noWrap w:val="false"/>
          </w:tcPr>
          <w:p>
            <w:pPr>
              <w:pStyle w:val="859"/>
              <w:jc w:val="center"/>
              <w:rPr>
                <w:rFonts w:ascii="宋体" w:hAnsi="宋体"/>
                <w:sz w:val="24"/>
              </w:rPr>
            </w:pPr>
            <w:r>
              <w:rPr>
                <w:rFonts w:ascii="宋体" w:hAnsi="宋体"/>
                <w:sz w:val="24"/>
              </w:rPr>
            </w:r>
            <w:r/>
          </w:p>
        </w:tc>
        <w:tc>
          <w:tcPr>
            <w:tcW w:w="2007" w:type="dxa"/>
            <w:vAlign w:val="center"/>
            <w:textDirection w:val="lrTb"/>
            <w:noWrap w:val="false"/>
          </w:tcPr>
          <w:p>
            <w:pPr>
              <w:pStyle w:val="859"/>
              <w:jc w:val="center"/>
              <w:rPr>
                <w:rFonts w:ascii="宋体" w:hAnsi="宋体"/>
                <w:sz w:val="24"/>
              </w:rPr>
            </w:pPr>
            <w:r>
              <w:rPr>
                <w:rFonts w:ascii="宋体" w:hAnsi="宋体"/>
                <w:sz w:val="24"/>
              </w:rPr>
            </w:r>
            <w:r/>
          </w:p>
        </w:tc>
        <w:tc>
          <w:tcPr>
            <w:tcW w:w="2008" w:type="dxa"/>
            <w:vAlign w:val="center"/>
            <w:textDirection w:val="lrTb"/>
            <w:noWrap w:val="false"/>
          </w:tcPr>
          <w:p>
            <w:pPr>
              <w:pStyle w:val="859"/>
              <w:jc w:val="center"/>
              <w:rPr>
                <w:rFonts w:ascii="宋体" w:hAnsi="宋体"/>
                <w:sz w:val="24"/>
              </w:rPr>
            </w:pPr>
            <w:r>
              <w:rPr>
                <w:rFonts w:ascii="宋体" w:hAnsi="宋体"/>
                <w:sz w:val="24"/>
              </w:rPr>
            </w:r>
            <w:r/>
          </w:p>
        </w:tc>
        <w:tc>
          <w:tcPr>
            <w:tcW w:w="2458" w:type="dxa"/>
            <w:vAlign w:val="center"/>
            <w:textDirection w:val="lrTb"/>
            <w:noWrap w:val="false"/>
          </w:tcPr>
          <w:p>
            <w:pPr>
              <w:pStyle w:val="859"/>
              <w:jc w:val="center"/>
              <w:rPr>
                <w:rFonts w:ascii="宋体" w:hAnsi="宋体"/>
                <w:sz w:val="24"/>
              </w:rPr>
            </w:pPr>
            <w:r>
              <w:rPr>
                <w:rFonts w:ascii="宋体" w:hAnsi="宋体"/>
                <w:sz w:val="24"/>
              </w:rPr>
            </w:r>
            <w:r/>
          </w:p>
        </w:tc>
        <w:tc>
          <w:tcPr>
            <w:tcW w:w="788" w:type="dxa"/>
            <w:vAlign w:val="center"/>
            <w:textDirection w:val="lrTb"/>
            <w:noWrap w:val="false"/>
          </w:tcPr>
          <w:p>
            <w:pPr>
              <w:pStyle w:val="859"/>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9"/>
              <w:jc w:val="center"/>
              <w:rPr>
                <w:rFonts w:ascii="宋体" w:hAnsi="宋体"/>
                <w:sz w:val="24"/>
              </w:rPr>
            </w:pPr>
            <w:r>
              <w:rPr>
                <w:rFonts w:ascii="宋体" w:hAnsi="宋体"/>
                <w:sz w:val="24"/>
              </w:rPr>
            </w:r>
            <w:r/>
          </w:p>
        </w:tc>
        <w:tc>
          <w:tcPr>
            <w:tcW w:w="1301" w:type="dxa"/>
            <w:vAlign w:val="center"/>
            <w:textDirection w:val="lrTb"/>
            <w:noWrap w:val="false"/>
          </w:tcPr>
          <w:p>
            <w:pPr>
              <w:pStyle w:val="859"/>
              <w:jc w:val="center"/>
              <w:rPr>
                <w:rFonts w:ascii="宋体" w:hAnsi="宋体"/>
                <w:sz w:val="24"/>
              </w:rPr>
            </w:pPr>
            <w:r>
              <w:rPr>
                <w:rFonts w:ascii="宋体" w:hAnsi="宋体"/>
                <w:sz w:val="24"/>
              </w:rPr>
            </w:r>
            <w:r/>
          </w:p>
        </w:tc>
        <w:tc>
          <w:tcPr>
            <w:tcW w:w="2007" w:type="dxa"/>
            <w:vAlign w:val="center"/>
            <w:textDirection w:val="lrTb"/>
            <w:noWrap w:val="false"/>
          </w:tcPr>
          <w:p>
            <w:pPr>
              <w:pStyle w:val="859"/>
              <w:jc w:val="center"/>
              <w:rPr>
                <w:rFonts w:ascii="宋体" w:hAnsi="宋体"/>
                <w:sz w:val="24"/>
              </w:rPr>
            </w:pPr>
            <w:r>
              <w:rPr>
                <w:rFonts w:ascii="宋体" w:hAnsi="宋体"/>
                <w:sz w:val="24"/>
              </w:rPr>
            </w:r>
            <w:r/>
          </w:p>
        </w:tc>
        <w:tc>
          <w:tcPr>
            <w:tcW w:w="2008" w:type="dxa"/>
            <w:vAlign w:val="center"/>
            <w:textDirection w:val="lrTb"/>
            <w:noWrap w:val="false"/>
          </w:tcPr>
          <w:p>
            <w:pPr>
              <w:pStyle w:val="859"/>
              <w:jc w:val="center"/>
              <w:rPr>
                <w:rFonts w:ascii="宋体" w:hAnsi="宋体"/>
                <w:sz w:val="24"/>
              </w:rPr>
            </w:pPr>
            <w:r>
              <w:rPr>
                <w:rFonts w:ascii="宋体" w:hAnsi="宋体"/>
                <w:sz w:val="24"/>
              </w:rPr>
            </w:r>
            <w:r/>
          </w:p>
        </w:tc>
        <w:tc>
          <w:tcPr>
            <w:tcW w:w="2458" w:type="dxa"/>
            <w:vAlign w:val="center"/>
            <w:textDirection w:val="lrTb"/>
            <w:noWrap w:val="false"/>
          </w:tcPr>
          <w:p>
            <w:pPr>
              <w:pStyle w:val="859"/>
              <w:jc w:val="center"/>
              <w:rPr>
                <w:rFonts w:ascii="宋体" w:hAnsi="宋体"/>
                <w:sz w:val="24"/>
              </w:rPr>
            </w:pPr>
            <w:r>
              <w:rPr>
                <w:rFonts w:ascii="宋体" w:hAnsi="宋体"/>
                <w:sz w:val="24"/>
              </w:rPr>
            </w:r>
            <w:r/>
          </w:p>
        </w:tc>
        <w:tc>
          <w:tcPr>
            <w:tcW w:w="788" w:type="dxa"/>
            <w:vAlign w:val="center"/>
            <w:textDirection w:val="lrTb"/>
            <w:noWrap w:val="false"/>
          </w:tcPr>
          <w:p>
            <w:pPr>
              <w:pStyle w:val="859"/>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9"/>
              <w:jc w:val="center"/>
              <w:rPr>
                <w:rFonts w:ascii="宋体" w:hAnsi="宋体"/>
                <w:sz w:val="24"/>
              </w:rPr>
            </w:pPr>
            <w:r>
              <w:rPr>
                <w:rFonts w:ascii="宋体" w:hAnsi="宋体"/>
                <w:sz w:val="24"/>
              </w:rPr>
            </w:r>
            <w:r/>
          </w:p>
        </w:tc>
        <w:tc>
          <w:tcPr>
            <w:tcW w:w="1301" w:type="dxa"/>
            <w:vAlign w:val="center"/>
            <w:textDirection w:val="lrTb"/>
            <w:noWrap w:val="false"/>
          </w:tcPr>
          <w:p>
            <w:pPr>
              <w:pStyle w:val="859"/>
              <w:jc w:val="center"/>
              <w:rPr>
                <w:rFonts w:ascii="宋体" w:hAnsi="宋体"/>
                <w:sz w:val="24"/>
              </w:rPr>
            </w:pPr>
            <w:r>
              <w:rPr>
                <w:rFonts w:ascii="宋体" w:hAnsi="宋体"/>
                <w:sz w:val="24"/>
              </w:rPr>
            </w:r>
            <w:r/>
          </w:p>
        </w:tc>
        <w:tc>
          <w:tcPr>
            <w:tcW w:w="2007" w:type="dxa"/>
            <w:vAlign w:val="center"/>
            <w:textDirection w:val="lrTb"/>
            <w:noWrap w:val="false"/>
          </w:tcPr>
          <w:p>
            <w:pPr>
              <w:pStyle w:val="859"/>
              <w:jc w:val="center"/>
              <w:rPr>
                <w:rFonts w:ascii="宋体" w:hAnsi="宋体"/>
                <w:sz w:val="24"/>
              </w:rPr>
            </w:pPr>
            <w:r>
              <w:rPr>
                <w:rFonts w:ascii="宋体" w:hAnsi="宋体"/>
                <w:sz w:val="24"/>
              </w:rPr>
            </w:r>
            <w:r/>
          </w:p>
        </w:tc>
        <w:tc>
          <w:tcPr>
            <w:tcW w:w="2008" w:type="dxa"/>
            <w:vAlign w:val="center"/>
            <w:textDirection w:val="lrTb"/>
            <w:noWrap w:val="false"/>
          </w:tcPr>
          <w:p>
            <w:pPr>
              <w:pStyle w:val="859"/>
              <w:jc w:val="center"/>
              <w:rPr>
                <w:rFonts w:ascii="宋体" w:hAnsi="宋体"/>
                <w:sz w:val="24"/>
              </w:rPr>
            </w:pPr>
            <w:r>
              <w:rPr>
                <w:rFonts w:ascii="宋体" w:hAnsi="宋体"/>
                <w:sz w:val="24"/>
              </w:rPr>
            </w:r>
            <w:r/>
          </w:p>
        </w:tc>
        <w:tc>
          <w:tcPr>
            <w:tcW w:w="2458" w:type="dxa"/>
            <w:vAlign w:val="center"/>
            <w:textDirection w:val="lrTb"/>
            <w:noWrap w:val="false"/>
          </w:tcPr>
          <w:p>
            <w:pPr>
              <w:pStyle w:val="859"/>
              <w:jc w:val="center"/>
              <w:rPr>
                <w:rFonts w:ascii="宋体" w:hAnsi="宋体"/>
                <w:sz w:val="24"/>
              </w:rPr>
            </w:pPr>
            <w:r>
              <w:rPr>
                <w:rFonts w:ascii="宋体" w:hAnsi="宋体"/>
                <w:sz w:val="24"/>
              </w:rPr>
            </w:r>
            <w:r/>
          </w:p>
        </w:tc>
        <w:tc>
          <w:tcPr>
            <w:tcW w:w="788" w:type="dxa"/>
            <w:vAlign w:val="center"/>
            <w:textDirection w:val="lrTb"/>
            <w:noWrap w:val="false"/>
          </w:tcPr>
          <w:p>
            <w:pPr>
              <w:pStyle w:val="859"/>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9"/>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859"/>
              <w:jc w:val="center"/>
              <w:rPr>
                <w:rFonts w:ascii="宋体" w:hAnsi="宋体"/>
                <w:sz w:val="24"/>
              </w:rPr>
            </w:pPr>
            <w:r>
              <w:rPr>
                <w:rFonts w:ascii="宋体" w:hAnsi="宋体"/>
                <w:sz w:val="24"/>
              </w:rPr>
            </w:r>
            <w:r/>
          </w:p>
        </w:tc>
        <w:tc>
          <w:tcPr>
            <w:tcW w:w="2007" w:type="dxa"/>
            <w:vAlign w:val="center"/>
            <w:textDirection w:val="lrTb"/>
            <w:noWrap w:val="false"/>
          </w:tcPr>
          <w:p>
            <w:pPr>
              <w:pStyle w:val="859"/>
              <w:jc w:val="center"/>
              <w:rPr>
                <w:rFonts w:ascii="宋体" w:hAnsi="宋体"/>
                <w:sz w:val="24"/>
              </w:rPr>
            </w:pPr>
            <w:r>
              <w:rPr>
                <w:rFonts w:ascii="宋体" w:hAnsi="宋体"/>
                <w:sz w:val="24"/>
              </w:rPr>
            </w:r>
            <w:r/>
          </w:p>
        </w:tc>
        <w:tc>
          <w:tcPr>
            <w:tcW w:w="2008" w:type="dxa"/>
            <w:vAlign w:val="center"/>
            <w:textDirection w:val="lrTb"/>
            <w:noWrap w:val="false"/>
          </w:tcPr>
          <w:p>
            <w:pPr>
              <w:pStyle w:val="859"/>
              <w:jc w:val="center"/>
              <w:rPr>
                <w:rFonts w:ascii="宋体" w:hAnsi="宋体"/>
                <w:sz w:val="24"/>
              </w:rPr>
            </w:pPr>
            <w:r>
              <w:rPr>
                <w:rFonts w:ascii="宋体" w:hAnsi="宋体"/>
                <w:sz w:val="24"/>
              </w:rPr>
            </w:r>
            <w:r/>
          </w:p>
        </w:tc>
        <w:tc>
          <w:tcPr>
            <w:tcW w:w="2458" w:type="dxa"/>
            <w:vAlign w:val="center"/>
            <w:textDirection w:val="lrTb"/>
            <w:noWrap w:val="false"/>
          </w:tcPr>
          <w:p>
            <w:pPr>
              <w:pStyle w:val="859"/>
              <w:jc w:val="center"/>
              <w:rPr>
                <w:rFonts w:ascii="宋体" w:hAnsi="宋体"/>
                <w:sz w:val="24"/>
              </w:rPr>
            </w:pPr>
            <w:r>
              <w:rPr>
                <w:rFonts w:ascii="宋体" w:hAnsi="宋体"/>
                <w:sz w:val="24"/>
              </w:rPr>
            </w:r>
            <w:r/>
          </w:p>
        </w:tc>
        <w:tc>
          <w:tcPr>
            <w:tcW w:w="788" w:type="dxa"/>
            <w:vAlign w:val="center"/>
            <w:textDirection w:val="lrTb"/>
            <w:noWrap w:val="false"/>
          </w:tcPr>
          <w:p>
            <w:pPr>
              <w:pStyle w:val="859"/>
              <w:jc w:val="center"/>
              <w:rPr>
                <w:rFonts w:ascii="宋体" w:hAnsi="宋体"/>
                <w:sz w:val="24"/>
              </w:rPr>
            </w:pPr>
            <w:r>
              <w:rPr>
                <w:rFonts w:ascii="宋体" w:hAnsi="宋体"/>
                <w:sz w:val="24"/>
              </w:rPr>
            </w:r>
            <w:r/>
          </w:p>
        </w:tc>
      </w:tr>
    </w:tbl>
    <w:p>
      <w:pPr>
        <w:pStyle w:val="859"/>
        <w:jc w:val="left"/>
        <w:tabs>
          <w:tab w:val="left" w:pos="1800" w:leader="none"/>
          <w:tab w:val="left" w:pos="5580" w:leader="none"/>
        </w:tabs>
        <w:rPr>
          <w:rFonts w:ascii="宋体" w:hAnsi="宋体"/>
          <w:sz w:val="24"/>
        </w:rPr>
      </w:pPr>
      <w:r>
        <w:rPr>
          <w:rFonts w:ascii="宋体" w:hAnsi="宋体"/>
          <w:sz w:val="24"/>
        </w:rPr>
      </w:r>
      <w:r/>
    </w:p>
    <w:p>
      <w:pPr>
        <w:pStyle w:val="859"/>
        <w:jc w:val="left"/>
        <w:tabs>
          <w:tab w:val="left" w:pos="1800" w:leader="none"/>
          <w:tab w:val="left" w:pos="5580" w:leader="none"/>
        </w:tabs>
        <w:rPr>
          <w:rFonts w:ascii="宋体" w:hAnsi="宋体"/>
          <w:sz w:val="24"/>
        </w:rPr>
      </w:pPr>
      <w:r>
        <w:rPr>
          <w:rFonts w:ascii="宋体" w:hAnsi="宋体"/>
          <w:sz w:val="24"/>
        </w:rPr>
        <w:t xml:space="preserve">注：</w:t>
      </w:r>
      <w:r/>
    </w:p>
    <w:p>
      <w:pPr>
        <w:pStyle w:val="859"/>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859"/>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59"/>
        <w:spacing w:line="360" w:lineRule="auto"/>
        <w:rPr>
          <w:rFonts w:ascii="宋体" w:hAnsi="宋体"/>
          <w:sz w:val="24"/>
          <w:szCs w:val="20"/>
        </w:rPr>
      </w:pPr>
      <w:r>
        <w:rPr>
          <w:rFonts w:ascii="宋体" w:hAnsi="宋体"/>
          <w:sz w:val="24"/>
          <w:szCs w:val="20"/>
        </w:rPr>
      </w:r>
      <w:r/>
    </w:p>
    <w:p>
      <w:pPr>
        <w:pStyle w:val="859"/>
        <w:spacing w:before="25" w:after="25" w:line="360" w:lineRule="auto"/>
        <w:rPr>
          <w:rFonts w:ascii="宋体" w:hAnsi="宋体"/>
          <w:sz w:val="24"/>
          <w:lang w:val="zh-CN"/>
        </w:rPr>
      </w:pPr>
      <w:r>
        <w:rPr>
          <w:rFonts w:ascii="宋体" w:hAnsi="宋体"/>
          <w:sz w:val="24"/>
          <w:lang w:val="zh-CN"/>
        </w:rPr>
        <w:t xml:space="preserve">                      </w:t>
      </w:r>
      <w:r/>
    </w:p>
    <w:p>
      <w:pPr>
        <w:pStyle w:val="859"/>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9"/>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9"/>
        <w:spacing w:line="360" w:lineRule="auto"/>
        <w:rPr>
          <w:rFonts w:ascii="宋体" w:hAnsi="宋体"/>
          <w:b/>
          <w:sz w:val="24"/>
          <w:szCs w:val="20"/>
        </w:rPr>
        <w:outlineLvl w:val="2"/>
      </w:pPr>
      <w:r>
        <w:rPr>
          <w:rFonts w:ascii="宋体" w:hAnsi="宋体"/>
          <w:sz w:val="24"/>
          <w:szCs w:val="20"/>
        </w:rPr>
        <w:br w:type="page" w:clear="all"/>
      </w:r>
      <w:r>
        <w:rPr>
          <w:rFonts w:ascii="宋体" w:hAnsi="宋体"/>
          <w:b/>
          <w:sz w:val="24"/>
          <w:szCs w:val="20"/>
        </w:rPr>
        <w:t xml:space="preserve">9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sz w:val="24"/>
          <w:szCs w:val="20"/>
        </w:rPr>
        <w:t xml:space="preserve">采购需求偏离表（实质性格式）</w:t>
      </w:r>
      <w:r/>
    </w:p>
    <w:p>
      <w:pPr>
        <w:pStyle w:val="859"/>
        <w:jc w:val="center"/>
        <w:spacing w:line="360" w:lineRule="auto"/>
        <w:rPr>
          <w:rFonts w:hint="eastAsia" w:ascii="宋体" w:hAnsi="宋体"/>
          <w:b/>
          <w:sz w:val="36"/>
          <w:szCs w:val="36"/>
        </w:rPr>
      </w:pPr>
      <w:r>
        <w:rPr>
          <w:rFonts w:hint="eastAsia" w:ascii="宋体" w:hAnsi="宋体"/>
          <w:b/>
          <w:sz w:val="36"/>
          <w:szCs w:val="36"/>
        </w:rPr>
      </w:r>
      <w:r/>
    </w:p>
    <w:p>
      <w:pPr>
        <w:pStyle w:val="859"/>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859"/>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859"/>
              <w:jc w:val="left"/>
              <w:rPr>
                <w:rFonts w:ascii="宋体" w:hAnsi="宋体"/>
                <w:b/>
                <w:sz w:val="24"/>
              </w:rPr>
            </w:pPr>
            <w:r>
              <w:rPr>
                <w:rFonts w:ascii="宋体" w:hAnsi="宋体"/>
                <w:b/>
                <w:sz w:val="24"/>
              </w:rPr>
              <w:t xml:space="preserve">对本</w:t>
            </w:r>
            <w:r>
              <w:rPr>
                <w:rFonts w:hint="eastAsia" w:ascii="宋体" w:hAnsi="宋体"/>
                <w:b/>
                <w:sz w:val="24"/>
              </w:rPr>
              <w:t xml:space="preserve">项目采购需求</w:t>
            </w:r>
            <w:r>
              <w:rPr>
                <w:rFonts w:ascii="宋体" w:hAnsi="宋体"/>
                <w:b/>
                <w:sz w:val="24"/>
              </w:rPr>
              <w:t xml:space="preserve">的偏离情况（请进行勾选）：</w:t>
            </w:r>
            <w:r/>
          </w:p>
          <w:p>
            <w:pPr>
              <w:pStyle w:val="859"/>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59"/>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1053"/>
        </w:trPr>
        <w:tc>
          <w:tcPr>
            <w:tcW w:w="775" w:type="dxa"/>
            <w:vAlign w:val="center"/>
            <w:textDirection w:val="lrTb"/>
            <w:noWrap w:val="false"/>
          </w:tcPr>
          <w:p>
            <w:pPr>
              <w:pStyle w:val="859"/>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859"/>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859"/>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859"/>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859"/>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859"/>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859"/>
              <w:jc w:val="center"/>
              <w:rPr>
                <w:rFonts w:ascii="宋体" w:hAnsi="宋体"/>
                <w:sz w:val="24"/>
              </w:rPr>
            </w:pPr>
            <w:r>
              <w:rPr>
                <w:rFonts w:ascii="宋体" w:hAnsi="宋体"/>
                <w:sz w:val="24"/>
              </w:rPr>
            </w:r>
            <w:r/>
          </w:p>
        </w:tc>
        <w:tc>
          <w:tcPr>
            <w:tcW w:w="1482" w:type="dxa"/>
            <w:vAlign w:val="center"/>
            <w:textDirection w:val="lrTb"/>
            <w:noWrap w:val="false"/>
          </w:tcPr>
          <w:p>
            <w:pPr>
              <w:pStyle w:val="859"/>
              <w:jc w:val="center"/>
              <w:rPr>
                <w:rFonts w:ascii="宋体" w:hAnsi="宋体"/>
                <w:sz w:val="24"/>
              </w:rPr>
            </w:pPr>
            <w:r>
              <w:rPr>
                <w:rFonts w:ascii="宋体" w:hAnsi="宋体"/>
                <w:sz w:val="24"/>
              </w:rPr>
            </w:r>
            <w:r/>
          </w:p>
        </w:tc>
        <w:tc>
          <w:tcPr>
            <w:tcW w:w="2384" w:type="dxa"/>
            <w:vAlign w:val="center"/>
            <w:textDirection w:val="lrTb"/>
            <w:noWrap w:val="false"/>
          </w:tcPr>
          <w:p>
            <w:pPr>
              <w:pStyle w:val="859"/>
              <w:jc w:val="center"/>
              <w:rPr>
                <w:rFonts w:ascii="宋体" w:hAnsi="宋体"/>
                <w:sz w:val="24"/>
              </w:rPr>
            </w:pPr>
            <w:r>
              <w:rPr>
                <w:rFonts w:ascii="宋体" w:hAnsi="宋体"/>
                <w:sz w:val="24"/>
              </w:rPr>
            </w:r>
            <w:r/>
          </w:p>
        </w:tc>
        <w:tc>
          <w:tcPr>
            <w:tcW w:w="2126" w:type="dxa"/>
            <w:vAlign w:val="center"/>
            <w:textDirection w:val="lrTb"/>
            <w:noWrap w:val="false"/>
          </w:tcPr>
          <w:p>
            <w:pPr>
              <w:pStyle w:val="859"/>
              <w:jc w:val="center"/>
              <w:rPr>
                <w:rFonts w:ascii="宋体" w:hAnsi="宋体"/>
                <w:sz w:val="24"/>
              </w:rPr>
            </w:pPr>
            <w:r>
              <w:rPr>
                <w:rFonts w:ascii="宋体" w:hAnsi="宋体"/>
                <w:sz w:val="24"/>
              </w:rPr>
            </w:r>
            <w:r/>
          </w:p>
        </w:tc>
        <w:tc>
          <w:tcPr>
            <w:tcW w:w="1875" w:type="dxa"/>
            <w:vAlign w:val="center"/>
            <w:textDirection w:val="lrTb"/>
            <w:noWrap w:val="false"/>
          </w:tcPr>
          <w:p>
            <w:pPr>
              <w:pStyle w:val="859"/>
              <w:jc w:val="center"/>
              <w:rPr>
                <w:rFonts w:ascii="宋体" w:hAnsi="宋体"/>
                <w:sz w:val="24"/>
              </w:rPr>
            </w:pPr>
            <w:r>
              <w:rPr>
                <w:rFonts w:ascii="宋体" w:hAnsi="宋体"/>
                <w:sz w:val="24"/>
              </w:rPr>
            </w:r>
            <w:r/>
          </w:p>
        </w:tc>
        <w:tc>
          <w:tcPr>
            <w:tcW w:w="1009" w:type="dxa"/>
            <w:vAlign w:val="center"/>
            <w:textDirection w:val="lrTb"/>
            <w:noWrap w:val="false"/>
          </w:tcPr>
          <w:p>
            <w:pPr>
              <w:pStyle w:val="859"/>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9"/>
              <w:jc w:val="center"/>
              <w:rPr>
                <w:rFonts w:ascii="宋体" w:hAnsi="宋体"/>
                <w:sz w:val="24"/>
              </w:rPr>
            </w:pPr>
            <w:r>
              <w:rPr>
                <w:rFonts w:ascii="宋体" w:hAnsi="宋体"/>
                <w:sz w:val="24"/>
              </w:rPr>
            </w:r>
            <w:r/>
          </w:p>
        </w:tc>
        <w:tc>
          <w:tcPr>
            <w:tcW w:w="1482" w:type="dxa"/>
            <w:vAlign w:val="center"/>
            <w:textDirection w:val="lrTb"/>
            <w:noWrap w:val="false"/>
          </w:tcPr>
          <w:p>
            <w:pPr>
              <w:pStyle w:val="859"/>
              <w:jc w:val="center"/>
              <w:rPr>
                <w:rFonts w:ascii="宋体" w:hAnsi="宋体"/>
                <w:sz w:val="24"/>
              </w:rPr>
            </w:pPr>
            <w:r>
              <w:rPr>
                <w:rFonts w:ascii="宋体" w:hAnsi="宋体"/>
                <w:sz w:val="24"/>
              </w:rPr>
            </w:r>
            <w:r/>
          </w:p>
        </w:tc>
        <w:tc>
          <w:tcPr>
            <w:tcW w:w="2384" w:type="dxa"/>
            <w:vAlign w:val="center"/>
            <w:textDirection w:val="lrTb"/>
            <w:noWrap w:val="false"/>
          </w:tcPr>
          <w:p>
            <w:pPr>
              <w:pStyle w:val="859"/>
              <w:jc w:val="center"/>
              <w:rPr>
                <w:rFonts w:ascii="宋体" w:hAnsi="宋体"/>
                <w:sz w:val="24"/>
              </w:rPr>
            </w:pPr>
            <w:r>
              <w:rPr>
                <w:rFonts w:ascii="宋体" w:hAnsi="宋体"/>
                <w:sz w:val="24"/>
              </w:rPr>
            </w:r>
            <w:r/>
          </w:p>
        </w:tc>
        <w:tc>
          <w:tcPr>
            <w:tcW w:w="2126" w:type="dxa"/>
            <w:vAlign w:val="center"/>
            <w:textDirection w:val="lrTb"/>
            <w:noWrap w:val="false"/>
          </w:tcPr>
          <w:p>
            <w:pPr>
              <w:pStyle w:val="859"/>
              <w:jc w:val="center"/>
              <w:rPr>
                <w:rFonts w:ascii="宋体" w:hAnsi="宋体"/>
                <w:sz w:val="24"/>
              </w:rPr>
            </w:pPr>
            <w:r>
              <w:rPr>
                <w:rFonts w:ascii="宋体" w:hAnsi="宋体"/>
                <w:sz w:val="24"/>
              </w:rPr>
            </w:r>
            <w:r/>
          </w:p>
        </w:tc>
        <w:tc>
          <w:tcPr>
            <w:tcW w:w="1875" w:type="dxa"/>
            <w:vAlign w:val="center"/>
            <w:textDirection w:val="lrTb"/>
            <w:noWrap w:val="false"/>
          </w:tcPr>
          <w:p>
            <w:pPr>
              <w:pStyle w:val="859"/>
              <w:jc w:val="center"/>
              <w:rPr>
                <w:rFonts w:ascii="宋体" w:hAnsi="宋体"/>
                <w:sz w:val="24"/>
              </w:rPr>
            </w:pPr>
            <w:r>
              <w:rPr>
                <w:rFonts w:ascii="宋体" w:hAnsi="宋体"/>
                <w:sz w:val="24"/>
              </w:rPr>
            </w:r>
            <w:r/>
          </w:p>
        </w:tc>
        <w:tc>
          <w:tcPr>
            <w:tcW w:w="1009" w:type="dxa"/>
            <w:vAlign w:val="center"/>
            <w:textDirection w:val="lrTb"/>
            <w:noWrap w:val="false"/>
          </w:tcPr>
          <w:p>
            <w:pPr>
              <w:pStyle w:val="859"/>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9"/>
              <w:jc w:val="center"/>
              <w:rPr>
                <w:rFonts w:ascii="宋体" w:hAnsi="宋体"/>
                <w:sz w:val="24"/>
              </w:rPr>
            </w:pPr>
            <w:r>
              <w:rPr>
                <w:rFonts w:ascii="宋体" w:hAnsi="宋体"/>
                <w:sz w:val="24"/>
              </w:rPr>
            </w:r>
            <w:r/>
          </w:p>
        </w:tc>
        <w:tc>
          <w:tcPr>
            <w:tcW w:w="1482" w:type="dxa"/>
            <w:vAlign w:val="center"/>
            <w:textDirection w:val="lrTb"/>
            <w:noWrap w:val="false"/>
          </w:tcPr>
          <w:p>
            <w:pPr>
              <w:pStyle w:val="859"/>
              <w:jc w:val="center"/>
              <w:rPr>
                <w:rFonts w:ascii="宋体" w:hAnsi="宋体"/>
                <w:sz w:val="24"/>
              </w:rPr>
            </w:pPr>
            <w:r>
              <w:rPr>
                <w:rFonts w:ascii="宋体" w:hAnsi="宋体"/>
                <w:sz w:val="24"/>
              </w:rPr>
            </w:r>
            <w:r/>
          </w:p>
        </w:tc>
        <w:tc>
          <w:tcPr>
            <w:tcW w:w="2384" w:type="dxa"/>
            <w:vAlign w:val="center"/>
            <w:textDirection w:val="lrTb"/>
            <w:noWrap w:val="false"/>
          </w:tcPr>
          <w:p>
            <w:pPr>
              <w:pStyle w:val="859"/>
              <w:jc w:val="center"/>
              <w:rPr>
                <w:rFonts w:ascii="宋体" w:hAnsi="宋体"/>
                <w:sz w:val="24"/>
              </w:rPr>
            </w:pPr>
            <w:r>
              <w:rPr>
                <w:rFonts w:ascii="宋体" w:hAnsi="宋体"/>
                <w:sz w:val="24"/>
              </w:rPr>
            </w:r>
            <w:r/>
          </w:p>
        </w:tc>
        <w:tc>
          <w:tcPr>
            <w:tcW w:w="2126" w:type="dxa"/>
            <w:vAlign w:val="center"/>
            <w:textDirection w:val="lrTb"/>
            <w:noWrap w:val="false"/>
          </w:tcPr>
          <w:p>
            <w:pPr>
              <w:pStyle w:val="859"/>
              <w:jc w:val="center"/>
              <w:rPr>
                <w:rFonts w:ascii="宋体" w:hAnsi="宋体"/>
                <w:sz w:val="24"/>
              </w:rPr>
            </w:pPr>
            <w:r>
              <w:rPr>
                <w:rFonts w:ascii="宋体" w:hAnsi="宋体"/>
                <w:sz w:val="24"/>
              </w:rPr>
            </w:r>
            <w:r/>
          </w:p>
        </w:tc>
        <w:tc>
          <w:tcPr>
            <w:tcW w:w="1875" w:type="dxa"/>
            <w:vAlign w:val="center"/>
            <w:textDirection w:val="lrTb"/>
            <w:noWrap w:val="false"/>
          </w:tcPr>
          <w:p>
            <w:pPr>
              <w:pStyle w:val="859"/>
              <w:jc w:val="center"/>
              <w:rPr>
                <w:rFonts w:ascii="宋体" w:hAnsi="宋体"/>
                <w:sz w:val="24"/>
              </w:rPr>
            </w:pPr>
            <w:r>
              <w:rPr>
                <w:rFonts w:ascii="宋体" w:hAnsi="宋体"/>
                <w:sz w:val="24"/>
              </w:rPr>
            </w:r>
            <w:r/>
          </w:p>
        </w:tc>
        <w:tc>
          <w:tcPr>
            <w:tcW w:w="1009" w:type="dxa"/>
            <w:vAlign w:val="center"/>
            <w:textDirection w:val="lrTb"/>
            <w:noWrap w:val="false"/>
          </w:tcPr>
          <w:p>
            <w:pPr>
              <w:pStyle w:val="859"/>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9"/>
              <w:jc w:val="center"/>
              <w:rPr>
                <w:rFonts w:ascii="宋体" w:hAnsi="宋体"/>
                <w:sz w:val="24"/>
              </w:rPr>
            </w:pPr>
            <w:r>
              <w:rPr>
                <w:rFonts w:ascii="宋体" w:hAnsi="宋体"/>
                <w:sz w:val="24"/>
              </w:rPr>
            </w:r>
            <w:r/>
          </w:p>
        </w:tc>
        <w:tc>
          <w:tcPr>
            <w:tcW w:w="1482" w:type="dxa"/>
            <w:vAlign w:val="center"/>
            <w:textDirection w:val="lrTb"/>
            <w:noWrap w:val="false"/>
          </w:tcPr>
          <w:p>
            <w:pPr>
              <w:pStyle w:val="859"/>
              <w:jc w:val="center"/>
              <w:rPr>
                <w:rFonts w:ascii="宋体" w:hAnsi="宋体"/>
                <w:sz w:val="24"/>
              </w:rPr>
            </w:pPr>
            <w:r>
              <w:rPr>
                <w:rFonts w:ascii="宋体" w:hAnsi="宋体"/>
                <w:sz w:val="24"/>
              </w:rPr>
            </w:r>
            <w:r/>
          </w:p>
        </w:tc>
        <w:tc>
          <w:tcPr>
            <w:tcW w:w="2384" w:type="dxa"/>
            <w:vAlign w:val="center"/>
            <w:textDirection w:val="lrTb"/>
            <w:noWrap w:val="false"/>
          </w:tcPr>
          <w:p>
            <w:pPr>
              <w:pStyle w:val="859"/>
              <w:jc w:val="center"/>
              <w:rPr>
                <w:rFonts w:ascii="宋体" w:hAnsi="宋体"/>
                <w:sz w:val="24"/>
              </w:rPr>
            </w:pPr>
            <w:r>
              <w:rPr>
                <w:rFonts w:ascii="宋体" w:hAnsi="宋体"/>
                <w:sz w:val="24"/>
              </w:rPr>
            </w:r>
            <w:r/>
          </w:p>
        </w:tc>
        <w:tc>
          <w:tcPr>
            <w:tcW w:w="2126" w:type="dxa"/>
            <w:vAlign w:val="center"/>
            <w:textDirection w:val="lrTb"/>
            <w:noWrap w:val="false"/>
          </w:tcPr>
          <w:p>
            <w:pPr>
              <w:pStyle w:val="859"/>
              <w:jc w:val="center"/>
              <w:rPr>
                <w:rFonts w:ascii="宋体" w:hAnsi="宋体"/>
                <w:sz w:val="24"/>
              </w:rPr>
            </w:pPr>
            <w:r>
              <w:rPr>
                <w:rFonts w:ascii="宋体" w:hAnsi="宋体"/>
                <w:sz w:val="24"/>
              </w:rPr>
            </w:r>
            <w:r/>
          </w:p>
        </w:tc>
        <w:tc>
          <w:tcPr>
            <w:tcW w:w="1875" w:type="dxa"/>
            <w:vAlign w:val="center"/>
            <w:textDirection w:val="lrTb"/>
            <w:noWrap w:val="false"/>
          </w:tcPr>
          <w:p>
            <w:pPr>
              <w:pStyle w:val="859"/>
              <w:jc w:val="center"/>
              <w:rPr>
                <w:rFonts w:ascii="宋体" w:hAnsi="宋体"/>
                <w:sz w:val="24"/>
              </w:rPr>
            </w:pPr>
            <w:r>
              <w:rPr>
                <w:rFonts w:ascii="宋体" w:hAnsi="宋体"/>
                <w:sz w:val="24"/>
              </w:rPr>
            </w:r>
            <w:r/>
          </w:p>
        </w:tc>
        <w:tc>
          <w:tcPr>
            <w:tcW w:w="1009" w:type="dxa"/>
            <w:vAlign w:val="center"/>
            <w:textDirection w:val="lrTb"/>
            <w:noWrap w:val="false"/>
          </w:tcPr>
          <w:p>
            <w:pPr>
              <w:pStyle w:val="859"/>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9"/>
              <w:jc w:val="center"/>
              <w:rPr>
                <w:rFonts w:ascii="宋体" w:hAnsi="宋体"/>
                <w:sz w:val="24"/>
              </w:rPr>
            </w:pPr>
            <w:r>
              <w:rPr>
                <w:rFonts w:ascii="宋体" w:hAnsi="宋体"/>
                <w:sz w:val="24"/>
              </w:rPr>
            </w:r>
            <w:r/>
          </w:p>
        </w:tc>
        <w:tc>
          <w:tcPr>
            <w:tcW w:w="1482" w:type="dxa"/>
            <w:vAlign w:val="center"/>
            <w:textDirection w:val="lrTb"/>
            <w:noWrap w:val="false"/>
          </w:tcPr>
          <w:p>
            <w:pPr>
              <w:pStyle w:val="859"/>
              <w:jc w:val="center"/>
              <w:rPr>
                <w:rFonts w:ascii="宋体" w:hAnsi="宋体"/>
                <w:sz w:val="24"/>
              </w:rPr>
            </w:pPr>
            <w:r>
              <w:rPr>
                <w:rFonts w:ascii="宋体" w:hAnsi="宋体"/>
                <w:sz w:val="24"/>
              </w:rPr>
            </w:r>
            <w:r/>
          </w:p>
        </w:tc>
        <w:tc>
          <w:tcPr>
            <w:tcW w:w="2384" w:type="dxa"/>
            <w:vAlign w:val="center"/>
            <w:textDirection w:val="lrTb"/>
            <w:noWrap w:val="false"/>
          </w:tcPr>
          <w:p>
            <w:pPr>
              <w:pStyle w:val="859"/>
              <w:jc w:val="center"/>
              <w:rPr>
                <w:rFonts w:ascii="宋体" w:hAnsi="宋体"/>
                <w:sz w:val="24"/>
              </w:rPr>
            </w:pPr>
            <w:r>
              <w:rPr>
                <w:rFonts w:ascii="宋体" w:hAnsi="宋体"/>
                <w:sz w:val="24"/>
              </w:rPr>
            </w:r>
            <w:r/>
          </w:p>
        </w:tc>
        <w:tc>
          <w:tcPr>
            <w:tcW w:w="2126" w:type="dxa"/>
            <w:vAlign w:val="center"/>
            <w:textDirection w:val="lrTb"/>
            <w:noWrap w:val="false"/>
          </w:tcPr>
          <w:p>
            <w:pPr>
              <w:pStyle w:val="859"/>
              <w:jc w:val="center"/>
              <w:rPr>
                <w:rFonts w:ascii="宋体" w:hAnsi="宋体"/>
                <w:sz w:val="24"/>
              </w:rPr>
            </w:pPr>
            <w:r>
              <w:rPr>
                <w:rFonts w:ascii="宋体" w:hAnsi="宋体"/>
                <w:sz w:val="24"/>
              </w:rPr>
            </w:r>
            <w:r/>
          </w:p>
        </w:tc>
        <w:tc>
          <w:tcPr>
            <w:tcW w:w="1875" w:type="dxa"/>
            <w:vAlign w:val="center"/>
            <w:textDirection w:val="lrTb"/>
            <w:noWrap w:val="false"/>
          </w:tcPr>
          <w:p>
            <w:pPr>
              <w:pStyle w:val="859"/>
              <w:jc w:val="center"/>
              <w:rPr>
                <w:rFonts w:ascii="宋体" w:hAnsi="宋体"/>
                <w:sz w:val="24"/>
              </w:rPr>
            </w:pPr>
            <w:r>
              <w:rPr>
                <w:rFonts w:ascii="宋体" w:hAnsi="宋体"/>
                <w:sz w:val="24"/>
              </w:rPr>
            </w:r>
            <w:r/>
          </w:p>
        </w:tc>
        <w:tc>
          <w:tcPr>
            <w:tcW w:w="1009" w:type="dxa"/>
            <w:vAlign w:val="center"/>
            <w:textDirection w:val="lrTb"/>
            <w:noWrap w:val="false"/>
          </w:tcPr>
          <w:p>
            <w:pPr>
              <w:pStyle w:val="859"/>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9"/>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859"/>
              <w:jc w:val="center"/>
              <w:rPr>
                <w:rFonts w:ascii="宋体" w:hAnsi="宋体"/>
                <w:sz w:val="24"/>
              </w:rPr>
            </w:pPr>
            <w:r>
              <w:rPr>
                <w:rFonts w:ascii="宋体" w:hAnsi="宋体"/>
                <w:sz w:val="24"/>
              </w:rPr>
            </w:r>
            <w:r/>
          </w:p>
        </w:tc>
        <w:tc>
          <w:tcPr>
            <w:tcW w:w="2384" w:type="dxa"/>
            <w:vAlign w:val="center"/>
            <w:textDirection w:val="lrTb"/>
            <w:noWrap w:val="false"/>
          </w:tcPr>
          <w:p>
            <w:pPr>
              <w:pStyle w:val="859"/>
              <w:jc w:val="center"/>
              <w:rPr>
                <w:rFonts w:ascii="宋体" w:hAnsi="宋体"/>
                <w:sz w:val="24"/>
              </w:rPr>
            </w:pPr>
            <w:r>
              <w:rPr>
                <w:rFonts w:ascii="宋体" w:hAnsi="宋体"/>
                <w:sz w:val="24"/>
              </w:rPr>
            </w:r>
            <w:r/>
          </w:p>
        </w:tc>
        <w:tc>
          <w:tcPr>
            <w:tcW w:w="2126" w:type="dxa"/>
            <w:vAlign w:val="center"/>
            <w:textDirection w:val="lrTb"/>
            <w:noWrap w:val="false"/>
          </w:tcPr>
          <w:p>
            <w:pPr>
              <w:pStyle w:val="859"/>
              <w:jc w:val="center"/>
              <w:rPr>
                <w:rFonts w:ascii="宋体" w:hAnsi="宋体"/>
                <w:sz w:val="24"/>
              </w:rPr>
            </w:pPr>
            <w:r>
              <w:rPr>
                <w:rFonts w:ascii="宋体" w:hAnsi="宋体"/>
                <w:sz w:val="24"/>
              </w:rPr>
            </w:r>
            <w:r/>
          </w:p>
        </w:tc>
        <w:tc>
          <w:tcPr>
            <w:tcW w:w="1875" w:type="dxa"/>
            <w:vAlign w:val="center"/>
            <w:textDirection w:val="lrTb"/>
            <w:noWrap w:val="false"/>
          </w:tcPr>
          <w:p>
            <w:pPr>
              <w:pStyle w:val="859"/>
              <w:jc w:val="center"/>
              <w:rPr>
                <w:rFonts w:ascii="宋体" w:hAnsi="宋体"/>
                <w:sz w:val="24"/>
              </w:rPr>
            </w:pPr>
            <w:r>
              <w:rPr>
                <w:rFonts w:ascii="宋体" w:hAnsi="宋体"/>
                <w:sz w:val="24"/>
              </w:rPr>
            </w:r>
            <w:r/>
          </w:p>
        </w:tc>
        <w:tc>
          <w:tcPr>
            <w:tcW w:w="1009" w:type="dxa"/>
            <w:vAlign w:val="center"/>
            <w:textDirection w:val="lrTb"/>
            <w:noWrap w:val="false"/>
          </w:tcPr>
          <w:p>
            <w:pPr>
              <w:pStyle w:val="859"/>
              <w:jc w:val="center"/>
              <w:rPr>
                <w:rFonts w:ascii="宋体" w:hAnsi="宋体"/>
                <w:sz w:val="24"/>
              </w:rPr>
            </w:pPr>
            <w:r>
              <w:rPr>
                <w:rFonts w:ascii="宋体" w:hAnsi="宋体"/>
                <w:sz w:val="24"/>
              </w:rPr>
            </w:r>
            <w:r/>
          </w:p>
        </w:tc>
      </w:tr>
    </w:tbl>
    <w:p>
      <w:pPr>
        <w:pStyle w:val="859"/>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859"/>
        <w:jc w:val="left"/>
        <w:tabs>
          <w:tab w:val="left" w:pos="1800" w:leader="none"/>
          <w:tab w:val="left" w:pos="5580" w:leader="none"/>
        </w:tabs>
        <w:rPr>
          <w:rFonts w:ascii="宋体" w:hAnsi="宋体"/>
          <w:sz w:val="24"/>
        </w:rPr>
      </w:pPr>
      <w:r>
        <w:rPr>
          <w:rFonts w:ascii="宋体" w:hAnsi="宋体"/>
          <w:sz w:val="24"/>
        </w:rPr>
        <w:t xml:space="preserve">注：</w:t>
      </w:r>
      <w:r/>
    </w:p>
    <w:p>
      <w:pPr>
        <w:pStyle w:val="859"/>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859"/>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859"/>
        <w:jc w:val="left"/>
        <w:tabs>
          <w:tab w:val="left" w:pos="1800" w:leader="none"/>
          <w:tab w:val="left" w:pos="5580" w:leader="none"/>
        </w:tabs>
        <w:rPr>
          <w:rFonts w:ascii="宋体" w:hAnsi="宋体"/>
          <w:sz w:val="24"/>
        </w:rPr>
      </w:pPr>
      <w:r>
        <w:rPr>
          <w:rFonts w:ascii="宋体" w:hAnsi="宋体"/>
          <w:sz w:val="24"/>
        </w:rPr>
      </w:r>
      <w:r/>
    </w:p>
    <w:p>
      <w:pPr>
        <w:pStyle w:val="859"/>
        <w:jc w:val="left"/>
        <w:tabs>
          <w:tab w:val="left" w:pos="1800" w:leader="none"/>
          <w:tab w:val="left" w:pos="5580" w:leader="none"/>
        </w:tabs>
        <w:rPr>
          <w:rFonts w:ascii="宋体" w:hAnsi="宋体"/>
          <w:sz w:val="24"/>
        </w:rPr>
      </w:pPr>
      <w:r>
        <w:rPr>
          <w:rFonts w:ascii="宋体" w:hAnsi="宋体"/>
          <w:sz w:val="24"/>
        </w:rPr>
      </w:r>
      <w:r/>
    </w:p>
    <w:p>
      <w:pPr>
        <w:pStyle w:val="859"/>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9"/>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9"/>
        <w:spacing w:line="360" w:lineRule="auto"/>
        <w:rPr>
          <w:rFonts w:ascii="宋体" w:hAnsi="宋体"/>
          <w:b/>
          <w:sz w:val="24"/>
          <w:szCs w:val="20"/>
        </w:rPr>
        <w:outlineLvl w:val="2"/>
      </w:pPr>
      <w:r>
        <w:rPr>
          <w:rFonts w:ascii="宋体" w:hAnsi="宋体"/>
          <w:sz w:val="24"/>
          <w:szCs w:val="20"/>
        </w:rPr>
        <w:br w:type="page" w:clear="all"/>
      </w:r>
      <w:r>
        <w:rPr>
          <w:rFonts w:ascii="宋体" w:hAnsi="宋体"/>
          <w:b/>
          <w:sz w:val="24"/>
          <w:szCs w:val="20"/>
        </w:rPr>
        <w:t xml:space="preserve">10  中小企业声明函</w:t>
      </w:r>
      <w:r/>
    </w:p>
    <w:p>
      <w:pPr>
        <w:pStyle w:val="859"/>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859"/>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859"/>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859"/>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859"/>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859"/>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936"/>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859"/>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859"/>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859"/>
        <w:jc w:val="left"/>
        <w:widowControl/>
        <w:rPr>
          <w:rFonts w:ascii="宋体" w:hAnsi="宋体"/>
          <w:sz w:val="24"/>
        </w:rPr>
      </w:pPr>
      <w:r>
        <w:rPr>
          <w:rFonts w:ascii="宋体" w:hAnsi="宋体"/>
          <w:b/>
          <w:bCs/>
          <w:sz w:val="24"/>
        </w:rPr>
        <w:br w:type="page" w:clear="all"/>
      </w:r>
      <w:r>
        <w:rPr>
          <w:rFonts w:ascii="宋体" w:hAnsi="宋体"/>
          <w:sz w:val="24"/>
        </w:rPr>
      </w:r>
      <w:r/>
    </w:p>
    <w:p>
      <w:pPr>
        <w:pStyle w:val="859"/>
        <w:jc w:val="center"/>
        <w:spacing w:before="240" w:after="240" w:line="360" w:lineRule="auto"/>
        <w:rPr>
          <w:rFonts w:ascii="宋体" w:hAnsi="宋体"/>
          <w:b/>
          <w:bCs/>
          <w:sz w:val="36"/>
          <w:szCs w:val="36"/>
        </w:rPr>
      </w:pPr>
      <w:r>
        <w:rPr>
          <w:rFonts w:ascii="宋体" w:hAnsi="宋体"/>
          <w:b/>
          <w:bCs/>
          <w:sz w:val="36"/>
          <w:szCs w:val="36"/>
        </w:rPr>
        <w:t xml:space="preserve">中小企业声明函（服务）格式</w:t>
      </w:r>
      <w:r/>
    </w:p>
    <w:p>
      <w:pPr>
        <w:pStyle w:val="859"/>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59"/>
        <w:numPr>
          <w:ilvl w:val="0"/>
          <w:numId w:val="16"/>
        </w:numPr>
        <w:ind w:left="284" w:right="236" w:firstLine="576"/>
        <w:jc w:val="left"/>
        <w:spacing w:line="360" w:lineRule="auto"/>
        <w:tabs>
          <w:tab w:val="left" w:pos="1276" w:leader="none"/>
          <w:tab w:val="left" w:pos="5005" w:leader="none"/>
          <w:tab w:val="left" w:pos="722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其他未列明</w:t>
      </w:r>
      <w:r>
        <w:rPr>
          <w:rFonts w:ascii="宋体" w:hAnsi="宋体"/>
          <w:sz w:val="24"/>
        </w:rPr>
        <w:t xml:space="preserve">行业；承建（承接）企业为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"_bookmark1"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859"/>
        <w:numPr>
          <w:ilvl w:val="0"/>
          <w:numId w:val="16"/>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其他未列明</w:t>
      </w:r>
      <w:r>
        <w:rPr>
          <w:rFonts w:ascii="宋体" w:hAnsi="宋体"/>
          <w:sz w:val="24"/>
        </w:rPr>
        <w:t xml:space="preserve">行业；承建（承接）企业为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859"/>
        <w:ind w:left="860"/>
        <w:jc w:val="left"/>
        <w:spacing w:line="360" w:lineRule="auto"/>
        <w:rPr>
          <w:rFonts w:ascii="宋体" w:hAnsi="宋体"/>
          <w:sz w:val="24"/>
        </w:rPr>
      </w:pPr>
      <w:r>
        <w:rPr>
          <w:rFonts w:ascii="宋体" w:hAnsi="宋体"/>
          <w:sz w:val="24"/>
        </w:rPr>
        <w:t xml:space="preserve">……</w:t>
      </w:r>
      <w:r/>
    </w:p>
    <w:p>
      <w:pPr>
        <w:pStyle w:val="859"/>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59"/>
        <w:ind w:firstLine="504"/>
        <w:spacing w:line="360" w:lineRule="auto"/>
        <w:rPr>
          <w:rFonts w:ascii="宋体" w:hAnsi="宋体"/>
          <w:spacing w:val="6"/>
          <w:sz w:val="24"/>
        </w:rPr>
      </w:pPr>
      <w:r>
        <w:rPr>
          <w:rFonts w:ascii="宋体" w:hAnsi="宋体"/>
          <w:sz w:val="24"/>
        </w:rPr>
        <w:t xml:space="preserve">本企业对上述声明内容的真实性负责。如有虚假，将依法承担相应责任。</w:t>
      </w:r>
      <w:r>
        <w:rPr>
          <w:rFonts w:ascii="宋体" w:hAnsi="宋体"/>
          <w:spacing w:val="6"/>
          <w:sz w:val="24"/>
        </w:rPr>
      </w:r>
      <w:r/>
    </w:p>
    <w:p>
      <w:pPr>
        <w:pStyle w:val="859"/>
        <w:ind w:firstLine="504"/>
        <w:spacing w:line="360" w:lineRule="auto"/>
        <w:rPr>
          <w:rFonts w:ascii="宋体" w:hAnsi="宋体"/>
          <w:spacing w:val="6"/>
          <w:sz w:val="24"/>
        </w:rPr>
      </w:pPr>
      <w:r>
        <w:rPr>
          <w:rFonts w:ascii="宋体" w:hAnsi="宋体"/>
          <w:spacing w:val="6"/>
          <w:sz w:val="24"/>
        </w:rPr>
      </w:r>
      <w:r/>
    </w:p>
    <w:p>
      <w:pPr>
        <w:pStyle w:val="859"/>
        <w:ind w:right="360" w:firstLine="480"/>
        <w:jc w:val="right"/>
        <w:spacing w:line="360" w:lineRule="auto"/>
        <w:rPr>
          <w:rFonts w:ascii="宋体" w:hAnsi="宋体"/>
          <w:sz w:val="24"/>
        </w:rPr>
      </w:pPr>
      <w:r>
        <w:rPr>
          <w:rFonts w:ascii="宋体" w:hAnsi="宋体"/>
          <w:sz w:val="24"/>
        </w:rPr>
      </w:r>
      <w:r/>
    </w:p>
    <w:p>
      <w:pPr>
        <w:pStyle w:val="859"/>
        <w:ind w:right="360" w:firstLine="480"/>
        <w:jc w:val="right"/>
        <w:spacing w:line="360" w:lineRule="auto"/>
        <w:rPr>
          <w:rFonts w:ascii="宋体" w:hAnsi="宋体"/>
          <w:sz w:val="24"/>
        </w:rPr>
      </w:pPr>
      <w:r>
        <w:rPr>
          <w:rFonts w:ascii="宋体" w:hAnsi="宋体"/>
          <w:sz w:val="24"/>
        </w:rPr>
        <w:t xml:space="preserve">企业名称（加盖公章）：________</w:t>
      </w:r>
      <w:r/>
    </w:p>
    <w:p>
      <w:pPr>
        <w:pStyle w:val="859"/>
        <w:ind w:right="360" w:firstLine="480"/>
        <w:jc w:val="right"/>
        <w:spacing w:line="360" w:lineRule="auto"/>
        <w:rPr>
          <w:rFonts w:ascii="宋体" w:hAnsi="宋体"/>
          <w:sz w:val="24"/>
        </w:rPr>
      </w:pPr>
      <w:r>
        <w:rPr>
          <w:rFonts w:ascii="宋体" w:hAnsi="宋体"/>
          <w:sz w:val="24"/>
        </w:rPr>
        <w:t xml:space="preserve">日 期：________</w:t>
      </w:r>
      <w:r/>
    </w:p>
    <w:p>
      <w:pPr>
        <w:pStyle w:val="859"/>
        <w:ind w:right="360" w:firstLine="480"/>
        <w:jc w:val="right"/>
        <w:spacing w:line="360" w:lineRule="auto"/>
        <w:rPr>
          <w:rFonts w:ascii="宋体" w:hAnsi="宋体"/>
          <w:sz w:val="24"/>
        </w:rPr>
      </w:pPr>
      <w:r>
        <w:rPr>
          <w:rFonts w:ascii="宋体" w:hAnsi="宋体"/>
          <w:sz w:val="24"/>
        </w:rPr>
      </w:r>
      <w:r/>
    </w:p>
    <w:p>
      <w:pPr>
        <w:pStyle w:val="859"/>
        <w:jc w:val="left"/>
        <w:rPr>
          <w:rFonts w:ascii="宋体" w:hAnsi="宋体"/>
          <w:sz w:val="24"/>
          <w:szCs w:val="21"/>
        </w:rPr>
      </w:pPr>
      <w:r>
        <w:rPr>
          <w:rFonts w:ascii="宋体" w:hAnsi="宋体"/>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9"/>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859"/>
        <w:jc w:val="left"/>
        <w:rPr>
          <w:rFonts w:ascii="宋体" w:hAnsi="宋体"/>
          <w:szCs w:val="21"/>
          <w:vertAlign w:val="superscript"/>
        </w:rPr>
      </w:pPr>
      <w:r>
        <w:rPr>
          <w:rFonts w:ascii="宋体" w:hAnsi="宋体"/>
          <w:szCs w:val="21"/>
          <w:vertAlign w:val="superscript"/>
        </w:rPr>
      </w:r>
      <w:r/>
    </w:p>
    <w:p>
      <w:pPr>
        <w:pStyle w:val="859"/>
        <w:ind w:right="360" w:firstLine="480"/>
        <w:jc w:val="right"/>
        <w:spacing w:line="360" w:lineRule="auto"/>
        <w:rPr>
          <w:rFonts w:ascii="宋体" w:hAnsi="宋体"/>
          <w:sz w:val="24"/>
        </w:rPr>
      </w:pPr>
      <w:r>
        <w:rPr>
          <w:rFonts w:ascii="宋体" w:hAnsi="宋体"/>
          <w:sz w:val="24"/>
        </w:rPr>
      </w:r>
      <w:r/>
    </w:p>
    <w:p>
      <w:pPr>
        <w:pStyle w:val="859"/>
        <w:ind w:right="360" w:firstLine="480"/>
        <w:jc w:val="right"/>
        <w:spacing w:line="360" w:lineRule="auto"/>
        <w:rPr>
          <w:rFonts w:ascii="宋体" w:hAnsi="宋体"/>
          <w:sz w:val="24"/>
        </w:rPr>
      </w:pPr>
      <w:r>
        <w:rPr>
          <w:rFonts w:ascii="宋体" w:hAnsi="宋体"/>
          <w:sz w:val="24"/>
        </w:rPr>
      </w:r>
      <w:r/>
    </w:p>
    <w:p>
      <w:pPr>
        <w:pStyle w:val="859"/>
        <w:jc w:val="center"/>
        <w:spacing w:before="240" w:after="240" w:line="360" w:lineRule="auto"/>
        <w:rPr>
          <w:rFonts w:ascii="宋体" w:hAnsi="宋体"/>
          <w:b/>
          <w:bCs/>
          <w:sz w:val="36"/>
          <w:szCs w:val="36"/>
        </w:rPr>
      </w:pPr>
      <w:r>
        <w:rPr>
          <w:rFonts w:ascii="宋体" w:hAnsi="宋体"/>
          <w:b/>
          <w:bCs/>
          <w:sz w:val="36"/>
          <w:szCs w:val="36"/>
        </w:rPr>
        <w:br w:type="page" w:clear="all"/>
      </w:r>
      <w:r/>
    </w:p>
    <w:p>
      <w:pPr>
        <w:pStyle w:val="859"/>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859"/>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859"/>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859"/>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859"/>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59"/>
        <w:ind w:firstLine="504"/>
        <w:spacing w:line="588" w:lineRule="exact"/>
        <w:rPr>
          <w:rFonts w:ascii="宋体" w:hAnsi="宋体"/>
          <w:spacing w:val="6"/>
          <w:sz w:val="24"/>
        </w:rPr>
      </w:pPr>
      <w:r>
        <w:rPr>
          <w:rFonts w:ascii="宋体" w:hAnsi="宋体"/>
          <w:spacing w:val="6"/>
          <w:sz w:val="24"/>
        </w:rPr>
      </w:r>
      <w:r/>
    </w:p>
    <w:p>
      <w:pPr>
        <w:pStyle w:val="859"/>
        <w:ind w:firstLine="504"/>
        <w:spacing w:line="588" w:lineRule="exact"/>
        <w:rPr>
          <w:rFonts w:ascii="宋体" w:hAnsi="宋体"/>
          <w:spacing w:val="6"/>
          <w:sz w:val="24"/>
        </w:rPr>
      </w:pPr>
      <w:r>
        <w:rPr>
          <w:rFonts w:ascii="宋体" w:hAnsi="宋体"/>
          <w:spacing w:val="6"/>
          <w:sz w:val="24"/>
        </w:rPr>
      </w:r>
      <w:r/>
    </w:p>
    <w:p>
      <w:pPr>
        <w:pStyle w:val="859"/>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859"/>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859"/>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w:t>
      </w:r>
      <w:r>
        <w:rPr>
          <w:rFonts w:ascii="宋体" w:hAnsi="宋体"/>
          <w:b/>
          <w:sz w:val="24"/>
          <w:szCs w:val="20"/>
        </w:rPr>
        <w:t xml:space="preserve">1</w:t>
      </w:r>
      <w:r>
        <w:rPr>
          <w:rFonts w:hint="eastAsia" w:ascii="宋体" w:hAnsi="宋体"/>
          <w:b/>
          <w:sz w:val="24"/>
          <w:szCs w:val="20"/>
        </w:rPr>
        <w:t xml:space="preserve">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922"/>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22"/>
        <w:ind w:firstLine="420"/>
        <w:spacing w:before="0" w:beforeAutospacing="0" w:after="0" w:afterAutospacing="0" w:line="0" w:lineRule="atLeas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2"/>
        <w:ind w:firstLine="420"/>
        <w:spacing w:before="30" w:beforeAutospacing="0" w:after="30" w:afterAutospacing="0" w:line="0" w:lineRule="atLeast"/>
        <w:rPr>
          <w:rFonts w:hint="eastAsia" w:cs="方正魏碑_GBK"/>
        </w:rPr>
      </w:pPr>
      <w:r>
        <w:rPr>
          <w:rFonts w:hint="eastAsia"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shd w:val="clear" w:color="auto" w:fill="ffffff"/>
        </w:rPr>
        <w:t xml:space="preserve">1.</w:t>
      </w:r>
      <w:r>
        <w:rPr>
          <w:rStyle w:val="935"/>
          <w:rFonts w:hint="eastAsia" w:cs="方正魏碑_GBK"/>
          <w:color w:val="000000"/>
          <w:u w:val="single"/>
          <w:shd w:val="clear" w:color="auto" w:fill="ffffff"/>
        </w:rPr>
        <w:t xml:space="preserve">（产品名称1）</w:t>
      </w:r>
      <w:r>
        <w:rPr>
          <w:rStyle w:val="935"/>
          <w:rFonts w:hint="eastAsia" w:cs="方正魏碑_GBK"/>
          <w:color w:val="000000"/>
          <w:shd w:val="clear" w:color="auto" w:fill="ffffff"/>
          <w:vertAlign w:val="superscript"/>
        </w:rPr>
        <w:t xml:space="preserve">1</w:t>
      </w:r>
      <w:r>
        <w:rPr>
          <w:rFonts w:hint="eastAsia" w:cs="方正魏碑_GBK"/>
          <w:shd w:val="clear" w:color="auto" w:fill="ffffff"/>
        </w:rPr>
        <w:t xml:space="preserve">，生产厂为</w:t>
      </w:r>
      <w:r>
        <w:rPr>
          <w:rStyle w:val="935"/>
          <w:rFonts w:hint="eastAsia" w:cs="方正魏碑_GBK"/>
          <w:color w:val="000000"/>
          <w:u w:val="single"/>
          <w:shd w:val="clear" w:color="auto" w:fill="ffffff"/>
        </w:rPr>
        <w:t xml:space="preserve">（厂名）</w:t>
      </w:r>
      <w:r>
        <w:rPr>
          <w:rStyle w:val="935"/>
          <w:rFonts w:hint="eastAsia" w:cs="方正魏碑_GBK"/>
          <w:color w:val="000000"/>
          <w:shd w:val="clear" w:color="auto" w:fill="ffffff"/>
          <w:vertAlign w:val="superscript"/>
        </w:rPr>
        <w:t xml:space="preserve">2</w:t>
      </w:r>
      <w:r>
        <w:rPr>
          <w:rFonts w:hint="eastAsia" w:cs="方正魏碑_GBK"/>
          <w:shd w:val="clear" w:color="auto" w:fill="ffffff"/>
        </w:rPr>
        <w:t xml:space="preserve">，厂址为</w:t>
      </w:r>
      <w:r>
        <w:rPr>
          <w:rStyle w:val="935"/>
          <w:rFonts w:hint="eastAsia" w:cs="方正魏碑_GBK"/>
          <w:color w:val="00000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935"/>
          <w:rFonts w:hint="eastAsia" w:cs="方正魏碑_GBK"/>
          <w:color w:val="000000"/>
          <w:u w:val="single"/>
          <w:shd w:val="clear" w:color="auto" w:fill="ffffff"/>
        </w:rPr>
        <w:t xml:space="preserve">（产品名称1） </w:t>
      </w:r>
      <w:r>
        <w:rPr>
          <w:rFonts w:hint="eastAsia" w:cs="方正魏碑_GBK"/>
          <w:shd w:val="clear" w:color="auto" w:fill="ffffff"/>
        </w:rPr>
        <w:t xml:space="preserve">的中国境内生产的组件成本占比≥</w:t>
      </w:r>
      <w:r>
        <w:rPr>
          <w:rStyle w:val="935"/>
          <w:rFonts w:hint="eastAsia" w:cs="方正魏碑_GBK"/>
          <w:color w:val="000000"/>
          <w:u w:val="single"/>
          <w:shd w:val="clear" w:color="auto" w:fill="ffffff"/>
        </w:rPr>
        <w:t xml:space="preserve">（规定</w:t>
      </w:r>
      <w:r>
        <w:rPr>
          <w:rStyle w:val="935"/>
          <w:rFonts w:cs="方正魏碑_GBK"/>
          <w:color w:val="000000"/>
          <w:u w:val="single"/>
          <w:shd w:val="clear" w:color="auto" w:fill="ffffff"/>
        </w:rPr>
        <w:t xml:space="preserve">比例</w:t>
      </w:r>
      <w:r>
        <w:rPr>
          <w:rStyle w:val="935"/>
          <w:rFonts w:hint="eastAsia" w:cs="方正魏碑_GBK"/>
          <w:color w:val="000000"/>
          <w:u w:val="single"/>
          <w:shd w:val="clear" w:color="auto" w:fill="ffffff"/>
        </w:rPr>
        <w:t xml:space="preserve">）</w:t>
      </w:r>
      <w:r>
        <w:rPr>
          <w:rStyle w:val="935"/>
          <w:rFonts w:hint="eastAsia" w:cs="方正魏碑_GBK"/>
          <w:color w:val="000000"/>
          <w:shd w:val="clear" w:color="auto" w:fill="ffffff"/>
          <w:vertAlign w:val="superscript"/>
        </w:rPr>
        <w:t xml:space="preserve">3</w:t>
      </w:r>
      <w:r>
        <w:rPr>
          <w:rFonts w:hint="eastAsia" w:cs="方正魏碑_GBK"/>
          <w:shd w:val="clear" w:color="auto" w:fill="ffffff"/>
        </w:rPr>
        <w:t xml:space="preserve">。</w:t>
      </w:r>
      <w:r>
        <w:rPr>
          <w:rStyle w:val="935"/>
          <w:rFonts w:hint="eastAsia" w:cs="方正魏碑_GBK"/>
          <w:color w:val="000000"/>
          <w:u w:val="single"/>
          <w:shd w:val="clear" w:color="auto" w:fill="ffffff"/>
        </w:rPr>
        <w:t xml:space="preserve">（产品名称1）</w:t>
      </w:r>
      <w:r>
        <w:rPr>
          <w:rFonts w:hint="eastAsia" w:cs="方正魏碑_GBK"/>
          <w:shd w:val="clear" w:color="auto" w:fill="ffffff"/>
        </w:rPr>
        <w:t xml:space="preserve">的</w:t>
      </w:r>
      <w:r>
        <w:rPr>
          <w:rStyle w:val="935"/>
          <w:rFonts w:hint="eastAsia" w:cs="方正魏碑_GBK"/>
          <w:color w:val="000000"/>
          <w:u w:val="single"/>
          <w:shd w:val="clear" w:color="auto" w:fill="ffffff"/>
        </w:rPr>
        <w:t xml:space="preserve">（关键</w:t>
      </w:r>
      <w:r>
        <w:rPr>
          <w:rStyle w:val="935"/>
          <w:rFonts w:cs="方正魏碑_GBK"/>
          <w:color w:val="000000"/>
          <w:u w:val="single"/>
          <w:shd w:val="clear" w:color="auto" w:fill="ffffff"/>
        </w:rPr>
        <w:t xml:space="preserve">组件</w:t>
      </w:r>
      <w:r>
        <w:rPr>
          <w:rStyle w:val="935"/>
          <w:rFonts w:hint="eastAsia" w:cs="方正魏碑_GBK"/>
          <w:color w:val="000000"/>
          <w:u w:val="single"/>
          <w:shd w:val="clear" w:color="auto" w:fill="ffffff"/>
        </w:rPr>
        <w:t xml:space="preserve">）</w:t>
      </w:r>
      <w:r>
        <w:rPr>
          <w:rStyle w:val="935"/>
          <w:rFonts w:hint="eastAsia" w:cs="方正魏碑_GBK"/>
          <w:color w:val="000000"/>
          <w:shd w:val="clear" w:color="auto" w:fill="ffffff"/>
          <w:vertAlign w:val="superscript"/>
        </w:rPr>
        <w:t xml:space="preserve">4</w:t>
      </w:r>
      <w:r>
        <w:rPr>
          <w:rFonts w:hint="eastAsia" w:cs="方正魏碑_GBK"/>
          <w:shd w:val="clear" w:color="auto" w:fill="ffffff"/>
        </w:rPr>
        <w:t xml:space="preserve">在中国境内生产。</w:t>
      </w:r>
      <w:r>
        <w:rPr>
          <w:rStyle w:val="935"/>
          <w:rFonts w:hint="eastAsia" w:cs="方正魏碑_GBK"/>
          <w:color w:val="000000"/>
          <w:u w:val="single"/>
          <w:shd w:val="clear" w:color="auto" w:fill="ffffff"/>
        </w:rPr>
        <w:t xml:space="preserve">（产品名称1）</w:t>
      </w:r>
      <w:r>
        <w:rPr>
          <w:rFonts w:hint="eastAsia" w:cs="方正魏碑_GBK"/>
          <w:shd w:val="clear" w:color="auto" w:fill="ffffff"/>
        </w:rPr>
        <w:t xml:space="preserve">的</w:t>
      </w:r>
      <w:r>
        <w:rPr>
          <w:rStyle w:val="935"/>
          <w:rFonts w:hint="eastAsia" w:cs="方正魏碑_GBK"/>
          <w:color w:val="000000"/>
          <w:u w:val="single"/>
          <w:shd w:val="clear" w:color="auto" w:fill="ffffff"/>
        </w:rPr>
        <w:t xml:space="preserve">（关键工序）</w:t>
      </w:r>
      <w:r>
        <w:rPr>
          <w:rStyle w:val="935"/>
          <w:rFonts w:hint="eastAsia" w:cs="方正魏碑_GBK"/>
          <w:color w:val="000000"/>
          <w:shd w:val="clear" w:color="auto" w:fill="ffffff"/>
          <w:vertAlign w:val="superscript"/>
        </w:rPr>
        <w:t xml:space="preserve">5</w:t>
      </w:r>
      <w:r>
        <w:rPr>
          <w:rFonts w:hint="eastAsia" w:cs="方正魏碑_GBK"/>
          <w:shd w:val="clear" w:color="auto" w:fill="ffffff"/>
        </w:rPr>
        <w:t xml:space="preserve">在中国境内完成。</w:t>
      </w:r>
      <w:r>
        <w:rPr>
          <w:rFonts w:hint="eastAsia" w:cs="方正魏碑_GBK"/>
        </w:rPr>
      </w:r>
      <w:r/>
    </w:p>
    <w:p>
      <w:pPr>
        <w:pStyle w:val="922"/>
        <w:ind w:firstLine="420"/>
        <w:spacing w:before="30" w:beforeAutospacing="0" w:after="30" w:afterAutospacing="0" w:line="0" w:lineRule="atLeast"/>
        <w:rPr>
          <w:rFonts w:hint="eastAsia" w:cs="方正魏碑_GBK"/>
        </w:rPr>
      </w:pPr>
      <w:r>
        <w:rPr>
          <w:rFonts w:hint="eastAsia"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shd w:val="clear" w:color="auto" w:fill="ffffff"/>
        </w:rPr>
        <w:t xml:space="preserve">2.</w:t>
      </w:r>
      <w:r>
        <w:rPr>
          <w:rStyle w:val="935"/>
          <w:rFonts w:hint="eastAsia" w:cs="方正魏碑_GBK"/>
          <w:color w:val="000000"/>
          <w:u w:val="single"/>
          <w:shd w:val="clear" w:color="auto" w:fill="ffffff"/>
        </w:rPr>
        <w:t xml:space="preserve">（产品名称2）</w:t>
      </w:r>
      <w:r>
        <w:rPr>
          <w:rFonts w:hint="eastAsia" w:cs="方正魏碑_GBK"/>
          <w:shd w:val="clear" w:color="auto" w:fill="ffffff"/>
        </w:rPr>
        <w:t xml:space="preserve">，生产厂为</w:t>
      </w:r>
      <w:r>
        <w:rPr>
          <w:rStyle w:val="935"/>
          <w:rFonts w:hint="eastAsia" w:cs="方正魏碑_GBK"/>
          <w:color w:val="000000"/>
          <w:u w:val="single"/>
          <w:shd w:val="clear" w:color="auto" w:fill="ffffff"/>
        </w:rPr>
        <w:t xml:space="preserve">（厂名）</w:t>
      </w:r>
      <w:r>
        <w:rPr>
          <w:rFonts w:hint="eastAsia" w:cs="方正魏碑_GBK"/>
          <w:shd w:val="clear" w:color="auto" w:fill="ffffff"/>
        </w:rPr>
        <w:t xml:space="preserve">，厂址为</w:t>
      </w:r>
      <w:r>
        <w:rPr>
          <w:rStyle w:val="935"/>
          <w:rFonts w:hint="eastAsia" w:cs="方正魏碑_GBK"/>
          <w:color w:val="000000"/>
          <w:u w:val="single"/>
          <w:shd w:val="clear" w:color="auto" w:fill="ffffff"/>
        </w:rPr>
        <w:t xml:space="preserve">（生产厂址）</w:t>
      </w:r>
      <w:r>
        <w:rPr>
          <w:rFonts w:hint="eastAsia" w:cs="方正魏碑_GBK"/>
          <w:shd w:val="clear" w:color="auto" w:fill="ffffff"/>
        </w:rPr>
        <w:t xml:space="preserve">。</w:t>
      </w:r>
      <w:r>
        <w:rPr>
          <w:rStyle w:val="935"/>
          <w:rFonts w:hint="eastAsia" w:cs="方正魏碑_GBK"/>
          <w:color w:val="000000"/>
          <w:u w:val="single"/>
          <w:shd w:val="clear" w:color="auto" w:fill="ffffff"/>
        </w:rPr>
        <w:t xml:space="preserve">（产品名称2）</w:t>
      </w:r>
      <w:r>
        <w:rPr>
          <w:rFonts w:hint="eastAsia" w:cs="方正魏碑_GBK"/>
          <w:shd w:val="clear" w:color="auto" w:fill="ffffff"/>
        </w:rPr>
        <w:t xml:space="preserve">的中国境内生产的组件成本占比≥</w:t>
      </w:r>
      <w:r>
        <w:rPr>
          <w:rStyle w:val="935"/>
          <w:rFonts w:hint="eastAsia" w:cs="方正魏碑_GBK"/>
          <w:color w:val="000000"/>
          <w:u w:val="single"/>
          <w:shd w:val="clear" w:color="auto" w:fill="ffffff"/>
        </w:rPr>
        <w:t xml:space="preserve">（规定</w:t>
      </w:r>
      <w:r>
        <w:rPr>
          <w:rStyle w:val="935"/>
          <w:rFonts w:cs="方正魏碑_GBK"/>
          <w:color w:val="000000"/>
          <w:u w:val="single"/>
          <w:shd w:val="clear" w:color="auto" w:fill="ffffff"/>
        </w:rPr>
        <w:t xml:space="preserve">比例</w:t>
      </w:r>
      <w:r>
        <w:rPr>
          <w:rStyle w:val="935"/>
          <w:rFonts w:hint="eastAsia" w:cs="方正魏碑_GBK"/>
          <w:color w:val="000000"/>
          <w:u w:val="single"/>
          <w:shd w:val="clear" w:color="auto" w:fill="ffffff"/>
        </w:rPr>
        <w:t xml:space="preserve">）</w:t>
      </w:r>
      <w:r>
        <w:rPr>
          <w:rFonts w:hint="eastAsia" w:cs="方正魏碑_GBK"/>
          <w:shd w:val="clear" w:color="auto" w:fill="ffffff"/>
        </w:rPr>
        <w:t xml:space="preserve">。</w:t>
      </w:r>
      <w:r>
        <w:rPr>
          <w:rStyle w:val="935"/>
          <w:rFonts w:hint="eastAsia" w:cs="方正魏碑_GBK"/>
          <w:color w:val="000000"/>
          <w:u w:val="single"/>
          <w:shd w:val="clear" w:color="auto" w:fill="ffffff"/>
        </w:rPr>
        <w:t xml:space="preserve">（产品名称2）</w:t>
      </w:r>
      <w:r>
        <w:rPr>
          <w:rFonts w:hint="eastAsia" w:cs="方正魏碑_GBK"/>
          <w:shd w:val="clear" w:color="auto" w:fill="ffffff"/>
        </w:rPr>
        <w:t xml:space="preserve">的</w:t>
      </w:r>
      <w:r>
        <w:rPr>
          <w:rStyle w:val="935"/>
          <w:rFonts w:hint="eastAsia" w:cs="方正魏碑_GBK"/>
          <w:color w:val="000000"/>
          <w:u w:val="single"/>
          <w:shd w:val="clear" w:color="auto" w:fill="ffffff"/>
        </w:rPr>
        <w:t xml:space="preserve">（关键</w:t>
      </w:r>
      <w:r>
        <w:rPr>
          <w:rStyle w:val="935"/>
          <w:rFonts w:cs="方正魏碑_GBK"/>
          <w:color w:val="000000"/>
          <w:u w:val="single"/>
          <w:shd w:val="clear" w:color="auto" w:fill="ffffff"/>
        </w:rPr>
        <w:t xml:space="preserve">组件</w:t>
      </w:r>
      <w:r>
        <w:rPr>
          <w:rStyle w:val="935"/>
          <w:rFonts w:hint="eastAsia" w:cs="方正魏碑_GBK"/>
          <w:color w:val="000000"/>
          <w:u w:val="single"/>
          <w:shd w:val="clear" w:color="auto" w:fill="ffffff"/>
        </w:rPr>
        <w:t xml:space="preserve">）</w:t>
      </w:r>
      <w:r>
        <w:rPr>
          <w:rFonts w:hint="eastAsia" w:cs="方正魏碑_GBK"/>
          <w:shd w:val="clear" w:color="auto" w:fill="ffffff"/>
        </w:rPr>
        <w:t xml:space="preserve">在中国境内生产。</w:t>
      </w:r>
      <w:r>
        <w:rPr>
          <w:rStyle w:val="935"/>
          <w:rFonts w:hint="eastAsia" w:cs="方正魏碑_GBK"/>
          <w:color w:val="000000"/>
          <w:u w:val="single"/>
          <w:shd w:val="clear" w:color="auto" w:fill="ffffff"/>
        </w:rPr>
        <w:t xml:space="preserve">（产品名称2）</w:t>
      </w:r>
      <w:r>
        <w:rPr>
          <w:rFonts w:hint="eastAsia" w:cs="方正魏碑_GBK"/>
          <w:shd w:val="clear" w:color="auto" w:fill="ffffff"/>
        </w:rPr>
        <w:t xml:space="preserve">的</w:t>
      </w:r>
      <w:r>
        <w:rPr>
          <w:rStyle w:val="935"/>
          <w:rFonts w:hint="eastAsia" w:cs="方正魏碑_GBK"/>
          <w:color w:val="000000"/>
          <w:u w:val="single"/>
          <w:shd w:val="clear" w:color="auto" w:fill="ffffff"/>
        </w:rPr>
        <w:t xml:space="preserve">（关键工序）</w:t>
      </w:r>
      <w:r>
        <w:rPr>
          <w:rFonts w:hint="eastAsia" w:cs="方正魏碑_GBK"/>
          <w:shd w:val="clear" w:color="auto" w:fill="ffffff"/>
        </w:rPr>
        <w:t xml:space="preserve">在中国境内完成。</w:t>
      </w:r>
      <w:r>
        <w:rPr>
          <w:rFonts w:hint="eastAsia" w:cs="方正魏碑_GBK"/>
        </w:rPr>
      </w:r>
      <w:r/>
    </w:p>
    <w:p>
      <w:pPr>
        <w:pStyle w:val="922"/>
        <w:ind w:firstLine="420"/>
        <w:spacing w:before="30" w:beforeAutospacing="0" w:after="30" w:afterAutospacing="0" w:line="0" w:lineRule="atLeast"/>
        <w:rPr>
          <w:rFonts w:hint="eastAsia" w:cs="方正魏碑_GBK"/>
        </w:rPr>
      </w:pPr>
      <w:r>
        <w:rPr>
          <w:rFonts w:hint="eastAsia" w:cs="方正魏碑_GBK"/>
          <w:shd w:val="clear" w:color="auto" w:fill="ffffff"/>
        </w:rPr>
        <w:t xml:space="preserve">……</w:t>
      </w:r>
      <w:r>
        <w:rPr>
          <w:rFonts w:hint="eastAsia" w:cs="方正魏碑_GBK"/>
        </w:rPr>
      </w:r>
      <w:r/>
    </w:p>
    <w:p>
      <w:pPr>
        <w:pStyle w:val="922"/>
        <w:ind w:firstLine="420"/>
        <w:spacing w:before="30" w:beforeAutospacing="0" w:after="30" w:afterAutospacing="0" w:line="0" w:lineRule="atLeast"/>
        <w:rPr>
          <w:rFonts w:hint="eastAsia" w:cs="方正魏碑_GBK"/>
        </w:rPr>
      </w:pPr>
      <w:r>
        <w:rPr>
          <w:rFonts w:hint="eastAsia" w:cs="方正魏碑_GBK"/>
          <w:shd w:val="clear" w:color="auto" w:fill="ffffff"/>
        </w:rPr>
        <w:t xml:space="preserve">本公司（单位）对上述声明内容的真实性负责。如有虚假，愿承担相应法律责任。</w:t>
      </w:r>
      <w:r>
        <w:rPr>
          <w:rFonts w:hint="eastAsia" w:cs="方正魏碑_GBK"/>
        </w:rPr>
      </w:r>
      <w:r/>
    </w:p>
    <w:p>
      <w:pPr>
        <w:pStyle w:val="922"/>
        <w:spacing w:before="30" w:beforeAutospacing="0" w:after="30" w:afterAutospacing="0" w:line="0" w:lineRule="atLeast"/>
        <w:rPr>
          <w:rFonts w:hint="eastAsia" w:cs="方正魏碑_GBK"/>
        </w:rPr>
      </w:pPr>
      <w:r>
        <w:rPr>
          <w:rFonts w:hint="eastAsia" w:cs="方正魏碑_GBK"/>
        </w:rPr>
      </w:r>
      <w:r/>
    </w:p>
    <w:p>
      <w:pPr>
        <w:pStyle w:val="922"/>
        <w:ind w:right="480" w:firstLine="3720"/>
        <w:spacing w:before="30" w:beforeAutospacing="0" w:after="30" w:afterAutospacing="0" w:line="0" w:lineRule="atLeast"/>
        <w:rPr>
          <w:rFonts w:hint="eastAsia" w:cs="方正魏碑_GBK"/>
        </w:rPr>
      </w:pPr>
      <w:r>
        <w:rPr>
          <w:rFonts w:hint="eastAsia" w:cs="方正魏碑_GBK"/>
          <w:shd w:val="clear" w:color="auto" w:fill="ffffff"/>
        </w:rPr>
        <w:t xml:space="preserve">公司（单位）名称（盖章）：　        </w:t>
      </w:r>
      <w:r>
        <w:rPr>
          <w:rFonts w:hint="eastAsia" w:cs="方正魏碑_GBK"/>
        </w:rPr>
      </w:r>
      <w:r/>
    </w:p>
    <w:p>
      <w:pPr>
        <w:pStyle w:val="922"/>
        <w:jc w:val="center"/>
        <w:spacing w:before="30" w:beforeAutospacing="0" w:after="30" w:afterAutospacing="0" w:line="0" w:lineRule="atLeast"/>
        <w:rPr>
          <w:rFonts w:hint="eastAsia" w:cs="方正魏碑_GBK"/>
        </w:rPr>
      </w:pPr>
      <w:r>
        <w:rPr>
          <w:rFonts w:hint="eastAsia" w:cs="方正魏碑_GBK"/>
          <w:shd w:val="clear" w:color="auto" w:fill="ffffff"/>
        </w:rPr>
        <w:t xml:space="preserve">                    </w:t>
      </w:r>
      <w:r>
        <w:rPr>
          <w:rFonts w:cs="方正魏碑_GBK"/>
          <w:shd w:val="clear" w:color="auto" w:fill="ffffff"/>
        </w:rPr>
        <w:t xml:space="preserve">            </w:t>
      </w:r>
      <w:r>
        <w:rPr>
          <w:rFonts w:hint="eastAsia" w:cs="方正魏碑_GBK"/>
          <w:shd w:val="clear" w:color="auto" w:fill="ffffff"/>
        </w:rPr>
        <w:t xml:space="preserve">日期：　   </w:t>
      </w:r>
      <w:r>
        <w:rPr>
          <w:rFonts w:hint="eastAsia"/>
          <w:shd w:val="clear" w:color="auto" w:fill="ffffff"/>
        </w:rPr>
        <w:t xml:space="preserve">年　</w:t>
      </w:r>
      <w:r>
        <w:rPr>
          <w:rFonts w:hint="eastAsia" w:cs="方正魏碑_GBK"/>
          <w:shd w:val="clear" w:color="auto" w:fill="ffffff"/>
        </w:rPr>
        <w:t xml:space="preserve">  </w:t>
      </w:r>
      <w:r>
        <w:rPr>
          <w:rFonts w:hint="eastAsia"/>
          <w:shd w:val="clear" w:color="auto" w:fill="ffffff"/>
        </w:rPr>
        <w:t xml:space="preserve">月　</w:t>
      </w:r>
      <w:r>
        <w:rPr>
          <w:rFonts w:hint="eastAsia" w:cs="方正魏碑_GBK"/>
          <w:shd w:val="clear" w:color="auto" w:fill="ffffff"/>
        </w:rPr>
        <w:t xml:space="preserve">  </w:t>
      </w:r>
      <w:r>
        <w:rPr>
          <w:rFonts w:hint="eastAsia"/>
          <w:shd w:val="clear" w:color="auto" w:fill="ffffff"/>
        </w:rPr>
        <w:t xml:space="preserve">日</w:t>
      </w:r>
      <w:r>
        <w:rPr>
          <w:rFonts w:hint="eastAsia" w:cs="方正魏碑_GBK"/>
          <w:shd w:val="clear" w:color="auto" w:fill="ffffff"/>
        </w:rPr>
        <w:t xml:space="preserve">         </w:t>
      </w:r>
      <w:r>
        <w:rPr>
          <w:rFonts w:hint="eastAsia" w:cs="方正魏碑_GBK"/>
        </w:rPr>
      </w:r>
      <w:r/>
    </w:p>
    <w:p>
      <w:pPr>
        <w:pStyle w:val="922"/>
        <w:spacing w:before="30" w:beforeAutospacing="0" w:after="30" w:afterAutospacing="0" w:line="0" w:lineRule="atLeast"/>
        <w:rPr>
          <w:rFonts w:hint="eastAsia" w:cs="方正魏碑_GBK"/>
        </w:rPr>
      </w:pPr>
      <w:r>
        <w:rPr>
          <w:rFonts w:hint="eastAsia" w:cs="方正魏碑_GBK"/>
          <w:shd w:val="clear" w:color="auto" w:fill="ffffff"/>
        </w:rPr>
        <w:t xml:space="preserve">__________________</w:t>
      </w:r>
      <w:r>
        <w:rPr>
          <w:rFonts w:hint="eastAsia" w:cs="方正魏碑_GBK"/>
        </w:rPr>
      </w:r>
      <w:r/>
    </w:p>
    <w:p>
      <w:pPr>
        <w:pStyle w:val="922"/>
        <w:spacing w:before="30" w:beforeAutospacing="0" w:after="30" w:afterAutospacing="0" w:line="0" w:lineRule="atLeast"/>
        <w:rPr>
          <w:rFonts w:hint="eastAsia" w:cs="方正魏碑_GBK"/>
          <w:sz w:val="22"/>
        </w:rPr>
      </w:pPr>
      <w:r>
        <w:rPr>
          <w:rFonts w:hint="eastAsia" w:cs="方正魏碑_GBK"/>
          <w:sz w:val="22"/>
          <w:shd w:val="clear" w:color="auto" w:fill="ffffff"/>
        </w:rPr>
        <w:t xml:space="preserve">1.产品如有型号，请在“产品名称”栏一并填写。</w:t>
      </w:r>
      <w:r>
        <w:rPr>
          <w:rFonts w:hint="eastAsia" w:cs="方正魏碑_GBK"/>
          <w:sz w:val="22"/>
        </w:rPr>
      </w:r>
      <w:r/>
    </w:p>
    <w:p>
      <w:pPr>
        <w:pStyle w:val="922"/>
        <w:spacing w:before="30" w:beforeAutospacing="0" w:after="30" w:afterAutospacing="0" w:line="0" w:lineRule="atLeast"/>
        <w:rPr>
          <w:rFonts w:hint="eastAsia" w:cs="方正魏碑_GBK"/>
          <w:sz w:val="22"/>
        </w:rPr>
      </w:pPr>
      <w:r>
        <w:rPr>
          <w:rFonts w:hint="eastAsia" w:cs="方正魏碑_GBK"/>
          <w:sz w:val="22"/>
          <w:shd w:val="clear" w:color="auto" w:fill="ffffff"/>
        </w:rPr>
        <w:t xml:space="preserve">2.生产厂名与厂址应与生产厂营业执照载明的相关信息保持一致。</w:t>
      </w:r>
      <w:r>
        <w:rPr>
          <w:rFonts w:hint="eastAsia" w:cs="方正魏碑_GBK"/>
          <w:sz w:val="22"/>
        </w:rPr>
      </w:r>
      <w:r/>
    </w:p>
    <w:p>
      <w:pPr>
        <w:pStyle w:val="922"/>
        <w:spacing w:before="30" w:beforeAutospacing="0" w:after="30" w:afterAutospacing="0" w:line="0" w:lineRule="atLeast"/>
        <w:rPr>
          <w:rFonts w:hint="eastAsia" w:cs="方正魏碑_GBK"/>
          <w:sz w:val="22"/>
        </w:rPr>
      </w:pPr>
      <w:r>
        <w:rPr>
          <w:rFonts w:hint="eastAsia" w:cs="方正魏碑_GBK"/>
          <w:sz w:val="22"/>
          <w:shd w:val="clear" w:color="auto" w:fill="ffffff"/>
        </w:rPr>
        <w:t xml:space="preserve">3.该产品的中国境内生产的组件成本占比相关要求实施前，“规定比例”栏可不填，下同。</w:t>
      </w:r>
      <w:r>
        <w:rPr>
          <w:rFonts w:hint="eastAsia" w:cs="方正魏碑_GBK"/>
          <w:sz w:val="22"/>
        </w:rPr>
      </w:r>
      <w:r/>
    </w:p>
    <w:p>
      <w:pPr>
        <w:pStyle w:val="922"/>
        <w:spacing w:before="30" w:beforeAutospacing="0" w:after="30" w:afterAutospacing="0" w:line="0" w:lineRule="atLeast"/>
        <w:rPr>
          <w:rFonts w:hint="eastAsia" w:cs="方正魏碑_GBK"/>
          <w:sz w:val="22"/>
        </w:rPr>
      </w:pPr>
      <w:r>
        <w:rPr>
          <w:rFonts w:hint="eastAsia" w:cs="方正魏碑_GBK"/>
          <w:sz w:val="22"/>
          <w:shd w:val="clear" w:color="auto" w:fill="ffffff"/>
        </w:rPr>
        <w:t xml:space="preserve">4.该产品的关键组件要求实施前，“关键组件”栏可不填，下同。</w:t>
      </w:r>
      <w:r>
        <w:rPr>
          <w:rFonts w:hint="eastAsia" w:cs="方正魏碑_GBK"/>
          <w:sz w:val="22"/>
        </w:rPr>
      </w:r>
      <w:r/>
    </w:p>
    <w:p>
      <w:pPr>
        <w:pStyle w:val="922"/>
        <w:spacing w:before="30" w:beforeAutospacing="0" w:after="30" w:afterAutospacing="0" w:line="0" w:lineRule="atLeast"/>
        <w:rPr>
          <w:rFonts w:cs="方正魏碑_GBK"/>
          <w:sz w:val="22"/>
          <w:shd w:val="clear" w:color="auto" w:fill="ffffff"/>
        </w:rPr>
      </w:pPr>
      <w:r>
        <w:rPr>
          <w:rFonts w:hint="eastAsia" w:cs="方正魏碑_GBK"/>
          <w:sz w:val="22"/>
          <w:shd w:val="clear" w:color="auto" w:fill="ffffff"/>
        </w:rPr>
        <w:t xml:space="preserve">5.该产品的关键工序要求实施前，“关键工序”栏可不填，下同。</w:t>
      </w:r>
      <w:r>
        <w:rPr>
          <w:rFonts w:cs="方正魏碑_GBK"/>
          <w:sz w:val="22"/>
          <w:shd w:val="clear" w:color="auto" w:fill="ffffff"/>
        </w:rPr>
      </w:r>
      <w:r/>
    </w:p>
    <w:p>
      <w:pPr>
        <w:pStyle w:val="922"/>
        <w:spacing w:before="30" w:beforeAutospacing="0" w:after="30" w:afterAutospacing="0" w:line="0" w:lineRule="atLeast"/>
        <w:rPr>
          <w:rFonts w:cs="方正魏碑_GBK"/>
          <w:sz w:val="22"/>
          <w:shd w:val="clear" w:color="auto" w:fill="ffffff"/>
        </w:rPr>
      </w:pPr>
      <w:r>
        <w:rPr>
          <w:rFonts w:hint="eastAsia" w:cs="方正魏碑_GBK"/>
          <w:sz w:val="22"/>
          <w:shd w:val="clear" w:color="auto" w:fill="ffffff"/>
        </w:rPr>
        <w:t xml:space="preserve">6.用斜线划除的地方无需填写。</w:t>
      </w:r>
      <w:r>
        <w:rPr>
          <w:rFonts w:cs="方正魏碑_GBK"/>
          <w:sz w:val="22"/>
          <w:shd w:val="clear" w:color="auto" w:fill="ffffff"/>
        </w:rPr>
      </w:r>
      <w:r/>
    </w:p>
    <w:p>
      <w:pPr>
        <w:pStyle w:val="859"/>
        <w:rPr>
          <w:rFonts w:ascii="方正魏碑_GBK" w:hAnsi="方正魏碑_GBK" w:eastAsia="方正魏碑_GBK" w:cs="方正魏碑_GBK"/>
        </w:rPr>
      </w:pPr>
      <w:r>
        <w:rPr>
          <w:rFonts w:hint="eastAsia" w:ascii="宋体" w:hAnsi="宋体"/>
          <w:b/>
          <w:sz w:val="24"/>
        </w:rPr>
        <w:br w:type="page" w:clear="all"/>
        <w:t xml:space="preserve">1</w:t>
      </w:r>
      <w:r>
        <w:rPr>
          <w:rFonts w:ascii="宋体" w:hAnsi="宋体"/>
          <w:b/>
          <w:sz w:val="24"/>
        </w:rPr>
        <w:t xml:space="preserve">2  </w:t>
      </w:r>
      <w:r>
        <w:rPr>
          <w:rFonts w:hint="eastAsia" w:ascii="宋体" w:hAnsi="宋体"/>
          <w:b/>
          <w:sz w:val="24"/>
        </w:rPr>
        <w:t xml:space="preserve">项目实施方案等，包括但不限于如下主题：</w:t>
      </w:r>
      <w:r>
        <w:rPr>
          <w:rFonts w:ascii="方正魏碑_GBK" w:hAnsi="方正魏碑_GBK" w:eastAsia="方正魏碑_GBK" w:cs="方正魏碑_GBK"/>
        </w:rPr>
      </w:r>
      <w:r/>
    </w:p>
    <w:p>
      <w:pPr>
        <w:pStyle w:val="859"/>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859"/>
        <w:ind w:firstLine="480"/>
        <w:spacing w:line="560" w:lineRule="exact"/>
        <w:rPr>
          <w:rFonts w:hint="eastAsia" w:ascii="宋体" w:hAnsi="宋体"/>
          <w:sz w:val="24"/>
          <w:szCs w:val="20"/>
        </w:rPr>
      </w:pPr>
      <w:r>
        <w:rPr>
          <w:rFonts w:hint="eastAsia" w:ascii="宋体" w:hAnsi="宋体"/>
          <w:sz w:val="24"/>
          <w:szCs w:val="20"/>
        </w:rPr>
      </w:r>
      <w:r/>
    </w:p>
    <w:p>
      <w:pPr>
        <w:pStyle w:val="859"/>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3</w:t>
      </w:r>
      <w:r>
        <w:rPr>
          <w:rFonts w:hint="eastAsia" w:ascii="宋体" w:hAnsi="宋体"/>
          <w:b/>
          <w:sz w:val="24"/>
        </w:rPr>
        <w:t xml:space="preserve">  参加本项目人员一览表</w:t>
      </w:r>
      <w:r>
        <w:rPr>
          <w:rFonts w:ascii="宋体" w:hAnsi="宋体"/>
          <w:b/>
          <w:sz w:val="24"/>
        </w:rPr>
      </w:r>
      <w:r/>
    </w:p>
    <w:p>
      <w:pPr>
        <w:pStyle w:val="859"/>
        <w:jc w:val="center"/>
        <w:spacing w:line="360" w:lineRule="auto"/>
        <w:rPr>
          <w:rFonts w:hint="eastAsia" w:ascii="宋体" w:hAnsi="宋体"/>
          <w:b/>
          <w:sz w:val="32"/>
          <w:szCs w:val="32"/>
        </w:rPr>
      </w:pPr>
      <w:r>
        <w:rPr>
          <w:rFonts w:hint="eastAsia" w:ascii="宋体" w:hAnsi="宋体"/>
          <w:b/>
          <w:sz w:val="32"/>
          <w:szCs w:val="32"/>
        </w:rPr>
      </w:r>
      <w:r/>
    </w:p>
    <w:p>
      <w:pPr>
        <w:pStyle w:val="859"/>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59"/>
        <w:spacing w:line="360" w:lineRule="auto"/>
        <w:rPr>
          <w:rFonts w:ascii="宋体" w:hAnsi="宋体"/>
          <w:sz w:val="22"/>
        </w:rPr>
      </w:pPr>
      <w:r>
        <w:rPr>
          <w:rFonts w:ascii="宋体" w:hAnsi="宋体"/>
          <w:sz w:val="22"/>
        </w:rPr>
      </w:r>
      <w:r/>
    </w:p>
    <w:p>
      <w:pPr>
        <w:pStyle w:val="859"/>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59"/>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59"/>
        <w:tabs>
          <w:tab w:val="left" w:pos="9765" w:leader="none"/>
        </w:tabs>
        <w:rPr>
          <w:rFonts w:ascii="宋体" w:hAnsi="宋体" w:cs="宋体"/>
          <w:b/>
          <w:sz w:val="24"/>
          <w:lang w:val="zh-CN"/>
        </w:rPr>
      </w:pPr>
      <w:r>
        <w:rPr>
          <w:rFonts w:ascii="宋体" w:hAnsi="宋体" w:cs="宋体"/>
          <w:b/>
          <w:sz w:val="24"/>
          <w:lang w:val="zh-CN"/>
        </w:rPr>
      </w:r>
      <w:r/>
    </w:p>
    <w:p>
      <w:pPr>
        <w:pStyle w:val="859"/>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859"/>
        <w:spacing w:line="360" w:lineRule="auto"/>
        <w:rPr>
          <w:rFonts w:ascii="宋体" w:hAnsi="宋体"/>
          <w:sz w:val="24"/>
        </w:rPr>
      </w:pPr>
      <w:r>
        <w:rPr>
          <w:rFonts w:ascii="宋体" w:hAnsi="宋体"/>
          <w:sz w:val="24"/>
        </w:rPr>
      </w:r>
      <w:r/>
    </w:p>
    <w:p>
      <w:pPr>
        <w:pStyle w:val="859"/>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9"/>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9"/>
        <w:spacing w:line="360" w:lineRule="auto"/>
        <w:rPr>
          <w:rFonts w:ascii="宋体" w:hAnsi="宋体"/>
          <w:b/>
          <w:sz w:val="24"/>
          <w:szCs w:val="20"/>
        </w:rPr>
        <w:outlineLvl w:val="2"/>
      </w:pPr>
      <w:r>
        <w:rPr>
          <w:rFonts w:ascii="宋体" w:hAnsi="宋体"/>
          <w:sz w:val="22"/>
        </w:rPr>
        <w:br w:type="page" w:clear="all"/>
      </w:r>
      <w:bookmarkStart w:id="907" w:name="_Toc288738397"/>
      <w:r/>
      <w:bookmarkStart w:id="908" w:name="_Toc288738839"/>
      <w:r>
        <w:rPr>
          <w:rFonts w:hint="eastAsia" w:ascii="宋体" w:hAnsi="宋体"/>
          <w:b/>
          <w:sz w:val="24"/>
        </w:rPr>
        <w:t xml:space="preserve">1</w:t>
      </w:r>
      <w:r>
        <w:rPr>
          <w:rFonts w:ascii="宋体" w:hAnsi="宋体"/>
          <w:b/>
          <w:sz w:val="24"/>
        </w:rPr>
        <w:t xml:space="preserve">4</w:t>
      </w:r>
      <w:r>
        <w:rPr>
          <w:rFonts w:hint="eastAsia" w:ascii="宋体" w:hAnsi="宋体"/>
          <w:b/>
          <w:sz w:val="24"/>
        </w:rPr>
        <w:t xml:space="preserve">  相关业绩案例一览表</w:t>
      </w:r>
      <w:r>
        <w:rPr>
          <w:rFonts w:ascii="宋体" w:hAnsi="宋体"/>
          <w:b/>
          <w:sz w:val="24"/>
          <w:szCs w:val="20"/>
        </w:rPr>
      </w:r>
      <w:r/>
    </w:p>
    <w:p>
      <w:pPr>
        <w:pStyle w:val="859"/>
        <w:rPr>
          <w:rFonts w:ascii="宋体" w:hAnsi="宋体"/>
          <w:sz w:val="24"/>
          <w:szCs w:val="20"/>
        </w:rPr>
      </w:pPr>
      <w:r>
        <w:rPr>
          <w:rFonts w:ascii="宋体" w:hAnsi="宋体"/>
          <w:sz w:val="24"/>
          <w:szCs w:val="20"/>
        </w:rPr>
      </w:r>
      <w:r/>
    </w:p>
    <w:p>
      <w:pPr>
        <w:pStyle w:val="859"/>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Pr>
          <w:rFonts w:ascii="宋体" w:hAnsi="宋体"/>
          <w:b/>
          <w:sz w:val="32"/>
          <w:szCs w:val="32"/>
        </w:rPr>
      </w:r>
      <w:r/>
    </w:p>
    <w:p>
      <w:pPr>
        <w:pStyle w:val="859"/>
        <w:jc w:val="center"/>
        <w:spacing w:line="360" w:lineRule="auto"/>
        <w:rPr>
          <w:rFonts w:ascii="宋体" w:hAnsi="宋体"/>
          <w:b/>
          <w:sz w:val="28"/>
          <w:szCs w:val="30"/>
        </w:rPr>
      </w:pPr>
      <w:r>
        <w:rPr>
          <w:rFonts w:ascii="宋体" w:hAnsi="宋体"/>
          <w:b/>
          <w:sz w:val="28"/>
          <w:szCs w:val="30"/>
        </w:rPr>
      </w:r>
      <w:r/>
    </w:p>
    <w:p>
      <w:pPr>
        <w:pStyle w:val="859"/>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9"/>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9"/>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sz w:val="24"/>
              </w:rPr>
            </w:pPr>
            <w:r>
              <w:rPr>
                <w:rFonts w:ascii="宋体" w:hAnsi="宋体" w:cs="宋体"/>
                <w:sz w:val="24"/>
              </w:rPr>
            </w:r>
            <w:r/>
          </w:p>
        </w:tc>
      </w:tr>
    </w:tbl>
    <w:p>
      <w:pPr>
        <w:pStyle w:val="859"/>
        <w:tabs>
          <w:tab w:val="left" w:pos="9765" w:leader="none"/>
        </w:tabs>
        <w:rPr>
          <w:rFonts w:ascii="宋体" w:hAnsi="宋体" w:cs="宋体"/>
          <w:sz w:val="24"/>
          <w:lang w:val="zh-CN"/>
        </w:rPr>
      </w:pPr>
      <w:r>
        <w:rPr>
          <w:rFonts w:ascii="宋体" w:hAnsi="宋体" w:cs="宋体"/>
          <w:sz w:val="24"/>
          <w:lang w:val="zh-CN"/>
        </w:rPr>
      </w:r>
      <w:r/>
    </w:p>
    <w:p>
      <w:pPr>
        <w:pStyle w:val="859"/>
        <w:spacing w:line="360" w:lineRule="auto"/>
        <w:rPr>
          <w:rFonts w:ascii="宋体" w:hAnsi="宋体" w:cs="宋体"/>
          <w:sz w:val="24"/>
        </w:rPr>
      </w:pPr>
      <w:r>
        <w:rPr>
          <w:rFonts w:ascii="宋体" w:hAnsi="宋体" w:cs="宋体"/>
          <w:sz w:val="24"/>
        </w:rPr>
      </w:r>
      <w:r/>
    </w:p>
    <w:p>
      <w:pPr>
        <w:pStyle w:val="859"/>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9"/>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9"/>
        <w:spacing w:line="360" w:lineRule="auto"/>
        <w:rPr>
          <w:rFonts w:ascii="宋体" w:hAnsi="宋体"/>
        </w:rPr>
        <w:outlineLvl w:val="2"/>
      </w:pPr>
      <w:r>
        <w:rPr>
          <w:rFonts w:ascii="宋体" w:hAnsi="宋体"/>
        </w:rPr>
      </w:r>
      <w:r/>
    </w:p>
    <w:p>
      <w:pPr>
        <w:pStyle w:val="859"/>
        <w:spacing w:line="360" w:lineRule="auto"/>
        <w:rPr>
          <w:rFonts w:ascii="宋体" w:hAnsi="宋体"/>
        </w:rPr>
        <w:outlineLvl w:val="2"/>
      </w:pPr>
      <w:r>
        <w:rPr>
          <w:rFonts w:ascii="宋体" w:hAnsi="宋体"/>
        </w:rPr>
      </w:r>
      <w:r/>
    </w:p>
    <w:p>
      <w:pPr>
        <w:pStyle w:val="859"/>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rPr>
        <w:t xml:space="preserve">5  招标文件要求提供或投标人认为应附的其他材料</w:t>
      </w:r>
      <w:r>
        <w:rPr>
          <w:rFonts w:ascii="宋体" w:hAnsi="宋体"/>
          <w:b/>
          <w:sz w:val="24"/>
          <w:szCs w:val="20"/>
        </w:rPr>
      </w:r>
      <w:r/>
    </w:p>
    <w:p>
      <w:pPr>
        <w:pStyle w:val="859"/>
        <w:jc w:val="left"/>
        <w:widowControl/>
        <w:rPr>
          <w:rFonts w:ascii="宋体" w:hAnsi="宋体"/>
          <w:b/>
          <w:sz w:val="36"/>
          <w:szCs w:val="36"/>
        </w:rPr>
      </w:pPr>
      <w:r>
        <w:rPr>
          <w:rFonts w:ascii="宋体" w:hAnsi="宋体"/>
          <w:b/>
          <w:sz w:val="36"/>
          <w:szCs w:val="36"/>
        </w:rPr>
      </w:r>
      <w:r/>
    </w:p>
    <w:p>
      <w:pPr>
        <w:pStyle w:val="859"/>
        <w:jc w:val="left"/>
        <w:widowControl/>
        <w:rPr>
          <w:rFonts w:ascii="宋体" w:hAnsi="宋体"/>
          <w:b/>
          <w:sz w:val="36"/>
          <w:szCs w:val="36"/>
        </w:rPr>
      </w:pPr>
      <w:r>
        <w:rPr>
          <w:rFonts w:ascii="宋体" w:hAnsi="宋体"/>
          <w:b/>
          <w:sz w:val="36"/>
          <w:szCs w:val="36"/>
        </w:rPr>
      </w:r>
      <w:r/>
    </w:p>
    <w:p>
      <w:pPr>
        <w:pStyle w:val="859"/>
        <w:jc w:val="left"/>
        <w:widowControl/>
        <w:rPr>
          <w:rFonts w:hint="eastAsia" w:ascii="宋体" w:hAnsi="宋体"/>
          <w:b/>
          <w:sz w:val="36"/>
          <w:szCs w:val="36"/>
        </w:rPr>
      </w:pPr>
      <w:r>
        <w:rPr>
          <w:rFonts w:hint="eastAsia" w:ascii="宋体" w:hAnsi="宋体"/>
          <w:b/>
          <w:sz w:val="36"/>
          <w:szCs w:val="36"/>
        </w:rPr>
      </w:r>
      <w:r/>
    </w:p>
    <w:p>
      <w:pPr>
        <w:pStyle w:val="859"/>
        <w:rPr>
          <w:rFonts w:ascii="宋体" w:hAnsi="宋体"/>
          <w:sz w:val="36"/>
          <w:szCs w:val="36"/>
        </w:rPr>
      </w:pPr>
      <w:r>
        <w:rPr>
          <w:rFonts w:ascii="宋体" w:hAnsi="宋体"/>
          <w:sz w:val="36"/>
          <w:szCs w:val="36"/>
        </w:rPr>
      </w:r>
      <w:r/>
    </w:p>
    <w:p>
      <w:pPr>
        <w:pStyle w:val="859"/>
        <w:jc w:val="center"/>
        <w:rPr>
          <w:rFonts w:ascii="宋体" w:hAnsi="宋体" w:cs="黑体"/>
          <w:b/>
          <w:sz w:val="28"/>
          <w:szCs w:val="28"/>
        </w:rPr>
      </w:pPr>
      <w:r>
        <w:rPr>
          <w:rFonts w:ascii="宋体" w:hAnsi="宋体" w:cs="黑体"/>
          <w:b/>
          <w:sz w:val="28"/>
          <w:szCs w:val="28"/>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PMingLiU">
    <w:panose1 w:val="02020500000000000000"/>
  </w:font>
  <w:font w:name="CESI黑体-GB2312">
    <w:panose1 w:val="020B0503020202020204"/>
  </w:font>
  <w:font w:name="等线">
    <w:panose1 w:val="02010600030101010101"/>
  </w:font>
  <w:font w:name="仿宋">
    <w:panose1 w:val="02010609060101010101"/>
  </w:font>
  <w:font w:name="Wingdings">
    <w:panose1 w:val="05000000000000000000"/>
  </w:font>
  <w:font w:name="华文楷体">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right="360"/>
      <w:rPr>
        <w:rStyle w:val="933"/>
      </w:rPr>
      <w:framePr w:wrap="around" w:vAnchor="text" w:hAnchor="margin" w:y="1"/>
    </w:pPr>
    <w:r>
      <w:rPr>
        <w:rStyle w:val="933"/>
      </w:rPr>
    </w:r>
    <w:r/>
  </w:p>
  <w:p>
    <w:pPr>
      <w:pStyle w:val="909"/>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3"/>
      </w:rPr>
      <w:framePr w:wrap="around" w:vAnchor="text" w:hAnchor="margin" w:xAlign="center" w:y="1"/>
    </w:pPr>
    <w:r>
      <w:fldChar w:fldCharType="begin"/>
    </w:r>
    <w:r>
      <w:rPr>
        <w:rStyle w:val="933"/>
      </w:rPr>
      <w:instrText xml:space="preserve">PAGE  </w:instrText>
    </w:r>
    <w:r>
      <w:fldChar w:fldCharType="end"/>
    </w:r>
    <w:r>
      <w:rPr>
        <w:rStyle w:val="933"/>
      </w:rPr>
    </w:r>
    <w:r/>
  </w:p>
  <w:p>
    <w:pPr>
      <w:pStyle w:val="90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3"/>
      </w:rPr>
      <w:framePr w:wrap="around" w:vAnchor="text" w:hAnchor="margin" w:xAlign="right" w:y="1"/>
    </w:pPr>
    <w:r>
      <w:rPr>
        <w:rStyle w:val="933"/>
      </w:rPr>
    </w:r>
    <w:r/>
  </w:p>
  <w:p>
    <w:pPr>
      <w:pStyle w:val="90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3"/>
      </w:rPr>
      <w:framePr w:wrap="around" w:vAnchor="text" w:hAnchor="margin" w:xAlign="right" w:y="1"/>
    </w:pPr>
    <w:r>
      <w:rPr>
        <w:rStyle w:val="933"/>
      </w:rPr>
      <w:fldChar w:fldCharType="begin"/>
    </w:r>
    <w:r>
      <w:rPr>
        <w:rStyle w:val="933"/>
      </w:rPr>
      <w:instrText xml:space="preserve">PAGE  </w:instrText>
    </w:r>
    <w:r>
      <w:rPr>
        <w:rStyle w:val="933"/>
      </w:rPr>
      <w:fldChar w:fldCharType="end"/>
    </w:r>
    <w:r>
      <w:rPr>
        <w:rStyle w:val="933"/>
      </w:rPr>
    </w:r>
    <w:r/>
  </w:p>
  <w:p>
    <w:pPr>
      <w:pStyle w:val="90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3"/>
      </w:rPr>
      <w:framePr w:wrap="around" w:vAnchor="text" w:hAnchor="margin" w:xAlign="right" w:y="1"/>
    </w:pPr>
    <w:r>
      <w:rPr>
        <w:rStyle w:val="933"/>
      </w:rPr>
      <w:fldChar w:fldCharType="begin"/>
    </w:r>
    <w:r>
      <w:rPr>
        <w:rStyle w:val="933"/>
      </w:rPr>
      <w:instrText xml:space="preserve">PAGE  </w:instrText>
    </w:r>
    <w:r>
      <w:rPr>
        <w:rStyle w:val="933"/>
      </w:rPr>
      <w:fldChar w:fldCharType="end"/>
    </w:r>
    <w:r>
      <w:rPr>
        <w:rStyle w:val="933"/>
      </w:rPr>
    </w:r>
    <w:r/>
  </w:p>
  <w:p>
    <w:pPr>
      <w:pStyle w:val="909"/>
      <w:ind w:right="360"/>
    </w:pPr>
    <w:r/>
    <w:r/>
  </w:p>
  <w:p>
    <w:pPr>
      <w:pStyle w:val="85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p>
    <w:pPr>
      <w:pStyle w:val="859"/>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5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59"/>
        <w:ind w:left="4941" w:hanging="1140"/>
        <w:tabs>
          <w:tab w:val="num" w:pos="4941" w:leader="none"/>
        </w:tabs>
      </w:pPr>
      <w:rPr>
        <w:rFonts w:hint="eastAsia"/>
      </w:rPr>
    </w:lvl>
    <w:lvl w:ilvl="1">
      <w:start w:val="1"/>
      <w:numFmt w:val="lowerLetter"/>
      <w:isLgl w:val="false"/>
      <w:suff w:val="tab"/>
      <w:lvlText w:val="%2)"/>
      <w:lvlJc w:val="left"/>
      <w:pPr>
        <w:pStyle w:val="859"/>
        <w:ind w:left="4641" w:hanging="420"/>
        <w:tabs>
          <w:tab w:val="num" w:pos="4641" w:leader="none"/>
        </w:tabs>
      </w:pPr>
    </w:lvl>
    <w:lvl w:ilvl="2">
      <w:start w:val="1"/>
      <w:numFmt w:val="lowerRoman"/>
      <w:isLgl w:val="false"/>
      <w:suff w:val="tab"/>
      <w:lvlText w:val="%3."/>
      <w:lvlJc w:val="right"/>
      <w:pPr>
        <w:pStyle w:val="859"/>
        <w:ind w:left="5061" w:hanging="420"/>
        <w:tabs>
          <w:tab w:val="num" w:pos="5061" w:leader="none"/>
        </w:tabs>
      </w:pPr>
    </w:lvl>
    <w:lvl w:ilvl="3">
      <w:start w:val="1"/>
      <w:numFmt w:val="decimal"/>
      <w:isLgl w:val="false"/>
      <w:suff w:val="tab"/>
      <w:lvlText w:val="%4."/>
      <w:lvlJc w:val="left"/>
      <w:pPr>
        <w:pStyle w:val="859"/>
        <w:ind w:left="5481" w:hanging="420"/>
        <w:tabs>
          <w:tab w:val="num" w:pos="5481" w:leader="none"/>
        </w:tabs>
      </w:pPr>
    </w:lvl>
    <w:lvl w:ilvl="4">
      <w:start w:val="1"/>
      <w:numFmt w:val="lowerLetter"/>
      <w:isLgl w:val="false"/>
      <w:suff w:val="tab"/>
      <w:lvlText w:val="%5)"/>
      <w:lvlJc w:val="left"/>
      <w:pPr>
        <w:pStyle w:val="859"/>
        <w:ind w:left="5901" w:hanging="420"/>
        <w:tabs>
          <w:tab w:val="num" w:pos="5901" w:leader="none"/>
        </w:tabs>
      </w:pPr>
    </w:lvl>
    <w:lvl w:ilvl="5">
      <w:start w:val="1"/>
      <w:numFmt w:val="lowerRoman"/>
      <w:isLgl w:val="false"/>
      <w:suff w:val="tab"/>
      <w:lvlText w:val="%6."/>
      <w:lvlJc w:val="right"/>
      <w:pPr>
        <w:pStyle w:val="859"/>
        <w:ind w:left="6321" w:hanging="420"/>
        <w:tabs>
          <w:tab w:val="num" w:pos="6321" w:leader="none"/>
        </w:tabs>
      </w:pPr>
    </w:lvl>
    <w:lvl w:ilvl="6">
      <w:start w:val="1"/>
      <w:numFmt w:val="decimal"/>
      <w:isLgl w:val="false"/>
      <w:suff w:val="tab"/>
      <w:lvlText w:val="%7."/>
      <w:lvlJc w:val="left"/>
      <w:pPr>
        <w:pStyle w:val="859"/>
        <w:ind w:left="6741" w:hanging="420"/>
        <w:tabs>
          <w:tab w:val="num" w:pos="6741" w:leader="none"/>
        </w:tabs>
      </w:pPr>
    </w:lvl>
    <w:lvl w:ilvl="7">
      <w:start w:val="1"/>
      <w:numFmt w:val="lowerLetter"/>
      <w:isLgl w:val="false"/>
      <w:suff w:val="tab"/>
      <w:lvlText w:val="%8)"/>
      <w:lvlJc w:val="left"/>
      <w:pPr>
        <w:pStyle w:val="859"/>
        <w:ind w:left="7161" w:hanging="420"/>
        <w:tabs>
          <w:tab w:val="num" w:pos="7161" w:leader="none"/>
        </w:tabs>
      </w:pPr>
    </w:lvl>
    <w:lvl w:ilvl="8">
      <w:start w:val="1"/>
      <w:numFmt w:val="lowerRoman"/>
      <w:isLgl w:val="false"/>
      <w:suff w:val="tab"/>
      <w:lvlText w:val="%9."/>
      <w:lvlJc w:val="right"/>
      <w:pPr>
        <w:pStyle w:val="859"/>
        <w:ind w:left="7581" w:hanging="420"/>
        <w:tabs>
          <w:tab w:val="num" w:pos="7581" w:leader="none"/>
        </w:tabs>
      </w:pPr>
    </w:lvl>
  </w:abstractNum>
  <w:abstractNum w:abstractNumId="3">
    <w:multiLevelType w:val="hybridMultilevel"/>
    <w:lvl w:ilvl="0">
      <w:start w:val="1"/>
      <w:numFmt w:val="decimal"/>
      <w:pStyle w:val="969"/>
      <w:isLgl w:val="false"/>
      <w:suff w:val="tab"/>
      <w:lvlText w:val="%1."/>
      <w:lvlJc w:val="left"/>
      <w:pPr>
        <w:pStyle w:val="859"/>
        <w:ind w:left="420" w:hanging="420"/>
      </w:pPr>
    </w:lvl>
    <w:lvl w:ilvl="1">
      <w:start w:val="1"/>
      <w:numFmt w:val="decimal"/>
      <w:isLgl w:val="false"/>
      <w:suff w:val="tab"/>
      <w:lvlText w:val="（%2）"/>
      <w:lvlJc w:val="left"/>
      <w:pPr>
        <w:pStyle w:val="859"/>
        <w:ind w:left="1140" w:hanging="720"/>
        <w:tabs>
          <w:tab w:val="num" w:pos="1140" w:leader="none"/>
        </w:tabs>
      </w:pPr>
      <w:rPr>
        <w:rFonts w:hint="eastAsia"/>
      </w:rPr>
    </w:lvl>
    <w:lvl w:ilvl="2">
      <w:start w:val="1"/>
      <w:numFmt w:val="lowerRoman"/>
      <w:isLgl w:val="false"/>
      <w:suff w:val="tab"/>
      <w:lvlText w:val="%3."/>
      <w:lvlJc w:val="right"/>
      <w:pPr>
        <w:pStyle w:val="859"/>
        <w:ind w:left="1260" w:hanging="420"/>
      </w:pPr>
    </w:lvl>
    <w:lvl w:ilvl="3">
      <w:start w:val="1"/>
      <w:numFmt w:val="decimal"/>
      <w:isLgl w:val="false"/>
      <w:suff w:val="tab"/>
      <w:lvlText w:val="%4."/>
      <w:lvlJc w:val="left"/>
      <w:pPr>
        <w:pStyle w:val="859"/>
        <w:ind w:left="1680" w:hanging="420"/>
      </w:pPr>
    </w:lvl>
    <w:lvl w:ilvl="4">
      <w:start w:val="1"/>
      <w:numFmt w:val="lowerLetter"/>
      <w:isLgl w:val="false"/>
      <w:suff w:val="tab"/>
      <w:lvlText w:val="%5)"/>
      <w:lvlJc w:val="left"/>
      <w:pPr>
        <w:pStyle w:val="859"/>
        <w:ind w:left="2100" w:hanging="420"/>
      </w:pPr>
    </w:lvl>
    <w:lvl w:ilvl="5">
      <w:start w:val="1"/>
      <w:numFmt w:val="lowerRoman"/>
      <w:isLgl w:val="false"/>
      <w:suff w:val="tab"/>
      <w:lvlText w:val="%6."/>
      <w:lvlJc w:val="right"/>
      <w:pPr>
        <w:pStyle w:val="859"/>
        <w:ind w:left="2520" w:hanging="420"/>
      </w:pPr>
    </w:lvl>
    <w:lvl w:ilvl="6">
      <w:start w:val="1"/>
      <w:numFmt w:val="decimal"/>
      <w:isLgl w:val="false"/>
      <w:suff w:val="tab"/>
      <w:lvlText w:val="%7."/>
      <w:lvlJc w:val="left"/>
      <w:pPr>
        <w:pStyle w:val="859"/>
        <w:ind w:left="2940" w:hanging="420"/>
      </w:pPr>
    </w:lvl>
    <w:lvl w:ilvl="7">
      <w:start w:val="1"/>
      <w:numFmt w:val="lowerLetter"/>
      <w:isLgl w:val="false"/>
      <w:suff w:val="tab"/>
      <w:lvlText w:val="%8)"/>
      <w:lvlJc w:val="left"/>
      <w:pPr>
        <w:pStyle w:val="859"/>
        <w:ind w:left="3360" w:hanging="420"/>
      </w:pPr>
    </w:lvl>
    <w:lvl w:ilvl="8">
      <w:start w:val="1"/>
      <w:numFmt w:val="lowerRoman"/>
      <w:isLgl w:val="false"/>
      <w:suff w:val="tab"/>
      <w:lvlText w:val="%9."/>
      <w:lvlJc w:val="right"/>
      <w:pPr>
        <w:pStyle w:val="859"/>
        <w:ind w:left="3780" w:hanging="420"/>
      </w:pPr>
    </w:lvl>
  </w:abstractNum>
  <w:abstractNum w:abstractNumId="4">
    <w:multiLevelType w:val="hybridMultilevel"/>
    <w:lvl w:ilvl="0">
      <w:start w:val="1"/>
      <w:numFmt w:val="lowerLetter"/>
      <w:pStyle w:val="1043"/>
      <w:isLgl w:val="false"/>
      <w:suff w:val="tab"/>
      <w:lvlText w:val="%1)"/>
      <w:lvlJc w:val="left"/>
      <w:pPr>
        <w:pStyle w:val="859"/>
        <w:ind w:left="902" w:hanging="420"/>
      </w:pPr>
      <w:rPr>
        <w:color w:val="000000"/>
      </w:rPr>
    </w:lvl>
    <w:lvl w:ilvl="1">
      <w:start w:val="1"/>
      <w:numFmt w:val="lowerLetter"/>
      <w:isLgl w:val="false"/>
      <w:suff w:val="tab"/>
      <w:lvlText w:val="%2)"/>
      <w:lvlJc w:val="left"/>
      <w:pPr>
        <w:pStyle w:val="859"/>
        <w:ind w:left="1322" w:hanging="420"/>
      </w:pPr>
    </w:lvl>
    <w:lvl w:ilvl="2">
      <w:start w:val="1"/>
      <w:numFmt w:val="lowerRoman"/>
      <w:isLgl w:val="false"/>
      <w:suff w:val="tab"/>
      <w:lvlText w:val="%3."/>
      <w:lvlJc w:val="right"/>
      <w:pPr>
        <w:pStyle w:val="859"/>
        <w:ind w:left="1742" w:hanging="420"/>
      </w:pPr>
    </w:lvl>
    <w:lvl w:ilvl="3">
      <w:start w:val="1"/>
      <w:numFmt w:val="decimal"/>
      <w:isLgl w:val="false"/>
      <w:suff w:val="tab"/>
      <w:lvlText w:val="%4."/>
      <w:lvlJc w:val="left"/>
      <w:pPr>
        <w:pStyle w:val="859"/>
        <w:ind w:left="2162" w:hanging="420"/>
      </w:pPr>
    </w:lvl>
    <w:lvl w:ilvl="4">
      <w:start w:val="1"/>
      <w:numFmt w:val="lowerLetter"/>
      <w:isLgl w:val="false"/>
      <w:suff w:val="tab"/>
      <w:lvlText w:val="%5)"/>
      <w:lvlJc w:val="left"/>
      <w:pPr>
        <w:pStyle w:val="859"/>
        <w:ind w:left="2582" w:hanging="420"/>
      </w:pPr>
    </w:lvl>
    <w:lvl w:ilvl="5">
      <w:start w:val="1"/>
      <w:numFmt w:val="lowerRoman"/>
      <w:isLgl w:val="false"/>
      <w:suff w:val="tab"/>
      <w:lvlText w:val="%6."/>
      <w:lvlJc w:val="right"/>
      <w:pPr>
        <w:pStyle w:val="859"/>
        <w:ind w:left="3002" w:hanging="420"/>
      </w:pPr>
    </w:lvl>
    <w:lvl w:ilvl="6">
      <w:start w:val="1"/>
      <w:numFmt w:val="decimal"/>
      <w:isLgl w:val="false"/>
      <w:suff w:val="tab"/>
      <w:lvlText w:val="%7."/>
      <w:lvlJc w:val="left"/>
      <w:pPr>
        <w:pStyle w:val="859"/>
        <w:ind w:left="3422" w:hanging="420"/>
      </w:pPr>
    </w:lvl>
    <w:lvl w:ilvl="7">
      <w:start w:val="1"/>
      <w:numFmt w:val="lowerLetter"/>
      <w:isLgl w:val="false"/>
      <w:suff w:val="tab"/>
      <w:lvlText w:val="%8)"/>
      <w:lvlJc w:val="left"/>
      <w:pPr>
        <w:pStyle w:val="859"/>
        <w:ind w:left="3842" w:hanging="420"/>
      </w:pPr>
    </w:lvl>
    <w:lvl w:ilvl="8">
      <w:start w:val="1"/>
      <w:numFmt w:val="lowerRoman"/>
      <w:isLgl w:val="false"/>
      <w:suff w:val="tab"/>
      <w:lvlText w:val="%9."/>
      <w:lvlJc w:val="right"/>
      <w:pPr>
        <w:pStyle w:val="859"/>
        <w:ind w:left="4262" w:hanging="420"/>
      </w:pPr>
    </w:lvl>
  </w:abstractNum>
  <w:abstractNum w:abstractNumId="5">
    <w:multiLevelType w:val="hybridMultilevel"/>
    <w:lvl w:ilvl="0">
      <w:start w:val="1"/>
      <w:numFmt w:val="decimal"/>
      <w:pStyle w:val="1014"/>
      <w:isLgl w:val="false"/>
      <w:suff w:val="tab"/>
      <w:lvlText w:val="%1."/>
      <w:lvlJc w:val="left"/>
      <w:pPr>
        <w:pStyle w:val="85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63"/>
      <w:isLgl w:val="false"/>
      <w:suff w:val="nothing"/>
      <w:lvlText w:val="%1　"/>
      <w:lvlJc w:val="left"/>
      <w:pPr>
        <w:pStyle w:val="85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9"/>
        <w:ind w:left="-25" w:firstLine="0"/>
      </w:pPr>
      <w:rPr>
        <w:rFonts w:ascii="Times New Roman" w:hAnsi="Times New Roman" w:eastAsia="黑体"/>
        <w:b/>
        <w:i w:val="0"/>
        <w:sz w:val="28"/>
      </w:rPr>
    </w:lvl>
    <w:lvl w:ilvl="3">
      <w:start w:val="1"/>
      <w:numFmt w:val="decimal"/>
      <w:pStyle w:val="999"/>
      <w:isLgl w:val="false"/>
      <w:suff w:val="nothing"/>
      <w:lvlText w:val="%1.%2.%3.%4　"/>
      <w:lvlJc w:val="left"/>
      <w:pPr>
        <w:pStyle w:val="85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9"/>
        <w:ind w:left="-25" w:firstLine="0"/>
      </w:pPr>
      <w:rPr>
        <w:rFonts w:ascii="Times New Roman" w:hAnsi="Times New Roman" w:eastAsia="宋体"/>
        <w:b/>
        <w:i w:val="0"/>
        <w:sz w:val="28"/>
      </w:rPr>
    </w:lvl>
    <w:lvl w:ilvl="6">
      <w:start w:val="1"/>
      <w:numFmt w:val="lowerLetter"/>
      <w:pStyle w:val="1020"/>
      <w:isLgl w:val="false"/>
      <w:suff w:val="tab"/>
      <w:lvlText w:val="%7) "/>
      <w:lvlJc w:val="left"/>
      <w:pPr>
        <w:pStyle w:val="859"/>
        <w:ind w:left="-125" w:firstLine="400"/>
        <w:tabs>
          <w:tab w:val="num" w:pos="635" w:leader="none"/>
        </w:tabs>
      </w:pPr>
      <w:rPr>
        <w:rFonts w:ascii="Times New Roman" w:hAnsi="Times New Roman" w:eastAsia="宋体"/>
        <w:b/>
        <w:i w:val="0"/>
        <w:color w:val="000000"/>
        <w:sz w:val="28"/>
        <w:u w:val="none"/>
      </w:rPr>
    </w:lvl>
    <w:lvl w:ilvl="7">
      <w:start w:val="1"/>
      <w:numFmt w:val="decimal"/>
      <w:pStyle w:val="983"/>
      <w:isLgl w:val="false"/>
      <w:suff w:val="tab"/>
      <w:lvlText w:val="%8) "/>
      <w:lvlJc w:val="left"/>
      <w:pPr>
        <w:pStyle w:val="85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9"/>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859"/>
        <w:ind w:left="768" w:hanging="360"/>
        <w:tabs>
          <w:tab w:val="num" w:pos="768" w:leader="none"/>
        </w:tabs>
      </w:pPr>
      <w:rPr>
        <w:rFonts w:hint="eastAsia"/>
      </w:rPr>
    </w:lvl>
    <w:lvl w:ilvl="1">
      <w:start w:val="1"/>
      <w:numFmt w:val="decimal"/>
      <w:pStyle w:val="1001"/>
      <w:isLgl w:val="false"/>
      <w:suff w:val="tab"/>
      <w:lvlText w:val="%2、"/>
      <w:lvlJc w:val="left"/>
      <w:pPr>
        <w:pStyle w:val="859"/>
        <w:ind w:left="1188" w:hanging="360"/>
        <w:tabs>
          <w:tab w:val="num" w:pos="1188" w:leader="none"/>
        </w:tabs>
      </w:pPr>
      <w:rPr>
        <w:rFonts w:hint="eastAsia"/>
      </w:rPr>
    </w:lvl>
    <w:lvl w:ilvl="2">
      <w:start w:val="1"/>
      <w:numFmt w:val="decimal"/>
      <w:isLgl w:val="false"/>
      <w:suff w:val="tab"/>
      <w:lvlText w:val="（%3）"/>
      <w:lvlJc w:val="left"/>
      <w:pPr>
        <w:pStyle w:val="859"/>
        <w:ind w:left="1968" w:hanging="720"/>
        <w:tabs>
          <w:tab w:val="num" w:pos="1968" w:leader="none"/>
        </w:tabs>
      </w:pPr>
      <w:rPr>
        <w:rFonts w:hint="eastAsia"/>
        <w:u w:val="none"/>
      </w:rPr>
    </w:lvl>
    <w:lvl w:ilvl="3">
      <w:start w:val="1"/>
      <w:numFmt w:val="decimal"/>
      <w:isLgl w:val="false"/>
      <w:suff w:val="tab"/>
      <w:lvlText w:val="%4."/>
      <w:lvlJc w:val="left"/>
      <w:pPr>
        <w:pStyle w:val="859"/>
        <w:ind w:left="2088" w:hanging="420"/>
        <w:tabs>
          <w:tab w:val="num" w:pos="2088" w:leader="none"/>
        </w:tabs>
      </w:pPr>
    </w:lvl>
    <w:lvl w:ilvl="4">
      <w:start w:val="1"/>
      <w:numFmt w:val="lowerLetter"/>
      <w:isLgl w:val="false"/>
      <w:suff w:val="tab"/>
      <w:lvlText w:val="%5)"/>
      <w:lvlJc w:val="left"/>
      <w:pPr>
        <w:pStyle w:val="859"/>
        <w:ind w:left="2508" w:hanging="420"/>
        <w:tabs>
          <w:tab w:val="num" w:pos="2508" w:leader="none"/>
        </w:tabs>
      </w:pPr>
    </w:lvl>
    <w:lvl w:ilvl="5">
      <w:start w:val="1"/>
      <w:numFmt w:val="lowerRoman"/>
      <w:isLgl w:val="false"/>
      <w:suff w:val="tab"/>
      <w:lvlText w:val="%6."/>
      <w:lvlJc w:val="right"/>
      <w:pPr>
        <w:pStyle w:val="859"/>
        <w:ind w:left="2928" w:hanging="420"/>
        <w:tabs>
          <w:tab w:val="num" w:pos="2928" w:leader="none"/>
        </w:tabs>
      </w:pPr>
    </w:lvl>
    <w:lvl w:ilvl="6">
      <w:start w:val="1"/>
      <w:numFmt w:val="decimal"/>
      <w:isLgl w:val="false"/>
      <w:suff w:val="tab"/>
      <w:lvlText w:val="%7."/>
      <w:lvlJc w:val="left"/>
      <w:pPr>
        <w:pStyle w:val="859"/>
        <w:ind w:left="3348" w:hanging="420"/>
        <w:tabs>
          <w:tab w:val="num" w:pos="3348" w:leader="none"/>
        </w:tabs>
      </w:pPr>
    </w:lvl>
    <w:lvl w:ilvl="7">
      <w:start w:val="1"/>
      <w:numFmt w:val="lowerLetter"/>
      <w:isLgl w:val="false"/>
      <w:suff w:val="tab"/>
      <w:lvlText w:val="%8)"/>
      <w:lvlJc w:val="left"/>
      <w:pPr>
        <w:pStyle w:val="859"/>
        <w:ind w:left="3768" w:hanging="420"/>
        <w:tabs>
          <w:tab w:val="num" w:pos="3768" w:leader="none"/>
        </w:tabs>
      </w:pPr>
    </w:lvl>
    <w:lvl w:ilvl="8">
      <w:start w:val="1"/>
      <w:numFmt w:val="lowerRoman"/>
      <w:isLgl w:val="false"/>
      <w:suff w:val="tab"/>
      <w:lvlText w:val="%9."/>
      <w:lvlJc w:val="right"/>
      <w:pPr>
        <w:pStyle w:val="859"/>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859"/>
        <w:ind w:left="900" w:hanging="900"/>
        <w:tabs>
          <w:tab w:val="num" w:pos="900" w:leader="none"/>
        </w:tabs>
      </w:pPr>
      <w:rPr>
        <w:rFonts w:hint="eastAsia"/>
        <w:b/>
      </w:rPr>
    </w:lvl>
    <w:lvl w:ilvl="1">
      <w:start w:val="1"/>
      <w:numFmt w:val="decimal"/>
      <w:isLgl w:val="false"/>
      <w:suff w:val="tab"/>
      <w:lvlText w:val="%1.%2"/>
      <w:lvlJc w:val="left"/>
      <w:pPr>
        <w:pStyle w:val="859"/>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9"/>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9"/>
        <w:ind w:left="900" w:hanging="900"/>
        <w:tabs>
          <w:tab w:val="num" w:pos="900" w:leader="none"/>
        </w:tabs>
      </w:pPr>
      <w:rPr>
        <w:rFonts w:hint="eastAsia"/>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abstractNum w:abstractNumId="9">
    <w:multiLevelType w:val="hybridMultilevel"/>
    <w:lvl w:ilvl="0">
      <w:start w:val="1"/>
      <w:numFmt w:val="decimal"/>
      <w:pStyle w:val="968"/>
      <w:isLgl w:val="false"/>
      <w:suff w:val="tab"/>
      <w:lvlText w:val="%1)"/>
      <w:lvlJc w:val="left"/>
      <w:pPr>
        <w:pStyle w:val="859"/>
        <w:ind w:left="420" w:hanging="420"/>
      </w:pPr>
    </w:lvl>
    <w:lvl w:ilvl="1">
      <w:start w:val="1"/>
      <w:numFmt w:val="lowerLetter"/>
      <w:isLgl w:val="false"/>
      <w:suff w:val="tab"/>
      <w:lvlText w:val="%2)"/>
      <w:lvlJc w:val="left"/>
      <w:pPr>
        <w:pStyle w:val="859"/>
        <w:ind w:left="840" w:hanging="420"/>
      </w:pPr>
    </w:lvl>
    <w:lvl w:ilvl="2">
      <w:start w:val="1"/>
      <w:numFmt w:val="lowerRoman"/>
      <w:isLgl w:val="false"/>
      <w:suff w:val="tab"/>
      <w:lvlText w:val="%3."/>
      <w:lvlJc w:val="right"/>
      <w:pPr>
        <w:pStyle w:val="859"/>
        <w:ind w:left="1260" w:hanging="420"/>
      </w:pPr>
    </w:lvl>
    <w:lvl w:ilvl="3">
      <w:start w:val="1"/>
      <w:numFmt w:val="decimal"/>
      <w:isLgl w:val="false"/>
      <w:suff w:val="tab"/>
      <w:lvlText w:val="%4."/>
      <w:lvlJc w:val="left"/>
      <w:pPr>
        <w:pStyle w:val="859"/>
        <w:ind w:left="1680" w:hanging="420"/>
      </w:pPr>
    </w:lvl>
    <w:lvl w:ilvl="4">
      <w:start w:val="1"/>
      <w:numFmt w:val="lowerLetter"/>
      <w:isLgl w:val="false"/>
      <w:suff w:val="tab"/>
      <w:lvlText w:val="%5)"/>
      <w:lvlJc w:val="left"/>
      <w:pPr>
        <w:pStyle w:val="859"/>
        <w:ind w:left="2100" w:hanging="420"/>
      </w:pPr>
    </w:lvl>
    <w:lvl w:ilvl="5">
      <w:start w:val="1"/>
      <w:numFmt w:val="lowerRoman"/>
      <w:isLgl w:val="false"/>
      <w:suff w:val="tab"/>
      <w:lvlText w:val="%6."/>
      <w:lvlJc w:val="right"/>
      <w:pPr>
        <w:pStyle w:val="859"/>
        <w:ind w:left="2520" w:hanging="420"/>
      </w:pPr>
    </w:lvl>
    <w:lvl w:ilvl="6">
      <w:start w:val="1"/>
      <w:numFmt w:val="decimal"/>
      <w:isLgl w:val="false"/>
      <w:suff w:val="tab"/>
      <w:lvlText w:val="%7."/>
      <w:lvlJc w:val="left"/>
      <w:pPr>
        <w:pStyle w:val="859"/>
        <w:ind w:left="2940" w:hanging="420"/>
      </w:pPr>
    </w:lvl>
    <w:lvl w:ilvl="7">
      <w:start w:val="1"/>
      <w:numFmt w:val="lowerLetter"/>
      <w:isLgl w:val="false"/>
      <w:suff w:val="tab"/>
      <w:lvlText w:val="%8)"/>
      <w:lvlJc w:val="left"/>
      <w:pPr>
        <w:pStyle w:val="859"/>
        <w:ind w:left="3360" w:hanging="420"/>
      </w:pPr>
    </w:lvl>
    <w:lvl w:ilvl="8">
      <w:start w:val="1"/>
      <w:numFmt w:val="lowerRoman"/>
      <w:isLgl w:val="false"/>
      <w:suff w:val="tab"/>
      <w:lvlText w:val="%9."/>
      <w:lvlJc w:val="right"/>
      <w:pPr>
        <w:pStyle w:val="859"/>
        <w:ind w:left="3780" w:hanging="420"/>
      </w:pPr>
    </w:lvl>
  </w:abstractNum>
  <w:abstractNum w:abstractNumId="10">
    <w:multiLevelType w:val="hybridMultilevel"/>
    <w:lvl w:ilvl="0">
      <w:start w:val="1"/>
      <w:numFmt w:val="decimal"/>
      <w:isLgl w:val="false"/>
      <w:suff w:val="tab"/>
      <w:lvlText w:val="%1."/>
      <w:lvlJc w:val="left"/>
      <w:pPr>
        <w:pStyle w:val="859"/>
        <w:ind w:left="1242" w:hanging="382"/>
      </w:pPr>
      <w:rPr>
        <w:rFonts w:ascii="仿宋" w:hAnsi="仿宋" w:eastAsia="仿宋" w:cs="仿宋"/>
        <w:spacing w:val="0"/>
        <w:sz w:val="32"/>
        <w:szCs w:val="32"/>
      </w:rPr>
    </w:lvl>
    <w:lvl w:ilvl="1">
      <w:start w:val="0"/>
      <w:numFmt w:val="bullet"/>
      <w:isLgl w:val="false"/>
      <w:suff w:val="tab"/>
      <w:lvlText w:val="•"/>
      <w:lvlJc w:val="left"/>
      <w:pPr>
        <w:pStyle w:val="859"/>
        <w:ind w:left="2010" w:hanging="382"/>
      </w:pPr>
    </w:lvl>
    <w:lvl w:ilvl="2">
      <w:start w:val="0"/>
      <w:numFmt w:val="bullet"/>
      <w:isLgl w:val="false"/>
      <w:suff w:val="tab"/>
      <w:lvlText w:val="•"/>
      <w:lvlJc w:val="left"/>
      <w:pPr>
        <w:pStyle w:val="859"/>
        <w:ind w:left="2781" w:hanging="382"/>
      </w:pPr>
    </w:lvl>
    <w:lvl w:ilvl="3">
      <w:start w:val="0"/>
      <w:numFmt w:val="bullet"/>
      <w:isLgl w:val="false"/>
      <w:suff w:val="tab"/>
      <w:lvlText w:val="•"/>
      <w:lvlJc w:val="left"/>
      <w:pPr>
        <w:pStyle w:val="859"/>
        <w:ind w:left="3551" w:hanging="382"/>
      </w:pPr>
    </w:lvl>
    <w:lvl w:ilvl="4">
      <w:start w:val="0"/>
      <w:numFmt w:val="bullet"/>
      <w:isLgl w:val="false"/>
      <w:suff w:val="tab"/>
      <w:lvlText w:val="•"/>
      <w:lvlJc w:val="left"/>
      <w:pPr>
        <w:pStyle w:val="859"/>
        <w:ind w:left="4322" w:hanging="382"/>
      </w:pPr>
    </w:lvl>
    <w:lvl w:ilvl="5">
      <w:start w:val="0"/>
      <w:numFmt w:val="bullet"/>
      <w:isLgl w:val="false"/>
      <w:suff w:val="tab"/>
      <w:lvlText w:val="•"/>
      <w:lvlJc w:val="left"/>
      <w:pPr>
        <w:pStyle w:val="859"/>
        <w:ind w:left="5093" w:hanging="382"/>
      </w:pPr>
    </w:lvl>
    <w:lvl w:ilvl="6">
      <w:start w:val="0"/>
      <w:numFmt w:val="bullet"/>
      <w:isLgl w:val="false"/>
      <w:suff w:val="tab"/>
      <w:lvlText w:val="•"/>
      <w:lvlJc w:val="left"/>
      <w:pPr>
        <w:pStyle w:val="859"/>
        <w:ind w:left="5863" w:hanging="382"/>
      </w:pPr>
    </w:lvl>
    <w:lvl w:ilvl="7">
      <w:start w:val="0"/>
      <w:numFmt w:val="bullet"/>
      <w:isLgl w:val="false"/>
      <w:suff w:val="tab"/>
      <w:lvlText w:val="•"/>
      <w:lvlJc w:val="left"/>
      <w:pPr>
        <w:pStyle w:val="859"/>
        <w:ind w:left="6634" w:hanging="382"/>
      </w:pPr>
    </w:lvl>
    <w:lvl w:ilvl="8">
      <w:start w:val="0"/>
      <w:numFmt w:val="bullet"/>
      <w:isLgl w:val="false"/>
      <w:suff w:val="tab"/>
      <w:lvlText w:val="•"/>
      <w:lvlJc w:val="left"/>
      <w:pPr>
        <w:pStyle w:val="859"/>
        <w:ind w:left="7404" w:hanging="382"/>
      </w:pPr>
    </w:lvl>
  </w:abstractNum>
  <w:abstractNum w:abstractNumId="11">
    <w:multiLevelType w:val="hybridMultilevel"/>
    <w:lvl w:ilvl="0">
      <w:start w:val="1"/>
      <w:numFmt w:val="decimal"/>
      <w:pStyle w:val="1068"/>
      <w:isLgl w:val="false"/>
      <w:suff w:val="tab"/>
      <w:lvlText w:val="%1"/>
      <w:lvlJc w:val="left"/>
      <w:pPr>
        <w:pStyle w:val="859"/>
        <w:ind w:left="680" w:hanging="680"/>
      </w:pPr>
      <w:rPr>
        <w:rFonts w:hint="eastAsia" w:ascii="宋体" w:hAnsi="宋体" w:eastAsia="宋体"/>
      </w:rPr>
    </w:lvl>
    <w:lvl w:ilvl="1">
      <w:start w:val="1"/>
      <w:numFmt w:val="decimal"/>
      <w:pStyle w:val="1069"/>
      <w:isLgl w:val="false"/>
      <w:suff w:val="tab"/>
      <w:lvlText w:val="%1.%2"/>
      <w:lvlJc w:val="left"/>
      <w:pPr>
        <w:pStyle w:val="859"/>
        <w:ind w:left="851" w:hanging="851"/>
      </w:pPr>
      <w:rPr>
        <w:rFonts w:hint="eastAsia" w:ascii="宋体" w:hAnsi="宋体" w:eastAsia="宋体"/>
        <w:color w:val="000000"/>
      </w:rPr>
    </w:lvl>
    <w:lvl w:ilvl="2">
      <w:start w:val="1"/>
      <w:numFmt w:val="decimal"/>
      <w:pStyle w:val="1070"/>
      <w:isLgl w:val="false"/>
      <w:suff w:val="tab"/>
      <w:lvlText w:val="%1.%2.%3"/>
      <w:lvlJc w:val="left"/>
      <w:pPr>
        <w:pStyle w:val="859"/>
        <w:ind w:left="851" w:hanging="851"/>
      </w:pPr>
      <w:rPr>
        <w:rFonts w:hint="eastAsia"/>
      </w:rPr>
    </w:lvl>
    <w:lvl w:ilvl="3">
      <w:start w:val="1"/>
      <w:numFmt w:val="decimal"/>
      <w:isLgl w:val="false"/>
      <w:suff w:val="tab"/>
      <w:lvlText w:val="%1.%2.%3.%4"/>
      <w:lvlJc w:val="left"/>
      <w:pPr>
        <w:pStyle w:val="859"/>
        <w:ind w:left="680" w:hanging="680"/>
      </w:pPr>
      <w:rPr>
        <w:rFonts w:hint="eastAsia"/>
      </w:rPr>
    </w:lvl>
    <w:lvl w:ilvl="4">
      <w:start w:val="1"/>
      <w:numFmt w:val="decimal"/>
      <w:isLgl w:val="false"/>
      <w:suff w:val="tab"/>
      <w:lvlText w:val="%1.%2.%3.%4.%5"/>
      <w:lvlJc w:val="left"/>
      <w:pPr>
        <w:pStyle w:val="859"/>
        <w:ind w:left="680" w:hanging="680"/>
      </w:pPr>
      <w:rPr>
        <w:rFonts w:hint="eastAsia"/>
      </w:rPr>
    </w:lvl>
    <w:lvl w:ilvl="5">
      <w:start w:val="1"/>
      <w:numFmt w:val="decimal"/>
      <w:isLgl w:val="false"/>
      <w:suff w:val="tab"/>
      <w:lvlText w:val="%1.%2.%3.%4.%5.%6"/>
      <w:lvlJc w:val="left"/>
      <w:pPr>
        <w:pStyle w:val="859"/>
        <w:ind w:left="680" w:hanging="680"/>
      </w:pPr>
      <w:rPr>
        <w:rFonts w:hint="eastAsia"/>
      </w:rPr>
    </w:lvl>
    <w:lvl w:ilvl="6">
      <w:start w:val="1"/>
      <w:numFmt w:val="decimal"/>
      <w:isLgl w:val="false"/>
      <w:suff w:val="tab"/>
      <w:lvlText w:val="%1.%2.%3.%4.%5.%6.%7"/>
      <w:lvlJc w:val="left"/>
      <w:pPr>
        <w:pStyle w:val="859"/>
        <w:ind w:left="680" w:hanging="680"/>
      </w:pPr>
      <w:rPr>
        <w:rFonts w:hint="eastAsia"/>
      </w:rPr>
    </w:lvl>
    <w:lvl w:ilvl="7">
      <w:start w:val="1"/>
      <w:numFmt w:val="decimal"/>
      <w:isLgl w:val="false"/>
      <w:suff w:val="tab"/>
      <w:lvlText w:val="%1.%2.%3.%4.%5.%6.%7.%8"/>
      <w:lvlJc w:val="left"/>
      <w:pPr>
        <w:pStyle w:val="859"/>
        <w:ind w:left="680" w:hanging="680"/>
      </w:pPr>
      <w:rPr>
        <w:rFonts w:hint="eastAsia"/>
      </w:rPr>
    </w:lvl>
    <w:lvl w:ilvl="8">
      <w:start w:val="1"/>
      <w:numFmt w:val="decimal"/>
      <w:isLgl w:val="false"/>
      <w:suff w:val="tab"/>
      <w:lvlText w:val="%1.%2.%3.%4.%5.%6.%7.%8.%9"/>
      <w:lvlJc w:val="left"/>
      <w:pPr>
        <w:pStyle w:val="859"/>
        <w:ind w:left="680" w:hanging="680"/>
      </w:pPr>
      <w:rPr>
        <w:rFonts w:hint="eastAsia"/>
      </w:rPr>
    </w:lvl>
  </w:abstractNum>
  <w:abstractNum w:abstractNumId="12">
    <w:multiLevelType w:val="hybridMultilevel"/>
    <w:lvl w:ilvl="0">
      <w:start w:val="1"/>
      <w:numFmt w:val="decimal"/>
      <w:isLgl w:val="false"/>
      <w:suff w:val="tab"/>
      <w:lvlText w:val="%1."/>
      <w:lvlJc w:val="left"/>
      <w:pPr>
        <w:pStyle w:val="859"/>
        <w:ind w:left="900" w:hanging="900"/>
        <w:tabs>
          <w:tab w:val="num" w:pos="900" w:leader="none"/>
        </w:tabs>
      </w:pPr>
      <w:rPr>
        <w:rFonts w:hint="eastAsia"/>
      </w:rPr>
    </w:lvl>
    <w:lvl w:ilvl="1">
      <w:start w:val="1"/>
      <w:numFmt w:val="decimal"/>
      <w:isLgl w:val="false"/>
      <w:suff w:val="tab"/>
      <w:lvlText w:val="%1.%2"/>
      <w:lvlJc w:val="left"/>
      <w:pPr>
        <w:pStyle w:val="859"/>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9"/>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59"/>
        <w:ind w:left="900" w:hanging="900"/>
        <w:tabs>
          <w:tab w:val="num" w:pos="900" w:leader="none"/>
        </w:tabs>
      </w:pPr>
      <w:rPr>
        <w:rFonts w:hint="eastAsia"/>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859"/>
        <w:ind w:left="900" w:hanging="900"/>
        <w:tabs>
          <w:tab w:val="num" w:pos="900" w:leader="none"/>
        </w:tabs>
      </w:pPr>
      <w:rPr>
        <w:rFonts w:hint="eastAsia"/>
      </w:rPr>
    </w:lvl>
    <w:lvl w:ilvl="1">
      <w:start w:val="1"/>
      <w:numFmt w:val="decimal"/>
      <w:isLgl w:val="false"/>
      <w:suff w:val="tab"/>
      <w:lvlText w:val="%1.%2"/>
      <w:lvlJc w:val="left"/>
      <w:pPr>
        <w:pStyle w:val="8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9"/>
        <w:ind w:left="1980" w:hanging="900"/>
        <w:tabs>
          <w:tab w:val="num" w:pos="1980" w:leader="none"/>
        </w:tabs>
      </w:pPr>
      <w:rPr>
        <w:rFonts w:hint="eastAsia"/>
      </w:rPr>
    </w:lvl>
    <w:lvl w:ilvl="3">
      <w:start w:val="1"/>
      <w:numFmt w:val="decimal"/>
      <w:isLgl w:val="false"/>
      <w:suff w:val="tab"/>
      <w:lvlText w:val="%1.%2.%3.%4"/>
      <w:lvlJc w:val="left"/>
      <w:pPr>
        <w:pStyle w:val="859"/>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859"/>
        <w:ind w:left="900" w:hanging="900"/>
        <w:tabs>
          <w:tab w:val="num" w:pos="900" w:leader="none"/>
        </w:tabs>
      </w:pPr>
      <w:rPr>
        <w:rFonts w:hint="eastAsia"/>
      </w:rPr>
    </w:lvl>
    <w:lvl w:ilvl="1">
      <w:start w:val="1"/>
      <w:numFmt w:val="decimal"/>
      <w:isLgl w:val="false"/>
      <w:suff w:val="tab"/>
      <w:lvlText w:val="%1.%2"/>
      <w:lvlJc w:val="left"/>
      <w:pPr>
        <w:pStyle w:val="8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9"/>
        <w:ind w:left="1980" w:hanging="900"/>
        <w:tabs>
          <w:tab w:val="num" w:pos="1980" w:leader="none"/>
        </w:tabs>
      </w:pPr>
      <w:rPr>
        <w:rFonts w:hint="eastAsia"/>
      </w:rPr>
    </w:lvl>
    <w:lvl w:ilvl="3">
      <w:start w:val="1"/>
      <w:numFmt w:val="decimal"/>
      <w:isLgl w:val="false"/>
      <w:suff w:val="tab"/>
      <w:lvlText w:val="%1.%2.%3.%4"/>
      <w:lvlJc w:val="left"/>
      <w:pPr>
        <w:pStyle w:val="859"/>
        <w:ind w:left="900" w:hanging="900"/>
        <w:tabs>
          <w:tab w:val="num" w:pos="900" w:leader="none"/>
        </w:tabs>
      </w:pPr>
      <w:rPr>
        <w:rFonts w:hint="eastAsia"/>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pStyle w:val="859"/>
        <w:ind w:left="900" w:hanging="900"/>
        <w:tabs>
          <w:tab w:val="num" w:pos="900" w:leader="none"/>
        </w:tabs>
      </w:pPr>
      <w:rPr>
        <w:rFonts w:hint="eastAsia"/>
      </w:rPr>
    </w:lvl>
    <w:lvl w:ilvl="1">
      <w:start w:val="1"/>
      <w:numFmt w:val="decimal"/>
      <w:isLgl w:val="false"/>
      <w:suff w:val="tab"/>
      <w:lvlText w:val="%1.%2"/>
      <w:lvlJc w:val="left"/>
      <w:pPr>
        <w:pStyle w:val="8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9"/>
        <w:ind w:left="1980" w:hanging="900"/>
        <w:tabs>
          <w:tab w:val="num" w:pos="1980" w:leader="none"/>
        </w:tabs>
      </w:pPr>
      <w:rPr>
        <w:rFonts w:hint="eastAsia"/>
      </w:rPr>
    </w:lvl>
    <w:lvl w:ilvl="3">
      <w:start w:val="1"/>
      <w:numFmt w:val="decimal"/>
      <w:isLgl w:val="false"/>
      <w:suff w:val="tab"/>
      <w:lvlText w:val="%1.%2.%3.%4"/>
      <w:lvlJc w:val="left"/>
      <w:pPr>
        <w:pStyle w:val="859"/>
        <w:ind w:left="900" w:hanging="900"/>
        <w:tabs>
          <w:tab w:val="num" w:pos="900" w:leader="none"/>
        </w:tabs>
      </w:pPr>
      <w:rPr>
        <w:rFonts w:hint="eastAsia"/>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1"/>
  </w:num>
  <w:num w:numId="8">
    <w:abstractNumId w:val="0"/>
  </w:num>
  <w:num w:numId="9">
    <w:abstractNumId w:val="8"/>
  </w:num>
  <w:num w:numId="10">
    <w:abstractNumId w:val="13"/>
  </w:num>
  <w:num w:numId="11">
    <w:abstractNumId w:val="2"/>
  </w:num>
  <w:num w:numId="12">
    <w:abstractNumId w:val="14"/>
  </w:num>
  <w:num w:numId="13">
    <w:abstractNumId w:val="12"/>
  </w:num>
  <w:num w:numId="14">
    <w:abstractNumId w:val="15"/>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9"/>
    <w:next w:val="8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9"/>
    <w:next w:val="8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9"/>
    <w:next w:val="8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9"/>
    <w:next w:val="8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9"/>
    <w:next w:val="8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9"/>
    <w:next w:val="8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9"/>
    <w:next w:val="8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9"/>
    <w:next w:val="8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9"/>
    <w:next w:val="8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9"/>
    <w:next w:val="8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9"/>
    <w:next w:val="8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9"/>
    <w:next w:val="859"/>
    <w:link w:val="38"/>
    <w:uiPriority w:val="29"/>
    <w:qFormat/>
    <w:pPr>
      <w:ind w:left="720" w:right="720"/>
    </w:pPr>
    <w:rPr>
      <w:i/>
    </w:rPr>
  </w:style>
  <w:style w:type="character" w:styleId="38">
    <w:name w:val="Quote Char"/>
    <w:link w:val="37"/>
    <w:uiPriority w:val="29"/>
    <w:rPr>
      <w:i/>
    </w:rPr>
  </w:style>
  <w:style w:type="paragraph" w:styleId="39">
    <w:name w:val="Intense Quote"/>
    <w:basedOn w:val="859"/>
    <w:next w:val="8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9"/>
    <w:next w:val="8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9"/>
    <w:next w:val="859"/>
    <w:uiPriority w:val="39"/>
    <w:unhideWhenUsed/>
    <w:pPr>
      <w:ind w:left="0" w:right="0" w:firstLine="0"/>
      <w:spacing w:after="57"/>
    </w:pPr>
  </w:style>
  <w:style w:type="paragraph" w:styleId="181">
    <w:name w:val="toc 2"/>
    <w:basedOn w:val="859"/>
    <w:next w:val="859"/>
    <w:uiPriority w:val="39"/>
    <w:unhideWhenUsed/>
    <w:pPr>
      <w:ind w:left="283" w:right="0" w:firstLine="0"/>
      <w:spacing w:after="57"/>
    </w:pPr>
  </w:style>
  <w:style w:type="paragraph" w:styleId="182">
    <w:name w:val="toc 3"/>
    <w:basedOn w:val="859"/>
    <w:next w:val="859"/>
    <w:uiPriority w:val="39"/>
    <w:unhideWhenUsed/>
    <w:pPr>
      <w:ind w:left="567" w:right="0" w:firstLine="0"/>
      <w:spacing w:after="57"/>
    </w:pPr>
  </w:style>
  <w:style w:type="paragraph" w:styleId="183">
    <w:name w:val="toc 4"/>
    <w:basedOn w:val="859"/>
    <w:next w:val="859"/>
    <w:uiPriority w:val="39"/>
    <w:unhideWhenUsed/>
    <w:pPr>
      <w:ind w:left="850" w:right="0" w:firstLine="0"/>
      <w:spacing w:after="57"/>
    </w:pPr>
  </w:style>
  <w:style w:type="paragraph" w:styleId="184">
    <w:name w:val="toc 5"/>
    <w:basedOn w:val="859"/>
    <w:next w:val="859"/>
    <w:uiPriority w:val="39"/>
    <w:unhideWhenUsed/>
    <w:pPr>
      <w:ind w:left="1134" w:right="0" w:firstLine="0"/>
      <w:spacing w:after="57"/>
    </w:pPr>
  </w:style>
  <w:style w:type="paragraph" w:styleId="185">
    <w:name w:val="toc 6"/>
    <w:basedOn w:val="859"/>
    <w:next w:val="859"/>
    <w:uiPriority w:val="39"/>
    <w:unhideWhenUsed/>
    <w:pPr>
      <w:ind w:left="1417" w:right="0" w:firstLine="0"/>
      <w:spacing w:after="57"/>
    </w:pPr>
  </w:style>
  <w:style w:type="paragraph" w:styleId="186">
    <w:name w:val="toc 7"/>
    <w:basedOn w:val="859"/>
    <w:next w:val="859"/>
    <w:uiPriority w:val="39"/>
    <w:unhideWhenUsed/>
    <w:pPr>
      <w:ind w:left="1701" w:right="0" w:firstLine="0"/>
      <w:spacing w:after="57"/>
    </w:pPr>
  </w:style>
  <w:style w:type="paragraph" w:styleId="187">
    <w:name w:val="toc 8"/>
    <w:basedOn w:val="859"/>
    <w:next w:val="859"/>
    <w:uiPriority w:val="39"/>
    <w:unhideWhenUsed/>
    <w:pPr>
      <w:ind w:left="1984" w:right="0" w:firstLine="0"/>
      <w:spacing w:after="57"/>
    </w:pPr>
  </w:style>
  <w:style w:type="paragraph" w:styleId="188">
    <w:name w:val="toc 9"/>
    <w:basedOn w:val="859"/>
    <w:next w:val="8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9"/>
    <w:next w:val="859"/>
    <w:uiPriority w:val="99"/>
    <w:unhideWhenUsed/>
    <w:pPr>
      <w:spacing w:after="0" w:afterAutospacing="0"/>
    </w:pPr>
  </w:style>
  <w:style w:type="paragraph" w:styleId="859" w:default="1">
    <w:name w:val="Normal"/>
    <w:next w:val="872"/>
    <w:link w:val="859"/>
    <w:qFormat/>
    <w:pPr>
      <w:jc w:val="both"/>
      <w:widowControl w:val="off"/>
    </w:pPr>
    <w:rPr>
      <w:sz w:val="21"/>
      <w:szCs w:val="24"/>
      <w:lang w:val="en-US" w:eastAsia="zh-CN" w:bidi="ar-SA"/>
    </w:rPr>
  </w:style>
  <w:style w:type="paragraph" w:styleId="860">
    <w:name w:val="标题 1"/>
    <w:basedOn w:val="859"/>
    <w:next w:val="859"/>
    <w:link w:val="873"/>
    <w:qFormat/>
    <w:pPr>
      <w:jc w:val="center"/>
      <w:keepLines/>
      <w:keepNext/>
      <w:spacing w:before="240" w:after="120" w:line="300" w:lineRule="auto"/>
      <w:outlineLvl w:val="0"/>
    </w:pPr>
    <w:rPr>
      <w:rFonts w:ascii="宋体"/>
      <w:b/>
      <w:sz w:val="32"/>
      <w:szCs w:val="20"/>
    </w:rPr>
  </w:style>
  <w:style w:type="paragraph" w:styleId="861">
    <w:name w:val="标题 2"/>
    <w:basedOn w:val="859"/>
    <w:next w:val="875"/>
    <w:link w:val="874"/>
    <w:qFormat/>
    <w:pPr>
      <w:jc w:val="center"/>
      <w:keepLines/>
      <w:keepNext/>
      <w:spacing w:before="120" w:line="300" w:lineRule="auto"/>
      <w:outlineLvl w:val="1"/>
    </w:pPr>
    <w:rPr>
      <w:rFonts w:ascii="Arial" w:hAnsi="Arial" w:eastAsia="黑体"/>
      <w:b/>
      <w:sz w:val="30"/>
      <w:szCs w:val="20"/>
    </w:rPr>
  </w:style>
  <w:style w:type="paragraph" w:styleId="862">
    <w:name w:val="标题 3"/>
    <w:basedOn w:val="859"/>
    <w:next w:val="875"/>
    <w:link w:val="877"/>
    <w:qFormat/>
    <w:pPr>
      <w:jc w:val="left"/>
      <w:keepLines/>
      <w:keepNext/>
      <w:spacing w:before="360" w:after="120"/>
      <w:outlineLvl w:val="2"/>
    </w:pPr>
    <w:rPr>
      <w:rFonts w:ascii="宋体"/>
      <w:b/>
      <w:sz w:val="24"/>
      <w:szCs w:val="20"/>
      <w:u w:val="single"/>
    </w:rPr>
  </w:style>
  <w:style w:type="paragraph" w:styleId="863">
    <w:name w:val="标题 4"/>
    <w:basedOn w:val="859"/>
    <w:next w:val="859"/>
    <w:link w:val="878"/>
    <w:qFormat/>
    <w:pPr>
      <w:keepLines/>
      <w:keepNext/>
      <w:spacing w:before="280" w:after="290" w:line="376" w:lineRule="atLeast"/>
      <w:outlineLvl w:val="3"/>
    </w:pPr>
    <w:rPr>
      <w:rFonts w:ascii="Arial" w:hAnsi="Arial" w:eastAsia="黑体"/>
      <w:b/>
      <w:sz w:val="28"/>
      <w:szCs w:val="20"/>
    </w:rPr>
  </w:style>
  <w:style w:type="paragraph" w:styleId="864">
    <w:name w:val="标题 5"/>
    <w:basedOn w:val="859"/>
    <w:next w:val="859"/>
    <w:link w:val="879"/>
    <w:qFormat/>
    <w:pPr>
      <w:keepLines/>
      <w:keepNext/>
      <w:spacing w:before="280" w:after="290" w:line="376" w:lineRule="atLeast"/>
      <w:outlineLvl w:val="4"/>
    </w:pPr>
    <w:rPr>
      <w:b/>
      <w:sz w:val="28"/>
      <w:szCs w:val="20"/>
    </w:rPr>
  </w:style>
  <w:style w:type="paragraph" w:styleId="865">
    <w:name w:val="标题 6"/>
    <w:basedOn w:val="859"/>
    <w:next w:val="859"/>
    <w:link w:val="880"/>
    <w:qFormat/>
    <w:pPr>
      <w:keepLines/>
      <w:keepNext/>
      <w:spacing w:before="240" w:after="64" w:line="320" w:lineRule="atLeast"/>
      <w:outlineLvl w:val="5"/>
    </w:pPr>
    <w:rPr>
      <w:rFonts w:ascii="Arial" w:hAnsi="Arial" w:eastAsia="黑体"/>
      <w:b/>
      <w:sz w:val="24"/>
      <w:szCs w:val="20"/>
    </w:rPr>
  </w:style>
  <w:style w:type="paragraph" w:styleId="866">
    <w:name w:val="标题 7"/>
    <w:basedOn w:val="859"/>
    <w:next w:val="859"/>
    <w:link w:val="881"/>
    <w:qFormat/>
    <w:pPr>
      <w:keepLines/>
      <w:keepNext/>
      <w:spacing w:before="240" w:after="64" w:line="320" w:lineRule="atLeast"/>
      <w:outlineLvl w:val="6"/>
    </w:pPr>
    <w:rPr>
      <w:b/>
      <w:sz w:val="24"/>
      <w:szCs w:val="20"/>
    </w:rPr>
  </w:style>
  <w:style w:type="paragraph" w:styleId="867">
    <w:name w:val="标题 8"/>
    <w:basedOn w:val="859"/>
    <w:next w:val="859"/>
    <w:link w:val="882"/>
    <w:qFormat/>
    <w:pPr>
      <w:keepLines/>
      <w:keepNext/>
      <w:spacing w:before="240" w:after="64" w:line="320" w:lineRule="atLeast"/>
      <w:outlineLvl w:val="7"/>
    </w:pPr>
    <w:rPr>
      <w:rFonts w:ascii="Arial" w:hAnsi="Arial" w:eastAsia="黑体"/>
      <w:sz w:val="24"/>
      <w:szCs w:val="20"/>
    </w:rPr>
  </w:style>
  <w:style w:type="paragraph" w:styleId="868">
    <w:name w:val="标题 9"/>
    <w:basedOn w:val="859"/>
    <w:next w:val="859"/>
    <w:link w:val="883"/>
    <w:qFormat/>
    <w:pPr>
      <w:keepLines/>
      <w:keepNext/>
      <w:spacing w:before="240" w:after="64" w:line="320" w:lineRule="atLeast"/>
      <w:outlineLvl w:val="8"/>
    </w:pPr>
    <w:rPr>
      <w:rFonts w:ascii="Arial" w:hAnsi="Arial" w:eastAsia="黑体"/>
      <w:szCs w:val="20"/>
    </w:rPr>
  </w:style>
  <w:style w:type="character" w:styleId="869">
    <w:name w:val="默认段落字体"/>
    <w:next w:val="869"/>
    <w:link w:val="859"/>
    <w:uiPriority w:val="1"/>
    <w:unhideWhenUsed/>
    <w:qFormat/>
  </w:style>
  <w:style w:type="table" w:styleId="870">
    <w:name w:val="普通表格"/>
    <w:next w:val="870"/>
    <w:link w:val="859"/>
    <w:uiPriority w:val="99"/>
    <w:unhideWhenUsed/>
    <w:qFormat/>
    <w:tblPr/>
  </w:style>
  <w:style w:type="numbering" w:styleId="871">
    <w:name w:val="无列表"/>
    <w:next w:val="871"/>
    <w:link w:val="859"/>
    <w:uiPriority w:val="99"/>
    <w:semiHidden/>
    <w:unhideWhenUsed/>
  </w:style>
  <w:style w:type="paragraph" w:styleId="872">
    <w:name w:val="Default"/>
    <w:next w:val="872"/>
    <w:link w:val="859"/>
    <w:qFormat/>
    <w:pPr>
      <w:widowControl w:val="off"/>
    </w:pPr>
    <w:rPr>
      <w:rFonts w:ascii="Symbol" w:hAnsi="Symbol" w:cs="Symbol"/>
      <w:color w:val="000000"/>
      <w:sz w:val="24"/>
      <w:szCs w:val="24"/>
      <w:lang w:val="en-US" w:eastAsia="zh-CN" w:bidi="ar-SA"/>
    </w:rPr>
  </w:style>
  <w:style w:type="character" w:styleId="873">
    <w:name w:val="标题 1 字符"/>
    <w:next w:val="873"/>
    <w:link w:val="860"/>
    <w:qFormat/>
    <w:rPr>
      <w:rFonts w:ascii="宋体"/>
      <w:b/>
      <w:sz w:val="32"/>
    </w:rPr>
  </w:style>
  <w:style w:type="character" w:styleId="874">
    <w:name w:val="标题 2 字符"/>
    <w:next w:val="874"/>
    <w:link w:val="861"/>
    <w:qFormat/>
    <w:rPr>
      <w:rFonts w:ascii="Arial" w:hAnsi="Arial" w:eastAsia="黑体"/>
      <w:b/>
      <w:sz w:val="30"/>
      <w:lang w:val="en-US" w:eastAsia="zh-CN" w:bidi="ar-SA"/>
    </w:rPr>
  </w:style>
  <w:style w:type="paragraph" w:styleId="875">
    <w:name w:val="正文缩进"/>
    <w:basedOn w:val="859"/>
    <w:next w:val="875"/>
    <w:link w:val="876"/>
    <w:uiPriority w:val="99"/>
    <w:qFormat/>
    <w:pPr>
      <w:ind w:firstLine="420"/>
      <w:jc w:val="left"/>
    </w:pPr>
    <w:rPr>
      <w:rFonts w:ascii="宋体"/>
      <w:sz w:val="24"/>
    </w:rPr>
  </w:style>
  <w:style w:type="character" w:styleId="876">
    <w:name w:val="正文缩进 字符1"/>
    <w:next w:val="876"/>
    <w:link w:val="875"/>
    <w:qFormat/>
    <w:rPr>
      <w:rFonts w:ascii="宋体" w:eastAsia="宋体"/>
      <w:sz w:val="24"/>
      <w:szCs w:val="24"/>
      <w:lang w:val="en-US" w:eastAsia="zh-CN" w:bidi="ar-SA"/>
    </w:rPr>
  </w:style>
  <w:style w:type="character" w:styleId="877">
    <w:name w:val="标题 3 字符"/>
    <w:next w:val="877"/>
    <w:link w:val="862"/>
    <w:qFormat/>
    <w:rPr>
      <w:rFonts w:ascii="宋体" w:eastAsia="宋体"/>
      <w:b/>
      <w:sz w:val="24"/>
      <w:u w:val="single"/>
      <w:lang w:val="en-US" w:eastAsia="zh-CN" w:bidi="ar-SA"/>
    </w:rPr>
  </w:style>
  <w:style w:type="character" w:styleId="878">
    <w:name w:val="标题 4 字符"/>
    <w:next w:val="878"/>
    <w:link w:val="863"/>
    <w:qFormat/>
    <w:rPr>
      <w:rFonts w:ascii="Arial" w:hAnsi="Arial" w:eastAsia="黑体"/>
      <w:b/>
      <w:sz w:val="28"/>
    </w:rPr>
  </w:style>
  <w:style w:type="character" w:styleId="879">
    <w:name w:val="标题 5 字符"/>
    <w:next w:val="879"/>
    <w:link w:val="864"/>
    <w:qFormat/>
    <w:rPr>
      <w:b/>
      <w:sz w:val="28"/>
    </w:rPr>
  </w:style>
  <w:style w:type="character" w:styleId="880">
    <w:name w:val="标题 6 字符"/>
    <w:next w:val="880"/>
    <w:link w:val="865"/>
    <w:qFormat/>
    <w:rPr>
      <w:rFonts w:ascii="Arial" w:hAnsi="Arial" w:eastAsia="黑体"/>
      <w:b/>
      <w:sz w:val="24"/>
    </w:rPr>
  </w:style>
  <w:style w:type="character" w:styleId="881">
    <w:name w:val="标题 7 字符"/>
    <w:next w:val="881"/>
    <w:link w:val="866"/>
    <w:qFormat/>
    <w:rPr>
      <w:b/>
      <w:sz w:val="24"/>
    </w:rPr>
  </w:style>
  <w:style w:type="character" w:styleId="882">
    <w:name w:val="标题 8 字符"/>
    <w:next w:val="882"/>
    <w:link w:val="867"/>
    <w:qFormat/>
    <w:rPr>
      <w:rFonts w:ascii="Arial" w:hAnsi="Arial" w:eastAsia="黑体"/>
      <w:sz w:val="24"/>
    </w:rPr>
  </w:style>
  <w:style w:type="character" w:styleId="883">
    <w:name w:val="标题 9 字符"/>
    <w:next w:val="883"/>
    <w:link w:val="868"/>
    <w:qFormat/>
    <w:rPr>
      <w:rFonts w:ascii="Arial" w:hAnsi="Arial" w:eastAsia="黑体"/>
      <w:sz w:val="21"/>
    </w:rPr>
  </w:style>
  <w:style w:type="paragraph" w:styleId="884">
    <w:name w:val="目录 7"/>
    <w:basedOn w:val="859"/>
    <w:next w:val="859"/>
    <w:link w:val="859"/>
    <w:qFormat/>
    <w:pPr>
      <w:ind w:left="2520"/>
    </w:pPr>
  </w:style>
  <w:style w:type="paragraph" w:styleId="885">
    <w:name w:val="题注"/>
    <w:basedOn w:val="859"/>
    <w:next w:val="859"/>
    <w:link w:val="859"/>
    <w:qFormat/>
    <w:pPr>
      <w:spacing w:line="480" w:lineRule="auto"/>
    </w:pPr>
    <w:rPr>
      <w:rFonts w:ascii="华文中宋" w:hAnsi="华文中宋" w:eastAsia="华文中宋"/>
      <w:sz w:val="36"/>
      <w:szCs w:val="20"/>
    </w:rPr>
  </w:style>
  <w:style w:type="paragraph" w:styleId="886">
    <w:name w:val="文档结构图"/>
    <w:basedOn w:val="859"/>
    <w:next w:val="886"/>
    <w:link w:val="887"/>
    <w:qFormat/>
    <w:pPr>
      <w:shd w:val="clear" w:color="auto" w:fill="000080"/>
    </w:pPr>
  </w:style>
  <w:style w:type="character" w:styleId="887">
    <w:name w:val="文档结构图 字符"/>
    <w:next w:val="887"/>
    <w:link w:val="886"/>
    <w:qFormat/>
    <w:rPr>
      <w:sz w:val="21"/>
      <w:szCs w:val="24"/>
      <w:shd w:val="clear" w:color="auto" w:fill="000080"/>
    </w:rPr>
  </w:style>
  <w:style w:type="paragraph" w:styleId="888">
    <w:name w:val="批注文字"/>
    <w:basedOn w:val="859"/>
    <w:next w:val="888"/>
    <w:link w:val="889"/>
    <w:uiPriority w:val="99"/>
    <w:qFormat/>
    <w:pPr>
      <w:jc w:val="left"/>
    </w:pPr>
  </w:style>
  <w:style w:type="character" w:styleId="889">
    <w:name w:val="批注文字 字符1"/>
    <w:next w:val="889"/>
    <w:link w:val="888"/>
    <w:uiPriority w:val="99"/>
    <w:qFormat/>
    <w:rPr>
      <w:sz w:val="21"/>
      <w:szCs w:val="24"/>
    </w:rPr>
  </w:style>
  <w:style w:type="paragraph" w:styleId="890">
    <w:name w:val="正文文本 3"/>
    <w:basedOn w:val="859"/>
    <w:next w:val="890"/>
    <w:link w:val="891"/>
    <w:qFormat/>
    <w:pPr>
      <w:spacing w:after="120"/>
    </w:pPr>
    <w:rPr>
      <w:sz w:val="16"/>
      <w:szCs w:val="16"/>
    </w:rPr>
  </w:style>
  <w:style w:type="character" w:styleId="891">
    <w:name w:val="正文文本 3 字符"/>
    <w:next w:val="891"/>
    <w:link w:val="890"/>
    <w:qFormat/>
    <w:rPr>
      <w:sz w:val="16"/>
      <w:szCs w:val="16"/>
    </w:rPr>
  </w:style>
  <w:style w:type="paragraph" w:styleId="892">
    <w:name w:val="正文文本"/>
    <w:basedOn w:val="859"/>
    <w:next w:val="892"/>
    <w:link w:val="893"/>
    <w:qFormat/>
    <w:pPr>
      <w:spacing w:before="120" w:line="22" w:lineRule="atLeast"/>
      <w:tabs>
        <w:tab w:val="left" w:pos="567" w:leader="none"/>
      </w:tabs>
    </w:pPr>
    <w:rPr>
      <w:rFonts w:ascii="宋体" w:hAnsi="宋体"/>
      <w:sz w:val="24"/>
    </w:rPr>
  </w:style>
  <w:style w:type="character" w:styleId="893">
    <w:name w:val="正文文本 字符1"/>
    <w:next w:val="893"/>
    <w:link w:val="892"/>
    <w:qFormat/>
    <w:rPr>
      <w:rFonts w:ascii="宋体" w:hAnsi="宋体"/>
      <w:sz w:val="24"/>
      <w:szCs w:val="24"/>
    </w:rPr>
  </w:style>
  <w:style w:type="paragraph" w:styleId="894">
    <w:name w:val="正文文本缩进"/>
    <w:basedOn w:val="859"/>
    <w:next w:val="894"/>
    <w:link w:val="895"/>
    <w:qFormat/>
    <w:pPr>
      <w:ind w:firstLine="570"/>
      <w:spacing w:line="360" w:lineRule="auto"/>
    </w:pPr>
    <w:rPr>
      <w:sz w:val="24"/>
    </w:rPr>
  </w:style>
  <w:style w:type="character" w:styleId="895">
    <w:name w:val="正文文本缩进 字符"/>
    <w:next w:val="895"/>
    <w:link w:val="894"/>
    <w:qFormat/>
    <w:rPr>
      <w:rFonts w:eastAsia="宋体"/>
      <w:sz w:val="24"/>
      <w:szCs w:val="24"/>
      <w:lang w:val="en-US" w:eastAsia="zh-CN" w:bidi="ar-SA"/>
    </w:rPr>
  </w:style>
  <w:style w:type="paragraph" w:styleId="896">
    <w:name w:val="列表 2"/>
    <w:basedOn w:val="859"/>
    <w:next w:val="896"/>
    <w:link w:val="859"/>
    <w:qFormat/>
    <w:pPr>
      <w:ind w:left="100" w:hanging="200"/>
    </w:pPr>
  </w:style>
  <w:style w:type="paragraph" w:styleId="897">
    <w:name w:val="文本块"/>
    <w:basedOn w:val="859"/>
    <w:next w:val="897"/>
    <w:link w:val="859"/>
    <w:qFormat/>
    <w:pPr>
      <w:ind w:left="480" w:right="-341" w:firstLine="513"/>
      <w:widowControl/>
    </w:pPr>
    <w:rPr>
      <w:sz w:val="24"/>
      <w:szCs w:val="20"/>
    </w:rPr>
  </w:style>
  <w:style w:type="paragraph" w:styleId="898">
    <w:name w:val="目录 5"/>
    <w:basedOn w:val="859"/>
    <w:next w:val="859"/>
    <w:link w:val="859"/>
    <w:qFormat/>
    <w:pPr>
      <w:ind w:left="1680"/>
    </w:pPr>
  </w:style>
  <w:style w:type="paragraph" w:styleId="899">
    <w:name w:val="目录 3"/>
    <w:basedOn w:val="859"/>
    <w:next w:val="859"/>
    <w:link w:val="859"/>
    <w:uiPriority w:val="39"/>
    <w:qFormat/>
    <w:pPr>
      <w:ind w:left="840"/>
    </w:pPr>
  </w:style>
  <w:style w:type="paragraph" w:styleId="900">
    <w:name w:val="纯文本"/>
    <w:basedOn w:val="859"/>
    <w:next w:val="900"/>
    <w:link w:val="901"/>
    <w:uiPriority w:val="99"/>
    <w:qFormat/>
    <w:rPr>
      <w:rFonts w:hint="eastAsia" w:ascii="宋体" w:hAnsi="Courier New"/>
      <w:szCs w:val="20"/>
    </w:rPr>
  </w:style>
  <w:style w:type="character" w:styleId="901">
    <w:name w:val="纯文本 字符2"/>
    <w:next w:val="901"/>
    <w:link w:val="900"/>
    <w:qFormat/>
    <w:rPr>
      <w:rFonts w:hint="eastAsia" w:ascii="宋体" w:hAnsi="Courier New" w:eastAsia="宋体" w:cs="宋体"/>
      <w:sz w:val="21"/>
    </w:rPr>
  </w:style>
  <w:style w:type="paragraph" w:styleId="902">
    <w:name w:val="目录 8"/>
    <w:basedOn w:val="859"/>
    <w:next w:val="859"/>
    <w:link w:val="859"/>
    <w:qFormat/>
    <w:pPr>
      <w:ind w:left="2940"/>
    </w:pPr>
  </w:style>
  <w:style w:type="paragraph" w:styleId="903">
    <w:name w:val="日期"/>
    <w:basedOn w:val="859"/>
    <w:next w:val="859"/>
    <w:link w:val="904"/>
    <w:qFormat/>
    <w:pPr>
      <w:ind w:left="100"/>
    </w:pPr>
    <w:rPr>
      <w:rFonts w:ascii="仿宋_GB2312" w:hAnsi="宋体" w:eastAsia="仿宋_GB2312"/>
      <w:color w:val="000000"/>
      <w:sz w:val="24"/>
    </w:rPr>
  </w:style>
  <w:style w:type="character" w:styleId="904">
    <w:name w:val="日期 字符"/>
    <w:next w:val="904"/>
    <w:link w:val="903"/>
    <w:qFormat/>
    <w:rPr>
      <w:rFonts w:ascii="仿宋_GB2312" w:hAnsi="宋体" w:eastAsia="仿宋_GB2312"/>
      <w:color w:val="000000"/>
      <w:sz w:val="24"/>
      <w:szCs w:val="24"/>
    </w:rPr>
  </w:style>
  <w:style w:type="paragraph" w:styleId="905">
    <w:name w:val="正文文本缩进 2"/>
    <w:basedOn w:val="859"/>
    <w:next w:val="905"/>
    <w:link w:val="906"/>
    <w:qFormat/>
    <w:pPr>
      <w:ind w:firstLine="480"/>
    </w:pPr>
    <w:rPr>
      <w:rFonts w:ascii="仿宋_GB2312" w:eastAsia="仿宋_GB2312"/>
      <w:sz w:val="24"/>
    </w:rPr>
  </w:style>
  <w:style w:type="character" w:styleId="906">
    <w:name w:val="正文文本缩进 2 字符"/>
    <w:next w:val="906"/>
    <w:link w:val="905"/>
    <w:qFormat/>
    <w:rPr>
      <w:rFonts w:ascii="仿宋_GB2312" w:eastAsia="仿宋_GB2312"/>
      <w:sz w:val="24"/>
      <w:szCs w:val="24"/>
    </w:rPr>
  </w:style>
  <w:style w:type="paragraph" w:styleId="907">
    <w:name w:val="批注框文本"/>
    <w:basedOn w:val="859"/>
    <w:next w:val="907"/>
    <w:link w:val="908"/>
    <w:qFormat/>
    <w:rPr>
      <w:sz w:val="18"/>
      <w:szCs w:val="18"/>
    </w:rPr>
  </w:style>
  <w:style w:type="character" w:styleId="908">
    <w:name w:val="批注框文本 字符"/>
    <w:next w:val="908"/>
    <w:link w:val="907"/>
    <w:qFormat/>
    <w:rPr>
      <w:sz w:val="18"/>
      <w:szCs w:val="18"/>
    </w:rPr>
  </w:style>
  <w:style w:type="paragraph" w:styleId="909">
    <w:name w:val="页脚"/>
    <w:basedOn w:val="859"/>
    <w:next w:val="909"/>
    <w:link w:val="910"/>
    <w:uiPriority w:val="99"/>
    <w:qFormat/>
    <w:pPr>
      <w:jc w:val="left"/>
      <w:tabs>
        <w:tab w:val="center" w:pos="4153" w:leader="none"/>
        <w:tab w:val="right" w:pos="8306" w:leader="none"/>
      </w:tabs>
    </w:pPr>
    <w:rPr>
      <w:rFonts w:ascii="宋体"/>
      <w:sz w:val="18"/>
      <w:szCs w:val="20"/>
    </w:rPr>
  </w:style>
  <w:style w:type="character" w:styleId="910">
    <w:name w:val="页脚 字符"/>
    <w:next w:val="910"/>
    <w:link w:val="909"/>
    <w:uiPriority w:val="99"/>
    <w:qFormat/>
    <w:rPr>
      <w:rFonts w:ascii="宋体" w:eastAsia="宋体"/>
      <w:sz w:val="18"/>
      <w:lang w:val="en-US" w:eastAsia="zh-CN" w:bidi="ar-SA"/>
    </w:rPr>
  </w:style>
  <w:style w:type="paragraph" w:styleId="911">
    <w:name w:val="页眉"/>
    <w:basedOn w:val="859"/>
    <w:next w:val="911"/>
    <w:link w:val="912"/>
    <w:qFormat/>
    <w:pPr>
      <w:jc w:val="center"/>
      <w:tabs>
        <w:tab w:val="center" w:pos="4153" w:leader="none"/>
        <w:tab w:val="right" w:pos="8306" w:leader="none"/>
      </w:tabs>
      <w:pBdr>
        <w:bottom w:val="single" w:color="000000" w:sz="6" w:space="1"/>
      </w:pBdr>
    </w:pPr>
    <w:rPr>
      <w:sz w:val="18"/>
      <w:szCs w:val="18"/>
    </w:rPr>
  </w:style>
  <w:style w:type="character" w:styleId="912">
    <w:name w:val="页眉 字符"/>
    <w:next w:val="912"/>
    <w:link w:val="911"/>
    <w:qFormat/>
    <w:rPr>
      <w:rFonts w:eastAsia="宋体"/>
      <w:sz w:val="18"/>
      <w:szCs w:val="18"/>
      <w:lang w:val="en-US" w:eastAsia="zh-CN" w:bidi="ar-SA"/>
    </w:rPr>
  </w:style>
  <w:style w:type="paragraph" w:styleId="913">
    <w:name w:val="目录 1"/>
    <w:basedOn w:val="859"/>
    <w:next w:val="859"/>
    <w:link w:val="859"/>
    <w:uiPriority w:val="39"/>
    <w:qFormat/>
    <w:pPr>
      <w:spacing w:line="300" w:lineRule="auto"/>
      <w:tabs>
        <w:tab w:val="left" w:pos="1050" w:leader="none"/>
        <w:tab w:val="right" w:pos="8937" w:leader="dot"/>
      </w:tabs>
    </w:pPr>
    <w:rPr>
      <w:rFonts w:ascii="宋体" w:hAnsi="宋体"/>
      <w:b/>
      <w:sz w:val="24"/>
    </w:rPr>
  </w:style>
  <w:style w:type="paragraph" w:styleId="914">
    <w:name w:val="目录 4"/>
    <w:basedOn w:val="859"/>
    <w:next w:val="859"/>
    <w:link w:val="859"/>
    <w:qFormat/>
    <w:pPr>
      <w:ind w:left="1260"/>
    </w:pPr>
  </w:style>
  <w:style w:type="paragraph" w:styleId="915">
    <w:name w:val="目录 6"/>
    <w:basedOn w:val="859"/>
    <w:next w:val="859"/>
    <w:link w:val="859"/>
    <w:qFormat/>
    <w:pPr>
      <w:ind w:left="2100"/>
    </w:pPr>
  </w:style>
  <w:style w:type="paragraph" w:styleId="916">
    <w:name w:val="正文文本缩进 3"/>
    <w:basedOn w:val="859"/>
    <w:next w:val="916"/>
    <w:link w:val="917"/>
    <w:qFormat/>
    <w:pPr>
      <w:ind w:left="720" w:firstLine="480"/>
      <w:jc w:val="left"/>
      <w:spacing w:before="120" w:line="22" w:lineRule="atLeast"/>
    </w:pPr>
    <w:rPr>
      <w:rFonts w:ascii="宋体"/>
      <w:sz w:val="24"/>
      <w:szCs w:val="20"/>
    </w:rPr>
  </w:style>
  <w:style w:type="character" w:styleId="917">
    <w:name w:val="正文文本缩进 3 字符"/>
    <w:next w:val="917"/>
    <w:link w:val="916"/>
    <w:qFormat/>
    <w:rPr>
      <w:rFonts w:ascii="宋体"/>
      <w:sz w:val="24"/>
    </w:rPr>
  </w:style>
  <w:style w:type="paragraph" w:styleId="918">
    <w:name w:val="目录 2"/>
    <w:basedOn w:val="859"/>
    <w:next w:val="859"/>
    <w:link w:val="859"/>
    <w:uiPriority w:val="39"/>
    <w:qFormat/>
    <w:pPr>
      <w:ind w:left="420"/>
      <w:spacing w:line="312" w:lineRule="auto"/>
      <w:tabs>
        <w:tab w:val="right" w:pos="8937" w:leader="dot"/>
      </w:tabs>
    </w:pPr>
  </w:style>
  <w:style w:type="paragraph" w:styleId="919">
    <w:name w:val="目录 9"/>
    <w:basedOn w:val="859"/>
    <w:next w:val="859"/>
    <w:link w:val="859"/>
    <w:qFormat/>
    <w:pPr>
      <w:ind w:left="3360"/>
    </w:pPr>
  </w:style>
  <w:style w:type="paragraph" w:styleId="920">
    <w:name w:val="HTML 预设格式"/>
    <w:basedOn w:val="859"/>
    <w:next w:val="920"/>
    <w:link w:val="92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21">
    <w:name w:val="HTML 预设格式 字符"/>
    <w:next w:val="921"/>
    <w:link w:val="920"/>
    <w:qFormat/>
    <w:rPr>
      <w:rFonts w:ascii="宋体" w:hAnsi="宋体" w:cs="宋体"/>
      <w:sz w:val="24"/>
      <w:szCs w:val="24"/>
    </w:rPr>
  </w:style>
  <w:style w:type="paragraph" w:styleId="922">
    <w:name w:val="普通(网站)"/>
    <w:basedOn w:val="859"/>
    <w:next w:val="922"/>
    <w:link w:val="859"/>
    <w:uiPriority w:val="99"/>
    <w:unhideWhenUsed/>
    <w:qFormat/>
    <w:pPr>
      <w:jc w:val="left"/>
      <w:spacing w:before="100" w:beforeAutospacing="1" w:after="100" w:afterAutospacing="1"/>
      <w:widowControl/>
    </w:pPr>
    <w:rPr>
      <w:rFonts w:ascii="宋体" w:hAnsi="宋体" w:cs="宋体"/>
      <w:sz w:val="24"/>
    </w:rPr>
  </w:style>
  <w:style w:type="paragraph" w:styleId="923">
    <w:name w:val="索引 1"/>
    <w:basedOn w:val="859"/>
    <w:next w:val="859"/>
    <w:link w:val="859"/>
    <w:qFormat/>
    <w:rPr>
      <w:szCs w:val="20"/>
    </w:rPr>
  </w:style>
  <w:style w:type="paragraph" w:styleId="924">
    <w:name w:val="标题"/>
    <w:basedOn w:val="859"/>
    <w:next w:val="924"/>
    <w:link w:val="925"/>
    <w:qFormat/>
    <w:pPr>
      <w:jc w:val="center"/>
      <w:outlineLvl w:val="0"/>
    </w:pPr>
    <w:rPr>
      <w:b/>
      <w:sz w:val="32"/>
      <w:szCs w:val="20"/>
    </w:rPr>
  </w:style>
  <w:style w:type="character" w:styleId="925">
    <w:name w:val="标题 字符"/>
    <w:next w:val="925"/>
    <w:link w:val="924"/>
    <w:qFormat/>
    <w:rPr>
      <w:b/>
      <w:sz w:val="32"/>
    </w:rPr>
  </w:style>
  <w:style w:type="paragraph" w:styleId="926">
    <w:name w:val="批注主题"/>
    <w:basedOn w:val="888"/>
    <w:next w:val="888"/>
    <w:link w:val="927"/>
    <w:qFormat/>
    <w:rPr>
      <w:b/>
      <w:bCs/>
    </w:rPr>
  </w:style>
  <w:style w:type="character" w:styleId="927">
    <w:name w:val="批注主题 字符"/>
    <w:next w:val="927"/>
    <w:link w:val="926"/>
    <w:qFormat/>
    <w:rPr>
      <w:rFonts w:ascii="Times New Roman" w:hAnsi="Times New Roman" w:eastAsia="宋体" w:cs="Times New Roman"/>
      <w:b/>
      <w:bCs/>
      <w:sz w:val="21"/>
      <w:szCs w:val="24"/>
      <w:lang w:val="en-US" w:eastAsia="zh-CN" w:bidi="ar-SA"/>
    </w:rPr>
  </w:style>
  <w:style w:type="paragraph" w:styleId="928">
    <w:name w:val="正文首行缩进 2"/>
    <w:basedOn w:val="894"/>
    <w:next w:val="928"/>
    <w:link w:val="929"/>
    <w:qFormat/>
    <w:pPr>
      <w:ind w:left="420" w:firstLine="420"/>
      <w:spacing w:after="120" w:line="480" w:lineRule="exact"/>
    </w:pPr>
    <w:rPr>
      <w:szCs w:val="20"/>
    </w:rPr>
  </w:style>
  <w:style w:type="character" w:styleId="929">
    <w:name w:val="正文首行缩进 2 字符"/>
    <w:next w:val="929"/>
    <w:link w:val="928"/>
    <w:qFormat/>
    <w:rPr>
      <w:rFonts w:eastAsia="宋体"/>
      <w:sz w:val="24"/>
      <w:szCs w:val="24"/>
      <w:lang w:val="en-US" w:eastAsia="zh-CN" w:bidi="ar-SA"/>
    </w:rPr>
  </w:style>
  <w:style w:type="table" w:styleId="930">
    <w:name w:val="网格型"/>
    <w:basedOn w:val="870"/>
    <w:next w:val="930"/>
    <w:link w:val="859"/>
    <w:uiPriority w:val="39"/>
    <w:qFormat/>
    <w:tblPr/>
  </w:style>
  <w:style w:type="table" w:styleId="931">
    <w:name w:val="中等深浅网格 1 - 着色 2"/>
    <w:basedOn w:val="870"/>
    <w:next w:val="931"/>
    <w:link w:val="859"/>
    <w:qFormat/>
    <w:rPr>
      <w:sz w:val="21"/>
      <w:szCs w:val="24"/>
    </w:rPr>
    <w:tblPr/>
  </w:style>
  <w:style w:type="character" w:styleId="932">
    <w:name w:val="要点"/>
    <w:next w:val="932"/>
    <w:link w:val="859"/>
    <w:uiPriority w:val="22"/>
    <w:qFormat/>
    <w:rPr>
      <w:b/>
      <w:bCs/>
    </w:rPr>
  </w:style>
  <w:style w:type="character" w:styleId="933">
    <w:name w:val="页码"/>
    <w:next w:val="933"/>
    <w:link w:val="859"/>
    <w:qFormat/>
  </w:style>
  <w:style w:type="character" w:styleId="934">
    <w:name w:val="访问过的超链接"/>
    <w:next w:val="934"/>
    <w:link w:val="859"/>
    <w:qFormat/>
    <w:rPr>
      <w:color w:val="800080"/>
      <w:u w:val="single"/>
    </w:rPr>
  </w:style>
  <w:style w:type="character" w:styleId="935">
    <w:name w:val="强调"/>
    <w:next w:val="935"/>
    <w:link w:val="859"/>
    <w:qFormat/>
    <w:rPr>
      <w:color w:val="cc0033"/>
    </w:rPr>
  </w:style>
  <w:style w:type="character" w:styleId="936">
    <w:name w:val="超链接"/>
    <w:next w:val="936"/>
    <w:link w:val="859"/>
    <w:uiPriority w:val="99"/>
    <w:qFormat/>
    <w:rPr>
      <w:color w:val="0000ff"/>
      <w:u w:val="single"/>
    </w:rPr>
  </w:style>
  <w:style w:type="character" w:styleId="937">
    <w:name w:val="批注引用"/>
    <w:next w:val="937"/>
    <w:link w:val="859"/>
    <w:uiPriority w:val="99"/>
    <w:qFormat/>
    <w:rPr>
      <w:sz w:val="21"/>
      <w:szCs w:val="21"/>
    </w:rPr>
  </w:style>
  <w:style w:type="character" w:styleId="938">
    <w:name w:val="HTML 引文"/>
    <w:next w:val="938"/>
    <w:link w:val="859"/>
    <w:qFormat/>
    <w:rPr>
      <w:i/>
      <w:iCs/>
    </w:rPr>
  </w:style>
  <w:style w:type="character" w:styleId="939">
    <w:name w:val="批注文字 字符"/>
    <w:next w:val="939"/>
    <w:link w:val="859"/>
    <w:uiPriority w:val="99"/>
    <w:qFormat/>
    <w:rPr>
      <w:rFonts w:ascii="Times New Roman" w:hAnsi="Times New Roman" w:eastAsia="宋体" w:cs="Times New Roman"/>
      <w:sz w:val="24"/>
      <w:lang w:val="en-US" w:eastAsia="zh-CN" w:bidi="ar-SA"/>
    </w:rPr>
  </w:style>
  <w:style w:type="character" w:styleId="940">
    <w:name w:val="c21"/>
    <w:next w:val="940"/>
    <w:link w:val="859"/>
    <w:qFormat/>
    <w:rPr>
      <w:rFonts w:ascii="ˎ̥" w:hAnsi="ˎ̥"/>
      <w:color w:val="000000"/>
      <w:sz w:val="20"/>
      <w:szCs w:val="20"/>
      <w:u w:val="none"/>
    </w:rPr>
  </w:style>
  <w:style w:type="character" w:styleId="941">
    <w:name w:val="title4"/>
    <w:next w:val="941"/>
    <w:link w:val="859"/>
    <w:qFormat/>
    <w:rPr>
      <w:b/>
      <w:bCs/>
      <w:color w:val="1d87b3"/>
      <w:sz w:val="15"/>
      <w:szCs w:val="15"/>
    </w:rPr>
  </w:style>
  <w:style w:type="character" w:styleId="942">
    <w:name w:val="标题 2 Char Char"/>
    <w:next w:val="942"/>
    <w:link w:val="859"/>
    <w:qFormat/>
    <w:rPr>
      <w:rFonts w:ascii="Arial" w:hAnsi="Arial" w:eastAsia="黑体"/>
      <w:b/>
      <w:bCs/>
      <w:sz w:val="32"/>
      <w:szCs w:val="32"/>
      <w:lang w:val="en-US" w:eastAsia="zh-CN" w:bidi="ar-SA"/>
    </w:rPr>
  </w:style>
  <w:style w:type="character" w:styleId="943">
    <w:name w:val="black1"/>
    <w:next w:val="943"/>
    <w:link w:val="859"/>
    <w:qFormat/>
    <w:rPr>
      <w:color w:val="000000"/>
    </w:rPr>
  </w:style>
  <w:style w:type="character" w:styleId="944">
    <w:name w:val="street-address"/>
    <w:next w:val="944"/>
    <w:link w:val="859"/>
    <w:qFormat/>
  </w:style>
  <w:style w:type="character" w:styleId="945">
    <w:name w:val="locality"/>
    <w:next w:val="945"/>
    <w:link w:val="859"/>
    <w:qFormat/>
  </w:style>
  <w:style w:type="character" w:styleId="946">
    <w:name w:val="正文文本缩进 Char1"/>
    <w:next w:val="946"/>
    <w:link w:val="947"/>
    <w:qFormat/>
    <w:rPr>
      <w:rFonts w:ascii="宋体" w:hAnsi="宋体" w:eastAsia="宋体"/>
      <w:sz w:val="24"/>
      <w:szCs w:val="24"/>
      <w:lang w:bidi="ar-SA"/>
    </w:rPr>
  </w:style>
  <w:style w:type="paragraph" w:styleId="947">
    <w:name w:val="正文文本缩进1"/>
    <w:basedOn w:val="859"/>
    <w:next w:val="947"/>
    <w:link w:val="946"/>
    <w:qFormat/>
    <w:pPr>
      <w:ind w:firstLine="480"/>
      <w:spacing w:line="480" w:lineRule="exact"/>
    </w:pPr>
    <w:rPr>
      <w:rFonts w:ascii="宋体" w:hAnsi="宋体"/>
      <w:sz w:val="24"/>
    </w:rPr>
  </w:style>
  <w:style w:type="character" w:styleId="948">
    <w:name w:val="Char Char11"/>
    <w:next w:val="948"/>
    <w:link w:val="859"/>
    <w:qFormat/>
    <w:rPr>
      <w:rFonts w:ascii="宋体" w:eastAsia="宋体"/>
      <w:b/>
      <w:sz w:val="24"/>
      <w:u w:val="single"/>
      <w:lang w:val="en-US" w:eastAsia="zh-CN" w:bidi="ar-SA"/>
    </w:rPr>
  </w:style>
  <w:style w:type="character" w:styleId="949">
    <w:name w:val="txt"/>
    <w:next w:val="949"/>
    <w:link w:val="859"/>
    <w:qFormat/>
  </w:style>
  <w:style w:type="character" w:styleId="950">
    <w:name w:val="正文缩进 Char Char"/>
    <w:next w:val="950"/>
    <w:link w:val="951"/>
    <w:qFormat/>
    <w:rPr>
      <w:rFonts w:ascii="宋体" w:eastAsia="宋体"/>
      <w:color w:val="000000"/>
      <w:sz w:val="28"/>
      <w:lang w:bidi="ar-SA"/>
    </w:rPr>
  </w:style>
  <w:style w:type="paragraph" w:styleId="951">
    <w:name w:val="正文缩进1"/>
    <w:basedOn w:val="859"/>
    <w:next w:val="951"/>
    <w:link w:val="950"/>
    <w:qFormat/>
    <w:pPr>
      <w:ind w:firstLine="567"/>
      <w:spacing w:line="480" w:lineRule="exact"/>
      <w:widowControl/>
    </w:pPr>
    <w:rPr>
      <w:rFonts w:ascii="宋体"/>
      <w:color w:val="000000"/>
      <w:sz w:val="28"/>
      <w:szCs w:val="20"/>
    </w:rPr>
  </w:style>
  <w:style w:type="character" w:styleId="952">
    <w:name w:val="普通文字1 Char1"/>
    <w:next w:val="952"/>
    <w:link w:val="859"/>
    <w:qFormat/>
    <w:rPr>
      <w:rFonts w:ascii="宋体" w:hAnsi="Courier New" w:eastAsia="宋体"/>
      <w:sz w:val="21"/>
      <w:lang w:val="en-US" w:eastAsia="zh-CN" w:bidi="ar-SA"/>
    </w:rPr>
  </w:style>
  <w:style w:type="character" w:styleId="953">
    <w:name w:val="chanpin1"/>
    <w:next w:val="953"/>
    <w:link w:val="859"/>
    <w:qFormat/>
    <w:rPr>
      <w:rFonts w:ascii="ˎ̥" w:hAnsi="ˎ̥"/>
      <w:color w:val="000000"/>
      <w:sz w:val="20"/>
      <w:szCs w:val="20"/>
      <w:u w:val="none"/>
    </w:rPr>
  </w:style>
  <w:style w:type="character" w:styleId="954">
    <w:name w:val="列出段落 字符"/>
    <w:next w:val="954"/>
    <w:link w:val="955"/>
    <w:uiPriority w:val="34"/>
    <w:qFormat/>
    <w:rPr>
      <w:rFonts w:ascii="Calibri" w:hAnsi="Calibri" w:eastAsia="宋体"/>
      <w:sz w:val="21"/>
      <w:szCs w:val="22"/>
      <w:lang w:val="en-US" w:eastAsia="zh-CN" w:bidi="ar-SA"/>
    </w:rPr>
  </w:style>
  <w:style w:type="paragraph" w:styleId="955">
    <w:name w:val="列出段落"/>
    <w:basedOn w:val="859"/>
    <w:next w:val="955"/>
    <w:link w:val="954"/>
    <w:uiPriority w:val="34"/>
    <w:qFormat/>
    <w:pPr>
      <w:ind w:firstLine="420"/>
    </w:pPr>
    <w:rPr>
      <w:rFonts w:ascii="Calibri" w:hAnsi="Calibri"/>
      <w:szCs w:val="22"/>
    </w:rPr>
  </w:style>
  <w:style w:type="character" w:styleId="956">
    <w:name w:val="标题 3 Char Char"/>
    <w:next w:val="956"/>
    <w:link w:val="859"/>
    <w:qFormat/>
    <w:rPr>
      <w:rFonts w:eastAsia="宋体"/>
      <w:b/>
      <w:bCs/>
      <w:sz w:val="32"/>
      <w:szCs w:val="32"/>
      <w:lang w:val="en-US" w:eastAsia="zh-CN" w:bidi="ar-SA"/>
    </w:rPr>
  </w:style>
  <w:style w:type="character" w:styleId="957">
    <w:name w:val="段1 Char"/>
    <w:next w:val="957"/>
    <w:link w:val="859"/>
    <w:qFormat/>
    <w:rPr>
      <w:rFonts w:ascii="宋体" w:eastAsia="宋体"/>
      <w:sz w:val="24"/>
      <w:lang w:val="en-US" w:eastAsia="zh-CN" w:bidi="ar-SA"/>
    </w:rPr>
  </w:style>
  <w:style w:type="character" w:styleId="958">
    <w:name w:val="chanpin拷贝"/>
    <w:next w:val="958"/>
    <w:link w:val="859"/>
    <w:qFormat/>
  </w:style>
  <w:style w:type="character" w:styleId="959">
    <w:name w:val="纯文本 Char1"/>
    <w:next w:val="959"/>
    <w:link w:val="859"/>
    <w:uiPriority w:val="99"/>
    <w:qFormat/>
    <w:rPr>
      <w:rFonts w:ascii="宋体" w:hAnsi="Courier New" w:eastAsia="宋体"/>
      <w:sz w:val="21"/>
      <w:lang w:val="en-US" w:eastAsia="zh-CN" w:bidi="ar-SA"/>
    </w:rPr>
  </w:style>
  <w:style w:type="character" w:styleId="960">
    <w:name w:val="apple-style-span"/>
    <w:next w:val="960"/>
    <w:link w:val="859"/>
    <w:qFormat/>
    <w:rPr>
      <w:rFonts w:cs="Times New Roman"/>
    </w:rPr>
  </w:style>
  <w:style w:type="paragraph" w:styleId="961">
    <w:name w:val="二级条标题"/>
    <w:basedOn w:val="962"/>
    <w:next w:val="859"/>
    <w:link w:val="859"/>
    <w:qFormat/>
    <w:pPr>
      <w:numPr>
        <w:ilvl w:val="0"/>
        <w:numId w:val="0"/>
      </w:numPr>
      <w:ind w:hanging="840"/>
      <w:tabs>
        <w:tab w:val="left" w:pos="360" w:leader="none"/>
        <w:tab w:val="left" w:pos="840" w:leader="none"/>
      </w:tabs>
      <w:outlineLvl w:val="2"/>
    </w:pPr>
    <w:rPr>
      <w:rFonts w:ascii="宋体" w:eastAsia="宋体"/>
      <w:b w:val="0"/>
    </w:rPr>
  </w:style>
  <w:style w:type="paragraph" w:styleId="962">
    <w:name w:val="一级条标题"/>
    <w:basedOn w:val="963"/>
    <w:next w:val="859"/>
    <w:link w:val="859"/>
    <w:qFormat/>
    <w:pPr>
      <w:numPr>
        <w:ilvl w:val="1"/>
      </w:numPr>
      <w:ind w:left="0" w:hanging="840"/>
      <w:tabs>
        <w:tab w:val="left" w:pos="360" w:leader="none"/>
        <w:tab w:val="left" w:pos="840" w:leader="none"/>
      </w:tabs>
      <w:outlineLvl w:val="1"/>
    </w:pPr>
  </w:style>
  <w:style w:type="paragraph" w:styleId="963">
    <w:name w:val="章标题"/>
    <w:next w:val="859"/>
    <w:link w:val="85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64">
    <w:name w:val="font7"/>
    <w:basedOn w:val="859"/>
    <w:next w:val="964"/>
    <w:link w:val="859"/>
    <w:qFormat/>
    <w:pPr>
      <w:jc w:val="left"/>
      <w:spacing w:before="100" w:beforeAutospacing="1" w:after="100" w:afterAutospacing="1"/>
      <w:widowControl/>
    </w:pPr>
    <w:rPr>
      <w:rFonts w:eastAsia="Arial Unicode MS"/>
      <w:b/>
      <w:bCs/>
      <w:color w:val="000000"/>
      <w:sz w:val="20"/>
      <w:szCs w:val="20"/>
    </w:rPr>
  </w:style>
  <w:style w:type="paragraph" w:styleId="965">
    <w:name w:val="字元 字元"/>
    <w:basedOn w:val="859"/>
    <w:next w:val="965"/>
    <w:link w:val="859"/>
    <w:qFormat/>
    <w:rPr>
      <w:rFonts w:ascii="Tahoma" w:hAnsi="Tahoma"/>
      <w:sz w:val="24"/>
      <w:szCs w:val="20"/>
    </w:rPr>
  </w:style>
  <w:style w:type="paragraph" w:styleId="966">
    <w:name w:val="Char3 Char Char Char"/>
    <w:basedOn w:val="859"/>
    <w:next w:val="966"/>
    <w:link w:val="859"/>
    <w:qFormat/>
    <w:rPr>
      <w:rFonts w:ascii="Tahoma" w:hAnsi="Tahoma"/>
      <w:sz w:val="24"/>
      <w:szCs w:val="20"/>
    </w:rPr>
  </w:style>
  <w:style w:type="paragraph" w:styleId="967">
    <w:name w:val="font6"/>
    <w:basedOn w:val="859"/>
    <w:next w:val="967"/>
    <w:link w:val="859"/>
    <w:qFormat/>
    <w:pPr>
      <w:jc w:val="left"/>
      <w:spacing w:before="100" w:beforeAutospacing="1" w:after="100" w:afterAutospacing="1"/>
      <w:widowControl/>
    </w:pPr>
    <w:rPr>
      <w:rFonts w:ascii="宋体" w:hAnsi="宋体" w:cs="宋体"/>
      <w:sz w:val="20"/>
      <w:szCs w:val="20"/>
    </w:rPr>
  </w:style>
  <w:style w:type="paragraph" w:styleId="968">
    <w:name w:val="项目编号2"/>
    <w:basedOn w:val="969"/>
    <w:next w:val="968"/>
    <w:link w:val="859"/>
    <w:qFormat/>
    <w:pPr>
      <w:numPr>
        <w:numId w:val="3"/>
      </w:numPr>
    </w:pPr>
  </w:style>
  <w:style w:type="paragraph" w:styleId="969">
    <w:name w:val="项目编号1"/>
    <w:basedOn w:val="859"/>
    <w:next w:val="969"/>
    <w:link w:val="859"/>
    <w:qFormat/>
    <w:pPr>
      <w:numPr>
        <w:ilvl w:val="0"/>
        <w:numId w:val="2"/>
      </w:numPr>
      <w:spacing w:before="100" w:beforeAutospacing="1" w:after="100" w:afterAutospacing="1" w:line="360" w:lineRule="auto"/>
    </w:pPr>
    <w:rPr>
      <w:sz w:val="24"/>
    </w:rPr>
  </w:style>
  <w:style w:type="paragraph" w:styleId="970">
    <w:name w:val="图中文字"/>
    <w:basedOn w:val="859"/>
    <w:next w:val="970"/>
    <w:link w:val="859"/>
    <w:qFormat/>
    <w:pPr>
      <w:jc w:val="center"/>
      <w:spacing w:line="0" w:lineRule="atLeast"/>
    </w:pPr>
    <w:rPr>
      <w:sz w:val="24"/>
      <w:szCs w:val="20"/>
    </w:rPr>
  </w:style>
  <w:style w:type="paragraph" w:styleId="971">
    <w:name w:val="xl46"/>
    <w:basedOn w:val="859"/>
    <w:next w:val="971"/>
    <w:link w:val="85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72">
    <w:name w:val="xl25"/>
    <w:basedOn w:val="859"/>
    <w:next w:val="972"/>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3">
    <w:name w:val="Char2"/>
    <w:basedOn w:val="859"/>
    <w:next w:val="973"/>
    <w:link w:val="859"/>
    <w:qFormat/>
    <w:rPr>
      <w:rFonts w:ascii="Tahoma" w:hAnsi="Tahoma"/>
      <w:sz w:val="24"/>
      <w:szCs w:val="20"/>
    </w:rPr>
  </w:style>
  <w:style w:type="paragraph" w:styleId="974">
    <w:name w:val="xl35"/>
    <w:basedOn w:val="859"/>
    <w:next w:val="974"/>
    <w:link w:val="8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5">
    <w:name w:val="xl40"/>
    <w:basedOn w:val="859"/>
    <w:next w:val="975"/>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6">
    <w:name w:val="xl52"/>
    <w:basedOn w:val="859"/>
    <w:next w:val="976"/>
    <w:link w:val="8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7">
    <w:name w:val="xl43"/>
    <w:basedOn w:val="859"/>
    <w:next w:val="977"/>
    <w:link w:val="85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8">
    <w:name w:val="background1"/>
    <w:basedOn w:val="859"/>
    <w:next w:val="978"/>
    <w:link w:val="859"/>
    <w:qFormat/>
    <w:pPr>
      <w:jc w:val="left"/>
      <w:spacing w:before="100" w:beforeAutospacing="1" w:after="100" w:afterAutospacing="1"/>
      <w:widowControl/>
    </w:pPr>
    <w:rPr>
      <w:rFonts w:ascii="宋体" w:hAnsi="宋体" w:cs="宋体"/>
      <w:sz w:val="24"/>
    </w:rPr>
  </w:style>
  <w:style w:type="paragraph" w:styleId="979">
    <w:name w:val="Char Char Char Char Char Char Char"/>
    <w:basedOn w:val="859"/>
    <w:next w:val="979"/>
    <w:link w:val="859"/>
    <w:qFormat/>
    <w:pPr>
      <w:ind w:firstLine="200"/>
      <w:spacing w:line="360" w:lineRule="auto"/>
    </w:pPr>
    <w:rPr>
      <w:rFonts w:eastAsia="仿宋_GB2312"/>
      <w:sz w:val="24"/>
    </w:rPr>
  </w:style>
  <w:style w:type="paragraph" w:styleId="980">
    <w:name w:val="xl38"/>
    <w:basedOn w:val="859"/>
    <w:next w:val="980"/>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81">
    <w:name w:val="xl36"/>
    <w:basedOn w:val="859"/>
    <w:next w:val="981"/>
    <w:link w:val="85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2">
    <w:name w:val="正文 + 宋体"/>
    <w:basedOn w:val="859"/>
    <w:next w:val="982"/>
    <w:link w:val="859"/>
    <w:qFormat/>
    <w:pPr>
      <w:ind w:left="360" w:hanging="360"/>
      <w:jc w:val="left"/>
      <w:widowControl/>
    </w:pPr>
    <w:rPr>
      <w:rFonts w:ascii="宋体" w:hAnsi="宋体" w:cs="宋体"/>
      <w:b/>
      <w:bCs/>
      <w:color w:val="000000"/>
      <w:sz w:val="18"/>
      <w:szCs w:val="18"/>
    </w:rPr>
  </w:style>
  <w:style w:type="paragraph" w:styleId="983">
    <w:name w:val="正文列项_数字"/>
    <w:basedOn w:val="859"/>
    <w:next w:val="983"/>
    <w:link w:val="859"/>
    <w:qFormat/>
    <w:pPr>
      <w:numPr>
        <w:ilvl w:val="7"/>
        <w:numId w:val="1"/>
      </w:numPr>
      <w:ind w:left="680" w:hanging="150"/>
      <w:spacing w:line="460" w:lineRule="exact"/>
      <w:tabs>
        <w:tab w:val="clear" w:pos="860" w:leader="none"/>
      </w:tabs>
      <w:outlineLvl w:val="7"/>
    </w:pPr>
    <w:rPr>
      <w:rFonts w:ascii="宋体"/>
      <w:sz w:val="28"/>
      <w:szCs w:val="20"/>
    </w:rPr>
  </w:style>
  <w:style w:type="paragraph" w:styleId="984">
    <w:name w:val="xl39"/>
    <w:basedOn w:val="859"/>
    <w:next w:val="984"/>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5">
    <w:name w:val="xl37"/>
    <w:basedOn w:val="859"/>
    <w:next w:val="985"/>
    <w:link w:val="8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6">
    <w:name w:val="xl32"/>
    <w:basedOn w:val="859"/>
    <w:next w:val="986"/>
    <w:link w:val="8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7">
    <w:name w:val="font8"/>
    <w:basedOn w:val="859"/>
    <w:next w:val="987"/>
    <w:link w:val="859"/>
    <w:qFormat/>
    <w:pPr>
      <w:jc w:val="left"/>
      <w:spacing w:before="100" w:beforeAutospacing="1" w:after="100" w:afterAutospacing="1"/>
      <w:widowControl/>
    </w:pPr>
    <w:rPr>
      <w:sz w:val="36"/>
      <w:szCs w:val="36"/>
    </w:rPr>
  </w:style>
  <w:style w:type="paragraph" w:styleId="988">
    <w:name w:val="Char"/>
    <w:basedOn w:val="859"/>
    <w:next w:val="988"/>
    <w:link w:val="859"/>
    <w:qFormat/>
    <w:pPr>
      <w:tabs>
        <w:tab w:val="left" w:pos="360" w:leader="none"/>
      </w:tabs>
    </w:pPr>
    <w:rPr>
      <w:sz w:val="24"/>
    </w:rPr>
  </w:style>
  <w:style w:type="paragraph" w:styleId="989">
    <w:name w:val="Char Char Char Char Char Char Char Char Char Char Char Char Char Char Char Char"/>
    <w:basedOn w:val="859"/>
    <w:next w:val="989"/>
    <w:link w:val="859"/>
    <w:qFormat/>
    <w:pPr>
      <w:jc w:val="center"/>
      <w:spacing w:after="160" w:line="240" w:lineRule="exact"/>
      <w:widowControl/>
    </w:pPr>
    <w:rPr>
      <w:rFonts w:ascii="宋体" w:hAnsi="宋体"/>
      <w:b/>
      <w:sz w:val="30"/>
      <w:szCs w:val="30"/>
      <w:lang w:eastAsia="en-US"/>
    </w:rPr>
  </w:style>
  <w:style w:type="paragraph" w:styleId="990">
    <w:name w:val="xl45"/>
    <w:basedOn w:val="859"/>
    <w:next w:val="990"/>
    <w:link w:val="85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1">
    <w:name w:val="Char Char1 Char Char Char Char Char Char"/>
    <w:basedOn w:val="859"/>
    <w:next w:val="991"/>
    <w:link w:val="859"/>
    <w:qFormat/>
    <w:pPr>
      <w:jc w:val="left"/>
      <w:spacing w:after="160" w:line="240" w:lineRule="exact"/>
      <w:widowControl/>
    </w:pPr>
    <w:rPr>
      <w:rFonts w:ascii="Verdana" w:hAnsi="Verdana" w:eastAsia="仿宋_GB2312"/>
      <w:sz w:val="24"/>
      <w:szCs w:val="20"/>
      <w:lang w:eastAsia="en-US"/>
    </w:rPr>
  </w:style>
  <w:style w:type="paragraph" w:styleId="992">
    <w:name w:val="Char Char1"/>
    <w:basedOn w:val="886"/>
    <w:next w:val="992"/>
    <w:link w:val="859"/>
    <w:qFormat/>
    <w:rPr>
      <w:rFonts w:ascii="Tahoma" w:hAnsi="Tahoma"/>
      <w:sz w:val="24"/>
    </w:rPr>
  </w:style>
  <w:style w:type="paragraph" w:styleId="993">
    <w:name w:val="xl26"/>
    <w:basedOn w:val="859"/>
    <w:next w:val="993"/>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4">
    <w:name w:val="xl30"/>
    <w:basedOn w:val="859"/>
    <w:next w:val="994"/>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5">
    <w:name w:val="xl41"/>
    <w:basedOn w:val="859"/>
    <w:next w:val="995"/>
    <w:link w:val="85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6">
    <w:name w:val="样式 宋体 五号 行距: 单倍行距"/>
    <w:basedOn w:val="859"/>
    <w:next w:val="996"/>
    <w:link w:val="859"/>
    <w:qFormat/>
    <w:pPr>
      <w:jc w:val="left"/>
    </w:pPr>
    <w:rPr>
      <w:rFonts w:ascii="宋体" w:hAnsi="宋体"/>
      <w:szCs w:val="20"/>
    </w:rPr>
  </w:style>
  <w:style w:type="paragraph" w:styleId="997">
    <w:name w:val="Char1 Char Char Char1"/>
    <w:basedOn w:val="859"/>
    <w:next w:val="997"/>
    <w:link w:val="859"/>
    <w:qFormat/>
    <w:rPr>
      <w:rFonts w:ascii="Tahoma" w:hAnsi="Tahoma" w:cs="仿宋_GB2312"/>
      <w:sz w:val="24"/>
      <w:szCs w:val="28"/>
    </w:rPr>
  </w:style>
  <w:style w:type="paragraph" w:styleId="998">
    <w:name w:val="四级条标题"/>
    <w:basedOn w:val="999"/>
    <w:next w:val="859"/>
    <w:link w:val="859"/>
    <w:qFormat/>
    <w:pPr>
      <w:numPr>
        <w:ilvl w:val="4"/>
      </w:numPr>
      <w:ind w:left="0" w:hanging="840"/>
      <w:tabs>
        <w:tab w:val="left" w:pos="360" w:leader="none"/>
        <w:tab w:val="left" w:pos="840" w:leader="none"/>
      </w:tabs>
      <w:outlineLvl w:val="4"/>
    </w:pPr>
  </w:style>
  <w:style w:type="paragraph" w:styleId="999">
    <w:name w:val="三级条标题"/>
    <w:basedOn w:val="961"/>
    <w:next w:val="859"/>
    <w:link w:val="859"/>
    <w:qFormat/>
    <w:pPr>
      <w:numPr>
        <w:ilvl w:val="3"/>
        <w:numId w:val="1"/>
      </w:numPr>
      <w:ind w:left="0" w:hanging="840"/>
      <w:tabs>
        <w:tab w:val="left" w:pos="360" w:leader="none"/>
        <w:tab w:val="left" w:pos="840" w:leader="none"/>
      </w:tabs>
      <w:outlineLvl w:val="3"/>
    </w:pPr>
  </w:style>
  <w:style w:type="paragraph" w:styleId="1000">
    <w:name w:val="??"/>
    <w:next w:val="1000"/>
    <w:link w:val="859"/>
    <w:qFormat/>
    <w:pPr>
      <w:jc w:val="both"/>
      <w:widowControl w:val="off"/>
    </w:pPr>
    <w:rPr>
      <w:sz w:val="21"/>
      <w:lang w:val="en-US" w:eastAsia="en-US" w:bidi="ar-SA"/>
    </w:rPr>
  </w:style>
  <w:style w:type="paragraph" w:styleId="1001">
    <w:name w:val="样式 标题 2 + 宋体 五号 行距: 单倍行距"/>
    <w:basedOn w:val="861"/>
    <w:next w:val="1001"/>
    <w:link w:val="85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02">
    <w:name w:val="List Paragraph1"/>
    <w:basedOn w:val="859"/>
    <w:next w:val="1002"/>
    <w:link w:val="859"/>
    <w:qFormat/>
    <w:pPr>
      <w:ind w:firstLine="420"/>
    </w:pPr>
    <w:rPr>
      <w:rFonts w:ascii="Calibri" w:hAnsi="Calibri"/>
      <w:szCs w:val="22"/>
    </w:rPr>
  </w:style>
  <w:style w:type="paragraph" w:styleId="1003">
    <w:name w:val="项目符号1"/>
    <w:basedOn w:val="1004"/>
    <w:next w:val="1003"/>
    <w:link w:val="859"/>
    <w:qFormat/>
    <w:pPr>
      <w:ind w:left="-25" w:firstLine="0"/>
    </w:pPr>
  </w:style>
  <w:style w:type="paragraph" w:styleId="1004">
    <w:name w:val="正文文本样式"/>
    <w:basedOn w:val="859"/>
    <w:next w:val="1004"/>
    <w:link w:val="859"/>
    <w:qFormat/>
    <w:pPr>
      <w:ind w:firstLine="482"/>
      <w:spacing w:line="360" w:lineRule="auto"/>
    </w:pPr>
    <w:rPr>
      <w:rFonts w:cs="宋体"/>
      <w:sz w:val="24"/>
      <w:szCs w:val="20"/>
    </w:rPr>
  </w:style>
  <w:style w:type="paragraph" w:styleId="1005">
    <w:name w:val="xl27"/>
    <w:basedOn w:val="859"/>
    <w:next w:val="1005"/>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6">
    <w:name w:val="font5"/>
    <w:basedOn w:val="859"/>
    <w:next w:val="1006"/>
    <w:link w:val="859"/>
    <w:qFormat/>
    <w:pPr>
      <w:jc w:val="left"/>
      <w:spacing w:before="100" w:beforeAutospacing="1" w:after="100" w:afterAutospacing="1"/>
      <w:widowControl/>
    </w:pPr>
    <w:rPr>
      <w:rFonts w:ascii="宋体" w:hAnsi="宋体" w:cs="宋体"/>
      <w:sz w:val="18"/>
      <w:szCs w:val="18"/>
    </w:rPr>
  </w:style>
  <w:style w:type="paragraph" w:styleId="1007">
    <w:name w:val="五级条标题"/>
    <w:basedOn w:val="998"/>
    <w:next w:val="859"/>
    <w:link w:val="859"/>
    <w:qFormat/>
    <w:pPr>
      <w:numPr>
        <w:ilvl w:val="5"/>
      </w:numPr>
      <w:ind w:left="0" w:hanging="840"/>
      <w:tabs>
        <w:tab w:val="left" w:pos="360" w:leader="none"/>
        <w:tab w:val="left" w:pos="840" w:leader="none"/>
      </w:tabs>
      <w:outlineLvl w:val="5"/>
    </w:pPr>
  </w:style>
  <w:style w:type="paragraph" w:styleId="1008">
    <w:name w:val="xl49"/>
    <w:basedOn w:val="859"/>
    <w:next w:val="1008"/>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9">
    <w:name w:val="文档正文"/>
    <w:basedOn w:val="859"/>
    <w:next w:val="1009"/>
    <w:link w:val="859"/>
    <w:qFormat/>
    <w:pPr>
      <w:spacing w:before="120" w:after="120" w:line="180" w:lineRule="auto"/>
    </w:pPr>
    <w:rPr>
      <w:rFonts w:ascii="Arial" w:hAnsi="Arial"/>
      <w:szCs w:val="20"/>
    </w:rPr>
  </w:style>
  <w:style w:type="paragraph" w:styleId="1010">
    <w:name w:val="xl33"/>
    <w:basedOn w:val="859"/>
    <w:next w:val="1010"/>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1">
    <w:name w:val="xl42"/>
    <w:basedOn w:val="859"/>
    <w:next w:val="1011"/>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12">
    <w:name w:val="Char Char Char1 Char"/>
    <w:basedOn w:val="859"/>
    <w:next w:val="1012"/>
    <w:link w:val="859"/>
    <w:qFormat/>
    <w:rPr>
      <w:rFonts w:ascii="Tahoma" w:hAnsi="Tahoma"/>
      <w:sz w:val="24"/>
      <w:szCs w:val="20"/>
    </w:rPr>
  </w:style>
  <w:style w:type="paragraph" w:styleId="1013">
    <w:name w:val="xl44"/>
    <w:basedOn w:val="859"/>
    <w:next w:val="1013"/>
    <w:link w:val="8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4">
    <w:name w:val="1名"/>
    <w:basedOn w:val="859"/>
    <w:next w:val="1014"/>
    <w:link w:val="859"/>
    <w:qFormat/>
    <w:pPr>
      <w:numPr>
        <w:ilvl w:val="0"/>
        <w:numId w:val="5"/>
      </w:numPr>
      <w:spacing w:before="120"/>
      <w:tabs>
        <w:tab w:val="left" w:pos="360" w:leader="none"/>
      </w:tabs>
    </w:pPr>
    <w:rPr>
      <w:rFonts w:ascii="宋体"/>
      <w:sz w:val="28"/>
      <w:szCs w:val="20"/>
    </w:rPr>
  </w:style>
  <w:style w:type="paragraph" w:styleId="1015">
    <w:name w:val="font9"/>
    <w:basedOn w:val="859"/>
    <w:next w:val="1015"/>
    <w:link w:val="859"/>
    <w:qFormat/>
    <w:pPr>
      <w:jc w:val="left"/>
      <w:spacing w:before="100" w:beforeAutospacing="1" w:after="100" w:afterAutospacing="1"/>
      <w:widowControl/>
    </w:pPr>
    <w:rPr>
      <w:rFonts w:hint="eastAsia" w:ascii="宋体" w:hAnsi="宋体" w:cs="Arial Unicode MS"/>
      <w:color w:val="000000"/>
      <w:sz w:val="20"/>
      <w:szCs w:val="20"/>
    </w:rPr>
  </w:style>
  <w:style w:type="paragraph" w:styleId="1016">
    <w:name w:val="Char Char Char1 Char1"/>
    <w:basedOn w:val="859"/>
    <w:next w:val="1016"/>
    <w:link w:val="859"/>
    <w:qFormat/>
    <w:rPr>
      <w:rFonts w:ascii="Tahoma" w:hAnsi="Tahoma"/>
      <w:sz w:val="24"/>
      <w:szCs w:val="20"/>
    </w:rPr>
  </w:style>
  <w:style w:type="paragraph" w:styleId="1017">
    <w:name w:val="Char Char Char Char Char Char Char Char Char Char"/>
    <w:basedOn w:val="859"/>
    <w:next w:val="1017"/>
    <w:link w:val="859"/>
    <w:qFormat/>
  </w:style>
  <w:style w:type="paragraph" w:styleId="1018">
    <w:name w:val="Char Char1 Char Char Char Char Char Char Char Char"/>
    <w:basedOn w:val="859"/>
    <w:next w:val="1018"/>
    <w:link w:val="859"/>
    <w:qFormat/>
    <w:pPr>
      <w:jc w:val="left"/>
      <w:spacing w:after="160" w:line="240" w:lineRule="exact"/>
      <w:widowControl/>
    </w:pPr>
    <w:rPr>
      <w:rFonts w:ascii="Verdana" w:hAnsi="Verdana"/>
      <w:sz w:val="20"/>
      <w:szCs w:val="20"/>
      <w:lang w:eastAsia="en-US"/>
    </w:rPr>
  </w:style>
  <w:style w:type="paragraph" w:styleId="1019">
    <w:name w:val="Char1"/>
    <w:basedOn w:val="859"/>
    <w:next w:val="1019"/>
    <w:link w:val="859"/>
    <w:qFormat/>
    <w:pPr>
      <w:tabs>
        <w:tab w:val="left" w:pos="360" w:leader="none"/>
      </w:tabs>
    </w:pPr>
    <w:rPr>
      <w:sz w:val="24"/>
    </w:rPr>
  </w:style>
  <w:style w:type="paragraph" w:styleId="1020">
    <w:name w:val="正文列项_字母"/>
    <w:basedOn w:val="859"/>
    <w:next w:val="1020"/>
    <w:link w:val="859"/>
    <w:qFormat/>
    <w:pPr>
      <w:numPr>
        <w:ilvl w:val="6"/>
        <w:numId w:val="1"/>
      </w:numPr>
      <w:ind w:left="480" w:hanging="180"/>
      <w:spacing w:line="460" w:lineRule="exact"/>
      <w:tabs>
        <w:tab w:val="clear" w:pos="635" w:leader="none"/>
      </w:tabs>
      <w:outlineLvl w:val="6"/>
    </w:pPr>
    <w:rPr>
      <w:rFonts w:ascii="宋体"/>
      <w:sz w:val="28"/>
      <w:szCs w:val="20"/>
    </w:rPr>
  </w:style>
  <w:style w:type="paragraph" w:styleId="1021">
    <w:name w:val="xl28"/>
    <w:basedOn w:val="859"/>
    <w:next w:val="1021"/>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2">
    <w:name w:val="xl47"/>
    <w:basedOn w:val="859"/>
    <w:next w:val="1022"/>
    <w:link w:val="8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3">
    <w:name w:val="默认段落字体 Para Char Char Char Char"/>
    <w:basedOn w:val="859"/>
    <w:next w:val="1023"/>
    <w:link w:val="859"/>
    <w:qFormat/>
    <w:rPr>
      <w:rFonts w:ascii="Arial" w:hAnsi="Arial" w:cs="Arial"/>
      <w:szCs w:val="21"/>
    </w:rPr>
  </w:style>
  <w:style w:type="paragraph" w:styleId="1024">
    <w:name w:val="xl48"/>
    <w:basedOn w:val="859"/>
    <w:next w:val="1024"/>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5">
    <w:name w:val="xl31"/>
    <w:basedOn w:val="859"/>
    <w:next w:val="1025"/>
    <w:link w:val="8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6">
    <w:name w:val="xl53"/>
    <w:basedOn w:val="859"/>
    <w:next w:val="1026"/>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7">
    <w:name w:val="Char Char Char"/>
    <w:basedOn w:val="859"/>
    <w:next w:val="1027"/>
    <w:link w:val="859"/>
    <w:qFormat/>
    <w:rPr>
      <w:rFonts w:ascii="Tahoma" w:hAnsi="Tahoma"/>
      <w:sz w:val="24"/>
      <w:szCs w:val="20"/>
    </w:rPr>
  </w:style>
  <w:style w:type="paragraph" w:styleId="1028">
    <w:name w:val="xl50"/>
    <w:basedOn w:val="859"/>
    <w:next w:val="1028"/>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9">
    <w:name w:val="缺省文本"/>
    <w:basedOn w:val="859"/>
    <w:next w:val="1029"/>
    <w:link w:val="859"/>
    <w:qFormat/>
    <w:pPr>
      <w:jc w:val="left"/>
    </w:pPr>
    <w:rPr>
      <w:sz w:val="24"/>
    </w:rPr>
  </w:style>
  <w:style w:type="paragraph" w:styleId="1030">
    <w:name w:val="Char Char Char1"/>
    <w:basedOn w:val="859"/>
    <w:next w:val="1030"/>
    <w:link w:val="859"/>
    <w:qFormat/>
    <w:rPr>
      <w:rFonts w:ascii="Tahoma" w:hAnsi="Tahoma"/>
      <w:sz w:val="24"/>
      <w:szCs w:val="20"/>
    </w:rPr>
  </w:style>
  <w:style w:type="paragraph" w:styleId="1031">
    <w:name w:val="Char Char Char Char Char Char Char1"/>
    <w:basedOn w:val="859"/>
    <w:next w:val="1031"/>
    <w:link w:val="859"/>
    <w:qFormat/>
    <w:pPr>
      <w:ind w:firstLine="200"/>
      <w:spacing w:line="360" w:lineRule="auto"/>
    </w:pPr>
    <w:rPr>
      <w:rFonts w:eastAsia="仿宋_GB2312"/>
      <w:sz w:val="24"/>
    </w:rPr>
  </w:style>
  <w:style w:type="paragraph" w:styleId="1032">
    <w:name w:val="xl51"/>
    <w:basedOn w:val="859"/>
    <w:next w:val="1032"/>
    <w:link w:val="8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3">
    <w:name w:val="样式2"/>
    <w:basedOn w:val="923"/>
    <w:next w:val="1033"/>
    <w:link w:val="859"/>
    <w:qFormat/>
    <w:pPr>
      <w:jc w:val="center"/>
      <w:spacing w:line="360" w:lineRule="auto"/>
    </w:pPr>
    <w:rPr>
      <w:sz w:val="24"/>
    </w:rPr>
  </w:style>
  <w:style w:type="paragraph" w:styleId="1034">
    <w:name w:val="xl24"/>
    <w:basedOn w:val="859"/>
    <w:next w:val="1034"/>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5">
    <w:name w:val="xl29"/>
    <w:basedOn w:val="859"/>
    <w:next w:val="1035"/>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6">
    <w:name w:val="正文 + 楷体_GB2312"/>
    <w:basedOn w:val="859"/>
    <w:next w:val="1036"/>
    <w:link w:val="859"/>
    <w:qFormat/>
    <w:pPr>
      <w:jc w:val="left"/>
      <w:widowControl/>
    </w:pPr>
    <w:rPr>
      <w:rFonts w:ascii="楷体_GB2312" w:eastAsia="楷体_GB2312" w:cs="Arial"/>
      <w:sz w:val="24"/>
    </w:rPr>
  </w:style>
  <w:style w:type="paragraph" w:styleId="1037">
    <w:name w:val="xl34"/>
    <w:basedOn w:val="859"/>
    <w:next w:val="1037"/>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8">
    <w:name w:val="1 Char Char Char Char"/>
    <w:basedOn w:val="859"/>
    <w:next w:val="1038"/>
    <w:link w:val="859"/>
    <w:qFormat/>
    <w:rPr>
      <w:rFonts w:ascii="Tahoma" w:hAnsi="Tahoma"/>
      <w:sz w:val="24"/>
      <w:szCs w:val="20"/>
    </w:rPr>
  </w:style>
  <w:style w:type="paragraph" w:styleId="1039">
    <w:name w:val="列出段落1"/>
    <w:basedOn w:val="859"/>
    <w:next w:val="1039"/>
    <w:link w:val="859"/>
    <w:qFormat/>
    <w:pPr>
      <w:ind w:firstLine="420"/>
    </w:pPr>
    <w:rPr>
      <w:rFonts w:ascii="Calibri" w:hAnsi="Calibri"/>
      <w:szCs w:val="22"/>
    </w:rPr>
  </w:style>
  <w:style w:type="paragraph" w:styleId="1040">
    <w:name w:val="default"/>
    <w:basedOn w:val="859"/>
    <w:next w:val="1040"/>
    <w:link w:val="859"/>
    <w:qFormat/>
    <w:pPr>
      <w:jc w:val="left"/>
      <w:spacing w:before="100" w:beforeAutospacing="1" w:after="100" w:afterAutospacing="1"/>
      <w:widowControl/>
    </w:pPr>
    <w:rPr>
      <w:rFonts w:ascii="宋体" w:hAnsi="宋体" w:cs="宋体"/>
      <w:sz w:val="24"/>
    </w:rPr>
  </w:style>
  <w:style w:type="paragraph" w:styleId="1041">
    <w:name w:val="字元 字元1"/>
    <w:basedOn w:val="859"/>
    <w:next w:val="1041"/>
    <w:link w:val="859"/>
    <w:qFormat/>
    <w:rPr>
      <w:rFonts w:ascii="Tahoma" w:hAnsi="Tahoma"/>
      <w:sz w:val="24"/>
      <w:szCs w:val="20"/>
    </w:rPr>
  </w:style>
  <w:style w:type="paragraph" w:styleId="1042">
    <w:name w:val="_Style 160"/>
    <w:next w:val="1042"/>
    <w:link w:val="859"/>
    <w:qFormat/>
    <w:rPr>
      <w:sz w:val="21"/>
      <w:szCs w:val="24"/>
      <w:lang w:val="en-US" w:eastAsia="zh-CN" w:bidi="ar-SA"/>
    </w:rPr>
  </w:style>
  <w:style w:type="paragraph" w:styleId="1043">
    <w:name w:val="项目编号3"/>
    <w:basedOn w:val="1004"/>
    <w:next w:val="1043"/>
    <w:link w:val="859"/>
    <w:qFormat/>
    <w:pPr>
      <w:numPr>
        <w:ilvl w:val="0"/>
        <w:numId w:val="6"/>
      </w:numPr>
    </w:pPr>
  </w:style>
  <w:style w:type="paragraph" w:styleId="1044">
    <w:name w:val="Char21"/>
    <w:basedOn w:val="859"/>
    <w:next w:val="1044"/>
    <w:link w:val="859"/>
    <w:qFormat/>
    <w:rPr>
      <w:rFonts w:ascii="Tahoma" w:hAnsi="Tahoma"/>
      <w:sz w:val="24"/>
      <w:szCs w:val="20"/>
    </w:rPr>
  </w:style>
  <w:style w:type="paragraph" w:styleId="1045">
    <w:name w:val="表格文字"/>
    <w:basedOn w:val="894"/>
    <w:next w:val="1045"/>
    <w:link w:val="859"/>
    <w:qFormat/>
    <w:pPr>
      <w:ind w:firstLine="0"/>
      <w:spacing w:before="20" w:after="20" w:line="240" w:lineRule="auto"/>
    </w:pPr>
    <w:rPr>
      <w:rFonts w:ascii="Century Gothic" w:hAnsi="Century Gothic"/>
      <w:sz w:val="20"/>
      <w:szCs w:val="20"/>
    </w:rPr>
  </w:style>
  <w:style w:type="paragraph" w:styleId="1046">
    <w:name w:val="Char Char Char Char Char Char Char Char Char Char1"/>
    <w:basedOn w:val="859"/>
    <w:next w:val="1046"/>
    <w:link w:val="859"/>
    <w:qFormat/>
    <w:rPr>
      <w:rFonts w:ascii="宋体" w:hAnsi="宋体" w:cs="Courier New"/>
      <w:sz w:val="32"/>
      <w:szCs w:val="32"/>
    </w:rPr>
  </w:style>
  <w:style w:type="paragraph" w:styleId="1047">
    <w:name w:val="正文文本样式 加粗"/>
    <w:basedOn w:val="1004"/>
    <w:next w:val="1047"/>
    <w:link w:val="859"/>
    <w:qFormat/>
    <w:rPr>
      <w:b/>
    </w:rPr>
  </w:style>
  <w:style w:type="paragraph" w:styleId="1048">
    <w:name w:val="Char2 Char Char Char Char Char Char"/>
    <w:basedOn w:val="859"/>
    <w:next w:val="1048"/>
    <w:link w:val="859"/>
    <w:qFormat/>
    <w:pPr>
      <w:jc w:val="center"/>
      <w:spacing w:line="400" w:lineRule="exact"/>
      <w:widowControl/>
    </w:pPr>
  </w:style>
  <w:style w:type="paragraph" w:styleId="1049">
    <w:name w:val="Char Char4"/>
    <w:basedOn w:val="859"/>
    <w:next w:val="1049"/>
    <w:link w:val="859"/>
    <w:qFormat/>
    <w:pPr>
      <w:jc w:val="center"/>
      <w:spacing w:line="400" w:lineRule="exact"/>
      <w:widowControl/>
    </w:pPr>
  </w:style>
  <w:style w:type="paragraph" w:styleId="1050">
    <w:name w:val="Char3 Char Char Char1"/>
    <w:basedOn w:val="859"/>
    <w:next w:val="1050"/>
    <w:link w:val="859"/>
    <w:qFormat/>
    <w:rPr>
      <w:rFonts w:ascii="Tahoma" w:hAnsi="Tahoma"/>
      <w:sz w:val="24"/>
      <w:szCs w:val="20"/>
    </w:rPr>
  </w:style>
  <w:style w:type="paragraph" w:styleId="1051">
    <w:name w:val="无间隔"/>
    <w:next w:val="1051"/>
    <w:link w:val="859"/>
    <w:qFormat/>
    <w:pPr>
      <w:jc w:val="both"/>
      <w:widowControl w:val="off"/>
    </w:pPr>
    <w:rPr>
      <w:sz w:val="21"/>
      <w:szCs w:val="24"/>
      <w:lang w:val="en-US" w:eastAsia="zh-CN" w:bidi="ar-SA"/>
    </w:rPr>
  </w:style>
  <w:style w:type="paragraph" w:styleId="1052">
    <w:name w:val="22222222222222"/>
    <w:basedOn w:val="859"/>
    <w:next w:val="1052"/>
    <w:link w:val="859"/>
    <w:qFormat/>
    <w:pPr>
      <w:ind w:firstLine="480"/>
      <w:jc w:val="left"/>
      <w:spacing w:line="360" w:lineRule="auto"/>
      <w:widowControl/>
    </w:pPr>
    <w:rPr>
      <w:color w:val="ff0000"/>
      <w:sz w:val="24"/>
      <w:szCs w:val="20"/>
    </w:rPr>
  </w:style>
  <w:style w:type="character" w:styleId="1053">
    <w:name w:val="中等深浅网格 1 - 强调文字颜色 2 Char"/>
    <w:next w:val="1053"/>
    <w:link w:val="1054"/>
    <w:qFormat/>
    <w:rPr>
      <w:sz w:val="21"/>
      <w:szCs w:val="24"/>
      <w:lang w:val="zh-CN" w:eastAsia="zh-CN" w:bidi="ar-SA"/>
    </w:rPr>
  </w:style>
  <w:style w:type="paragraph" w:styleId="1054">
    <w:name w:val="1"/>
    <w:next w:val="1054"/>
    <w:link w:val="1053"/>
    <w:qFormat/>
    <w:rPr>
      <w:sz w:val="21"/>
      <w:szCs w:val="24"/>
      <w:lang w:val="zh-CN" w:eastAsia="zh-CN" w:bidi="ar-SA"/>
    </w:rPr>
  </w:style>
  <w:style w:type="paragraph" w:styleId="1055">
    <w:name w:val="图文"/>
    <w:basedOn w:val="859"/>
    <w:next w:val="1055"/>
    <w:link w:val="859"/>
    <w:qFormat/>
    <w:pPr>
      <w:spacing w:after="50" w:line="360" w:lineRule="auto"/>
    </w:pPr>
    <w:rPr>
      <w:sz w:val="24"/>
    </w:rPr>
  </w:style>
  <w:style w:type="paragraph" w:styleId="1056">
    <w:name w:val="xl23"/>
    <w:basedOn w:val="859"/>
    <w:next w:val="1056"/>
    <w:link w:val="859"/>
    <w:qFormat/>
    <w:pPr>
      <w:spacing w:before="100" w:beforeAutospacing="1" w:after="100" w:afterAutospacing="1" w:line="360" w:lineRule="auto"/>
      <w:widowControl/>
    </w:pPr>
    <w:rPr>
      <w:sz w:val="24"/>
      <w:szCs w:val="20"/>
    </w:rPr>
  </w:style>
  <w:style w:type="paragraph" w:styleId="1057">
    <w:name w:val="正文表格"/>
    <w:basedOn w:val="859"/>
    <w:next w:val="1057"/>
    <w:link w:val="1058"/>
    <w:qFormat/>
    <w:pPr>
      <w:jc w:val="left"/>
    </w:pPr>
    <w:rPr>
      <w:rFonts w:ascii="宋体" w:hAnsi="宋体"/>
      <w:color w:val="000000"/>
      <w:szCs w:val="21"/>
    </w:rPr>
  </w:style>
  <w:style w:type="character" w:styleId="1058">
    <w:name w:val="正文表格 Char"/>
    <w:next w:val="1058"/>
    <w:link w:val="1057"/>
    <w:qFormat/>
    <w:rPr>
      <w:rFonts w:ascii="宋体" w:hAnsi="宋体"/>
      <w:color w:val="000000"/>
      <w:sz w:val="21"/>
      <w:szCs w:val="21"/>
    </w:rPr>
  </w:style>
  <w:style w:type="paragraph" w:styleId="1059">
    <w:name w:val="正文重点"/>
    <w:basedOn w:val="859"/>
    <w:next w:val="1059"/>
    <w:link w:val="1060"/>
    <w:qFormat/>
    <w:pPr>
      <w:ind w:firstLine="482"/>
      <w:jc w:val="left"/>
      <w:spacing w:line="360" w:lineRule="auto"/>
    </w:pPr>
    <w:rPr>
      <w:b/>
      <w:sz w:val="24"/>
      <w:szCs w:val="20"/>
    </w:rPr>
  </w:style>
  <w:style w:type="character" w:styleId="1060">
    <w:name w:val="正文重点 Char"/>
    <w:next w:val="1060"/>
    <w:link w:val="1059"/>
    <w:qFormat/>
    <w:rPr>
      <w:b/>
      <w:sz w:val="24"/>
    </w:rPr>
  </w:style>
  <w:style w:type="paragraph" w:styleId="1061">
    <w:name w:val="标题1-附件"/>
    <w:basedOn w:val="860"/>
    <w:next w:val="1061"/>
    <w:link w:val="859"/>
    <w:qFormat/>
    <w:pPr>
      <w:jc w:val="left"/>
    </w:pPr>
    <w:rPr>
      <w:sz w:val="24"/>
      <w:szCs w:val="24"/>
    </w:rPr>
  </w:style>
  <w:style w:type="paragraph" w:styleId="1062">
    <w:name w:val="正文小标题"/>
    <w:basedOn w:val="859"/>
    <w:next w:val="875"/>
    <w:link w:val="1063"/>
    <w:qFormat/>
    <w:pPr>
      <w:ind w:firstLine="482"/>
      <w:jc w:val="left"/>
      <w:spacing w:before="312" w:after="312"/>
    </w:pPr>
    <w:rPr>
      <w:rFonts w:ascii="宋体" w:hAnsi="宋体"/>
      <w:b/>
      <w:i/>
      <w:color w:val="ff0000"/>
      <w:sz w:val="24"/>
      <w:szCs w:val="20"/>
    </w:rPr>
  </w:style>
  <w:style w:type="character" w:styleId="1063">
    <w:name w:val="正文小标题 Char"/>
    <w:next w:val="1063"/>
    <w:link w:val="1062"/>
    <w:qFormat/>
    <w:rPr>
      <w:rFonts w:ascii="宋体" w:hAnsi="宋体"/>
      <w:b/>
      <w:i/>
      <w:color w:val="ff0000"/>
      <w:sz w:val="24"/>
    </w:rPr>
  </w:style>
  <w:style w:type="paragraph" w:styleId="1064">
    <w:name w:val="正文大标题"/>
    <w:basedOn w:val="1062"/>
    <w:next w:val="875"/>
    <w:link w:val="1065"/>
    <w:qFormat/>
    <w:pPr>
      <w:jc w:val="center"/>
    </w:pPr>
    <w:rPr>
      <w:i w:val="0"/>
      <w:color w:val="000000"/>
      <w:sz w:val="28"/>
      <w:szCs w:val="21"/>
    </w:rPr>
  </w:style>
  <w:style w:type="character" w:styleId="1065">
    <w:name w:val="正文大标题 Char"/>
    <w:next w:val="1065"/>
    <w:link w:val="1064"/>
    <w:qFormat/>
    <w:rPr>
      <w:rFonts w:ascii="宋体" w:hAnsi="宋体"/>
      <w:b/>
      <w:color w:val="000000"/>
      <w:sz w:val="28"/>
      <w:szCs w:val="21"/>
    </w:rPr>
  </w:style>
  <w:style w:type="paragraph" w:styleId="1066">
    <w:name w:val="注释"/>
    <w:basedOn w:val="859"/>
    <w:next w:val="1066"/>
    <w:link w:val="1067"/>
    <w:qFormat/>
    <w:pPr>
      <w:ind w:left="420" w:hanging="420"/>
      <w:jc w:val="left"/>
    </w:pPr>
    <w:rPr>
      <w:rFonts w:ascii="宋体" w:hAnsi="宋体"/>
      <w:szCs w:val="21"/>
    </w:rPr>
  </w:style>
  <w:style w:type="character" w:styleId="1067">
    <w:name w:val="注释 Char"/>
    <w:next w:val="1067"/>
    <w:link w:val="1066"/>
    <w:qFormat/>
    <w:rPr>
      <w:rFonts w:ascii="宋体" w:hAnsi="宋体"/>
      <w:sz w:val="21"/>
      <w:szCs w:val="21"/>
    </w:rPr>
  </w:style>
  <w:style w:type="paragraph" w:styleId="1068">
    <w:name w:val="正文须知-1级"/>
    <w:basedOn w:val="859"/>
    <w:next w:val="859"/>
    <w:link w:val="859"/>
    <w:qFormat/>
    <w:pPr>
      <w:numPr>
        <w:ilvl w:val="0"/>
        <w:numId w:val="7"/>
      </w:numPr>
      <w:spacing w:line="300" w:lineRule="auto"/>
    </w:pPr>
    <w:rPr>
      <w:rFonts w:ascii="宋体" w:hAnsi="Calibri"/>
      <w:sz w:val="24"/>
      <w:szCs w:val="21"/>
    </w:rPr>
  </w:style>
  <w:style w:type="paragraph" w:styleId="1069">
    <w:name w:val="正文须知-2级"/>
    <w:basedOn w:val="859"/>
    <w:next w:val="1069"/>
    <w:link w:val="859"/>
    <w:qFormat/>
    <w:pPr>
      <w:numPr>
        <w:ilvl w:val="1"/>
        <w:numId w:val="7"/>
      </w:numPr>
      <w:spacing w:line="300" w:lineRule="auto"/>
    </w:pPr>
    <w:rPr>
      <w:rFonts w:ascii="宋体" w:hAnsi="Calibri"/>
      <w:sz w:val="24"/>
      <w:szCs w:val="21"/>
    </w:rPr>
  </w:style>
  <w:style w:type="paragraph" w:styleId="1070">
    <w:name w:val="正文须知-3级"/>
    <w:basedOn w:val="859"/>
    <w:next w:val="1070"/>
    <w:link w:val="859"/>
    <w:qFormat/>
    <w:pPr>
      <w:numPr>
        <w:ilvl w:val="2"/>
        <w:numId w:val="7"/>
      </w:numPr>
      <w:ind w:hanging="355"/>
      <w:spacing w:line="300" w:lineRule="auto"/>
    </w:pPr>
    <w:rPr>
      <w:rFonts w:ascii="宋体" w:hAnsi="Calibri"/>
      <w:sz w:val="24"/>
      <w:szCs w:val="21"/>
    </w:rPr>
  </w:style>
  <w:style w:type="character" w:styleId="1071">
    <w:name w:val="纯文本 字符"/>
    <w:next w:val="1071"/>
    <w:link w:val="859"/>
    <w:uiPriority w:val="99"/>
    <w:qFormat/>
    <w:rPr>
      <w:rFonts w:ascii="宋体" w:hAnsi="Courier New" w:eastAsia="宋体" w:cs="Times New Roman"/>
      <w:sz w:val="21"/>
      <w:szCs w:val="21"/>
      <w:lang w:val="en-US" w:eastAsia="zh-CN" w:bidi="ar-SA"/>
    </w:rPr>
  </w:style>
  <w:style w:type="paragraph" w:styleId="1072">
    <w:name w:val="表格1"/>
    <w:basedOn w:val="859"/>
    <w:next w:val="1072"/>
    <w:link w:val="859"/>
    <w:qFormat/>
    <w:pPr>
      <w:ind w:firstLine="480"/>
      <w:jc w:val="center"/>
    </w:pPr>
    <w:rPr>
      <w:sz w:val="24"/>
      <w:szCs w:val="20"/>
    </w:rPr>
  </w:style>
  <w:style w:type="character" w:styleId="1073">
    <w:name w:val="纯文本 字符1"/>
    <w:next w:val="1073"/>
    <w:link w:val="859"/>
    <w:qFormat/>
    <w:rPr>
      <w:rFonts w:ascii="宋体" w:hAnsi="Courier New"/>
    </w:rPr>
  </w:style>
  <w:style w:type="character" w:styleId="1074">
    <w:name w:val="bjh-p"/>
    <w:next w:val="1074"/>
    <w:link w:val="859"/>
    <w:qFormat/>
  </w:style>
  <w:style w:type="paragraph" w:styleId="1075">
    <w:name w:val="无标题条"/>
    <w:next w:val="859"/>
    <w:link w:val="859"/>
    <w:qFormat/>
    <w:pPr>
      <w:jc w:val="both"/>
    </w:pPr>
    <w:rPr>
      <w:sz w:val="21"/>
      <w:lang w:val="en-US" w:eastAsia="zh-CN" w:bidi="ar-SA"/>
    </w:rPr>
  </w:style>
  <w:style w:type="character" w:styleId="1076">
    <w:name w:val="正文格式 Char"/>
    <w:next w:val="1076"/>
    <w:link w:val="1077"/>
    <w:qFormat/>
    <w:rPr>
      <w:rFonts w:ascii="宋体" w:hAnsi="宋体"/>
      <w:sz w:val="24"/>
      <w:szCs w:val="24"/>
      <w:lang w:val="en-GB"/>
    </w:rPr>
  </w:style>
  <w:style w:type="paragraph" w:styleId="1077">
    <w:name w:val="正文格式"/>
    <w:basedOn w:val="859"/>
    <w:next w:val="1077"/>
    <w:link w:val="1076"/>
    <w:qFormat/>
    <w:pPr>
      <w:ind w:firstLine="480"/>
      <w:spacing w:line="360" w:lineRule="auto"/>
    </w:pPr>
    <w:rPr>
      <w:rFonts w:ascii="宋体" w:hAnsi="宋体"/>
      <w:sz w:val="24"/>
      <w:lang w:val="en-GB"/>
    </w:rPr>
  </w:style>
  <w:style w:type="character" w:styleId="1078">
    <w:name w:val="标题 3 Char"/>
    <w:next w:val="1078"/>
    <w:link w:val="859"/>
    <w:qFormat/>
    <w:rPr>
      <w:rFonts w:ascii="宋体" w:eastAsia="宋体"/>
      <w:b/>
      <w:sz w:val="24"/>
      <w:u w:val="single"/>
      <w:lang w:val="en-US" w:eastAsia="zh-CN" w:bidi="ar-SA"/>
    </w:rPr>
  </w:style>
  <w:style w:type="character" w:styleId="1079">
    <w:name w:val="正文缩进 Char"/>
    <w:next w:val="1079"/>
    <w:link w:val="859"/>
    <w:qFormat/>
    <w:rPr>
      <w:rFonts w:ascii="宋体" w:eastAsia="宋体"/>
      <w:sz w:val="24"/>
      <w:szCs w:val="24"/>
      <w:lang w:val="en-US" w:eastAsia="zh-CN" w:bidi="ar-SA"/>
    </w:rPr>
  </w:style>
  <w:style w:type="character" w:styleId="1080">
    <w:name w:val="Char Char111"/>
    <w:next w:val="1080"/>
    <w:link w:val="859"/>
    <w:qFormat/>
    <w:rPr>
      <w:rFonts w:ascii="宋体" w:eastAsia="宋体"/>
      <w:b/>
      <w:sz w:val="24"/>
      <w:u w:val="single"/>
      <w:lang w:val="en-US" w:eastAsia="zh-CN" w:bidi="ar-SA"/>
    </w:rPr>
  </w:style>
  <w:style w:type="character" w:styleId="1081">
    <w:name w:val="正文文本缩进 Char"/>
    <w:next w:val="1081"/>
    <w:link w:val="859"/>
    <w:qFormat/>
    <w:rPr>
      <w:rFonts w:eastAsia="宋体"/>
      <w:sz w:val="24"/>
      <w:szCs w:val="24"/>
      <w:lang w:val="en-US" w:eastAsia="zh-CN" w:bidi="ar-SA"/>
    </w:rPr>
  </w:style>
  <w:style w:type="character" w:styleId="1082">
    <w:name w:val="列出段落 Char"/>
    <w:next w:val="1082"/>
    <w:link w:val="859"/>
    <w:qFormat/>
    <w:rPr>
      <w:rFonts w:ascii="Calibri" w:hAnsi="Calibri" w:eastAsia="宋体"/>
      <w:sz w:val="21"/>
      <w:szCs w:val="22"/>
      <w:lang w:val="en-US" w:eastAsia="zh-CN" w:bidi="ar-SA"/>
    </w:rPr>
  </w:style>
  <w:style w:type="character" w:styleId="1083">
    <w:name w:val="页眉 Char"/>
    <w:next w:val="1083"/>
    <w:link w:val="859"/>
    <w:qFormat/>
    <w:rPr>
      <w:rFonts w:eastAsia="宋体"/>
      <w:sz w:val="18"/>
      <w:szCs w:val="18"/>
      <w:lang w:val="en-US" w:eastAsia="zh-CN" w:bidi="ar-SA"/>
    </w:rPr>
  </w:style>
  <w:style w:type="character" w:styleId="1084">
    <w:name w:val="标题 2 Char"/>
    <w:next w:val="1084"/>
    <w:link w:val="859"/>
    <w:qFormat/>
    <w:rPr>
      <w:rFonts w:ascii="Arial" w:hAnsi="Arial" w:eastAsia="黑体"/>
      <w:b/>
      <w:sz w:val="30"/>
      <w:lang w:val="en-US" w:eastAsia="zh-CN" w:bidi="ar-SA"/>
    </w:rPr>
  </w:style>
  <w:style w:type="paragraph" w:styleId="1085">
    <w:name w:val="字元 字元2"/>
    <w:basedOn w:val="859"/>
    <w:next w:val="1085"/>
    <w:link w:val="859"/>
    <w:qFormat/>
    <w:rPr>
      <w:rFonts w:ascii="Tahoma" w:hAnsi="Tahoma"/>
      <w:sz w:val="24"/>
      <w:szCs w:val="20"/>
    </w:rPr>
  </w:style>
  <w:style w:type="paragraph" w:styleId="1086">
    <w:name w:val="Char3 Char Char Char2"/>
    <w:basedOn w:val="859"/>
    <w:next w:val="1086"/>
    <w:link w:val="859"/>
    <w:qFormat/>
    <w:rPr>
      <w:rFonts w:ascii="Tahoma" w:hAnsi="Tahoma"/>
      <w:sz w:val="24"/>
      <w:szCs w:val="20"/>
    </w:rPr>
  </w:style>
  <w:style w:type="paragraph" w:styleId="1087">
    <w:name w:val="正文文本缩进2"/>
    <w:basedOn w:val="859"/>
    <w:next w:val="1087"/>
    <w:link w:val="859"/>
    <w:qFormat/>
    <w:pPr>
      <w:ind w:firstLine="480"/>
      <w:spacing w:line="480" w:lineRule="exact"/>
    </w:pPr>
    <w:rPr>
      <w:rFonts w:ascii="宋体" w:hAnsi="宋体"/>
      <w:sz w:val="24"/>
      <w:lang w:val="zh-CN" w:eastAsia="zh-CN"/>
    </w:rPr>
  </w:style>
  <w:style w:type="paragraph" w:styleId="1088">
    <w:name w:val="Char3"/>
    <w:basedOn w:val="859"/>
    <w:next w:val="1088"/>
    <w:link w:val="859"/>
    <w:qFormat/>
    <w:pPr>
      <w:tabs>
        <w:tab w:val="left" w:pos="360" w:leader="none"/>
      </w:tabs>
    </w:pPr>
    <w:rPr>
      <w:sz w:val="24"/>
    </w:rPr>
  </w:style>
  <w:style w:type="paragraph" w:styleId="1089">
    <w:name w:val="Char Char Char Char Char Char Char Char Char Char Char Char Char Char Char Char1"/>
    <w:basedOn w:val="859"/>
    <w:next w:val="1089"/>
    <w:link w:val="859"/>
    <w:qFormat/>
    <w:pPr>
      <w:jc w:val="center"/>
      <w:spacing w:after="160" w:line="240" w:lineRule="exact"/>
      <w:widowControl/>
    </w:pPr>
    <w:rPr>
      <w:rFonts w:ascii="宋体" w:hAnsi="宋体"/>
      <w:b/>
      <w:sz w:val="30"/>
      <w:szCs w:val="30"/>
      <w:lang w:eastAsia="en-US"/>
    </w:rPr>
  </w:style>
  <w:style w:type="paragraph" w:styleId="1090">
    <w:name w:val="Char Char1 Char Char Char Char Char Char1"/>
    <w:basedOn w:val="859"/>
    <w:next w:val="1090"/>
    <w:link w:val="859"/>
    <w:qFormat/>
    <w:pPr>
      <w:jc w:val="left"/>
      <w:spacing w:after="160" w:line="240" w:lineRule="exact"/>
      <w:widowControl/>
    </w:pPr>
    <w:rPr>
      <w:rFonts w:ascii="Verdana" w:hAnsi="Verdana" w:eastAsia="仿宋_GB2312"/>
      <w:sz w:val="24"/>
      <w:szCs w:val="20"/>
      <w:lang w:eastAsia="en-US"/>
    </w:rPr>
  </w:style>
  <w:style w:type="paragraph" w:styleId="1091">
    <w:name w:val="列出段落2"/>
    <w:basedOn w:val="859"/>
    <w:next w:val="1091"/>
    <w:link w:val="859"/>
    <w:qFormat/>
    <w:pPr>
      <w:ind w:firstLine="420"/>
    </w:pPr>
    <w:rPr>
      <w:rFonts w:ascii="Calibri" w:hAnsi="Calibri"/>
      <w:szCs w:val="22"/>
    </w:rPr>
  </w:style>
  <w:style w:type="paragraph" w:styleId="1092">
    <w:name w:val="Char Char Char1 Char2"/>
    <w:basedOn w:val="859"/>
    <w:next w:val="1092"/>
    <w:link w:val="859"/>
    <w:qFormat/>
    <w:rPr>
      <w:rFonts w:ascii="Tahoma" w:hAnsi="Tahoma"/>
      <w:sz w:val="24"/>
      <w:szCs w:val="20"/>
    </w:rPr>
  </w:style>
  <w:style w:type="paragraph" w:styleId="1093">
    <w:name w:val="Char Char Char2"/>
    <w:basedOn w:val="859"/>
    <w:next w:val="1093"/>
    <w:link w:val="859"/>
    <w:qFormat/>
    <w:rPr>
      <w:rFonts w:ascii="Tahoma" w:hAnsi="Tahoma"/>
      <w:sz w:val="24"/>
      <w:szCs w:val="20"/>
    </w:rPr>
  </w:style>
  <w:style w:type="paragraph" w:styleId="1094">
    <w:name w:val="Char Char Char Char Char Char Char2"/>
    <w:basedOn w:val="859"/>
    <w:next w:val="1094"/>
    <w:link w:val="859"/>
    <w:qFormat/>
    <w:pPr>
      <w:ind w:firstLine="200"/>
      <w:spacing w:line="360" w:lineRule="auto"/>
    </w:pPr>
    <w:rPr>
      <w:rFonts w:eastAsia="仿宋_GB2312"/>
      <w:sz w:val="24"/>
    </w:rPr>
  </w:style>
  <w:style w:type="paragraph" w:styleId="1095">
    <w:name w:val="正文缩进2"/>
    <w:basedOn w:val="859"/>
    <w:next w:val="1095"/>
    <w:link w:val="859"/>
    <w:qFormat/>
    <w:pPr>
      <w:ind w:firstLine="567"/>
      <w:spacing w:line="480" w:lineRule="exact"/>
      <w:widowControl/>
    </w:pPr>
    <w:rPr>
      <w:rFonts w:ascii="宋体"/>
      <w:color w:val="000000"/>
      <w:sz w:val="28"/>
      <w:szCs w:val="20"/>
      <w:lang w:val="zh-CN" w:eastAsia="zh-CN"/>
    </w:rPr>
  </w:style>
  <w:style w:type="paragraph" w:styleId="1096">
    <w:name w:val="Revision"/>
    <w:next w:val="1096"/>
    <w:link w:val="859"/>
    <w:qFormat/>
    <w:rPr>
      <w:sz w:val="21"/>
      <w:szCs w:val="24"/>
      <w:lang w:val="en-US" w:eastAsia="zh-CN" w:bidi="ar-SA"/>
    </w:rPr>
  </w:style>
  <w:style w:type="paragraph" w:styleId="1097">
    <w:name w:val="Char22"/>
    <w:basedOn w:val="859"/>
    <w:next w:val="1097"/>
    <w:link w:val="859"/>
    <w:qFormat/>
    <w:rPr>
      <w:rFonts w:ascii="Tahoma" w:hAnsi="Tahoma"/>
      <w:sz w:val="24"/>
      <w:szCs w:val="20"/>
    </w:rPr>
  </w:style>
  <w:style w:type="paragraph" w:styleId="1098">
    <w:name w:val="Char Char Char Char Char Char Char Char Char Char2"/>
    <w:basedOn w:val="859"/>
    <w:next w:val="1098"/>
    <w:link w:val="859"/>
    <w:qFormat/>
    <w:rPr>
      <w:rFonts w:ascii="宋体" w:hAnsi="宋体" w:cs="Courier New"/>
      <w:sz w:val="32"/>
      <w:szCs w:val="32"/>
    </w:rPr>
  </w:style>
  <w:style w:type="paragraph" w:styleId="1099">
    <w:name w:val="Char2 Char Char Char Char Char Char1"/>
    <w:basedOn w:val="859"/>
    <w:next w:val="1099"/>
    <w:link w:val="859"/>
    <w:qFormat/>
    <w:pPr>
      <w:jc w:val="center"/>
      <w:spacing w:line="400" w:lineRule="exact"/>
      <w:widowControl/>
    </w:pPr>
  </w:style>
  <w:style w:type="character" w:styleId="1100">
    <w:name w:val="页脚 Char"/>
    <w:next w:val="1100"/>
    <w:link w:val="859"/>
    <w:qFormat/>
    <w:rPr>
      <w:rFonts w:ascii="宋体" w:eastAsia="宋体"/>
      <w:sz w:val="18"/>
      <w:lang w:val="en-US" w:eastAsia="zh-CN" w:bidi="ar-SA"/>
    </w:rPr>
  </w:style>
  <w:style w:type="paragraph" w:styleId="1101">
    <w:name w:val="Char Char41"/>
    <w:basedOn w:val="859"/>
    <w:next w:val="1101"/>
    <w:link w:val="859"/>
    <w:qFormat/>
    <w:pPr>
      <w:jc w:val="center"/>
      <w:spacing w:line="400" w:lineRule="exact"/>
      <w:widowControl/>
    </w:pPr>
  </w:style>
  <w:style w:type="character" w:styleId="1102">
    <w:name w:val="批注文字 Char"/>
    <w:next w:val="1102"/>
    <w:link w:val="859"/>
    <w:uiPriority w:val="99"/>
    <w:qFormat/>
    <w:rPr>
      <w:sz w:val="21"/>
      <w:szCs w:val="24"/>
    </w:rPr>
  </w:style>
  <w:style w:type="character" w:styleId="1103">
    <w:name w:val="标题 Char"/>
    <w:next w:val="1103"/>
    <w:link w:val="859"/>
    <w:qFormat/>
    <w:rPr>
      <w:b/>
      <w:sz w:val="32"/>
    </w:rPr>
  </w:style>
  <w:style w:type="paragraph" w:styleId="1104">
    <w:name w:val="图例"/>
    <w:basedOn w:val="859"/>
    <w:next w:val="1104"/>
    <w:link w:val="859"/>
    <w:qFormat/>
    <w:pPr>
      <w:jc w:val="center"/>
      <w:spacing w:before="120" w:after="120" w:line="360" w:lineRule="auto"/>
    </w:pPr>
    <w:rPr>
      <w:rFonts w:eastAsia="仿宋_GB2312"/>
      <w:b/>
      <w:sz w:val="24"/>
      <w:szCs w:val="20"/>
    </w:rPr>
  </w:style>
  <w:style w:type="table" w:styleId="1105">
    <w:name w:val="Table Normal"/>
    <w:next w:val="1105"/>
    <w:link w:val="859"/>
    <w:uiPriority w:val="2"/>
    <w:unhideWhenUsed/>
    <w:qFormat/>
    <w:pPr>
      <w:widowControl w:val="off"/>
    </w:pPr>
    <w:rPr>
      <w:rFonts w:ascii="Calibri" w:hAnsi="Calibri"/>
      <w:sz w:val="22"/>
      <w:szCs w:val="22"/>
      <w:lang w:val="en-US" w:eastAsia="en-US" w:bidi="ar-SA"/>
    </w:rPr>
    <w:tblPr/>
  </w:style>
  <w:style w:type="paragraph" w:styleId="1106">
    <w:name w:val="Table Paragraph"/>
    <w:basedOn w:val="859"/>
    <w:next w:val="1106"/>
    <w:link w:val="859"/>
    <w:uiPriority w:val="1"/>
    <w:qFormat/>
    <w:pPr>
      <w:jc w:val="left"/>
    </w:pPr>
    <w:rPr>
      <w:rFonts w:ascii="宋体" w:hAnsi="宋体" w:cs="宋体"/>
      <w:sz w:val="22"/>
      <w:szCs w:val="22"/>
      <w:lang w:eastAsia="en-US"/>
    </w:rPr>
  </w:style>
  <w:style w:type="paragraph" w:styleId="1107">
    <w:name w:val="成文日期"/>
    <w:basedOn w:val="859"/>
    <w:next w:val="1107"/>
    <w:link w:val="1108"/>
    <w:qFormat/>
    <w:pPr>
      <w:ind w:right="400" w:firstLine="200"/>
      <w:jc w:val="right"/>
      <w:spacing w:line="570" w:lineRule="exact"/>
    </w:pPr>
    <w:rPr>
      <w:rFonts w:ascii="仿宋_GB2312" w:eastAsia="仿宋_GB2312"/>
      <w:sz w:val="32"/>
      <w:szCs w:val="20"/>
    </w:rPr>
  </w:style>
  <w:style w:type="character" w:styleId="1108">
    <w:name w:val="成文日期 Char"/>
    <w:next w:val="1108"/>
    <w:link w:val="1107"/>
    <w:rPr>
      <w:rFonts w:ascii="仿宋_GB2312" w:eastAsia="仿宋_GB2312"/>
      <w:sz w:val="32"/>
    </w:rPr>
  </w:style>
  <w:style w:type="paragraph" w:styleId="1109">
    <w:name w:val="修订"/>
    <w:next w:val="1109"/>
    <w:link w:val="859"/>
    <w:uiPriority w:val="99"/>
    <w:unhideWhenUsed/>
    <w:rPr>
      <w:sz w:val="21"/>
      <w:szCs w:val="24"/>
      <w:lang w:val="en-US" w:eastAsia="zh-CN" w:bidi="ar-SA"/>
    </w:rPr>
  </w:style>
  <w:style w:type="character" w:styleId="1110">
    <w:name w:val="正文缩进 字符"/>
    <w:next w:val="1110"/>
    <w:link w:val="859"/>
    <w:uiPriority w:val="99"/>
    <w:qFormat/>
    <w:rPr>
      <w:rFonts w:ascii="宋体" w:hAnsi="Times New Roman" w:eastAsia="宋体" w:cs="Times New Roman"/>
      <w:sz w:val="24"/>
    </w:rPr>
  </w:style>
  <w:style w:type="character" w:styleId="1111">
    <w:name w:val="正文文本 字符"/>
    <w:next w:val="1111"/>
    <w:link w:val="859"/>
    <w:qFormat/>
    <w:rPr>
      <w:rFonts w:ascii="宋体" w:hAnsi="宋体"/>
      <w:sz w:val="24"/>
      <w:szCs w:val="24"/>
    </w:rPr>
  </w:style>
  <w:style w:type="paragraph" w:styleId="1112">
    <w:name w:val="纯文本1"/>
    <w:next w:val="914"/>
    <w:link w:val="859"/>
    <w:qFormat/>
    <w:pPr>
      <w:jc w:val="both"/>
      <w:widowControl w:val="off"/>
    </w:pPr>
    <w:rPr>
      <w:rFonts w:ascii="宋体" w:hAnsi="宋体"/>
      <w:sz w:val="26"/>
      <w:szCs w:val="24"/>
      <w:lang w:val="en-US" w:eastAsia="zh-CN" w:bidi="ar-SA"/>
    </w:rPr>
  </w:style>
  <w:style w:type="paragraph" w:styleId="1113">
    <w:name w:val="AONormal"/>
    <w:next w:val="1113"/>
    <w:link w:val="859"/>
    <w:qFormat/>
    <w:pPr>
      <w:ind w:firstLine="440"/>
      <w:spacing w:line="400" w:lineRule="exact"/>
    </w:pPr>
    <w:rPr>
      <w:rFonts w:ascii="华文楷体" w:hAnsi="华文楷体" w:eastAsia="华文楷体" w:cs="华文楷体"/>
      <w:sz w:val="22"/>
      <w:szCs w:val="21"/>
      <w:lang w:val="en-US" w:eastAsia="zh-CN" w:bidi="ar-SA"/>
    </w:rPr>
  </w:style>
  <w:style w:type="character" w:styleId="19528" w:default="1">
    <w:name w:val="Default Paragraph Font"/>
    <w:uiPriority w:val="1"/>
    <w:semiHidden/>
    <w:unhideWhenUsed/>
  </w:style>
  <w:style w:type="numbering" w:styleId="19529" w:default="1">
    <w:name w:val="No List"/>
    <w:uiPriority w:val="99"/>
    <w:semiHidden/>
    <w:unhideWhenUsed/>
  </w:style>
  <w:style w:type="table" w:styleId="195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9</cp:revision>
  <dcterms:created xsi:type="dcterms:W3CDTF">2022-05-30T08:08:00Z</dcterms:created>
  <dcterms:modified xsi:type="dcterms:W3CDTF">2026-10-29T05:53:05Z</dcterms:modified>
  <cp:version>1048576</cp:version>
</cp:coreProperties>
</file>