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p>
    <w:p>
      <w:pPr>
        <w:pStyle w:val="771"/>
        <w:ind w:firstLine="0"/>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p>
    <w:p>
      <w:pPr>
        <w:pStyle w:val="771"/>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p>
    <w:p>
      <w:pPr>
        <w:jc w:val="center"/>
        <w:rPr>
          <w:rFonts w:hint="eastAsia" w:ascii="宋体" w:hAnsi="宋体" w:cs="宋体"/>
          <w:b/>
          <w:color w:val="000000"/>
          <w:spacing w:val="76"/>
          <w:sz w:val="156"/>
          <w:highlight w:val="none"/>
        </w:rPr>
      </w:pPr>
      <w:r>
        <w:rPr>
          <w:rFonts w:hint="eastAsia" w:ascii="宋体" w:hAnsi="宋体" w:cs="宋体"/>
          <w:b/>
          <w:color w:val="000000"/>
          <w:spacing w:val="76"/>
          <w:sz w:val="156"/>
          <w:highlight w:val="none"/>
        </w:rPr>
        <w:t xml:space="preserve">招标文件</w:t>
      </w:r>
      <w:r/>
    </w:p>
    <w:p>
      <w:pPr>
        <w:jc w:val="center"/>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r>
      <w:r/>
    </w:p>
    <w:p>
      <w:pPr>
        <w:rPr>
          <w:rFonts w:hint="eastAsia" w:ascii="宋体" w:hAnsi="宋体" w:cs="宋体"/>
          <w:b/>
          <w:color w:val="000000"/>
          <w:sz w:val="24"/>
          <w:highlight w:val="none"/>
        </w:rPr>
      </w:pPr>
      <w:r>
        <w:rPr>
          <w:rFonts w:hint="eastAsia" w:ascii="宋体" w:hAnsi="宋体" w:cs="宋体"/>
          <w:b/>
          <w:color w:val="000000"/>
          <w:sz w:val="24"/>
          <w:highlight w:val="none"/>
        </w:rPr>
      </w:r>
      <w:r/>
    </w:p>
    <w:p>
      <w:pPr>
        <w:pStyle w:val="771"/>
        <w:ind w:firstLine="0"/>
        <w:rPr>
          <w:rFonts w:hint="eastAsia" w:ascii="宋体" w:hAnsi="宋体" w:cs="宋体"/>
          <w:color w:val="000000"/>
          <w:sz w:val="32"/>
          <w:highlight w:val="none"/>
        </w:rPr>
      </w:pPr>
      <w:r>
        <w:rPr>
          <w:rFonts w:hint="eastAsia" w:ascii="宋体" w:hAnsi="宋体" w:cs="宋体"/>
          <w:color w:val="000000"/>
          <w:sz w:val="32"/>
          <w:highlight w:val="none"/>
        </w:rPr>
      </w:r>
      <w:r/>
    </w:p>
    <w:p>
      <w:pPr>
        <w:pStyle w:val="771"/>
        <w:ind w:firstLine="0"/>
        <w:rPr>
          <w:rFonts w:hint="eastAsia" w:ascii="宋体" w:hAnsi="宋体" w:cs="宋体"/>
          <w:color w:val="000000"/>
          <w:sz w:val="32"/>
          <w:highlight w:val="none"/>
        </w:rPr>
      </w:pPr>
      <w:r>
        <w:rPr>
          <w:rFonts w:hint="eastAsia" w:ascii="宋体" w:hAnsi="宋体" w:cs="宋体"/>
          <w:color w:val="000000"/>
          <w:sz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JSZC-320321-CJIL-G2026-0003</w:t>
      </w:r>
      <w:r/>
    </w:p>
    <w:p>
      <w:pPr>
        <w:ind w:firstLine="960"/>
        <w:spacing w:line="6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640"/>
        <w:spacing w:line="600" w:lineRule="exact"/>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丰县2026年入河排污口规范化整治（EPC）项目32个点位在线监测运维项目</w:t>
      </w:r>
      <w:r/>
    </w:p>
    <w:p>
      <w:pPr>
        <w:ind w:firstLine="640"/>
        <w:spacing w:line="6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徐州市丰县生态环境局</w:t>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84"/>
        <w:ind w:firstLine="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60"/>
        <w:rPr>
          <w:rFonts w:hint="eastAsia"/>
          <w:color w:val="000000"/>
          <w:highlight w:val="none"/>
        </w:rPr>
      </w:pPr>
      <w:r>
        <w:rPr>
          <w:rFonts w:hint="eastAsia"/>
          <w:color w:val="000000"/>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6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6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采购代理机构：</w:t>
      </w:r>
      <w:r>
        <w:rPr>
          <w:rFonts w:hint="eastAsia" w:ascii="宋体" w:hAnsi="宋体" w:cs="宋体"/>
          <w:color w:val="000000"/>
          <w:sz w:val="32"/>
          <w:szCs w:val="32"/>
          <w:highlight w:val="none"/>
          <w:lang w:eastAsia="zh-CN"/>
        </w:rPr>
        <w:t xml:space="preserve">江苏创佳建设项目管理有限公司</w:t>
      </w:r>
      <w:r/>
    </w:p>
    <w:p>
      <w:pPr>
        <w:jc w:val="center"/>
        <w:spacing w:line="360" w:lineRule="auto"/>
        <w:rPr>
          <w:rFonts w:hint="eastAsia" w:ascii="宋体" w:hAnsi="宋体" w:cs="宋体"/>
          <w:color w:val="000000"/>
          <w:sz w:val="32"/>
          <w:szCs w:val="32"/>
          <w:highlight w:val="none"/>
        </w:rPr>
      </w:pPr>
      <w:r>
        <w:rPr>
          <w:rFonts w:hint="eastAsia" w:ascii="宋体" w:hAnsi="宋体" w:cs="宋体"/>
          <w:bCs/>
          <w:color w:val="000000"/>
          <w:sz w:val="32"/>
          <w:szCs w:val="32"/>
          <w:highlight w:val="none"/>
        </w:rPr>
        <w:t xml:space="preserve">二〇二六年</w:t>
      </w:r>
      <w:r>
        <w:rPr>
          <w:rFonts w:hint="eastAsia" w:ascii="宋体" w:hAnsi="宋体" w:cs="宋体"/>
          <w:bCs/>
          <w:color w:val="000000"/>
          <w:sz w:val="32"/>
          <w:szCs w:val="32"/>
          <w:highlight w:val="none"/>
        </w:rPr>
        <w:t xml:space="preserve">十</w:t>
      </w:r>
      <w:r>
        <w:rPr>
          <w:rFonts w:hint="eastAsia" w:ascii="宋体" w:hAnsi="宋体" w:cs="宋体"/>
          <w:bCs/>
          <w:color w:val="000000"/>
          <w:sz w:val="32"/>
          <w:szCs w:val="32"/>
          <w:highlight w:val="none"/>
        </w:rPr>
        <w:t xml:space="preserve">月</w:t>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rPr>
          <w:rFonts w:hint="eastAsia"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color w:val="000000"/>
          <w:sz w:val="44"/>
          <w:highlight w:val="none"/>
        </w:rPr>
      </w:r>
      <w:r/>
    </w:p>
    <w:p>
      <w:pPr>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highlight w:val="none"/>
        </w:rPr>
        <w:t xml:space="preserve">目 录</w:t>
      </w:r>
      <w:r/>
    </w:p>
    <w:p>
      <w:pPr>
        <w:jc w:val="center"/>
        <w:spacing w:line="51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jc w:val="center"/>
        <w:spacing w:line="519" w:lineRule="atLeast"/>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cs="宋体"/>
          <w:color w:val="000000"/>
          <w:sz w:val="30"/>
          <w:szCs w:val="30"/>
          <w:highlight w:val="none"/>
        </w:rPr>
        <w:fldChar w:fldCharType="separate"/>
      </w:r>
      <w:r>
        <w:rPr>
          <w:rStyle w:val="840"/>
          <w:rFonts w:hint="eastAsia" w:ascii="宋体" w:hAnsi="宋体" w:cs="宋体"/>
          <w:color w:val="000000"/>
          <w:sz w:val="30"/>
          <w:szCs w:val="30"/>
          <w:highlight w:val="none"/>
        </w:rPr>
        <w:t xml:space="preserve">第一章 投标邀请</w:t>
      </w:r>
      <w:r>
        <w:rPr>
          <w:rStyle w:val="840"/>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cs="宋体"/>
          <w:color w:val="000000"/>
          <w:sz w:val="30"/>
          <w:szCs w:val="30"/>
          <w:highlight w:val="none"/>
        </w:rPr>
        <w:fldChar w:fldCharType="separate"/>
      </w:r>
      <w:r>
        <w:rPr>
          <w:rStyle w:val="840"/>
          <w:rFonts w:hint="eastAsia" w:ascii="宋体" w:hAnsi="宋体" w:cs="宋体"/>
          <w:color w:val="000000"/>
          <w:sz w:val="30"/>
          <w:szCs w:val="30"/>
          <w:highlight w:val="none"/>
        </w:rPr>
        <w:t xml:space="preserve">第二章 投标人须知</w:t>
      </w:r>
      <w:r>
        <w:rPr>
          <w:rStyle w:val="840"/>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cs="宋体"/>
          <w:color w:val="000000"/>
          <w:sz w:val="30"/>
          <w:szCs w:val="30"/>
          <w:highlight w:val="none"/>
        </w:rPr>
        <w:fldChar w:fldCharType="separate"/>
      </w:r>
      <w:r>
        <w:rPr>
          <w:rStyle w:val="840"/>
          <w:rFonts w:hint="eastAsia" w:ascii="宋体" w:hAnsi="宋体" w:cs="宋体"/>
          <w:color w:val="000000"/>
          <w:sz w:val="30"/>
          <w:szCs w:val="30"/>
          <w:highlight w:val="none"/>
        </w:rPr>
        <w:t xml:space="preserve">第三章 投标资料表</w:t>
      </w:r>
      <w:r>
        <w:rPr>
          <w:rStyle w:val="840"/>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cs="宋体"/>
          <w:color w:val="000000"/>
          <w:sz w:val="30"/>
          <w:szCs w:val="30"/>
          <w:highlight w:val="none"/>
        </w:rPr>
        <w:fldChar w:fldCharType="separate"/>
      </w:r>
      <w:r>
        <w:rPr>
          <w:rStyle w:val="840"/>
          <w:rFonts w:hint="eastAsia" w:ascii="宋体" w:hAnsi="宋体" w:cs="宋体"/>
          <w:color w:val="000000"/>
          <w:sz w:val="30"/>
          <w:szCs w:val="30"/>
          <w:highlight w:val="none"/>
        </w:rPr>
        <w:t xml:space="preserve">第四章 评标标准</w:t>
      </w:r>
      <w:r>
        <w:rPr>
          <w:rStyle w:val="840"/>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cs="宋体"/>
          <w:color w:val="000000"/>
          <w:sz w:val="30"/>
          <w:szCs w:val="30"/>
          <w:highlight w:val="none"/>
        </w:rPr>
        <w:fldChar w:fldCharType="separate"/>
      </w:r>
      <w:r>
        <w:rPr>
          <w:rStyle w:val="840"/>
          <w:rFonts w:hint="eastAsia" w:ascii="宋体" w:hAnsi="宋体" w:cs="宋体"/>
          <w:color w:val="000000"/>
          <w:sz w:val="30"/>
          <w:szCs w:val="30"/>
          <w:highlight w:val="none"/>
        </w:rPr>
        <w:t xml:space="preserve">第五章 拟签订的合同文本</w:t>
      </w:r>
      <w:r>
        <w:rPr>
          <w:rStyle w:val="840"/>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cs="宋体"/>
          <w:color w:val="000000"/>
          <w:sz w:val="30"/>
          <w:szCs w:val="30"/>
          <w:highlight w:val="none"/>
        </w:rPr>
        <w:fldChar w:fldCharType="separate"/>
      </w:r>
      <w:r>
        <w:rPr>
          <w:rStyle w:val="840"/>
          <w:rFonts w:hint="eastAsia" w:ascii="宋体" w:hAnsi="宋体" w:cs="宋体"/>
          <w:color w:val="000000"/>
          <w:sz w:val="30"/>
          <w:szCs w:val="30"/>
          <w:highlight w:val="none"/>
        </w:rPr>
        <w:t xml:space="preserve">第六章 采购需求</w:t>
      </w:r>
      <w:r>
        <w:rPr>
          <w:rStyle w:val="840"/>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cs="宋体"/>
          <w:color w:val="000000"/>
          <w:sz w:val="30"/>
          <w:szCs w:val="30"/>
          <w:highlight w:val="none"/>
        </w:rPr>
        <w:fldChar w:fldCharType="separate"/>
      </w:r>
      <w:r>
        <w:rPr>
          <w:rStyle w:val="840"/>
          <w:rFonts w:hint="eastAsia" w:ascii="宋体" w:hAnsi="宋体" w:cs="宋体"/>
          <w:color w:val="000000"/>
          <w:sz w:val="30"/>
          <w:szCs w:val="30"/>
          <w:highlight w:val="none"/>
        </w:rPr>
        <w:t xml:space="preserve">第七章 投标文件相关格式</w:t>
      </w:r>
      <w:r>
        <w:rPr>
          <w:rStyle w:val="840"/>
          <w:rFonts w:hint="eastAsia" w:ascii="宋体" w:hAnsi="宋体" w:cs="宋体"/>
          <w:color w:val="000000"/>
          <w:sz w:val="30"/>
          <w:szCs w:val="30"/>
          <w:highlight w:val="none"/>
        </w:rPr>
        <w:fldChar w:fldCharType="end"/>
      </w:r>
      <w:r/>
    </w:p>
    <w:p>
      <w:pPr>
        <w:jc w:val="center"/>
        <w:spacing w:line="51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jc w:val="center"/>
        <w:spacing w:line="519" w:lineRule="atLeast"/>
        <w:rPr>
          <w:rFonts w:hint="eastAsia"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color w:val="000000"/>
          <w:sz w:val="44"/>
          <w:highlight w:val="none"/>
        </w:rPr>
      </w:r>
      <w:r/>
    </w:p>
    <w:p>
      <w:pPr>
        <w:jc w:val="center"/>
        <w:rPr>
          <w:rFonts w:hint="eastAsia" w:ascii="宋体" w:hAnsi="宋体" w:eastAsia="宋体" w:cs="宋体"/>
          <w:b/>
          <w:color w:val="000000"/>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lang w:eastAsia="zh-CN"/>
        </w:rPr>
        <w:t xml:space="preserve">徐州市丰县生态环境局</w:t>
      </w:r>
      <w:r/>
    </w:p>
    <w:p>
      <w:pPr>
        <w:jc w:val="center"/>
        <w:rPr>
          <w:rFonts w:hint="eastAsia"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lang w:eastAsia="zh-CN"/>
        </w:rPr>
        <w:t xml:space="preserve">丰县2026年入河排污口规范化整治（EPC）项目32个点位在线监测运维项目</w:t>
      </w:r>
      <w:r>
        <w:rPr>
          <w:rFonts w:hint="eastAsia" w:ascii="宋体" w:hAnsi="宋体" w:cs="宋体"/>
          <w:b/>
          <w:color w:val="000000"/>
          <w:sz w:val="36"/>
          <w:szCs w:val="36"/>
          <w:highlight w:val="none"/>
        </w:rPr>
        <w:t xml:space="preserve">》</w:t>
      </w:r>
      <w:r/>
    </w:p>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招标文件</w:t>
      </w:r>
      <w:r/>
    </w:p>
    <w:p>
      <w:pPr>
        <w:ind w:firstLine="600"/>
        <w:spacing w:line="360" w:lineRule="auto"/>
        <w:rPr>
          <w:rFonts w:hint="eastAsia"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rFonts w:hint="eastAsia"/>
        </w:rPr>
      </w:pPr>
      <w:r>
        <w:rPr>
          <w:rFonts w:hint="eastAsia"/>
        </w:rPr>
      </w:r>
      <w:r/>
    </w:p>
    <w:p>
      <w:pPr>
        <w:jc w:val="center"/>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第一章 投标邀请</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江苏创佳建设项目管理有限公司</w:t>
      </w:r>
      <w:r>
        <w:rPr>
          <w:rFonts w:hint="eastAsia" w:ascii="宋体" w:hAnsi="宋体" w:eastAsia="宋体" w:cs="宋体"/>
          <w:color w:val="000000"/>
          <w:sz w:val="24"/>
          <w:highlight w:val="none"/>
        </w:rPr>
        <w:t xml:space="preserve">对</w:t>
      </w:r>
      <w:r>
        <w:rPr>
          <w:rFonts w:hint="eastAsia" w:ascii="宋体" w:hAnsi="宋体" w:cs="宋体"/>
          <w:color w:val="000000"/>
          <w:sz w:val="24"/>
          <w:highlight w:val="none"/>
          <w:u w:val="single"/>
          <w:lang w:eastAsia="zh-CN"/>
        </w:rPr>
        <w:t xml:space="preserve">丰县2026年入河排污口规范化整治（EPC）项目32个点位在线监测运维项目</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进行公开招标采购，现邀请符合相关条件的供应商投标。</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一、项目名称和项目编号</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（一）项目名称：</w:t>
      </w:r>
      <w:r>
        <w:rPr>
          <w:rFonts w:hint="eastAsia" w:ascii="宋体" w:hAnsi="宋体" w:cs="宋体"/>
          <w:color w:val="000000"/>
          <w:sz w:val="24"/>
          <w:highlight w:val="none"/>
          <w:lang w:eastAsia="zh-CN"/>
        </w:rPr>
        <w:t xml:space="preserve">丰县2026年入河排污口规范化整治（EPC）项目32个点位在线监测运维项目</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（二）项目编号：</w:t>
      </w:r>
      <w:r>
        <w:rPr>
          <w:rFonts w:hint="eastAsia" w:ascii="宋体" w:hAnsi="宋体" w:cs="宋体"/>
          <w:color w:val="000000"/>
          <w:sz w:val="24"/>
          <w:highlight w:val="none"/>
          <w:lang w:eastAsia="zh-CN"/>
        </w:rPr>
        <w:t xml:space="preserve">JSZC-320321-CJIL-G2026-0003</w:t>
      </w:r>
      <w:r>
        <w:rPr>
          <w:rFonts w:hint="eastAsia" w:ascii="宋体" w:hAnsi="宋体" w:eastAsia="宋体" w:cs="宋体"/>
          <w:color w:val="000000"/>
          <w:sz w:val="24"/>
          <w:highlight w:val="none"/>
          <w:lang w:eastAsia="zh-CN"/>
        </w:rPr>
        <w:t xml:space="preserve">。</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二、对投标人的资格要求</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详见本项目公开招标公告。</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三、获取招标文件</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（一）潜在投标人访问电子招标投标交易平台的网络地址和方法：</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（3）“CA数字证书”的获取：</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（二）采购代理机构将数据电文形式的招标文件加载至电子招标投标交易平台，供潜在投标人下载或者查阅。</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（三）售价：免费。</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四、投标有关信息</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（一）投标截止时间：</w:t>
      </w:r>
      <w:r>
        <w:rPr>
          <w:rFonts w:hint="eastAsia" w:ascii="宋体" w:hAnsi="宋体" w:cs="宋体"/>
          <w:b/>
          <w:color w:val="000000"/>
          <w:sz w:val="24"/>
          <w:highlight w:val="none"/>
          <w:lang w:eastAsia="zh-CN"/>
        </w:rPr>
        <w:t xml:space="preserve">2026年10月27日</w:t>
      </w:r>
      <w:r>
        <w:rPr>
          <w:rFonts w:hint="eastAsia" w:ascii="宋体" w:hAnsi="宋体" w:eastAsia="宋体" w:cs="宋体"/>
          <w:b/>
          <w:color w:val="000000"/>
          <w:sz w:val="24"/>
          <w:highlight w:val="none"/>
        </w:rPr>
        <w:t xml:space="preserve">北京时间</w:t>
      </w:r>
      <w:r>
        <w:rPr>
          <w:rFonts w:hint="eastAsia" w:ascii="宋体" w:hAnsi="宋体" w:cs="宋体"/>
          <w:b/>
          <w:color w:val="000000"/>
          <w:sz w:val="24"/>
          <w:highlight w:val="none"/>
          <w:lang w:val="en-US" w:eastAsia="zh-CN"/>
        </w:rPr>
        <w:t xml:space="preserve">9:30</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（二）开标时间：</w:t>
      </w:r>
      <w:r>
        <w:rPr>
          <w:rFonts w:hint="eastAsia" w:ascii="宋体" w:hAnsi="宋体" w:cs="宋体"/>
          <w:b/>
          <w:color w:val="000000"/>
          <w:sz w:val="24"/>
          <w:highlight w:val="none"/>
          <w:lang w:eastAsia="zh-CN"/>
        </w:rPr>
        <w:t xml:space="preserve">2026年10月27日</w:t>
      </w:r>
      <w:r>
        <w:rPr>
          <w:rFonts w:hint="eastAsia" w:ascii="宋体" w:hAnsi="宋体" w:eastAsia="宋体" w:cs="宋体"/>
          <w:b/>
          <w:color w:val="000000"/>
          <w:sz w:val="24"/>
          <w:highlight w:val="none"/>
        </w:rPr>
        <w:t xml:space="preserve">北京时间</w:t>
      </w:r>
      <w:r>
        <w:rPr>
          <w:rFonts w:hint="eastAsia" w:ascii="宋体" w:hAnsi="宋体" w:cs="宋体"/>
          <w:b/>
          <w:color w:val="000000"/>
          <w:sz w:val="24"/>
          <w:highlight w:val="none"/>
          <w:lang w:val="en-US" w:eastAsia="zh-CN"/>
        </w:rPr>
        <w:t xml:space="preserve">9:30</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（三）开标地点：“苏采云”系统“开标大厅”或进入徐州政府采购网--办事指南--供应商--供应商登录入口，点击“苏采云”进入系统“开标大厅”。</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五、采购人</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（一）名称：徐州市丰县生态环境局</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（二）地址：江苏徐州市丰县中阳大道300号</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（三）联系方式：胡陈</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（四）采购项目联系人：18112003066 </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六、采购代理机构</w:t>
      </w:r>
      <w:r/>
    </w:p>
    <w:p>
      <w:pPr>
        <w:jc w:val="left"/>
        <w:spacing w:line="312" w:lineRule="auto"/>
        <w:widowControl/>
        <w:rPr>
          <w:rFonts w:hint="eastAsia" w:eastAsia="宋体"/>
          <w:color w:val="auto"/>
          <w:sz w:val="24"/>
          <w:szCs w:val="20"/>
          <w:highlight w:val="none"/>
          <w:lang w:eastAsia="zh-CN"/>
        </w:rPr>
      </w:pPr>
      <w:r>
        <w:rPr>
          <w:color w:val="auto"/>
          <w:sz w:val="24"/>
          <w:szCs w:val="20"/>
          <w:highlight w:val="none"/>
        </w:rPr>
        <w:t xml:space="preserve">（一）名称：</w:t>
      </w:r>
      <w:r>
        <w:rPr>
          <w:rFonts w:hint="eastAsia" w:eastAsia="宋体"/>
          <w:color w:val="auto"/>
          <w:sz w:val="24"/>
          <w:szCs w:val="20"/>
          <w:highlight w:val="none"/>
          <w:lang w:eastAsia="zh-CN"/>
        </w:rPr>
        <w:t xml:space="preserve">江苏创佳建设项目管理有限公司</w:t>
      </w:r>
      <w:r/>
    </w:p>
    <w:p>
      <w:pPr>
        <w:jc w:val="left"/>
        <w:spacing w:line="312" w:lineRule="auto"/>
        <w:widowControl/>
        <w:rPr>
          <w:rFonts w:hint="eastAsia" w:eastAsia="宋体"/>
          <w:color w:val="auto"/>
          <w:sz w:val="24"/>
          <w:szCs w:val="20"/>
          <w:highlight w:val="none"/>
          <w:lang w:eastAsia="zh-CN"/>
        </w:rPr>
      </w:pPr>
      <w:r>
        <w:rPr>
          <w:color w:val="auto"/>
          <w:sz w:val="24"/>
          <w:szCs w:val="20"/>
          <w:highlight w:val="none"/>
        </w:rPr>
        <w:t xml:space="preserve">（二）地址：</w:t>
      </w:r>
      <w:r>
        <w:rPr>
          <w:rFonts w:hint="eastAsia" w:eastAsia="宋体"/>
          <w:color w:val="auto"/>
          <w:sz w:val="24"/>
          <w:szCs w:val="20"/>
          <w:highlight w:val="none"/>
          <w:lang w:eastAsia="zh-CN"/>
        </w:rPr>
        <w:t xml:space="preserve">徐州市淮海西路小康人家三期商业1-15-417</w:t>
      </w:r>
      <w:r/>
    </w:p>
    <w:p>
      <w:pPr>
        <w:jc w:val="left"/>
        <w:spacing w:line="312" w:lineRule="auto"/>
        <w:widowControl/>
        <w:rPr>
          <w:rFonts w:hint="eastAsia" w:eastAsia="宋体"/>
          <w:color w:val="auto"/>
          <w:sz w:val="24"/>
          <w:szCs w:val="20"/>
          <w:highlight w:val="none"/>
          <w:lang w:eastAsia="zh-CN"/>
        </w:rPr>
      </w:pPr>
      <w:r>
        <w:rPr>
          <w:color w:val="auto"/>
          <w:sz w:val="24"/>
          <w:szCs w:val="20"/>
          <w:highlight w:val="none"/>
        </w:rPr>
        <w:t xml:space="preserve">（三）联系方法：</w:t>
      </w:r>
      <w:r>
        <w:rPr>
          <w:rFonts w:hint="eastAsia" w:ascii="宋体" w:hAnsi="宋体" w:cs="宋体"/>
          <w:sz w:val="24"/>
          <w:szCs w:val="20"/>
          <w:lang w:eastAsia="zh-CN"/>
        </w:rPr>
        <w:t xml:space="preserve">18005229533</w:t>
      </w:r>
      <w:r>
        <w:rPr>
          <w:rFonts w:hint="eastAsia" w:ascii="Times New Roman" w:eastAsia="宋体"/>
          <w:color w:val="auto"/>
          <w:sz w:val="24"/>
          <w:szCs w:val="20"/>
          <w:highlight w:val="none"/>
          <w:lang w:val="en-US" w:eastAsia="zh-CN"/>
        </w:rPr>
        <w:tab/>
      </w:r>
      <w:r/>
    </w:p>
    <w:p>
      <w:pPr>
        <w:jc w:val="left"/>
        <w:spacing w:line="312" w:lineRule="auto"/>
        <w:widowControl/>
        <w:rPr>
          <w:rFonts w:hint="eastAsia" w:eastAsia="宋体"/>
          <w:color w:val="auto"/>
          <w:sz w:val="24"/>
          <w:szCs w:val="20"/>
          <w:highlight w:val="none"/>
          <w:lang w:eastAsia="zh-CN"/>
        </w:rPr>
      </w:pPr>
      <w:r>
        <w:rPr>
          <w:color w:val="auto"/>
          <w:sz w:val="24"/>
          <w:szCs w:val="20"/>
          <w:highlight w:val="none"/>
        </w:rPr>
        <w:t xml:space="preserve">（四）采购项目联系人：</w:t>
      </w:r>
      <w:r>
        <w:rPr>
          <w:rFonts w:hint="eastAsia" w:eastAsia="宋体"/>
          <w:color w:val="auto"/>
          <w:sz w:val="24"/>
          <w:szCs w:val="20"/>
          <w:highlight w:val="none"/>
          <w:lang w:eastAsia="zh-CN"/>
        </w:rPr>
        <w:t xml:space="preserve">曹工</w:t>
      </w:r>
      <w:r/>
    </w:p>
    <w:p>
      <w:pPr>
        <w:ind w:firstLine="300"/>
        <w:spacing w:line="51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r>
      <w:r/>
    </w:p>
    <w:p>
      <w:pPr>
        <w:ind w:firstLine="600"/>
        <w:spacing w:line="36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第二章 投标人须知</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一、总则</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（一）采购人。采购人即指依法进行政府采购的国家机关、事业单位和团体组织。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（六）投标人的资格条件：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投标人是指响应招标、参加投标竞争的法人、其他组织或者自然人。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2.投标人授权代表系指法定代表人或受法人委托的受托人。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二、招标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（八）招标文件应包括以下内容：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第一章，投标邀请；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第二章，投标人须知；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第三章，投标资料表；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第四章，评标标准；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第五章，拟签订的合同文本；</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第六章，采购需求；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第七章，投标文件相关格式。</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（九）招标文件澄清或者修改：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2.现场考察以本文件第三章《投标资料表》中的要求为准。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3.开标前答疑会以本文件第三章《投标资料表》中的要求为准。</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（十二）投标文件的构成：</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1.投标文件的构成以本文件第三章《投标资料表》中的要求为准。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2.投标人应当提交的资格、资信证明文件，以本文件第三章《投标资料表》中的所提要求为准。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（十三）投标函和价格表、商务条件、交货和提供服务的时间：</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2.商务条件以本文件第三章《投标资料表》中的要求为准。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3.交货和提供服务的时间，以本文件第三章《投标资料表》中所提要求为准。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（十四）投标报价要求：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1.投标人应按照招标文件的要求报出分项价格和总价。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2.投标人应按照招标文件的要求进行报价，如投标人作出偏离，应在《偏离表》中列出。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3.采购人不支付报价以外的任何费用。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4.投标人所报的价格，在合同执行过程中是固定的，不得以任何理由予以变更。投标人提交滑动价格的投标文件，在资格、符合性检查时按照无效投标处理。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5.投标人只能提交一个投标价格，投标人提交多个价格的投标文件，在资格性、符合性检查时按照无效投标处理。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（十五）投标货币。以本文件第三章《投标资料表》中所提要求为准。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（十六）投标有效期：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（十七）投标文件的编制要求和签署要求：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（2）投标人应对 CA 证书妥善保管，如被他人盗用投标，因此带来的结果均由投标人自行承担。</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（3）投标人应当对招标文件提出的要求和条件作出实质性响应，并在电子投标系统逐条应答。</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（十八）投标文件的盖章要求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1.投标文件的盖章要求以招标文件第三章《投标资料表》中的要求为准。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（二十二）本项目不允许分包。</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（二十四）有下列情形之一的，其投标无效。</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1.不同投标人的投标文件，由同一单位或者个人编制；</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2.不同投标人委托同一单位或者个人办理投标事宜；</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3.不同投标人的投标文件中，所载明的项目管理成员或联系人为同一人；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4.不同投标人的投标文件，异常一致或者投标报价呈规律性差异；</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5.不同投标人的投标文件相互混装；</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7.投标文件未按规定期限投标的；</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8.投标文件未按招标文件要求</w:t>
      </w:r>
      <w:r>
        <w:rPr>
          <w:rFonts w:hint="eastAsia" w:ascii="宋体" w:hAnsi="宋体" w:cs="宋体"/>
          <w:color w:val="000000"/>
          <w:sz w:val="24"/>
          <w:highlight w:val="none"/>
          <w:lang w:val="en-US" w:eastAsia="zh-CN"/>
        </w:rPr>
        <w:t xml:space="preserve">签署和盖</w:t>
      </w:r>
      <w:r>
        <w:rPr>
          <w:rFonts w:hint="eastAsia" w:ascii="宋体" w:hAnsi="宋体" w:cs="宋体"/>
          <w:color w:val="000000"/>
          <w:sz w:val="24"/>
          <w:highlight w:val="none"/>
        </w:rPr>
        <w:t xml:space="preserve">章的；</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9.投标人未在规定时间内解密电子投标文件的；</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10.投标文件未按招标文件规定的内容和要求填写的；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.不具备招标文件中规定的资格要求的；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.报价超过招标文件中规定的预算金额或者最高限价的；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.投标文件含有采购人不能接受的条件的；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.法律、法规和招标文件规定的其他无效情形。</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四、开标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（二十五）开标：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1.所有投标单位凭 CA 证书在到达开标时间时，解密各自投标文件，由工作人员操作系统进行开标、并宣读各投标人的《开标一览表》。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2.投标人不足3家的，不得开标。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3.开标过程由采购代理机构负责记录。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5.投标人未参加开标的，视同认可开标结果。</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五、评标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1.评标工作由采购代理机构负责组织，并履行下列职责：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（2）宣布评标纪律；</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（3）公布投标人名单，告知评审专家应当回避的情形；</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（4）组织评标委员会推选评标组长（采购人代表不得担任组长）；</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（5）在评标期间采取必要的通讯管理措施，保证评标活动不受外界干扰；</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（6）根据评标委员会的要求介绍政府采购相关政策法规、招标文件；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（8）核对评标结果，对有《</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"http://www.caigou2003.com/" \o "http://www.caigou2003.com/" </w:instrText>
      </w:r>
      <w:r>
        <w:rPr>
          <w:rFonts w:hint="eastAsia" w:ascii="宋体" w:hAnsi="宋体" w:cs="宋体"/>
          <w:color w:val="000000"/>
          <w:sz w:val="24"/>
          <w:highlight w:val="none"/>
        </w:rPr>
        <w:fldChar w:fldCharType="separate"/>
      </w:r>
      <w:r>
        <w:rPr>
          <w:rStyle w:val="840"/>
          <w:rFonts w:hint="eastAsia" w:ascii="宋体" w:hAnsi="宋体" w:cs="宋体"/>
          <w:color w:val="000000"/>
          <w:sz w:val="24"/>
          <w:highlight w:val="none"/>
        </w:rPr>
        <w:t xml:space="preserve">政府采购</w:t>
      </w:r>
      <w:r>
        <w:rPr>
          <w:rStyle w:val="840"/>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（10）处理与评标有关的其他事项。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2.评标委员会负责具体评标事务，并独立履行下列职责：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（1）审查、评价投标文件是否符合招标文件的商务、技术等实质性要求；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（2）要求投标人对投标文件有关事项作出澄清或者说明；</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（3）对投标文件进行比较和评价；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（4）确定中标候选人名单，以及根据采购人委托直接确定中标人；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（5）向采购人、采购代理机构或有关部门报告评标中发现的违法行为。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（二十七）评标方法分为最低评标价法和综合评分法。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（二十八）评标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1.评标工作程序：</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（1）投标文件初审。</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①资格性审查。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②符合性审查。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（2）澄清有关问题。</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（3）比较与评价。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（4）推荐中标候选供应商名单。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（5）编写评审报告（评标报告）。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"http://lilun.caigou2003.com/recijiedu/2365668.html" \o "http://lilun.caigou2003.com/recijiedu/2365668.html" </w:instrText>
      </w:r>
      <w:r>
        <w:rPr>
          <w:rFonts w:hint="eastAsia" w:ascii="宋体" w:hAnsi="宋体" w:cs="宋体"/>
          <w:color w:val="000000"/>
          <w:sz w:val="24"/>
          <w:highlight w:val="none"/>
        </w:rPr>
        <w:fldChar w:fldCharType="separate"/>
      </w:r>
      <w:r>
        <w:rPr>
          <w:rStyle w:val="840"/>
          <w:rFonts w:hint="eastAsia" w:ascii="宋体" w:hAnsi="宋体" w:cs="宋体"/>
          <w:color w:val="000000"/>
          <w:sz w:val="24"/>
          <w:highlight w:val="none"/>
        </w:rPr>
        <w:t xml:space="preserve">最低评标价法</w:t>
      </w:r>
      <w:r>
        <w:rPr>
          <w:rStyle w:val="840"/>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"http://lilun.caigou2003.com/recijiedu/2365667.html" \o "http://lilun.caigou2003.com/recijiedu/2365667.html" </w:instrText>
      </w:r>
      <w:r>
        <w:rPr>
          <w:rFonts w:hint="eastAsia" w:ascii="宋体" w:hAnsi="宋体" w:cs="宋体"/>
          <w:color w:val="000000"/>
          <w:sz w:val="24"/>
          <w:highlight w:val="none"/>
        </w:rPr>
        <w:fldChar w:fldCharType="separate"/>
      </w:r>
      <w:r>
        <w:rPr>
          <w:rStyle w:val="840"/>
          <w:rFonts w:hint="eastAsia" w:ascii="宋体" w:hAnsi="宋体" w:cs="宋体"/>
          <w:color w:val="000000"/>
          <w:sz w:val="24"/>
          <w:highlight w:val="none"/>
        </w:rPr>
        <w:t xml:space="preserve">综合评分法</w:t>
      </w:r>
      <w:r>
        <w:rPr>
          <w:rStyle w:val="840"/>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非单一产品采购项目，多家投标人提供的核心产品品牌相同的，按前两款规定处理。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（二十九）投标文件报价出现前后不一致的，按照下列规定修正：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2.大写金额和小写金额不一致的，以大写金额为准；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4.总价金额与按单价合计金额不一致的，以单价金额计算结果为准。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（三十）实施政府采购异常低价审查的有关要求：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（一）评审中出现下列情形之一的，评审（评标）委员会应当启动异常低价投标（响应）审查程序：</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1.投标（响应）报价低于全部通过符合性审查供应商投标（响应）报价平均值</w:t>
      </w:r>
      <w:r>
        <w:rPr>
          <w:rFonts w:hint="eastAsia" w:ascii="宋体" w:hAnsi="宋体" w:cs="宋体"/>
          <w:b/>
          <w:bCs/>
          <w:color w:val="000000"/>
          <w:sz w:val="24"/>
          <w:highlight w:val="none"/>
        </w:rPr>
        <w:t xml:space="preserve">50%的</w:t>
      </w:r>
      <w:r>
        <w:rPr>
          <w:rFonts w:hint="eastAsia" w:ascii="宋体" w:hAnsi="宋体" w:cs="宋体"/>
          <w:color w:val="000000"/>
          <w:sz w:val="24"/>
          <w:highlight w:val="none"/>
        </w:rPr>
        <w:t xml:space="preserve">，即投标（响应）报价&lt;全部通过符合性审查供应商投标（响应）报价平均值</w:t>
      </w:r>
      <w:r>
        <w:rPr>
          <w:rFonts w:hint="eastAsia" w:ascii="宋体" w:hAnsi="宋体" w:cs="宋体"/>
          <w:b/>
          <w:bCs/>
          <w:color w:val="000000"/>
          <w:sz w:val="24"/>
          <w:highlight w:val="none"/>
        </w:rPr>
        <w:t xml:space="preserve">×50%；</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2.投标（响应）报价低于通过符合性审查的次低报价供应商投标（响应）报价</w:t>
      </w:r>
      <w:r>
        <w:rPr>
          <w:rFonts w:hint="eastAsia" w:ascii="宋体" w:hAnsi="宋体" w:cs="宋体"/>
          <w:b/>
          <w:bCs/>
          <w:color w:val="000000"/>
          <w:sz w:val="24"/>
          <w:highlight w:val="none"/>
        </w:rPr>
        <w:t xml:space="preserve">50%的</w:t>
      </w:r>
      <w:r>
        <w:rPr>
          <w:rFonts w:hint="eastAsia" w:ascii="宋体" w:hAnsi="宋体" w:cs="宋体"/>
          <w:color w:val="000000"/>
          <w:sz w:val="24"/>
          <w:highlight w:val="none"/>
        </w:rPr>
        <w:t xml:space="preserve">，即投标（响应）报价&lt;通过符合性审查的次低报价供应商投标（响应）报价</w:t>
      </w:r>
      <w:r>
        <w:rPr>
          <w:rFonts w:hint="eastAsia" w:ascii="宋体" w:hAnsi="宋体" w:cs="宋体"/>
          <w:b/>
          <w:bCs/>
          <w:color w:val="000000"/>
          <w:sz w:val="24"/>
          <w:highlight w:val="none"/>
        </w:rPr>
        <w:t xml:space="preserve">×50%；</w:t>
      </w:r>
      <w:r/>
    </w:p>
    <w:p>
      <w:pPr>
        <w:ind w:firstLine="480"/>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sz w:val="24"/>
          <w:highlight w:val="none"/>
        </w:rPr>
        <w:t xml:space="preserve">45%的，</w:t>
      </w:r>
      <w:r>
        <w:rPr>
          <w:rFonts w:hint="eastAsia" w:ascii="宋体" w:hAnsi="宋体" w:cs="宋体"/>
          <w:color w:val="000000"/>
          <w:sz w:val="24"/>
          <w:highlight w:val="none"/>
        </w:rPr>
        <w:t xml:space="preserve">即投标（响应）报价&lt;采购项目最高限价</w:t>
      </w:r>
      <w:r>
        <w:rPr>
          <w:rFonts w:hint="eastAsia" w:ascii="宋体" w:hAnsi="宋体" w:cs="宋体"/>
          <w:b/>
          <w:bCs/>
          <w:color w:val="000000"/>
          <w:sz w:val="24"/>
          <w:highlight w:val="none"/>
        </w:rPr>
        <w:t xml:space="preserve">×45%；</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4.评审（评标）委员会基于专业判断，认为供应商报价过低，有可能影响产品质量或者不能诚信履约的其他情形。</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相关法律法规对供应商报价有规定的，从其规定。</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highlight w:val="none"/>
        </w:rPr>
        <w:t xml:space="preserve">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（三十二）废标条款：</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出现下列情形之一的，应予废标。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1.符合专业条件的供应商或者对招标文件作实质响应的供应商不足三家的；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2.出现影响采购公正的违法、违规行为的；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3.投标人的报价均超过了采购预算，采购人不能支付的；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4.因重大变故，采购任务取消的。</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六、定标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（三十三）采购代理机构应当在评标结束后2个工作日内将评标报告送采购人。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七、政府采购合同</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（三十六）签订政府采购合同（合同签订方式）：</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采购人不得向中标人提出任何不合理的要求作为签订合同的条件。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（三十八）履约保证金：详见《第三章 投标资料表》。</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（三十九）腐败和欺诈行为：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（1）腐败和欺诈行为的含义：</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（2）如果被推荐的中标人有腐败和欺诈行为，将取消其中标资格。</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八、询问和质疑</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（四十）询问和质疑</w:t>
      </w:r>
      <w:r/>
    </w:p>
    <w:p>
      <w:pPr>
        <w:ind w:firstLine="480"/>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highlight w:val="none"/>
        </w:rPr>
        <w:t xml:space="preserve"> </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九、电子招标投标交易平台</w:t>
      </w:r>
      <w:r/>
    </w:p>
    <w:p>
      <w:pPr>
        <w:ind w:firstLine="480"/>
        <w:spacing w:line="360" w:lineRule="auto"/>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（四十一）电子招标投标交易平台（即“苏采云”系统，网址：http://jszfcg.jsczt.cn/）相关要求是本招标文件的组成部分。</w:t>
      </w:r>
      <w:r>
        <w:rPr>
          <w:rFonts w:hint="eastAsia" w:ascii="宋体" w:hAnsi="宋体" w:cs="宋体"/>
          <w:color w:val="000000"/>
          <w:highlight w:val="none"/>
        </w:rPr>
        <w:br w:type="page" w:clear="all"/>
      </w:r>
      <w:r/>
    </w:p>
    <w:p>
      <w:pPr>
        <w:jc w:val="center"/>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第三章 投标资料表</w:t>
      </w:r>
      <w:r/>
    </w:p>
    <w:p>
      <w:pPr>
        <w:ind w:firstLine="60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17"/>
        <w:tblW w:w="55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7"/>
        <w:gridCol w:w="8148"/>
      </w:tblGrid>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条款项号</w:t>
            </w:r>
            <w:r/>
          </w:p>
        </w:tc>
        <w:tc>
          <w:tcPr>
            <w:tcMar>
              <w:left w:w="108" w:type="dxa"/>
              <w:top w:w="0" w:type="dxa"/>
              <w:right w:w="108" w:type="dxa"/>
              <w:bottom w:w="0" w:type="dxa"/>
            </w:tcMar>
            <w:tcW w:w="8376"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内 容</w:t>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总则</w:t>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w:t>
            </w:r>
            <w:r/>
          </w:p>
        </w:tc>
        <w:tc>
          <w:tcPr>
            <w:tcMar>
              <w:left w:w="108" w:type="dxa"/>
              <w:top w:w="0" w:type="dxa"/>
              <w:right w:w="108" w:type="dxa"/>
              <w:bottom w:w="0" w:type="dxa"/>
            </w:tcMar>
            <w:tcW w:w="8376" w:type="dxa"/>
            <w:vAlign w:val="top"/>
            <w:textDirection w:val="lrTb"/>
            <w:noWrap w:val="false"/>
          </w:tcPr>
          <w:p>
            <w:pPr>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本项目采购人：</w:t>
            </w:r>
            <w:r>
              <w:rPr>
                <w:rFonts w:hint="eastAsia" w:ascii="宋体" w:hAnsi="宋体" w:cs="宋体"/>
                <w:color w:val="000000"/>
                <w:sz w:val="24"/>
                <w:highlight w:val="none"/>
                <w:lang w:eastAsia="zh-CN"/>
              </w:rPr>
              <w:t xml:space="preserve">徐州市丰县生态环境局</w:t>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本次采购采用的政府采购方式：公开招标</w:t>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采购人确定的采购项目属性：服务</w:t>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w:t>
            </w:r>
            <w:r/>
          </w:p>
        </w:tc>
        <w:tc>
          <w:tcPr>
            <w:tcMar>
              <w:left w:w="108" w:type="dxa"/>
              <w:top w:w="0" w:type="dxa"/>
              <w:right w:w="108" w:type="dxa"/>
              <w:bottom w:w="0" w:type="dxa"/>
            </w:tcMar>
            <w:tcW w:w="8376" w:type="dxa"/>
            <w:vAlign w:val="top"/>
            <w:textDirection w:val="lrTb"/>
            <w:noWrap w:val="false"/>
          </w:tcPr>
          <w:p>
            <w:pPr>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本项目采购代理机构：</w:t>
            </w:r>
            <w:r>
              <w:rPr>
                <w:rFonts w:hint="eastAsia" w:ascii="宋体" w:hAnsi="宋体" w:cs="宋体"/>
                <w:color w:val="000000"/>
                <w:sz w:val="24"/>
                <w:highlight w:val="none"/>
                <w:lang w:eastAsia="zh-CN"/>
              </w:rPr>
              <w:t xml:space="preserve">江苏创佳建设项目管理有限公司</w:t>
            </w:r>
            <w:r/>
          </w:p>
        </w:tc>
      </w:tr>
      <w:tr>
        <w:trPr>
          <w:jc w:val="center"/>
          <w:trHeight w:val="7332"/>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w:t>
            </w:r>
            <w:r/>
          </w:p>
        </w:tc>
        <w:tc>
          <w:tcPr>
            <w:tcMar>
              <w:left w:w="108" w:type="dxa"/>
              <w:top w:w="0" w:type="dxa"/>
              <w:right w:w="108" w:type="dxa"/>
              <w:bottom w:w="0" w:type="dxa"/>
            </w:tcMar>
            <w:tcW w:w="8376" w:type="dxa"/>
            <w:vAlign w:val="top"/>
            <w:textDirection w:val="lrTb"/>
            <w:noWrap w:val="false"/>
          </w:tcPr>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投标人的资格条件：</w:t>
            </w:r>
            <w:r/>
          </w:p>
          <w:p>
            <w:pPr>
              <w:jc w:val="both"/>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一、符合《中华人民共和国政府采购法》第二十二条的规定；</w:t>
            </w:r>
            <w:r/>
          </w:p>
          <w:p>
            <w:pPr>
              <w:jc w:val="both"/>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二、本项目属于专门面向中小微企业采购的项目。</w:t>
            </w:r>
            <w:r/>
          </w:p>
          <w:p>
            <w:pPr>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三、本项目特定资格条件：无</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同时明确相关事项如下：</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一、本项目不接受联合体参与采购活动。</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二、单位负责人为同一人或者存在直接控股、管理关系的不同供应商，不得参加同一合同项下的政府采购活动。</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三、为本采购项目提供整体设计、规范编制或者项目管理、监理、检测等服务的供应商，不得再参加本采购项目的采购活动。</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四、查询及使用供应商信用记录：</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(一)由采购人查询信用信息。</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(二)查询渠道包括：</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t>
            </w:r>
            <w:r>
              <w:rPr>
                <w:rFonts w:hint="eastAsia" w:ascii="Times New Roman" w:hAnsi="Times New Roman" w:eastAsia="宋体" w:cs="Times New Roman"/>
                <w:color w:val="auto"/>
                <w:sz w:val="21"/>
                <w:szCs w:val="24"/>
                <w:highlight w:val="none"/>
                <w:lang w:val="en-US" w:eastAsia="zh-CN" w:bidi="ar-SA"/>
              </w:rPr>
              <w:fldChar w:fldCharType="begin"/>
            </w:r>
            <w:r>
              <w:rPr>
                <w:rFonts w:hint="default" w:ascii="Times New Roman" w:hAnsi="Times New Roman" w:eastAsia="宋体" w:cs="Times New Roman"/>
                <w:color w:val="auto"/>
                <w:sz w:val="21"/>
                <w:szCs w:val="24"/>
                <w:highlight w:val="none"/>
                <w:lang w:val="en-US" w:eastAsia="zh-CN" w:bidi="ar-SA"/>
              </w:rPr>
              <w:instrText xml:space="preserve"> HYPERLINK "http://www.creditchina.gov.cn/" </w:instrText>
            </w:r>
            <w:r>
              <w:rPr>
                <w:rFonts w:hint="eastAsia" w:ascii="Times New Roman" w:hAnsi="Times New Roman" w:eastAsia="宋体" w:cs="Times New Roman"/>
                <w:color w:val="auto"/>
                <w:sz w:val="21"/>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www.creditchina.gov.cn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中国政府采购网（</w:t>
            </w:r>
            <w:r>
              <w:rPr>
                <w:rFonts w:hint="eastAsia" w:ascii="Times New Roman" w:hAnsi="Times New Roman" w:eastAsia="宋体" w:cs="Times New Roman"/>
                <w:color w:val="auto"/>
                <w:sz w:val="21"/>
                <w:szCs w:val="24"/>
                <w:highlight w:val="none"/>
                <w:lang w:val="en-US" w:eastAsia="zh-CN" w:bidi="ar-SA"/>
              </w:rPr>
              <w:fldChar w:fldCharType="begin"/>
            </w:r>
            <w:r>
              <w:rPr>
                <w:rFonts w:hint="default" w:ascii="Times New Roman" w:hAnsi="Times New Roman" w:eastAsia="宋体" w:cs="Times New Roman"/>
                <w:color w:val="auto"/>
                <w:sz w:val="21"/>
                <w:szCs w:val="24"/>
                <w:highlight w:val="none"/>
                <w:lang w:val="en-US" w:eastAsia="zh-CN" w:bidi="ar-SA"/>
              </w:rPr>
              <w:instrText xml:space="preserve"> HYPERLINK "http://www.ccgp.gov.cn/" </w:instrText>
            </w:r>
            <w:r>
              <w:rPr>
                <w:rFonts w:hint="eastAsia" w:ascii="Times New Roman" w:hAnsi="Times New Roman" w:eastAsia="宋体" w:cs="Times New Roman"/>
                <w:color w:val="auto"/>
                <w:sz w:val="21"/>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www.ccgp.gov.cn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w:t>
            </w:r>
            <w:r/>
          </w:p>
          <w:p>
            <w:pPr>
              <w:jc w:val="both"/>
              <w:spacing w:line="400" w:lineRule="exact"/>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“信用江苏”网（http://credit.jiangsu.gov.cn/）；</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4.“信用中国(江苏徐州)”网（http://www.xuzhoucredit.gov.cn）；</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(三)截止时点（查询环节）：资格审查结束前。</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(四)信用信息查询记录和证据留存的具体方式：网页截屏打印，与其他采购文件一并保存。</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(五)信用信息的使用规则：</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745"/>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招标代理服务费由</w:t>
            </w:r>
            <w:r>
              <w:rPr>
                <w:rFonts w:hint="eastAsia" w:ascii="宋体" w:hAnsi="宋体" w:cs="宋体"/>
                <w:color w:val="000000"/>
                <w:sz w:val="24"/>
                <w:highlight w:val="none"/>
                <w:lang w:val="en-US" w:eastAsia="zh-CN"/>
              </w:rPr>
              <w:t xml:space="preserve">中标</w:t>
            </w:r>
            <w:r>
              <w:rPr>
                <w:rFonts w:hint="eastAsia" w:ascii="宋体" w:hAnsi="宋体" w:cs="宋体"/>
                <w:color w:val="000000"/>
                <w:sz w:val="24"/>
                <w:highlight w:val="none"/>
              </w:rPr>
              <w:t xml:space="preserve">人支付。标准按《招标代理服务收费标准》收取（见附件）。</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招标</w:t>
            </w:r>
            <w:r/>
          </w:p>
        </w:tc>
      </w:tr>
      <w:tr>
        <w:trPr>
          <w:jc w:val="center"/>
          <w:trHeight w:val="1504"/>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(九)1</w:t>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425"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(九)2</w:t>
            </w:r>
            <w:r/>
          </w:p>
        </w:tc>
        <w:tc>
          <w:tcPr>
            <w:tcMar>
              <w:left w:w="108" w:type="dxa"/>
              <w:top w:w="0" w:type="dxa"/>
              <w:right w:w="108" w:type="dxa"/>
              <w:bottom w:w="0" w:type="dxa"/>
            </w:tcMar>
            <w:tcW w:w="8376" w:type="dxa"/>
            <w:vAlign w:val="top"/>
            <w:textDirection w:val="lrTb"/>
            <w:noWrap w:val="false"/>
          </w:tcPr>
          <w:p>
            <w:pPr>
              <w:tabs>
                <w:tab w:val="left" w:pos="5760" w:leader="none"/>
              </w:tabs>
              <w:rPr>
                <w:rFonts w:hint="eastAsia" w:ascii="宋体" w:hAnsi="宋体" w:cs="宋体"/>
                <w:color w:val="000000"/>
                <w:sz w:val="24"/>
                <w:highlight w:val="none"/>
              </w:rPr>
            </w:pPr>
            <w:r>
              <w:rPr>
                <w:rFonts w:hint="eastAsia" w:ascii="宋体" w:hAnsi="宋体" w:cs="宋体"/>
                <w:color w:val="auto"/>
                <w:sz w:val="24"/>
                <w:highlight w:val="none"/>
              </w:rPr>
              <w:t xml:space="preserve">不安排现场考察。</w:t>
            </w:r>
            <w:r/>
          </w:p>
        </w:tc>
      </w:tr>
      <w:tr>
        <w:trPr>
          <w:jc w:val="center"/>
          <w:trHeight w:val="425"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(九)3</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不安排开标前答疑会。</w:t>
            </w:r>
            <w:r/>
          </w:p>
        </w:tc>
      </w:tr>
      <w:tr>
        <w:trPr>
          <w:jc w:val="center"/>
          <w:trHeight w:val="425"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w:t>
            </w:r>
            <w:r/>
          </w:p>
        </w:tc>
      </w:tr>
      <w:tr>
        <w:trPr>
          <w:jc w:val="center"/>
          <w:trHeight w:val="425"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投标文件的语言为中文</w:t>
            </w:r>
            <w:r/>
          </w:p>
        </w:tc>
      </w:tr>
      <w:tr>
        <w:trPr>
          <w:jc w:val="center"/>
          <w:trHeight w:val="472"/>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(十二)1</w:t>
            </w:r>
            <w:r/>
          </w:p>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(十二)2</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线上投标文件编制要求：</w:t>
            </w:r>
            <w:r/>
          </w:p>
          <w:p>
            <w:pPr>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请按照以下要求（包括但不限于以下要求）制作：</w:t>
            </w:r>
            <w:r/>
          </w:p>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一、基本目录</w:t>
            </w:r>
            <w:r/>
          </w:p>
          <w:p>
            <w:pPr>
              <w:ind w:firstLine="482"/>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1、《开标一览表》（加盖电子签章，政府采购客户端工具输入报价自动生成）；</w:t>
            </w:r>
            <w:r/>
          </w:p>
          <w:p>
            <w:pPr>
              <w:ind w:firstLine="482"/>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2、所投产品的环境标志产品认证证书原件的扫描件（如有）。</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（2）环境标志产品认证证书是否符合要求，采购人评标时查询中国政府采购网（www.ccgp.gov.cn）相关内容后确定。</w:t>
            </w:r>
            <w:r/>
          </w:p>
          <w:p>
            <w:pPr>
              <w:ind w:firstLine="482"/>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3、所投产品的节能产品认证证书原件的扫描件（如有）。</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（2）节能产品认证证书是否符合要求，采购人评标时查询中国政府采购网（www.ccgp.gov.cn）相关内容后确定。</w:t>
            </w:r>
            <w:r/>
          </w:p>
          <w:p>
            <w:pPr>
              <w:ind w:firstLine="480"/>
              <w:jc w:val="both"/>
              <w:spacing w:line="400" w:lineRule="exact"/>
              <w:widowControl/>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eastAsia="宋体" w:cs="宋体"/>
                <w:color w:val="auto"/>
                <w:sz w:val="24"/>
                <w:szCs w:val="18"/>
                <w:highlight w:val="none"/>
                <w:lang w:val="en-US" w:eastAsia="zh-CN" w:bidi="ar-SA"/>
              </w:rPr>
              <w:t xml:space="preserve">）</w:t>
            </w:r>
            <w:r/>
          </w:p>
          <w:p>
            <w:pPr>
              <w:ind w:firstLine="480"/>
              <w:jc w:val="both"/>
              <w:spacing w:line="400" w:lineRule="exact"/>
              <w:widowControl/>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18"/>
                <w:highlight w:val="none"/>
                <w:lang w:val="en-US" w:eastAsia="zh-CN" w:bidi="ar-SA"/>
              </w:rPr>
              <w:t xml:space="preserve">5、投标人认为制作投标文件需要提供的其他材料(如有）</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二、资格条件（必须提供，否则投标将被拒绝）</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（一）投标人合法有效的营业执照扫描件，或事业单位法人证书扫描件，或民办非企业单位登记证书扫描件；</w:t>
            </w:r>
            <w:r/>
          </w:p>
          <w:p>
            <w:pPr>
              <w:ind w:right="28"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（二）财务状况报告（即提供投标人的本项目开标时间（不含开标当月）前6个月内任何时间的</w:t>
            </w:r>
            <w:r>
              <w:rPr>
                <w:rFonts w:hint="eastAsia" w:ascii="宋体" w:hAnsi="宋体" w:cs="宋体"/>
                <w:b/>
                <w:color w:val="000000"/>
                <w:sz w:val="24"/>
                <w:highlight w:val="none"/>
              </w:rPr>
              <w:t xml:space="preserve">资产负债表、利润表扫描件各一份</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提供投标人2025年度</w:t>
            </w:r>
            <w:r>
              <w:rPr>
                <w:rFonts w:hint="eastAsia" w:ascii="宋体" w:hAnsi="宋体" w:cs="宋体"/>
                <w:b/>
                <w:bCs/>
                <w:color w:val="000000"/>
                <w:sz w:val="24"/>
                <w:highlight w:val="none"/>
              </w:rPr>
              <w:t xml:space="preserve">经审计</w:t>
            </w:r>
            <w:r>
              <w:rPr>
                <w:rFonts w:hint="eastAsia" w:ascii="宋体" w:hAnsi="宋体" w:cs="宋体"/>
                <w:color w:val="000000"/>
                <w:sz w:val="24"/>
                <w:highlight w:val="none"/>
              </w:rPr>
              <w:t xml:space="preserve">的财务报告扫描件一份；</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财政部门认可的政府采购专业担保机构出具的有效的投标担保函扫描件一份；</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投标人的本项目开标时间（不含开标当月）前6个月内银行出具的</w:t>
            </w:r>
            <w:r>
              <w:rPr>
                <w:rFonts w:hint="eastAsia" w:ascii="宋体" w:hAnsi="宋体" w:cs="宋体"/>
                <w:b/>
                <w:color w:val="000000"/>
                <w:sz w:val="24"/>
                <w:highlight w:val="none"/>
              </w:rPr>
              <w:t xml:space="preserve">资信证明扫描件</w:t>
            </w:r>
            <w:r>
              <w:rPr>
                <w:rFonts w:hint="eastAsia" w:ascii="宋体" w:hAnsi="宋体" w:cs="宋体"/>
                <w:color w:val="000000"/>
                <w:sz w:val="24"/>
                <w:highlight w:val="none"/>
              </w:rPr>
              <w:t xml:space="preserve">一份）；</w:t>
            </w:r>
            <w:r/>
          </w:p>
          <w:p>
            <w:pPr>
              <w:ind w:right="28"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（三）投标人的本项目开标时间（不含开标当月）前6个月内任何</w:t>
            </w:r>
            <w:r>
              <w:rPr>
                <w:rFonts w:hint="eastAsia" w:ascii="宋体" w:hAnsi="宋体" w:cs="宋体"/>
                <w:color w:val="000000"/>
                <w:sz w:val="24"/>
                <w:highlight w:val="none"/>
                <w:lang w:val="en-US" w:eastAsia="zh-CN"/>
              </w:rPr>
              <w:t xml:space="preserve">时间</w:t>
            </w:r>
            <w:r>
              <w:rPr>
                <w:rFonts w:hint="eastAsia" w:ascii="宋体" w:hAnsi="宋体" w:cs="宋体"/>
                <w:color w:val="000000"/>
                <w:sz w:val="24"/>
                <w:highlight w:val="none"/>
              </w:rPr>
              <w:t xml:space="preserve">的</w:t>
            </w:r>
            <w:r>
              <w:rPr>
                <w:rFonts w:hint="eastAsia" w:ascii="宋体" w:hAnsi="宋体" w:cs="宋体"/>
                <w:b/>
                <w:color w:val="000000"/>
                <w:sz w:val="24"/>
                <w:highlight w:val="none"/>
              </w:rPr>
              <w:t xml:space="preserve">依法缴纳税收扫描件和社会保障资金扫描件</w:t>
            </w:r>
            <w:r>
              <w:rPr>
                <w:rFonts w:hint="eastAsia" w:ascii="宋体" w:hAnsi="宋体" w:cs="宋体"/>
                <w:color w:val="000000"/>
                <w:sz w:val="24"/>
                <w:highlight w:val="none"/>
              </w:rPr>
              <w:t xml:space="preserve">的相关材料</w:t>
            </w:r>
            <w:r>
              <w:rPr>
                <w:rFonts w:hint="eastAsia" w:ascii="宋体" w:hAnsi="宋体" w:cs="宋体"/>
                <w:b/>
                <w:color w:val="000000"/>
                <w:sz w:val="24"/>
                <w:highlight w:val="none"/>
              </w:rPr>
              <w:t xml:space="preserve">各一份</w:t>
            </w:r>
            <w:r>
              <w:rPr>
                <w:rFonts w:hint="eastAsia" w:ascii="宋体" w:hAnsi="宋体" w:cs="宋体"/>
                <w:color w:val="000000"/>
                <w:sz w:val="24"/>
                <w:highlight w:val="none"/>
              </w:rPr>
              <w:t xml:space="preserve">（依法免税或不需要缴纳社会保障资金的供应商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提供相应文件扫描件证明其依法免税或不需要缴纳社会保障资金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ind w:right="28" w:firstLine="480"/>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（四）具备履行合同所必需的设备和专业技术能力的</w:t>
            </w:r>
            <w:r>
              <w:rPr>
                <w:rFonts w:hint="eastAsia" w:ascii="宋体" w:hAnsi="宋体" w:cs="宋体"/>
                <w:color w:val="000000"/>
                <w:sz w:val="24"/>
                <w:highlight w:val="none"/>
                <w:lang w:val="en-US" w:eastAsia="zh-CN"/>
              </w:rPr>
              <w:t xml:space="preserve">书面说明</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（加盖电子签章，格式见招标文件第七章《投标文件相关格式》</w:t>
            </w:r>
            <w:r>
              <w:rPr>
                <w:rFonts w:hint="eastAsia" w:ascii="宋体" w:hAnsi="宋体" w:cs="宋体"/>
                <w:b/>
                <w:bCs/>
                <w:color w:val="000000"/>
                <w:sz w:val="24"/>
                <w:highlight w:val="none"/>
                <w:lang w:eastAsia="zh-CN"/>
              </w:rPr>
              <w:t xml:space="preserve">；</w:t>
            </w:r>
            <w:r/>
          </w:p>
          <w:p>
            <w:pPr>
              <w:ind w:right="28" w:firstLine="480"/>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（五）投标人参加政府采购活动前3年内在经营活动中没有重大违法记录的书面声明，</w:t>
            </w:r>
            <w:r>
              <w:rPr>
                <w:rFonts w:hint="eastAsia" w:ascii="宋体" w:hAnsi="宋体" w:eastAsia="宋体" w:cs="宋体"/>
                <w:b/>
                <w:bCs/>
                <w:color w:val="000000"/>
                <w:sz w:val="24"/>
                <w:highlight w:val="none"/>
              </w:rPr>
              <w:t xml:space="preserve">（加盖电子签章，格式见招标文件第七章《投标文件相关格式》</w:t>
            </w:r>
            <w:r>
              <w:rPr>
                <w:rFonts w:hint="eastAsia" w:ascii="宋体" w:hAnsi="宋体" w:eastAsia="宋体" w:cs="宋体"/>
                <w:b/>
                <w:bCs/>
                <w:color w:val="000000"/>
                <w:sz w:val="24"/>
                <w:highlight w:val="none"/>
                <w:lang w:eastAsia="zh-CN"/>
              </w:rPr>
              <w:t xml:space="preserve">；</w:t>
            </w:r>
            <w:r/>
          </w:p>
          <w:p>
            <w:pPr>
              <w:ind w:right="28" w:firstLine="480"/>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六）</w:t>
            </w:r>
            <w:r>
              <w:rPr>
                <w:rFonts w:hint="eastAsia" w:ascii="宋体" w:hAnsi="宋体" w:eastAsia="宋体" w:cs="宋体"/>
                <w:b/>
                <w:bCs/>
                <w:color w:val="auto"/>
                <w:sz w:val="24"/>
                <w:szCs w:val="18"/>
                <w:highlight w:val="none"/>
              </w:rPr>
              <w:t xml:space="preserve">本项目属于专门面向中小微企业采购的项目，</w:t>
            </w:r>
            <w:r>
              <w:rPr>
                <w:rFonts w:hint="eastAsia" w:ascii="宋体" w:hAnsi="宋体" w:eastAsia="宋体" w:cs="宋体"/>
                <w:b/>
                <w:bCs/>
                <w:color w:val="auto"/>
                <w:sz w:val="24"/>
                <w:szCs w:val="18"/>
                <w:highlight w:val="none"/>
                <w:lang w:val="en-US" w:eastAsia="zh-CN"/>
              </w:rPr>
              <w:t xml:space="preserve">投标人</w:t>
            </w:r>
            <w:r>
              <w:rPr>
                <w:rFonts w:hint="eastAsia" w:ascii="宋体" w:hAnsi="宋体" w:eastAsia="宋体" w:cs="宋体"/>
                <w:b/>
                <w:bCs/>
                <w:color w:val="auto"/>
                <w:sz w:val="24"/>
                <w:szCs w:val="18"/>
                <w:highlight w:val="none"/>
              </w:rPr>
              <w:t xml:space="preserve">应为中小微企业、监狱企业、残疾人福利性单位，提供《中小企业声明函》（加盖电子签章，填写完整。格式见招标文件第七章《投标文件相关格式》）。</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《中小企业声明函》查询渠道参考工业和信息化部发布的中小企业规模自测小程序。中小企业规模自测小程序详见《中小企业声明函》。</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为残疾人福利性单位的，视同小微企业，提供《残疾人福利性单位声明函》（加盖电子签章，格式见招标文件第七章《投标文件相关格式》）。具体以《关于促进残疾人就业政府采购政策的通知》（财库〔2017〕141号）的规定为准。</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三、符合条件</w:t>
            </w:r>
            <w:r>
              <w:rPr>
                <w:rFonts w:hint="eastAsia" w:ascii="宋体" w:hAnsi="宋体" w:eastAsia="宋体" w:cs="宋体"/>
                <w:b/>
                <w:bCs/>
                <w:color w:val="000000"/>
                <w:sz w:val="24"/>
                <w:szCs w:val="24"/>
                <w:highlight w:val="none"/>
              </w:rPr>
              <w:t xml:space="preserve">（必须提供，否则投标无效</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(一)报价</w:t>
            </w:r>
            <w:r/>
          </w:p>
          <w:p>
            <w:pPr>
              <w:ind w:firstLine="482"/>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报价符合性审查</w:t>
            </w:r>
            <w:r>
              <w:rPr>
                <w:rFonts w:hint="eastAsia" w:ascii="宋体" w:hAnsi="宋体" w:cs="宋体"/>
                <w:b/>
                <w:bCs/>
                <w:color w:val="000000"/>
                <w:sz w:val="24"/>
                <w:highlight w:val="none"/>
                <w:lang w:eastAsia="zh-CN"/>
              </w:rPr>
              <w:t xml:space="preserve">》。</w:t>
            </w:r>
            <w:r>
              <w:rPr>
                <w:rFonts w:hint="eastAsia" w:ascii="宋体" w:hAnsi="宋体" w:cs="宋体"/>
                <w:b w:val="0"/>
                <w:bCs w:val="0"/>
                <w:color w:val="000000"/>
                <w:sz w:val="24"/>
                <w:highlight w:val="none"/>
                <w:lang w:eastAsia="zh-CN"/>
              </w:rPr>
              <w:t xml:space="preserve">属于投标（响应）报价低于采购项目最高限价45%的，即投标（响应）报价&lt;采购项目最高限价×45%，供应商可随投标（响应）文件一并提交相关书面说明及必要的证明材料。</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《开标一览表》。</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加盖电子签章，格式见本文件第七章《投标文件相关格式》</w:t>
            </w:r>
            <w:r>
              <w:rPr>
                <w:rFonts w:hint="eastAsia" w:ascii="宋体" w:hAnsi="宋体" w:cs="宋体"/>
                <w:color w:val="000000"/>
                <w:sz w:val="24"/>
                <w:highlight w:val="none"/>
              </w:rPr>
              <w:t xml:space="preserve">。）</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、《分项价格表》。</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加盖电子签章，格式见本文件第七章《投标文件相关格式》。</w:t>
            </w:r>
            <w:r>
              <w:rPr>
                <w:rFonts w:hint="eastAsia" w:ascii="宋体" w:hAnsi="宋体" w:cs="宋体"/>
                <w:color w:val="000000"/>
                <w:sz w:val="24"/>
                <w:highlight w:val="none"/>
              </w:rPr>
              <w:t xml:space="preserve">）</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（二）商务资信</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1、《投标函》</w:t>
            </w:r>
            <w:r>
              <w:rPr>
                <w:rFonts w:hint="eastAsia" w:ascii="宋体" w:hAnsi="宋体" w:cs="宋体"/>
                <w:color w:val="000000"/>
                <w:sz w:val="24"/>
                <w:highlight w:val="none"/>
              </w:rPr>
              <w:t xml:space="preserve">（加盖电子签章，格式见招标文件第七章《投标文件相关格式》。）</w:t>
            </w:r>
            <w:r/>
          </w:p>
          <w:p>
            <w:pPr>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hint="eastAsia" w:ascii="宋体" w:hAnsi="宋体" w:cs="宋体"/>
                <w:b/>
                <w:color w:val="000000"/>
                <w:sz w:val="24"/>
                <w:highlight w:val="none"/>
              </w:rPr>
              <w:t xml:space="preserve">《授权委托书》。</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加盖电子签章，格式见本文件第七章《投标文件相关格式》</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（法定代表人参与投标的须提供法定代表人身份证明书，不需要单独提供授权委托书）。</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（三）技术响应</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1、《偏离表》</w:t>
            </w:r>
            <w:r>
              <w:rPr>
                <w:rFonts w:hint="eastAsia" w:ascii="宋体" w:hAnsi="宋体" w:cs="宋体"/>
                <w:color w:val="000000"/>
                <w:sz w:val="24"/>
                <w:highlight w:val="none"/>
              </w:rPr>
              <w:t xml:space="preserve">（加盖电子签章，格式见招标文件第七章《投标文件相关格式》。）</w:t>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2、采购需求中要求上传的承诺书</w:t>
            </w:r>
            <w:r>
              <w:rPr>
                <w:rFonts w:hint="eastAsia" w:ascii="宋体" w:hAnsi="宋体" w:cs="宋体"/>
                <w:color w:val="000000"/>
                <w:sz w:val="24"/>
                <w:highlight w:val="none"/>
              </w:rPr>
              <w:t xml:space="preserve">（加盖电子签章，格式</w:t>
            </w:r>
            <w:r>
              <w:rPr>
                <w:rFonts w:hint="eastAsia" w:ascii="宋体" w:hAnsi="宋体" w:cs="宋体"/>
                <w:color w:val="000000"/>
                <w:sz w:val="24"/>
                <w:highlight w:val="none"/>
                <w:lang w:val="en-US" w:eastAsia="zh-CN"/>
              </w:rPr>
              <w:t xml:space="preserve">自拟</w:t>
            </w:r>
            <w:r>
              <w:rPr>
                <w:rFonts w:hint="eastAsia" w:ascii="宋体" w:hAnsi="宋体" w:cs="宋体"/>
                <w:color w:val="000000"/>
                <w:sz w:val="24"/>
                <w:highlight w:val="none"/>
              </w:rPr>
              <w:t xml:space="preserve">。）</w:t>
            </w:r>
            <w:r/>
          </w:p>
          <w:p>
            <w:pPr>
              <w:numPr>
                <w:ilvl w:val="0"/>
                <w:numId w:val="2"/>
              </w:num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综合评审评分项</w:t>
            </w:r>
            <w:r/>
          </w:p>
          <w:p>
            <w:pPr>
              <w:numPr>
                <w:ilvl w:val="0"/>
                <w:numId w:val="0"/>
              </w:num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（一）技术部分</w:t>
            </w:r>
            <w:r/>
          </w:p>
          <w:p>
            <w:pPr>
              <w:ind w:firstLine="482"/>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要求见招标文件第六章《采购需求》及第四章《评标标准》中《评分细则》；</w:t>
            </w:r>
            <w:r/>
          </w:p>
          <w:p>
            <w:pPr>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商务部分</w:t>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要求见招标文件第六章《采购需求》及第四章《评标标准》中《评分细则》</w:t>
            </w:r>
            <w:r/>
          </w:p>
          <w:p>
            <w:pPr>
              <w:pStyle w:val="791"/>
              <w:numPr>
                <w:ilvl w:val="0"/>
                <w:numId w:val="0"/>
              </w:numPr>
              <w:jc w:val="both"/>
              <w:spacing w:line="400" w:lineRule="exact"/>
              <w:rPr>
                <w:rFonts w:hint="eastAsia" w:ascii="宋体" w:hAnsi="宋体" w:eastAsia="宋体" w:cs="宋体"/>
                <w:b/>
                <w:bCs/>
                <w:color w:val="auto"/>
                <w:sz w:val="24"/>
                <w:szCs w:val="18"/>
                <w:highlight w:val="none"/>
                <w:lang w:eastAsia="zh-CN"/>
              </w:rPr>
            </w:pPr>
            <w:r>
              <w:rPr>
                <w:rFonts w:hint="eastAsia" w:ascii="宋体" w:hAnsi="宋体" w:cs="宋体"/>
                <w:b/>
                <w:bCs/>
                <w:color w:val="000000"/>
                <w:sz w:val="24"/>
                <w:highlight w:val="none"/>
              </w:rPr>
              <w:t xml:space="preserve">五、</w:t>
            </w:r>
            <w:r>
              <w:rPr>
                <w:rFonts w:hint="eastAsia" w:ascii="宋体" w:hAnsi="宋体" w:eastAsia="宋体" w:cs="宋体"/>
                <w:b/>
                <w:bCs/>
                <w:color w:val="auto"/>
                <w:sz w:val="24"/>
                <w:szCs w:val="18"/>
                <w:highlight w:val="none"/>
              </w:rPr>
              <w:t xml:space="preserve">价格折扣文件格式</w:t>
            </w:r>
            <w:r>
              <w:rPr>
                <w:rFonts w:hint="eastAsia" w:ascii="宋体" w:hAnsi="宋体" w:eastAsia="宋体" w:cs="宋体"/>
                <w:b/>
                <w:bCs/>
                <w:color w:val="auto"/>
                <w:sz w:val="24"/>
                <w:szCs w:val="18"/>
                <w:highlight w:val="none"/>
                <w:lang w:eastAsia="zh-CN"/>
              </w:rPr>
              <w:t xml:space="preserve">：</w:t>
            </w:r>
            <w:r/>
          </w:p>
          <w:p>
            <w:pPr>
              <w:numPr>
                <w:ilvl w:val="0"/>
                <w:numId w:val="0"/>
              </w:numPr>
              <w:ind w:firstLine="482"/>
              <w:jc w:val="both"/>
              <w:spacing w:line="400" w:lineRule="exact"/>
              <w:widowControl w:val="off"/>
              <w:rPr>
                <w:rFonts w:hint="default" w:ascii="Times New Roman" w:hAnsi="Times New Roman" w:eastAsia="宋体" w:cs="Times New Roman"/>
                <w:sz w:val="21"/>
                <w:szCs w:val="24"/>
                <w:lang w:val="en-US" w:eastAsia="zh-CN" w:bidi="ar-SA"/>
              </w:rPr>
            </w:pPr>
            <w:r>
              <w:rPr>
                <w:rFonts w:hint="eastAsia" w:ascii="宋体" w:hAnsi="宋体" w:eastAsia="宋体" w:cs="宋体"/>
                <w:b/>
                <w:bCs/>
                <w:color w:val="auto"/>
                <w:sz w:val="24"/>
                <w:szCs w:val="18"/>
                <w:highlight w:val="none"/>
                <w:lang w:val="en-US" w:eastAsia="zh-CN" w:bidi="ar-SA"/>
              </w:rPr>
              <w:t xml:space="preserve">（一）本项目属于专门面向中小企业采购的项目，评审时不再执行价格评审优惠政策。</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投标人为中小企业的（含中型、小型、微型企业，下同）的，提供《中小企业声明函》（填写完整，加盖电子签章，格式见招标文件第七章《投标文件相关格式》。如不填写完整或未按要求填写的，视为无效）。</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2、投标人为监狱企业的，提供省级以上监狱管理局、戒毒管理局（含新疆生产建设兵团）出具的属于监狱企业的证明文件原件的扫描件。</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注：具体以《财政部 司法部关于政府采购支持监狱企业发展有关问题的通知》（财库〔2014〕68号）的规定为准。 </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3、投标人为享受政府采购支持政策的残疾人福利性单位的，提供《残疾人福利性单位声明函》（加盖电子签章，格式见招标文件第七章《投标文件相关格式》）。</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享受政府采购支持政策的残疾人福利性单位应当同时满足以下条件：</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（一）安置的残疾人占本单位在职职工人数的比例不低于25%（含25%），并且安置的残疾人人数不少于10人（含10人）；</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（二）依法与安置的每位残疾人签订了一年以上（含一年）的劳动合同或服务协议；</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（三）为安置的每位残疾人按月足额缴纳了基本养老保险、基本医疗保险、失业保险、工伤保险和生育保险等社会保险费；</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（四）通过银行等金融机构向安置的每位残疾人，按月支付了不低于单位所在区县适用的经省级人民政府批准的月最低工资标准的工资；</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（五）提供本单位制造的货物、承担的工程或者服务（以下简称产品），或者提供其他残疾人福利性单位制造的货物（不包括使用非残疾人福利性单位注册商标的货物）。</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具体以《三部门联合发布关于促进残疾人就业政府采购政策的通知》（财库〔2017〕141号）规定为准。</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 投标人应对以上文件的合法性、真实性负责。</w:t>
            </w:r>
            <w:r/>
          </w:p>
          <w:p>
            <w:pPr>
              <w:rPr>
                <w:rFonts w:hint="eastAsia" w:ascii="宋体" w:hAnsi="宋体" w:eastAsia="宋体" w:cs="宋体"/>
                <w:color w:val="auto"/>
                <w:sz w:val="24"/>
                <w:szCs w:val="1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18"/>
                <w:highlight w:val="none"/>
                <w:lang w:val="en-US" w:eastAsia="zh-CN" w:bidi="ar-SA"/>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二</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投标人《关于符合本国产品标准的声明函》（填写完整，加盖公章，格式见招标文件第七章《投标文件相关格式》）</w:t>
            </w:r>
            <w:r>
              <w:rPr>
                <w:rFonts w:hint="eastAsia" w:ascii="宋体" w:hAnsi="宋体" w:cs="宋体"/>
                <w:color w:val="000000"/>
                <w:sz w:val="24"/>
                <w:highlight w:val="none"/>
              </w:rPr>
              <w:t xml:space="preserve">（请填写完整，如不填写完整或未按要求填写的，视为非本国产品）</w:t>
            </w:r>
            <w:r>
              <w:rPr>
                <w:rFonts w:hint="eastAsia" w:ascii="宋体" w:hAnsi="宋体" w:cs="宋体"/>
                <w:bCs/>
                <w:color w:val="000000"/>
                <w:sz w:val="24"/>
                <w:highlight w:val="none"/>
              </w:rPr>
              <w:t xml:space="preserve">。</w:t>
            </w:r>
            <w:r/>
          </w:p>
          <w:p>
            <w:pPr>
              <w:ind w:firstLine="482"/>
              <w:rPr>
                <w:rFonts w:hint="eastAsia" w:ascii="宋体" w:hAnsi="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rPr>
              <w:t xml:space="preserve">1、本国产品应当符合以下条件：</w:t>
            </w:r>
            <w:r/>
          </w:p>
          <w:p>
            <w:pPr>
              <w:ind w:firstLine="482"/>
              <w:rPr>
                <w:rFonts w:hint="eastAsia" w:ascii="宋体" w:hAnsi="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rPr>
              <w:t xml:space="preserve">（一）在中国境内生产</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产品应当在中国境内生产，即在中华人民共和国关境内实现从原材料、组件到产品的属性改变。</w:t>
            </w:r>
            <w:r/>
          </w:p>
          <w:p>
            <w:pPr>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1.为确保产品在运输或者储存期间保持某种状态而进行的操作；</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2.为产品运输或者销售进行的包装或者展示；</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3.在产品或者其包装上粘贴或者印刷品牌、标志、标识以及其他用于区别的标记；</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4.简单的上漆、磨光和分装；</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5.其他不属于属性改变的情形。</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（二）在中国境内生产的组件成本占比达到规定比例</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产品在中国境内生产的组件成本占比应当达到规定比例，计算公式为：</w:t>
            </w:r>
            <w:r/>
          </w:p>
          <w:p>
            <w:pPr>
              <w:jc w:val="center"/>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mc:AlternateContent>
                <mc:Choice Requires="wpg">
                  <w:drawing>
                    <wp:inline xmlns:wp="http://schemas.openxmlformats.org/drawingml/2006/wordprocessingDrawing" distT="0" distB="0" distL="0" distR="0">
                      <wp:extent cx="3275965" cy="4953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7.9pt;height:39.0pt;mso-wrap-distance-left:0.0pt;mso-wrap-distance-top:0.0pt;mso-wrap-distance-right:0.0pt;mso-wrap-distance-bottom:0.0pt;" stroked="f">
                      <v:path textboxrect="0,0,0,0"/>
                      <v:imagedata r:id="rId14" o:title=""/>
                    </v:shape>
                  </w:pict>
                </mc:Fallback>
              </mc:AlternateConten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（三）特定产品的关键组件、关键工序符合相关要求</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2、本国产品标准的适用范围</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3、对本国产品的支持政策</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具体以《国务院办公厅关于在政府采购中实施本国产品标准及相关政策的通知》（国办发〔2025〕34号）规定为准。</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注：中国境内生产的组件成本核算基本规则</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一、产品的一级组件是指直接组成产品的组件。产品的二级组件是指直接组成产品一级组件的组件。一级组件不可分解的，视同二级组件。</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二、二级组件在中国境内生产的，其全部成本计入中国境内生产的组件成本；二级组件不在中国境内生产的，其成本不计入中国境内生产的组件成本。</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三、产品总成本和组件成本以相关会计核算数据、采购合同、进货记录等为基础进行计算。</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四、需要对成本核算规则予以进一步明确的其他有关事项，由财政部会同有关部门另行规定。</w:t>
            </w:r>
            <w:r/>
          </w:p>
          <w:p>
            <w:pPr>
              <w:rPr>
                <w:rFonts w:hint="eastAsia" w:ascii="宋体" w:hAnsi="宋体" w:cs="宋体"/>
                <w:color w:val="000000"/>
                <w:sz w:val="24"/>
                <w:highlight w:val="none"/>
              </w:rP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1、投标人应对以上文件的合法性、真实性负责。</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(十三)2</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商务条件见：</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一、本文件第四章《评标标准》中《评分细则》。</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(十三)3</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交货和提供服务的时间：</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见本文件第五章 《拟签订的合同文本》及或本文件第六章《采购需求》。</w:t>
            </w:r>
            <w:r/>
          </w:p>
        </w:tc>
      </w:tr>
      <w:tr>
        <w:trPr>
          <w:jc w:val="center"/>
          <w:trHeight w:val="374"/>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w:t>
            </w:r>
            <w:r/>
          </w:p>
        </w:tc>
        <w:tc>
          <w:tcPr>
            <w:tcMar>
              <w:left w:w="108" w:type="dxa"/>
              <w:top w:w="0" w:type="dxa"/>
              <w:right w:w="108" w:type="dxa"/>
              <w:bottom w:w="0" w:type="dxa"/>
            </w:tcMar>
            <w:tcW w:w="8376" w:type="dxa"/>
            <w:vAlign w:val="top"/>
            <w:textDirection w:val="lrTb"/>
            <w:noWrap w:val="false"/>
          </w:tcPr>
          <w:p>
            <w:pPr>
              <w:ind w:firstLine="482"/>
              <w:jc w:val="left"/>
              <w:spacing w:after="120" w:line="240" w:lineRule="auto"/>
              <w:widowControl/>
              <w:rPr>
                <w:rFonts w:hint="eastAsia" w:ascii="宋体" w:hAnsi="宋体" w:eastAsia="宋体" w:cs="仿宋"/>
                <w:b/>
                <w:bCs/>
                <w:color w:val="auto"/>
                <w:sz w:val="24"/>
                <w:szCs w:val="24"/>
                <w:highlight w:val="none"/>
                <w:lang w:val="zh-CN" w:eastAsia="zh-CN"/>
              </w:rPr>
            </w:pP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lang w:val="en-US" w:eastAsia="zh-CN"/>
              </w:rPr>
              <w:t xml:space="preserve">总预算为人民币</w:t>
            </w:r>
            <w:r>
              <w:rPr>
                <w:rFonts w:hint="eastAsia" w:ascii="宋体" w:hAnsi="宋体" w:cs="宋体"/>
                <w:b/>
                <w:bCs/>
                <w:color w:val="000000"/>
                <w:sz w:val="24"/>
                <w:szCs w:val="24"/>
                <w:highlight w:val="none"/>
                <w:lang w:val="en-US" w:eastAsia="zh-CN"/>
              </w:rPr>
              <w:t xml:space="preserve">180</w:t>
            </w:r>
            <w:r>
              <w:rPr>
                <w:rFonts w:hint="eastAsia" w:ascii="宋体" w:hAnsi="宋体" w:eastAsia="宋体" w:cs="宋体"/>
                <w:b/>
                <w:bCs/>
                <w:color w:val="000000"/>
                <w:sz w:val="24"/>
                <w:szCs w:val="24"/>
                <w:highlight w:val="none"/>
                <w:lang w:val="en-US" w:eastAsia="zh-CN"/>
              </w:rPr>
              <w:t xml:space="preserve">万元，</w:t>
            </w:r>
            <w:r>
              <w:rPr>
                <w:rFonts w:hint="eastAsia" w:ascii="宋体" w:hAnsi="宋体" w:eastAsia="宋体" w:cs="宋体"/>
                <w:b/>
                <w:bCs/>
                <w:color w:val="auto"/>
                <w:sz w:val="24"/>
                <w:szCs w:val="20"/>
                <w:highlight w:val="none"/>
                <w:lang w:val="zh-CN" w:eastAsia="zh-CN"/>
              </w:rPr>
              <w:t xml:space="preserve">本</w:t>
            </w:r>
            <w:r>
              <w:rPr>
                <w:rFonts w:hint="eastAsia" w:ascii="宋体" w:hAnsi="宋体" w:eastAsia="宋体" w:cs="仿宋"/>
                <w:b/>
                <w:bCs/>
                <w:color w:val="auto"/>
                <w:sz w:val="24"/>
                <w:szCs w:val="24"/>
                <w:highlight w:val="none"/>
                <w:lang w:val="zh-CN" w:eastAsia="zh-CN"/>
              </w:rPr>
              <w:t xml:space="preserve">项目不接受超过</w:t>
            </w:r>
            <w:r>
              <w:rPr>
                <w:rFonts w:hint="eastAsia" w:ascii="宋体" w:hAnsi="宋体" w:eastAsia="宋体" w:cs="仿宋"/>
                <w:b/>
                <w:bCs/>
                <w:color w:val="auto"/>
                <w:sz w:val="24"/>
                <w:szCs w:val="24"/>
                <w:highlight w:val="none"/>
                <w:lang w:val="en-US" w:eastAsia="zh-CN"/>
              </w:rPr>
              <w:t xml:space="preserve">最高限价金额</w:t>
            </w:r>
            <w:r>
              <w:rPr>
                <w:rFonts w:hint="eastAsia" w:ascii="宋体" w:hAnsi="宋体" w:eastAsia="宋体" w:cs="仿宋"/>
                <w:b/>
                <w:bCs/>
                <w:color w:val="auto"/>
                <w:sz w:val="24"/>
                <w:szCs w:val="24"/>
                <w:highlight w:val="none"/>
                <w:lang w:val="zh-CN" w:eastAsia="zh-CN"/>
              </w:rPr>
              <w:t xml:space="preserve">的</w:t>
            </w:r>
            <w:r>
              <w:rPr>
                <w:rFonts w:hint="eastAsia" w:ascii="宋体" w:hAnsi="宋体" w:eastAsia="宋体" w:cs="仿宋"/>
                <w:b/>
                <w:bCs/>
                <w:color w:val="auto"/>
                <w:sz w:val="24"/>
                <w:szCs w:val="24"/>
                <w:highlight w:val="none"/>
                <w:lang w:val="en-US" w:eastAsia="zh-CN"/>
              </w:rPr>
              <w:t xml:space="preserve">投标</w:t>
            </w:r>
            <w:r>
              <w:rPr>
                <w:rFonts w:hint="eastAsia" w:ascii="宋体" w:hAnsi="宋体" w:eastAsia="宋体" w:cs="仿宋"/>
                <w:b/>
                <w:bCs/>
                <w:color w:val="auto"/>
                <w:sz w:val="24"/>
                <w:szCs w:val="24"/>
                <w:highlight w:val="none"/>
                <w:lang w:val="zh-CN" w:eastAsia="zh-CN"/>
              </w:rPr>
              <w:t xml:space="preserve">报价。</w:t>
            </w:r>
            <w:r/>
          </w:p>
          <w:p>
            <w:pPr>
              <w:ind w:firstLine="480"/>
              <w:rPr>
                <w:rFonts w:hint="eastAsia" w:ascii="宋体" w:hAnsi="宋体" w:cs="宋体"/>
                <w:color w:val="000000"/>
                <w:sz w:val="24"/>
                <w:highlight w:val="none"/>
              </w:rPr>
            </w:pPr>
            <w:r>
              <w:rPr>
                <w:rFonts w:hint="eastAsia" w:ascii="宋体" w:hAnsi="宋体" w:eastAsia="宋体" w:cs="宋体"/>
                <w:color w:val="auto"/>
                <w:sz w:val="24"/>
                <w:szCs w:val="18"/>
                <w:highlight w:val="none"/>
                <w:lang w:val="en-US" w:eastAsia="zh-CN" w:bidi="ar-SA"/>
              </w:rPr>
              <w:t xml:space="preserve">投标人应当根据采购项目的要求进行报价，“报价”如无特别说明，均指含税价格，包含增值税税款及其他所有税费，发票为增值税发票。投标人报价应包括为完成本项目的标的所产生的一切费用，包括但不限于人工、耗材、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jc w:val="center"/>
          <w:trHeight w:val="347"/>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w:t>
            </w:r>
            <w:r/>
          </w:p>
        </w:tc>
        <w:tc>
          <w:tcPr>
            <w:tcMar>
              <w:left w:w="108" w:type="dxa"/>
              <w:top w:w="0" w:type="dxa"/>
              <w:right w:w="108" w:type="dxa"/>
              <w:bottom w:w="0" w:type="dxa"/>
            </w:tcMar>
            <w:tcW w:w="8376" w:type="dxa"/>
            <w:vAlign w:val="center"/>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以人民币报价。</w:t>
            </w:r>
            <w:r/>
          </w:p>
        </w:tc>
      </w:tr>
      <w:tr>
        <w:trPr>
          <w:jc w:val="center"/>
          <w:trHeight w:val="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w:t>
            </w:r>
            <w:r/>
          </w:p>
        </w:tc>
        <w:tc>
          <w:tcPr>
            <w:tcMar>
              <w:left w:w="108" w:type="dxa"/>
              <w:top w:w="0" w:type="dxa"/>
              <w:right w:w="108" w:type="dxa"/>
              <w:bottom w:w="0" w:type="dxa"/>
            </w:tcMar>
            <w:tcW w:w="8376" w:type="dxa"/>
            <w:vAlign w:val="center"/>
            <w:textDirection w:val="lrTb"/>
            <w:noWrap w:val="false"/>
          </w:tcPr>
          <w:p>
            <w:pPr>
              <w:ind w:firstLine="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000000"/>
                <w:sz w:val="24"/>
                <w:highlight w:val="none"/>
              </w:rPr>
              <w:fldChar w:fldCharType="separate"/>
            </w:r>
            <w:r>
              <w:rPr>
                <w:rStyle w:val="840"/>
                <w:rFonts w:hint="eastAsia" w:ascii="宋体" w:hAnsi="宋体" w:cs="宋体"/>
                <w:color w:val="000000"/>
                <w:sz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40"/>
                <w:rFonts w:hint="eastAsia" w:ascii="宋体" w:hAnsi="宋体" w:cs="宋体"/>
                <w:color w:val="000000"/>
                <w:sz w:val="24"/>
                <w:highlight w:val="none"/>
              </w:rPr>
              <w:fldChar w:fldCharType="end"/>
            </w:r>
            <w:r/>
          </w:p>
          <w:p>
            <w:pPr>
              <w:ind w:firstLine="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投标人应当通过“苏采云”系统提交数据电文形式的投标文件（即电子投标）。</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特别说明：政府采购客户端工具需要导出加密的投标文件（后缀名为</w:t>
            </w:r>
            <w:r>
              <w:rPr>
                <w:rFonts w:hint="eastAsia" w:ascii="宋体" w:hAnsi="宋体" w:cs="宋体"/>
                <w:b/>
                <w:bCs/>
                <w:color w:val="000000"/>
                <w:sz w:val="24"/>
                <w:highlight w:val="none"/>
              </w:rPr>
              <w:t xml:space="preserve">zip</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投标文件不得超过150M！</w:t>
            </w:r>
            <w:r>
              <w:rPr>
                <w:rFonts w:hint="eastAsia" w:ascii="宋体" w:hAnsi="宋体" w:cs="宋体"/>
                <w:color w:val="000000"/>
                <w:sz w:val="24"/>
                <w:highlight w:val="none"/>
              </w:rPr>
              <w:t xml:space="preserve">名为</w:t>
            </w:r>
            <w:r>
              <w:rPr>
                <w:rFonts w:hint="eastAsia" w:ascii="宋体" w:hAnsi="宋体" w:cs="宋体"/>
                <w:b/>
                <w:bCs/>
                <w:color w:val="000000"/>
                <w:sz w:val="24"/>
                <w:highlight w:val="none"/>
              </w:rPr>
              <w:t xml:space="preserve">“.kedt”</w:t>
            </w:r>
            <w:r>
              <w:rPr>
                <w:rFonts w:hint="eastAsia" w:ascii="宋体" w:hAnsi="宋体" w:cs="宋体"/>
                <w:color w:val="000000"/>
                <w:sz w:val="24"/>
                <w:highlight w:val="none"/>
              </w:rPr>
              <w:t xml:space="preserve">）后，离线编制投标文件。采购文件（后缀名为</w:t>
            </w:r>
            <w:r>
              <w:rPr>
                <w:rFonts w:hint="eastAsia" w:ascii="宋体" w:hAnsi="宋体" w:cs="宋体"/>
                <w:b/>
                <w:bCs/>
                <w:color w:val="000000"/>
                <w:sz w:val="24"/>
                <w:highlight w:val="none"/>
              </w:rPr>
              <w:t xml:space="preserve">“.kedt”）。</w:t>
            </w:r>
            <w:r/>
          </w:p>
        </w:tc>
      </w:tr>
      <w:tr>
        <w:trPr>
          <w:jc w:val="center"/>
          <w:trHeight w:val="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w:t>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见本文件第三章《投标资料表》中(十二)1和(十二)2</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w:t>
            </w:r>
            <w:r/>
          </w:p>
        </w:tc>
        <w:tc>
          <w:tcPr>
            <w:tcMar>
              <w:left w:w="108" w:type="dxa"/>
              <w:top w:w="0" w:type="dxa"/>
              <w:right w:w="108" w:type="dxa"/>
              <w:bottom w:w="0" w:type="dxa"/>
            </w:tcMar>
            <w:tcW w:w="8376" w:type="dxa"/>
            <w:vAlign w:val="top"/>
            <w:textDirection w:val="lrTb"/>
            <w:noWrap w:val="false"/>
          </w:tcPr>
          <w:p>
            <w:pPr>
              <w:ind w:left="560" w:hanging="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投标文件的提交与接收：</w:t>
            </w:r>
            <w:r>
              <w:rPr>
                <w:rFonts w:hint="eastAsia" w:ascii="宋体" w:hAnsi="宋体" w:cs="宋体"/>
                <w:color w:val="000000"/>
                <w:sz w:val="24"/>
                <w:highlight w:val="none"/>
              </w:rPr>
              <w:t xml:space="preserve"> </w:t>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1、投标文件提交与接收时间：</w:t>
            </w:r>
            <w:r>
              <w:rPr>
                <w:rFonts w:hint="eastAsia" w:ascii="宋体" w:hAnsi="宋体" w:cs="宋体"/>
                <w:b/>
                <w:bCs/>
                <w:color w:val="000000"/>
                <w:sz w:val="24"/>
                <w:highlight w:val="none"/>
                <w:lang w:eastAsia="zh-CN"/>
              </w:rPr>
              <w:t xml:space="preserve">2026年10月27日</w:t>
            </w:r>
            <w:r>
              <w:rPr>
                <w:rFonts w:hint="eastAsia" w:ascii="宋体" w:hAnsi="宋体" w:cs="宋体"/>
                <w:b/>
                <w:bCs/>
                <w:color w:val="000000"/>
                <w:sz w:val="24"/>
                <w:highlight w:val="none"/>
                <w:lang w:val="en-US" w:eastAsia="zh-CN"/>
              </w:rPr>
              <w:t xml:space="preserve">9:30</w:t>
            </w:r>
            <w:r>
              <w:rPr>
                <w:rFonts w:hint="eastAsia" w:ascii="宋体" w:hAnsi="宋体" w:cs="宋体"/>
                <w:b/>
                <w:bCs/>
                <w:color w:val="000000"/>
                <w:sz w:val="24"/>
                <w:highlight w:val="none"/>
              </w:rPr>
              <w:t xml:space="preserve">前。</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2、投标文件提交与接收地点：</w:t>
            </w:r>
            <w:r>
              <w:rPr>
                <w:rFonts w:hint="eastAsia" w:ascii="宋体" w:hAnsi="宋体" w:cs="宋体"/>
                <w:color w:val="000000"/>
                <w:sz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152" w:type="dxa"/>
            <w:vAlign w:val="top"/>
            <w:vMerge w:val="restart"/>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w:t>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电子投标文件应由其法定代表人或法定代表人授权代表在规定的网上投标时间内，</w:t>
            </w:r>
            <w:r>
              <w:rPr>
                <w:rFonts w:hint="eastAsia" w:ascii="宋体" w:hAnsi="宋体" w:cs="宋体"/>
                <w:b/>
                <w:color w:val="000000"/>
                <w:sz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8376" w:type="dxa"/>
            <w:vAlign w:val="top"/>
            <w:textDirection w:val="lrTb"/>
            <w:noWrap w:val="false"/>
          </w:tcPr>
          <w:p>
            <w:pPr>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highlight w:val="none"/>
              </w:rPr>
              <w:t xml:space="preserve">开标时间后</w:t>
            </w:r>
            <w:r>
              <w:rPr>
                <w:rFonts w:hint="eastAsia" w:ascii="宋体" w:hAnsi="宋体" w:cs="宋体"/>
                <w:color w:val="000000"/>
                <w:sz w:val="24"/>
                <w:highlight w:val="none"/>
              </w:rPr>
              <w:t xml:space="preserve">，通过“苏采云”系统（使用“CA数字证书”）解密。解密时限：进入解密环节后，</w:t>
            </w:r>
            <w:r>
              <w:rPr>
                <w:rFonts w:hint="eastAsia" w:ascii="宋体" w:hAnsi="宋体" w:cs="宋体"/>
                <w:b/>
                <w:bCs/>
                <w:color w:val="000000"/>
                <w:sz w:val="24"/>
                <w:highlight w:val="none"/>
              </w:rPr>
              <w:t xml:space="preserve">30分钟内。</w:t>
            </w:r>
            <w:r/>
          </w:p>
          <w:p>
            <w:pPr>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8376" w:type="dxa"/>
            <w:vAlign w:val="top"/>
            <w:textDirection w:val="lrTb"/>
            <w:noWrap w:val="false"/>
          </w:tcPr>
          <w:p>
            <w:pPr>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“苏采云”系统生成开标记录并</w:t>
            </w:r>
            <w:r>
              <w:rPr>
                <w:rFonts w:hint="eastAsia" w:ascii="宋体" w:hAnsi="宋体" w:cs="宋体"/>
                <w:b/>
                <w:bCs/>
                <w:color w:val="000000"/>
                <w:sz w:val="24"/>
                <w:highlight w:val="none"/>
              </w:rPr>
              <w:t xml:space="preserve">向社会公众公布后5分钟内</w:t>
            </w:r>
            <w:r>
              <w:rPr>
                <w:rFonts w:hint="eastAsia" w:ascii="宋体" w:hAnsi="宋体" w:cs="宋体"/>
                <w:color w:val="000000"/>
                <w:sz w:val="24"/>
                <w:highlight w:val="none"/>
              </w:rPr>
              <w:t xml:space="preserve">，投标人通过“苏采云”系统（使用“CA数字证书”）</w:t>
            </w:r>
            <w:r>
              <w:rPr>
                <w:rFonts w:hint="eastAsia" w:ascii="宋体" w:hAnsi="宋体" w:cs="宋体"/>
                <w:b/>
                <w:bCs/>
                <w:color w:val="000000"/>
                <w:sz w:val="24"/>
                <w:highlight w:val="none"/>
              </w:rPr>
              <w:t xml:space="preserve">确认开标过程</w:t>
            </w:r>
            <w:r>
              <w:rPr>
                <w:rFonts w:hint="eastAsia" w:ascii="宋体" w:hAnsi="宋体" w:cs="宋体"/>
                <w:color w:val="000000"/>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8376" w:type="dxa"/>
            <w:vAlign w:val="top"/>
            <w:textDirection w:val="lrTb"/>
            <w:noWrap w:val="false"/>
          </w:tcPr>
          <w:p>
            <w:pPr>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因投标人原因造成投标文件未解密的，视为撤销其投标文件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8376" w:type="dxa"/>
            <w:vAlign w:val="top"/>
            <w:textDirection w:val="lrTb"/>
            <w:noWrap w:val="false"/>
          </w:tcPr>
          <w:p>
            <w:pPr>
              <w:pStyle w:val="824"/>
              <w:ind w:firstLine="480"/>
              <w:spacing w:before="0" w:beforeAutospacing="0" w:after="0" w:afterAutospacing="0"/>
              <w:shd w:val="clear" w:color="auto" w:fill="ffffff"/>
              <w:rPr>
                <w:rFonts w:hint="eastAsia"/>
                <w:color w:val="000000"/>
                <w:highlight w:val="none"/>
              </w:rPr>
            </w:pPr>
            <w:r>
              <w:rPr>
                <w:rFonts w:hint="eastAsia"/>
                <w:color w:val="000000"/>
                <w:highlight w:val="none"/>
              </w:rPr>
              <w:t xml:space="preserve">投标文件解密失败的补救方案：无。</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开标</w:t>
            </w:r>
            <w:r/>
          </w:p>
        </w:tc>
      </w:tr>
      <w:tr>
        <w:trPr>
          <w:jc w:val="center"/>
          <w:trHeight w:val="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p>
        </w:tc>
        <w:tc>
          <w:tcPr>
            <w:tcMar>
              <w:left w:w="108" w:type="dxa"/>
              <w:top w:w="0" w:type="dxa"/>
              <w:right w:w="108" w:type="dxa"/>
              <w:bottom w:w="0" w:type="dxa"/>
            </w:tcMar>
            <w:tcW w:w="8376" w:type="dxa"/>
            <w:vAlign w:val="center"/>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开标时间及地点：</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1、开标时间：</w:t>
            </w:r>
            <w:r>
              <w:rPr>
                <w:rFonts w:hint="eastAsia" w:ascii="宋体" w:hAnsi="宋体" w:cs="宋体"/>
                <w:b/>
                <w:color w:val="000000"/>
                <w:sz w:val="24"/>
                <w:highlight w:val="none"/>
                <w:lang w:eastAsia="zh-CN"/>
              </w:rPr>
              <w:t xml:space="preserve">2026年10月27日</w:t>
            </w:r>
            <w:r>
              <w:rPr>
                <w:rFonts w:hint="eastAsia" w:ascii="宋体" w:hAnsi="宋体" w:cs="宋体"/>
                <w:b/>
                <w:color w:val="000000"/>
                <w:sz w:val="24"/>
                <w:highlight w:val="none"/>
                <w:lang w:val="en-US" w:eastAsia="zh-CN"/>
              </w:rPr>
              <w:t xml:space="preserve">9:30</w:t>
            </w:r>
            <w:r>
              <w:rPr>
                <w:rFonts w:hint="eastAsia" w:ascii="宋体" w:hAnsi="宋体" w:cs="宋体"/>
                <w:b/>
                <w:color w:val="000000"/>
                <w:sz w:val="24"/>
                <w:highlight w:val="none"/>
              </w:rPr>
              <w:t xml:space="preserve">（标准时间）</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2、开标地点：</w:t>
            </w:r>
            <w:r>
              <w:rPr>
                <w:rFonts w:hint="eastAsia" w:ascii="宋体" w:hAnsi="宋体" w:cs="宋体"/>
                <w:color w:val="000000"/>
                <w:sz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p>
        </w:tc>
        <w:tc>
          <w:tcPr>
            <w:tcMar>
              <w:left w:w="108" w:type="dxa"/>
              <w:top w:w="0" w:type="dxa"/>
              <w:right w:w="108" w:type="dxa"/>
              <w:bottom w:w="0" w:type="dxa"/>
            </w:tcMar>
            <w:tcW w:w="8376" w:type="dxa"/>
            <w:vAlign w:val="center"/>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评标</w:t>
            </w:r>
            <w:r/>
          </w:p>
        </w:tc>
      </w:tr>
      <w:tr>
        <w:trPr>
          <w:jc w:val="center"/>
          <w:trHeight w:val="369"/>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w:t>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采用综合评分法。</w:t>
            </w:r>
            <w:bookmarkStart w:id="7" w:name="_GoBack"/>
            <w:r/>
            <w:bookmarkEnd w:id="7"/>
            <w:r/>
            <w:r/>
          </w:p>
        </w:tc>
      </w:tr>
      <w:tr>
        <w:trPr>
          <w:jc w:val="center"/>
          <w:trHeight w:val="212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w:t>
            </w:r>
            <w:r/>
          </w:p>
        </w:tc>
        <w:tc>
          <w:tcPr>
            <w:tcMar>
              <w:left w:w="108" w:type="dxa"/>
              <w:top w:w="0" w:type="dxa"/>
              <w:right w:w="108" w:type="dxa"/>
              <w:bottom w:w="0" w:type="dxa"/>
            </w:tcMar>
            <w:tcW w:w="8376" w:type="dxa"/>
            <w:vAlign w:val="top"/>
            <w:textDirection w:val="lrTb"/>
            <w:noWrap w:val="false"/>
          </w:tcPr>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一、推荐中标候选供应商名单。中标候选供应商数量应当根据采购需要确定，但必须按顺序排列中标候选供应商。</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二、中标候选人并列的，招标文件规定的确定中标人方式：</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（一）确定人：采购人。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（二）确定中标人方式：</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按照以下顺序确定中标人：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1、投标文件中提供所投产品的节能产品认证证书（不包括强制采购要求（如有），下同）的；或所投产品的环境标志产品认证证书的，被确定为中标人。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都符合第1种情况的，投标文件中提供所投产品的节能产品认证证书和所投产品的环境标志产品认证证书的，被确定为中标人。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都符合第2种情况的，投标文件中提供所投产品的节能产品认证证书、所投产品的环境标志产品认证证书和所投产品的绿色产品认证证书的，被确定为中标人。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都符合第3种情况的，投标文件中提供所投产品的节能产品认证证书、所投产品的环境标志产品认证证书和所投产品的绿色产品认证证书，份数最多的，被确定为中标人。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按照第4种情况，投标文件中提供所投产品的节能产品认证证书、所投产品的环境标志产品认证证书和所投产品的绿色产品认证证书份数也相同，所投产品使用低VOCs含量的，被确定为中标人。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第5种情况仍无法确定的，由采购人确定。</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说明：所投产品的环境标志产品认证证书、所投产品的节能产品认证证书要求：见招标文件第三章《投标资料表》。</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r>
        <w:trPr>
          <w:jc w:val="center"/>
          <w:trHeight w:val="3764"/>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w:t>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w:t>
            </w:r>
            <w:r/>
          </w:p>
        </w:tc>
        <w:tc>
          <w:tcPr>
            <w:tcMar>
              <w:left w:w="108" w:type="dxa"/>
              <w:top w:w="0" w:type="dxa"/>
              <w:right w:w="108" w:type="dxa"/>
              <w:bottom w:w="0" w:type="dxa"/>
            </w:tcMar>
            <w:tcW w:w="8376" w:type="dxa"/>
            <w:vAlign w:val="top"/>
            <w:textDirection w:val="lrTb"/>
            <w:noWrap w:val="false"/>
          </w:tcPr>
          <w:p>
            <w:pPr>
              <w:ind w:firstLine="480"/>
              <w:rPr>
                <w:rFonts w:ascii="宋体" w:hAnsi="宋体" w:cs="宋体"/>
                <w:color w:val="000000"/>
                <w:sz w:val="24"/>
                <w:highlight w:val="none"/>
              </w:rPr>
            </w:pPr>
            <w:r/>
            <w:bookmarkStart w:id="0" w:name="OLE_LINK7"/>
            <w:r/>
            <w:bookmarkStart w:id="1" w:name="OLE_LINK4"/>
            <w:r>
              <w:rPr>
                <w:rFonts w:hint="eastAsia" w:ascii="宋体" w:hAnsi="宋体" w:cs="宋体"/>
                <w:color w:val="000000"/>
                <w:sz w:val="24"/>
                <w:highlight w:val="none"/>
              </w:rPr>
              <w:t xml:space="preserve">启动异常低价投标（响应）审查后，评审委员会应当要求相关供应商在评标现场合理的时间内，通过“苏采云”系统（使用“CA数字证书”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加盖电子签章）提供</w:t>
            </w:r>
            <w:r>
              <w:rPr>
                <w:rFonts w:hint="eastAsia" w:ascii="宋体" w:hAnsi="宋体" w:cs="宋体"/>
                <w:b/>
                <w:color w:val="000000"/>
                <w:sz w:val="24"/>
                <w:highlight w:val="none"/>
              </w:rPr>
              <w:t xml:space="preserve">项目具体成本测算等与报价合理性相关的书面说明及相关证明材料</w:t>
            </w:r>
            <w:r>
              <w:rPr>
                <w:rFonts w:hint="eastAsia" w:ascii="宋体" w:hAnsi="宋体" w:cs="宋体"/>
                <w:color w:val="000000"/>
                <w:sz w:val="24"/>
                <w:highlight w:val="none"/>
              </w:rPr>
              <w:t xml:space="preserve">，对投标（响应）价格作出解释，由评审委员会</w:t>
            </w:r>
            <w:r>
              <w:rPr>
                <w:rFonts w:hint="eastAsia" w:ascii="宋体" w:hAnsi="宋体" w:cs="宋体"/>
                <w:b/>
                <w:color w:val="000000"/>
                <w:sz w:val="24"/>
                <w:highlight w:val="none"/>
              </w:rPr>
              <w:t xml:space="preserve">结合同类产品在主要电商平台的价格、该行业当地薪资水平等情况</w:t>
            </w:r>
            <w:r>
              <w:rPr>
                <w:rFonts w:hint="eastAsia" w:ascii="宋体" w:hAnsi="宋体" w:cs="宋体"/>
                <w:color w:val="000000"/>
                <w:sz w:val="24"/>
                <w:highlight w:val="none"/>
              </w:rPr>
              <w:t xml:space="preserve">，依据专业经验对供应商报价合理性进行判断。投标（响应）供应商</w:t>
            </w:r>
            <w:r>
              <w:rPr>
                <w:rFonts w:hint="eastAsia" w:ascii="宋体" w:hAnsi="宋体" w:cs="宋体"/>
                <w:b/>
                <w:color w:val="000000"/>
                <w:sz w:val="24"/>
                <w:highlight w:val="none"/>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七</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政府采购合同</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w:t>
            </w:r>
            <w:r/>
          </w:p>
        </w:tc>
        <w:tc>
          <w:tcPr>
            <w:tcMar>
              <w:left w:w="108" w:type="dxa"/>
              <w:top w:w="0" w:type="dxa"/>
              <w:right w:w="108" w:type="dxa"/>
              <w:bottom w:w="0" w:type="dxa"/>
            </w:tcMar>
            <w:tcW w:w="8376" w:type="dxa"/>
            <w:vAlign w:val="center"/>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（三十八）</w:t>
            </w:r>
            <w:r/>
          </w:p>
        </w:tc>
        <w:tc>
          <w:tcPr>
            <w:tcMar>
              <w:left w:w="108" w:type="dxa"/>
              <w:top w:w="0" w:type="dxa"/>
              <w:right w:w="108" w:type="dxa"/>
              <w:bottom w:w="0" w:type="dxa"/>
            </w:tcMar>
            <w:tcW w:w="8376" w:type="dxa"/>
            <w:vAlign w:val="center"/>
            <w:textDirection w:val="lrTb"/>
            <w:noWrap w:val="false"/>
          </w:tcPr>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履约保证金：</w:t>
            </w:r>
            <w:r>
              <w:rPr>
                <w:rFonts w:hint="eastAsia" w:ascii="宋体" w:hAnsi="宋体" w:cs="宋体"/>
                <w:b/>
                <w:bCs/>
                <w:color w:val="000000"/>
                <w:sz w:val="24"/>
                <w:highlight w:val="none"/>
                <w:lang w:val="en-US" w:eastAsia="zh-CN"/>
              </w:rPr>
              <w:t xml:space="preserve">本项目不收取履约保证金。</w:t>
            </w:r>
            <w:r/>
          </w:p>
        </w:tc>
      </w:tr>
      <w:tr>
        <w:trPr>
          <w:jc w:val="center"/>
          <w:trHeight w:val="3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w:t>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jc w:val="both"/>
              <w:spacing w:line="400" w:lineRule="exact"/>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质疑接收人：</w:t>
            </w:r>
            <w:r>
              <w:rPr>
                <w:rFonts w:hint="eastAsia" w:ascii="宋体" w:hAnsi="宋体" w:eastAsia="宋体" w:cs="宋体"/>
                <w:color w:val="auto"/>
                <w:sz w:val="24"/>
                <w:szCs w:val="24"/>
                <w:highlight w:val="none"/>
                <w:lang w:val="en-US" w:eastAsia="zh-CN" w:bidi="ar-SA"/>
              </w:rPr>
              <w:t xml:space="preserve">曹工；  </w:t>
            </w:r>
            <w:r>
              <w:rPr>
                <w:rFonts w:hint="default"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lang w:val="en-US" w:eastAsia="zh-CN" w:bidi="ar-SA"/>
              </w:rPr>
              <w:t xml:space="preserve">18005229533；</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办公地址：</w:t>
            </w:r>
            <w:r>
              <w:rPr>
                <w:rFonts w:hint="eastAsia" w:ascii="宋体" w:hAnsi="宋体" w:eastAsia="宋体" w:cs="宋体"/>
                <w:color w:val="auto"/>
                <w:sz w:val="24"/>
                <w:szCs w:val="24"/>
                <w:highlight w:val="none"/>
                <w:lang w:val="en-US" w:eastAsia="zh-CN" w:bidi="ar-SA"/>
              </w:rPr>
              <w:t xml:space="preserve">徐州市淮海西路小康人家三期商业1-15-417</w:t>
            </w:r>
            <w:r/>
          </w:p>
        </w:tc>
      </w:tr>
      <w:tr>
        <w:trPr>
          <w:jc w:val="center"/>
        </w:trPr>
        <w:tc>
          <w:tcPr>
            <w:tcMar>
              <w:left w:w="108" w:type="dxa"/>
              <w:top w:w="0" w:type="dxa"/>
              <w:right w:w="108" w:type="dxa"/>
              <w:bottom w:w="0" w:type="dxa"/>
            </w:tcMar>
            <w:tcW w:w="1152" w:type="dxa"/>
            <w:vAlign w:val="center"/>
            <w:vMerge w:val="restart"/>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附加说明</w:t>
            </w:r>
            <w:r/>
          </w:p>
        </w:tc>
        <w:tc>
          <w:tcPr>
            <w:tcMar>
              <w:left w:w="108" w:type="dxa"/>
              <w:top w:w="0" w:type="dxa"/>
              <w:right w:w="108" w:type="dxa"/>
              <w:bottom w:w="0" w:type="dxa"/>
            </w:tcMar>
            <w:tcW w:w="8376" w:type="dxa"/>
            <w:vAlign w:val="top"/>
            <w:textDirection w:val="lrTb"/>
            <w:noWrap w:val="false"/>
          </w:tcPr>
          <w:p>
            <w:pPr>
              <w:pStyle w:val="791"/>
              <w:numPr>
                <w:ilvl w:val="0"/>
                <w:numId w:val="0"/>
              </w:numPr>
              <w:ind w:firstLine="480"/>
              <w:jc w:val="both"/>
              <w:spacing w:line="400" w:lineRule="exact"/>
              <w:rPr>
                <w:rFonts w:ascii="宋体" w:hAnsi="宋体" w:eastAsia="宋体" w:cs="宋体"/>
                <w:color w:val="auto"/>
                <w:sz w:val="24"/>
                <w:szCs w:val="24"/>
                <w:highlight w:val="none"/>
              </w:rPr>
            </w:pPr>
            <w:r>
              <w:rPr>
                <w:rFonts w:hint="eastAsia" w:hAnsi="宋体" w:cs="宋体"/>
                <w:color w:val="000000"/>
                <w:sz w:val="24"/>
                <w:highlight w:val="none"/>
                <w:lang w:val="en-US" w:eastAsia="zh-CN"/>
              </w:rPr>
              <w:t xml:space="preserve">1、</w:t>
            </w:r>
            <w:r>
              <w:rPr>
                <w:rFonts w:hint="eastAsia" w:ascii="宋体" w:hAnsi="宋体" w:cs="宋体"/>
                <w:color w:val="000000"/>
                <w:sz w:val="24"/>
                <w:highlight w:val="none"/>
              </w:rPr>
              <w:t xml:space="preserve">中标人在收到中标通知书时，</w:t>
            </w:r>
            <w:r>
              <w:rPr>
                <w:rFonts w:hint="eastAsia" w:ascii="宋体" w:hAnsi="宋体" w:eastAsia="宋体" w:cs="宋体"/>
                <w:color w:val="auto"/>
                <w:sz w:val="24"/>
                <w:szCs w:val="24"/>
                <w:highlight w:val="none"/>
              </w:rPr>
              <w:t xml:space="preserve">须向采购代理机构提交一正两副投标文件、《开标一览表》和《分项价格表》的数据文件（WORD格式）。</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Times New Roman" w:cs="宋体"/>
                <w:color w:val="auto"/>
                <w:sz w:val="24"/>
                <w:szCs w:val="18"/>
                <w:highlight w:val="none"/>
                <w:lang w:val="en-US" w:eastAsia="zh-CN" w:bidi="ar-SA"/>
              </w:rPr>
              <w:t xml:space="preserve">中标人在领取中标通知书前，一次性向代理机构缴纳代理服务费。</w:t>
            </w:r>
            <w:r/>
          </w:p>
        </w:tc>
      </w:tr>
      <w:tr>
        <w:trPr>
          <w:jc w:val="center"/>
          <w:trHeight w:val="5018"/>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4、招标文件中如需“授权代表签字或盖章”，供应商可打印成文档。签字或盖章后再扫描上传，最后再电子签章。</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5、中标人在收到中标通知书时，须向采购人和采购代理机构提交完整纸质版的投标文件（需盖投标人公章且胶装成册，1正</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副本）。</w:t>
            </w:r>
            <w:r/>
          </w:p>
          <w:p>
            <w:pPr>
              <w:pStyle w:val="848"/>
              <w:rPr>
                <w:rFonts w:eastAsia="宋体"/>
                <w:color w:val="000000"/>
                <w:highlight w:val="none"/>
                <w:lang w:val="en-US" w:eastAsia="zh-CN"/>
              </w:rPr>
            </w:pPr>
            <w:r>
              <w:rPr>
                <w:rFonts w:hint="eastAsia"/>
                <w:color w:val="000000"/>
                <w:highlight w:val="none"/>
                <w:lang w:val="en-US" w:eastAsia="zh-CN"/>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ind w:firstLine="600"/>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lang w:val="en-US" w:eastAsia="zh-CN"/>
        </w:rPr>
        <w:t xml:space="preserve">第四章 </w:t>
      </w:r>
      <w:r>
        <w:rPr>
          <w:rFonts w:hint="eastAsia" w:ascii="宋体" w:hAnsi="宋体" w:eastAsia="宋体" w:cs="宋体"/>
          <w:b/>
          <w:color w:val="000000"/>
          <w:sz w:val="30"/>
          <w:szCs w:val="30"/>
          <w:highlight w:val="none"/>
        </w:rPr>
        <w:t xml:space="preserve">评标标准</w:t>
      </w:r>
      <w:r/>
    </w:p>
    <w:tbl>
      <w:tblPr>
        <w:tblStyle w:val="717"/>
        <w:tblpPr w:horzAnchor="page" w:tblpX="1410" w:vertAnchor="text" w:tblpY="659" w:leftFromText="180" w:topFromText="0" w:rightFromText="180" w:bottomFromText="0"/>
        <w:tblW w:w="97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713"/>
        <w:gridCol w:w="7193"/>
        <w:gridCol w:w="701"/>
      </w:tblGrid>
      <w:tr>
        <w:trPr>
          <w:cantSplit/>
          <w:trHeight w:val="649"/>
        </w:trPr>
        <w:tc>
          <w:tcPr>
            <w:gridSpan w:val="2"/>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spacing w:line="312" w:lineRule="auto"/>
              <w:widowControl/>
              <w:rPr>
                <w:rFonts w:hint="eastAsia" w:ascii="宋体" w:hAnsi="宋体" w:eastAsia="宋体" w:cs="宋体"/>
                <w:sz w:val="20"/>
                <w:szCs w:val="20"/>
              </w:rPr>
            </w:pPr>
            <w:r/>
            <w:bookmarkStart w:id="2" w:name="_Toc4749"/>
            <w:r>
              <w:rPr>
                <w:rFonts w:hint="eastAsia" w:ascii="宋体" w:hAnsi="宋体" w:eastAsia="宋体" w:cs="宋体"/>
                <w:sz w:val="20"/>
                <w:szCs w:val="20"/>
              </w:rPr>
              <w:t xml:space="preserve">类别</w:t>
            </w:r>
            <w:r/>
          </w:p>
        </w:tc>
        <w:tc>
          <w:tcPr>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jc w:val="center"/>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评分标准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分值</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范围</w:t>
            </w:r>
            <w:r/>
          </w:p>
        </w:tc>
      </w:tr>
      <w:tr>
        <w:trPr>
          <w:cantSplit/>
          <w:trHeight w:val="948"/>
        </w:trPr>
        <w:tc>
          <w:tcPr>
            <w:gridSpan w:val="2"/>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spacing w:line="312" w:lineRule="auto"/>
              <w:widowControl/>
              <w:rPr>
                <w:rFonts w:hint="eastAsia" w:ascii="宋体" w:hAnsi="宋体" w:eastAsia="宋体" w:cs="宋体"/>
                <w:sz w:val="20"/>
                <w:szCs w:val="20"/>
                <w:lang w:val="zh-CN"/>
              </w:rPr>
            </w:pPr>
            <w:r>
              <w:rPr>
                <w:rFonts w:hint="eastAsia" w:ascii="宋体" w:hAnsi="宋体" w:eastAsia="宋体" w:cs="宋体"/>
                <w:sz w:val="20"/>
                <w:szCs w:val="20"/>
                <w:lang w:val="zh-CN"/>
              </w:rPr>
              <w:t xml:space="preserve">投标报价</w:t>
            </w:r>
            <w:r/>
          </w:p>
          <w:p>
            <w:pPr>
              <w:jc w:val="center"/>
              <w:spacing w:line="312" w:lineRule="auto"/>
              <w:widowControl/>
              <w:rPr>
                <w:rFonts w:hint="eastAsia" w:ascii="宋体" w:hAnsi="宋体" w:eastAsia="宋体" w:cs="宋体"/>
                <w:sz w:val="20"/>
                <w:szCs w:val="20"/>
              </w:rPr>
            </w:pPr>
            <w:r>
              <w:rPr>
                <w:rFonts w:hint="eastAsia" w:ascii="宋体" w:hAnsi="宋体" w:eastAsia="宋体" w:cs="宋体"/>
                <w:sz w:val="20"/>
                <w:szCs w:val="20"/>
                <w:lang w:val="zh-CN"/>
              </w:rPr>
              <w:t xml:space="preserve">（</w:t>
            </w:r>
            <w:r>
              <w:rPr>
                <w:rFonts w:hint="eastAsia" w:ascii="宋体" w:hAnsi="宋体" w:eastAsia="宋体" w:cs="宋体"/>
                <w:sz w:val="20"/>
                <w:szCs w:val="20"/>
              </w:rPr>
              <w:t xml:space="preserve">15</w:t>
            </w:r>
            <w:r>
              <w:rPr>
                <w:rFonts w:hint="eastAsia" w:ascii="宋体" w:hAnsi="宋体" w:eastAsia="宋体" w:cs="宋体"/>
                <w:sz w:val="20"/>
                <w:szCs w:val="20"/>
                <w:lang w:val="zh-CN"/>
              </w:rPr>
              <w:t xml:space="preserve">分）</w:t>
            </w:r>
            <w:r/>
          </w:p>
        </w:tc>
        <w:tc>
          <w:tcPr>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jc w:val="both"/>
              <w:spacing w:line="312" w:lineRule="auto"/>
              <w:widowControl/>
              <w:rPr>
                <w:rFonts w:hint="eastAsia" w:ascii="宋体" w:hAnsi="宋体" w:eastAsia="宋体" w:cs="宋体"/>
                <w:sz w:val="20"/>
                <w:szCs w:val="20"/>
              </w:rPr>
            </w:pPr>
            <w:r>
              <w:rPr>
                <w:rFonts w:hint="eastAsia" w:ascii="宋体" w:hAnsi="宋体" w:eastAsia="宋体" w:cs="宋体"/>
                <w:sz w:val="20"/>
                <w:szCs w:val="20"/>
                <w:lang w:val="zh-CN"/>
              </w:rPr>
              <w:t xml:space="preserve">各投标人价格得分=最低报价（投标人的最低评审价格）÷各投标人评审价格×</w:t>
            </w:r>
            <w:r>
              <w:rPr>
                <w:rFonts w:hint="eastAsia" w:ascii="宋体" w:hAnsi="宋体" w:eastAsia="宋体" w:cs="宋体"/>
                <w:sz w:val="20"/>
                <w:szCs w:val="20"/>
              </w:rPr>
              <w:t xml:space="preserve">15</w:t>
            </w:r>
            <w:r/>
          </w:p>
          <w:p>
            <w:pPr>
              <w:jc w:val="both"/>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得分按四舍五入保留小数点后两位。</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15分</w:t>
            </w:r>
            <w:r/>
          </w:p>
        </w:tc>
      </w:tr>
      <w:tr>
        <w:trPr>
          <w:cantSplit/>
          <w:trHeight w:val="2490"/>
        </w:trPr>
        <w:tc>
          <w:tcPr>
            <w:tcBorders>
              <w:left w:val="single" w:color="auto" w:sz="4" w:space="0"/>
              <w:right w:val="single" w:color="auto" w:sz="4" w:space="0"/>
            </w:tcBorders>
            <w:tcW w:w="1179" w:type="dxa"/>
            <w:vAlign w:val="center"/>
            <w:vMerge w:val="restart"/>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技术部分</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lang w:val="en-US" w:eastAsia="zh-CN"/>
              </w:rPr>
              <w:t xml:space="preserve">70</w:t>
            </w:r>
            <w:r>
              <w:rPr>
                <w:rFonts w:hint="eastAsia" w:ascii="宋体" w:hAnsi="宋体" w:eastAsia="宋体" w:cs="宋体"/>
                <w:sz w:val="20"/>
                <w:szCs w:val="20"/>
              </w:rPr>
              <w:t xml:space="preserve">分）</w:t>
            </w:r>
            <w:r/>
          </w:p>
        </w:tc>
        <w:tc>
          <w:tcPr>
            <w:tcBorders>
              <w:left w:val="single" w:color="auto" w:sz="4" w:space="0"/>
              <w:right w:val="single" w:color="auto" w:sz="4" w:space="0"/>
            </w:tcBorders>
            <w:tcW w:w="713"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运维设备配置情况</w:t>
            </w:r>
            <w:r/>
          </w:p>
        </w:tc>
        <w:tc>
          <w:tcPr>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投标人运维所需的备机配置情况。</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配置种类齐全合理，选型先进可靠，完全能满足对应站点运维需要</w:t>
            </w:r>
            <w:r>
              <w:rPr>
                <w:rFonts w:hint="eastAsia" w:ascii="宋体" w:hAnsi="宋体" w:eastAsia="宋体" w:cs="宋体"/>
                <w:sz w:val="20"/>
                <w:szCs w:val="20"/>
                <w:lang w:val="en-US" w:eastAsia="zh-CN"/>
              </w:rPr>
              <w:t xml:space="preserve">的</w:t>
            </w:r>
            <w:r>
              <w:rPr>
                <w:rFonts w:hint="eastAsia" w:ascii="宋体" w:hAnsi="宋体" w:eastAsia="宋体" w:cs="宋体"/>
                <w:sz w:val="20"/>
                <w:szCs w:val="20"/>
              </w:rPr>
              <w:t xml:space="preserve">得</w:t>
            </w:r>
            <w:r>
              <w:rPr>
                <w:rFonts w:hint="eastAsia" w:ascii="宋体" w:hAnsi="宋体" w:eastAsia="宋体" w:cs="宋体"/>
                <w:sz w:val="20"/>
                <w:szCs w:val="20"/>
                <w:lang w:val="en-US" w:eastAsia="zh-CN"/>
              </w:rPr>
              <w:t xml:space="preserve">10</w:t>
            </w:r>
            <w:r>
              <w:rPr>
                <w:rFonts w:hint="eastAsia" w:ascii="宋体" w:hAnsi="宋体" w:eastAsia="宋体" w:cs="宋体"/>
                <w:sz w:val="20"/>
                <w:szCs w:val="20"/>
              </w:rPr>
              <w:t xml:space="preserve">分；</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配置的运维设备种类和功能水平</w:t>
            </w:r>
            <w:r>
              <w:rPr>
                <w:rFonts w:hint="eastAsia" w:ascii="宋体" w:hAnsi="宋体" w:eastAsia="宋体" w:cs="宋体"/>
                <w:sz w:val="20"/>
                <w:szCs w:val="20"/>
                <w:lang w:val="en-US" w:eastAsia="zh-CN"/>
              </w:rPr>
              <w:t xml:space="preserve">能</w:t>
            </w:r>
            <w:r>
              <w:rPr>
                <w:rFonts w:hint="eastAsia" w:ascii="宋体" w:hAnsi="宋体" w:eastAsia="宋体" w:cs="宋体"/>
                <w:sz w:val="20"/>
                <w:szCs w:val="20"/>
              </w:rPr>
              <w:t xml:space="preserve">满足运维需求</w:t>
            </w:r>
            <w:r>
              <w:rPr>
                <w:rFonts w:hint="eastAsia" w:ascii="宋体" w:hAnsi="宋体" w:eastAsia="宋体" w:cs="宋体"/>
                <w:sz w:val="20"/>
                <w:szCs w:val="20"/>
                <w:lang w:val="en-US" w:eastAsia="zh-CN"/>
              </w:rPr>
              <w:t xml:space="preserve">但选型不合理的</w:t>
            </w:r>
            <w:r>
              <w:rPr>
                <w:rFonts w:hint="eastAsia" w:ascii="宋体" w:hAnsi="宋体" w:eastAsia="宋体" w:cs="宋体"/>
                <w:sz w:val="20"/>
                <w:szCs w:val="20"/>
              </w:rPr>
              <w:t xml:space="preserve">得</w:t>
            </w:r>
            <w:r>
              <w:rPr>
                <w:rFonts w:hint="eastAsia" w:ascii="宋体" w:hAnsi="宋体" w:eastAsia="宋体" w:cs="宋体"/>
                <w:sz w:val="20"/>
                <w:szCs w:val="20"/>
                <w:lang w:val="en-US" w:eastAsia="zh-CN"/>
              </w:rPr>
              <w:t xml:space="preserve">7</w:t>
            </w:r>
            <w:r>
              <w:rPr>
                <w:rFonts w:hint="eastAsia" w:ascii="宋体" w:hAnsi="宋体" w:eastAsia="宋体" w:cs="宋体"/>
                <w:sz w:val="20"/>
                <w:szCs w:val="20"/>
              </w:rPr>
              <w:t xml:space="preserve">分；</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配置的运维设备种类和功能水平基本满足运维需求</w:t>
            </w:r>
            <w:r>
              <w:rPr>
                <w:rFonts w:hint="eastAsia" w:ascii="宋体" w:hAnsi="宋体" w:eastAsia="宋体" w:cs="宋体"/>
                <w:sz w:val="20"/>
                <w:szCs w:val="20"/>
                <w:lang w:val="en-US" w:eastAsia="zh-CN"/>
              </w:rPr>
              <w:t xml:space="preserve">的</w:t>
            </w:r>
            <w:r>
              <w:rPr>
                <w:rFonts w:hint="eastAsia" w:ascii="宋体" w:hAnsi="宋体" w:eastAsia="宋体" w:cs="宋体"/>
                <w:sz w:val="20"/>
                <w:szCs w:val="20"/>
              </w:rPr>
              <w:t xml:space="preserve">得</w:t>
            </w:r>
            <w:r>
              <w:rPr>
                <w:rFonts w:hint="eastAsia" w:ascii="宋体" w:hAnsi="宋体" w:eastAsia="宋体" w:cs="宋体"/>
                <w:sz w:val="20"/>
                <w:szCs w:val="20"/>
                <w:lang w:val="en-US" w:eastAsia="zh-CN"/>
              </w:rPr>
              <w:t xml:space="preserve">4</w:t>
            </w:r>
            <w:r>
              <w:rPr>
                <w:rFonts w:hint="eastAsia" w:ascii="宋体" w:hAnsi="宋体" w:eastAsia="宋体" w:cs="宋体"/>
                <w:sz w:val="20"/>
                <w:szCs w:val="20"/>
              </w:rPr>
              <w:t xml:space="preserve">分；</w:t>
            </w:r>
            <w:r/>
          </w:p>
          <w:p>
            <w:pPr>
              <w:jc w:val="left"/>
              <w:spacing w:line="312" w:lineRule="auto"/>
              <w:widowControl/>
              <w:rPr>
                <w:rFonts w:hint="default" w:ascii="宋体" w:hAnsi="宋体" w:eastAsia="宋体" w:cs="宋体"/>
                <w:sz w:val="20"/>
                <w:szCs w:val="20"/>
                <w:lang w:val="en-US" w:eastAsia="zh-CN"/>
              </w:rPr>
            </w:pPr>
            <w:r>
              <w:rPr>
                <w:rFonts w:hint="eastAsia" w:ascii="宋体" w:hAnsi="宋体" w:eastAsia="宋体" w:cs="宋体"/>
                <w:sz w:val="20"/>
                <w:szCs w:val="20"/>
              </w:rPr>
              <w:t xml:space="preserve">配置的种类及选型与运维需求存在较大偏差</w:t>
            </w:r>
            <w:r>
              <w:rPr>
                <w:rFonts w:hint="eastAsia" w:ascii="宋体" w:hAnsi="宋体" w:eastAsia="宋体" w:cs="宋体"/>
                <w:sz w:val="20"/>
                <w:szCs w:val="20"/>
                <w:lang w:val="en-US" w:eastAsia="zh-CN"/>
              </w:rPr>
              <w:t xml:space="preserve">的得1</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未按要求提供配置清单</w:t>
            </w:r>
            <w:r>
              <w:rPr>
                <w:rFonts w:hint="eastAsia" w:ascii="宋体" w:hAnsi="宋体" w:eastAsia="宋体" w:cs="宋体"/>
                <w:sz w:val="20"/>
                <w:szCs w:val="20"/>
                <w:lang w:val="en-US" w:eastAsia="zh-CN"/>
              </w:rPr>
              <w:t xml:space="preserve">的</w:t>
            </w:r>
            <w:r>
              <w:rPr>
                <w:rFonts w:hint="eastAsia" w:ascii="宋体" w:hAnsi="宋体" w:eastAsia="宋体" w:cs="宋体"/>
                <w:sz w:val="20"/>
                <w:szCs w:val="20"/>
              </w:rPr>
              <w:t xml:space="preserve">得</w:t>
            </w:r>
            <w:r>
              <w:rPr>
                <w:rFonts w:hint="eastAsia" w:ascii="宋体" w:hAnsi="宋体" w:eastAsia="宋体" w:cs="宋体"/>
                <w:sz w:val="20"/>
                <w:szCs w:val="20"/>
                <w:lang w:val="en-US" w:eastAsia="zh-CN"/>
              </w:rPr>
              <w:t xml:space="preserve">0</w:t>
            </w:r>
            <w:r>
              <w:rPr>
                <w:rFonts w:hint="eastAsia" w:ascii="宋体" w:hAnsi="宋体" w:eastAsia="宋体" w:cs="宋体"/>
                <w:sz w:val="20"/>
                <w:szCs w:val="20"/>
              </w:rPr>
              <w:t xml:space="preserve">分。</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注：</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须提供运维设备备机配置清单及设备采购或租赁合同（包括但不限于设备种类、数量、品牌等）</w:t>
            </w:r>
            <w:r/>
          </w:p>
        </w:tc>
        <w:tc>
          <w:tcPr>
            <w:tcBorders>
              <w:top w:val="single" w:color="auto" w:sz="4" w:space="0"/>
              <w:left w:val="single" w:color="auto" w:sz="4" w:space="0"/>
              <w:right w:val="single" w:color="auto" w:sz="4" w:space="0"/>
            </w:tcBorders>
            <w:tcW w:w="701"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10分</w:t>
            </w:r>
            <w:r/>
          </w:p>
        </w:tc>
      </w:tr>
      <w:tr>
        <w:trPr>
          <w:cantSplit/>
          <w:trHeight w:val="984"/>
        </w:trPr>
        <w:tc>
          <w:tcPr>
            <w:tcBorders>
              <w:left w:val="single" w:color="auto" w:sz="4" w:space="0"/>
              <w:right w:val="single" w:color="auto" w:sz="4" w:space="0"/>
            </w:tcBorders>
            <w:tcW w:w="1179" w:type="dxa"/>
            <w:vAlign w:val="center"/>
            <w:vMerge w:val="continue"/>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13"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运维实施方案</w:t>
            </w:r>
            <w:r/>
          </w:p>
        </w:tc>
        <w:tc>
          <w:tcPr>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方案包含以下四项内容</w:t>
            </w:r>
            <w:r>
              <w:rPr>
                <w:rFonts w:hint="eastAsia" w:ascii="宋体" w:hAnsi="宋体" w:eastAsia="宋体" w:cs="宋体"/>
                <w:sz w:val="20"/>
                <w:szCs w:val="20"/>
                <w:lang w:eastAsia="zh-CN"/>
              </w:rPr>
              <w:t xml:space="preserve">：</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① 运维规章制度（岗位职责、操作规程、安全管理制度）；</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② 日常维护（维护周期、维护项目、操作步骤）；</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③ 定期巡检（巡检频次、巡检内容、记录表单）；</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④ 故障维修（报修响应流程、维修时限、备件保障）。</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上述</w:t>
            </w:r>
            <w:r>
              <w:rPr>
                <w:rFonts w:hint="eastAsia" w:ascii="宋体" w:hAnsi="宋体" w:eastAsia="宋体" w:cs="宋体"/>
                <w:sz w:val="20"/>
                <w:szCs w:val="20"/>
                <w:lang w:val="en-US" w:eastAsia="zh-CN"/>
              </w:rPr>
              <w:t xml:space="preserve">四项</w:t>
            </w:r>
            <w:r>
              <w:rPr>
                <w:rFonts w:hint="eastAsia" w:ascii="宋体" w:hAnsi="宋体" w:eastAsia="宋体" w:cs="宋体"/>
                <w:sz w:val="20"/>
                <w:szCs w:val="20"/>
              </w:rPr>
              <w:t xml:space="preserve">内容完整</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结合本项目所特点和使用场景编制、流程清晰、</w:t>
            </w:r>
            <w:r>
              <w:rPr>
                <w:rFonts w:hint="eastAsia" w:ascii="宋体" w:hAnsi="宋体" w:eastAsia="宋体" w:cs="宋体"/>
                <w:sz w:val="20"/>
                <w:szCs w:val="20"/>
                <w:lang w:val="en-US" w:eastAsia="zh-CN"/>
              </w:rPr>
              <w:t xml:space="preserve">合理；</w:t>
            </w:r>
            <w:r>
              <w:rPr>
                <w:rFonts w:hint="eastAsia" w:ascii="宋体" w:hAnsi="宋体" w:eastAsia="宋体" w:cs="宋体"/>
                <w:sz w:val="20"/>
                <w:szCs w:val="20"/>
              </w:rPr>
              <w:t xml:space="preserve">责任分工明确</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完善</w:t>
            </w:r>
            <w:r>
              <w:rPr>
                <w:rFonts w:hint="eastAsia" w:ascii="宋体" w:hAnsi="宋体" w:eastAsia="宋体" w:cs="宋体"/>
                <w:sz w:val="20"/>
                <w:szCs w:val="20"/>
              </w:rPr>
              <w:t xml:space="preserve">的得</w:t>
            </w:r>
            <w:r>
              <w:rPr>
                <w:rFonts w:hint="eastAsia" w:ascii="宋体" w:hAnsi="宋体" w:eastAsia="宋体" w:cs="宋体"/>
                <w:sz w:val="20"/>
                <w:szCs w:val="20"/>
                <w:lang w:val="en-US" w:eastAsia="zh-CN"/>
              </w:rPr>
              <w:t xml:space="preserve">20</w:t>
            </w:r>
            <w:r>
              <w:rPr>
                <w:rFonts w:hint="eastAsia" w:ascii="宋体" w:hAnsi="宋体" w:eastAsia="宋体" w:cs="宋体"/>
                <w:sz w:val="20"/>
                <w:szCs w:val="20"/>
              </w:rPr>
              <w:t xml:space="preserve">分；任一</w:t>
            </w:r>
            <w:r>
              <w:rPr>
                <w:rFonts w:hint="eastAsia" w:ascii="宋体" w:hAnsi="宋体" w:eastAsia="宋体" w:cs="宋体"/>
                <w:sz w:val="20"/>
                <w:szCs w:val="20"/>
                <w:lang w:val="en-US" w:eastAsia="zh-CN"/>
              </w:rPr>
              <w:t xml:space="preserve">项</w:t>
            </w:r>
            <w:r>
              <w:rPr>
                <w:rFonts w:hint="eastAsia" w:ascii="宋体" w:hAnsi="宋体" w:eastAsia="宋体" w:cs="宋体"/>
                <w:sz w:val="20"/>
                <w:szCs w:val="20"/>
              </w:rPr>
              <w:t xml:space="preserve">内容缺</w:t>
            </w:r>
            <w:r>
              <w:rPr>
                <w:rFonts w:hint="eastAsia" w:ascii="宋体" w:hAnsi="宋体" w:eastAsia="宋体" w:cs="宋体"/>
                <w:sz w:val="20"/>
                <w:szCs w:val="20"/>
                <w:lang w:val="en-US" w:eastAsia="zh-CN"/>
              </w:rPr>
              <w:t xml:space="preserve">失</w:t>
            </w:r>
            <w:r>
              <w:rPr>
                <w:rFonts w:hint="eastAsia" w:ascii="宋体" w:hAnsi="宋体" w:eastAsia="宋体" w:cs="宋体"/>
                <w:sz w:val="20"/>
                <w:szCs w:val="20"/>
              </w:rPr>
              <w:t xml:space="preserve">扣</w:t>
            </w:r>
            <w:r>
              <w:rPr>
                <w:rFonts w:hint="eastAsia" w:ascii="宋体" w:hAnsi="宋体" w:eastAsia="宋体" w:cs="宋体"/>
                <w:sz w:val="20"/>
                <w:szCs w:val="20"/>
                <w:lang w:val="en-US" w:eastAsia="zh-CN"/>
              </w:rPr>
              <w:t xml:space="preserve">5</w:t>
            </w:r>
            <w:r>
              <w:rPr>
                <w:rFonts w:hint="eastAsia" w:ascii="宋体" w:hAnsi="宋体" w:eastAsia="宋体" w:cs="宋体"/>
                <w:sz w:val="20"/>
                <w:szCs w:val="20"/>
              </w:rPr>
              <w:t xml:space="preserve">分；某项内容</w:t>
            </w:r>
            <w:r>
              <w:rPr>
                <w:rFonts w:hint="eastAsia" w:ascii="宋体" w:hAnsi="宋体" w:eastAsia="宋体" w:cs="宋体"/>
                <w:sz w:val="20"/>
                <w:szCs w:val="20"/>
                <w:lang w:val="en-US" w:eastAsia="zh-CN"/>
              </w:rPr>
              <w:t xml:space="preserve">编制</w:t>
            </w:r>
            <w:r>
              <w:rPr>
                <w:rFonts w:hint="eastAsia" w:ascii="宋体" w:hAnsi="宋体" w:eastAsia="宋体" w:cs="宋体"/>
                <w:sz w:val="20"/>
                <w:szCs w:val="20"/>
              </w:rPr>
              <w:t xml:space="preserve">流程</w:t>
            </w:r>
            <w:r>
              <w:rPr>
                <w:rFonts w:hint="eastAsia" w:ascii="宋体" w:hAnsi="宋体" w:eastAsia="宋体" w:cs="宋体"/>
                <w:sz w:val="20"/>
                <w:szCs w:val="20"/>
                <w:lang w:val="en-US" w:eastAsia="zh-CN"/>
              </w:rPr>
              <w:t xml:space="preserve">模糊的扣1分、责任分工界定不清的扣1分</w:t>
            </w:r>
            <w:r>
              <w:rPr>
                <w:rFonts w:hint="eastAsia" w:ascii="宋体" w:hAnsi="宋体" w:eastAsia="宋体" w:cs="宋体"/>
                <w:sz w:val="20"/>
                <w:szCs w:val="20"/>
              </w:rPr>
              <w:t xml:space="preserve">、</w:t>
            </w:r>
            <w:r>
              <w:rPr>
                <w:rFonts w:hint="eastAsia" w:ascii="宋体" w:hAnsi="宋体" w:eastAsia="宋体" w:cs="宋体"/>
                <w:sz w:val="20"/>
                <w:szCs w:val="20"/>
                <w:lang w:val="en-US" w:eastAsia="zh-CN"/>
              </w:rPr>
              <w:t xml:space="preserve">没有依据本项目的使用场景编制的扣1分，内容编制不合理的扣1分，针对性欠缺的扣1分</w:t>
            </w:r>
            <w:r>
              <w:rPr>
                <w:rFonts w:hint="eastAsia" w:ascii="宋体" w:hAnsi="宋体" w:eastAsia="宋体" w:cs="宋体"/>
                <w:sz w:val="20"/>
                <w:szCs w:val="20"/>
              </w:rPr>
              <w:t xml:space="preserve">。本项最高得 20 分，最低得 0 分。</w:t>
            </w:r>
            <w:r/>
          </w:p>
        </w:tc>
        <w:tc>
          <w:tcPr>
            <w:tcBorders>
              <w:top w:val="single" w:color="auto" w:sz="4" w:space="0"/>
              <w:left w:val="single" w:color="auto" w:sz="4" w:space="0"/>
              <w:right w:val="single" w:color="auto" w:sz="4" w:space="0"/>
            </w:tcBorders>
            <w:tcW w:w="701"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20分</w:t>
            </w:r>
            <w:r/>
          </w:p>
        </w:tc>
      </w:tr>
      <w:tr>
        <w:trPr>
          <w:cantSplit/>
          <w:trHeight w:val="331"/>
        </w:trPr>
        <w:tc>
          <w:tcPr>
            <w:tcBorders>
              <w:left w:val="single" w:color="auto" w:sz="4" w:space="0"/>
              <w:right w:val="single" w:color="auto" w:sz="4" w:space="0"/>
            </w:tcBorders>
            <w:tcW w:w="1179" w:type="dxa"/>
            <w:vAlign w:val="center"/>
            <w:vMerge w:val="continue"/>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13"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应急方案</w:t>
            </w:r>
            <w:r/>
          </w:p>
        </w:tc>
        <w:tc>
          <w:tcPr>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应急方案能充分考虑项目需求特点及风险点，内容详细、完整、合理，有针对性、可行性强的得</w:t>
            </w:r>
            <w:r>
              <w:rPr>
                <w:rFonts w:hint="eastAsia" w:ascii="宋体" w:hAnsi="宋体" w:eastAsia="宋体" w:cs="宋体"/>
                <w:sz w:val="20"/>
                <w:szCs w:val="20"/>
                <w:lang w:val="en-US" w:eastAsia="zh-CN"/>
              </w:rPr>
              <w:t xml:space="preserve">10</w:t>
            </w:r>
            <w:r>
              <w:rPr>
                <w:rFonts w:hint="eastAsia" w:ascii="宋体" w:hAnsi="宋体" w:eastAsia="宋体" w:cs="宋体"/>
                <w:sz w:val="20"/>
                <w:szCs w:val="20"/>
              </w:rPr>
              <w:t xml:space="preserve">分；</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应急方案考虑到了项目需求特点及风险点，内容较为详细、完整，部分方案有针对性、可行性较强的得</w:t>
            </w:r>
            <w:r>
              <w:rPr>
                <w:rFonts w:hint="eastAsia" w:ascii="宋体" w:hAnsi="宋体" w:eastAsia="宋体" w:cs="宋体"/>
                <w:sz w:val="20"/>
                <w:szCs w:val="20"/>
                <w:lang w:val="en-US" w:eastAsia="zh-CN"/>
              </w:rPr>
              <w:t xml:space="preserve">7</w:t>
            </w:r>
            <w:r>
              <w:rPr>
                <w:rFonts w:hint="eastAsia" w:ascii="宋体" w:hAnsi="宋体" w:eastAsia="宋体" w:cs="宋体"/>
                <w:sz w:val="20"/>
                <w:szCs w:val="20"/>
              </w:rPr>
              <w:t xml:space="preserve">分； </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应急方案对项目需求特点及风险点考虑较少，内容简略，完整性和科学性一般，方案针对性、可行性一般的得</w:t>
            </w:r>
            <w:r>
              <w:rPr>
                <w:rFonts w:hint="eastAsia" w:ascii="宋体" w:hAnsi="宋体" w:eastAsia="宋体" w:cs="宋体"/>
                <w:sz w:val="20"/>
                <w:szCs w:val="20"/>
                <w:lang w:val="en-US" w:eastAsia="zh-CN"/>
              </w:rPr>
              <w:t xml:space="preserve">4</w:t>
            </w:r>
            <w:r>
              <w:rPr>
                <w:rFonts w:hint="eastAsia" w:ascii="宋体" w:hAnsi="宋体" w:eastAsia="宋体" w:cs="宋体"/>
                <w:sz w:val="20"/>
                <w:szCs w:val="20"/>
              </w:rPr>
              <w:t xml:space="preserve">分；</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应急方案欠缺对项目需求特点及风险点的考虑，内容较差，完整性和科学性较差，方案针对性、可行性较差的得1分；</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未提供或方案不合理，方案内容有缺失，方案缺乏针对性、可行性，得0分。</w:t>
            </w:r>
            <w:r/>
          </w:p>
        </w:tc>
        <w:tc>
          <w:tcPr>
            <w:tcBorders>
              <w:left w:val="single" w:color="auto" w:sz="4" w:space="0"/>
              <w:right w:val="single" w:color="auto" w:sz="4" w:space="0"/>
            </w:tcBorders>
            <w:tcW w:w="701"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10分</w:t>
            </w:r>
            <w:r/>
          </w:p>
        </w:tc>
      </w:tr>
      <w:tr>
        <w:trPr>
          <w:cantSplit/>
          <w:trHeight w:val="2546"/>
        </w:trPr>
        <w:tc>
          <w:tcPr>
            <w:tcBorders>
              <w:left w:val="single" w:color="auto" w:sz="4" w:space="0"/>
              <w:right w:val="single" w:color="auto" w:sz="4" w:space="0"/>
            </w:tcBorders>
            <w:tcW w:w="1179" w:type="dxa"/>
            <w:vAlign w:val="center"/>
            <w:vMerge w:val="continue"/>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13" w:type="dxa"/>
            <w:vAlign w:val="center"/>
            <w:textDirection w:val="lrTb"/>
            <w:noWrap w:val="false"/>
          </w:tcPr>
          <w:p>
            <w:pPr>
              <w:jc w:val="left"/>
              <w:spacing w:line="312" w:lineRule="auto"/>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运维管理体系与报告制度方案</w:t>
            </w:r>
            <w:r/>
          </w:p>
        </w:tc>
        <w:tc>
          <w:tcPr>
            <w:tcBorders>
              <w:top w:val="single" w:color="auto" w:sz="4" w:space="0"/>
              <w:left w:val="single" w:color="auto" w:sz="4" w:space="0"/>
              <w:right w:val="single" w:color="auto" w:sz="4" w:space="0"/>
            </w:tcBorders>
            <w:tcW w:w="7193" w:type="dxa"/>
            <w:vAlign w:val="center"/>
            <w:textDirection w:val="lrTb"/>
            <w:noWrap w:val="false"/>
          </w:tcPr>
          <w:p>
            <w:pPr>
              <w:jc w:val="left"/>
              <w:spacing w:line="312" w:lineRule="auto"/>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本方案至少含以下内容①规范的运行维护流程和完善的运维管理体系；②大数据运行保障与监控预警能力建设措施；③组织架构与工作分工；④运维周报、月报编制与上报流程；⑤接受采购人及上级单位定期、不定期检查和考核的配合机制。</w:t>
            </w:r>
            <w:r/>
          </w:p>
          <w:p>
            <w:pPr>
              <w:jc w:val="left"/>
              <w:spacing w:line="312" w:lineRule="auto"/>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上述</w:t>
            </w:r>
            <w:r>
              <w:rPr>
                <w:rFonts w:hint="eastAsia" w:ascii="宋体" w:hAnsi="宋体" w:eastAsia="宋体" w:cs="宋体"/>
                <w:sz w:val="20"/>
                <w:szCs w:val="20"/>
                <w:lang w:val="en-US" w:eastAsia="zh-CN"/>
              </w:rPr>
              <w:t xml:space="preserve">五项</w:t>
            </w:r>
            <w:r>
              <w:rPr>
                <w:rFonts w:hint="eastAsia" w:ascii="宋体" w:hAnsi="宋体" w:eastAsia="宋体" w:cs="宋体"/>
                <w:sz w:val="20"/>
                <w:szCs w:val="20"/>
              </w:rPr>
              <w:t xml:space="preserve">内容完整</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结合本项目特点和使用场景编制、流程清晰、</w:t>
            </w:r>
            <w:r>
              <w:rPr>
                <w:rFonts w:hint="eastAsia" w:ascii="宋体" w:hAnsi="宋体" w:eastAsia="宋体" w:cs="宋体"/>
                <w:sz w:val="20"/>
                <w:szCs w:val="20"/>
                <w:lang w:val="en-US" w:eastAsia="zh-CN"/>
              </w:rPr>
              <w:t xml:space="preserve">合理；</w:t>
            </w:r>
            <w:r>
              <w:rPr>
                <w:rFonts w:hint="eastAsia" w:ascii="宋体" w:hAnsi="宋体" w:eastAsia="宋体" w:cs="宋体"/>
                <w:sz w:val="20"/>
                <w:szCs w:val="20"/>
              </w:rPr>
              <w:t xml:space="preserve">责任分工明确</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完善</w:t>
            </w:r>
            <w:r>
              <w:rPr>
                <w:rFonts w:hint="eastAsia" w:ascii="宋体" w:hAnsi="宋体" w:eastAsia="宋体" w:cs="宋体"/>
                <w:sz w:val="20"/>
                <w:szCs w:val="20"/>
              </w:rPr>
              <w:t xml:space="preserve">的得</w:t>
            </w:r>
            <w:r>
              <w:rPr>
                <w:rFonts w:hint="eastAsia" w:ascii="宋体" w:hAnsi="宋体" w:eastAsia="宋体" w:cs="宋体"/>
                <w:sz w:val="20"/>
                <w:szCs w:val="20"/>
                <w:lang w:val="en-US" w:eastAsia="zh-CN"/>
              </w:rPr>
              <w:t xml:space="preserve">10</w:t>
            </w:r>
            <w:r>
              <w:rPr>
                <w:rFonts w:hint="eastAsia" w:ascii="宋体" w:hAnsi="宋体" w:eastAsia="宋体" w:cs="宋体"/>
                <w:sz w:val="20"/>
                <w:szCs w:val="20"/>
              </w:rPr>
              <w:t xml:space="preserve">分；任一</w:t>
            </w:r>
            <w:r>
              <w:rPr>
                <w:rFonts w:hint="eastAsia" w:ascii="宋体" w:hAnsi="宋体" w:eastAsia="宋体" w:cs="宋体"/>
                <w:sz w:val="20"/>
                <w:szCs w:val="20"/>
                <w:lang w:val="en-US" w:eastAsia="zh-CN"/>
              </w:rPr>
              <w:t xml:space="preserve">项</w:t>
            </w:r>
            <w:r>
              <w:rPr>
                <w:rFonts w:hint="eastAsia" w:ascii="宋体" w:hAnsi="宋体" w:eastAsia="宋体" w:cs="宋体"/>
                <w:sz w:val="20"/>
                <w:szCs w:val="20"/>
              </w:rPr>
              <w:t xml:space="preserve">内容缺</w:t>
            </w:r>
            <w:r>
              <w:rPr>
                <w:rFonts w:hint="eastAsia" w:ascii="宋体" w:hAnsi="宋体" w:eastAsia="宋体" w:cs="宋体"/>
                <w:sz w:val="20"/>
                <w:szCs w:val="20"/>
                <w:lang w:val="en-US" w:eastAsia="zh-CN"/>
              </w:rPr>
              <w:t xml:space="preserve">失</w:t>
            </w:r>
            <w:r>
              <w:rPr>
                <w:rFonts w:hint="eastAsia" w:ascii="宋体" w:hAnsi="宋体" w:eastAsia="宋体" w:cs="宋体"/>
                <w:sz w:val="20"/>
                <w:szCs w:val="20"/>
              </w:rPr>
              <w:t xml:space="preserve">扣</w:t>
            </w:r>
            <w:r>
              <w:rPr>
                <w:rFonts w:hint="eastAsia" w:ascii="宋体" w:hAnsi="宋体" w:eastAsia="宋体" w:cs="宋体"/>
                <w:sz w:val="20"/>
                <w:szCs w:val="20"/>
                <w:lang w:val="en-US" w:eastAsia="zh-CN"/>
              </w:rPr>
              <w:t xml:space="preserve">2</w:t>
            </w:r>
            <w:r>
              <w:rPr>
                <w:rFonts w:hint="eastAsia" w:ascii="宋体" w:hAnsi="宋体" w:eastAsia="宋体" w:cs="宋体"/>
                <w:sz w:val="20"/>
                <w:szCs w:val="20"/>
              </w:rPr>
              <w:t xml:space="preserve">分；某项内容</w:t>
            </w:r>
            <w:r>
              <w:rPr>
                <w:rFonts w:hint="eastAsia" w:ascii="宋体" w:hAnsi="宋体" w:eastAsia="宋体" w:cs="宋体"/>
                <w:sz w:val="20"/>
                <w:szCs w:val="20"/>
                <w:lang w:val="en-US" w:eastAsia="zh-CN"/>
              </w:rPr>
              <w:t xml:space="preserve">编制</w:t>
            </w:r>
            <w:r>
              <w:rPr>
                <w:rFonts w:hint="eastAsia" w:ascii="宋体" w:hAnsi="宋体" w:eastAsia="宋体" w:cs="宋体"/>
                <w:sz w:val="20"/>
                <w:szCs w:val="20"/>
              </w:rPr>
              <w:t xml:space="preserve">流程</w:t>
            </w:r>
            <w:r>
              <w:rPr>
                <w:rFonts w:hint="eastAsia" w:ascii="宋体" w:hAnsi="宋体" w:eastAsia="宋体" w:cs="宋体"/>
                <w:sz w:val="20"/>
                <w:szCs w:val="20"/>
                <w:lang w:val="en-US" w:eastAsia="zh-CN"/>
              </w:rPr>
              <w:t xml:space="preserve">模糊的扣1分、责任分工界定不清的扣1分</w:t>
            </w:r>
            <w:r>
              <w:rPr>
                <w:rFonts w:hint="eastAsia" w:ascii="宋体" w:hAnsi="宋体" w:eastAsia="宋体" w:cs="宋体"/>
                <w:sz w:val="20"/>
                <w:szCs w:val="20"/>
              </w:rPr>
              <w:t xml:space="preserve">、</w:t>
            </w:r>
            <w:r>
              <w:rPr>
                <w:rFonts w:hint="eastAsia" w:ascii="宋体" w:hAnsi="宋体" w:eastAsia="宋体" w:cs="宋体"/>
                <w:sz w:val="20"/>
                <w:szCs w:val="20"/>
                <w:lang w:val="en-US" w:eastAsia="zh-CN"/>
              </w:rPr>
              <w:t xml:space="preserve">没有依据本项目的使用场景编制的扣1分，内容编制不合理的扣1分，针对性欠缺的扣1分</w:t>
            </w:r>
            <w:r>
              <w:rPr>
                <w:rFonts w:hint="eastAsia" w:ascii="宋体" w:hAnsi="宋体" w:eastAsia="宋体" w:cs="宋体"/>
                <w:sz w:val="20"/>
                <w:szCs w:val="20"/>
              </w:rPr>
              <w:t xml:space="preserve">。本项最高得</w:t>
            </w:r>
            <w:r>
              <w:rPr>
                <w:rFonts w:hint="eastAsia" w:ascii="宋体" w:hAnsi="宋体" w:eastAsia="宋体" w:cs="宋体"/>
                <w:sz w:val="20"/>
                <w:szCs w:val="20"/>
                <w:lang w:val="en-US" w:eastAsia="zh-CN"/>
              </w:rPr>
              <w:t xml:space="preserve">10</w:t>
            </w:r>
            <w:r>
              <w:rPr>
                <w:rFonts w:hint="eastAsia" w:ascii="宋体" w:hAnsi="宋体" w:eastAsia="宋体" w:cs="宋体"/>
                <w:sz w:val="20"/>
                <w:szCs w:val="20"/>
              </w:rPr>
              <w:t xml:space="preserve">分，最低得 0 分。</w:t>
            </w:r>
            <w:r/>
          </w:p>
        </w:tc>
        <w:tc>
          <w:tcPr>
            <w:tcBorders>
              <w:left w:val="single" w:color="auto" w:sz="4" w:space="0"/>
              <w:right w:val="single" w:color="auto" w:sz="4" w:space="0"/>
            </w:tcBorders>
            <w:tcW w:w="701"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10</w:t>
            </w:r>
            <w:r>
              <w:rPr>
                <w:rFonts w:hint="eastAsia" w:ascii="宋体" w:hAnsi="宋体" w:eastAsia="宋体" w:cs="宋体"/>
                <w:sz w:val="20"/>
                <w:szCs w:val="20"/>
              </w:rPr>
              <w:t xml:space="preserve">分</w:t>
            </w:r>
            <w:r/>
          </w:p>
        </w:tc>
      </w:tr>
      <w:tr>
        <w:trPr>
          <w:cantSplit/>
          <w:trHeight w:val="2546"/>
        </w:trPr>
        <w:tc>
          <w:tcPr>
            <w:tcBorders>
              <w:left w:val="single" w:color="auto" w:sz="4" w:space="0"/>
              <w:right w:val="single" w:color="auto" w:sz="4" w:space="0"/>
            </w:tcBorders>
            <w:tcW w:w="1179" w:type="dxa"/>
            <w:vAlign w:val="center"/>
            <w:vMerge w:val="continue"/>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13" w:type="dxa"/>
            <w:vAlign w:val="center"/>
            <w:textDirection w:val="lrTb"/>
            <w:noWrap w:val="false"/>
          </w:tcPr>
          <w:p>
            <w:pPr>
              <w:jc w:val="left"/>
              <w:spacing w:line="312" w:lineRule="auto"/>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异常数据判断与处理</w:t>
            </w:r>
            <w:r/>
          </w:p>
          <w:p>
            <w:pPr>
              <w:jc w:val="left"/>
              <w:spacing w:line="312" w:lineRule="auto"/>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7193" w:type="dxa"/>
            <w:vAlign w:val="center"/>
            <w:textDirection w:val="lrTb"/>
            <w:noWrap w:val="false"/>
          </w:tcPr>
          <w:p>
            <w:pPr>
              <w:jc w:val="left"/>
              <w:spacing w:line="312" w:lineRule="auto"/>
              <w:widowControl/>
              <w:rPr>
                <w:rFonts w:hint="eastAsia" w:ascii="宋体" w:hAnsi="宋体" w:eastAsia="宋体" w:cs="宋体"/>
                <w:sz w:val="20"/>
                <w:szCs w:val="20"/>
                <w:lang w:val="en-US" w:eastAsia="zh-CN"/>
              </w:rPr>
            </w:pPr>
            <w:r>
              <w:rPr>
                <w:rFonts w:hint="eastAsia" w:ascii="微软雅黑" w:hAnsi="微软雅黑" w:eastAsia="微软雅黑" w:cs="微软雅黑"/>
                <w:sz w:val="20"/>
                <w:szCs w:val="20"/>
                <w:lang w:val="en-US" w:eastAsia="zh-CN"/>
              </w:rPr>
              <w:t xml:space="preserve">①</w:t>
            </w:r>
            <w:r>
              <w:rPr>
                <w:rFonts w:hint="eastAsia" w:ascii="宋体" w:hAnsi="宋体" w:eastAsia="宋体" w:cs="宋体"/>
                <w:sz w:val="20"/>
                <w:szCs w:val="20"/>
                <w:lang w:val="en-US" w:eastAsia="zh-CN"/>
              </w:rPr>
              <w:t xml:space="preserve">对采购需求的理解，</w:t>
            </w:r>
            <w:r>
              <w:rPr>
                <w:rFonts w:hint="eastAsia" w:ascii="微软雅黑" w:hAnsi="微软雅黑" w:eastAsia="微软雅黑" w:cs="微软雅黑"/>
                <w:sz w:val="20"/>
                <w:szCs w:val="20"/>
                <w:lang w:val="en-US" w:eastAsia="zh-CN"/>
              </w:rPr>
              <w:t xml:space="preserve">②</w:t>
            </w:r>
            <w:r>
              <w:rPr>
                <w:rFonts w:hint="eastAsia" w:ascii="宋体" w:hAnsi="宋体" w:eastAsia="宋体" w:cs="宋体"/>
                <w:sz w:val="20"/>
                <w:szCs w:val="20"/>
                <w:lang w:val="en-US" w:eastAsia="zh-CN"/>
              </w:rPr>
              <w:t xml:space="preserve">对异常数据判断的方法，</w:t>
            </w:r>
            <w:r>
              <w:rPr>
                <w:rFonts w:hint="eastAsia" w:ascii="微软雅黑" w:hAnsi="微软雅黑" w:eastAsia="微软雅黑" w:cs="微软雅黑"/>
                <w:sz w:val="20"/>
                <w:szCs w:val="20"/>
                <w:lang w:val="en-US" w:eastAsia="zh-CN"/>
              </w:rPr>
              <w:t xml:space="preserve">③</w:t>
            </w:r>
            <w:r>
              <w:rPr>
                <w:rFonts w:hint="eastAsia" w:ascii="宋体" w:hAnsi="宋体" w:eastAsia="宋体" w:cs="宋体"/>
                <w:sz w:val="20"/>
                <w:szCs w:val="20"/>
                <w:lang w:val="en-US" w:eastAsia="zh-CN"/>
              </w:rPr>
              <w:t xml:space="preserve">对问题的核查方法，</w:t>
            </w:r>
            <w:r>
              <w:rPr>
                <w:rFonts w:hint="eastAsia" w:ascii="微软雅黑" w:hAnsi="微软雅黑" w:eastAsia="微软雅黑" w:cs="微软雅黑"/>
                <w:sz w:val="20"/>
                <w:szCs w:val="20"/>
                <w:lang w:val="en-US" w:eastAsia="zh-CN"/>
              </w:rPr>
              <w:t xml:space="preserve">④</w:t>
            </w:r>
            <w:r>
              <w:rPr>
                <w:rFonts w:hint="eastAsia" w:ascii="宋体" w:hAnsi="宋体" w:eastAsia="宋体" w:cs="宋体"/>
                <w:sz w:val="20"/>
                <w:szCs w:val="20"/>
                <w:lang w:val="en-US" w:eastAsia="zh-CN"/>
              </w:rPr>
              <w:t xml:space="preserve">处理措施</w:t>
            </w:r>
            <w:r>
              <w:rPr>
                <w:rFonts w:hint="eastAsia" w:ascii="微软雅黑" w:hAnsi="微软雅黑" w:eastAsia="微软雅黑" w:cs="微软雅黑"/>
                <w:sz w:val="20"/>
                <w:szCs w:val="20"/>
                <w:lang w:val="en-US" w:eastAsia="zh-CN"/>
              </w:rPr>
              <w:t xml:space="preserve">⑤</w:t>
            </w:r>
            <w:r>
              <w:rPr>
                <w:rFonts w:hint="eastAsia" w:ascii="宋体" w:hAnsi="宋体" w:eastAsia="宋体" w:cs="宋体"/>
                <w:sz w:val="20"/>
                <w:szCs w:val="20"/>
                <w:lang w:val="en-US" w:eastAsia="zh-CN"/>
              </w:rPr>
              <w:t xml:space="preserve">工作流程图，以上5个方面对采购需求理解准确，提供了多种具体可行的异常数据判断方法，系统地阐述判断方法和依据，提出切实可行的问题核查方法及处理措施，并制定完善的工作流程图，能完全满足采购需求的得10分；</w:t>
            </w:r>
            <w:r>
              <w:rPr>
                <w:rFonts w:hint="eastAsia" w:ascii="宋体" w:hAnsi="宋体" w:eastAsia="宋体" w:cs="宋体"/>
                <w:sz w:val="20"/>
                <w:szCs w:val="20"/>
              </w:rPr>
              <w:t xml:space="preserve">任一</w:t>
            </w:r>
            <w:r>
              <w:rPr>
                <w:rFonts w:hint="eastAsia" w:ascii="宋体" w:hAnsi="宋体" w:eastAsia="宋体" w:cs="宋体"/>
                <w:sz w:val="20"/>
                <w:szCs w:val="20"/>
                <w:lang w:val="en-US" w:eastAsia="zh-CN"/>
              </w:rPr>
              <w:t xml:space="preserve">项</w:t>
            </w:r>
            <w:r>
              <w:rPr>
                <w:rFonts w:hint="eastAsia" w:ascii="宋体" w:hAnsi="宋体" w:eastAsia="宋体" w:cs="宋体"/>
                <w:sz w:val="20"/>
                <w:szCs w:val="20"/>
              </w:rPr>
              <w:t xml:space="preserve">内容缺</w:t>
            </w:r>
            <w:r>
              <w:rPr>
                <w:rFonts w:hint="eastAsia" w:ascii="宋体" w:hAnsi="宋体" w:eastAsia="宋体" w:cs="宋体"/>
                <w:sz w:val="20"/>
                <w:szCs w:val="20"/>
                <w:lang w:val="en-US" w:eastAsia="zh-CN"/>
              </w:rPr>
              <w:t xml:space="preserve">失</w:t>
            </w:r>
            <w:r>
              <w:rPr>
                <w:rFonts w:hint="eastAsia" w:ascii="宋体" w:hAnsi="宋体" w:eastAsia="宋体" w:cs="宋体"/>
                <w:sz w:val="20"/>
                <w:szCs w:val="20"/>
              </w:rPr>
              <w:t xml:space="preserve">扣</w:t>
            </w:r>
            <w:r>
              <w:rPr>
                <w:rFonts w:hint="eastAsia" w:ascii="宋体" w:hAnsi="宋体" w:eastAsia="宋体" w:cs="宋体"/>
                <w:sz w:val="20"/>
                <w:szCs w:val="20"/>
                <w:lang w:val="en-US" w:eastAsia="zh-CN"/>
              </w:rPr>
              <w:t xml:space="preserve">2</w:t>
            </w:r>
            <w:r>
              <w:rPr>
                <w:rFonts w:hint="eastAsia" w:ascii="宋体" w:hAnsi="宋体" w:eastAsia="宋体" w:cs="宋体"/>
                <w:sz w:val="20"/>
                <w:szCs w:val="20"/>
              </w:rPr>
              <w:t xml:space="preserve">分</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某项内容</w:t>
            </w:r>
            <w:r>
              <w:rPr>
                <w:rFonts w:hint="eastAsia" w:ascii="宋体" w:hAnsi="宋体" w:eastAsia="宋体" w:cs="宋体"/>
                <w:sz w:val="20"/>
                <w:szCs w:val="20"/>
                <w:lang w:val="en-US" w:eastAsia="zh-CN"/>
              </w:rPr>
              <w:t xml:space="preserve">编制没有依据本项目的使用场景编制的扣1分，内容编制不合理的扣1分，针对性欠缺的扣1分。本项最高得 10 分，最低得 0 分。</w:t>
            </w:r>
            <w:r/>
          </w:p>
        </w:tc>
        <w:tc>
          <w:tcPr>
            <w:tcBorders>
              <w:left w:val="single" w:color="auto" w:sz="4" w:space="0"/>
              <w:right w:val="single" w:color="auto" w:sz="4" w:space="0"/>
            </w:tcBorders>
            <w:tcW w:w="701" w:type="dxa"/>
            <w:vAlign w:val="center"/>
            <w:textDirection w:val="lrTb"/>
            <w:noWrap w:val="false"/>
          </w:tcPr>
          <w:p>
            <w:pPr>
              <w:jc w:val="left"/>
              <w:spacing w:line="312" w:lineRule="auto"/>
              <w:widowControl/>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 xml:space="preserve">10分</w:t>
            </w:r>
            <w:r/>
          </w:p>
        </w:tc>
      </w:tr>
      <w:tr>
        <w:trPr>
          <w:cantSplit/>
          <w:trHeight w:val="2546"/>
        </w:trPr>
        <w:tc>
          <w:tcPr>
            <w:tcBorders>
              <w:left w:val="single" w:color="auto" w:sz="4" w:space="0"/>
              <w:right w:val="single" w:color="auto" w:sz="4" w:space="0"/>
            </w:tcBorders>
            <w:tcW w:w="1179" w:type="dxa"/>
            <w:vAlign w:val="center"/>
            <w:vMerge w:val="continue"/>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13" w:type="dxa"/>
            <w:vAlign w:val="center"/>
            <w:textDirection w:val="lrTb"/>
            <w:noWrap w:val="false"/>
          </w:tcPr>
          <w:p>
            <w:pPr>
              <w:jc w:val="left"/>
              <w:spacing w:line="312" w:lineRule="auto"/>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安全管理与资产保全方案</w:t>
            </w:r>
            <w:r/>
          </w:p>
        </w:tc>
        <w:tc>
          <w:tcPr>
            <w:tcBorders>
              <w:top w:val="single" w:color="auto" w:sz="4" w:space="0"/>
              <w:left w:val="single" w:color="auto" w:sz="4" w:space="0"/>
              <w:right w:val="single" w:color="auto" w:sz="4" w:space="0"/>
            </w:tcBorders>
            <w:tcW w:w="7193" w:type="dxa"/>
            <w:vAlign w:val="center"/>
            <w:textDirection w:val="lrTb"/>
            <w:noWrap w:val="false"/>
          </w:tcPr>
          <w:p>
            <w:pPr>
              <w:jc w:val="left"/>
              <w:spacing w:line="312" w:lineRule="auto"/>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本方案至少含以下内容：①数据平台采集、传输与网络安全管理措施；②委托运维资产（设备、软件、数据、文档等）登记、保全与移交方案；③运维期间水电、通讯、网络流量等管理方案；④禁止外包合同规定运维任务的管理方案。</w:t>
            </w:r>
            <w:r/>
          </w:p>
          <w:p>
            <w:pPr>
              <w:jc w:val="left"/>
              <w:spacing w:line="312" w:lineRule="auto"/>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上述</w:t>
            </w:r>
            <w:r>
              <w:rPr>
                <w:rFonts w:hint="eastAsia" w:ascii="宋体" w:hAnsi="宋体" w:eastAsia="宋体" w:cs="宋体"/>
                <w:sz w:val="20"/>
                <w:szCs w:val="20"/>
                <w:lang w:val="en-US" w:eastAsia="zh-CN"/>
              </w:rPr>
              <w:t xml:space="preserve">四项</w:t>
            </w:r>
            <w:r>
              <w:rPr>
                <w:rFonts w:hint="eastAsia" w:ascii="宋体" w:hAnsi="宋体" w:eastAsia="宋体" w:cs="宋体"/>
                <w:sz w:val="20"/>
                <w:szCs w:val="20"/>
              </w:rPr>
              <w:t xml:space="preserve">内容完整</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结合本项目所特点和使用场景编制、流程清晰、</w:t>
            </w:r>
            <w:r>
              <w:rPr>
                <w:rFonts w:hint="eastAsia" w:ascii="宋体" w:hAnsi="宋体" w:eastAsia="宋体" w:cs="宋体"/>
                <w:sz w:val="20"/>
                <w:szCs w:val="20"/>
                <w:lang w:val="en-US" w:eastAsia="zh-CN"/>
              </w:rPr>
              <w:t xml:space="preserve">合理；</w:t>
            </w:r>
            <w:r>
              <w:rPr>
                <w:rFonts w:hint="eastAsia" w:ascii="宋体" w:hAnsi="宋体" w:eastAsia="宋体" w:cs="宋体"/>
                <w:sz w:val="20"/>
                <w:szCs w:val="20"/>
              </w:rPr>
              <w:t xml:space="preserve">责任分工明确</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完善</w:t>
            </w:r>
            <w:r>
              <w:rPr>
                <w:rFonts w:hint="eastAsia" w:ascii="宋体" w:hAnsi="宋体" w:eastAsia="宋体" w:cs="宋体"/>
                <w:sz w:val="20"/>
                <w:szCs w:val="20"/>
              </w:rPr>
              <w:t xml:space="preserve">的得</w:t>
            </w:r>
            <w:r>
              <w:rPr>
                <w:rFonts w:hint="eastAsia" w:ascii="宋体" w:hAnsi="宋体" w:eastAsia="宋体" w:cs="宋体"/>
                <w:sz w:val="20"/>
                <w:szCs w:val="20"/>
                <w:lang w:val="en-US" w:eastAsia="zh-CN"/>
              </w:rPr>
              <w:t xml:space="preserve">6</w:t>
            </w:r>
            <w:r>
              <w:rPr>
                <w:rFonts w:hint="eastAsia" w:ascii="宋体" w:hAnsi="宋体" w:eastAsia="宋体" w:cs="宋体"/>
                <w:sz w:val="20"/>
                <w:szCs w:val="20"/>
              </w:rPr>
              <w:t xml:space="preserve">分；任一</w:t>
            </w:r>
            <w:r>
              <w:rPr>
                <w:rFonts w:hint="eastAsia" w:ascii="宋体" w:hAnsi="宋体" w:eastAsia="宋体" w:cs="宋体"/>
                <w:sz w:val="20"/>
                <w:szCs w:val="20"/>
                <w:lang w:val="en-US" w:eastAsia="zh-CN"/>
              </w:rPr>
              <w:t xml:space="preserve">项</w:t>
            </w:r>
            <w:r>
              <w:rPr>
                <w:rFonts w:hint="eastAsia" w:ascii="宋体" w:hAnsi="宋体" w:eastAsia="宋体" w:cs="宋体"/>
                <w:sz w:val="20"/>
                <w:szCs w:val="20"/>
              </w:rPr>
              <w:t xml:space="preserve">内容缺</w:t>
            </w:r>
            <w:r>
              <w:rPr>
                <w:rFonts w:hint="eastAsia" w:ascii="宋体" w:hAnsi="宋体" w:eastAsia="宋体" w:cs="宋体"/>
                <w:sz w:val="20"/>
                <w:szCs w:val="20"/>
                <w:lang w:val="en-US" w:eastAsia="zh-CN"/>
              </w:rPr>
              <w:t xml:space="preserve">失</w:t>
            </w:r>
            <w:r>
              <w:rPr>
                <w:rFonts w:hint="eastAsia" w:ascii="宋体" w:hAnsi="宋体" w:eastAsia="宋体" w:cs="宋体"/>
                <w:sz w:val="20"/>
                <w:szCs w:val="20"/>
              </w:rPr>
              <w:t xml:space="preserve">扣</w:t>
            </w:r>
            <w:r>
              <w:rPr>
                <w:rFonts w:hint="eastAsia" w:ascii="宋体" w:hAnsi="宋体" w:eastAsia="宋体" w:cs="宋体"/>
                <w:sz w:val="20"/>
                <w:szCs w:val="20"/>
                <w:lang w:val="en-US" w:eastAsia="zh-CN"/>
              </w:rPr>
              <w:t xml:space="preserve">1.5</w:t>
            </w:r>
            <w:r>
              <w:rPr>
                <w:rFonts w:hint="eastAsia" w:ascii="宋体" w:hAnsi="宋体" w:eastAsia="宋体" w:cs="宋体"/>
                <w:sz w:val="20"/>
                <w:szCs w:val="20"/>
              </w:rPr>
              <w:t xml:space="preserve">分；某项内容</w:t>
            </w:r>
            <w:r>
              <w:rPr>
                <w:rFonts w:hint="eastAsia" w:ascii="宋体" w:hAnsi="宋体" w:eastAsia="宋体" w:cs="宋体"/>
                <w:sz w:val="20"/>
                <w:szCs w:val="20"/>
                <w:lang w:val="en-US" w:eastAsia="zh-CN"/>
              </w:rPr>
              <w:t xml:space="preserve">编制</w:t>
            </w:r>
            <w:r>
              <w:rPr>
                <w:rFonts w:hint="eastAsia" w:ascii="宋体" w:hAnsi="宋体" w:eastAsia="宋体" w:cs="宋体"/>
                <w:sz w:val="20"/>
                <w:szCs w:val="20"/>
              </w:rPr>
              <w:t xml:space="preserve">流程</w:t>
            </w:r>
            <w:r>
              <w:rPr>
                <w:rFonts w:hint="eastAsia" w:ascii="宋体" w:hAnsi="宋体" w:eastAsia="宋体" w:cs="宋体"/>
                <w:sz w:val="20"/>
                <w:szCs w:val="20"/>
                <w:lang w:val="en-US" w:eastAsia="zh-CN"/>
              </w:rPr>
              <w:t xml:space="preserve">模糊的扣0.5分、责任分工界定不清的扣0.5分</w:t>
            </w:r>
            <w:r>
              <w:rPr>
                <w:rFonts w:hint="eastAsia" w:ascii="宋体" w:hAnsi="宋体" w:eastAsia="宋体" w:cs="宋体"/>
                <w:sz w:val="20"/>
                <w:szCs w:val="20"/>
              </w:rPr>
              <w:t xml:space="preserve">、</w:t>
            </w:r>
            <w:r>
              <w:rPr>
                <w:rFonts w:hint="eastAsia" w:ascii="宋体" w:hAnsi="宋体" w:eastAsia="宋体" w:cs="宋体"/>
                <w:sz w:val="20"/>
                <w:szCs w:val="20"/>
                <w:lang w:val="en-US" w:eastAsia="zh-CN"/>
              </w:rPr>
              <w:t xml:space="preserve">没有依据本项目的使用场景编制的扣0.5分，内容编制不合理的扣0.5分，针对性欠缺的扣0.5分</w:t>
            </w:r>
            <w:r>
              <w:rPr>
                <w:rFonts w:hint="eastAsia" w:ascii="宋体" w:hAnsi="宋体" w:eastAsia="宋体" w:cs="宋体"/>
                <w:sz w:val="20"/>
                <w:szCs w:val="20"/>
              </w:rPr>
              <w:t xml:space="preserve">。本项最高得</w:t>
            </w:r>
            <w:r>
              <w:rPr>
                <w:rFonts w:hint="eastAsia" w:ascii="宋体" w:hAnsi="宋体" w:eastAsia="宋体" w:cs="宋体"/>
                <w:sz w:val="20"/>
                <w:szCs w:val="20"/>
                <w:lang w:val="en-US" w:eastAsia="zh-CN"/>
              </w:rPr>
              <w:t xml:space="preserve">6</w:t>
            </w:r>
            <w:r>
              <w:rPr>
                <w:rFonts w:hint="eastAsia" w:ascii="宋体" w:hAnsi="宋体" w:eastAsia="宋体" w:cs="宋体"/>
                <w:sz w:val="20"/>
                <w:szCs w:val="20"/>
              </w:rPr>
              <w:t xml:space="preserve">分，最低得 0 分。</w:t>
            </w:r>
            <w:r/>
          </w:p>
        </w:tc>
        <w:tc>
          <w:tcPr>
            <w:tcBorders>
              <w:left w:val="single" w:color="auto" w:sz="4" w:space="0"/>
              <w:right w:val="single" w:color="auto" w:sz="4" w:space="0"/>
            </w:tcBorders>
            <w:tcW w:w="701" w:type="dxa"/>
            <w:vAlign w:val="center"/>
            <w:textDirection w:val="lrTb"/>
            <w:noWrap w:val="false"/>
          </w:tcPr>
          <w:p>
            <w:pPr>
              <w:jc w:val="left"/>
              <w:spacing w:line="312" w:lineRule="auto"/>
              <w:widowControl/>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 xml:space="preserve">6分</w:t>
            </w:r>
            <w:r/>
          </w:p>
        </w:tc>
      </w:tr>
      <w:tr>
        <w:trPr>
          <w:cantSplit/>
          <w:trHeight w:val="1831"/>
        </w:trPr>
        <w:tc>
          <w:tcPr>
            <w:tcBorders>
              <w:left w:val="single" w:color="auto" w:sz="4" w:space="0"/>
              <w:right w:val="single" w:color="auto" w:sz="4" w:space="0"/>
            </w:tcBorders>
            <w:tcW w:w="1179" w:type="dxa"/>
            <w:vAlign w:val="center"/>
            <w:vMerge w:val="continue"/>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13"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现场勘查</w:t>
            </w:r>
            <w:r/>
          </w:p>
        </w:tc>
        <w:tc>
          <w:tcPr>
            <w:tcBorders>
              <w:top w:val="single" w:color="auto" w:sz="4" w:space="0"/>
              <w:left w:val="single" w:color="auto" w:sz="4" w:space="0"/>
              <w:right w:val="single" w:color="auto" w:sz="4" w:space="0"/>
            </w:tcBorders>
            <w:tcW w:w="7193" w:type="dxa"/>
            <w:vAlign w:val="center"/>
            <w:textDirection w:val="lrTb"/>
            <w:noWrap w:val="false"/>
          </w:tcPr>
          <w:p>
            <w:pPr>
              <w:jc w:val="left"/>
              <w:spacing w:line="312"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投标人对本项目的所有站点、仪器及运行情况进行现场勘察，勘察完善、现场情况汇总完整的得</w:t>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rPr>
              <w:t xml:space="preserve">分；</w:t>
            </w:r>
            <w:r/>
          </w:p>
          <w:p>
            <w:pPr>
              <w:jc w:val="left"/>
              <w:spacing w:line="312"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勘察较完善、现场情况汇总较完整的得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p>
          <w:p>
            <w:pPr>
              <w:jc w:val="left"/>
              <w:spacing w:line="312"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未提供或勘察不完善、现场情况汇总不完整的得</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分。</w:t>
            </w:r>
            <w:r/>
          </w:p>
          <w:p>
            <w:pPr>
              <w:jc w:val="left"/>
              <w:spacing w:line="312" w:lineRule="auto"/>
              <w:widowControl/>
              <w:rPr>
                <w:rFonts w:hint="eastAsia" w:ascii="宋体" w:hAnsi="宋体" w:eastAsia="宋体" w:cs="宋体"/>
                <w:color w:val="000000"/>
                <w:sz w:val="20"/>
                <w:szCs w:val="20"/>
              </w:rPr>
            </w:pPr>
            <w:r>
              <w:rPr>
                <w:rFonts w:hint="eastAsia" w:ascii="宋体" w:hAnsi="宋体" w:eastAsia="宋体" w:cs="宋体"/>
                <w:sz w:val="20"/>
                <w:szCs w:val="20"/>
              </w:rPr>
              <w:t xml:space="preserve">未提供方案得0分</w:t>
            </w:r>
            <w:r/>
          </w:p>
        </w:tc>
        <w:tc>
          <w:tcPr>
            <w:tcBorders>
              <w:top w:val="single" w:color="auto" w:sz="4" w:space="0"/>
              <w:left w:val="single" w:color="auto" w:sz="4" w:space="0"/>
              <w:right w:val="single" w:color="auto" w:sz="4" w:space="0"/>
            </w:tcBorders>
            <w:tcW w:w="701"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4</w:t>
            </w:r>
            <w:r>
              <w:rPr>
                <w:rFonts w:hint="eastAsia" w:ascii="宋体" w:hAnsi="宋体" w:eastAsia="宋体" w:cs="宋体"/>
                <w:sz w:val="20"/>
                <w:szCs w:val="20"/>
              </w:rPr>
              <w:t xml:space="preserve">分</w:t>
            </w:r>
            <w:r/>
          </w:p>
        </w:tc>
      </w:tr>
      <w:tr>
        <w:trPr>
          <w:cantSplit/>
          <w:trHeight w:val="2481"/>
        </w:trPr>
        <w:tc>
          <w:tcPr>
            <w:tcBorders>
              <w:left w:val="single" w:color="auto" w:sz="4" w:space="0"/>
              <w:right w:val="single" w:color="auto" w:sz="4" w:space="0"/>
            </w:tcBorders>
            <w:tcW w:w="1179" w:type="dxa"/>
            <w:vAlign w:val="center"/>
            <w:vMerge w:val="restart"/>
            <w:textDirection w:val="lrTb"/>
            <w:noWrap w:val="false"/>
          </w:tcPr>
          <w:p>
            <w:pPr>
              <w:jc w:val="center"/>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商务部分</w:t>
            </w:r>
            <w:r/>
          </w:p>
          <w:p>
            <w:pPr>
              <w:jc w:val="center"/>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lang w:val="en-US" w:eastAsia="zh-CN"/>
              </w:rPr>
              <w:t xml:space="preserve">15</w:t>
            </w:r>
            <w:r>
              <w:rPr>
                <w:rFonts w:hint="eastAsia" w:ascii="宋体" w:hAnsi="宋体" w:eastAsia="宋体" w:cs="宋体"/>
                <w:sz w:val="20"/>
                <w:szCs w:val="20"/>
              </w:rPr>
              <w:t xml:space="preserve">分）</w:t>
            </w:r>
            <w:r/>
          </w:p>
        </w:tc>
        <w:tc>
          <w:tcPr>
            <w:tcBorders>
              <w:left w:val="single" w:color="auto" w:sz="4" w:space="0"/>
              <w:right w:val="single" w:color="auto" w:sz="4" w:space="0"/>
            </w:tcBorders>
            <w:tcW w:w="713" w:type="dxa"/>
            <w:vAlign w:val="center"/>
            <w:textDirection w:val="lrTb"/>
            <w:noWrap w:val="false"/>
          </w:tcPr>
          <w:p>
            <w:pPr>
              <w:jc w:val="center"/>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业绩及运维人员配置方案</w:t>
            </w:r>
            <w:r/>
          </w:p>
        </w:tc>
        <w:tc>
          <w:tcPr>
            <w:tcBorders>
              <w:top w:val="single" w:color="auto" w:sz="4" w:space="0"/>
              <w:left w:val="single" w:color="auto" w:sz="4" w:space="0"/>
              <w:right w:val="single" w:color="auto" w:sz="4" w:space="0"/>
            </w:tcBorders>
            <w:tcW w:w="7193" w:type="dxa"/>
            <w:vAlign w:val="center"/>
            <w:textDirection w:val="lrTb"/>
            <w:noWrap w:val="false"/>
          </w:tcPr>
          <w:p>
            <w:pPr>
              <w:jc w:val="left"/>
              <w:spacing w:line="312" w:lineRule="auto"/>
              <w:widowControl/>
              <w:rPr>
                <w:rFonts w:hint="eastAsia" w:ascii="宋体" w:hAnsi="宋体" w:eastAsia="宋体" w:cs="仿宋"/>
                <w:color w:val="000000"/>
                <w:sz w:val="20"/>
                <w:szCs w:val="20"/>
              </w:rPr>
            </w:pPr>
            <w:r>
              <w:rPr>
                <w:rFonts w:hint="eastAsia" w:ascii="宋体" w:hAnsi="宋体" w:eastAsia="宋体" w:cs="仿宋"/>
                <w:color w:val="000000"/>
                <w:sz w:val="20"/>
                <w:szCs w:val="20"/>
              </w:rPr>
              <w:t xml:space="preserve">1、</w:t>
            </w:r>
            <w:r>
              <w:rPr>
                <w:rFonts w:hint="default" w:ascii="宋体" w:hAnsi="宋体" w:eastAsia="宋体" w:cs="仿宋"/>
                <w:color w:val="000000"/>
                <w:sz w:val="20"/>
                <w:szCs w:val="20"/>
              </w:rPr>
              <w:t xml:space="preserve">投标人自202</w:t>
            </w:r>
            <w:r>
              <w:rPr>
                <w:rFonts w:hint="eastAsia" w:ascii="宋体" w:hAnsi="宋体" w:eastAsia="宋体" w:cs="仿宋"/>
                <w:color w:val="000000"/>
                <w:sz w:val="20"/>
                <w:szCs w:val="20"/>
              </w:rPr>
              <w:t xml:space="preserve">3</w:t>
            </w:r>
            <w:r>
              <w:rPr>
                <w:rFonts w:hint="default" w:ascii="宋体" w:hAnsi="宋体" w:eastAsia="宋体" w:cs="仿宋"/>
                <w:color w:val="000000"/>
                <w:sz w:val="20"/>
                <w:szCs w:val="20"/>
              </w:rPr>
              <w:t xml:space="preserve">年</w:t>
            </w:r>
            <w:r>
              <w:rPr>
                <w:rFonts w:hint="eastAsia" w:ascii="宋体" w:hAnsi="宋体" w:eastAsia="宋体" w:cs="仿宋"/>
                <w:color w:val="000000"/>
                <w:sz w:val="20"/>
                <w:szCs w:val="20"/>
              </w:rPr>
              <w:t xml:space="preserve">9</w:t>
            </w:r>
            <w:r>
              <w:rPr>
                <w:rFonts w:hint="default" w:ascii="宋体" w:hAnsi="宋体" w:eastAsia="宋体" w:cs="仿宋"/>
                <w:color w:val="000000"/>
                <w:sz w:val="20"/>
                <w:szCs w:val="20"/>
              </w:rPr>
              <w:t xml:space="preserve">月1日以后（以合同签订时间为准）</w:t>
            </w:r>
            <w:r>
              <w:rPr>
                <w:rFonts w:hint="eastAsia" w:ascii="宋体" w:hAnsi="宋体" w:eastAsia="宋体" w:cs="仿宋"/>
                <w:color w:val="000000"/>
                <w:sz w:val="20"/>
                <w:szCs w:val="20"/>
              </w:rPr>
              <w:t xml:space="preserve">具备同采购需求相关的业绩</w:t>
            </w:r>
            <w:r>
              <w:rPr>
                <w:rFonts w:hint="default" w:ascii="宋体" w:hAnsi="宋体" w:eastAsia="宋体" w:cs="仿宋"/>
                <w:color w:val="000000"/>
                <w:sz w:val="20"/>
                <w:szCs w:val="20"/>
              </w:rPr>
              <w:t xml:space="preserve">，每提供一个得</w:t>
            </w:r>
            <w:r>
              <w:rPr>
                <w:rFonts w:hint="eastAsia" w:ascii="宋体" w:hAnsi="宋体" w:eastAsia="宋体" w:cs="仿宋"/>
                <w:color w:val="000000"/>
                <w:sz w:val="20"/>
                <w:szCs w:val="20"/>
              </w:rPr>
              <w:t xml:space="preserve">2</w:t>
            </w:r>
            <w:r>
              <w:rPr>
                <w:rFonts w:hint="default" w:ascii="宋体" w:hAnsi="宋体" w:eastAsia="宋体" w:cs="仿宋"/>
                <w:color w:val="000000"/>
                <w:sz w:val="20"/>
                <w:szCs w:val="20"/>
              </w:rPr>
              <w:t xml:space="preserve">分，最高得</w:t>
            </w:r>
            <w:r>
              <w:rPr>
                <w:rFonts w:hint="eastAsia" w:ascii="宋体" w:hAnsi="宋体" w:eastAsia="宋体" w:cs="仿宋"/>
                <w:color w:val="000000"/>
                <w:sz w:val="20"/>
                <w:szCs w:val="20"/>
              </w:rPr>
              <w:t xml:space="preserve">4</w:t>
            </w:r>
            <w:r>
              <w:rPr>
                <w:rFonts w:hint="default" w:ascii="宋体" w:hAnsi="宋体" w:eastAsia="宋体" w:cs="仿宋"/>
                <w:color w:val="000000"/>
                <w:sz w:val="20"/>
                <w:szCs w:val="20"/>
              </w:rPr>
              <w:t xml:space="preserve">分。投标文件中提供业绩合同原件扫描件</w:t>
            </w:r>
            <w:r>
              <w:rPr>
                <w:rFonts w:hint="eastAsia" w:ascii="宋体" w:hAnsi="宋体" w:eastAsia="宋体" w:cs="仿宋"/>
                <w:color w:val="000000"/>
                <w:sz w:val="20"/>
                <w:szCs w:val="20"/>
              </w:rPr>
              <w:t xml:space="preserve">并加盖公章</w:t>
            </w:r>
            <w:r>
              <w:rPr>
                <w:rFonts w:hint="default" w:ascii="宋体" w:hAnsi="宋体" w:eastAsia="宋体" w:cs="仿宋"/>
                <w:color w:val="000000"/>
                <w:sz w:val="20"/>
                <w:szCs w:val="20"/>
              </w:rPr>
              <w:t xml:space="preserve">，否则不得分。</w:t>
            </w:r>
            <w:r/>
          </w:p>
          <w:p>
            <w:pPr>
              <w:jc w:val="left"/>
              <w:spacing w:line="312" w:lineRule="auto"/>
              <w:widowControl/>
              <w:rPr>
                <w:rFonts w:hint="eastAsia" w:ascii="宋体" w:hAnsi="宋体" w:eastAsia="宋体" w:cs="宋体"/>
                <w:sz w:val="20"/>
                <w:szCs w:val="20"/>
                <w:lang w:val="zh-CN"/>
              </w:rPr>
            </w:pPr>
            <w:r>
              <w:rPr>
                <w:rFonts w:hint="eastAsia" w:ascii="宋体" w:hAnsi="宋体" w:eastAsia="宋体" w:cs="仿宋"/>
                <w:color w:val="000000"/>
                <w:sz w:val="20"/>
                <w:szCs w:val="20"/>
              </w:rPr>
              <w:t xml:space="preserve">2、投标人针对本项目拟投入的人员具备水运维相关的技能证书的，每提供一人得2分，最高得8分。（提供证书及人员近3个月社保证明原件扫描件，否则不得分。）</w:t>
            </w:r>
            <w:r/>
          </w:p>
        </w:tc>
        <w:tc>
          <w:tcPr>
            <w:tcBorders>
              <w:top w:val="single" w:color="auto" w:sz="4" w:space="0"/>
              <w:left w:val="single" w:color="auto" w:sz="4" w:space="0"/>
              <w:right w:val="single" w:color="auto" w:sz="4" w:space="0"/>
            </w:tcBorders>
            <w:tcW w:w="701" w:type="dxa"/>
            <w:vAlign w:val="center"/>
            <w:textDirection w:val="lrTb"/>
            <w:noWrap w:val="false"/>
          </w:tcPr>
          <w:p>
            <w:pPr>
              <w:jc w:val="left"/>
              <w:spacing w:line="312" w:lineRule="auto"/>
              <w:widowControl/>
              <w:rPr>
                <w:rFonts w:hint="eastAsia" w:ascii="宋体" w:hAnsi="宋体" w:eastAsia="宋体" w:cs="宋体"/>
                <w:sz w:val="20"/>
                <w:szCs w:val="20"/>
                <w:lang w:val="zh-CN"/>
              </w:rPr>
            </w:pPr>
            <w:r>
              <w:rPr>
                <w:rFonts w:hint="eastAsia" w:ascii="宋体" w:hAnsi="宋体" w:eastAsia="宋体" w:cs="宋体"/>
                <w:sz w:val="20"/>
                <w:szCs w:val="20"/>
              </w:rPr>
              <w:t xml:space="preserve">12分</w:t>
            </w:r>
            <w:r/>
          </w:p>
        </w:tc>
      </w:tr>
      <w:tr>
        <w:trPr>
          <w:cantSplit/>
          <w:trHeight w:val="807"/>
        </w:trPr>
        <w:tc>
          <w:tcPr>
            <w:tcBorders>
              <w:left w:val="single" w:color="auto" w:sz="4" w:space="0"/>
              <w:right w:val="single" w:color="auto" w:sz="4" w:space="0"/>
            </w:tcBorders>
            <w:tcW w:w="1179" w:type="dxa"/>
            <w:vMerge w:val="continue"/>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13" w:type="dxa"/>
            <w:vAlign w:val="center"/>
            <w:textDirection w:val="lrTb"/>
            <w:noWrap w:val="false"/>
          </w:tcPr>
          <w:p>
            <w:pPr>
              <w:jc w:val="center"/>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投标人综合实力</w:t>
            </w:r>
            <w:r/>
          </w:p>
        </w:tc>
        <w:tc>
          <w:tcPr>
            <w:tcBorders>
              <w:left w:val="single" w:color="auto" w:sz="4" w:space="0"/>
              <w:right w:val="single" w:color="auto" w:sz="4" w:space="0"/>
            </w:tcBorders>
            <w:tcW w:w="7193"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1、投标人具有有效期内的环境管理体系认证证书、质量管理体系认证证书、职业健康安全管理体系认证证书。每有一项得1分，最高得3分。</w:t>
            </w:r>
            <w:r/>
          </w:p>
          <w:p>
            <w:pPr>
              <w:jc w:val="left"/>
              <w:spacing w:line="312" w:lineRule="auto"/>
              <w:widowControl/>
              <w:rPr>
                <w:rFonts w:hint="eastAsia" w:ascii="宋体" w:hAnsi="宋体" w:eastAsia="宋体" w:cs="宋体"/>
                <w:sz w:val="20"/>
                <w:szCs w:val="20"/>
              </w:rPr>
            </w:pPr>
            <w:r/>
            <w:bookmarkStart w:id="3" w:name="OLE_LINK9"/>
            <w:r>
              <w:rPr>
                <w:rFonts w:hint="eastAsia" w:ascii="宋体" w:hAnsi="宋体" w:eastAsia="宋体" w:cs="宋体"/>
                <w:sz w:val="20"/>
                <w:szCs w:val="20"/>
              </w:rPr>
              <w:t xml:space="preserve">响应文件中须提供证书原件扫描件</w:t>
            </w:r>
            <w:bookmarkEnd w:id="3"/>
            <w:r>
              <w:rPr>
                <w:rFonts w:hint="eastAsia" w:ascii="宋体" w:hAnsi="宋体" w:eastAsia="宋体" w:cs="宋体"/>
                <w:sz w:val="20"/>
                <w:szCs w:val="20"/>
              </w:rPr>
              <w:t xml:space="preserve">，否则不得分。</w:t>
            </w:r>
            <w:r/>
          </w:p>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rPr>
              <w:t xml:space="preserve">（提供证书原件扫描件并加盖公章，否则不得分）</w:t>
            </w:r>
            <w:r/>
          </w:p>
        </w:tc>
        <w:tc>
          <w:tcPr>
            <w:tcBorders>
              <w:left w:val="single" w:color="auto" w:sz="4" w:space="0"/>
              <w:right w:val="single" w:color="auto" w:sz="4" w:space="0"/>
            </w:tcBorders>
            <w:tcW w:w="701" w:type="dxa"/>
            <w:vAlign w:val="center"/>
            <w:textDirection w:val="lrTb"/>
            <w:noWrap w:val="false"/>
          </w:tcPr>
          <w:p>
            <w:pPr>
              <w:jc w:val="left"/>
              <w:spacing w:line="312" w:lineRule="auto"/>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rPr>
              <w:t xml:space="preserve">分</w:t>
            </w:r>
            <w:bookmarkEnd w:id="2"/>
            <w:r/>
            <w:r/>
          </w:p>
        </w:tc>
      </w:tr>
    </w:tbl>
    <w:p>
      <w:pPr>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rPr>
        <w:t xml:space="preserve">本章说明：本项目采用综合评分法，结果</w:t>
      </w:r>
      <w:r>
        <w:rPr>
          <w:rFonts w:hint="eastAsia" w:ascii="宋体" w:hAnsi="宋体" w:cs="宋体"/>
          <w:color w:val="000000"/>
          <w:sz w:val="24"/>
          <w:szCs w:val="24"/>
          <w:highlight w:val="none"/>
          <w:lang w:val="en-US" w:eastAsia="zh-CN"/>
        </w:rPr>
        <w:t xml:space="preserve">四舍五入</w:t>
      </w:r>
      <w:r>
        <w:rPr>
          <w:rFonts w:hint="eastAsia" w:ascii="宋体" w:hAnsi="宋体" w:eastAsia="宋体" w:cs="宋体"/>
          <w:color w:val="000000"/>
          <w:sz w:val="24"/>
          <w:szCs w:val="24"/>
          <w:highlight w:val="none"/>
        </w:rPr>
        <w:t xml:space="preserve">保留2位小数</w:t>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lang w:val="en-US" w:eastAsia="zh-CN"/>
        </w:rPr>
        <w:t xml:space="preserve">第五章 拟签订的合同文本</w:t>
      </w:r>
      <w:r/>
    </w:p>
    <w:p>
      <w:pPr>
        <w:rPr>
          <w:rFonts w:hint="eastAsia" w:ascii="宋体" w:hAnsi="宋体" w:cs="宋体"/>
          <w:b/>
          <w:color w:val="000000"/>
          <w:sz w:val="52"/>
          <w:szCs w:val="36"/>
          <w:highlight w:val="none"/>
        </w:rPr>
      </w:pPr>
      <w:r>
        <w:rPr>
          <w:rFonts w:hint="eastAsia" w:ascii="宋体" w:hAnsi="宋体" w:cs="宋体"/>
          <w:b/>
          <w:color w:val="000000"/>
          <w:sz w:val="52"/>
          <w:szCs w:val="36"/>
          <w:highlight w:val="none"/>
        </w:rPr>
      </w:r>
      <w:r/>
    </w:p>
    <w:p>
      <w:pPr>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政 府 采 购 合 同</w:t>
      </w:r>
      <w:r/>
    </w:p>
    <w:p>
      <w:pPr>
        <w:jc w:val="lef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jc w:val="left"/>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项目编号：</w:t>
      </w:r>
      <w:r>
        <w:rPr>
          <w:rFonts w:hint="eastAsia" w:ascii="宋体" w:hAnsi="宋体" w:cs="宋体"/>
          <w:b/>
          <w:color w:val="000000"/>
          <w:sz w:val="30"/>
          <w:szCs w:val="30"/>
          <w:highlight w:val="none"/>
          <w:lang w:eastAsia="zh-CN"/>
        </w:rPr>
        <w:t xml:space="preserve">JSZC-320321-CJIL-G2026-0003</w:t>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项目名称：</w:t>
      </w:r>
      <w:r>
        <w:rPr>
          <w:rFonts w:hint="eastAsia" w:ascii="宋体" w:hAnsi="宋体" w:cs="宋体"/>
          <w:b/>
          <w:color w:val="000000"/>
          <w:sz w:val="30"/>
          <w:szCs w:val="30"/>
          <w:highlight w:val="none"/>
          <w:lang w:eastAsia="zh-CN"/>
        </w:rPr>
        <w:t xml:space="preserve">丰县2026年入河排污口规范化整治（EPC）项目32个点位在线监测运维项目</w:t>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采购单位：</w:t>
      </w:r>
      <w:r>
        <w:rPr>
          <w:rFonts w:hint="eastAsia" w:ascii="宋体" w:hAnsi="宋体" w:cs="宋体"/>
          <w:b/>
          <w:color w:val="000000"/>
          <w:sz w:val="30"/>
          <w:szCs w:val="30"/>
          <w:highlight w:val="none"/>
          <w:lang w:eastAsia="zh-CN"/>
        </w:rPr>
        <w:t xml:space="preserve">徐州市丰县生态环境局</w:t>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中标供应商（乙方）：</w:t>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签订日期：    年  月  日</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60"/>
        <w:ind w:left="0" w:right="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60"/>
        <w:ind w:left="0" w:right="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友情提醒：采购人与中标、成交供应商应当在中标、成交通知书发出之日起三十日内，按照采购文件确定的事项签订政府采购合同。</w:t>
      </w:r>
      <w:r/>
    </w:p>
    <w:p>
      <w:pPr>
        <w:pStyle w:val="760"/>
        <w:ind w:left="0" w:right="0"/>
        <w:spacing w:after="0" w:line="360" w:lineRule="auto"/>
        <w:rPr>
          <w:rFonts w:hint="eastAsia" w:ascii="宋体" w:hAnsi="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left"/>
        <w:spacing w:line="360" w:lineRule="auto"/>
        <w:widowControl/>
        <w:rPr>
          <w:rFonts w:hint="eastAsia"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项目名称：</w:t>
      </w:r>
      <w:r/>
    </w:p>
    <w:p>
      <w:pPr>
        <w:ind w:firstLine="480"/>
        <w:jc w:val="left"/>
        <w:spacing w:line="360" w:lineRule="auto"/>
        <w:widowControl/>
        <w:rPr>
          <w:rFonts w:hint="default"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合同编号：</w:t>
      </w:r>
      <w:r/>
    </w:p>
    <w:p>
      <w:pPr>
        <w:ind w:firstLine="480"/>
        <w:jc w:val="left"/>
        <w:spacing w:line="360" w:lineRule="auto"/>
        <w:widowControl/>
        <w:rPr>
          <w:rFonts w:hint="eastAsia" w:ascii="宋体" w:hAnsi="宋体" w:eastAsia="宋体" w:cs="Times New Roman"/>
          <w:bCs/>
          <w:sz w:val="24"/>
          <w:szCs w:val="20"/>
          <w:highlight w:val="none"/>
          <w:lang w:eastAsia="zh-CN"/>
        </w:rPr>
      </w:pPr>
      <w:r>
        <w:rPr>
          <w:rFonts w:hint="eastAsia" w:ascii="宋体" w:hAnsi="宋体" w:eastAsia="宋体" w:cs="Times New Roman"/>
          <w:bCs/>
          <w:sz w:val="24"/>
          <w:szCs w:val="20"/>
          <w:highlight w:val="none"/>
        </w:rPr>
        <w:t xml:space="preserve">甲    方：</w:t>
      </w:r>
      <w:r/>
    </w:p>
    <w:p>
      <w:pPr>
        <w:ind w:firstLine="480"/>
        <w:jc w:val="left"/>
        <w:spacing w:line="360" w:lineRule="auto"/>
        <w:widowControl/>
        <w:rPr>
          <w:rFonts w:hint="default"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乙    方： </w:t>
      </w:r>
      <w:r/>
    </w:p>
    <w:p>
      <w:pPr>
        <w:ind w:firstLine="480"/>
        <w:jc w:val="left"/>
        <w:spacing w:line="360" w:lineRule="auto"/>
        <w:widowControl/>
        <w:rPr>
          <w:rFonts w:hint="default"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签订地点：</w:t>
      </w:r>
      <w:r/>
    </w:p>
    <w:p>
      <w:pPr>
        <w:ind w:firstLine="480"/>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Times New Roman"/>
          <w:bCs/>
          <w:sz w:val="24"/>
          <w:szCs w:val="20"/>
          <w:highlight w:val="none"/>
        </w:rPr>
        <w:t xml:space="preserve">签订时间：年  月  日</w:t>
      </w:r>
      <w:r/>
    </w:p>
    <w:p>
      <w:pPr>
        <w:ind w:firstLine="480"/>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甲、乙双方根据《中华人民共和国政府采购法》及《中华人民共和国民法典》等相关法律法规，按照中标（成交）通知书及本项目的</w:t>
      </w:r>
      <w:r>
        <w:rPr>
          <w:rFonts w:hint="eastAsia" w:ascii="宋体" w:hAnsi="宋体" w:eastAsia="宋体" w:cs="宋体"/>
          <w:sz w:val="24"/>
          <w:szCs w:val="20"/>
          <w:highlight w:val="none"/>
          <w:lang w:eastAsia="zh-CN"/>
        </w:rPr>
        <w:t xml:space="preserve">招标</w:t>
      </w:r>
      <w:r>
        <w:rPr>
          <w:rFonts w:hint="eastAsia" w:ascii="宋体" w:hAnsi="宋体" w:eastAsia="宋体" w:cs="宋体"/>
          <w:sz w:val="24"/>
          <w:szCs w:val="20"/>
          <w:highlight w:val="none"/>
        </w:rPr>
        <w:t xml:space="preserve">文件，遵循平等、自愿的原则，经友好协商，签订本合同。</w:t>
      </w:r>
      <w:r/>
    </w:p>
    <w:p>
      <w:pPr>
        <w:ind w:firstLine="482"/>
        <w:jc w:val="left"/>
        <w:spacing w:line="360" w:lineRule="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一</w:t>
      </w:r>
      <w:r>
        <w:rPr>
          <w:rFonts w:hint="eastAsia" w:ascii="宋体" w:hAnsi="宋体" w:eastAsia="宋体" w:cs="宋体"/>
          <w:b/>
          <w:bCs/>
          <w:color w:val="auto"/>
          <w:sz w:val="24"/>
          <w:szCs w:val="20"/>
          <w:highlight w:val="none"/>
        </w:rPr>
        <w:t xml:space="preserve">、合同金额及支付方式</w:t>
      </w:r>
      <w:r/>
    </w:p>
    <w:p>
      <w:pPr>
        <w:ind w:left="480" w:firstLine="0"/>
        <w:jc w:val="left"/>
        <w:spacing w:line="360" w:lineRule="auto"/>
        <w:widowControl/>
        <w:rPr>
          <w:rFonts w:hint="eastAsia" w:ascii="宋体" w:hAnsi="宋体" w:eastAsia="宋体" w:cs="宋体"/>
          <w:b/>
          <w:bCs/>
          <w:color w:val="auto"/>
          <w:sz w:val="24"/>
          <w:szCs w:val="20"/>
          <w:highlight w:val="none"/>
          <w:u w:val="single"/>
          <w:lang w:eastAsia="zh-CN"/>
        </w:rPr>
      </w:pPr>
      <w:r>
        <w:rPr>
          <w:rFonts w:hint="eastAsia" w:ascii="宋体" w:hAnsi="宋体" w:eastAsia="宋体" w:cs="宋体"/>
          <w:b/>
          <w:bCs/>
          <w:color w:val="auto"/>
          <w:sz w:val="24"/>
          <w:szCs w:val="20"/>
          <w:highlight w:val="none"/>
        </w:rPr>
        <w:t xml:space="preserve">本合同总金额为人民币大写金额：</w:t>
      </w:r>
      <w:r>
        <w:rPr>
          <w:rFonts w:hint="eastAsia" w:ascii="宋体" w:hAnsi="宋体" w:eastAsia="宋体" w:cs="宋体"/>
          <w:b/>
          <w:bCs/>
          <w:color w:val="auto"/>
          <w:sz w:val="24"/>
          <w:szCs w:val="20"/>
          <w:highlight w:val="none"/>
          <w:u w:val="single"/>
        </w:rPr>
        <w:t xml:space="preserve">          </w:t>
      </w:r>
      <w:r>
        <w:rPr>
          <w:rFonts w:hint="eastAsia" w:ascii="宋体" w:hAnsi="宋体" w:eastAsia="宋体" w:cs="宋体"/>
          <w:b/>
          <w:bCs/>
          <w:color w:val="auto"/>
          <w:sz w:val="24"/>
          <w:szCs w:val="20"/>
          <w:highlight w:val="none"/>
          <w:u w:val="single"/>
          <w:lang w:val="en-US" w:eastAsia="zh-CN"/>
        </w:rPr>
        <w:t xml:space="preserve">    </w:t>
      </w:r>
      <w:r>
        <w:rPr>
          <w:rFonts w:hint="eastAsia" w:ascii="宋体" w:hAnsi="宋体" w:eastAsia="宋体" w:cs="宋体"/>
          <w:b/>
          <w:bCs/>
          <w:color w:val="auto"/>
          <w:sz w:val="24"/>
          <w:szCs w:val="20"/>
          <w:highlight w:val="none"/>
        </w:rPr>
        <w:t xml:space="preserve">（小写金额：</w:t>
      </w:r>
      <w:r>
        <w:rPr>
          <w:rFonts w:hint="eastAsia" w:ascii="宋体" w:hAnsi="宋体" w:eastAsia="宋体" w:cs="宋体"/>
          <w:b/>
          <w:bCs/>
          <w:color w:val="auto"/>
          <w:sz w:val="24"/>
          <w:szCs w:val="20"/>
          <w:highlight w:val="none"/>
          <w:u w:val="single"/>
        </w:rPr>
        <w:t xml:space="preserve">         </w:t>
      </w:r>
      <w:r>
        <w:rPr>
          <w:rFonts w:hint="eastAsia" w:ascii="宋体" w:hAnsi="宋体" w:eastAsia="宋体" w:cs="宋体"/>
          <w:b/>
          <w:bCs/>
          <w:color w:val="auto"/>
          <w:sz w:val="24"/>
          <w:szCs w:val="20"/>
          <w:highlight w:val="none"/>
          <w:u w:val="single"/>
          <w:lang w:eastAsia="zh-CN"/>
        </w:rPr>
        <w:t xml:space="preserve">）</w:t>
      </w:r>
      <w:r/>
    </w:p>
    <w:p>
      <w:pPr>
        <w:numPr>
          <w:ilvl w:val="0"/>
          <w:numId w:val="2"/>
        </w:numPr>
        <w:ind w:firstLine="542"/>
        <w:jc w:val="left"/>
        <w:spacing w:line="360" w:lineRule="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乙方完成及达到本合同文件规定的要求与标准完成与本服务项目有关的所有费用均包含在合同金额中，委托人不再另行支付任何费用。</w:t>
      </w:r>
      <w:r/>
    </w:p>
    <w:p>
      <w:pPr>
        <w:ind w:firstLine="542"/>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2、付款方式</w:t>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①合同签订后30个工作日内支付合同价款的10%；</w:t>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②项目实施后3个月，经甲方考核后30个工作日内，支付合同价款的20%；</w:t>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③项目实施后6个月，经甲方考核后30个工作日内，支付合同价款的20%；</w:t>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④项目实施后9个月，经甲方考核后30个工作日内，支付合同价款的20%；</w:t>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⑤项目实施后12个月，经甲方考核后30个工作日内，支付合同价款的20%；</w:t>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⑥项目实施服务期满后，经甲方验收合格后30个工作日内，支付合同额的10</w:t>
      </w:r>
      <w:r>
        <w:rPr>
          <w:rFonts w:hint="eastAsia" w:ascii="宋体" w:hAnsi="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en-US" w:eastAsia="zh-CN"/>
        </w:rPr>
        <w:t xml:space="preserve">。</w:t>
      </w:r>
      <w:r/>
    </w:p>
    <w:p>
      <w:pPr>
        <w:ind w:firstLine="542"/>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进度款支付办法：每季度即②③④⑤条付款时，根据绩效考核奖励中“平均考核得分与支付比例”的规定支付具体金额（详见附件1）。</w:t>
      </w:r>
      <w:r/>
    </w:p>
    <w:p>
      <w:pPr>
        <w:ind w:firstLine="542"/>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3、在甲方支付运维费用前乙方应提供相应金额的增值税发票。</w:t>
      </w:r>
      <w:r/>
    </w:p>
    <w:p>
      <w:pPr>
        <w:ind w:firstLine="542"/>
        <w:jc w:val="left"/>
        <w:spacing w:line="360" w:lineRule="auto"/>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注：</w:t>
      </w:r>
      <w:r>
        <w:rPr>
          <w:rFonts w:hint="eastAsia" w:ascii="宋体" w:hAnsi="宋体" w:eastAsia="宋体" w:cs="宋体"/>
          <w:b/>
          <w:bCs/>
          <w:color w:val="auto"/>
          <w:sz w:val="24"/>
          <w:szCs w:val="20"/>
          <w:highlight w:val="none"/>
          <w:lang w:val="en-US" w:eastAsia="zh-CN"/>
        </w:rPr>
        <w:t xml:space="preserve">本项目履行期间若由于政策性调整导致运维数量减少的，运维费用以实际运维站点数量和运维天数为付款结算依据。</w:t>
      </w:r>
      <w:r/>
    </w:p>
    <w:p>
      <w:pPr>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二、服务期限、地点、方式</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u w:val="none"/>
          <w:lang w:eastAsia="zh-CN"/>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eastAsia="zh-CN"/>
        </w:rPr>
        <w:t xml:space="preserve">服务期限：</w:t>
      </w:r>
      <w:r>
        <w:rPr>
          <w:rFonts w:hint="eastAsia" w:ascii="宋体" w:hAnsi="宋体" w:eastAsia="宋体" w:cs="Times New Roman"/>
          <w:color w:val="auto"/>
          <w:sz w:val="24"/>
          <w:szCs w:val="24"/>
          <w:highlight w:val="none"/>
          <w:lang w:val="en-US" w:eastAsia="zh-CN"/>
        </w:rPr>
        <w:t xml:space="preserve">1年（</w:t>
      </w:r>
      <w:r>
        <w:rPr>
          <w:rFonts w:hint="eastAsia" w:ascii="宋体" w:hAnsi="宋体" w:eastAsia="宋体" w:cs="Times New Roman"/>
          <w:color w:val="auto"/>
          <w:sz w:val="24"/>
          <w:szCs w:val="24"/>
          <w:highlight w:val="none"/>
          <w:u w:val="none"/>
          <w:lang w:eastAsia="zh-CN"/>
        </w:rPr>
        <w:t xml:space="preserve">自</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eastAsia="zh-CN"/>
        </w:rPr>
        <w:t xml:space="preserve">年</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eastAsia="zh-CN"/>
        </w:rPr>
        <w:t xml:space="preserve">月</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eastAsia="zh-CN"/>
        </w:rPr>
        <w:t xml:space="preserve">日至</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eastAsia="zh-CN"/>
        </w:rPr>
        <w:t xml:space="preserve">年</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eastAsia="zh-CN"/>
        </w:rPr>
        <w:t xml:space="preserve">月</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eastAsia="zh-CN"/>
        </w:rPr>
        <w:t xml:space="preserve">日止）。</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eastAsia="zh-CN"/>
        </w:rPr>
        <w:t xml:space="preserve">服务地点：甲方指定的场所；</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eastAsia="zh-CN"/>
        </w:rPr>
        <w:t xml:space="preserve">服务方式：乙方配备符合条件的运维人员和管理人员及相关设备，按现行相关规范要求和合同内容提供服务。</w:t>
      </w:r>
      <w:r/>
    </w:p>
    <w:p>
      <w:pPr>
        <w:ind w:firstLine="482"/>
        <w:jc w:val="left"/>
        <w:spacing w:line="360" w:lineRule="auto"/>
        <w:widowControl/>
        <w:rPr>
          <w:rFonts w:hint="eastAsia" w:ascii="宋体" w:hAnsi="宋体" w:eastAsia="宋体" w:cs="宋体"/>
          <w:b/>
          <w:bCs/>
          <w:sz w:val="24"/>
          <w:szCs w:val="20"/>
          <w:highlight w:val="none"/>
          <w:lang w:eastAsia="zh-CN"/>
        </w:rPr>
      </w:pPr>
      <w:r>
        <w:rPr>
          <w:rFonts w:hint="eastAsia" w:ascii="宋体" w:hAnsi="宋体" w:eastAsia="宋体" w:cs="宋体"/>
          <w:b/>
          <w:bCs/>
          <w:sz w:val="24"/>
          <w:szCs w:val="20"/>
          <w:highlight w:val="none"/>
          <w:lang w:eastAsia="zh-CN"/>
        </w:rPr>
        <w:t xml:space="preserve">三、运维内容</w:t>
      </w:r>
      <w:r/>
    </w:p>
    <w:tbl>
      <w:tblPr>
        <w:tblStyle w:val="739"/>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4927"/>
        <w:gridCol w:w="884"/>
        <w:gridCol w:w="925"/>
        <w:gridCol w:w="829"/>
      </w:tblGrid>
      <w:tr>
        <w:trPr>
          <w:trHeight w:val="504"/>
        </w:trPr>
        <w:tc>
          <w:tcPr>
            <w:tcW w:w="667"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序号</w:t>
            </w:r>
            <w:r/>
          </w:p>
        </w:tc>
        <w:tc>
          <w:tcPr>
            <w:tcW w:w="5883"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运维项目名称</w:t>
            </w:r>
            <w:r/>
          </w:p>
        </w:tc>
        <w:tc>
          <w:tcPr>
            <w:tcW w:w="983"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单位</w:t>
            </w:r>
            <w:r/>
          </w:p>
        </w:tc>
        <w:tc>
          <w:tcPr>
            <w:tcW w:w="1034"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数量</w:t>
            </w:r>
            <w:r/>
          </w:p>
        </w:tc>
        <w:tc>
          <w:tcPr>
            <w:tcW w:w="916"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备注</w:t>
            </w:r>
            <w:r/>
          </w:p>
        </w:tc>
      </w:tr>
      <w:tr>
        <w:trPr>
          <w:trHeight w:val="450"/>
        </w:trPr>
        <w:tc>
          <w:tcPr>
            <w:tcW w:w="667"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1</w:t>
            </w:r>
            <w:r/>
          </w:p>
        </w:tc>
        <w:tc>
          <w:tcPr>
            <w:tcW w:w="5883" w:type="dxa"/>
            <w:vAlign w:val="center"/>
            <w:textDirection w:val="lrTb"/>
            <w:noWrap w:val="false"/>
          </w:tcPr>
          <w:p>
            <w:pPr>
              <w:jc w:val="left"/>
              <w:keepLines w:val="0"/>
              <w:keepNext w:val="0"/>
              <w:spacing w:after="0" w:line="240" w:lineRule="auto"/>
              <w:widowControl/>
              <w:rPr>
                <w:rFonts w:hint="eastAsia" w:ascii="宋体" w:hAnsi="宋体" w:eastAsia="宋体" w:cs="宋体"/>
                <w:b w:val="0"/>
                <w:bCs w:val="0"/>
                <w:i w:val="0"/>
                <w:iCs w:val="0"/>
                <w:color w:val="000000"/>
                <w:sz w:val="24"/>
                <w:szCs w:val="24"/>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微型水质监测站（</w:t>
            </w:r>
            <w:r>
              <w:rPr>
                <w:rFonts w:hint="eastAsia" w:ascii="宋体" w:hAnsi="宋体" w:eastAsia="宋体" w:cs="宋体"/>
                <w:color w:val="000000"/>
                <w:sz w:val="24"/>
                <w:szCs w:val="24"/>
                <w:lang w:val="en-US" w:eastAsia="zh-CN" w:bidi="ar"/>
              </w:rPr>
              <w:t xml:space="preserve">监测 pH、电导率、溶解氧、浊度、温度、COD、 氨氮、总氮、总磷、高锰酸盐指数、生化需氧量等 11 项污染指标</w:t>
            </w:r>
            <w:r>
              <w:rPr>
                <w:rFonts w:hint="eastAsia" w:ascii="宋体" w:hAnsi="宋体" w:eastAsia="宋体" w:cs="宋体"/>
                <w:b w:val="0"/>
                <w:bCs w:val="0"/>
                <w:i w:val="0"/>
                <w:iCs w:val="0"/>
                <w:color w:val="000000"/>
                <w:sz w:val="24"/>
                <w:szCs w:val="24"/>
                <w:u w:val="none"/>
                <w:lang w:val="en-US" w:eastAsia="zh-CN" w:bidi="ar"/>
              </w:rPr>
              <w:t xml:space="preserve">）</w:t>
            </w:r>
            <w:r/>
          </w:p>
        </w:tc>
        <w:tc>
          <w:tcPr>
            <w:tcW w:w="983"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套</w:t>
            </w:r>
            <w:r/>
          </w:p>
        </w:tc>
        <w:tc>
          <w:tcPr>
            <w:tcW w:w="1034"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32</w:t>
            </w:r>
            <w:r/>
          </w:p>
        </w:tc>
        <w:tc>
          <w:tcPr>
            <w:tcW w:w="916"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sz w:val="24"/>
                <w:szCs w:val="24"/>
                <w:vertAlign w:val="baseline"/>
                <w:lang w:val="en-US" w:eastAsia="zh-CN" w:bidi="ar"/>
              </w:rPr>
            </w:r>
            <w:r/>
          </w:p>
        </w:tc>
      </w:tr>
      <w:tr>
        <w:trPr>
          <w:trHeight w:val="550"/>
        </w:trPr>
        <w:tc>
          <w:tcPr>
            <w:tcW w:w="667"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2</w:t>
            </w:r>
            <w:r/>
          </w:p>
        </w:tc>
        <w:tc>
          <w:tcPr>
            <w:tcW w:w="5883" w:type="dxa"/>
            <w:vAlign w:val="center"/>
            <w:textDirection w:val="lrTb"/>
            <w:noWrap w:val="false"/>
          </w:tcPr>
          <w:p>
            <w:pPr>
              <w:jc w:val="center"/>
              <w:spacing w:after="0" w:line="360" w:lineRule="auto"/>
              <w:widowControl/>
              <w:rPr>
                <w:rFonts w:hint="eastAsia" w:ascii="宋体" w:hAnsi="宋体" w:eastAsia="宋体" w:cs="宋体"/>
                <w:b w:val="0"/>
                <w:bCs w:val="0"/>
                <w:i w:val="0"/>
                <w:iCs w:val="0"/>
                <w:color w:val="000000"/>
                <w:sz w:val="24"/>
                <w:szCs w:val="24"/>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丰县入河排污口动态管理平台运行维护</w:t>
            </w:r>
            <w:r/>
          </w:p>
        </w:tc>
        <w:tc>
          <w:tcPr>
            <w:tcW w:w="983"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项</w:t>
            </w:r>
            <w:r/>
          </w:p>
        </w:tc>
        <w:tc>
          <w:tcPr>
            <w:tcW w:w="1034"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1</w:t>
            </w:r>
            <w:r/>
          </w:p>
        </w:tc>
        <w:tc>
          <w:tcPr>
            <w:tcW w:w="916"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sz w:val="24"/>
                <w:szCs w:val="24"/>
                <w:vertAlign w:val="baseline"/>
                <w:lang w:val="en-US" w:eastAsia="zh-CN" w:bidi="ar"/>
              </w:rPr>
            </w:r>
            <w:r/>
          </w:p>
        </w:tc>
      </w:tr>
    </w:tbl>
    <w:p>
      <w:pPr>
        <w:ind w:firstLine="420"/>
        <w:jc w:val="left"/>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ind w:firstLine="482"/>
        <w:jc w:val="left"/>
        <w:spacing w:line="360" w:lineRule="auto"/>
        <w:widowControl/>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四、项目要求</w:t>
      </w:r>
      <w:r/>
    </w:p>
    <w:p>
      <w:pPr>
        <w:numPr>
          <w:ilvl w:val="0"/>
          <w:numId w:val="0"/>
        </w:numPr>
        <w:ind w:left="0" w:firstLine="482"/>
        <w:jc w:val="left"/>
        <w:spacing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一）、</w:t>
      </w:r>
      <w:r>
        <w:rPr>
          <w:rFonts w:hint="eastAsia" w:ascii="宋体" w:hAnsi="宋体" w:eastAsia="宋体" w:cs="宋体"/>
          <w:b/>
          <w:bCs/>
          <w:sz w:val="24"/>
          <w:szCs w:val="24"/>
          <w:highlight w:val="none"/>
        </w:rPr>
        <w:t xml:space="preserve">总体要求</w:t>
      </w:r>
      <w:r/>
    </w:p>
    <w:p>
      <w:pPr>
        <w:ind w:right="0" w:firstLine="480"/>
        <w:jc w:val="left"/>
        <w:keepLines w:val="0"/>
        <w:keepNext w:val="0"/>
        <w:spacing w:before="0" w:beforeAutospacing="0" w:after="0" w:afterAutospacing="0" w:line="4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1、具有规范的运行维护流程和较为完善的运行维护管理体系。</w:t>
      </w:r>
      <w:r/>
    </w:p>
    <w:p>
      <w:pPr>
        <w:ind w:left="0" w:right="0" w:firstLine="480"/>
        <w:jc w:val="left"/>
        <w:keepLines w:val="0"/>
        <w:keepNext w:val="0"/>
        <w:spacing w:before="0" w:beforeAutospacing="0" w:after="0" w:afterAutospacing="0" w:line="4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2、加强大数据运行保障、监控预警能力建设，能依托网络、计算、存储、基础软件、安全设备等大数据基础设施实施统一运维，实现系统快速部署更新、资源合理高效调度、网络实时动态监控等。</w:t>
      </w:r>
      <w:r/>
    </w:p>
    <w:p>
      <w:pPr>
        <w:contextualSpacing/>
        <w:ind w:firstLine="480"/>
        <w:jc w:val="both"/>
        <w:spacing w:line="560" w:lineRule="exact"/>
        <w:widowControl/>
        <w:tabs>
          <w:tab w:val="left" w:pos="2280" w:leader="none"/>
        </w:tabs>
        <w:rPr>
          <w:rFonts w:hint="default" w:ascii="Times New Roman" w:hAnsi="Times New Roman" w:eastAsia="宋体" w:cs="Times New Roman"/>
          <w:iCs/>
          <w:sz w:val="24"/>
          <w:szCs w:val="24"/>
        </w:rPr>
      </w:pPr>
      <w:r>
        <w:rPr>
          <w:rFonts w:hint="eastAsia" w:ascii="宋体" w:hAnsi="宋体" w:eastAsia="宋体" w:cs="Times New Roman"/>
          <w:iCs/>
          <w:sz w:val="24"/>
          <w:szCs w:val="24"/>
          <w:lang w:val="en-US" w:eastAsia="zh-CN"/>
        </w:rPr>
        <w:t xml:space="preserve">3、</w:t>
      </w:r>
      <w:r>
        <w:rPr>
          <w:rFonts w:hint="eastAsia" w:ascii="宋体" w:hAnsi="宋体" w:eastAsia="宋体" w:cs="Times New Roman"/>
          <w:iCs/>
          <w:sz w:val="24"/>
          <w:szCs w:val="24"/>
        </w:rPr>
        <w:t xml:space="preserve">应有足够的</w:t>
      </w:r>
      <w:r>
        <w:rPr>
          <w:rFonts w:hint="default" w:ascii="宋体" w:hAnsi="宋体" w:eastAsia="宋体" w:cs="Times New Roman"/>
          <w:iCs/>
          <w:sz w:val="24"/>
          <w:szCs w:val="24"/>
        </w:rPr>
        <w:t xml:space="preserve">资金</w:t>
      </w:r>
      <w:r>
        <w:rPr>
          <w:rFonts w:hint="eastAsia" w:ascii="宋体" w:hAnsi="宋体" w:eastAsia="宋体" w:cs="Times New Roman"/>
          <w:iCs/>
          <w:sz w:val="24"/>
          <w:szCs w:val="24"/>
        </w:rPr>
        <w:t xml:space="preserve">保障</w:t>
      </w:r>
      <w:r>
        <w:rPr>
          <w:rFonts w:hint="default" w:ascii="宋体" w:hAnsi="宋体" w:eastAsia="宋体" w:cs="Times New Roman"/>
          <w:iCs/>
          <w:sz w:val="24"/>
          <w:szCs w:val="24"/>
        </w:rPr>
        <w:t xml:space="preserve">。</w:t>
      </w:r>
      <w:r/>
    </w:p>
    <w:p>
      <w:pPr>
        <w:contextualSpacing/>
        <w:ind w:firstLine="480"/>
        <w:jc w:val="both"/>
        <w:spacing w:line="560" w:lineRule="exact"/>
        <w:widowControl/>
        <w:tabs>
          <w:tab w:val="left" w:pos="2280" w:leader="none"/>
        </w:tabs>
        <w:rPr>
          <w:rFonts w:hint="default" w:ascii="Times New Roman" w:hAnsi="Times New Roman" w:eastAsia="宋体" w:cs="Times New Roman"/>
          <w:iCs/>
          <w:sz w:val="24"/>
          <w:szCs w:val="24"/>
        </w:rPr>
      </w:pPr>
      <w:r>
        <w:rPr>
          <w:rFonts w:hint="eastAsia" w:ascii="宋体" w:hAnsi="宋体" w:eastAsia="宋体" w:cs="Times New Roman"/>
          <w:iCs/>
          <w:sz w:val="24"/>
          <w:szCs w:val="24"/>
          <w:lang w:val="en-US" w:eastAsia="zh-CN"/>
        </w:rPr>
        <w:t xml:space="preserve">4、</w:t>
      </w:r>
      <w:r>
        <w:rPr>
          <w:rFonts w:hint="default" w:ascii="宋体" w:hAnsi="宋体" w:eastAsia="宋体" w:cs="Times New Roman"/>
          <w:iCs/>
          <w:sz w:val="24"/>
          <w:szCs w:val="24"/>
        </w:rPr>
        <w:t xml:space="preserve">在运维及管理期间，在合同约束范围内</w:t>
      </w:r>
      <w:r>
        <w:rPr>
          <w:rFonts w:hint="eastAsia" w:ascii="宋体" w:hAnsi="宋体" w:eastAsia="宋体" w:cs="Times New Roman"/>
          <w:iCs/>
          <w:sz w:val="24"/>
          <w:szCs w:val="24"/>
          <w:lang w:eastAsia="zh-CN"/>
        </w:rPr>
        <w:t xml:space="preserve">乙方</w:t>
      </w:r>
      <w:r>
        <w:rPr>
          <w:rFonts w:hint="default" w:ascii="宋体" w:hAnsi="宋体" w:eastAsia="宋体" w:cs="Times New Roman"/>
          <w:iCs/>
          <w:sz w:val="24"/>
          <w:szCs w:val="24"/>
        </w:rPr>
        <w:t xml:space="preserve">拥有管理自主权；不能以任何形式外包合同规定的运行维护任务。</w:t>
      </w:r>
      <w:r/>
    </w:p>
    <w:p>
      <w:pPr>
        <w:contextualSpacing/>
        <w:ind w:firstLine="480"/>
        <w:jc w:val="both"/>
        <w:spacing w:line="560" w:lineRule="exact"/>
        <w:widowControl/>
        <w:tabs>
          <w:tab w:val="left" w:pos="2280" w:leader="none"/>
        </w:tabs>
        <w:rPr>
          <w:rFonts w:hint="default" w:ascii="Times New Roman" w:hAnsi="Times New Roman" w:eastAsia="宋体" w:cs="Times New Roman"/>
          <w:iCs/>
          <w:sz w:val="24"/>
          <w:szCs w:val="24"/>
        </w:rPr>
      </w:pPr>
      <w:r>
        <w:rPr>
          <w:rFonts w:hint="eastAsia" w:ascii="宋体" w:hAnsi="宋体" w:eastAsia="宋体" w:cs="Times New Roman"/>
          <w:iCs/>
          <w:sz w:val="24"/>
          <w:szCs w:val="24"/>
          <w:lang w:val="en-US" w:eastAsia="zh-CN"/>
        </w:rPr>
        <w:t xml:space="preserve">5、</w:t>
      </w:r>
      <w:r>
        <w:rPr>
          <w:rFonts w:hint="default" w:ascii="宋体" w:hAnsi="宋体" w:eastAsia="宋体" w:cs="Times New Roman"/>
          <w:iCs/>
          <w:sz w:val="24"/>
          <w:szCs w:val="24"/>
        </w:rPr>
        <w:t xml:space="preserve">在运维及管理期间，</w:t>
      </w:r>
      <w:r>
        <w:rPr>
          <w:rFonts w:hint="eastAsia" w:ascii="宋体" w:hAnsi="宋体" w:eastAsia="宋体" w:cs="Times New Roman"/>
          <w:iCs/>
          <w:sz w:val="24"/>
          <w:szCs w:val="24"/>
          <w:lang w:eastAsia="zh-CN"/>
        </w:rPr>
        <w:t xml:space="preserve">乙方</w:t>
      </w:r>
      <w:r>
        <w:rPr>
          <w:rFonts w:hint="default" w:ascii="宋体" w:hAnsi="宋体" w:eastAsia="宋体" w:cs="Times New Roman"/>
          <w:iCs/>
          <w:sz w:val="24"/>
          <w:szCs w:val="24"/>
        </w:rPr>
        <w:t xml:space="preserve">应严格按照</w:t>
      </w:r>
      <w:r>
        <w:rPr>
          <w:rFonts w:hint="eastAsia" w:ascii="宋体" w:hAnsi="宋体" w:eastAsia="宋体" w:cs="Times New Roman"/>
          <w:iCs/>
          <w:sz w:val="24"/>
          <w:szCs w:val="24"/>
          <w:lang w:eastAsia="zh-CN"/>
        </w:rPr>
        <w:t xml:space="preserve">甲方</w:t>
      </w:r>
      <w:r>
        <w:rPr>
          <w:rFonts w:hint="default" w:ascii="宋体" w:hAnsi="宋体" w:eastAsia="宋体" w:cs="Times New Roman"/>
          <w:iCs/>
          <w:sz w:val="24"/>
          <w:szCs w:val="24"/>
        </w:rPr>
        <w:t xml:space="preserve">制订的操作规范和规章制度，对所管理的系统及仪器设备进行规范操作和精心维护及必要维修，保证系统及仪器设备的正常运行，达到</w:t>
      </w:r>
      <w:r>
        <w:rPr>
          <w:rFonts w:hint="eastAsia" w:ascii="宋体" w:hAnsi="宋体" w:eastAsia="宋体" w:cs="Times New Roman"/>
          <w:iCs/>
          <w:sz w:val="24"/>
          <w:szCs w:val="24"/>
          <w:lang w:eastAsia="zh-CN"/>
        </w:rPr>
        <w:t xml:space="preserve">甲方</w:t>
      </w:r>
      <w:r>
        <w:rPr>
          <w:rFonts w:hint="default" w:ascii="宋体" w:hAnsi="宋体" w:eastAsia="宋体" w:cs="Times New Roman"/>
          <w:iCs/>
          <w:sz w:val="24"/>
          <w:szCs w:val="24"/>
        </w:rPr>
        <w:t xml:space="preserve">提出的系统及仪器设备考核指标要求。</w:t>
      </w:r>
      <w:r>
        <w:rPr>
          <w:rFonts w:hint="eastAsia" w:ascii="宋体" w:hAnsi="宋体" w:eastAsia="宋体" w:cs="Times New Roman"/>
          <w:iCs/>
          <w:sz w:val="24"/>
          <w:szCs w:val="24"/>
          <w:lang w:eastAsia="zh-CN"/>
        </w:rPr>
        <w:t xml:space="preserve">乙方</w:t>
      </w:r>
      <w:r>
        <w:rPr>
          <w:rFonts w:hint="default" w:ascii="宋体" w:hAnsi="宋体" w:eastAsia="宋体" w:cs="Times New Roman"/>
          <w:iCs/>
          <w:sz w:val="24"/>
          <w:szCs w:val="24"/>
        </w:rPr>
        <w:t xml:space="preserve">必须接受</w:t>
      </w:r>
      <w:r>
        <w:rPr>
          <w:rFonts w:hint="eastAsia" w:ascii="宋体" w:hAnsi="宋体" w:eastAsia="宋体" w:cs="宋体"/>
          <w:bCs/>
          <w:color w:val="000000"/>
          <w:sz w:val="24"/>
          <w:szCs w:val="24"/>
          <w:lang w:eastAsia="zh-CN"/>
        </w:rPr>
        <w:t xml:space="preserve">甲方</w:t>
      </w:r>
      <w:r>
        <w:rPr>
          <w:rFonts w:hint="eastAsia" w:ascii="宋体" w:hAnsi="宋体" w:eastAsia="宋体" w:cs="Times New Roman"/>
          <w:iCs/>
          <w:sz w:val="24"/>
          <w:szCs w:val="24"/>
        </w:rPr>
        <w:t xml:space="preserve">、</w:t>
      </w:r>
      <w:r>
        <w:rPr>
          <w:rFonts w:hint="default" w:ascii="宋体" w:hAnsi="宋体" w:eastAsia="宋体" w:cs="Times New Roman"/>
          <w:iCs/>
          <w:sz w:val="24"/>
          <w:szCs w:val="24"/>
        </w:rPr>
        <w:t xml:space="preserve">驻市监测中心等单位的定期、不定期检查和考核。</w:t>
      </w:r>
      <w:r/>
    </w:p>
    <w:p>
      <w:pPr>
        <w:contextualSpacing/>
        <w:ind w:firstLine="480"/>
        <w:jc w:val="both"/>
        <w:spacing w:line="560" w:lineRule="exact"/>
        <w:widowControl/>
        <w:tabs>
          <w:tab w:val="left" w:pos="2280" w:leader="none"/>
        </w:tabs>
        <w:rPr>
          <w:rFonts w:hint="eastAsia" w:ascii="宋体" w:hAnsi="宋体" w:eastAsia="宋体" w:cs="Times New Roman"/>
          <w:iCs/>
          <w:sz w:val="24"/>
          <w:szCs w:val="24"/>
          <w:lang w:val="en-US" w:eastAsia="zh-CN"/>
        </w:rPr>
      </w:pPr>
      <w:r>
        <w:rPr>
          <w:rFonts w:hint="eastAsia" w:ascii="宋体" w:hAnsi="宋体" w:eastAsia="宋体" w:cs="Times New Roman"/>
          <w:iCs/>
          <w:sz w:val="24"/>
          <w:szCs w:val="24"/>
          <w:lang w:val="en-US" w:eastAsia="zh-CN"/>
        </w:rPr>
        <w:t xml:space="preserve">6、乙方</w:t>
      </w:r>
      <w:r>
        <w:rPr>
          <w:rFonts w:hint="default" w:ascii="宋体" w:hAnsi="宋体" w:eastAsia="宋体" w:cs="Times New Roman"/>
          <w:iCs/>
          <w:sz w:val="24"/>
          <w:szCs w:val="24"/>
          <w:lang w:val="en-US" w:eastAsia="zh-CN"/>
        </w:rPr>
        <w:t xml:space="preserve">具备一定的监测数据分析能力，能配合</w:t>
      </w:r>
      <w:r>
        <w:rPr>
          <w:rFonts w:hint="eastAsia" w:ascii="宋体" w:hAnsi="宋体" w:eastAsia="宋体" w:cs="Times New Roman"/>
          <w:iCs/>
          <w:sz w:val="24"/>
          <w:szCs w:val="24"/>
          <w:lang w:val="en-US" w:eastAsia="zh-CN"/>
        </w:rPr>
        <w:t xml:space="preserve">甲方</w:t>
      </w:r>
      <w:r>
        <w:rPr>
          <w:rFonts w:hint="default" w:ascii="宋体" w:hAnsi="宋体" w:eastAsia="宋体" w:cs="Times New Roman"/>
          <w:iCs/>
          <w:sz w:val="24"/>
          <w:szCs w:val="24"/>
          <w:lang w:val="en-US" w:eastAsia="zh-CN"/>
        </w:rPr>
        <w:t xml:space="preserve">完成各类分析报告的编制工作</w:t>
      </w:r>
      <w:r>
        <w:rPr>
          <w:rFonts w:hint="eastAsia" w:ascii="宋体" w:hAnsi="宋体" w:eastAsia="宋体" w:cs="Times New Roman"/>
          <w:iCs/>
          <w:sz w:val="24"/>
          <w:szCs w:val="24"/>
          <w:lang w:val="en-US" w:eastAsia="zh-CN"/>
        </w:rPr>
        <w:t xml:space="preserve">，可为环境管理提供技术支撑。</w:t>
      </w:r>
      <w:r/>
    </w:p>
    <w:p>
      <w:pPr>
        <w:contextualSpacing/>
        <w:ind w:firstLine="480"/>
        <w:jc w:val="both"/>
        <w:spacing w:line="560" w:lineRule="exact"/>
        <w:widowControl/>
        <w:tabs>
          <w:tab w:val="left" w:pos="2280" w:leader="none"/>
        </w:tabs>
        <w:rPr>
          <w:rFonts w:hint="eastAsia" w:ascii="Times New Roman" w:hAnsi="Times New Roman" w:eastAsia="宋体" w:cs="Times New Roman"/>
          <w:sz w:val="20"/>
          <w:szCs w:val="20"/>
          <w:lang w:val="en-US" w:eastAsia="zh-CN"/>
        </w:rPr>
      </w:pPr>
      <w:r>
        <w:rPr>
          <w:rFonts w:hint="eastAsia" w:ascii="宋体" w:hAnsi="宋体" w:eastAsia="宋体" w:cs="Times New Roman"/>
          <w:iCs/>
          <w:sz w:val="24"/>
          <w:szCs w:val="24"/>
          <w:lang w:val="en-US" w:eastAsia="zh-CN"/>
        </w:rPr>
        <w:t xml:space="preserve">7、乙方须在项目成交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numPr>
          <w:ilvl w:val="0"/>
          <w:numId w:val="0"/>
        </w:numPr>
        <w:ind w:left="400"/>
        <w:jc w:val="left"/>
        <w:keepLines/>
        <w:keepNext/>
        <w:pageBreakBefore w:val="0"/>
        <w:spacing w:before="0" w:after="0" w:line="480" w:lineRule="auto"/>
        <w:widowControl/>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highlight w:val="none"/>
          <w:lang w:val="en-US" w:eastAsia="zh-CN" w:bidi="ar-SA"/>
        </w:rPr>
        <w:t xml:space="preserve">二）、 </w:t>
      </w:r>
      <w:r>
        <w:rPr>
          <w:rFonts w:hint="eastAsia" w:ascii="宋体" w:hAnsi="宋体" w:eastAsia="宋体" w:cs="宋体"/>
          <w:sz w:val="24"/>
          <w:szCs w:val="24"/>
          <w:lang w:val="en-US" w:eastAsia="zh-CN" w:bidi="ar-SA"/>
        </w:rPr>
        <w:t xml:space="preserve">现场例行巡检</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1、检查监测设备是否可以正常使用、是否存在故障；确保设备可正常运行，避免日光直射各类分析仪器；</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2、检查采配水单元是否正常，如采水浮筒固定情况，自吸泵运行情况等；定期清洗采配水系统，包括采水头、泵体、水样杯、阀门、管路等，对于无法清洗干净的须及时更换；</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3、在封冻期来临前做好采水管路和保温等维护工作。</w:t>
      </w:r>
      <w:r/>
    </w:p>
    <w:p>
      <w:pPr>
        <w:numPr>
          <w:ilvl w:val="0"/>
          <w:numId w:val="0"/>
        </w:numPr>
        <w:ind w:left="403"/>
        <w:jc w:val="left"/>
        <w:keepLines/>
        <w:keepNext/>
        <w:pageBreakBefore w:val="0"/>
        <w:spacing w:before="0" w:after="0" w:line="480" w:lineRule="auto"/>
        <w:widowControl/>
        <w:rPr>
          <w:rFonts w:hint="eastAsia" w:ascii="宋体" w:hAnsi="宋体" w:eastAsia="宋体" w:cs="宋体"/>
          <w:sz w:val="24"/>
          <w:szCs w:val="24"/>
          <w:lang w:val="en-US" w:eastAsia="zh-CN" w:bidi="ar-SA"/>
        </w:rPr>
        <w:outlineLvl w:val="9"/>
      </w:pPr>
      <w:r>
        <w:rPr>
          <w:rFonts w:hint="eastAsia" w:ascii="宋体" w:hAnsi="宋体" w:eastAsia="Arial" w:cs="宋体"/>
          <w:sz w:val="24"/>
          <w:szCs w:val="24"/>
          <w:lang w:val="en-US" w:eastAsia="zh-CN" w:bidi="ar-SA"/>
        </w:rPr>
        <w:t xml:space="preserve">三）、</w:t>
      </w:r>
      <w:r>
        <w:rPr>
          <w:rFonts w:hint="eastAsia" w:ascii="宋体" w:hAnsi="宋体" w:eastAsia="宋体" w:cs="宋体"/>
          <w:sz w:val="24"/>
          <w:szCs w:val="24"/>
          <w:lang w:val="en-US" w:eastAsia="zh-CN" w:bidi="ar-SA"/>
        </w:rPr>
        <w:t xml:space="preserve">远程运行维护</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1、每日对监测数据进行远程审核,检查数据采集与传输状况，确认是否获取了相应设备的监测数据，对数据的真实准确性进行审核；</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2、当监测数据出现异常时，运维人员发送标样核查等质控指令，根据测试结果综合判断数据有效性，并将数据有效性判断结果提交至平台，实现远程质控；</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3、对设备的整体运行状况进行远程监控，获取仪器设备的关键参数，根据关键参数判断仪器运行情况，根据运行状态进行相应远程调试，如校时、复位、测试、校准等；</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4、远程监视采水设施、水位、流量、站房内外等现场情况，如发现异常，做到及时响应。</w:t>
      </w:r>
      <w:r/>
    </w:p>
    <w:p>
      <w:pPr>
        <w:numPr>
          <w:ilvl w:val="2"/>
          <w:numId w:val="0"/>
        </w:numPr>
        <w:ind w:left="403"/>
        <w:jc w:val="left"/>
        <w:keepLines/>
        <w:keepNext/>
        <w:pageBreakBefore w:val="0"/>
        <w:spacing w:before="0" w:after="0" w:line="480" w:lineRule="auto"/>
        <w:widowControl/>
        <w:rPr>
          <w:rFonts w:hint="eastAsia" w:ascii="宋体" w:hAnsi="宋体" w:eastAsia="宋体" w:cs="宋体"/>
          <w:b/>
          <w:sz w:val="24"/>
          <w:szCs w:val="24"/>
          <w:lang w:val="en-US" w:eastAsia="zh-CN" w:bidi="ar-SA"/>
        </w:rPr>
        <w:outlineLvl w:val="9"/>
      </w:pPr>
      <w:r>
        <w:rPr>
          <w:rFonts w:hint="eastAsia" w:ascii="宋体" w:hAnsi="宋体" w:eastAsia="宋体" w:cs="宋体"/>
          <w:b/>
          <w:sz w:val="24"/>
          <w:szCs w:val="24"/>
          <w:lang w:val="en-US" w:eastAsia="zh-CN" w:bidi="ar-SA"/>
        </w:rPr>
        <w:t xml:space="preserve">四）、数据平台管理</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1、系统调优：根据系统正常运行时的数据、系统调优前的各项数据、甲方希望达到的各组件所占的性能消耗比例和允许调整空间，明确调优的优先级，完成系统性能调优，以适应新的业务规模和交易量。</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故障排除：提供故障排除应急预案，并协助平台使用方的技术人员分析并解决运行中所遇到的系统故障，使系统能尽快恢复正常运行；提供电话、邮件、网络远程、现场故障服务受理；对重大故障提供现场支援，并提供系统（除服务器外）所需更换的备件。</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系统迁移：根据需求，进行软件的升级和调整、提供系统迁移方案、相应的文档资料和技术支持。提供软件工作需要的各种数据集成和接口，根据系统迁移操作规范和系统迁移方案完成系统迁移，并提交相应系统迁移记录报告。</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4、健康监测：对系统进行定期健康检查，提交检查报告。</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5、安全管理：对数据平台进行等保备案，加强生态环境网络安全。</w:t>
      </w:r>
      <w:r/>
    </w:p>
    <w:p>
      <w:pPr>
        <w:numPr>
          <w:ilvl w:val="2"/>
          <w:numId w:val="0"/>
        </w:numPr>
        <w:ind w:left="403"/>
        <w:jc w:val="left"/>
        <w:keepLines/>
        <w:keepNext/>
        <w:pageBreakBefore w:val="0"/>
        <w:spacing w:before="0" w:after="0" w:line="480" w:lineRule="auto"/>
        <w:widowControl/>
        <w:rPr>
          <w:rFonts w:hint="default" w:ascii="宋体" w:hAnsi="宋体" w:eastAsia="宋体" w:cs="宋体"/>
          <w:b/>
          <w:sz w:val="24"/>
          <w:szCs w:val="24"/>
          <w:lang w:val="en-US" w:eastAsia="zh-CN" w:bidi="ar-SA"/>
        </w:rPr>
        <w:outlineLvl w:val="9"/>
      </w:pPr>
      <w:r>
        <w:rPr>
          <w:rFonts w:hint="eastAsia" w:ascii="宋体" w:hAnsi="宋体" w:eastAsia="宋体" w:cs="宋体"/>
          <w:b/>
          <w:sz w:val="24"/>
          <w:szCs w:val="24"/>
          <w:lang w:val="en-US" w:eastAsia="zh-CN" w:bidi="ar-SA"/>
        </w:rPr>
        <w:t xml:space="preserve">五）、</w:t>
      </w:r>
      <w:r>
        <w:rPr>
          <w:rFonts w:hint="default" w:ascii="宋体" w:hAnsi="宋体" w:eastAsia="宋体" w:cs="宋体"/>
          <w:b/>
          <w:sz w:val="24"/>
          <w:szCs w:val="24"/>
          <w:lang w:val="en-US" w:eastAsia="zh-CN" w:bidi="ar-SA"/>
        </w:rPr>
        <w:t xml:space="preserve">运维过程中主要完成以下工作</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eastAsia" w:ascii="Times New Roman" w:hAnsi="Times New Roman" w:eastAsia="宋体" w:cs="Times New Roman"/>
          <w:sz w:val="24"/>
          <w:szCs w:val="24"/>
          <w:highlight w:val="none"/>
          <w:lang w:eastAsia="zh-CN"/>
        </w:rPr>
      </w:pPr>
      <w:r>
        <w:rPr>
          <w:rFonts w:hint="eastAsia" w:ascii="宋体" w:hAnsi="宋体" w:eastAsia="宋体" w:cs="Times New Roman"/>
          <w:sz w:val="24"/>
          <w:szCs w:val="24"/>
          <w:lang w:val="en-US" w:eastAsia="zh-CN"/>
        </w:rPr>
        <w:t xml:space="preserve">1、</w:t>
      </w:r>
      <w:r>
        <w:rPr>
          <w:rFonts w:hint="default" w:ascii="宋体" w:hAnsi="宋体" w:eastAsia="宋体" w:cs="Times New Roman"/>
          <w:sz w:val="24"/>
          <w:szCs w:val="24"/>
        </w:rPr>
        <w:t xml:space="preserve">日常运行维护。</w:t>
      </w:r>
      <w:r>
        <w:rPr>
          <w:rFonts w:hint="default" w:ascii="宋体" w:hAnsi="宋体" w:eastAsia="宋体" w:cs="Times New Roman"/>
          <w:sz w:val="24"/>
          <w:szCs w:val="24"/>
          <w:highlight w:val="none"/>
        </w:rPr>
        <w:t xml:space="preserve">提供、配制并定期更换监测仪器所需试剂、气体和标样；根据仪器运行状况和类型，定期对溶解氧电极、氨氮电极、pH电极、高锰酸盐指数电极、总磷UV等耗材进行更换，其余备品备件根据江苏省有关备品备件管理制度的要求按期更换。所有备品备件均由</w:t>
      </w:r>
      <w:r>
        <w:rPr>
          <w:rFonts w:hint="eastAsia" w:ascii="宋体" w:hAnsi="宋体" w:eastAsia="宋体" w:cs="Times New Roman"/>
          <w:sz w:val="24"/>
          <w:szCs w:val="24"/>
          <w:highlight w:val="none"/>
          <w:lang w:eastAsia="zh-CN"/>
        </w:rPr>
        <w:t xml:space="preserve">乙方</w:t>
      </w:r>
      <w:r>
        <w:rPr>
          <w:rFonts w:hint="default" w:ascii="宋体" w:hAnsi="宋体" w:eastAsia="宋体" w:cs="Times New Roman"/>
          <w:sz w:val="24"/>
          <w:szCs w:val="24"/>
          <w:highlight w:val="none"/>
        </w:rPr>
        <w:t xml:space="preserve">提供</w:t>
      </w:r>
      <w:r>
        <w:rPr>
          <w:rFonts w:hint="eastAsia" w:ascii="宋体" w:hAnsi="宋体" w:eastAsia="宋体" w:cs="Times New Roman"/>
          <w:sz w:val="24"/>
          <w:szCs w:val="24"/>
          <w:highlight w:val="none"/>
          <w:lang w:eastAsia="zh-CN"/>
        </w:rPr>
        <w:t xml:space="preserve">；承担监控设备的运行维护和故障维修</w:t>
      </w:r>
      <w:r>
        <w:rPr>
          <w:rFonts w:hint="default" w:ascii="宋体" w:hAnsi="宋体" w:eastAsia="宋体" w:cs="Times New Roman"/>
          <w:sz w:val="24"/>
          <w:szCs w:val="24"/>
          <w:highlight w:val="none"/>
        </w:rPr>
        <w:t xml:space="preserve">。</w:t>
      </w:r>
      <w:r/>
    </w:p>
    <w:p>
      <w:pPr>
        <w:contextualSpacing/>
        <w:ind w:firstLine="480"/>
        <w:jc w:val="both"/>
        <w:spacing w:line="480" w:lineRule="exact"/>
        <w:widowControl/>
        <w:tabs>
          <w:tab w:val="left" w:pos="567" w:leader="none"/>
          <w:tab w:val="left" w:pos="180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2、</w:t>
      </w:r>
      <w:r>
        <w:rPr>
          <w:rFonts w:hint="default" w:ascii="宋体" w:hAnsi="宋体" w:eastAsia="宋体" w:cs="Times New Roman"/>
          <w:sz w:val="24"/>
          <w:szCs w:val="24"/>
        </w:rPr>
        <w:t xml:space="preserve">日常质量管理。对</w:t>
      </w:r>
      <w:r>
        <w:rPr>
          <w:rFonts w:hint="eastAsia" w:ascii="宋体" w:hAnsi="宋体" w:eastAsia="宋体" w:cs="Times New Roman"/>
          <w:sz w:val="24"/>
          <w:szCs w:val="24"/>
          <w:lang w:eastAsia="zh-CN"/>
        </w:rPr>
        <w:t xml:space="preserve">仪器</w:t>
      </w:r>
      <w:r>
        <w:rPr>
          <w:rFonts w:hint="default" w:ascii="宋体" w:hAnsi="宋体" w:eastAsia="宋体" w:cs="Times New Roman"/>
          <w:sz w:val="24"/>
          <w:szCs w:val="24"/>
        </w:rPr>
        <w:t xml:space="preserve">仪表进行定期校准、核查、比对、性能测试。配合</w:t>
      </w:r>
      <w:r>
        <w:rPr>
          <w:rFonts w:hint="eastAsia" w:ascii="宋体" w:hAnsi="宋体" w:eastAsia="宋体" w:cs="宋体"/>
          <w:bCs/>
          <w:color w:val="000000"/>
          <w:sz w:val="24"/>
          <w:szCs w:val="24"/>
          <w:lang w:eastAsia="zh-CN"/>
        </w:rPr>
        <w:t xml:space="preserve">甲方</w:t>
      </w:r>
      <w:r>
        <w:rPr>
          <w:rFonts w:hint="default" w:ascii="宋体" w:hAnsi="宋体" w:eastAsia="宋体" w:cs="Times New Roman"/>
          <w:sz w:val="24"/>
          <w:szCs w:val="24"/>
        </w:rPr>
        <w:t xml:space="preserve">进行质量保证和质量质控工作。</w:t>
      </w:r>
      <w:r/>
    </w:p>
    <w:p>
      <w:pPr>
        <w:contextualSpacing/>
        <w:ind w:firstLine="480"/>
        <w:jc w:val="both"/>
        <w:spacing w:line="480" w:lineRule="exact"/>
        <w:widowControl/>
        <w:tabs>
          <w:tab w:val="left" w:pos="567"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3、</w:t>
      </w:r>
      <w:r>
        <w:rPr>
          <w:rFonts w:hint="default" w:ascii="宋体" w:hAnsi="宋体" w:eastAsia="宋体" w:cs="Times New Roman"/>
          <w:sz w:val="24"/>
          <w:szCs w:val="24"/>
        </w:rPr>
        <w:t xml:space="preserve">日常安全管</w:t>
      </w:r>
      <w:r>
        <w:rPr>
          <w:rFonts w:hint="default" w:ascii="宋体" w:hAnsi="宋体" w:eastAsia="宋体" w:cs="Times New Roman"/>
          <w:sz w:val="24"/>
          <w:szCs w:val="24"/>
          <w:highlight w:val="none"/>
        </w:rPr>
        <w:t xml:space="preserve">理。运营维护期间所需水电、通讯费用</w:t>
      </w:r>
      <w:r>
        <w:rPr>
          <w:rFonts w:hint="eastAsia" w:ascii="宋体" w:hAnsi="宋体" w:eastAsia="宋体" w:cs="Times New Roman"/>
          <w:sz w:val="24"/>
          <w:szCs w:val="24"/>
          <w:highlight w:val="none"/>
          <w:lang w:eastAsia="zh-CN"/>
        </w:rPr>
        <w:t xml:space="preserve">、</w:t>
      </w:r>
      <w:r>
        <w:rPr>
          <w:rFonts w:hint="default" w:ascii="宋体" w:hAnsi="宋体" w:eastAsia="宋体" w:cs="宋体"/>
          <w:sz w:val="24"/>
          <w:szCs w:val="24"/>
          <w:lang w:val="en-US" w:eastAsia="zh-CN"/>
        </w:rPr>
        <w:t xml:space="preserve">微型站网络流量费和萤石云系统云空间服务费</w:t>
      </w:r>
      <w:r>
        <w:rPr>
          <w:rFonts w:hint="default" w:ascii="宋体" w:hAnsi="宋体" w:eastAsia="宋体" w:cs="Times New Roman"/>
          <w:sz w:val="24"/>
          <w:szCs w:val="24"/>
          <w:highlight w:val="none"/>
        </w:rPr>
        <w:t xml:space="preserve">由</w:t>
      </w:r>
      <w:r>
        <w:rPr>
          <w:rFonts w:hint="eastAsia" w:ascii="宋体" w:hAnsi="宋体" w:eastAsia="宋体" w:cs="Times New Roman"/>
          <w:sz w:val="24"/>
          <w:szCs w:val="24"/>
          <w:highlight w:val="none"/>
          <w:lang w:eastAsia="zh-CN"/>
        </w:rPr>
        <w:t xml:space="preserve">乙方</w:t>
      </w:r>
      <w:r>
        <w:rPr>
          <w:rFonts w:hint="default" w:ascii="宋体" w:hAnsi="宋体" w:eastAsia="宋体" w:cs="Times New Roman"/>
          <w:sz w:val="24"/>
          <w:szCs w:val="24"/>
          <w:highlight w:val="none"/>
        </w:rPr>
        <w:t xml:space="preserve">负责，委托运营维护及管理的全部资产（包括全部产权和建筑物、设备、软件、配套设施、</w:t>
      </w:r>
      <w:r>
        <w:rPr>
          <w:rFonts w:hint="eastAsia" w:ascii="宋体" w:hAnsi="宋体" w:eastAsia="宋体" w:cs="Times New Roman"/>
          <w:sz w:val="24"/>
          <w:szCs w:val="24"/>
          <w:lang w:eastAsia="zh-CN"/>
        </w:rPr>
        <w:t xml:space="preserve">微型站</w:t>
      </w:r>
      <w:r>
        <w:rPr>
          <w:rFonts w:hint="default" w:ascii="宋体" w:hAnsi="宋体" w:eastAsia="宋体" w:cs="Times New Roman"/>
          <w:sz w:val="24"/>
          <w:szCs w:val="24"/>
        </w:rPr>
        <w:t xml:space="preserve">站和配套系统产生的各类数据信息及相关文档资料）属</w:t>
      </w:r>
      <w:r>
        <w:rPr>
          <w:rFonts w:hint="eastAsia" w:ascii="宋体" w:hAnsi="宋体" w:eastAsia="宋体" w:cs="Times New Roman"/>
          <w:sz w:val="24"/>
          <w:szCs w:val="24"/>
          <w:lang w:eastAsia="zh-CN"/>
        </w:rPr>
        <w:t xml:space="preserve">甲</w:t>
      </w:r>
      <w:r>
        <w:rPr>
          <w:rFonts w:hint="default" w:ascii="宋体" w:hAnsi="宋体" w:eastAsia="宋体" w:cs="Times New Roman"/>
          <w:sz w:val="24"/>
          <w:szCs w:val="24"/>
        </w:rPr>
        <w:t xml:space="preserve">方所有。</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不得以任何方式对各类财产进行出售、抵押或转移；同时，在委托运营及管理期间，</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有责任保证上述全部资产的完整、安全并处于良好状态。</w:t>
      </w:r>
      <w:r/>
    </w:p>
    <w:p>
      <w:pPr>
        <w:contextualSpacing/>
        <w:ind w:firstLine="360"/>
        <w:jc w:val="both"/>
        <w:spacing w:line="480" w:lineRule="exact"/>
        <w:widowControl/>
        <w:tabs>
          <w:tab w:val="left" w:pos="567"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w:t>
      </w:r>
      <w:r>
        <w:rPr>
          <w:rFonts w:hint="default" w:ascii="宋体" w:hAnsi="宋体" w:eastAsia="宋体" w:cs="Times New Roman"/>
          <w:sz w:val="24"/>
          <w:szCs w:val="24"/>
        </w:rPr>
        <w:t xml:space="preserve">运维记录的规范、上报。认真、及时做好运行维护记录，汇总各</w:t>
      </w:r>
      <w:r>
        <w:rPr>
          <w:rFonts w:hint="eastAsia" w:ascii="宋体" w:hAnsi="宋体" w:eastAsia="宋体" w:cs="Times New Roman"/>
          <w:sz w:val="24"/>
          <w:szCs w:val="24"/>
          <w:lang w:eastAsia="zh-CN"/>
        </w:rPr>
        <w:t xml:space="preserve">站</w:t>
      </w:r>
      <w:r>
        <w:rPr>
          <w:rFonts w:hint="default" w:ascii="宋体" w:hAnsi="宋体" w:eastAsia="宋体" w:cs="Times New Roman"/>
          <w:sz w:val="24"/>
          <w:szCs w:val="24"/>
        </w:rPr>
        <w:t xml:space="preserve">每周维护记录，每月以书面形式报</w:t>
      </w:r>
      <w:r>
        <w:rPr>
          <w:rFonts w:hint="eastAsia" w:ascii="宋体" w:hAnsi="宋体" w:eastAsia="宋体" w:cs="宋体"/>
          <w:bCs/>
          <w:color w:val="000000"/>
          <w:sz w:val="24"/>
          <w:szCs w:val="24"/>
          <w:lang w:eastAsia="zh-CN"/>
        </w:rPr>
        <w:t xml:space="preserve">甲方</w:t>
      </w:r>
      <w:r>
        <w:rPr>
          <w:rFonts w:hint="default" w:ascii="宋体" w:hAnsi="宋体" w:eastAsia="宋体" w:cs="Times New Roman"/>
          <w:sz w:val="24"/>
          <w:szCs w:val="24"/>
        </w:rPr>
        <w:t xml:space="preserve">，书面报告作为运行维护考核依据之一，具体包括：</w:t>
      </w:r>
      <w:r/>
    </w:p>
    <w:p>
      <w:pPr>
        <w:contextualSpacing/>
        <w:ind w:firstLine="480"/>
        <w:jc w:val="both"/>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4.1</w:t>
      </w:r>
      <w:r>
        <w:rPr>
          <w:rFonts w:hint="default" w:ascii="宋体" w:hAnsi="宋体" w:eastAsia="宋体" w:cs="Times New Roman"/>
          <w:sz w:val="24"/>
          <w:szCs w:val="24"/>
        </w:rPr>
        <w:t xml:space="preserve">每日运行数据情况统计</w:t>
      </w:r>
      <w:r/>
    </w:p>
    <w:p>
      <w:pPr>
        <w:contextualSpacing/>
        <w:ind w:firstLine="480"/>
        <w:jc w:val="both"/>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4.2</w:t>
      </w:r>
      <w:r>
        <w:rPr>
          <w:rFonts w:hint="default" w:ascii="宋体" w:hAnsi="宋体" w:eastAsia="宋体" w:cs="Times New Roman"/>
          <w:sz w:val="24"/>
          <w:szCs w:val="24"/>
        </w:rPr>
        <w:t xml:space="preserve">现场维护记录</w:t>
      </w:r>
      <w:r/>
    </w:p>
    <w:p>
      <w:pPr>
        <w:contextualSpacing/>
        <w:ind w:firstLine="480"/>
        <w:jc w:val="both"/>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4.3</w:t>
      </w:r>
      <w:r>
        <w:rPr>
          <w:rFonts w:hint="default" w:ascii="宋体" w:hAnsi="宋体" w:eastAsia="宋体" w:cs="Times New Roman"/>
          <w:sz w:val="24"/>
          <w:szCs w:val="24"/>
        </w:rPr>
        <w:t xml:space="preserve">仪器设备故障及排除情况登记表</w:t>
      </w:r>
      <w:r/>
    </w:p>
    <w:p>
      <w:pPr>
        <w:contextualSpacing/>
        <w:ind w:firstLine="480"/>
        <w:jc w:val="both"/>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4.4</w:t>
      </w:r>
      <w:r>
        <w:rPr>
          <w:rFonts w:hint="default" w:ascii="宋体" w:hAnsi="宋体" w:eastAsia="宋体" w:cs="Times New Roman"/>
          <w:sz w:val="24"/>
          <w:szCs w:val="24"/>
        </w:rPr>
        <w:t xml:space="preserve">每月运行情况</w:t>
      </w:r>
      <w:r/>
    </w:p>
    <w:p>
      <w:pPr>
        <w:contextualSpacing/>
        <w:ind w:firstLine="480"/>
        <w:jc w:val="both"/>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4.5</w:t>
      </w:r>
      <w:r>
        <w:rPr>
          <w:rFonts w:hint="default" w:ascii="宋体" w:hAnsi="宋体" w:eastAsia="宋体" w:cs="Times New Roman"/>
          <w:sz w:val="24"/>
          <w:szCs w:val="24"/>
        </w:rPr>
        <w:t xml:space="preserve">备品备件管理登记表</w:t>
      </w:r>
      <w:r/>
    </w:p>
    <w:p>
      <w:pPr>
        <w:contextualSpacing/>
        <w:ind w:firstLine="480"/>
        <w:jc w:val="both"/>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5、</w:t>
      </w:r>
      <w:r>
        <w:rPr>
          <w:rFonts w:hint="default" w:ascii="宋体" w:hAnsi="宋体" w:eastAsia="宋体" w:cs="Times New Roman"/>
          <w:sz w:val="24"/>
          <w:szCs w:val="24"/>
        </w:rPr>
        <w:t xml:space="preserve">仪器设备及其他相关辅助设备设施的维护保养及故障维修。</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须针对</w:t>
      </w:r>
      <w:r>
        <w:rPr>
          <w:rFonts w:hint="eastAsia" w:ascii="宋体" w:hAnsi="宋体" w:eastAsia="宋体" w:cs="Times New Roman"/>
          <w:sz w:val="24"/>
          <w:szCs w:val="24"/>
          <w:lang w:eastAsia="zh-CN"/>
        </w:rPr>
        <w:t xml:space="preserve">设备</w:t>
      </w:r>
      <w:r>
        <w:rPr>
          <w:rFonts w:hint="default" w:ascii="宋体" w:hAnsi="宋体" w:eastAsia="宋体" w:cs="Times New Roman"/>
          <w:sz w:val="24"/>
          <w:szCs w:val="24"/>
        </w:rPr>
        <w:t xml:space="preserve">系统和仪表制定年度保养检修计划并按期进行。保养检修包括系统的清洗和检修、仪器管路清洗、主要备件的更换、仪器的性能测试检查等内容。按照《江苏省环境水质（地表水）自动监测预警系统运行管理办法（试行）》要求，及时排除</w:t>
      </w:r>
      <w:r>
        <w:rPr>
          <w:rFonts w:hint="eastAsia" w:ascii="宋体" w:hAnsi="宋体" w:eastAsia="宋体" w:cs="Times New Roman"/>
          <w:sz w:val="24"/>
          <w:szCs w:val="24"/>
          <w:lang w:eastAsia="zh-CN"/>
        </w:rPr>
        <w:t xml:space="preserve">设备</w:t>
      </w:r>
      <w:r>
        <w:rPr>
          <w:rFonts w:hint="default" w:ascii="宋体" w:hAnsi="宋体" w:eastAsia="宋体" w:cs="Times New Roman"/>
          <w:sz w:val="24"/>
          <w:szCs w:val="24"/>
        </w:rPr>
        <w:t xml:space="preserve">系统和仪表出现的故障，并对各种原因造成的仪器故障进行维修（由于地震、洪水和战争等不可预防和不可抗拒因素造成的</w:t>
      </w:r>
      <w:r>
        <w:rPr>
          <w:rFonts w:hint="eastAsia" w:ascii="宋体" w:hAnsi="宋体" w:eastAsia="宋体" w:cs="Times New Roman"/>
          <w:sz w:val="24"/>
          <w:szCs w:val="24"/>
          <w:lang w:eastAsia="zh-CN"/>
        </w:rPr>
        <w:t xml:space="preserve">设备</w:t>
      </w:r>
      <w:r>
        <w:rPr>
          <w:rFonts w:hint="default" w:ascii="宋体" w:hAnsi="宋体" w:eastAsia="宋体" w:cs="Times New Roman"/>
          <w:sz w:val="24"/>
          <w:szCs w:val="24"/>
        </w:rPr>
        <w:t xml:space="preserve">系统及仪器损坏除外）。</w:t>
      </w:r>
      <w:r/>
    </w:p>
    <w:p>
      <w:pPr>
        <w:contextualSpacing/>
        <w:ind w:firstLine="480"/>
        <w:jc w:val="both"/>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6、</w:t>
      </w:r>
      <w:r>
        <w:rPr>
          <w:rFonts w:hint="default" w:ascii="宋体" w:hAnsi="宋体" w:eastAsia="宋体" w:cs="Times New Roman"/>
          <w:sz w:val="24"/>
          <w:szCs w:val="24"/>
        </w:rPr>
        <w:t xml:space="preserve">数据采集及传输系统的维护及维修，保证通讯正常。</w:t>
      </w:r>
      <w:r/>
    </w:p>
    <w:p>
      <w:pPr>
        <w:contextualSpacing/>
        <w:ind w:firstLine="480"/>
        <w:jc w:val="both"/>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7、</w:t>
      </w:r>
      <w:r>
        <w:rPr>
          <w:rFonts w:hint="default" w:ascii="宋体" w:hAnsi="宋体" w:eastAsia="宋体" w:cs="Times New Roman"/>
          <w:sz w:val="24"/>
          <w:szCs w:val="24"/>
        </w:rPr>
        <w:t xml:space="preserve">当仪器出现故障不能及时修复时，应在24小时之内使用备机开展</w:t>
      </w:r>
      <w:r>
        <w:rPr>
          <w:rFonts w:hint="eastAsia" w:ascii="宋体" w:hAnsi="宋体" w:eastAsia="宋体" w:cs="Times New Roman"/>
          <w:sz w:val="24"/>
          <w:szCs w:val="24"/>
          <w:lang w:eastAsia="zh-CN"/>
        </w:rPr>
        <w:t xml:space="preserve">工作。</w:t>
      </w:r>
      <w:r/>
    </w:p>
    <w:p>
      <w:pPr>
        <w:contextualSpacing/>
        <w:ind w:right="45" w:firstLine="480"/>
        <w:jc w:val="both"/>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8、</w:t>
      </w:r>
      <w:r>
        <w:rPr>
          <w:rFonts w:hint="default" w:ascii="宋体" w:hAnsi="宋体" w:eastAsia="宋体" w:cs="Times New Roman"/>
          <w:sz w:val="24"/>
          <w:szCs w:val="24"/>
        </w:rPr>
        <w:t xml:space="preserve">仪器报废后（包括使用超过8年导致，或因洪水、地震、台风、站房外部火灾、爆炸、恐怖袭击、武装冲突、蓄意破坏等不可抗力导致），</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须先行及时使用备机开展</w:t>
      </w:r>
      <w:r>
        <w:rPr>
          <w:rFonts w:hint="eastAsia" w:ascii="宋体" w:hAnsi="宋体" w:eastAsia="宋体" w:cs="Times New Roman"/>
          <w:sz w:val="24"/>
          <w:szCs w:val="24"/>
          <w:lang w:eastAsia="zh-CN"/>
        </w:rPr>
        <w:t xml:space="preserve">工作</w:t>
      </w:r>
      <w:r>
        <w:rPr>
          <w:rFonts w:hint="default" w:ascii="宋体" w:hAnsi="宋体" w:eastAsia="宋体" w:cs="Times New Roman"/>
          <w:sz w:val="24"/>
          <w:szCs w:val="24"/>
        </w:rPr>
        <w:t xml:space="preserve">，同时报告</w:t>
      </w:r>
      <w:r>
        <w:rPr>
          <w:rFonts w:hint="eastAsia" w:ascii="宋体" w:hAnsi="宋体" w:eastAsia="宋体" w:cs="宋体"/>
          <w:bCs/>
          <w:color w:val="000000"/>
          <w:sz w:val="24"/>
          <w:szCs w:val="24"/>
          <w:lang w:eastAsia="zh-CN"/>
        </w:rPr>
        <w:t xml:space="preserve">甲方</w:t>
      </w:r>
      <w:r>
        <w:rPr>
          <w:rFonts w:hint="default" w:ascii="宋体" w:hAnsi="宋体" w:eastAsia="宋体" w:cs="Times New Roman"/>
          <w:sz w:val="24"/>
          <w:szCs w:val="24"/>
        </w:rPr>
        <w:t xml:space="preserve">。</w:t>
      </w:r>
      <w:r/>
    </w:p>
    <w:p>
      <w:pPr>
        <w:contextualSpacing/>
        <w:ind w:right="45" w:firstLine="480"/>
        <w:jc w:val="both"/>
        <w:spacing w:line="480" w:lineRule="exact"/>
        <w:widowControl/>
        <w:tabs>
          <w:tab w:val="left" w:pos="567" w:leader="none"/>
          <w:tab w:val="left" w:pos="709" w:leader="none"/>
          <w:tab w:val="left" w:pos="993" w:leader="none"/>
        </w:tabs>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9、</w:t>
      </w:r>
      <w:r>
        <w:rPr>
          <w:rFonts w:hint="default" w:ascii="宋体" w:hAnsi="宋体" w:eastAsia="宋体" w:cs="Times New Roman"/>
          <w:sz w:val="24"/>
          <w:szCs w:val="24"/>
        </w:rPr>
        <w:t xml:space="preserve">当点位需要新增、撤销、变更时，由</w:t>
      </w:r>
      <w:r>
        <w:rPr>
          <w:rFonts w:hint="eastAsia" w:ascii="宋体" w:hAnsi="宋体" w:eastAsia="宋体" w:cs="Times New Roman"/>
          <w:sz w:val="24"/>
          <w:szCs w:val="24"/>
          <w:lang w:eastAsia="zh-CN"/>
        </w:rPr>
        <w:t xml:space="preserve">甲方</w:t>
      </w:r>
      <w:r>
        <w:rPr>
          <w:rFonts w:hint="default" w:ascii="宋体" w:hAnsi="宋体" w:eastAsia="宋体" w:cs="Times New Roman"/>
          <w:sz w:val="24"/>
          <w:szCs w:val="24"/>
        </w:rPr>
        <w:t xml:space="preserve">按照点位管理程序向省生态环境厅报批。涉及站点迁移的，</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应做好迁移前后仪器设备检查工作并做好相关记录。</w:t>
      </w:r>
      <w:r/>
    </w:p>
    <w:p>
      <w:pPr>
        <w:contextualSpacing/>
        <w:ind w:firstLine="480"/>
        <w:jc w:val="both"/>
        <w:spacing w:line="480" w:lineRule="exact"/>
        <w:widowControl/>
        <w:tabs>
          <w:tab w:val="left" w:pos="2280" w:leader="none"/>
        </w:tabs>
        <w:rPr>
          <w:rFonts w:hint="eastAsia" w:ascii="宋体" w:hAnsi="宋体" w:eastAsia="宋体" w:cs="Times New Roman"/>
          <w:iCs/>
          <w:sz w:val="24"/>
          <w:szCs w:val="24"/>
        </w:rPr>
      </w:pPr>
      <w:r>
        <w:rPr>
          <w:rFonts w:hint="eastAsia" w:ascii="宋体" w:hAnsi="宋体" w:eastAsia="宋体" w:cs="Times New Roman"/>
          <w:sz w:val="24"/>
          <w:szCs w:val="24"/>
          <w:lang w:val="en-US" w:eastAsia="zh-CN"/>
        </w:rPr>
        <w:t xml:space="preserve">10、</w:t>
      </w:r>
      <w:r>
        <w:rPr>
          <w:rFonts w:hint="eastAsia" w:ascii="宋体" w:hAnsi="宋体" w:eastAsia="宋体" w:cs="Times New Roman"/>
          <w:iCs/>
          <w:sz w:val="24"/>
          <w:szCs w:val="24"/>
          <w:lang w:eastAsia="zh-CN"/>
        </w:rPr>
        <w:t xml:space="preserve">乙方需</w:t>
      </w:r>
      <w:r>
        <w:rPr>
          <w:rFonts w:hint="eastAsia" w:ascii="宋体" w:hAnsi="宋体" w:eastAsia="宋体" w:cs="Times New Roman"/>
          <w:iCs/>
          <w:sz w:val="24"/>
          <w:szCs w:val="24"/>
        </w:rPr>
        <w:t xml:space="preserve">制定</w:t>
      </w:r>
      <w:r>
        <w:rPr>
          <w:rFonts w:hint="default" w:ascii="宋体" w:hAnsi="宋体" w:eastAsia="宋体" w:cs="Times New Roman"/>
          <w:iCs/>
          <w:sz w:val="24"/>
          <w:szCs w:val="24"/>
        </w:rPr>
        <w:t xml:space="preserve">应急事故处理方案</w:t>
      </w:r>
      <w:r>
        <w:rPr>
          <w:rFonts w:hint="eastAsia" w:ascii="宋体" w:hAnsi="宋体" w:eastAsia="宋体" w:cs="Times New Roman"/>
          <w:iCs/>
          <w:sz w:val="24"/>
          <w:szCs w:val="24"/>
        </w:rPr>
        <w:t xml:space="preserve">，</w:t>
      </w:r>
      <w:r>
        <w:rPr>
          <w:rFonts w:hint="default" w:ascii="宋体" w:hAnsi="宋体" w:eastAsia="宋体" w:cs="Times New Roman"/>
          <w:iCs/>
          <w:sz w:val="24"/>
          <w:szCs w:val="24"/>
        </w:rPr>
        <w:t xml:space="preserve">内容包括突发性水质污染、特殊时期（丰水期、枯水期）、自然灾害、水电检修、临时停电或节假日、重大活动或被破坏情况</w:t>
      </w:r>
      <w:r>
        <w:rPr>
          <w:rFonts w:hint="eastAsia" w:ascii="宋体" w:hAnsi="宋体" w:eastAsia="宋体" w:cs="Times New Roman"/>
          <w:iCs/>
          <w:sz w:val="24"/>
          <w:szCs w:val="24"/>
        </w:rPr>
        <w:t xml:space="preserve">。</w:t>
      </w:r>
      <w:r/>
    </w:p>
    <w:p>
      <w:pPr>
        <w:contextualSpacing/>
        <w:ind w:firstLine="480"/>
        <w:jc w:val="both"/>
        <w:spacing w:line="480" w:lineRule="exact"/>
        <w:widowControl/>
        <w:tabs>
          <w:tab w:val="left" w:pos="2280" w:leader="none"/>
        </w:tabs>
        <w:rPr>
          <w:rFonts w:hint="eastAsia" w:ascii="Times New Roman" w:hAnsi="Times New Roman" w:eastAsia="宋体" w:cs="Times New Roman"/>
          <w:sz w:val="20"/>
          <w:szCs w:val="20"/>
          <w:lang w:val="en-US" w:eastAsia="zh-CN"/>
        </w:rPr>
      </w:pPr>
      <w:r>
        <w:rPr>
          <w:rFonts w:hint="eastAsia" w:ascii="宋体" w:hAnsi="宋体" w:eastAsia="宋体" w:cs="Times New Roman"/>
          <w:iCs/>
          <w:sz w:val="24"/>
          <w:szCs w:val="24"/>
          <w:lang w:val="en-US" w:eastAsia="zh-CN"/>
        </w:rPr>
        <w:t xml:space="preserve">11、</w:t>
      </w:r>
      <w:r>
        <w:rPr>
          <w:rFonts w:hint="default" w:ascii="宋体" w:hAnsi="宋体" w:eastAsia="宋体" w:cs="Times New Roman"/>
          <w:sz w:val="24"/>
          <w:szCs w:val="24"/>
        </w:rPr>
        <w:t xml:space="preserve">当水站数据发现异常或发现所在断面发生污染事故时，须2小时内到达站点核查仪器运行状态，保证系统仪器正常运行，数据准确，传输畅通，并协助进行手工监测复核。</w:t>
      </w:r>
      <w:r/>
    </w:p>
    <w:p>
      <w:pPr>
        <w:contextualSpacing/>
        <w:ind w:firstLine="480"/>
        <w:jc w:val="both"/>
        <w:spacing w:line="480" w:lineRule="exact"/>
        <w:widowControl/>
        <w:tabs>
          <w:tab w:val="left" w:pos="2280" w:leader="none"/>
        </w:tabs>
        <w:rPr>
          <w:rFonts w:hint="eastAsia" w:ascii="Times New Roman" w:hAnsi="Times New Roman" w:eastAsia="宋体" w:cs="Times New Roman"/>
          <w:sz w:val="20"/>
          <w:szCs w:val="20"/>
          <w:lang w:val="en-US" w:eastAsia="zh-CN"/>
        </w:rPr>
      </w:pPr>
      <w:r>
        <w:rPr>
          <w:rFonts w:hint="eastAsia" w:ascii="宋体" w:hAnsi="宋体" w:eastAsia="宋体" w:cs="Times New Roman"/>
          <w:sz w:val="24"/>
          <w:szCs w:val="24"/>
          <w:lang w:val="en-US" w:eastAsia="zh-CN"/>
        </w:rPr>
        <w:t xml:space="preserve">12、</w:t>
      </w:r>
      <w:r>
        <w:rPr>
          <w:rFonts w:hint="default" w:ascii="宋体" w:hAnsi="宋体" w:eastAsia="宋体" w:cs="Times New Roman"/>
          <w:sz w:val="24"/>
          <w:szCs w:val="24"/>
        </w:rPr>
        <w:t xml:space="preserve">当水质自动站系统仪器出现故障、停运时，</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应保证在2小时内到达现场检修，如24小时内无法排除故障，导致水站主要监测指标无法连续监测时，须在48小时内更换备机；因水电中断或采水故障，水站无法正常运行的，应委托有资质的检测机构进行检测以确保数据的完整性，实验室检测数据不少于每周两组（不得为同一天监测）。并及时用电话与书面形式报告</w:t>
      </w:r>
      <w:r>
        <w:rPr>
          <w:rFonts w:hint="eastAsia" w:ascii="宋体" w:hAnsi="宋体" w:eastAsia="宋体" w:cs="Times New Roman"/>
          <w:sz w:val="24"/>
          <w:szCs w:val="24"/>
          <w:lang w:eastAsia="zh-CN"/>
        </w:rPr>
        <w:t xml:space="preserve">甲方</w:t>
      </w:r>
      <w:r>
        <w:rPr>
          <w:rFonts w:hint="default" w:ascii="宋体" w:hAnsi="宋体" w:eastAsia="宋体" w:cs="Times New Roman"/>
          <w:sz w:val="24"/>
          <w:szCs w:val="24"/>
        </w:rPr>
        <w:t xml:space="preserve">，协商处理方案。</w:t>
      </w:r>
      <w:r/>
    </w:p>
    <w:p>
      <w:pPr>
        <w:contextualSpacing/>
        <w:jc w:val="both"/>
        <w:spacing w:line="440" w:lineRule="exact"/>
        <w:widowControl/>
        <w:tabs>
          <w:tab w:val="left" w:pos="2280" w:leader="none"/>
        </w:tabs>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六）、机构、人员、车辆、设备配备要求</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1、乙方须指派</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为</w:t>
      </w:r>
      <w:r>
        <w:rPr>
          <w:rFonts w:hint="eastAsia" w:ascii="宋体" w:hAnsi="宋体" w:eastAsia="宋体" w:cs="宋体"/>
          <w:sz w:val="24"/>
          <w:szCs w:val="24"/>
          <w:lang w:val="en-US" w:eastAsia="zh-CN"/>
        </w:rPr>
        <w:t xml:space="preserve">本项目的总协调人，保障本项目资源协调和统筹运维工作；指派</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为</w:t>
      </w:r>
      <w:r>
        <w:rPr>
          <w:rFonts w:hint="eastAsia" w:ascii="宋体" w:hAnsi="宋体" w:eastAsia="宋体" w:cs="宋体"/>
          <w:sz w:val="24"/>
          <w:szCs w:val="24"/>
          <w:lang w:val="en-US" w:eastAsia="zh-CN"/>
        </w:rPr>
        <w:t xml:space="preserve">本项目的技术负责人，保障本项目技术支持工作。</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运维期间配备运维人员4名，其中现场运维人员2名、远程管理人员1名、运维报告编制人员1名，负责设备巡检、数据核对校准、突发事件应急巡查、设备及监测数据的远程维护、运维报告编制等</w:t>
      </w:r>
      <w:r>
        <w:rPr>
          <w:rFonts w:hint="eastAsia" w:ascii="宋体" w:hAnsi="宋体" w:eastAsia="宋体" w:cs="宋体"/>
          <w:sz w:val="24"/>
          <w:szCs w:val="24"/>
          <w:lang w:val="en-US" w:eastAsia="zh-CN"/>
        </w:rPr>
        <w:t xml:space="preserve">。以上人员要求身体健康，无残疾，具有能顺利完成本项目拟任岗位的能力。</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3、运维期间须至少提供1辆汽车用于现场巡查等工作。</w:t>
      </w:r>
      <w:r/>
    </w:p>
    <w:p>
      <w:pPr>
        <w:contextualSpacing/>
        <w:jc w:val="left"/>
        <w:spacing w:line="440" w:lineRule="exact"/>
        <w:widowControl/>
        <w:tabs>
          <w:tab w:val="left" w:pos="2280" w:leader="none"/>
        </w:tabs>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七）、监督管理</w:t>
      </w:r>
      <w:r/>
    </w:p>
    <w:p>
      <w:pPr>
        <w:contextualSpacing/>
        <w:ind w:firstLine="480"/>
        <w:jc w:val="left"/>
        <w:spacing w:line="440" w:lineRule="exact"/>
        <w:widowControl/>
        <w:tabs>
          <w:tab w:val="left" w:pos="2280" w:leader="none"/>
        </w:tabs>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1、乙方应承担监测数据的保密责任（签订保密协议：见合同附件3），不得利用本项目的数据、档案或有关资料对外开展技术交流、业务联系、数据交换等。否则，甲方有权终止合同。</w:t>
      </w:r>
      <w:r/>
    </w:p>
    <w:p>
      <w:pPr>
        <w:contextualSpacing/>
        <w:ind w:firstLine="480"/>
        <w:jc w:val="left"/>
        <w:spacing w:line="440" w:lineRule="exact"/>
        <w:widowControl/>
        <w:tabs>
          <w:tab w:val="left" w:pos="2280" w:leader="none"/>
        </w:tabs>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2、运维期间出现调整数据、修改参数、改动设备、质控结果与平台采集结果不一致、弄虚作假等违规行为的，一经查实甲方有权终止运维合同。</w:t>
      </w:r>
      <w:r/>
    </w:p>
    <w:p>
      <w:pPr>
        <w:contextualSpacing/>
        <w:ind w:firstLine="480"/>
        <w:jc w:val="left"/>
        <w:spacing w:line="440" w:lineRule="exact"/>
        <w:widowControl/>
        <w:tabs>
          <w:tab w:val="left" w:pos="2280" w:leader="none"/>
        </w:tabs>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3、违反相关水质自动站管理办法等违规行为的，一经查实甲方有权终止运维合同。</w:t>
      </w:r>
      <w:r/>
    </w:p>
    <w:p>
      <w:pPr>
        <w:contextualSpacing/>
        <w:ind w:firstLine="480"/>
        <w:jc w:val="left"/>
        <w:spacing w:line="360" w:lineRule="auto"/>
        <w:widowControl/>
        <w:rPr>
          <w:rFonts w:hint="eastAsia" w:ascii="Times New Roman" w:hAnsi="Times New Roman" w:eastAsia="宋体" w:cs="Times New Roman"/>
          <w:sz w:val="20"/>
          <w:szCs w:val="20"/>
          <w:lang w:val="en-US" w:eastAsia="zh-CN"/>
        </w:rPr>
      </w:pPr>
      <w:r>
        <w:rPr>
          <w:rFonts w:hint="eastAsia" w:ascii="Times New Roman" w:hAnsi="Times New Roman" w:eastAsia="宋体" w:cs="Times New Roman"/>
          <w:sz w:val="24"/>
          <w:szCs w:val="20"/>
          <w:highlight w:val="none"/>
          <w:lang w:val="en-US" w:eastAsia="zh-CN"/>
        </w:rPr>
        <w:t xml:space="preserve">4、 </w:t>
      </w:r>
      <w:r>
        <w:rPr>
          <w:rFonts w:hint="eastAsia" w:ascii="宋体" w:hAnsi="宋体" w:eastAsia="宋体" w:cs="Times New Roman"/>
          <w:sz w:val="24"/>
          <w:szCs w:val="24"/>
        </w:rPr>
        <w:t xml:space="preserve">检查中，按检查情况累积，如果以下行为出现2次以上5次以下（含5次），</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发文进行通报；出现5次以上，报监管部门同意后终止合同：（1）除遭遇极端天气等客观原因外，没有到达点位现场进行运维工作；（2）运维过程出现不符合技术要求的行为被质疑成功的；</w:t>
      </w:r>
      <w:r>
        <w:rPr>
          <w:rFonts w:hint="default" w:ascii="宋体" w:hAnsi="宋体" w:eastAsia="宋体" w:cs="Times New Roman"/>
          <w:sz w:val="24"/>
          <w:szCs w:val="24"/>
        </w:rPr>
        <w:t xml:space="preserve"> </w:t>
      </w:r>
      <w:r/>
    </w:p>
    <w:p>
      <w:pPr>
        <w:contextualSpacing/>
        <w:ind w:firstLine="480"/>
        <w:jc w:val="left"/>
        <w:spacing w:line="360" w:lineRule="auto"/>
        <w:widowControl/>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八）、 其他规定</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1、每个点位每半年出1份设备数据比对报告。</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2、每季度对在线监测数据进行人工监测校核，包括水质自动监测设备运行期定期采样检测的费用。</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3、运维期间定期对设备进行检修、维修、易损器材更换等，对入河排污口动态管理平台进行平台维护、系统升级。</w:t>
      </w:r>
      <w:r/>
    </w:p>
    <w:p>
      <w:pPr>
        <w:ind w:firstLine="480"/>
        <w:jc w:val="left"/>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应遵守国家、省关于水质自动站运行管理的各项规定，如运维期间出台新</w:t>
      </w:r>
      <w:r>
        <w:rPr>
          <w:rFonts w:hint="default" w:ascii="宋体" w:hAnsi="宋体" w:eastAsia="宋体" w:cs="宋体"/>
          <w:sz w:val="24"/>
          <w:szCs w:val="24"/>
          <w:lang w:val="en-US" w:eastAsia="zh-CN"/>
        </w:rPr>
        <w:t xml:space="preserve">的运行管理规定，则运维工作按最新规定执行。</w:t>
      </w:r>
      <w:r/>
    </w:p>
    <w:p>
      <w:pPr>
        <w:ind w:firstLine="480"/>
        <w:jc w:val="left"/>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5、乙方</w:t>
      </w:r>
      <w:r>
        <w:rPr>
          <w:rFonts w:hint="default" w:ascii="宋体" w:hAnsi="宋体" w:eastAsia="宋体" w:cs="宋体"/>
          <w:sz w:val="24"/>
          <w:szCs w:val="24"/>
          <w:lang w:val="en-US" w:eastAsia="zh-CN"/>
        </w:rPr>
        <w:t xml:space="preserve">需认真落实质量管理制度，建立完善的运行维护工作质量管理体系，</w:t>
      </w:r>
      <w:r>
        <w:rPr>
          <w:rFonts w:hint="eastAsia" w:ascii="宋体" w:hAnsi="宋体" w:eastAsia="宋体" w:cs="宋体"/>
          <w:sz w:val="24"/>
          <w:szCs w:val="24"/>
          <w:lang w:val="en-US" w:eastAsia="zh-CN"/>
        </w:rPr>
        <w:t xml:space="preserve">按照《环境水质（地表水）自动监测站运行维护技术规范》（DB32/T4536-2023）</w:t>
      </w:r>
      <w:r>
        <w:rPr>
          <w:rFonts w:hint="default" w:ascii="宋体" w:hAnsi="宋体" w:eastAsia="宋体" w:cs="宋体"/>
          <w:sz w:val="24"/>
          <w:szCs w:val="24"/>
          <w:lang w:val="en-US" w:eastAsia="zh-CN"/>
        </w:rPr>
        <w:t xml:space="preserve">等规定要求，定期开展质控核查、水样比对、加标回收和系统干预检查等质控工作。</w:t>
      </w:r>
      <w:r/>
    </w:p>
    <w:p>
      <w:pPr>
        <w:contextualSpacing/>
        <w:ind w:firstLine="480"/>
        <w:jc w:val="both"/>
        <w:spacing w:line="480" w:lineRule="exact"/>
        <w:widowControl/>
        <w:tabs>
          <w:tab w:val="left" w:pos="2280" w:leader="none"/>
        </w:tabs>
        <w:rPr>
          <w:rFonts w:hint="default" w:ascii="宋体" w:hAnsi="宋体" w:eastAsia="宋体" w:cs="Times New Roman"/>
          <w:sz w:val="24"/>
          <w:szCs w:val="24"/>
        </w:rPr>
      </w:pPr>
      <w:r>
        <w:rPr>
          <w:rFonts w:hint="eastAsia" w:ascii="宋体" w:hAnsi="宋体" w:eastAsia="宋体" w:cs="宋体"/>
          <w:sz w:val="24"/>
          <w:szCs w:val="24"/>
          <w:lang w:val="en-US" w:eastAsia="zh-CN"/>
        </w:rPr>
        <w:t xml:space="preserve">6、</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必须接受</w:t>
      </w:r>
      <w:r>
        <w:rPr>
          <w:rFonts w:hint="eastAsia" w:ascii="宋体" w:hAnsi="宋体" w:eastAsia="宋体" w:cs="宋体"/>
          <w:bCs/>
          <w:color w:val="000000"/>
          <w:sz w:val="24"/>
          <w:szCs w:val="24"/>
          <w:lang w:eastAsia="zh-CN"/>
        </w:rPr>
        <w:t xml:space="preserve">甲方</w:t>
      </w:r>
      <w:r>
        <w:rPr>
          <w:rFonts w:hint="default" w:ascii="宋体" w:hAnsi="宋体" w:eastAsia="宋体" w:cs="Times New Roman"/>
          <w:sz w:val="24"/>
          <w:szCs w:val="24"/>
        </w:rPr>
        <w:t xml:space="preserve">及其委托单位和人员的质量检查。</w:t>
      </w:r>
      <w:r/>
    </w:p>
    <w:p>
      <w:pPr>
        <w:contextualSpacing/>
        <w:ind w:firstLine="480"/>
        <w:jc w:val="both"/>
        <w:spacing w:line="480" w:lineRule="exact"/>
        <w:widowControl/>
        <w:tabs>
          <w:tab w:val="left" w:pos="2280" w:leader="none"/>
        </w:tabs>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负责与</w:t>
      </w:r>
      <w:r>
        <w:rPr>
          <w:rFonts w:hint="eastAsia" w:ascii="宋体" w:hAnsi="宋体" w:eastAsia="宋体" w:cs="Times New Roman"/>
          <w:sz w:val="24"/>
          <w:szCs w:val="24"/>
          <w:lang w:eastAsia="zh-CN"/>
        </w:rPr>
        <w:t xml:space="preserve">甲方</w:t>
      </w:r>
      <w:r>
        <w:rPr>
          <w:rFonts w:hint="default" w:ascii="宋体" w:hAnsi="宋体" w:eastAsia="宋体" w:cs="Times New Roman"/>
          <w:sz w:val="24"/>
          <w:szCs w:val="24"/>
        </w:rPr>
        <w:t xml:space="preserve">对水站的资产进行清点、测试和查验，以及相关档案资料的移交等。</w:t>
      </w:r>
      <w:r/>
    </w:p>
    <w:p>
      <w:pPr>
        <w:contextualSpacing/>
        <w:ind w:firstLine="482"/>
        <w:jc w:val="left"/>
        <w:spacing w:line="440" w:lineRule="exact"/>
        <w:widowControl/>
        <w:tabs>
          <w:tab w:val="left" w:pos="2280" w:leader="none"/>
        </w:tabs>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四、甲方责任和权利</w:t>
      </w:r>
      <w:r/>
    </w:p>
    <w:p>
      <w:pPr>
        <w:contextualSpacing/>
        <w:ind w:firstLine="480"/>
        <w:jc w:val="left"/>
        <w:spacing w:line="440" w:lineRule="exact"/>
        <w:widowControl/>
        <w:tabs>
          <w:tab w:val="left" w:pos="2280" w:leader="none"/>
        </w:tabs>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1、甲方有权向乙方询问工作进展情况及相关的内容, 有权检查乙方的服务工作质量，有权要求乙方以书面形式就前述内容进行汇报。</w:t>
      </w:r>
      <w:r>
        <w:rPr>
          <w:rFonts w:hint="eastAsia" w:ascii="Times New Roman" w:hAnsi="Times New Roman" w:eastAsia="宋体" w:cs="Times New Roman"/>
          <w:sz w:val="24"/>
          <w:szCs w:val="20"/>
          <w:highlight w:val="none"/>
          <w:lang w:val="en-US" w:eastAsia="zh-CN"/>
        </w:rPr>
        <w:br/>
      </w:r>
      <w:r>
        <w:rPr>
          <w:rFonts w:hint="eastAsia" w:ascii="Times New Roman" w:hAnsi="Times New Roman" w:eastAsia="宋体" w:cs="Times New Roman"/>
          <w:sz w:val="24"/>
          <w:szCs w:val="20"/>
          <w:highlight w:val="none"/>
          <w:lang w:val="en-US" w:eastAsia="zh-CN"/>
        </w:rPr>
        <w:t xml:space="preserve">    2、甲方有权对具体的问题提出建议和意见。</w:t>
      </w:r>
      <w:r/>
    </w:p>
    <w:p>
      <w:pPr>
        <w:contextualSpacing/>
        <w:ind w:firstLine="480"/>
        <w:jc w:val="left"/>
        <w:spacing w:line="440" w:lineRule="exact"/>
        <w:widowControl/>
        <w:tabs>
          <w:tab w:val="left" w:pos="2280" w:leader="none"/>
        </w:tabs>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3、甲方有权同意或不同意乙方因自身工作需要而更换合同约定的主要工作小组成员的要求。</w:t>
      </w:r>
      <w:r>
        <w:rPr>
          <w:rFonts w:hint="eastAsia" w:ascii="Times New Roman" w:hAnsi="Times New Roman" w:eastAsia="宋体" w:cs="Times New Roman"/>
          <w:sz w:val="24"/>
          <w:szCs w:val="20"/>
          <w:highlight w:val="none"/>
          <w:lang w:val="en-US" w:eastAsia="zh-CN"/>
        </w:rPr>
        <w:br/>
      </w:r>
      <w:r>
        <w:rPr>
          <w:rFonts w:hint="eastAsia" w:ascii="Times New Roman" w:hAnsi="Times New Roman" w:eastAsia="宋体" w:cs="Times New Roman"/>
          <w:sz w:val="24"/>
          <w:szCs w:val="20"/>
          <w:highlight w:val="none"/>
          <w:lang w:val="en-US" w:eastAsia="zh-CN"/>
        </w:rPr>
        <w:t xml:space="preserve">   4、甲方有权得到合同范围内乙方的服务和其服务成果。乙方提交的全部服务成果及相关资料，所具有的知识产权归甲方所有并使用（合同另有规定的除外），乙方就此不做任何的权利保留。</w:t>
      </w:r>
      <w:r/>
    </w:p>
    <w:p>
      <w:pPr>
        <w:contextualSpacing/>
        <w:ind w:firstLine="480"/>
        <w:jc w:val="left"/>
        <w:spacing w:line="440" w:lineRule="exact"/>
        <w:widowControl/>
        <w:tabs>
          <w:tab w:val="left" w:pos="2280" w:leader="none"/>
        </w:tabs>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5、甲方应当在合同履约中，督促、协调与本项目服务有关的第三人（与合同履行有关的相关单位）协同乙方办理有关服务事项。</w:t>
      </w:r>
      <w:r/>
    </w:p>
    <w:p>
      <w:pPr>
        <w:ind w:firstLine="482"/>
        <w:jc w:val="left"/>
        <w:spacing w:line="360" w:lineRule="auto"/>
        <w:widowControl/>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五、乙方责任和权利</w:t>
      </w:r>
      <w:r/>
    </w:p>
    <w:p>
      <w:pPr>
        <w:numPr>
          <w:ilvl w:val="0"/>
          <w:numId w:val="0"/>
        </w:numPr>
        <w:ind w:left="720" w:hanging="24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1、乙方有权在履行合同期间内取得按合同约定应有的报酬。</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2、乙方应严格遵守国家、地方的法律、法规的规定，保证在合法且不侵犯他人利益的原则下进行所委托项目服务活动，并对其所进行的与委托有关的服务活动负责。</w:t>
      </w:r>
      <w:r>
        <w:rPr>
          <w:rFonts w:hint="eastAsia" w:ascii="宋体" w:hAnsi="宋体" w:eastAsia="宋体" w:cs="Times New Roman"/>
          <w:color w:val="auto"/>
          <w:sz w:val="24"/>
          <w:szCs w:val="24"/>
          <w:highlight w:val="none"/>
          <w:lang w:val="en-US" w:eastAsia="zh-CN"/>
        </w:rPr>
        <w:br/>
      </w:r>
      <w:r>
        <w:rPr>
          <w:rFonts w:hint="eastAsia" w:ascii="宋体" w:hAnsi="宋体" w:eastAsia="宋体" w:cs="Times New Roman"/>
          <w:color w:val="auto"/>
          <w:sz w:val="24"/>
          <w:szCs w:val="24"/>
          <w:highlight w:val="none"/>
          <w:lang w:val="en-US" w:eastAsia="zh-CN"/>
        </w:rPr>
        <w:t xml:space="preserve">    3、乙方应按本合同所述的时间、服务范围和内容，尽自己的一切努力，按行业通常接受的技术惯例和专业机构承认的标准，高效地履行自己的义务。在项目执行过程中支持和维护国家和甲方的合法利益。</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向甲方提供与本项目服务有关的资料，包括项目服务单位、人员的资质证书及承担本合同业务的专业人员名单、项目服务工作计划等，并按合同约定的范围、时间工作依据、工作标准等，出具内容齐全、规范、准确的相关报告等。</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5、乙方应对履行本合同所规定的服务以及在履行中因自己违约而给甲方造成的损失承担责任并应当向甲方进行赔偿,累计赔偿总额不应超过酬金总额。但下例情况除外:</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（1）非乙方的行为、过失、违约或失职造成的损失或伤害；</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（2）不可抗力造成的损失。</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6、乙方应对本项目所提供服务结果的可靠性、准确性、全面性向甲方负责，由于服务结果的可靠性、准确性、全面性不足而导致甲方工作偏差或失误，乙方应承担责任。</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7、乙方人员蓄意破坏水站固定资产，或私自外借、出租、抵押的，将交由相关机构处理；出现国有资产损失或流失的，相关责任人要按原价赔偿，并追究法律责任。</w:t>
      </w:r>
      <w:r/>
    </w:p>
    <w:p>
      <w:pPr>
        <w:ind w:firstLine="482"/>
        <w:jc w:val="left"/>
        <w:spacing w:line="360" w:lineRule="auto"/>
        <w:widowControl/>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 六、</w:t>
      </w:r>
      <w:r>
        <w:rPr>
          <w:rFonts w:hint="eastAsia" w:ascii="宋体" w:hAnsi="宋体" w:eastAsia="宋体" w:cs="Times New Roman"/>
          <w:b/>
          <w:bCs/>
          <w:sz w:val="24"/>
          <w:szCs w:val="24"/>
          <w:highlight w:val="none"/>
          <w:lang w:eastAsia="zh-CN"/>
        </w:rPr>
        <w:t xml:space="preserve">违约责任</w:t>
      </w:r>
      <w:r/>
    </w:p>
    <w:p>
      <w:pPr>
        <w:ind w:firstLine="480"/>
        <w:jc w:val="left"/>
        <w:spacing w:line="360" w:lineRule="auto"/>
        <w:widowControl/>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1、乙方虚假承诺，或提供的服务不能满足采购文件要求，或是由于乙方的过错造成合同无法继续履行的，乙方应向甲方支付不少于合同总价</w:t>
      </w:r>
      <w:r>
        <w:rPr>
          <w:rFonts w:hint="eastAsia" w:cs="Times New Roman"/>
          <w:bCs/>
          <w:color w:val="000000"/>
          <w:sz w:val="24"/>
          <w:szCs w:val="24"/>
          <w:highlight w:val="none"/>
          <w:lang w:val="en-US" w:eastAsia="zh-CN"/>
        </w:rPr>
        <w:t xml:space="preserve">1</w:t>
      </w:r>
      <w:r>
        <w:rPr>
          <w:rFonts w:hint="eastAsia" w:ascii="Times New Roman" w:hAnsi="Times New Roman" w:eastAsia="宋体" w:cs="Times New Roman"/>
          <w:bCs/>
          <w:color w:val="000000"/>
          <w:sz w:val="24"/>
          <w:szCs w:val="24"/>
          <w:highlight w:val="none"/>
        </w:rPr>
        <w:t xml:space="preserve">0%赔偿金。</w:t>
      </w:r>
      <w:r/>
    </w:p>
    <w:p>
      <w:pPr>
        <w:ind w:firstLine="480"/>
        <w:jc w:val="left"/>
        <w:spacing w:line="360" w:lineRule="auto"/>
        <w:widowControl/>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2</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乙方未按合同约定的质量标准履行服务职责，但未给甲方造成损失的，甲方可要求乙方整改，乙方达到服务质量标准后，甲方应支付相应的服务费用。</w:t>
      </w:r>
      <w:r/>
    </w:p>
    <w:p>
      <w:pPr>
        <w:ind w:firstLine="480"/>
        <w:jc w:val="left"/>
        <w:spacing w:line="360" w:lineRule="auto"/>
        <w:widowControl/>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3</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乙方未按合同约定的质量标准履行服务职责，给甲方造成损失的，乙方应按实赔偿，并向甲方支付违约金，违约金最高为合同金额的</w:t>
      </w:r>
      <w:r>
        <w:rPr>
          <w:rFonts w:hint="eastAsia" w:ascii="Times New Roman" w:hAnsi="Times New Roman" w:eastAsia="宋体" w:cs="Times New Roman"/>
          <w:bCs/>
          <w:color w:val="000000"/>
          <w:sz w:val="24"/>
          <w:szCs w:val="24"/>
          <w:highlight w:val="none"/>
          <w:lang w:val="en-US" w:eastAsia="zh-CN"/>
        </w:rPr>
        <w:t xml:space="preserve">10</w:t>
      </w:r>
      <w:r>
        <w:rPr>
          <w:rFonts w:hint="default" w:ascii="Times New Roman" w:hAnsi="Times New Roman" w:eastAsia="宋体" w:cs="Times New Roman"/>
          <w:bCs/>
          <w:color w:val="000000"/>
          <w:sz w:val="24"/>
          <w:szCs w:val="24"/>
          <w:highlight w:val="none"/>
        </w:rPr>
        <w:t xml:space="preserve">%。因乙方服务能力、服务质量问题导致甲方无法实现合同目的的，甲方有权单方解除合同并根据情况向乙方追回已付合同款项及追索给甲方造成的实际损失。</w:t>
      </w:r>
      <w:r/>
    </w:p>
    <w:p>
      <w:pPr>
        <w:ind w:firstLine="480"/>
        <w:jc w:val="left"/>
        <w:spacing w:line="360" w:lineRule="auto"/>
        <w:widowControl/>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4</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因乙方原因导致违反法律、法规和规章规定的行为的，甲方有权单方解除合同，并要求乙方按合同承担违约金并赔偿相关损失。</w:t>
      </w:r>
      <w:r/>
    </w:p>
    <w:p>
      <w:pPr>
        <w:ind w:firstLine="480"/>
        <w:jc w:val="left"/>
        <w:spacing w:line="360" w:lineRule="auto"/>
        <w:widowControl/>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5</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合同履约过程中，若乙方在合同中承诺的主要服务人员安排情况自行变动而未经甲方同意的，</w:t>
      </w:r>
      <w:r>
        <w:rPr>
          <w:rFonts w:hint="eastAsia" w:ascii="Times New Roman" w:hAnsi="Times New Roman" w:eastAsia="宋体" w:cs="Times New Roman"/>
          <w:bCs/>
          <w:color w:val="000000"/>
          <w:sz w:val="24"/>
          <w:szCs w:val="24"/>
          <w:highlight w:val="none"/>
          <w:lang w:eastAsia="zh-CN"/>
        </w:rPr>
        <w:t xml:space="preserve">每发生一次扣除</w:t>
      </w:r>
      <w:r>
        <w:rPr>
          <w:rFonts w:hint="eastAsia" w:ascii="Times New Roman" w:hAnsi="Times New Roman" w:eastAsia="宋体" w:cs="Times New Roman"/>
          <w:bCs/>
          <w:color w:val="000000"/>
          <w:sz w:val="24"/>
          <w:szCs w:val="24"/>
          <w:highlight w:val="none"/>
          <w:lang w:val="en-US" w:eastAsia="zh-CN"/>
        </w:rPr>
        <w:t xml:space="preserve">合同款的0.5%</w:t>
      </w:r>
      <w:r>
        <w:rPr>
          <w:rFonts w:hint="default" w:ascii="Times New Roman" w:hAnsi="Times New Roman" w:eastAsia="宋体" w:cs="Times New Roman"/>
          <w:bCs/>
          <w:color w:val="000000"/>
          <w:sz w:val="24"/>
          <w:szCs w:val="24"/>
          <w:highlight w:val="none"/>
        </w:rPr>
        <w:t xml:space="preserve">，情况严重者，甲方有权终止合同。</w:t>
      </w:r>
      <w:r/>
    </w:p>
    <w:p>
      <w:pPr>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七</w:t>
      </w:r>
      <w:r>
        <w:rPr>
          <w:rFonts w:hint="eastAsia" w:ascii="宋体" w:hAnsi="宋体" w:eastAsia="宋体" w:cs="宋体"/>
          <w:b/>
          <w:bCs/>
          <w:sz w:val="24"/>
          <w:szCs w:val="20"/>
          <w:highlight w:val="none"/>
        </w:rPr>
        <w:t xml:space="preserve">、争议的解决</w:t>
      </w:r>
      <w:r/>
    </w:p>
    <w:p>
      <w:pPr>
        <w:ind w:firstLine="480"/>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如遇合同纠纷双方协商解决，协商解决不成，由甲方所在地人民法院裁决。</w:t>
      </w:r>
      <w:r/>
    </w:p>
    <w:p>
      <w:pPr>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八</w:t>
      </w:r>
      <w:r>
        <w:rPr>
          <w:rFonts w:hint="eastAsia" w:ascii="宋体" w:hAnsi="宋体" w:eastAsia="宋体" w:cs="宋体"/>
          <w:b/>
          <w:bCs/>
          <w:sz w:val="24"/>
          <w:szCs w:val="20"/>
          <w:highlight w:val="none"/>
        </w:rPr>
        <w:t xml:space="preserve">、合同生效及其他</w:t>
      </w:r>
      <w:r/>
    </w:p>
    <w:p>
      <w:pPr>
        <w:numPr>
          <w:ilvl w:val="0"/>
          <w:numId w:val="3"/>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未尽事宜应按照《中华人民共和国民法典》、《中华人民共和国政府采购法》等相关法律法规之规定解释。</w:t>
      </w:r>
      <w:r/>
    </w:p>
    <w:p>
      <w:pPr>
        <w:numPr>
          <w:ilvl w:val="0"/>
          <w:numId w:val="3"/>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本项目使用到的相关技术规范和标准见合同附件</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w:t>
      </w:r>
      <w:r/>
    </w:p>
    <w:p>
      <w:pPr>
        <w:numPr>
          <w:ilvl w:val="0"/>
          <w:numId w:val="3"/>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如甲方提出采购需求外的要求或采购内容，乙方应予以配合，双方按照《中华人民共和国</w:t>
      </w:r>
      <w:r>
        <w:rPr>
          <w:rFonts w:hint="eastAsia" w:ascii="宋体" w:hAnsi="宋体" w:cs="Times New Roman"/>
          <w:color w:val="auto"/>
          <w:sz w:val="24"/>
          <w:szCs w:val="24"/>
          <w:highlight w:val="none"/>
          <w:lang w:val="en-US" w:eastAsia="zh-CN"/>
        </w:rPr>
        <w:t xml:space="preserve">民法典</w:t>
      </w:r>
      <w:r>
        <w:rPr>
          <w:rFonts w:hint="eastAsia" w:ascii="宋体" w:hAnsi="宋体" w:eastAsia="宋体" w:cs="Times New Roman"/>
          <w:color w:val="auto"/>
          <w:sz w:val="24"/>
          <w:szCs w:val="24"/>
          <w:highlight w:val="none"/>
          <w:lang w:val="en-US" w:eastAsia="zh-CN"/>
        </w:rPr>
        <w:t xml:space="preserve">》、《中华人民共和国政府采购法》及相关法规的要求签署补充协议。</w:t>
      </w:r>
      <w:r/>
    </w:p>
    <w:p>
      <w:pPr>
        <w:ind w:firstLine="480"/>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下列文件为本合同不可分割部分：</w:t>
      </w:r>
      <w:r/>
    </w:p>
    <w:p>
      <w:pPr>
        <w:ind w:firstLine="480"/>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1）中标（成交）通知书；</w:t>
      </w:r>
      <w:r/>
    </w:p>
    <w:p>
      <w:pPr>
        <w:ind w:firstLine="480"/>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2）乙方</w:t>
      </w:r>
      <w:r>
        <w:rPr>
          <w:rFonts w:hint="eastAsia" w:ascii="Times New Roman" w:hAnsi="Times New Roman" w:eastAsia="宋体" w:cs="Times New Roman"/>
          <w:bCs/>
          <w:color w:val="000000"/>
          <w:sz w:val="24"/>
          <w:szCs w:val="24"/>
          <w:highlight w:val="none"/>
          <w:lang w:eastAsia="zh-CN"/>
        </w:rPr>
        <w:t xml:space="preserve">投标</w:t>
      </w:r>
      <w:r>
        <w:rPr>
          <w:rFonts w:hint="eastAsia" w:ascii="Times New Roman" w:hAnsi="Times New Roman" w:eastAsia="宋体" w:cs="Times New Roman"/>
          <w:bCs/>
          <w:color w:val="000000"/>
          <w:sz w:val="24"/>
          <w:szCs w:val="24"/>
          <w:highlight w:val="none"/>
        </w:rPr>
        <w:t xml:space="preserve">文件；</w:t>
      </w:r>
      <w:r/>
    </w:p>
    <w:p>
      <w:pPr>
        <w:ind w:firstLine="480"/>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3）</w:t>
      </w:r>
      <w:r>
        <w:rPr>
          <w:rFonts w:hint="eastAsia" w:cs="Times New Roman"/>
          <w:bCs/>
          <w:color w:val="000000"/>
          <w:sz w:val="24"/>
          <w:szCs w:val="24"/>
          <w:highlight w:val="none"/>
          <w:lang w:val="en-US" w:eastAsia="zh-CN"/>
        </w:rPr>
        <w:t xml:space="preserve">招标</w:t>
      </w:r>
      <w:r>
        <w:rPr>
          <w:rFonts w:hint="eastAsia" w:ascii="Times New Roman" w:hAnsi="Times New Roman" w:eastAsia="宋体" w:cs="Times New Roman"/>
          <w:bCs/>
          <w:color w:val="000000"/>
          <w:sz w:val="24"/>
          <w:szCs w:val="24"/>
          <w:highlight w:val="none"/>
        </w:rPr>
        <w:t xml:space="preserve">文件；</w:t>
      </w:r>
      <w:r/>
    </w:p>
    <w:p>
      <w:pPr>
        <w:ind w:firstLine="480"/>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4）乙方在</w:t>
      </w:r>
      <w:r>
        <w:rPr>
          <w:rFonts w:hint="eastAsia" w:ascii="Times New Roman" w:hAnsi="Times New Roman" w:eastAsia="宋体" w:cs="Times New Roman"/>
          <w:bCs/>
          <w:color w:val="000000"/>
          <w:sz w:val="24"/>
          <w:szCs w:val="24"/>
          <w:highlight w:val="none"/>
          <w:lang w:eastAsia="zh-CN"/>
        </w:rPr>
        <w:t xml:space="preserve">投标</w:t>
      </w:r>
      <w:r>
        <w:rPr>
          <w:rFonts w:hint="eastAsia" w:ascii="Times New Roman" w:hAnsi="Times New Roman" w:eastAsia="宋体" w:cs="Times New Roman"/>
          <w:bCs/>
          <w:color w:val="000000"/>
          <w:sz w:val="24"/>
          <w:szCs w:val="24"/>
          <w:highlight w:val="none"/>
        </w:rPr>
        <w:t xml:space="preserve">过程中所作的其他承诺、声明、书面澄清等。</w:t>
      </w:r>
      <w:r/>
    </w:p>
    <w:p>
      <w:pPr>
        <w:ind w:firstLine="480"/>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5</w:t>
      </w:r>
      <w:r>
        <w:rPr>
          <w:rFonts w:hint="default" w:ascii="Times New Roman" w:hAnsi="Times New Roman"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 本合同经双方盖章后生效，合同一式肆份，具有同等法律效力，甲方贰份，乙方贰份。</w:t>
      </w:r>
      <w:r>
        <w:rPr>
          <w:rFonts w:hint="eastAsia" w:ascii="Times New Roman" w:hAnsi="Times New Roman" w:eastAsia="宋体" w:cs="Times New Roman"/>
          <w:bCs/>
          <w:color w:val="000000"/>
          <w:sz w:val="24"/>
          <w:szCs w:val="24"/>
          <w:highlight w:val="none"/>
        </w:rPr>
        <w:t xml:space="preserve">     </w:t>
      </w:r>
      <w:r/>
    </w:p>
    <w:tbl>
      <w:tblPr>
        <w:tblStyle w:val="717"/>
        <w:tblW w:w="9199" w:type="dxa"/>
        <w:jc w:val="center"/>
        <w:tblLayout w:type="fixed"/>
        <w:tblCellMar>
          <w:left w:w="0" w:type="dxa"/>
          <w:top w:w="0" w:type="dxa"/>
          <w:right w:w="0" w:type="dxa"/>
          <w:bottom w:w="0" w:type="dxa"/>
        </w:tblCellMar>
        <w:tblLook w:val="04A0" w:firstRow="1" w:lastRow="0" w:firstColumn="1" w:lastColumn="0" w:noHBand="0" w:noVBand="1"/>
      </w:tblPr>
      <w:tblGrid>
        <w:gridCol w:w="4545"/>
        <w:gridCol w:w="4654"/>
      </w:tblGrid>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乙方（</w:t>
            </w:r>
            <w:r>
              <w:rPr>
                <w:rFonts w:hint="eastAsia" w:ascii="宋体" w:hAnsi="宋体" w:eastAsia="宋体" w:cs="宋体"/>
                <w:b/>
                <w:bCs/>
                <w:sz w:val="24"/>
                <w:szCs w:val="24"/>
                <w:highlight w:val="none"/>
                <w:lang w:eastAsia="zh-CN"/>
              </w:rPr>
              <w:t xml:space="preserve">乙方</w:t>
            </w:r>
            <w:r>
              <w:rPr>
                <w:rFonts w:hint="eastAsia" w:ascii="宋体" w:hAnsi="宋体" w:eastAsia="宋体" w:cs="宋体"/>
                <w:b/>
                <w:bCs/>
                <w:sz w:val="24"/>
                <w:szCs w:val="24"/>
                <w:highlight w:val="none"/>
              </w:rPr>
              <w:t xml:space="preserve">）：（盖章）</w:t>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代表人：</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代表人：</w:t>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电    话：</w:t>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开户银行：</w:t>
            </w:r>
            <w:r/>
          </w:p>
        </w:tc>
      </w:tr>
      <w:tr>
        <w:trPr>
          <w:jc w:val="center"/>
          <w:trHeight w:val="962"/>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账    号：</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日      期：     年    月    日</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日      期：     年    月    日</w:t>
            </w:r>
            <w:r/>
          </w:p>
        </w:tc>
      </w:tr>
    </w:tbl>
    <w:p>
      <w:pPr>
        <w:jc w:val="left"/>
        <w:spacing w:line="240" w:lineRule="auto"/>
        <w:widowControl/>
        <w:rPr>
          <w:rFonts w:hint="default" w:ascii="Times New Roman" w:hAnsi="Times New Roman" w:eastAsia="仿宋_GB2312" w:cs="Times New Roman"/>
          <w:b/>
          <w:bCs/>
          <w:sz w:val="24"/>
          <w:szCs w:val="24"/>
          <w:highlight w:val="none"/>
        </w:rPr>
      </w:pPr>
      <w:r>
        <w:rPr>
          <w:rFonts w:hint="default" w:ascii="Times New Roman" w:hAnsi="Times New Roman" w:eastAsia="仿宋_GB2312" w:cs="Times New Roman"/>
          <w:b/>
          <w:bCs/>
          <w:sz w:val="24"/>
          <w:szCs w:val="24"/>
          <w:highlight w:val="none"/>
        </w:rPr>
      </w:r>
      <w:r/>
    </w:p>
    <w:p>
      <w:pPr>
        <w:ind w:firstLine="420"/>
        <w:jc w:val="left"/>
        <w:spacing w:line="312" w:lineRule="auto"/>
        <w:widowControl/>
        <w:rPr>
          <w:rFonts w:hint="default" w:ascii="Times New Roman" w:hAnsi="Times New Roman" w:eastAsia="仿宋_GB2312" w:cs="Times New Roman"/>
          <w:b/>
          <w:bCs/>
          <w:sz w:val="24"/>
          <w:szCs w:val="24"/>
          <w:highlight w:val="none"/>
          <w:lang w:val="en-US" w:eastAsia="zh-CN" w:bidi="ar-SA"/>
        </w:rPr>
      </w:pPr>
      <w:r>
        <w:rPr>
          <w:rFonts w:hint="default" w:ascii="Times New Roman" w:hAnsi="Times New Roman" w:eastAsia="仿宋_GB2312" w:cs="Times New Roman"/>
          <w:b/>
          <w:bCs/>
          <w:sz w:val="24"/>
          <w:szCs w:val="24"/>
          <w:highlight w:val="none"/>
          <w:lang w:val="en-US" w:eastAsia="zh-CN" w:bidi="ar-SA"/>
        </w:rPr>
      </w:r>
      <w:r/>
    </w:p>
    <w:p>
      <w:pPr>
        <w:jc w:val="left"/>
        <w:spacing w:line="240" w:lineRule="auto"/>
        <w:widowControl/>
        <w:rPr>
          <w:rFonts w:hint="default" w:ascii="Times New Roman" w:hAnsi="Times New Roman" w:eastAsia="宋体" w:cs="Times New Roman"/>
          <w:sz w:val="20"/>
          <w:szCs w:val="20"/>
        </w:rPr>
      </w:pPr>
      <w:r>
        <w:rPr>
          <w:rFonts w:hint="default" w:ascii="Times New Roman" w:hAnsi="Times New Roman" w:eastAsia="宋体" w:cs="Times New Roman"/>
          <w:sz w:val="20"/>
          <w:szCs w:val="20"/>
        </w:rPr>
      </w:r>
      <w:r/>
    </w:p>
    <w:p>
      <w:pPr>
        <w:contextualSpacing/>
        <w:jc w:val="left"/>
        <w:spacing w:line="440" w:lineRule="exact"/>
        <w:widowControl/>
        <w:tabs>
          <w:tab w:val="left" w:pos="2280" w:leader="none"/>
        </w:tabs>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合同附件1：支付方式和考评办法</w:t>
      </w:r>
      <w:r/>
    </w:p>
    <w:p>
      <w:pPr>
        <w:contextualSpacing/>
        <w:jc w:val="left"/>
        <w:spacing w:line="440" w:lineRule="exact"/>
        <w:widowControl/>
        <w:tabs>
          <w:tab w:val="left" w:pos="2280" w:leader="none"/>
        </w:tabs>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合同附件2：运行维护技术规范</w:t>
      </w:r>
      <w:r/>
    </w:p>
    <w:p>
      <w:pPr>
        <w:contextualSpacing/>
        <w:jc w:val="left"/>
        <w:spacing w:line="440" w:lineRule="exact"/>
        <w:widowControl/>
        <w:tabs>
          <w:tab w:val="left" w:pos="2280" w:leader="none"/>
        </w:tabs>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合同附件3:保密协议</w:t>
      </w:r>
      <w:r/>
    </w:p>
    <w:p>
      <w:pPr>
        <w:ind w:left="0" w:firstLine="0"/>
        <w:jc w:val="left"/>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jc w:val="both"/>
        <w:spacing w:after="12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left"/>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jc w:val="left"/>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jc w:val="left"/>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contextualSpacing/>
        <w:jc w:val="left"/>
        <w:spacing w:line="440" w:lineRule="exact"/>
        <w:widowControl/>
        <w:tabs>
          <w:tab w:val="left" w:pos="2280" w:leader="none"/>
        </w:tabs>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附件1：                     </w:t>
      </w:r>
      <w:r/>
    </w:p>
    <w:p>
      <w:pPr>
        <w:contextualSpacing/>
        <w:jc w:val="center"/>
        <w:spacing w:line="440" w:lineRule="exact"/>
        <w:widowControl/>
        <w:tabs>
          <w:tab w:val="left" w:pos="2280" w:leader="none"/>
        </w:tabs>
        <w:rPr>
          <w:rFonts w:hint="eastAsia" w:ascii="Times New Roman" w:hAnsi="Times New Roman" w:eastAsia="宋体" w:cs="Times New Roman"/>
          <w:b/>
          <w:bCs/>
          <w:sz w:val="32"/>
          <w:szCs w:val="22"/>
          <w:highlight w:val="none"/>
          <w:lang w:val="en-US" w:eastAsia="zh-CN"/>
        </w:rPr>
      </w:pPr>
      <w:r>
        <w:rPr>
          <w:rFonts w:hint="eastAsia" w:ascii="Times New Roman" w:hAnsi="Times New Roman" w:eastAsia="宋体" w:cs="Times New Roman"/>
          <w:b/>
          <w:bCs/>
          <w:sz w:val="32"/>
          <w:szCs w:val="22"/>
          <w:highlight w:val="none"/>
          <w:lang w:val="en-US" w:eastAsia="zh-CN"/>
        </w:rPr>
        <w:t xml:space="preserve">支付方式和考评办法</w:t>
      </w:r>
      <w:r/>
    </w:p>
    <w:p>
      <w:pPr>
        <w:ind w:firstLine="420"/>
        <w:jc w:val="left"/>
        <w:spacing w:line="312" w:lineRule="auto"/>
        <w:widowControl/>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r>
      <w:r/>
    </w:p>
    <w:p>
      <w:pPr>
        <w:ind w:firstLine="542"/>
        <w:jc w:val="left"/>
        <w:spacing w:line="360" w:lineRule="auto"/>
        <w:widowControl/>
        <w:rPr>
          <w:rFonts w:hint="eastAsia" w:ascii="Times New Roman" w:hAnsi="Times New Roman" w:eastAsia="宋体" w:cs="Times New Roman"/>
          <w:sz w:val="20"/>
          <w:szCs w:val="20"/>
          <w:highlight w:val="none"/>
          <w:lang w:val="en-US" w:eastAsia="zh-CN"/>
        </w:rPr>
      </w:pPr>
      <w:r>
        <w:rPr>
          <w:rFonts w:hint="eastAsia" w:ascii="宋体" w:hAnsi="宋体" w:eastAsia="宋体" w:cs="宋体"/>
          <w:b/>
          <w:bCs/>
          <w:color w:val="auto"/>
          <w:sz w:val="24"/>
          <w:szCs w:val="20"/>
          <w:highlight w:val="none"/>
          <w:lang w:val="en-US" w:eastAsia="zh-CN"/>
        </w:rPr>
        <w:t xml:space="preserve">一、支付方式：</w:t>
      </w:r>
      <w:r>
        <w:rPr>
          <w:rFonts w:hint="eastAsia" w:ascii="宋体" w:hAnsi="宋体" w:eastAsia="宋体" w:cs="宋体"/>
          <w:b w:val="0"/>
          <w:bCs w:val="0"/>
          <w:color w:val="auto"/>
          <w:sz w:val="24"/>
          <w:szCs w:val="20"/>
          <w:highlight w:val="none"/>
          <w:lang w:val="en-US" w:eastAsia="zh-CN"/>
        </w:rPr>
        <w:t xml:space="preserve">见合同一“</w:t>
      </w:r>
      <w:r>
        <w:rPr>
          <w:rFonts w:hint="eastAsia" w:ascii="宋体" w:hAnsi="宋体" w:eastAsia="宋体" w:cs="宋体"/>
          <w:b/>
          <w:bCs/>
          <w:color w:val="auto"/>
          <w:sz w:val="24"/>
          <w:szCs w:val="20"/>
          <w:highlight w:val="none"/>
        </w:rPr>
        <w:t xml:space="preserve">合同金额及支付方式</w:t>
      </w:r>
      <w:r>
        <w:rPr>
          <w:rFonts w:hint="eastAsia" w:ascii="宋体" w:hAnsi="宋体" w:eastAsia="宋体" w:cs="宋体"/>
          <w:b w:val="0"/>
          <w:bCs w:val="0"/>
          <w:color w:val="auto"/>
          <w:sz w:val="24"/>
          <w:szCs w:val="20"/>
          <w:highlight w:val="none"/>
          <w:lang w:val="en-US" w:eastAsia="zh-CN"/>
        </w:rPr>
        <w:t xml:space="preserve">”的规定。</w:t>
      </w:r>
      <w:r/>
    </w:p>
    <w:p>
      <w:pPr>
        <w:ind w:firstLine="480"/>
        <w:jc w:val="left"/>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color w:val="auto"/>
          <w:sz w:val="24"/>
          <w:szCs w:val="20"/>
          <w:highlight w:val="none"/>
          <w:lang w:val="en-US" w:eastAsia="zh-CN"/>
        </w:rPr>
        <w:t xml:space="preserve">绩效考核奖励</w:t>
      </w:r>
      <w:r/>
    </w:p>
    <w:p>
      <w:pPr>
        <w:ind w:firstLine="542"/>
        <w:jc w:val="left"/>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color w:val="auto"/>
          <w:sz w:val="24"/>
          <w:szCs w:val="20"/>
          <w:highlight w:val="none"/>
          <w:lang w:val="en-US" w:eastAsia="zh-CN"/>
        </w:rPr>
        <w:t xml:space="preserve">项目服务周期结算，本周期内平均考核得分与支付比例同下表。</w:t>
      </w:r>
      <w:r/>
    </w:p>
    <w:p>
      <w:pPr>
        <w:numPr>
          <w:ilvl w:val="0"/>
          <w:numId w:val="0"/>
        </w:numPr>
        <w:ind w:right="454"/>
        <w:jc w:val="lef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w:t>
      </w:r>
      <w:r>
        <w:rPr>
          <w:rFonts w:hint="eastAsia" w:ascii="宋体" w:hAnsi="宋体" w:eastAsia="宋体" w:cs="宋体"/>
          <w:b/>
          <w:bCs/>
          <w:color w:val="auto"/>
          <w:sz w:val="24"/>
          <w:szCs w:val="20"/>
          <w:highlight w:val="none"/>
          <w:lang w:val="en-US" w:eastAsia="zh-CN"/>
        </w:rPr>
        <w:t xml:space="preserve">考核得分与支付比例</w:t>
      </w:r>
      <w:r/>
    </w:p>
    <w:tbl>
      <w:tblPr>
        <w:tblStyle w:val="739"/>
        <w:tblW w:w="9104" w:type="dxa"/>
        <w:tblInd w:w="-5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5"/>
        <w:gridCol w:w="1356"/>
        <w:gridCol w:w="3103"/>
      </w:tblGrid>
      <w:tr>
        <w:trPr>
          <w:trHeight w:val="674" w:hRule="exact"/>
        </w:trPr>
        <w:tc>
          <w:tcPr>
            <w:tcW w:w="4645"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考核得分</w:t>
            </w:r>
            <w:r/>
          </w:p>
        </w:tc>
        <w:tc>
          <w:tcPr>
            <w:tcW w:w="1356"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等级评定</w:t>
            </w:r>
            <w:r/>
          </w:p>
        </w:tc>
        <w:tc>
          <w:tcPr>
            <w:tcW w:w="3103"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支付比例及处理方法</w:t>
            </w:r>
            <w:r/>
          </w:p>
        </w:tc>
      </w:tr>
      <w:tr>
        <w:trPr>
          <w:trHeight w:val="454" w:hRule="exact"/>
        </w:trPr>
        <w:tc>
          <w:tcPr>
            <w:tcW w:w="4645"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考核得分≥90分</w:t>
            </w:r>
            <w:r/>
          </w:p>
        </w:tc>
        <w:tc>
          <w:tcPr>
            <w:tcW w:w="1356"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优</w:t>
            </w:r>
            <w:r/>
          </w:p>
        </w:tc>
        <w:tc>
          <w:tcPr>
            <w:tcW w:w="3103"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100%</w:t>
            </w:r>
            <w:r/>
          </w:p>
        </w:tc>
      </w:tr>
      <w:tr>
        <w:trPr>
          <w:trHeight w:val="689" w:hRule="exact"/>
        </w:trPr>
        <w:tc>
          <w:tcPr>
            <w:tcW w:w="4645"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90分﹥考核得分≥80分</w:t>
            </w:r>
            <w:r/>
          </w:p>
        </w:tc>
        <w:tc>
          <w:tcPr>
            <w:tcW w:w="1356"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良</w:t>
            </w:r>
            <w:r/>
          </w:p>
        </w:tc>
        <w:tc>
          <w:tcPr>
            <w:tcW w:w="3103"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85%</w:t>
            </w:r>
            <w:r/>
          </w:p>
        </w:tc>
      </w:tr>
      <w:tr>
        <w:trPr>
          <w:trHeight w:val="659" w:hRule="exact"/>
        </w:trPr>
        <w:tc>
          <w:tcPr>
            <w:tcW w:w="4645"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80分﹥考核得分≥60分</w:t>
            </w:r>
            <w:r/>
          </w:p>
        </w:tc>
        <w:tc>
          <w:tcPr>
            <w:tcW w:w="1356"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中</w:t>
            </w:r>
            <w:r/>
          </w:p>
        </w:tc>
        <w:tc>
          <w:tcPr>
            <w:tcW w:w="3103"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60%</w:t>
            </w:r>
            <w:r/>
          </w:p>
        </w:tc>
      </w:tr>
      <w:tr>
        <w:trPr>
          <w:trHeight w:val="715" w:hRule="exact"/>
        </w:trPr>
        <w:tc>
          <w:tcPr>
            <w:tcW w:w="4645"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60分﹥考核得分</w:t>
            </w:r>
            <w:r/>
          </w:p>
        </w:tc>
        <w:tc>
          <w:tcPr>
            <w:tcW w:w="1356"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差</w:t>
            </w:r>
            <w:r/>
          </w:p>
        </w:tc>
        <w:tc>
          <w:tcPr>
            <w:tcW w:w="3103" w:type="dxa"/>
            <w:vAlign w:val="center"/>
            <w:textDirection w:val="lrTb"/>
            <w:noWrap w:val="false"/>
          </w:tcPr>
          <w:p>
            <w:pPr>
              <w:ind w:left="0" w:right="454" w:firstLine="0"/>
              <w:jc w:val="left"/>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不支付费用、合同终止。</w:t>
            </w:r>
            <w:r/>
          </w:p>
        </w:tc>
      </w:tr>
    </w:tbl>
    <w:p>
      <w:pPr>
        <w:ind w:firstLine="480"/>
        <w:jc w:val="left"/>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0"/>
        <w:jc w:val="left"/>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jc w:val="both"/>
        <w:spacing w:after="12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default" w:ascii="Times New Roman" w:hAnsi="Times New Roman" w:eastAsia="宋体" w:cs="Times New Roman"/>
          <w:sz w:val="21"/>
          <w:szCs w:val="24"/>
          <w:lang w:val="en-US" w:eastAsia="zh-CN"/>
        </w:rPr>
      </w:pPr>
      <w:r>
        <w:rPr>
          <w:rFonts w:hint="eastAsia" w:ascii="宋体" w:hAnsi="宋体" w:eastAsia="宋体" w:cs="宋体"/>
          <w:b/>
          <w:bCs/>
          <w:sz w:val="24"/>
          <w:szCs w:val="24"/>
          <w:lang w:val="en-US" w:eastAsia="zh-CN"/>
        </w:rPr>
        <w:t xml:space="preserve">2、考核细则</w:t>
      </w:r>
      <w:r/>
    </w:p>
    <w:tbl>
      <w:tblPr>
        <w:tblStyle w:val="717"/>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2176"/>
        <w:gridCol w:w="5781"/>
        <w:gridCol w:w="767"/>
        <w:gridCol w:w="703"/>
      </w:tblGrid>
      <w:tr>
        <w:trPr>
          <w:jc w:val="center"/>
          <w:trHeight w:val="409"/>
          <w:tblHeader/>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考核内容</w:t>
            </w:r>
            <w:r/>
          </w:p>
        </w:tc>
        <w:tc>
          <w:tcPr>
            <w:tcW w:w="5781" w:type="dxa"/>
            <w:vAlign w:val="center"/>
            <w:textDirection w:val="lrTb"/>
            <w:noWrap w:val="false"/>
          </w:tcPr>
          <w:p>
            <w:pPr>
              <w:ind w:firstLine="420"/>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评分细则</w:t>
            </w:r>
            <w:r/>
          </w:p>
        </w:tc>
        <w:tc>
          <w:tcPr>
            <w:tcW w:w="767"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得分</w:t>
            </w:r>
            <w:r/>
          </w:p>
        </w:tc>
        <w:tc>
          <w:tcPr>
            <w:tcW w:w="703"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Times New Roman" w:hAnsi="Times New Roman" w:eastAsia="宋体" w:cs="Times New Roman"/>
                <w:sz w:val="21"/>
                <w:szCs w:val="24"/>
                <w:highlight w:val="none"/>
                <w:lang w:eastAsia="zh-CN"/>
              </w:rPr>
              <w:t xml:space="preserve">系统上报</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人为干扰监测情形未及时上报</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处·次</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p>
        </w:tc>
        <w:tc>
          <w:tcPr>
            <w:tcW w:w="2176" w:type="dxa"/>
            <w:vAlign w:val="center"/>
            <w:textDirection w:val="lrTb"/>
            <w:noWrap w:val="false"/>
          </w:tcPr>
          <w:p>
            <w:pPr>
              <w:jc w:val="both"/>
              <w:spacing w:line="360" w:lineRule="auto"/>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eastAsia="zh-CN"/>
              </w:rPr>
              <w:t xml:space="preserve">试剂更换</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Times New Roman" w:hAnsi="Times New Roman" w:eastAsia="宋体" w:cs="Times New Roman"/>
                <w:sz w:val="21"/>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未按时更换试剂，超过有效期仍在使用</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处</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2</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p>
        </w:tc>
        <w:tc>
          <w:tcPr>
            <w:tcW w:w="2176" w:type="dxa"/>
            <w:vAlign w:val="center"/>
            <w:textDirection w:val="lrTb"/>
            <w:noWrap w:val="false"/>
          </w:tcPr>
          <w:p>
            <w:pPr>
              <w:jc w:val="both"/>
              <w:spacing w:line="360" w:lineRule="auto"/>
              <w:widowControl w:val="off"/>
              <w:rPr>
                <w:rFonts w:hint="eastAsia" w:ascii="Times New Roman" w:hAnsi="Times New Roman" w:eastAsia="宋体" w:cs="Times New Roman"/>
                <w:sz w:val="21"/>
                <w:szCs w:val="24"/>
                <w:highlight w:val="none"/>
                <w:lang w:eastAsia="zh-CN"/>
              </w:rPr>
            </w:pPr>
            <w:r>
              <w:rPr>
                <w:rFonts w:hint="eastAsia" w:ascii="Times New Roman" w:hAnsi="Times New Roman" w:eastAsia="宋体" w:cs="Times New Roman"/>
                <w:sz w:val="21"/>
                <w:szCs w:val="24"/>
                <w:highlight w:val="none"/>
              </w:rPr>
              <w:t xml:space="preserve">运行</w:t>
            </w:r>
            <w:r>
              <w:rPr>
                <w:rFonts w:hint="eastAsia" w:ascii="Times New Roman" w:hAnsi="Times New Roman" w:eastAsia="宋体" w:cs="Times New Roman"/>
                <w:sz w:val="21"/>
                <w:szCs w:val="24"/>
                <w:highlight w:val="none"/>
                <w:lang w:eastAsia="zh-CN"/>
              </w:rPr>
              <w:t xml:space="preserve">、维护报表</w:t>
            </w:r>
            <w:r/>
          </w:p>
          <w:p>
            <w:pPr>
              <w:jc w:val="both"/>
              <w:spacing w:line="360" w:lineRule="auto"/>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lang w:val="en-US" w:eastAsia="zh-CN"/>
              </w:rPr>
              <w:t xml:space="preserve">20分</w:t>
            </w:r>
            <w:r>
              <w:rPr>
                <w:rFonts w:hint="eastAsia" w:ascii="Times New Roman" w:hAnsi="Times New Roman" w:eastAsia="宋体" w:cs="Times New Roman"/>
                <w:sz w:val="21"/>
                <w:szCs w:val="24"/>
                <w:highlight w:val="none"/>
                <w:lang w:eastAsia="zh-CN"/>
              </w:rPr>
              <w:t xml:space="preserve">）</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Cs/>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未按要求完成巡检</w:t>
            </w:r>
            <w:r>
              <w:rPr>
                <w:rFonts w:hint="eastAsia" w:ascii="Times New Roman" w:hAnsi="Times New Roman" w:eastAsia="宋体" w:cs="Times New Roman"/>
                <w:sz w:val="21"/>
                <w:szCs w:val="24"/>
                <w:highlight w:val="none"/>
                <w:lang w:eastAsia="zh-CN"/>
              </w:rPr>
              <w:t xml:space="preserve">或未规范填报巡检记录。</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次</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776"/>
        </w:trPr>
        <w:tc>
          <w:tcPr>
            <w:tcW w:w="655" w:type="dxa"/>
            <w:vAlign w:val="center"/>
            <w:textDirection w:val="lrTb"/>
            <w:noWrap w:val="false"/>
          </w:tcPr>
          <w:p>
            <w:pPr>
              <w:jc w:val="center"/>
              <w:spacing w:line="360" w:lineRule="auto"/>
              <w:widowControl w:val="off"/>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p>
        </w:tc>
        <w:tc>
          <w:tcPr>
            <w:shd w:val="clear" w:color="auto" w:fill="auto"/>
            <w:tcW w:w="2176" w:type="dxa"/>
            <w:vAlign w:val="center"/>
            <w:textDirection w:val="lrTb"/>
            <w:noWrap w:val="false"/>
          </w:tcPr>
          <w:p>
            <w:pPr>
              <w:jc w:val="both"/>
              <w:spacing w:line="360" w:lineRule="auto"/>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eastAsia="zh-CN"/>
              </w:rPr>
              <w:t xml:space="preserve">配件更换（</w:t>
            </w:r>
            <w:r>
              <w:rPr>
                <w:rFonts w:hint="eastAsia" w:ascii="Times New Roman" w:hAnsi="Times New Roman" w:eastAsia="宋体" w:cs="Times New Roman"/>
                <w:sz w:val="21"/>
                <w:szCs w:val="24"/>
                <w:highlight w:val="none"/>
                <w:lang w:val="en-US" w:eastAsia="zh-CN"/>
              </w:rPr>
              <w:t xml:space="preserve">10分</w:t>
            </w:r>
            <w:r>
              <w:rPr>
                <w:rFonts w:hint="eastAsia" w:ascii="Times New Roman" w:hAnsi="Times New Roman" w:eastAsia="宋体" w:cs="Times New Roman"/>
                <w:sz w:val="21"/>
                <w:szCs w:val="24"/>
                <w:highlight w:val="none"/>
                <w:lang w:eastAsia="zh-CN"/>
              </w:rPr>
              <w:t xml:space="preserve">）</w:t>
            </w:r>
            <w:r/>
          </w:p>
        </w:tc>
        <w:tc>
          <w:tcPr>
            <w:shd w:val="clear" w:color="auto" w:fill="auto"/>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Cs/>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未规范填报耗材及配件更换记录</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次</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w:t>
            </w:r>
            <w:r>
              <w:rPr>
                <w:rFonts w:hint="eastAsia" w:ascii="Times New Roman" w:hAnsi="Times New Roman" w:eastAsia="宋体" w:cs="Times New Roman"/>
                <w:sz w:val="21"/>
                <w:szCs w:val="24"/>
                <w:highlight w:val="none"/>
                <w:lang w:eastAsia="zh-CN"/>
              </w:rPr>
              <w:t xml:space="preserve">为</w:t>
            </w:r>
            <w:r>
              <w:rPr>
                <w:rFonts w:hint="eastAsia" w:ascii="Times New Roman" w:hAnsi="Times New Roman" w:eastAsia="宋体" w:cs="Times New Roman"/>
                <w:sz w:val="21"/>
                <w:szCs w:val="24"/>
                <w:highlight w:val="none"/>
              </w:rPr>
              <w:t xml:space="preserve">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p>
        </w:tc>
        <w:tc>
          <w:tcPr>
            <w:tcW w:w="2176" w:type="dxa"/>
            <w:vAlign w:val="center"/>
            <w:textDirection w:val="lrTb"/>
            <w:noWrap w:val="false"/>
          </w:tcPr>
          <w:p>
            <w:pPr>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Times New Roman" w:hAnsi="Times New Roman" w:eastAsia="宋体" w:cs="Times New Roman"/>
                <w:sz w:val="21"/>
                <w:szCs w:val="24"/>
                <w:highlight w:val="none"/>
                <w:lang w:eastAsia="zh-CN"/>
              </w:rPr>
              <w:t xml:space="preserve">故障处理（</w:t>
            </w:r>
            <w:r>
              <w:rPr>
                <w:rFonts w:hint="eastAsia" w:ascii="Times New Roman" w:hAnsi="Times New Roman" w:eastAsia="宋体" w:cs="Times New Roman"/>
                <w:sz w:val="21"/>
                <w:szCs w:val="24"/>
                <w:highlight w:val="none"/>
                <w:lang w:val="en-US" w:eastAsia="zh-CN"/>
              </w:rPr>
              <w:t xml:space="preserve">10分</w:t>
            </w:r>
            <w:r>
              <w:rPr>
                <w:rFonts w:hint="eastAsia" w:ascii="Times New Roman" w:hAnsi="Times New Roman" w:eastAsia="宋体" w:cs="Times New Roman"/>
                <w:sz w:val="21"/>
                <w:szCs w:val="24"/>
                <w:highlight w:val="none"/>
                <w:lang w:eastAsia="zh-CN"/>
              </w:rPr>
              <w:t xml:space="preserve">）</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Cs/>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Segoe UI" w:hAnsi="Segoe UI" w:eastAsia="Segoe UI" w:cs="Segoe UI"/>
                <w:i w:val="0"/>
                <w:iCs w:val="0"/>
                <w:caps w:val="0"/>
                <w:spacing w:val="0"/>
                <w:sz w:val="21"/>
                <w:szCs w:val="21"/>
                <w:shd w:val="clear" w:color="auto" w:fill="ffffff"/>
                <w:vertAlign w:val="baseline"/>
                <w:lang w:val="en-US" w:eastAsia="zh-CN" w:bidi="ar"/>
              </w:rPr>
              <w:t xml:space="preserve">未及时处理故障 ，每发现1次扣1分，累计扣分，扣完为止。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624"/>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6</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Times New Roman" w:hAnsi="Times New Roman" w:eastAsia="宋体" w:cs="Times New Roman"/>
                <w:sz w:val="21"/>
                <w:szCs w:val="24"/>
                <w:highlight w:val="none"/>
                <w:lang w:eastAsia="zh-CN"/>
              </w:rPr>
              <w:t xml:space="preserve">数据造假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15</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lang w:eastAsia="zh-CN"/>
              </w:rPr>
              <w:t xml:space="preserve">有</w:t>
            </w:r>
            <w:r>
              <w:rPr>
                <w:rFonts w:hint="eastAsia" w:ascii="Times New Roman" w:hAnsi="Times New Roman" w:eastAsia="宋体" w:cs="Times New Roman"/>
                <w:sz w:val="21"/>
                <w:szCs w:val="24"/>
                <w:highlight w:val="none"/>
              </w:rPr>
              <w:t xml:space="preserve">篡改、伪造或者指使篡改、伪造监测数据行为</w:t>
            </w:r>
            <w:r>
              <w:rPr>
                <w:rFonts w:hint="eastAsia" w:ascii="Times New Roman" w:hAnsi="Times New Roman" w:eastAsia="宋体" w:cs="Times New Roman"/>
                <w:sz w:val="21"/>
                <w:szCs w:val="24"/>
                <w:highlight w:val="none"/>
                <w:lang w:eastAsia="zh-CN"/>
              </w:rPr>
              <w:t xml:space="preserve">。</w:t>
            </w:r>
            <w:r>
              <w:rPr>
                <w:rFonts w:hint="eastAsia" w:cs="Times New Roman"/>
                <w:sz w:val="21"/>
                <w:szCs w:val="24"/>
                <w:highlight w:val="none"/>
                <w:lang w:val="en-US" w:eastAsia="zh-CN"/>
              </w:rPr>
              <w:t xml:space="preserve">一经</w:t>
            </w:r>
            <w:r>
              <w:rPr>
                <w:rFonts w:hint="eastAsia" w:ascii="Times New Roman" w:hAnsi="Times New Roman" w:eastAsia="宋体" w:cs="Times New Roman"/>
                <w:sz w:val="21"/>
                <w:szCs w:val="24"/>
                <w:highlight w:val="none"/>
              </w:rPr>
              <w:t xml:space="preserve">发现扣</w:t>
            </w:r>
            <w:r>
              <w:rPr>
                <w:rFonts w:hint="eastAsia" w:cs="Times New Roman"/>
                <w:sz w:val="21"/>
                <w:szCs w:val="24"/>
                <w:highlight w:val="none"/>
                <w:lang w:val="en-US" w:eastAsia="zh-CN"/>
              </w:rPr>
              <w:t xml:space="preserve">15</w:t>
            </w:r>
            <w:r>
              <w:rPr>
                <w:rFonts w:hint="eastAsia" w:ascii="Times New Roman" w:hAnsi="Times New Roman" w:eastAsia="宋体" w:cs="Times New Roman"/>
                <w:sz w:val="21"/>
                <w:szCs w:val="24"/>
                <w:highlight w:val="none"/>
              </w:rPr>
              <w:t xml:space="preserve">分，</w:t>
            </w:r>
            <w:r>
              <w:rPr>
                <w:rFonts w:hint="eastAsia" w:cs="Times New Roman"/>
                <w:sz w:val="21"/>
                <w:szCs w:val="24"/>
                <w:highlight w:val="none"/>
                <w:lang w:val="en-US" w:eastAsia="zh-CN"/>
              </w:rPr>
              <w:t xml:space="preserve">并</w:t>
            </w:r>
            <w:r>
              <w:t xml:space="preserve">即解除合同</w:t>
            </w:r>
            <w:r>
              <w:rPr>
                <w:rFonts w:hint="eastAsia"/>
                <w:lang w:eastAsia="zh-CN"/>
              </w:rPr>
              <w:t xml:space="preserve">、</w:t>
            </w:r>
            <w:r>
              <w:t xml:space="preserve">追究法律责任</w:t>
            </w:r>
            <w:r>
              <w:rPr>
                <w:rFonts w:hint="eastAsia" w:ascii="Times New Roman" w:hAnsi="Times New Roman" w:eastAsia="宋体" w:cs="Times New Roman"/>
                <w:sz w:val="21"/>
                <w:szCs w:val="24"/>
                <w:highlight w:val="none"/>
              </w:rPr>
              <w:t xml:space="preserve">。</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591"/>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7</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质控检测</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未规范开展质控工作 </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次足</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1002"/>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在岗人员</w:t>
            </w:r>
            <w:r/>
          </w:p>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lang w:eastAsia="zh-CN"/>
              </w:rPr>
              <w:t xml:space="preserve">甲方</w:t>
            </w:r>
            <w:r>
              <w:rPr>
                <w:rFonts w:hint="eastAsia" w:ascii="Times New Roman" w:hAnsi="Times New Roman" w:eastAsia="宋体" w:cs="Times New Roman"/>
                <w:sz w:val="21"/>
                <w:szCs w:val="24"/>
                <w:highlight w:val="none"/>
              </w:rPr>
              <w:t xml:space="preserve">随时抽查本项目在岗人员是否与</w:t>
            </w:r>
            <w:r>
              <w:rPr>
                <w:rFonts w:hint="eastAsia" w:ascii="Times New Roman" w:hAnsi="Times New Roman" w:eastAsia="宋体" w:cs="Times New Roman"/>
                <w:sz w:val="21"/>
                <w:szCs w:val="24"/>
                <w:highlight w:val="none"/>
                <w:lang w:eastAsia="zh-CN"/>
              </w:rPr>
              <w:t xml:space="preserve">投标人</w:t>
            </w:r>
            <w:r>
              <w:rPr>
                <w:rFonts w:hint="eastAsia" w:ascii="Times New Roman" w:hAnsi="Times New Roman" w:eastAsia="宋体" w:cs="Times New Roman"/>
                <w:sz w:val="21"/>
                <w:szCs w:val="24"/>
                <w:highlight w:val="none"/>
              </w:rPr>
              <w:t xml:space="preserve">拟</w:t>
            </w:r>
            <w:r>
              <w:rPr>
                <w:rFonts w:hint="eastAsia" w:ascii="Times New Roman" w:hAnsi="Times New Roman" w:eastAsia="宋体" w:cs="Times New Roman"/>
                <w:sz w:val="21"/>
                <w:szCs w:val="24"/>
                <w:highlight w:val="none"/>
                <w:lang w:eastAsia="zh-CN"/>
              </w:rPr>
              <w:t xml:space="preserve">派</w:t>
            </w:r>
            <w:r>
              <w:rPr>
                <w:rFonts w:hint="eastAsia" w:ascii="Times New Roman" w:hAnsi="Times New Roman" w:eastAsia="宋体" w:cs="Times New Roman"/>
                <w:sz w:val="21"/>
                <w:szCs w:val="24"/>
                <w:highlight w:val="none"/>
              </w:rPr>
              <w:t xml:space="preserve">本项目的人员一致，每发现1人/次</w:t>
            </w:r>
            <w:r>
              <w:rPr>
                <w:rFonts w:hint="eastAsia" w:ascii="Times New Roman" w:hAnsi="Times New Roman" w:eastAsia="宋体" w:cs="Times New Roman"/>
                <w:sz w:val="21"/>
                <w:szCs w:val="24"/>
                <w:highlight w:val="none"/>
                <w:lang w:eastAsia="zh-CN"/>
              </w:rPr>
              <w:t xml:space="preserve">不同</w:t>
            </w:r>
            <w:r>
              <w:rPr>
                <w:rFonts w:hint="eastAsia" w:ascii="Times New Roman" w:hAnsi="Times New Roman" w:eastAsia="宋体" w:cs="Times New Roman"/>
                <w:sz w:val="21"/>
                <w:szCs w:val="24"/>
                <w:highlight w:val="none"/>
              </w:rPr>
              <w:t xml:space="preserve">，扣1分，累计扣分，扣完为止。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624"/>
        </w:trPr>
        <w:tc>
          <w:tcPr>
            <w:tcW w:w="655" w:type="dxa"/>
            <w:vAlign w:val="center"/>
            <w:textDirection w:val="lrTb"/>
            <w:noWrap w:val="false"/>
          </w:tcPr>
          <w:p>
            <w:pPr>
              <w:jc w:val="center"/>
              <w:spacing w:line="360" w:lineRule="auto"/>
              <w:widowControl w:val="off"/>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9</w:t>
            </w:r>
            <w:r/>
          </w:p>
        </w:tc>
        <w:tc>
          <w:tcPr>
            <w:tcW w:w="2176" w:type="dxa"/>
            <w:vAlign w:val="center"/>
            <w:textDirection w:val="lrTb"/>
            <w:noWrap w:val="false"/>
          </w:tcPr>
          <w:p>
            <w:pPr>
              <w:jc w:val="both"/>
              <w:spacing w:line="360" w:lineRule="auto"/>
              <w:widowControl w:val="off"/>
              <w:rPr>
                <w:rFonts w:hint="eastAsia" w:ascii="Times New Roman" w:hAnsi="Times New Roman" w:eastAsia="宋体" w:cs="Times New Roman"/>
                <w:sz w:val="21"/>
                <w:szCs w:val="24"/>
                <w:highlight w:val="none"/>
                <w:lang w:eastAsia="zh-CN"/>
              </w:rPr>
            </w:pPr>
            <w:r>
              <w:rPr>
                <w:rFonts w:hint="eastAsia" w:ascii="Times New Roman" w:hAnsi="Times New Roman" w:eastAsia="宋体" w:cs="Times New Roman"/>
                <w:sz w:val="21"/>
                <w:szCs w:val="24"/>
                <w:highlight w:val="none"/>
                <w:lang w:eastAsia="zh-CN"/>
              </w:rPr>
              <w:t xml:space="preserve">其他（</w:t>
            </w:r>
            <w:r>
              <w:rPr>
                <w:rFonts w:hint="eastAsia" w:ascii="Times New Roman" w:hAnsi="Times New Roman" w:eastAsia="宋体" w:cs="Times New Roman"/>
                <w:sz w:val="21"/>
                <w:szCs w:val="24"/>
                <w:highlight w:val="none"/>
                <w:lang w:val="en-US" w:eastAsia="zh-CN"/>
              </w:rPr>
              <w:t xml:space="preserve">15分</w:t>
            </w:r>
            <w:r>
              <w:rPr>
                <w:rFonts w:hint="eastAsia" w:ascii="Times New Roman" w:hAnsi="Times New Roman" w:eastAsia="宋体" w:cs="Times New Roman"/>
                <w:sz w:val="21"/>
                <w:szCs w:val="24"/>
                <w:highlight w:val="none"/>
                <w:lang w:eastAsia="zh-CN"/>
              </w:rPr>
              <w:t xml:space="preserve">）</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lang w:eastAsia="zh-CN"/>
              </w:rPr>
              <w:t xml:space="preserve">甲方发现违反</w:t>
            </w:r>
            <w:r>
              <w:rPr>
                <w:rFonts w:hint="eastAsia" w:ascii="Times New Roman" w:hAnsi="Times New Roman" w:eastAsia="宋体" w:cs="Times New Roman"/>
                <w:sz w:val="21"/>
                <w:szCs w:val="24"/>
                <w:highlight w:val="none"/>
              </w:rPr>
              <w:t xml:space="preserve">其他运维规范性问题 </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次</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624"/>
        </w:trPr>
        <w:tc>
          <w:tcPr>
            <w:tcW w:w="655" w:type="dxa"/>
            <w:vAlign w:val="center"/>
            <w:textDirection w:val="lrTb"/>
            <w:noWrap w:val="false"/>
          </w:tcPr>
          <w:p>
            <w:pPr>
              <w:jc w:val="center"/>
              <w:spacing w:line="360" w:lineRule="auto"/>
              <w:widowControl w:val="off"/>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10</w:t>
            </w:r>
            <w:r/>
          </w:p>
        </w:tc>
        <w:tc>
          <w:tcPr>
            <w:tcW w:w="2176" w:type="dxa"/>
            <w:vAlign w:val="center"/>
            <w:textDirection w:val="lrTb"/>
            <w:noWrap w:val="false"/>
          </w:tcPr>
          <w:p>
            <w:pPr>
              <w:jc w:val="center"/>
              <w:spacing w:line="360" w:lineRule="auto"/>
              <w:widowControl w:val="off"/>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eastAsia="zh-CN"/>
              </w:rPr>
              <w:t xml:space="preserve">合计</w:t>
            </w:r>
            <w:r/>
          </w:p>
        </w:tc>
        <w:tc>
          <w:tcPr>
            <w:tcW w:w="5781" w:type="dxa"/>
            <w:vAlign w:val="center"/>
            <w:textDirection w:val="lrTb"/>
            <w:noWrap w:val="false"/>
          </w:tcPr>
          <w:p>
            <w:pPr>
              <w:jc w:val="both"/>
              <w:spacing w:line="360" w:lineRule="auto"/>
              <w:widowControl w:val="off"/>
              <w:rPr>
                <w:rFonts w:hint="default"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1+2+3+4+5+6+7+8+9-注②-合同规定的扣罚金额</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jc w:val="both"/>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r>
    </w:tbl>
    <w:p>
      <w:pPr>
        <w:jc w:val="both"/>
        <w:spacing w:line="240" w:lineRule="auto"/>
        <w:widowControl w:val="off"/>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jc w:val="both"/>
        <w:spacing w:line="240" w:lineRule="auto"/>
        <w:widowControl w:val="off"/>
        <w:rPr>
          <w:rFonts w:hint="eastAsia" w:ascii="Times New Roman" w:hAnsi="Times New Roman" w:eastAsia="宋体" w:cs="Times New Roman"/>
          <w:b/>
          <w:bCs/>
          <w:sz w:val="21"/>
          <w:szCs w:val="24"/>
          <w:lang w:eastAsia="zh-CN"/>
        </w:rPr>
      </w:pPr>
      <w:r>
        <w:rPr>
          <w:rFonts w:hint="eastAsia" w:ascii="Times New Roman" w:hAnsi="Times New Roman" w:eastAsia="宋体" w:cs="Times New Roman"/>
          <w:sz w:val="21"/>
          <w:szCs w:val="24"/>
          <w:lang w:eastAsia="zh-CN"/>
        </w:rPr>
        <w:t xml:space="preserve">注：</w:t>
      </w:r>
      <w:r>
        <w:rPr>
          <w:rFonts w:hint="eastAsia" w:ascii="宋体" w:hAnsi="宋体" w:eastAsia="宋体" w:cs="宋体"/>
          <w:b/>
          <w:bCs/>
          <w:sz w:val="21"/>
          <w:szCs w:val="24"/>
          <w:lang w:eastAsia="zh-CN"/>
        </w:rPr>
        <w:t xml:space="preserve">①</w:t>
      </w:r>
      <w:r>
        <w:rPr>
          <w:rFonts w:hint="eastAsia" w:ascii="Times New Roman" w:hAnsi="Times New Roman" w:eastAsia="宋体" w:cs="Times New Roman"/>
          <w:b/>
          <w:bCs/>
          <w:sz w:val="21"/>
          <w:szCs w:val="24"/>
          <w:lang w:eastAsia="zh-CN"/>
        </w:rPr>
        <w:t xml:space="preserve">本考核表每季度考核一次。</w:t>
      </w:r>
      <w:r/>
    </w:p>
    <w:p>
      <w:pPr>
        <w:ind w:firstLine="480"/>
        <w:jc w:val="both"/>
        <w:spacing w:line="360" w:lineRule="auto"/>
        <w:widowControl w:val="off"/>
        <w:rPr>
          <w:rFonts w:hint="eastAsia" w:ascii="宋体" w:hAnsi="宋体" w:eastAsia="宋体" w:cs="宋体"/>
          <w:b/>
          <w:bCs w:val="0"/>
          <w:sz w:val="22"/>
          <w:szCs w:val="22"/>
          <w:highlight w:val="none"/>
          <w:lang w:val="en-US" w:eastAsia="zh-CN"/>
        </w:rPr>
      </w:pPr>
      <w:r>
        <w:rPr>
          <w:rFonts w:hint="eastAsia" w:ascii="宋体" w:hAnsi="宋体" w:eastAsia="宋体" w:cs="宋体"/>
          <w:b/>
          <w:bCs/>
          <w:sz w:val="22"/>
          <w:szCs w:val="22"/>
          <w:highlight w:val="none"/>
          <w:lang w:val="en-US" w:eastAsia="zh-CN"/>
        </w:rPr>
        <w:t xml:space="preserve">②</w:t>
      </w:r>
      <w:r>
        <w:rPr>
          <w:rFonts w:hint="eastAsia" w:ascii="宋体" w:hAnsi="宋体" w:eastAsia="宋体" w:cs="宋体"/>
          <w:b/>
          <w:bCs w:val="0"/>
          <w:color w:val="000000"/>
          <w:sz w:val="21"/>
          <w:szCs w:val="21"/>
          <w:highlight w:val="none"/>
          <w:lang w:val="en-US" w:eastAsia="zh-CN"/>
        </w:rPr>
        <w:t xml:space="preserve">若</w:t>
      </w:r>
      <w:r>
        <w:rPr>
          <w:rFonts w:hint="eastAsia" w:ascii="宋体" w:hAnsi="宋体" w:eastAsia="宋体" w:cs="宋体"/>
          <w:b/>
          <w:bCs w:val="0"/>
          <w:color w:val="000000"/>
          <w:sz w:val="21"/>
          <w:szCs w:val="21"/>
          <w:highlight w:val="none"/>
        </w:rPr>
        <w:t xml:space="preserve">受到群众举报、上级领导点名批评、媒体曝光</w:t>
      </w:r>
      <w:r>
        <w:rPr>
          <w:rFonts w:hint="eastAsia" w:ascii="宋体" w:hAnsi="宋体" w:eastAsia="宋体" w:cs="宋体"/>
          <w:b/>
          <w:bCs w:val="0"/>
          <w:color w:val="000000"/>
          <w:sz w:val="21"/>
          <w:szCs w:val="21"/>
          <w:highlight w:val="none"/>
          <w:lang w:val="en-US" w:eastAsia="zh-CN"/>
        </w:rPr>
        <w:t xml:space="preserve">等情况</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eastAsia="zh-CN"/>
        </w:rPr>
        <w:t xml:space="preserve">以</w:t>
      </w:r>
      <w:r>
        <w:rPr>
          <w:rFonts w:hint="eastAsia" w:ascii="宋体" w:hAnsi="宋体" w:eastAsia="宋体" w:cs="宋体"/>
          <w:b/>
          <w:bCs w:val="0"/>
          <w:color w:val="000000"/>
          <w:sz w:val="21"/>
          <w:szCs w:val="21"/>
          <w:highlight w:val="none"/>
          <w:lang w:val="en-US" w:eastAsia="zh-CN"/>
        </w:rPr>
        <w:t xml:space="preserve">100分为基础，</w:t>
      </w:r>
      <w:r>
        <w:rPr>
          <w:rFonts w:hint="eastAsia" w:ascii="宋体" w:hAnsi="宋体" w:eastAsia="宋体" w:cs="宋体"/>
          <w:b/>
          <w:bCs w:val="0"/>
          <w:color w:val="000000"/>
          <w:sz w:val="21"/>
          <w:szCs w:val="21"/>
          <w:highlight w:val="none"/>
        </w:rPr>
        <w:t xml:space="preserve">每发生一次</w:t>
      </w:r>
      <w:r>
        <w:rPr>
          <w:rFonts w:hint="eastAsia" w:ascii="宋体" w:hAnsi="宋体" w:eastAsia="宋体" w:cs="宋体"/>
          <w:b/>
          <w:bCs w:val="0"/>
          <w:color w:val="auto"/>
          <w:sz w:val="21"/>
          <w:szCs w:val="21"/>
          <w:highlight w:val="none"/>
        </w:rPr>
        <w:t xml:space="preserve">扣</w:t>
      </w:r>
      <w:r>
        <w:rPr>
          <w:rFonts w:hint="eastAsia" w:ascii="宋体" w:hAnsi="宋体" w:eastAsia="宋体" w:cs="宋体"/>
          <w:b/>
          <w:bCs w:val="0"/>
          <w:color w:val="auto"/>
          <w:sz w:val="21"/>
          <w:szCs w:val="21"/>
          <w:highlight w:val="none"/>
          <w:lang w:val="en-US" w:eastAsia="zh-CN"/>
        </w:rPr>
        <w:t xml:space="preserve">10</w:t>
      </w:r>
      <w:r>
        <w:rPr>
          <w:rFonts w:hint="eastAsia" w:ascii="宋体" w:hAnsi="宋体" w:eastAsia="宋体" w:cs="宋体"/>
          <w:b/>
          <w:bCs w:val="0"/>
          <w:color w:val="auto"/>
          <w:sz w:val="21"/>
          <w:szCs w:val="21"/>
          <w:highlight w:val="none"/>
        </w:rPr>
        <w:t xml:space="preserve">分</w:t>
      </w:r>
      <w:r>
        <w:rPr>
          <w:rFonts w:hint="eastAsia" w:ascii="宋体" w:hAnsi="宋体" w:eastAsia="宋体" w:cs="宋体"/>
          <w:b/>
          <w:bCs w:val="0"/>
          <w:color w:val="000000"/>
          <w:sz w:val="21"/>
          <w:szCs w:val="21"/>
          <w:highlight w:val="none"/>
        </w:rPr>
        <w:t xml:space="preserve">，累计扣分</w:t>
      </w:r>
      <w:r>
        <w:rPr>
          <w:rFonts w:hint="eastAsia" w:ascii="宋体" w:hAnsi="宋体" w:eastAsia="宋体" w:cs="宋体"/>
          <w:b/>
          <w:bCs w:val="0"/>
          <w:color w:val="000000"/>
          <w:sz w:val="21"/>
          <w:szCs w:val="21"/>
          <w:highlight w:val="none"/>
          <w:lang w:eastAsia="zh-CN"/>
        </w:rPr>
        <w:t xml:space="preserve">。</w:t>
      </w:r>
      <w:r/>
    </w:p>
    <w:p>
      <w:pPr>
        <w:jc w:val="both"/>
        <w:spacing w:line="240" w:lineRule="auto"/>
        <w:widowControl w:val="off"/>
        <w:rPr>
          <w:rFonts w:hint="eastAsia" w:ascii="Times New Roman" w:hAnsi="Times New Roman" w:eastAsia="宋体" w:cs="Times New Roman"/>
          <w:sz w:val="21"/>
          <w:szCs w:val="24"/>
          <w:lang w:eastAsia="zh-CN"/>
        </w:rPr>
      </w:pPr>
      <w:r>
        <w:rPr>
          <w:rFonts w:hint="eastAsia" w:ascii="Times New Roman" w:hAnsi="Times New Roman" w:eastAsia="宋体" w:cs="Times New Roman"/>
          <w:sz w:val="21"/>
          <w:szCs w:val="24"/>
          <w:lang w:eastAsia="zh-CN"/>
        </w:rPr>
      </w:r>
      <w:r/>
    </w:p>
    <w:p>
      <w:pPr>
        <w:jc w:val="both"/>
        <w:spacing w:line="240" w:lineRule="auto"/>
        <w:widowControl w:val="off"/>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420"/>
        <w:jc w:val="left"/>
        <w:spacing w:line="312" w:lineRule="auto"/>
        <w:widowControl/>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420"/>
        <w:jc w:val="left"/>
        <w:spacing w:line="312" w:lineRule="auto"/>
        <w:widowControl/>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420"/>
        <w:jc w:val="left"/>
        <w:spacing w:line="312" w:lineRule="auto"/>
        <w:widowControl/>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420"/>
        <w:jc w:val="left"/>
        <w:spacing w:line="312" w:lineRule="auto"/>
        <w:widowControl/>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420"/>
        <w:jc w:val="left"/>
        <w:spacing w:line="312" w:lineRule="auto"/>
        <w:widowControl/>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420"/>
        <w:jc w:val="left"/>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contextualSpacing/>
        <w:jc w:val="left"/>
        <w:spacing w:line="440" w:lineRule="exact"/>
        <w:widowControl/>
        <w:tabs>
          <w:tab w:val="left" w:pos="2280" w:leader="none"/>
        </w:tabs>
        <w:rPr>
          <w:rFonts w:hint="default"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附件2：</w:t>
      </w:r>
      <w:r/>
    </w:p>
    <w:p>
      <w:pPr>
        <w:contextualSpacing/>
        <w:jc w:val="center"/>
        <w:spacing w:line="440" w:lineRule="exact"/>
        <w:widowControl/>
        <w:tabs>
          <w:tab w:val="left" w:pos="2280" w:leader="none"/>
        </w:tabs>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运行维护技术规范</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国家环境保护总局发布的相关水质在线监测技术标准</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2</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国家标准方法和《水和废水监测分析方法》</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3</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《国家地表水水质自动监测站运行管理办法》</w:t>
      </w:r>
      <w:r/>
    </w:p>
    <w:p>
      <w:pPr>
        <w:ind w:firstLine="480"/>
        <w:jc w:val="both"/>
        <w:spacing w:line="360" w:lineRule="auto"/>
        <w:widowControl/>
        <w:rPr>
          <w:rFonts w:hint="eastAsia"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rPr>
        <w:t xml:space="preserve">4</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环境水质（地表水）自动监测站运行维护技术规范</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DB32/T4536-2023</w:t>
      </w:r>
      <w:r>
        <w:rPr>
          <w:rFonts w:hint="eastAsia" w:ascii="宋体" w:hAnsi="宋体" w:eastAsia="宋体" w:cs="Times New Roman"/>
          <w:sz w:val="24"/>
          <w:szCs w:val="24"/>
          <w:highlight w:val="none"/>
          <w:lang w:eastAsia="zh-CN"/>
        </w:rPr>
        <w:t xml:space="preserve">）</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5</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《环境水质监测质量保证手册》</w:t>
      </w:r>
      <w:r/>
    </w:p>
    <w:p>
      <w:pPr>
        <w:ind w:firstLine="480"/>
        <w:jc w:val="both"/>
        <w:spacing w:line="360" w:lineRule="auto"/>
        <w:widowControl/>
        <w:rPr>
          <w:rStyle w:val="743"/>
        </w:rPr>
      </w:pPr>
      <w:r>
        <w:rPr>
          <w:rFonts w:hint="default" w:ascii="宋体" w:hAnsi="宋体" w:eastAsia="宋体" w:cs="Times New Roman"/>
          <w:sz w:val="24"/>
          <w:szCs w:val="24"/>
          <w:highlight w:val="none"/>
        </w:rPr>
        <w:t xml:space="preserve">6</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《地表水和污水监测技术规范》（HJ/T91-20</w:t>
      </w:r>
      <w:r>
        <w:rPr>
          <w:rFonts w:hint="eastAsia" w:ascii="宋体" w:hAnsi="宋体" w:cs="Times New Roman"/>
          <w:sz w:val="24"/>
          <w:szCs w:val="24"/>
          <w:highlight w:val="none"/>
          <w:lang w:val="en-US" w:eastAsia="zh-CN"/>
        </w:rPr>
        <w:t xml:space="preserve">19</w:t>
      </w:r>
      <w:r>
        <w:rPr>
          <w:rFonts w:hint="default" w:ascii="宋体" w:hAnsi="宋体" w:eastAsia="宋体" w:cs="Times New Roman"/>
          <w:sz w:val="24"/>
          <w:szCs w:val="24"/>
          <w:highlight w:val="none"/>
        </w:rPr>
        <w:t xml:space="preserve">）</w:t>
      </w:r>
      <w:r/>
    </w:p>
    <w:p>
      <w:pPr>
        <w:ind w:firstLine="480"/>
        <w:jc w:val="both"/>
        <w:spacing w:line="360" w:lineRule="auto"/>
        <w:widowControl/>
        <w:rPr>
          <w:rStyle w:val="743"/>
          <w:rFonts w:hint="eastAsia" w:eastAsia="宋体"/>
          <w:lang w:val="en-US" w:eastAsia="zh-CN"/>
        </w:rPr>
      </w:pPr>
      <w:r>
        <w:rPr>
          <w:rFonts w:hint="eastAsia" w:ascii="宋体" w:hAnsi="宋体" w:eastAsia="宋体" w:cs="Times New Roman"/>
          <w:sz w:val="24"/>
          <w:szCs w:val="24"/>
          <w:highlight w:val="none"/>
          <w:lang w:val="en-US" w:eastAsia="zh-CN"/>
        </w:rPr>
        <w:t xml:space="preserve">7、</w:t>
      </w:r>
      <w:r>
        <w:rPr>
          <w:rFonts w:hint="default" w:ascii="宋体" w:hAnsi="宋体" w:eastAsia="宋体" w:cs="Times New Roman"/>
          <w:sz w:val="24"/>
          <w:szCs w:val="24"/>
          <w:highlight w:val="none"/>
        </w:rPr>
        <w:t xml:space="preserve">《地表</w:t>
      </w:r>
      <w:r>
        <w:t xml:space="preserve">水环境质量监测技术规范》HJ 91.2-2022</w:t>
      </w:r>
      <w:r/>
    </w:p>
    <w:p>
      <w:pPr>
        <w:ind w:firstLine="480"/>
        <w:jc w:val="both"/>
        <w:spacing w:line="360" w:lineRule="auto"/>
        <w:widowControl/>
        <w:rPr>
          <w:rFonts w:hint="default" w:ascii="Times New Roman" w:hAnsi="Times New Roman" w:eastAsia="宋体" w:cs="Times New Roman"/>
          <w:sz w:val="20"/>
          <w:szCs w:val="20"/>
          <w:lang w:val="en-US" w:eastAsia="zh-CN"/>
        </w:rPr>
      </w:pPr>
      <w:r>
        <w:rPr>
          <w:rFonts w:hint="eastAsia" w:ascii="宋体" w:hAnsi="宋体" w:cs="Times New Roman"/>
          <w:sz w:val="24"/>
          <w:szCs w:val="24"/>
          <w:highlight w:val="none"/>
          <w:lang w:val="en-US" w:eastAsia="zh-CN"/>
        </w:rPr>
        <w:t xml:space="preserve">8</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《水质河流采样技术指导》（HJ/T52-1999）</w:t>
      </w:r>
      <w:r/>
    </w:p>
    <w:p>
      <w:pPr>
        <w:ind w:firstLine="420"/>
        <w:jc w:val="left"/>
        <w:spacing w:line="312" w:lineRule="auto"/>
        <w:widowControl/>
        <w:rPr>
          <w:rFonts w:hint="default" w:ascii="Times New Roman" w:hAnsi="Times New Roman" w:eastAsia="宋体" w:cs="Times New Roman"/>
          <w:sz w:val="24"/>
          <w:szCs w:val="20"/>
          <w:lang w:val="en-US" w:eastAsia="zh-CN" w:bidi="ar-SA"/>
        </w:rPr>
      </w:pPr>
      <w:r>
        <w:rPr>
          <w:rFonts w:hint="default" w:ascii="Times New Roman" w:hAnsi="Times New Roman" w:eastAsia="宋体" w:cs="Times New Roman"/>
          <w:sz w:val="24"/>
          <w:szCs w:val="20"/>
          <w:lang w:val="en-US" w:eastAsia="zh-CN" w:bidi="ar-SA"/>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jc w:val="left"/>
        <w:spacing w:line="312" w:lineRule="auto"/>
        <w:widowControl/>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r>
      <w:r/>
    </w:p>
    <w:p>
      <w:pPr>
        <w:jc w:val="left"/>
        <w:keepLines w:val="0"/>
        <w:keepNext w:val="0"/>
        <w:pageBreakBefore w:val="0"/>
        <w:spacing w:before="37" w:after="37"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合同附件3</w:t>
      </w:r>
      <w:r/>
    </w:p>
    <w:p>
      <w:pPr>
        <w:jc w:val="center"/>
        <w:spacing w:line="360" w:lineRule="auto"/>
        <w:widowControl/>
        <w:rPr>
          <w:rFonts w:hint="eastAsia" w:ascii="宋体" w:hAnsi="宋体" w:eastAsia="宋体" w:cs="宋体"/>
          <w:b/>
          <w:bCs/>
          <w:sz w:val="44"/>
          <w:szCs w:val="44"/>
          <w:highlight w:val="none"/>
          <w:lang w:eastAsia="zh-CN"/>
        </w:rPr>
      </w:pPr>
      <w:r>
        <w:rPr>
          <w:rFonts w:hint="eastAsia" w:ascii="宋体" w:hAnsi="宋体" w:eastAsia="宋体" w:cs="宋体"/>
          <w:b/>
          <w:bCs/>
          <w:sz w:val="44"/>
          <w:szCs w:val="44"/>
          <w:highlight w:val="none"/>
          <w:lang w:eastAsia="zh-CN"/>
        </w:rPr>
        <w:t xml:space="preserve">保密协议</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甲方：</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地址：</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法定代表人：</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乙方：</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地址：</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法定代表人：</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鉴于：</w:t>
      </w:r>
      <w:r/>
    </w:p>
    <w:p>
      <w:pPr>
        <w:numPr>
          <w:ilvl w:val="0"/>
          <w:numId w:val="4"/>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lang w:val="en-US" w:eastAsia="zh-CN"/>
        </w:rPr>
        <w:t xml:space="preserve">甲乙双方（以下简称“双方”）正在进行</w:t>
      </w:r>
      <w:r>
        <w:rPr>
          <w:rFonts w:hint="eastAsia" w:ascii="宋体" w:hAnsi="宋体" w:eastAsia="宋体" w:cs="宋体"/>
          <w:sz w:val="24"/>
          <w:szCs w:val="32"/>
          <w:highlight w:val="none"/>
          <w:u w:val="single"/>
          <w:lang w:val="en-US" w:eastAsia="zh-CN"/>
        </w:rPr>
        <w:t xml:space="preserve">         </w:t>
      </w:r>
      <w:r>
        <w:rPr>
          <w:rFonts w:hint="eastAsia" w:ascii="宋体" w:hAnsi="宋体" w:eastAsia="宋体" w:cs="宋体"/>
          <w:sz w:val="24"/>
          <w:szCs w:val="32"/>
          <w:highlight w:val="none"/>
          <w:u w:val="none"/>
          <w:lang w:val="en-US" w:eastAsia="zh-CN"/>
        </w:rPr>
        <w:t xml:space="preserve">项目合作（以下简称“项目”）；</w:t>
      </w:r>
      <w:r/>
    </w:p>
    <w:p>
      <w:pPr>
        <w:numPr>
          <w:ilvl w:val="0"/>
          <w:numId w:val="4"/>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甲乙双方对该项目合作进行具体研究工作（以下简称“工作”）；</w:t>
      </w:r>
      <w:r/>
    </w:p>
    <w:p>
      <w:pPr>
        <w:numPr>
          <w:ilvl w:val="0"/>
          <w:numId w:val="4"/>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甲乙双方就该项目的实施以及合作过程中，向对方提供有关保密信息，且该保密信息属提供方合法所有；</w:t>
      </w:r>
      <w:r/>
    </w:p>
    <w:p>
      <w:pPr>
        <w:numPr>
          <w:ilvl w:val="0"/>
          <w:numId w:val="4"/>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甲乙双方均希望对本协议所述保密信息予以有效保护。</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一、本协议所指保密信息是指：</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甲方向乙方提供：</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在合作过程中，乙方从甲方（或其母公司、子公司、关联公司）获得的与合作有关或因合作产生的任何商业、营销、技术、运营数据或其他性质的资料，无论以何种形式或载于何种载体，无论在披露时是否以口头、图像或以书面方式表明其具有保密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乙方向甲方提供：</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在合作过程中，甲方从乙方（或其母公司、子公司、关联公司）获得的与合作有关或因合作产生的任何商业、营销、技术、运营数据或其他性质的资料，无论以何种形式或载于何种载体，无论在披露时是否以口头、图像或以书面方式表明其具有保密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上述保密信息可以以数据、文字及记载上述内容的资料、光盘、软件、图书等有形媒介体现，也可以通过口头等视听形式传递。</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二、双方权利与义务：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1、双方保证该保密信息仅用于与合作有关的用途或目的。</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2、双方各自保证对对方所提供的保密信息予以妥善保存。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3、双方各自保证对对方所提供的保密信息按本协议约定予以保密，并至少采取适用于对自己的保密信息同样保护措施和审慎程度进行保密。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4、任何一方在提供保密信息时，如以书面形式提供，应注明“保密”等相关字样；如以口头或可视形式透露，应在透露前告知接受方为保密信息，并在告知后5日内以书面形式确认，该确认应包含有所透露的信息为保密信息的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5、双方保证保密信息仅可在各自一方从事该项目研究的负责人和雇员范围内知悉。在双方上述人员知悉该保密信息前，应向其提示保密信息的保密性和应承担的义务，并保证上述人员以书面形式同意接受本协议条款的约束，确保上述人员承担保密责任的程度不低于本协议规定的程度。</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经保密信息披露方提出要求，接受方应按照保密信息披露方的指示将含有保密信息的所有文件或其他资料归还给保密信息的披露方，或者按照保密信息披露方的指示予以销毁。项目终止后，保密信息披露方有权向接受方提出书面要求将保密信息资料交还。</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6、上述限制条款不适用于以下情况：</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（1）在签署本协议之时或之前，保密信息已以合法方式属接受方所有；</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（2）保密信息在通知给接受方时，已经公开或能从公开领域获得；</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（3）保密信息是接受方从与其没有保密或不透露义务的第三方获得的；</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（4）在不违反本协议项下约定责任的前提下，保密信息已经公开或能从公开领域获得；</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（5）保密信息是接受方或其关联或附属公司独立开发，而且未从披露方或其关联或附属公司获得的信息中获益；</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6）接受方应法院或其他法律、行政管理部门要求披露的信息（通过口头提问、询问、要求资料或文件、传唤、民事或刑事调查或其他程序）因而透露保密信息，在该种情况发生时，接受方应立即向披露方发出通知，并作出必要说明。</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7、双方均不保证保密信息的精确性与合理性。</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8、保密信息披露方提供的保密信息，如涉及侵犯第三方知识产权的情况，接受方不对此侵权行为负责，且免于由此产生的索赔。</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三、违约责任：</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任何一方未履行本协议项下的条款均被视为违约。作出违约行为的一方应承担因自己的违约行为而给守约方造成的损失。如果守约方确认，对违反本协议的行为仅采取赔偿的补救措施是不够的，则守约方还有权采取禁令、实际履行或其他合理的救济措施。</w:t>
      </w:r>
      <w:r/>
    </w:p>
    <w:p>
      <w:pPr>
        <w:numPr>
          <w:ilvl w:val="0"/>
          <w:numId w:val="5"/>
        </w:numPr>
        <w:ind w:left="0" w:firstLine="42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免责条款：</w:t>
      </w:r>
      <w:r/>
    </w:p>
    <w:p>
      <w:pPr>
        <w:numPr>
          <w:ilvl w:val="0"/>
          <w:numId w:val="0"/>
        </w:numPr>
        <w:ind w:left="8" w:firstLine="36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由于地震、水灾、火灾或者政策变化等人为不能预见、不能避免、不能抗拒的原因，导致甲乙双方或一方不能履行或不能完全履行本协议项下的有关义务时，甲乙双方相互不承担违约责任；在不可抗力影响消除后的合理时间内，一方或双方应当继续履行本协议。</w:t>
      </w:r>
      <w:r/>
    </w:p>
    <w:p>
      <w:pPr>
        <w:numPr>
          <w:ilvl w:val="0"/>
          <w:numId w:val="5"/>
        </w:numPr>
        <w:ind w:left="0" w:firstLine="42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本协议有效期为</w:t>
      </w:r>
      <w:r>
        <w:rPr>
          <w:rFonts w:hint="eastAsia" w:ascii="宋体" w:hAnsi="宋体" w:eastAsia="宋体" w:cs="宋体"/>
          <w:b/>
          <w:bCs/>
          <w:sz w:val="24"/>
          <w:szCs w:val="32"/>
          <w:highlight w:val="none"/>
          <w:u w:val="single"/>
          <w:lang w:val="en-US" w:eastAsia="zh-CN"/>
        </w:rPr>
        <w:t xml:space="preserve">    </w:t>
      </w:r>
      <w:r>
        <w:rPr>
          <w:rFonts w:hint="eastAsia" w:ascii="宋体" w:hAnsi="宋体" w:eastAsia="宋体" w:cs="宋体"/>
          <w:b/>
          <w:bCs/>
          <w:sz w:val="24"/>
          <w:szCs w:val="32"/>
          <w:highlight w:val="none"/>
          <w:u w:val="none"/>
          <w:lang w:val="en-US" w:eastAsia="zh-CN"/>
        </w:rPr>
        <w:t xml:space="preserve">年。</w:t>
      </w:r>
      <w:r/>
    </w:p>
    <w:p>
      <w:pPr>
        <w:numPr>
          <w:ilvl w:val="0"/>
          <w:numId w:val="5"/>
        </w:numPr>
        <w:ind w:left="0" w:firstLine="42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争议解决：</w:t>
      </w:r>
      <w:r/>
    </w:p>
    <w:p>
      <w:pPr>
        <w:numPr>
          <w:ilvl w:val="0"/>
          <w:numId w:val="0"/>
        </w:numPr>
        <w:ind w:left="8" w:firstLine="36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甲乙双方如因本协议订立、履行或解释发生任何争议应首先书面通知对方，按照友好合作的原则协商解决。协商不成，任何一方均可向</w:t>
      </w:r>
      <w:r>
        <w:rPr>
          <w:rFonts w:hint="eastAsia" w:ascii="宋体" w:hAnsi="宋体" w:eastAsia="宋体" w:cs="宋体"/>
          <w:sz w:val="24"/>
          <w:szCs w:val="32"/>
          <w:highlight w:val="none"/>
          <w:u w:val="single"/>
          <w:lang w:val="en-US" w:eastAsia="zh-CN"/>
        </w:rPr>
        <w:t xml:space="preserve">     </w:t>
      </w:r>
      <w:r>
        <w:rPr>
          <w:rFonts w:hint="eastAsia" w:ascii="宋体" w:hAnsi="宋体" w:eastAsia="宋体" w:cs="宋体"/>
          <w:sz w:val="24"/>
          <w:szCs w:val="32"/>
          <w:highlight w:val="none"/>
          <w:u w:val="none"/>
          <w:lang w:val="en-US" w:eastAsia="zh-CN"/>
        </w:rPr>
        <w:t xml:space="preserve">法院提起诉讼。</w:t>
      </w:r>
      <w:r/>
    </w:p>
    <w:p>
      <w:pPr>
        <w:numPr>
          <w:ilvl w:val="0"/>
          <w:numId w:val="5"/>
        </w:numPr>
        <w:ind w:left="0" w:firstLine="42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法律效力：</w:t>
      </w:r>
      <w:r/>
    </w:p>
    <w:p>
      <w:pPr>
        <w:numPr>
          <w:ilvl w:val="0"/>
          <w:numId w:val="0"/>
        </w:numPr>
        <w:ind w:left="8" w:firstLine="36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本协议及本协议有效期内形成的补充协议、补充条款、变更条款均是本协议的组成部分，与本协议具有同等法律效力。</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本协议一式贰份，双方各执壹份，具有同等法律效力。</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r>
      <w:r/>
    </w:p>
    <w:p>
      <w:pPr>
        <w:numPr>
          <w:ilvl w:val="0"/>
          <w:numId w:val="0"/>
        </w:numPr>
        <w:ind w:left="0" w:hanging="7"/>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甲方（盖章）：                                乙方（盖章）：</w:t>
      </w:r>
      <w:r/>
    </w:p>
    <w:p>
      <w:pPr>
        <w:numPr>
          <w:ilvl w:val="0"/>
          <w:numId w:val="0"/>
        </w:numPr>
        <w:ind w:left="0" w:hanging="7"/>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r>
      <w:r/>
    </w:p>
    <w:p>
      <w:pPr>
        <w:numPr>
          <w:ilvl w:val="0"/>
          <w:numId w:val="0"/>
        </w:numPr>
        <w:ind w:left="0" w:hanging="7"/>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日期：                                       日期：</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lang w:val="en-US" w:eastAsia="zh-CN"/>
        </w:rPr>
        <w:t xml:space="preserve">第六章 采购需求</w:t>
      </w:r>
      <w:bookmarkStart w:id="4" w:name="_Toc322457054"/>
      <w:r/>
      <w:bookmarkEnd w:id="4"/>
      <w:r/>
      <w:bookmarkStart w:id="5" w:name="_Toc324452802"/>
      <w:r/>
      <w:bookmarkEnd w:id="5"/>
      <w:r/>
      <w:r/>
    </w:p>
    <w:p>
      <w:pPr>
        <w:ind w:firstLine="482"/>
        <w:jc w:val="left"/>
        <w:spacing w:after="120" w:line="240" w:lineRule="auto"/>
        <w:widowControl/>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本项目不接受超过</w:t>
      </w:r>
      <w:r>
        <w:rPr>
          <w:rFonts w:hint="eastAsia" w:ascii="宋体" w:hAnsi="宋体" w:eastAsia="宋体" w:cs="仿宋"/>
          <w:b/>
          <w:bCs/>
          <w:color w:val="auto"/>
          <w:sz w:val="24"/>
          <w:szCs w:val="24"/>
          <w:highlight w:val="none"/>
          <w:lang w:val="en-US" w:eastAsia="zh-CN"/>
        </w:rPr>
        <w:t xml:space="preserve">预算金额</w:t>
      </w:r>
      <w:r>
        <w:rPr>
          <w:rFonts w:hint="eastAsia" w:ascii="宋体" w:hAnsi="宋体" w:eastAsia="宋体" w:cs="宋体"/>
          <w:b/>
          <w:bCs/>
          <w:sz w:val="24"/>
          <w:szCs w:val="24"/>
          <w:highlight w:val="none"/>
          <w:lang w:val="en-US" w:eastAsia="zh-CN"/>
        </w:rPr>
        <w:t xml:space="preserve">18</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万元人民币的投标报价。报价包括全部费用，采购人不再支付报价以外的任何费用。</w:t>
      </w:r>
      <w:r/>
    </w:p>
    <w:p>
      <w:pPr>
        <w:contextualSpacing/>
        <w:ind w:firstLine="480"/>
        <w:jc w:val="both"/>
        <w:spacing w:line="360" w:lineRule="auto"/>
        <w:widowControl/>
        <w:tabs>
          <w:tab w:val="left" w:pos="2280" w:leader="none"/>
        </w:tabs>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一、项目概况</w:t>
      </w:r>
      <w:r/>
    </w:p>
    <w:p>
      <w:pPr>
        <w:ind w:firstLine="480"/>
        <w:jc w:val="both"/>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 采购人：徐州市丰县生态环境局。</w:t>
      </w:r>
      <w:r/>
    </w:p>
    <w:p>
      <w:pPr>
        <w:ind w:left="2136" w:hanging="1680"/>
        <w:jc w:val="both"/>
        <w:spacing w:line="360" w:lineRule="auto"/>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rPr>
        <w:t xml:space="preserve">1.2 项目名称</w:t>
      </w: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eastAsia="zh-CN"/>
        </w:rPr>
        <w:t xml:space="preserve">丰县2026年入河排污口规范化整治（EPC）项目32个点位在线监测运维项目</w:t>
      </w:r>
      <w:r/>
    </w:p>
    <w:p>
      <w:pPr>
        <w:ind w:firstLine="480"/>
        <w:jc w:val="both"/>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 服务期限：自合同签订日起1年。</w:t>
      </w:r>
      <w:r/>
    </w:p>
    <w:p>
      <w:pPr>
        <w:contextualSpacing/>
        <w:ind w:firstLine="480"/>
        <w:jc w:val="both"/>
        <w:spacing w:line="360" w:lineRule="auto"/>
        <w:widowControl/>
        <w:tabs>
          <w:tab w:val="left" w:pos="2280" w:leader="none"/>
        </w:tabs>
        <w:rPr>
          <w:rFonts w:hint="eastAsia" w:ascii="宋体" w:hAnsi="宋体" w:eastAsia="宋体" w:cs="Times New Roman"/>
          <w:b/>
          <w:sz w:val="24"/>
          <w:szCs w:val="24"/>
          <w:lang w:val="en-US" w:eastAsia="en-US"/>
        </w:rPr>
      </w:pPr>
      <w:r>
        <w:rPr>
          <w:rFonts w:hint="eastAsia" w:ascii="宋体" w:hAnsi="宋体" w:eastAsia="宋体" w:cs="Times New Roman"/>
          <w:b/>
          <w:sz w:val="24"/>
          <w:szCs w:val="24"/>
          <w:lang w:val="en-US" w:eastAsia="zh-CN"/>
        </w:rPr>
        <w:t xml:space="preserve">二、</w:t>
      </w:r>
      <w:bookmarkStart w:id="6" w:name="_Hlk106788088"/>
      <w:r>
        <w:rPr>
          <w:rFonts w:hint="eastAsia" w:ascii="宋体" w:hAnsi="宋体" w:eastAsia="宋体" w:cs="Times New Roman"/>
          <w:b/>
          <w:sz w:val="24"/>
          <w:szCs w:val="24"/>
          <w:lang w:val="en-US" w:eastAsia="en-US"/>
        </w:rPr>
        <w:t xml:space="preserve">采购内容</w:t>
      </w:r>
      <w:bookmarkEnd w:id="6"/>
      <w:r/>
      <w:r/>
    </w:p>
    <w:p>
      <w:pPr>
        <w:ind w:left="0" w:firstLine="480"/>
        <w:jc w:val="left"/>
        <w:keepLines w:val="0"/>
        <w:keepNext w:val="0"/>
        <w:pageBreakBefore w:val="0"/>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 目的：实施入河排污口规范化整治（EPC）项目在线监控运维项目，提升监测效率和准确性，强化污染源管控，提高管理效率。</w:t>
      </w:r>
      <w:r/>
    </w:p>
    <w:p>
      <w:pPr>
        <w:ind w:left="2136" w:hanging="1680"/>
        <w:jc w:val="both"/>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2、运维内容：</w:t>
      </w:r>
      <w:r/>
    </w:p>
    <w:tbl>
      <w:tblPr>
        <w:tblStyle w:val="739"/>
        <w:tblW w:w="9517"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5300"/>
        <w:gridCol w:w="933"/>
        <w:gridCol w:w="1184"/>
        <w:gridCol w:w="1250"/>
      </w:tblGrid>
      <w:tr>
        <w:trPr>
          <w:trHeight w:val="504"/>
        </w:trPr>
        <w:tc>
          <w:tcPr>
            <w:tcW w:w="850"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序号</w:t>
            </w:r>
            <w:r/>
          </w:p>
        </w:tc>
        <w:tc>
          <w:tcPr>
            <w:tcW w:w="5300"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运维项目名称</w:t>
            </w:r>
            <w:r/>
          </w:p>
        </w:tc>
        <w:tc>
          <w:tcPr>
            <w:tcW w:w="933"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单位</w:t>
            </w:r>
            <w:r/>
          </w:p>
        </w:tc>
        <w:tc>
          <w:tcPr>
            <w:tcW w:w="1184"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数量</w:t>
            </w:r>
            <w:r/>
          </w:p>
        </w:tc>
        <w:tc>
          <w:tcPr>
            <w:tcW w:w="1250"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备注</w:t>
            </w:r>
            <w:r/>
          </w:p>
        </w:tc>
      </w:tr>
      <w:tr>
        <w:trPr>
          <w:trHeight w:val="850"/>
        </w:trPr>
        <w:tc>
          <w:tcPr>
            <w:tcW w:w="850"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1</w:t>
            </w:r>
            <w:r/>
          </w:p>
        </w:tc>
        <w:tc>
          <w:tcPr>
            <w:tcW w:w="5300" w:type="dxa"/>
            <w:vAlign w:val="center"/>
            <w:textDirection w:val="lrTb"/>
            <w:noWrap w:val="false"/>
          </w:tcPr>
          <w:p>
            <w:pPr>
              <w:jc w:val="left"/>
              <w:keepLines w:val="0"/>
              <w:keepNext w:val="0"/>
              <w:spacing w:after="0" w:line="240" w:lineRule="auto"/>
              <w:widowControl/>
              <w:rPr>
                <w:rFonts w:hint="eastAsia" w:ascii="宋体" w:hAnsi="宋体" w:eastAsia="宋体" w:cs="宋体"/>
                <w:b w:val="0"/>
                <w:bCs w:val="0"/>
                <w:i w:val="0"/>
                <w:iCs w:val="0"/>
                <w:color w:val="000000"/>
                <w:sz w:val="24"/>
                <w:szCs w:val="24"/>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微型水质监测站（</w:t>
            </w:r>
            <w:r>
              <w:rPr>
                <w:rFonts w:hint="eastAsia" w:ascii="宋体" w:hAnsi="宋体" w:eastAsia="宋体" w:cs="宋体"/>
                <w:color w:val="000000"/>
                <w:sz w:val="24"/>
                <w:szCs w:val="24"/>
                <w:lang w:val="en-US" w:eastAsia="zh-CN" w:bidi="ar"/>
              </w:rPr>
              <w:t xml:space="preserve">监测 pH、电导率、溶解氧、浊度、温度、COD、 氨氮、总氮、总磷、高锰酸盐指数、生化需氧量等 11 项污染指标</w:t>
            </w:r>
            <w:r>
              <w:rPr>
                <w:rFonts w:hint="eastAsia" w:ascii="宋体" w:hAnsi="宋体" w:eastAsia="宋体" w:cs="宋体"/>
                <w:b w:val="0"/>
                <w:bCs w:val="0"/>
                <w:i w:val="0"/>
                <w:iCs w:val="0"/>
                <w:color w:val="000000"/>
                <w:sz w:val="24"/>
                <w:szCs w:val="24"/>
                <w:u w:val="none"/>
                <w:lang w:val="en-US" w:eastAsia="zh-CN" w:bidi="ar"/>
              </w:rPr>
              <w:t xml:space="preserve">）</w:t>
            </w:r>
            <w:r/>
          </w:p>
        </w:tc>
        <w:tc>
          <w:tcPr>
            <w:tcW w:w="933"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套</w:t>
            </w:r>
            <w:r/>
          </w:p>
        </w:tc>
        <w:tc>
          <w:tcPr>
            <w:tcW w:w="1184"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32</w:t>
            </w:r>
            <w:r/>
          </w:p>
        </w:tc>
        <w:tc>
          <w:tcPr>
            <w:tcW w:w="1250"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sz w:val="24"/>
                <w:szCs w:val="24"/>
                <w:vertAlign w:val="baseline"/>
                <w:lang w:val="en-US" w:eastAsia="zh-CN" w:bidi="ar"/>
              </w:rPr>
            </w:r>
            <w:r/>
          </w:p>
        </w:tc>
      </w:tr>
      <w:tr>
        <w:trPr>
          <w:trHeight w:val="850"/>
        </w:trPr>
        <w:tc>
          <w:tcPr>
            <w:tcW w:w="850"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2</w:t>
            </w:r>
            <w:r/>
          </w:p>
        </w:tc>
        <w:tc>
          <w:tcPr>
            <w:tcW w:w="5300" w:type="dxa"/>
            <w:vAlign w:val="center"/>
            <w:textDirection w:val="lrTb"/>
            <w:noWrap w:val="false"/>
          </w:tcPr>
          <w:p>
            <w:pPr>
              <w:jc w:val="center"/>
              <w:spacing w:after="0" w:line="360" w:lineRule="auto"/>
              <w:widowControl/>
              <w:rPr>
                <w:rFonts w:hint="eastAsia" w:ascii="宋体" w:hAnsi="宋体" w:eastAsia="宋体" w:cs="宋体"/>
                <w:b w:val="0"/>
                <w:bCs w:val="0"/>
                <w:i w:val="0"/>
                <w:iCs w:val="0"/>
                <w:color w:val="000000"/>
                <w:sz w:val="24"/>
                <w:szCs w:val="24"/>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丰县入河排污口动态管理平台运行维护</w:t>
            </w:r>
            <w:r/>
          </w:p>
        </w:tc>
        <w:tc>
          <w:tcPr>
            <w:tcW w:w="933"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项</w:t>
            </w:r>
            <w:r/>
          </w:p>
        </w:tc>
        <w:tc>
          <w:tcPr>
            <w:tcW w:w="1184"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1</w:t>
            </w:r>
            <w:r/>
          </w:p>
        </w:tc>
        <w:tc>
          <w:tcPr>
            <w:tcW w:w="1250"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sz w:val="24"/>
                <w:szCs w:val="24"/>
                <w:vertAlign w:val="baseline"/>
                <w:lang w:val="en-US" w:eastAsia="zh-CN" w:bidi="ar"/>
              </w:rPr>
            </w:r>
            <w:r/>
          </w:p>
        </w:tc>
      </w:tr>
    </w:tbl>
    <w:p>
      <w:pPr>
        <w:jc w:val="left"/>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240"/>
        <w:jc w:val="both"/>
        <w:spacing w:line="240" w:lineRule="auto"/>
        <w:widowControl/>
        <w:rPr>
          <w:rFonts w:hint="eastAsia" w:ascii="宋体" w:hAnsi="宋体" w:eastAsia="宋体" w:cs="宋体"/>
          <w:b w:val="0"/>
          <w:bCs w:val="0"/>
          <w:i w:val="0"/>
          <w:iCs w:val="0"/>
          <w:color w:val="000000"/>
          <w:sz w:val="24"/>
          <w:szCs w:val="24"/>
          <w:lang w:val="en-US" w:eastAsia="zh-CN" w:bidi="ar"/>
        </w:rPr>
      </w:pPr>
      <w:r>
        <w:rPr>
          <w:rFonts w:hint="eastAsia" w:ascii="宋体" w:hAnsi="宋体" w:eastAsia="宋体" w:cs="宋体"/>
          <w:b w:val="0"/>
          <w:bCs w:val="0"/>
          <w:i w:val="0"/>
          <w:iCs w:val="0"/>
          <w:color w:val="000000"/>
          <w:sz w:val="24"/>
          <w:szCs w:val="24"/>
          <w:lang w:val="en-US" w:eastAsia="zh-CN" w:bidi="ar"/>
        </w:rPr>
        <w:t xml:space="preserve">3、</w:t>
      </w:r>
      <w:r>
        <w:rPr>
          <w:rFonts w:hint="eastAsia" w:ascii="宋体" w:hAnsi="宋体" w:eastAsia="宋体" w:cs="宋体"/>
          <w:b w:val="0"/>
          <w:bCs w:val="0"/>
          <w:i w:val="0"/>
          <w:iCs w:val="0"/>
          <w:color w:val="000000"/>
          <w:sz w:val="24"/>
          <w:szCs w:val="24"/>
          <w:u w:val="none"/>
          <w:lang w:val="en-US" w:eastAsia="zh-CN" w:bidi="ar"/>
        </w:rPr>
        <w:t xml:space="preserve">微型水质监测站技术指标（单个监测站）如下：</w:t>
      </w:r>
      <w:r/>
    </w:p>
    <w:tbl>
      <w:tblPr>
        <w:tblStyle w:val="717"/>
        <w:tblW w:w="95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1"/>
        <w:gridCol w:w="2556"/>
        <w:gridCol w:w="4335"/>
        <w:gridCol w:w="651"/>
        <w:gridCol w:w="467"/>
        <w:gridCol w:w="866"/>
      </w:tblGrid>
      <w:tr>
        <w:trPr>
          <w:trHeight w:val="846"/>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备注</w:t>
            </w:r>
            <w:r/>
          </w:p>
        </w:tc>
      </w:tr>
      <w:tr>
        <w:trPr>
          <w:trHeight w:val="846"/>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光学法水质监测仪</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支持监测参数pH、电导率、溶解氧、浊度、温度、COD、氨氮、总氮、总磷。</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r>
      <w:tr>
        <w:trPr>
          <w:trHeight w:val="52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一体化水质监测站房柜体</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1.25米(长)*0.9米(宽)*2米(高)</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left"/>
              <w:keepLines w:val="0"/>
              <w:keepNext w:val="0"/>
              <w:spacing w:line="240" w:lineRule="auto"/>
              <w:widowControl/>
              <w:rPr>
                <w:rFonts w:hint="default"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r>
            <w:r/>
          </w:p>
        </w:tc>
      </w:tr>
      <w:tr>
        <w:trPr>
          <w:trHeight w:val="846"/>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集成控制系统及数据传输系统</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物联网智慧运营系统；兼容各类有线及无线传输方式，支持数据一点多传。</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left"/>
              <w:keepLines w:val="0"/>
              <w:keepNext w:val="0"/>
              <w:spacing w:line="240" w:lineRule="auto"/>
              <w:widowControl/>
              <w:rPr>
                <w:rFonts w:hint="default"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r>
            <w:r/>
          </w:p>
        </w:tc>
      </w:tr>
      <w:tr>
        <w:trPr>
          <w:trHeight w:val="859"/>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采配水及预处理系统</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双管路采样系统，支持潜水泵/自吸泵远程采水、自动冲洗单元，采配水及预处理系统控制器。</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left"/>
              <w:keepLines w:val="0"/>
              <w:keepNext w:val="0"/>
              <w:spacing w:line="240" w:lineRule="auto"/>
              <w:widowControl/>
              <w:rPr>
                <w:rFonts w:hint="default"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r>
            <w:r/>
          </w:p>
        </w:tc>
      </w:tr>
    </w:tbl>
    <w:p>
      <w:pPr>
        <w:numPr>
          <w:ilvl w:val="0"/>
          <w:numId w:val="0"/>
        </w:numPr>
        <w:jc w:val="both"/>
        <w:spacing w:line="240" w:lineRule="auto"/>
        <w:widowControl/>
        <w:rPr>
          <w:rFonts w:ascii="Times New Roman" w:hAnsi="Times New Roman" w:eastAsia="宋体" w:cs="Times New Roman"/>
          <w:sz w:val="20"/>
          <w:szCs w:val="20"/>
        </w:rPr>
      </w:pPr>
      <w:r>
        <w:rPr>
          <w:rFonts w:ascii="Times New Roman" w:hAnsi="Times New Roman" w:eastAsia="宋体" w:cs="Times New Roman"/>
          <w:sz w:val="20"/>
          <w:szCs w:val="20"/>
        </w:rPr>
      </w:r>
      <w:r/>
    </w:p>
    <w:p>
      <w:pPr>
        <w:contextualSpacing/>
        <w:ind w:firstLine="480"/>
        <w:jc w:val="both"/>
        <w:spacing w:line="560" w:lineRule="exact"/>
        <w:widowControl/>
        <w:tabs>
          <w:tab w:val="left" w:pos="2280" w:leader="none"/>
        </w:tabs>
        <w:rPr>
          <w:rFonts w:hint="eastAsia" w:ascii="宋体" w:hAnsi="宋体" w:eastAsia="宋体" w:cs="Times New Roman"/>
          <w:iCs/>
          <w:sz w:val="24"/>
          <w:szCs w:val="24"/>
          <w:highlight w:val="none"/>
          <w:lang w:val="en-US" w:eastAsia="zh-CN"/>
        </w:rPr>
      </w:pPr>
      <w:r>
        <w:rPr>
          <w:rFonts w:hint="eastAsia" w:ascii="宋体" w:hAnsi="宋体" w:eastAsia="宋体" w:cs="Times New Roman"/>
          <w:iCs/>
          <w:sz w:val="24"/>
          <w:szCs w:val="24"/>
          <w:highlight w:val="none"/>
          <w:lang w:val="en-US" w:eastAsia="zh-CN"/>
        </w:rPr>
        <w:t xml:space="preserve">为便于潜在供应商全面、准确了解项目现场实际情况，合理编制响应文件，建议潜在供应商对项目现场进行勘察</w:t>
      </w:r>
      <w:r>
        <w:rPr>
          <w:rFonts w:hint="default" w:ascii="宋体" w:hAnsi="宋体" w:eastAsia="宋体" w:cs="Times New Roman"/>
          <w:iCs/>
          <w:sz w:val="24"/>
          <w:szCs w:val="24"/>
          <w:highlight w:val="none"/>
          <w:lang w:val="en-US" w:eastAsia="zh-CN"/>
        </w:rPr>
        <w:t xml:space="preserve">。</w:t>
      </w:r>
      <w:r/>
    </w:p>
    <w:p>
      <w:pPr>
        <w:contextualSpacing/>
        <w:ind w:firstLine="480"/>
        <w:jc w:val="both"/>
        <w:spacing w:line="360" w:lineRule="auto"/>
        <w:widowControl/>
        <w:tabs>
          <w:tab w:val="left" w:pos="2280" w:leader="none"/>
        </w:tabs>
        <w:rPr>
          <w:rFonts w:hint="default"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三、运维要求</w:t>
      </w:r>
      <w:r/>
    </w:p>
    <w:p>
      <w:pPr>
        <w:numPr>
          <w:ilvl w:val="0"/>
          <w:numId w:val="0"/>
        </w:numPr>
        <w:ind w:left="0" w:right="0"/>
        <w:jc w:val="left"/>
        <w:keepLines/>
        <w:keepNext/>
        <w:pageBreakBefore w:val="0"/>
        <w:spacing w:before="0" w:after="0" w:line="480" w:lineRule="auto"/>
        <w:widowControl/>
        <w:rPr>
          <w:rFonts w:hint="eastAsia" w:ascii="宋体" w:hAnsi="宋体" w:eastAsia="宋体" w:cs="宋体"/>
          <w:b/>
          <w:bCs/>
          <w:sz w:val="24"/>
          <w:szCs w:val="24"/>
          <w:lang w:val="en-US" w:eastAsia="zh-CN" w:bidi="ar-SA"/>
        </w:rPr>
        <w:outlineLvl w:val="1"/>
      </w:pPr>
      <w:r>
        <w:rPr>
          <w:rFonts w:hint="eastAsia" w:ascii="宋体" w:hAnsi="宋体" w:eastAsia="Arial" w:cs="宋体"/>
          <w:b/>
          <w:bCs/>
          <w:sz w:val="24"/>
          <w:szCs w:val="24"/>
          <w:lang w:val="en-US" w:eastAsia="zh-CN" w:bidi="ar-SA"/>
        </w:rPr>
        <w:t xml:space="preserve">（一）</w:t>
      </w:r>
      <w:r>
        <w:rPr>
          <w:rFonts w:hint="eastAsia" w:ascii="宋体" w:hAnsi="宋体" w:eastAsia="宋体" w:cs="宋体"/>
          <w:b/>
          <w:bCs/>
          <w:sz w:val="24"/>
          <w:szCs w:val="24"/>
          <w:lang w:val="en-US" w:eastAsia="zh-CN" w:bidi="ar-SA"/>
        </w:rPr>
        <w:t xml:space="preserve">总体要求</w:t>
      </w:r>
      <w:r/>
    </w:p>
    <w:p>
      <w:pPr>
        <w:ind w:left="0" w:right="0" w:firstLine="480"/>
        <w:jc w:val="left"/>
        <w:keepLines w:val="0"/>
        <w:keepNext w:val="0"/>
        <w:pageBreakBefore w:val="0"/>
        <w:spacing w:before="0" w:beforeAutospacing="0" w:after="0" w:afterAutospacing="0" w:line="4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1、具有规范的运行维护流程和较为完善的运行维护管理体系。</w:t>
      </w:r>
      <w:r/>
    </w:p>
    <w:p>
      <w:pPr>
        <w:ind w:left="0" w:right="0" w:firstLine="480"/>
        <w:jc w:val="left"/>
        <w:keepLines w:val="0"/>
        <w:keepNext w:val="0"/>
        <w:pageBreakBefore w:val="0"/>
        <w:spacing w:before="0" w:beforeAutospacing="0" w:after="0" w:afterAutospacing="0" w:line="4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2、加强大数据运行保障、监控预警能力建设，能依托网络、计算、存储、基础软件、安全设备等大数据基础设施实施统一运维，实现系统快速部署更新、资源合理高效调度、网络实时动态监控等。</w:t>
      </w:r>
      <w:r/>
    </w:p>
    <w:p>
      <w:pPr>
        <w:contextualSpacing/>
        <w:ind w:left="0" w:right="0" w:firstLine="480"/>
        <w:jc w:val="both"/>
        <w:pageBreakBefore w:val="0"/>
        <w:spacing w:line="560" w:lineRule="exact"/>
        <w:widowControl/>
        <w:tabs>
          <w:tab w:val="left" w:pos="2280" w:leader="none"/>
        </w:tabs>
        <w:rPr>
          <w:rFonts w:hint="default" w:ascii="Times New Roman" w:hAnsi="Times New Roman" w:eastAsia="宋体" w:cs="Times New Roman"/>
          <w:iCs/>
          <w:sz w:val="24"/>
          <w:szCs w:val="24"/>
        </w:rPr>
      </w:pPr>
      <w:r>
        <w:rPr>
          <w:rFonts w:hint="eastAsia" w:ascii="宋体" w:hAnsi="宋体" w:eastAsia="宋体" w:cs="Times New Roman"/>
          <w:iCs/>
          <w:sz w:val="24"/>
          <w:szCs w:val="24"/>
          <w:lang w:val="en-US" w:eastAsia="zh-CN"/>
        </w:rPr>
        <w:t xml:space="preserve">3、</w:t>
      </w:r>
      <w:r>
        <w:rPr>
          <w:rFonts w:hint="eastAsia" w:ascii="宋体" w:hAnsi="宋体" w:eastAsia="宋体" w:cs="Times New Roman"/>
          <w:iCs/>
          <w:sz w:val="24"/>
          <w:szCs w:val="24"/>
        </w:rPr>
        <w:t xml:space="preserve">应有足够的</w:t>
      </w:r>
      <w:r>
        <w:rPr>
          <w:rFonts w:hint="default" w:ascii="宋体" w:hAnsi="宋体" w:eastAsia="宋体" w:cs="Times New Roman"/>
          <w:iCs/>
          <w:sz w:val="24"/>
          <w:szCs w:val="24"/>
        </w:rPr>
        <w:t xml:space="preserve">资金</w:t>
      </w:r>
      <w:r>
        <w:rPr>
          <w:rFonts w:hint="eastAsia" w:ascii="宋体" w:hAnsi="宋体" w:eastAsia="宋体" w:cs="Times New Roman"/>
          <w:iCs/>
          <w:sz w:val="24"/>
          <w:szCs w:val="24"/>
        </w:rPr>
        <w:t xml:space="preserve">保障</w:t>
      </w:r>
      <w:r>
        <w:rPr>
          <w:rFonts w:hint="default" w:ascii="宋体" w:hAnsi="宋体" w:eastAsia="宋体" w:cs="Times New Roman"/>
          <w:iCs/>
          <w:sz w:val="24"/>
          <w:szCs w:val="24"/>
        </w:rPr>
        <w:t xml:space="preserve">。</w:t>
      </w:r>
      <w:r/>
    </w:p>
    <w:p>
      <w:pPr>
        <w:contextualSpacing/>
        <w:ind w:left="0" w:right="0" w:firstLine="480"/>
        <w:jc w:val="both"/>
        <w:pageBreakBefore w:val="0"/>
        <w:spacing w:line="560" w:lineRule="exact"/>
        <w:widowControl/>
        <w:tabs>
          <w:tab w:val="left" w:pos="2280" w:leader="none"/>
        </w:tabs>
        <w:rPr>
          <w:rFonts w:hint="default" w:ascii="Times New Roman" w:hAnsi="Times New Roman" w:eastAsia="宋体" w:cs="Times New Roman"/>
          <w:iCs/>
          <w:sz w:val="24"/>
          <w:szCs w:val="24"/>
        </w:rPr>
      </w:pPr>
      <w:r>
        <w:rPr>
          <w:rFonts w:hint="eastAsia" w:ascii="宋体" w:hAnsi="宋体" w:eastAsia="宋体" w:cs="Times New Roman"/>
          <w:iCs/>
          <w:sz w:val="24"/>
          <w:szCs w:val="24"/>
          <w:lang w:val="en-US" w:eastAsia="zh-CN"/>
        </w:rPr>
        <w:t xml:space="preserve">4、</w:t>
      </w:r>
      <w:r>
        <w:rPr>
          <w:rFonts w:hint="default" w:ascii="宋体" w:hAnsi="宋体" w:eastAsia="宋体" w:cs="Times New Roman"/>
          <w:iCs/>
          <w:sz w:val="24"/>
          <w:szCs w:val="24"/>
        </w:rPr>
        <w:t xml:space="preserve">在运维及管理期间，在合同约束范围内成交单位拥有管理自主权；不能以任何形式外包合同规定的运行维护任务。</w:t>
      </w:r>
      <w:r/>
    </w:p>
    <w:p>
      <w:pPr>
        <w:contextualSpacing/>
        <w:ind w:left="0" w:right="0" w:firstLine="480"/>
        <w:jc w:val="both"/>
        <w:pageBreakBefore w:val="0"/>
        <w:spacing w:line="560" w:lineRule="exact"/>
        <w:widowControl/>
        <w:tabs>
          <w:tab w:val="left" w:pos="2280" w:leader="none"/>
        </w:tabs>
        <w:rPr>
          <w:rFonts w:hint="default" w:ascii="Times New Roman" w:hAnsi="Times New Roman" w:eastAsia="宋体" w:cs="Times New Roman"/>
          <w:iCs/>
          <w:sz w:val="24"/>
          <w:szCs w:val="24"/>
        </w:rPr>
      </w:pPr>
      <w:r>
        <w:rPr>
          <w:rFonts w:hint="eastAsia" w:ascii="宋体" w:hAnsi="宋体" w:eastAsia="宋体" w:cs="Times New Roman"/>
          <w:iCs/>
          <w:sz w:val="24"/>
          <w:szCs w:val="24"/>
          <w:lang w:val="en-US" w:eastAsia="zh-CN"/>
        </w:rPr>
        <w:t xml:space="preserve">5、</w:t>
      </w:r>
      <w:r>
        <w:rPr>
          <w:rFonts w:hint="default" w:ascii="宋体" w:hAnsi="宋体" w:eastAsia="宋体" w:cs="Times New Roman"/>
          <w:iCs/>
          <w:sz w:val="24"/>
          <w:szCs w:val="24"/>
        </w:rPr>
        <w:t xml:space="preserve">在运维及管理期间，成交单位应严格按照业主制订的操作规范和规章制度，对所管理的系统及仪器</w:t>
      </w:r>
      <w:r>
        <w:rPr>
          <w:rFonts w:hint="eastAsia" w:ascii="宋体" w:hAnsi="宋体" w:eastAsia="宋体" w:cs="Times New Roman"/>
          <w:iCs/>
          <w:sz w:val="24"/>
          <w:szCs w:val="24"/>
          <w:lang w:eastAsia="zh-CN"/>
        </w:rPr>
        <w:t xml:space="preserve">、</w:t>
      </w:r>
      <w:r>
        <w:rPr>
          <w:rFonts w:hint="default" w:ascii="宋体" w:hAnsi="宋体" w:eastAsia="宋体" w:cs="Times New Roman"/>
          <w:iCs/>
          <w:sz w:val="24"/>
          <w:szCs w:val="24"/>
        </w:rPr>
        <w:t xml:space="preserve">设备进行规范操作和精心维护及必要维修，保证系统及仪器</w:t>
      </w:r>
      <w:r>
        <w:rPr>
          <w:rFonts w:hint="eastAsia" w:ascii="宋体" w:hAnsi="宋体" w:eastAsia="宋体" w:cs="Times New Roman"/>
          <w:iCs/>
          <w:sz w:val="24"/>
          <w:szCs w:val="24"/>
          <w:lang w:eastAsia="zh-CN"/>
        </w:rPr>
        <w:t xml:space="preserve">、</w:t>
      </w:r>
      <w:r>
        <w:rPr>
          <w:rFonts w:hint="default" w:ascii="宋体" w:hAnsi="宋体" w:eastAsia="宋体" w:cs="Times New Roman"/>
          <w:iCs/>
          <w:sz w:val="24"/>
          <w:szCs w:val="24"/>
        </w:rPr>
        <w:t xml:space="preserve">设备的正常运行，达到业主提出的系统及仪器</w:t>
      </w:r>
      <w:r>
        <w:rPr>
          <w:rFonts w:hint="eastAsia" w:ascii="宋体" w:hAnsi="宋体" w:eastAsia="宋体" w:cs="Times New Roman"/>
          <w:iCs/>
          <w:sz w:val="24"/>
          <w:szCs w:val="24"/>
          <w:lang w:eastAsia="zh-CN"/>
        </w:rPr>
        <w:t xml:space="preserve">、</w:t>
      </w:r>
      <w:r>
        <w:rPr>
          <w:rFonts w:hint="default" w:ascii="宋体" w:hAnsi="宋体" w:eastAsia="宋体" w:cs="Times New Roman"/>
          <w:iCs/>
          <w:sz w:val="24"/>
          <w:szCs w:val="24"/>
        </w:rPr>
        <w:t xml:space="preserve">设备考核指标要求。成交单位必须接受</w:t>
      </w:r>
      <w:r>
        <w:rPr>
          <w:rFonts w:hint="eastAsia" w:ascii="宋体" w:hAnsi="宋体" w:eastAsia="宋体" w:cs="宋体"/>
          <w:bCs/>
          <w:color w:val="000000"/>
          <w:sz w:val="24"/>
          <w:szCs w:val="24"/>
        </w:rPr>
        <w:t xml:space="preserve">徐州市丰县生态环境局</w:t>
      </w:r>
      <w:r>
        <w:rPr>
          <w:rFonts w:hint="eastAsia" w:ascii="宋体" w:hAnsi="宋体" w:eastAsia="宋体" w:cs="Times New Roman"/>
          <w:iCs/>
          <w:sz w:val="24"/>
          <w:szCs w:val="24"/>
        </w:rPr>
        <w:t xml:space="preserve">、</w:t>
      </w:r>
      <w:r>
        <w:rPr>
          <w:rFonts w:hint="default" w:ascii="宋体" w:hAnsi="宋体" w:eastAsia="宋体" w:cs="Times New Roman"/>
          <w:iCs/>
          <w:sz w:val="24"/>
          <w:szCs w:val="24"/>
        </w:rPr>
        <w:t xml:space="preserve">驻市监测中心等单位的定期、不定期检查和考核。</w:t>
      </w:r>
      <w:r/>
    </w:p>
    <w:p>
      <w:pPr>
        <w:contextualSpacing/>
        <w:ind w:left="0" w:right="0" w:firstLine="480"/>
        <w:jc w:val="both"/>
        <w:pageBreakBefore w:val="0"/>
        <w:spacing w:line="560" w:lineRule="exact"/>
        <w:widowControl/>
        <w:tabs>
          <w:tab w:val="left" w:pos="2280" w:leader="none"/>
        </w:tabs>
        <w:rPr>
          <w:rFonts w:hint="eastAsia" w:ascii="宋体" w:hAnsi="宋体" w:eastAsia="宋体" w:cs="Times New Roman"/>
          <w:iCs/>
          <w:sz w:val="24"/>
          <w:szCs w:val="24"/>
          <w:lang w:val="en-US" w:eastAsia="zh-CN"/>
        </w:rPr>
      </w:pPr>
      <w:r>
        <w:rPr>
          <w:rFonts w:hint="eastAsia" w:ascii="宋体" w:hAnsi="宋体" w:eastAsia="宋体" w:cs="Times New Roman"/>
          <w:iCs/>
          <w:sz w:val="24"/>
          <w:szCs w:val="24"/>
          <w:lang w:val="en-US" w:eastAsia="zh-CN"/>
        </w:rPr>
        <w:t xml:space="preserve">6、供应商</w:t>
      </w:r>
      <w:r>
        <w:rPr>
          <w:rFonts w:hint="default" w:ascii="宋体" w:hAnsi="宋体" w:eastAsia="宋体" w:cs="Times New Roman"/>
          <w:iCs/>
          <w:sz w:val="24"/>
          <w:szCs w:val="24"/>
          <w:lang w:val="en-US" w:eastAsia="zh-CN"/>
        </w:rPr>
        <w:t xml:space="preserve">具备一定的监测数据分析能力，能配合</w:t>
      </w:r>
      <w:r>
        <w:rPr>
          <w:rFonts w:hint="eastAsia" w:ascii="宋体" w:hAnsi="宋体" w:eastAsia="宋体" w:cs="Times New Roman"/>
          <w:iCs/>
          <w:sz w:val="24"/>
          <w:szCs w:val="24"/>
          <w:lang w:val="en-US" w:eastAsia="zh-CN"/>
        </w:rPr>
        <w:t xml:space="preserve">徐州市丰县生态环境局</w:t>
      </w:r>
      <w:r>
        <w:rPr>
          <w:rFonts w:hint="default" w:ascii="宋体" w:hAnsi="宋体" w:eastAsia="宋体" w:cs="Times New Roman"/>
          <w:iCs/>
          <w:sz w:val="24"/>
          <w:szCs w:val="24"/>
          <w:lang w:val="en-US" w:eastAsia="zh-CN"/>
        </w:rPr>
        <w:t xml:space="preserve">完成各类分析报告的编制工作</w:t>
      </w:r>
      <w:r>
        <w:rPr>
          <w:rFonts w:hint="eastAsia" w:ascii="宋体" w:hAnsi="宋体" w:eastAsia="宋体" w:cs="Times New Roman"/>
          <w:iCs/>
          <w:sz w:val="24"/>
          <w:szCs w:val="24"/>
          <w:lang w:val="en-US" w:eastAsia="zh-CN"/>
        </w:rPr>
        <w:t xml:space="preserve">，可为环境管理提供技术支撑。</w:t>
      </w:r>
      <w:r/>
    </w:p>
    <w:p>
      <w:pPr>
        <w:contextualSpacing/>
        <w:ind w:left="0" w:right="0" w:firstLine="480"/>
        <w:jc w:val="both"/>
        <w:pageBreakBefore w:val="0"/>
        <w:spacing w:line="560" w:lineRule="exact"/>
        <w:widowControl/>
        <w:tabs>
          <w:tab w:val="left" w:pos="2280" w:leader="none"/>
        </w:tabs>
        <w:rPr>
          <w:rFonts w:hint="eastAsia" w:ascii="宋体" w:hAnsi="宋体" w:eastAsia="宋体" w:cs="Times New Roman"/>
          <w:iCs/>
          <w:sz w:val="24"/>
          <w:szCs w:val="24"/>
          <w:lang w:val="en-US" w:eastAsia="zh-CN"/>
        </w:rPr>
      </w:pPr>
      <w:r>
        <w:rPr>
          <w:rFonts w:hint="eastAsia" w:ascii="宋体" w:hAnsi="宋体" w:eastAsia="宋体" w:cs="Times New Roman"/>
          <w:iCs/>
          <w:sz w:val="24"/>
          <w:szCs w:val="24"/>
          <w:lang w:val="en-US" w:eastAsia="zh-CN"/>
        </w:rPr>
        <w:t xml:space="preserve">7、成交单位须承诺成交后1个月（30日历天）内配齐本技术要求中所涉及的仪器、设备、试剂、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rPr>
          <w:rFonts w:hint="eastAsia" w:ascii="宋体" w:hAnsi="宋体" w:eastAsia="宋体" w:cs="Times New Roman"/>
          <w:b/>
          <w:bCs/>
          <w:iCs/>
          <w:sz w:val="24"/>
          <w:szCs w:val="24"/>
          <w:lang w:val="en-US" w:eastAsia="zh-CN"/>
        </w:rPr>
        <w:t xml:space="preserve">响应文件中提供承诺书，承诺书格式自拟</w:t>
      </w:r>
      <w:r>
        <w:rPr>
          <w:rFonts w:hint="eastAsia" w:ascii="宋体" w:hAnsi="宋体" w:eastAsia="宋体" w:cs="Times New Roman"/>
          <w:iCs/>
          <w:sz w:val="24"/>
          <w:szCs w:val="24"/>
          <w:lang w:val="en-US" w:eastAsia="zh-CN"/>
        </w:rPr>
        <w:t xml:space="preserve">）。</w:t>
      </w:r>
      <w:r/>
    </w:p>
    <w:p>
      <w:pPr>
        <w:ind w:left="0" w:right="0" w:firstLine="420"/>
        <w:jc w:val="left"/>
        <w:pageBreakBefore w:val="0"/>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numPr>
          <w:ilvl w:val="0"/>
          <w:numId w:val="0"/>
        </w:numPr>
        <w:ind w:left="0" w:right="0"/>
        <w:jc w:val="left"/>
        <w:keepLines/>
        <w:keepNext/>
        <w:pageBreakBefore w:val="0"/>
        <w:spacing w:before="0" w:after="0" w:line="480" w:lineRule="auto"/>
        <w:widowControl/>
        <w:rPr>
          <w:rFonts w:hint="eastAsia" w:ascii="宋体" w:hAnsi="宋体" w:eastAsia="宋体" w:cs="宋体"/>
          <w:b/>
          <w:bCs/>
          <w:sz w:val="24"/>
          <w:szCs w:val="24"/>
          <w:lang w:val="en-US" w:eastAsia="zh-CN" w:bidi="ar-SA"/>
        </w:rPr>
        <w:outlineLvl w:val="1"/>
      </w:pPr>
      <w:r>
        <w:rPr>
          <w:rFonts w:hint="eastAsia" w:ascii="宋体" w:hAnsi="宋体" w:eastAsia="Arial" w:cs="宋体"/>
          <w:b/>
          <w:bCs/>
          <w:sz w:val="24"/>
          <w:szCs w:val="24"/>
          <w:lang w:val="en-US" w:eastAsia="zh-CN" w:bidi="ar-SA"/>
        </w:rPr>
        <w:t xml:space="preserve">（二）具体内容</w:t>
      </w:r>
      <w:r/>
    </w:p>
    <w:p>
      <w:pPr>
        <w:numPr>
          <w:ilvl w:val="0"/>
          <w:numId w:val="0"/>
        </w:numPr>
        <w:ind w:left="0" w:right="0"/>
        <w:jc w:val="left"/>
        <w:keepLines/>
        <w:keepNext/>
        <w:pageBreakBefore w:val="0"/>
        <w:spacing w:before="0" w:after="0" w:line="480" w:lineRule="auto"/>
        <w:widowControl/>
        <w:rPr>
          <w:rFonts w:hint="eastAsia" w:ascii="宋体" w:hAnsi="宋体" w:eastAsia="宋体" w:cs="宋体"/>
          <w:b/>
          <w:bCs/>
          <w:sz w:val="24"/>
          <w:szCs w:val="24"/>
          <w:lang w:val="en-US" w:eastAsia="zh-CN" w:bidi="ar-SA"/>
        </w:rPr>
        <w:outlineLvl w:val="2"/>
      </w:pPr>
      <w:r>
        <w:rPr>
          <w:rFonts w:hint="eastAsia" w:ascii="宋体" w:hAnsi="宋体" w:eastAsia="Arial" w:cs="宋体"/>
          <w:b/>
          <w:bCs/>
          <w:sz w:val="24"/>
          <w:szCs w:val="24"/>
          <w:lang w:val="en-US" w:eastAsia="zh-CN" w:bidi="ar-SA"/>
        </w:rPr>
        <w:t xml:space="preserve">1、</w:t>
      </w:r>
      <w:r>
        <w:rPr>
          <w:rFonts w:hint="eastAsia" w:ascii="宋体" w:hAnsi="宋体" w:eastAsia="宋体" w:cs="宋体"/>
          <w:b/>
          <w:bCs/>
          <w:sz w:val="24"/>
          <w:szCs w:val="24"/>
          <w:lang w:val="en-US" w:eastAsia="zh-CN" w:bidi="ar-SA"/>
        </w:rPr>
        <w:t xml:space="preserve">现场例行巡检</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1.1检查监测设备是否可以正常使用、是否存在故障；确保设备可正常运行，避免日光直射各类分析仪器；</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1.2检查采配水单元是否正常，如采水浮筒固定情况，自吸泵运行情况等；定期清洗采配水系统，包括采水头、泵体、水样杯、阀门、管路等，对于无法清洗干净的须及时更换；</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1.3在封冻期来临前做好采水管路和保温等维护工作。</w:t>
      </w:r>
      <w:r/>
    </w:p>
    <w:p>
      <w:pPr>
        <w:numPr>
          <w:ilvl w:val="0"/>
          <w:numId w:val="0"/>
        </w:numPr>
        <w:ind w:left="0" w:right="0"/>
        <w:jc w:val="left"/>
        <w:keepLines/>
        <w:keepNext/>
        <w:pageBreakBefore w:val="0"/>
        <w:spacing w:before="0" w:after="0" w:line="480" w:lineRule="auto"/>
        <w:widowControl/>
        <w:rPr>
          <w:rFonts w:hint="eastAsia" w:ascii="宋体" w:hAnsi="宋体" w:eastAsia="宋体" w:cs="宋体"/>
          <w:b/>
          <w:bCs/>
          <w:sz w:val="24"/>
          <w:szCs w:val="24"/>
          <w:lang w:val="en-US" w:eastAsia="zh-CN" w:bidi="ar-SA"/>
        </w:rPr>
        <w:outlineLvl w:val="2"/>
      </w:pPr>
      <w:r>
        <w:rPr>
          <w:rFonts w:hint="eastAsia" w:ascii="宋体" w:hAnsi="宋体" w:eastAsia="Arial"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远程运行维护</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2.1每日对监测数据进行远程审核,检查数据采集与传输状况，确认是否获取了相应设备的监测数据，对数据的真实准确性进行审核；</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2.2当监测数据出现异常时，运维人员发送标样核查等质控指令，根据测试结果综合判断数据有效性，并将数据有效性判断结果提交至平台，实现远程质控；</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2.3对设备的整体运行状况进行远程监控，获取仪器、设备的关键参数，根据关键参数判断仪器运行情况，根据运行状态进行相应远程调试，如校时、复位、测试、校准等；</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2.4远程监视采水设施、水位、流量、站房内外等现场情况，如发现异常，做到及时响应。</w:t>
      </w:r>
      <w:r/>
    </w:p>
    <w:p>
      <w:pPr>
        <w:numPr>
          <w:ilvl w:val="2"/>
          <w:numId w:val="0"/>
        </w:numPr>
        <w:ind w:left="0" w:right="0"/>
        <w:jc w:val="left"/>
        <w:keepLines/>
        <w:keepNext/>
        <w:pageBreakBefore w:val="0"/>
        <w:spacing w:before="0" w:after="0" w:line="480" w:lineRule="auto"/>
        <w:widowControl/>
        <w:rPr>
          <w:rFonts w:hint="eastAsia" w:ascii="宋体" w:hAnsi="宋体" w:eastAsia="宋体" w:cs="宋体"/>
          <w:b/>
          <w:sz w:val="24"/>
          <w:szCs w:val="24"/>
          <w:lang w:val="en-US" w:eastAsia="zh-CN" w:bidi="ar-SA"/>
        </w:rPr>
        <w:outlineLvl w:val="2"/>
      </w:pPr>
      <w:r>
        <w:rPr>
          <w:rFonts w:hint="eastAsia" w:ascii="宋体" w:hAnsi="宋体" w:eastAsia="宋体" w:cs="宋体"/>
          <w:b/>
          <w:sz w:val="24"/>
          <w:szCs w:val="24"/>
          <w:lang w:val="en-US" w:eastAsia="zh-CN" w:bidi="ar-SA"/>
        </w:rPr>
        <w:t xml:space="preserve">3、数据平台管理</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3.1系统调优：根据系统正常运行时的数据、系统调优前的各项数据、业主希望达到的各组件所占的性能消耗比例和允许调整空间，明确调优的优先级，完成系统性能调优，以适应新的业务规模和交易量。</w:t>
      </w:r>
      <w:r/>
    </w:p>
    <w:p>
      <w:pPr>
        <w:ind w:left="0" w:right="0"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3.2故障排除：提供故障排除应急预案，并协助解决运行中所遇到的系统故障，使系统能尽快恢复正常运行</w:t>
      </w:r>
      <w:r>
        <w:rPr>
          <w:rFonts w:hint="eastAsia" w:ascii="宋体" w:hAnsi="宋体" w:eastAsia="宋体" w:cs="宋体"/>
          <w:sz w:val="24"/>
          <w:szCs w:val="24"/>
          <w:highlight w:val="none"/>
          <w:lang w:val="en-US" w:eastAsia="zh-CN"/>
        </w:rPr>
        <w:t xml:space="preserve">；提供电话、邮件、网络远程、现场故障服务受理；对重大故障提供现场支援，并提供系统（除服务器外）所需更换的备件。</w:t>
      </w:r>
      <w:r/>
    </w:p>
    <w:p>
      <w:pPr>
        <w:ind w:left="0" w:right="0"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系统迁移：根据需求，进行软件的升级和调整、提供系统迁移方案、相应的文档资料和技术支持。提供软件工作需要的各种数据集成和接口，根据系统迁移操作规范和系统迁移方案完成系统迁移，并提交相应系统迁移记录报告。</w:t>
      </w:r>
      <w:r/>
    </w:p>
    <w:p>
      <w:pPr>
        <w:ind w:left="0" w:right="0"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3.4健康监测：对系统进行定期健康检查，提交检查报告。</w:t>
      </w:r>
      <w:r/>
    </w:p>
    <w:p>
      <w:pPr>
        <w:ind w:left="0" w:right="0"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3.5安全管理：对数据平台进行等保备案，加强生态环境网络安全。</w:t>
      </w:r>
      <w:r/>
    </w:p>
    <w:p>
      <w:pPr>
        <w:numPr>
          <w:ilvl w:val="2"/>
          <w:numId w:val="0"/>
        </w:numPr>
        <w:ind w:left="0" w:right="0"/>
        <w:jc w:val="left"/>
        <w:keepLines/>
        <w:keepNext/>
        <w:pageBreakBefore w:val="0"/>
        <w:spacing w:before="0" w:after="0" w:line="480" w:lineRule="auto"/>
        <w:widowControl/>
        <w:rPr>
          <w:rFonts w:hint="default" w:ascii="宋体" w:hAnsi="宋体" w:eastAsia="宋体" w:cs="宋体"/>
          <w:b/>
          <w:sz w:val="24"/>
          <w:szCs w:val="24"/>
          <w:highlight w:val="none"/>
          <w:lang w:val="en-US" w:eastAsia="zh-CN" w:bidi="ar-SA"/>
        </w:rPr>
        <w:outlineLvl w:val="2"/>
      </w:pPr>
      <w:r>
        <w:rPr>
          <w:rFonts w:hint="eastAsia" w:ascii="宋体" w:hAnsi="宋体" w:eastAsia="宋体" w:cs="宋体"/>
          <w:b/>
          <w:sz w:val="24"/>
          <w:szCs w:val="24"/>
          <w:highlight w:val="none"/>
          <w:lang w:val="en-US" w:eastAsia="zh-CN" w:bidi="ar-SA"/>
        </w:rPr>
        <w:t xml:space="preserve">4.</w:t>
      </w:r>
      <w:r>
        <w:rPr>
          <w:rFonts w:hint="default" w:ascii="宋体" w:hAnsi="宋体" w:eastAsia="宋体" w:cs="宋体"/>
          <w:b/>
          <w:sz w:val="24"/>
          <w:szCs w:val="24"/>
          <w:highlight w:val="none"/>
          <w:lang w:val="en-US" w:eastAsia="zh-CN" w:bidi="ar-SA"/>
        </w:rPr>
        <w:t xml:space="preserve">运维过程中主要完成以下工作</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ascii="宋体" w:hAnsi="宋体" w:eastAsia="宋体" w:cs="Times New Roman"/>
          <w:sz w:val="24"/>
          <w:szCs w:val="24"/>
          <w:highlight w:val="none"/>
          <w:lang w:val="en-US" w:eastAsia="zh-CN"/>
        </w:rPr>
        <w:t xml:space="preserve">4.1</w:t>
      </w:r>
      <w:r>
        <w:rPr>
          <w:rFonts w:hint="default" w:ascii="宋体" w:hAnsi="宋体" w:eastAsia="宋体" w:cs="Times New Roman"/>
          <w:sz w:val="24"/>
          <w:szCs w:val="24"/>
          <w:highlight w:val="none"/>
        </w:rPr>
        <w:t xml:space="preserve">日常运行维护。提供、配制并定期更换监测仪器所需试剂、气体和标样；根据仪器运行状况和类型，定期对溶解氧电极、氨氮电极、pH电极、高锰酸盐指数电极、总磷UV等耗材进行更换，其余备品备件根据江苏省有关备品备件管理制度的要求按期更换。所有备品备件均由成交单位提供</w:t>
      </w:r>
      <w:r>
        <w:rPr>
          <w:rFonts w:hint="eastAsia" w:ascii="宋体" w:hAnsi="宋体" w:eastAsia="宋体" w:cs="Times New Roman"/>
          <w:sz w:val="24"/>
          <w:szCs w:val="24"/>
          <w:highlight w:val="none"/>
          <w:lang w:eastAsia="zh-CN"/>
        </w:rPr>
        <w:t xml:space="preserve">；承担监控设备的运行维护和故障维修</w:t>
      </w:r>
      <w:r>
        <w:rPr>
          <w:rFonts w:hint="default" w:ascii="宋体" w:hAnsi="宋体" w:eastAsia="宋体" w:cs="Times New Roman"/>
          <w:sz w:val="24"/>
          <w:szCs w:val="24"/>
          <w:highlight w:val="none"/>
        </w:rPr>
        <w:t xml:space="preserve">。</w:t>
      </w:r>
      <w:r/>
    </w:p>
    <w:p>
      <w:pPr>
        <w:contextualSpacing/>
        <w:ind w:left="0" w:right="0" w:firstLine="480"/>
        <w:jc w:val="both"/>
        <w:pageBreakBefore w:val="0"/>
        <w:spacing w:line="480" w:lineRule="exact"/>
        <w:widowControl/>
        <w:tabs>
          <w:tab w:val="left" w:pos="567" w:leader="none"/>
          <w:tab w:val="left" w:pos="1800" w:leader="none"/>
        </w:tabs>
        <w:rPr>
          <w:rFonts w:hint="default" w:ascii="Times New Roman" w:hAnsi="Times New Roman" w:eastAsia="宋体" w:cs="Times New Roman"/>
          <w:sz w:val="24"/>
          <w:szCs w:val="24"/>
          <w:highlight w:val="none"/>
        </w:rPr>
      </w:pPr>
      <w:r>
        <w:rPr>
          <w:rFonts w:hint="eastAsia" w:ascii="宋体" w:hAnsi="宋体" w:eastAsia="宋体" w:cs="Times New Roman"/>
          <w:sz w:val="24"/>
          <w:szCs w:val="24"/>
          <w:highlight w:val="none"/>
          <w:lang w:val="en-US" w:eastAsia="zh-CN"/>
        </w:rPr>
        <w:t xml:space="preserve">4.2</w:t>
      </w:r>
      <w:r>
        <w:rPr>
          <w:rFonts w:hint="default" w:ascii="宋体" w:hAnsi="宋体" w:eastAsia="宋体" w:cs="Times New Roman"/>
          <w:sz w:val="24"/>
          <w:szCs w:val="24"/>
          <w:highlight w:val="none"/>
        </w:rPr>
        <w:t xml:space="preserve">日常质量管理。</w:t>
      </w:r>
      <w:r>
        <w:rPr>
          <w:rFonts w:hint="eastAsia" w:ascii="宋体" w:hAnsi="宋体" w:eastAsia="宋体" w:cs="Times New Roman"/>
          <w:sz w:val="24"/>
          <w:szCs w:val="24"/>
          <w:highlight w:val="none"/>
          <w:lang w:eastAsia="zh-CN"/>
        </w:rPr>
        <w:t xml:space="preserve">仪器</w:t>
      </w:r>
      <w:r>
        <w:rPr>
          <w:rFonts w:hint="default" w:ascii="宋体" w:hAnsi="宋体" w:eastAsia="宋体" w:cs="Times New Roman"/>
          <w:sz w:val="24"/>
          <w:szCs w:val="24"/>
          <w:highlight w:val="none"/>
        </w:rPr>
        <w:t xml:space="preserve">仪表进行定期校准、核查、比对、性能测试。配合</w:t>
      </w:r>
      <w:r>
        <w:rPr>
          <w:rFonts w:hint="eastAsia" w:ascii="宋体" w:hAnsi="宋体" w:eastAsia="宋体" w:cs="宋体"/>
          <w:bCs/>
          <w:color w:val="000000"/>
          <w:sz w:val="24"/>
          <w:szCs w:val="24"/>
          <w:highlight w:val="none"/>
        </w:rPr>
        <w:t xml:space="preserve">徐州市丰县生态环境局</w:t>
      </w:r>
      <w:r>
        <w:rPr>
          <w:rFonts w:hint="default" w:ascii="宋体" w:hAnsi="宋体" w:eastAsia="宋体" w:cs="Times New Roman"/>
          <w:sz w:val="24"/>
          <w:szCs w:val="24"/>
          <w:highlight w:val="none"/>
        </w:rPr>
        <w:t xml:space="preserve">进行质量保证和质量质控工作。</w:t>
      </w:r>
      <w:r/>
    </w:p>
    <w:p>
      <w:pPr>
        <w:contextualSpacing/>
        <w:ind w:left="0" w:right="0" w:firstLine="480"/>
        <w:jc w:val="both"/>
        <w:pageBreakBefore w:val="0"/>
        <w:spacing w:line="480" w:lineRule="exact"/>
        <w:widowControl/>
        <w:tabs>
          <w:tab w:val="left" w:pos="567"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4.3</w:t>
      </w:r>
      <w:r>
        <w:rPr>
          <w:rFonts w:hint="default" w:ascii="宋体" w:hAnsi="宋体" w:eastAsia="宋体" w:cs="Times New Roman"/>
          <w:sz w:val="24"/>
          <w:szCs w:val="24"/>
        </w:rPr>
        <w:t xml:space="preserve">日常安全管</w:t>
      </w:r>
      <w:r>
        <w:rPr>
          <w:rFonts w:hint="default" w:ascii="宋体" w:hAnsi="宋体" w:eastAsia="宋体" w:cs="Times New Roman"/>
          <w:sz w:val="24"/>
          <w:szCs w:val="24"/>
          <w:highlight w:val="none"/>
        </w:rPr>
        <w:t xml:space="preserve">理。运营维护期间所需水电、通讯费用</w:t>
      </w:r>
      <w:r>
        <w:rPr>
          <w:rFonts w:hint="eastAsia" w:ascii="宋体" w:hAnsi="宋体" w:eastAsia="宋体" w:cs="Times New Roman"/>
          <w:sz w:val="24"/>
          <w:szCs w:val="24"/>
          <w:highlight w:val="none"/>
          <w:lang w:eastAsia="zh-CN"/>
        </w:rPr>
        <w:t xml:space="preserve">、</w:t>
      </w:r>
      <w:r>
        <w:rPr>
          <w:rFonts w:hint="default" w:ascii="宋体" w:hAnsi="宋体" w:eastAsia="宋体" w:cs="宋体"/>
          <w:sz w:val="24"/>
          <w:szCs w:val="24"/>
          <w:lang w:val="en-US" w:eastAsia="zh-CN"/>
        </w:rPr>
        <w:t xml:space="preserve">微型站网络流量费和萤石云系统云空间服务费</w:t>
      </w:r>
      <w:r>
        <w:rPr>
          <w:rFonts w:hint="default" w:ascii="宋体" w:hAnsi="宋体" w:eastAsia="宋体" w:cs="Times New Roman"/>
          <w:sz w:val="24"/>
          <w:szCs w:val="24"/>
          <w:highlight w:val="none"/>
        </w:rPr>
        <w:t xml:space="preserve">由成交单位负责，委托运营维护及管理的全部资产（包括全部产权和建筑物、设备、软件、配套设施、</w:t>
      </w:r>
      <w:r>
        <w:rPr>
          <w:rFonts w:hint="eastAsia" w:ascii="宋体" w:hAnsi="宋体" w:eastAsia="宋体" w:cs="Times New Roman"/>
          <w:sz w:val="24"/>
          <w:szCs w:val="24"/>
          <w:lang w:eastAsia="zh-CN"/>
        </w:rPr>
        <w:t xml:space="preserve">微型站</w:t>
      </w:r>
      <w:r>
        <w:rPr>
          <w:rFonts w:hint="default" w:ascii="宋体" w:hAnsi="宋体" w:eastAsia="宋体" w:cs="Times New Roman"/>
          <w:sz w:val="24"/>
          <w:szCs w:val="24"/>
        </w:rPr>
        <w:t xml:space="preserve">站和配套系统产生的各类数据信息及相关文档资料）属业主方所有。成交人不得以任何方式对各类财产进行出售、抵押或转移；同时，在委托运营及管理期间，成交单位有责任保证上述全部资产的完整、安全并处于良好状态。</w:t>
      </w:r>
      <w:r/>
    </w:p>
    <w:p>
      <w:pPr>
        <w:contextualSpacing/>
        <w:ind w:left="0" w:right="0" w:firstLine="360"/>
        <w:jc w:val="both"/>
        <w:pageBreakBefore w:val="0"/>
        <w:spacing w:line="480" w:lineRule="exact"/>
        <w:widowControl/>
        <w:tabs>
          <w:tab w:val="left" w:pos="567"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cs="Times New Roman"/>
          <w:sz w:val="24"/>
          <w:szCs w:val="24"/>
          <w:lang w:val="en-US" w:eastAsia="zh-CN"/>
        </w:rPr>
        <w:t xml:space="preserve">4</w:t>
      </w:r>
      <w:r>
        <w:rPr>
          <w:rFonts w:hint="default" w:ascii="宋体" w:hAnsi="宋体" w:eastAsia="宋体" w:cs="Times New Roman"/>
          <w:sz w:val="24"/>
          <w:szCs w:val="24"/>
        </w:rPr>
        <w:t xml:space="preserve">运维记录的规范、上报。认真、及时做好运行维护记录，汇总各</w:t>
      </w:r>
      <w:r>
        <w:rPr>
          <w:rFonts w:hint="eastAsia" w:ascii="宋体" w:hAnsi="宋体" w:eastAsia="宋体" w:cs="Times New Roman"/>
          <w:sz w:val="24"/>
          <w:szCs w:val="24"/>
          <w:lang w:eastAsia="zh-CN"/>
        </w:rPr>
        <w:t xml:space="preserve">站</w:t>
      </w:r>
      <w:r>
        <w:rPr>
          <w:rFonts w:hint="default" w:ascii="宋体" w:hAnsi="宋体" w:eastAsia="宋体" w:cs="Times New Roman"/>
          <w:sz w:val="24"/>
          <w:szCs w:val="24"/>
        </w:rPr>
        <w:t xml:space="preserve">每周维护记录，每月以书面形式报</w:t>
      </w:r>
      <w:r>
        <w:rPr>
          <w:rFonts w:hint="eastAsia" w:ascii="宋体" w:hAnsi="宋体" w:eastAsia="宋体" w:cs="宋体"/>
          <w:bCs/>
          <w:color w:val="000000"/>
          <w:sz w:val="24"/>
          <w:szCs w:val="24"/>
        </w:rPr>
        <w:t xml:space="preserve">徐州市丰县生态环境局</w:t>
      </w:r>
      <w:r>
        <w:rPr>
          <w:rFonts w:hint="default" w:ascii="宋体" w:hAnsi="宋体" w:eastAsia="宋体" w:cs="Times New Roman"/>
          <w:sz w:val="24"/>
          <w:szCs w:val="24"/>
        </w:rPr>
        <w:t xml:space="preserve">，书面报告作为运行维护考核依据之一，具体包括：</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cs="Times New Roman"/>
          <w:sz w:val="24"/>
          <w:szCs w:val="24"/>
          <w:lang w:val="en-US" w:eastAsia="zh-CN"/>
        </w:rPr>
        <w:t xml:space="preserve">4</w:t>
      </w:r>
      <w:r>
        <w:rPr>
          <w:rFonts w:hint="eastAsia" w:ascii="宋体" w:hAnsi="宋体" w:eastAsia="宋体" w:cs="Times New Roman"/>
          <w:sz w:val="24"/>
          <w:szCs w:val="24"/>
          <w:lang w:val="en-US" w:eastAsia="zh-CN"/>
        </w:rPr>
        <w:t xml:space="preserve">.1</w:t>
      </w:r>
      <w:r>
        <w:rPr>
          <w:rFonts w:hint="default" w:ascii="宋体" w:hAnsi="宋体" w:eastAsia="宋体" w:cs="Times New Roman"/>
          <w:sz w:val="24"/>
          <w:szCs w:val="24"/>
        </w:rPr>
        <w:t xml:space="preserve">每日运行数据情况统计</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cs="Times New Roman"/>
          <w:sz w:val="24"/>
          <w:szCs w:val="24"/>
          <w:lang w:val="en-US" w:eastAsia="zh-CN"/>
        </w:rPr>
        <w:t xml:space="preserve">4</w:t>
      </w:r>
      <w:r>
        <w:rPr>
          <w:rFonts w:hint="eastAsia" w:ascii="宋体" w:hAnsi="宋体" w:eastAsia="宋体" w:cs="Times New Roman"/>
          <w:sz w:val="24"/>
          <w:szCs w:val="24"/>
          <w:lang w:val="en-US" w:eastAsia="zh-CN"/>
        </w:rPr>
        <w:t xml:space="preserve">.2</w:t>
      </w:r>
      <w:r>
        <w:rPr>
          <w:rFonts w:hint="default" w:ascii="宋体" w:hAnsi="宋体" w:eastAsia="宋体" w:cs="Times New Roman"/>
          <w:sz w:val="24"/>
          <w:szCs w:val="24"/>
        </w:rPr>
        <w:t xml:space="preserve">现场维护记录</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cs="Times New Roman"/>
          <w:sz w:val="24"/>
          <w:szCs w:val="24"/>
          <w:lang w:val="en-US" w:eastAsia="zh-CN"/>
        </w:rPr>
        <w:t xml:space="preserve">4</w:t>
      </w:r>
      <w:r>
        <w:rPr>
          <w:rFonts w:hint="eastAsia" w:ascii="宋体" w:hAnsi="宋体" w:eastAsia="宋体" w:cs="Times New Roman"/>
          <w:sz w:val="24"/>
          <w:szCs w:val="24"/>
          <w:lang w:val="en-US" w:eastAsia="zh-CN"/>
        </w:rPr>
        <w:t xml:space="preserve">.3</w:t>
      </w:r>
      <w:r>
        <w:rPr>
          <w:rFonts w:hint="default" w:ascii="宋体" w:hAnsi="宋体" w:eastAsia="宋体" w:cs="Times New Roman"/>
          <w:sz w:val="24"/>
          <w:szCs w:val="24"/>
        </w:rPr>
        <w:t xml:space="preserve">仪器设备故障及排除情况登记表</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cs="Times New Roman"/>
          <w:sz w:val="24"/>
          <w:szCs w:val="24"/>
          <w:lang w:val="en-US" w:eastAsia="zh-CN"/>
        </w:rPr>
        <w:t xml:space="preserve">4</w:t>
      </w:r>
      <w:r>
        <w:rPr>
          <w:rFonts w:hint="eastAsia" w:ascii="宋体" w:hAnsi="宋体" w:eastAsia="宋体" w:cs="Times New Roman"/>
          <w:sz w:val="24"/>
          <w:szCs w:val="24"/>
          <w:lang w:val="en-US" w:eastAsia="zh-CN"/>
        </w:rPr>
        <w:t xml:space="preserve">.4</w:t>
      </w:r>
      <w:r>
        <w:rPr>
          <w:rFonts w:hint="default" w:ascii="宋体" w:hAnsi="宋体" w:eastAsia="宋体" w:cs="Times New Roman"/>
          <w:sz w:val="24"/>
          <w:szCs w:val="24"/>
        </w:rPr>
        <w:t xml:space="preserve">每月运行情况</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cs="Times New Roman"/>
          <w:sz w:val="24"/>
          <w:szCs w:val="24"/>
          <w:lang w:val="en-US" w:eastAsia="zh-CN"/>
        </w:rPr>
        <w:t xml:space="preserve">4</w:t>
      </w:r>
      <w:r>
        <w:rPr>
          <w:rFonts w:hint="eastAsia" w:ascii="宋体" w:hAnsi="宋体" w:eastAsia="宋体" w:cs="Times New Roman"/>
          <w:sz w:val="24"/>
          <w:szCs w:val="24"/>
          <w:lang w:val="en-US" w:eastAsia="zh-CN"/>
        </w:rPr>
        <w:t xml:space="preserve">.5</w:t>
      </w:r>
      <w:r>
        <w:rPr>
          <w:rFonts w:hint="default" w:ascii="宋体" w:hAnsi="宋体" w:eastAsia="宋体" w:cs="Times New Roman"/>
          <w:sz w:val="24"/>
          <w:szCs w:val="24"/>
        </w:rPr>
        <w:t xml:space="preserve">备品备件管理登记表</w:t>
      </w:r>
      <w:r/>
    </w:p>
    <w:p>
      <w:pPr>
        <w:contextualSpacing/>
        <w:ind w:left="0" w:right="0" w:firstLine="480"/>
        <w:jc w:val="both"/>
        <w:pageBreakBefore w:val="0"/>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4.4</w:t>
      </w:r>
      <w:r>
        <w:rPr>
          <w:rFonts w:hint="default" w:ascii="宋体" w:hAnsi="宋体" w:eastAsia="宋体" w:cs="Times New Roman"/>
          <w:sz w:val="24"/>
          <w:szCs w:val="24"/>
        </w:rPr>
        <w:t xml:space="preserve">仪器设备及其他相关辅助设备设施的维护保养及故障维修。成交单位须针对</w:t>
      </w:r>
      <w:r>
        <w:rPr>
          <w:rFonts w:hint="eastAsia" w:ascii="宋体" w:hAnsi="宋体" w:eastAsia="宋体" w:cs="Times New Roman"/>
          <w:sz w:val="24"/>
          <w:szCs w:val="24"/>
          <w:lang w:eastAsia="zh-CN"/>
        </w:rPr>
        <w:t xml:space="preserve">设备</w:t>
      </w:r>
      <w:r>
        <w:rPr>
          <w:rFonts w:hint="default" w:ascii="宋体" w:hAnsi="宋体" w:eastAsia="宋体" w:cs="Times New Roman"/>
          <w:sz w:val="24"/>
          <w:szCs w:val="24"/>
        </w:rPr>
        <w:t xml:space="preserve">系统和仪表制定年度保养检修计划并按期进行。保养检修包括系统的清洗和检修、仪器管路清洗、主要备件的更换、仪器的性能测试检查等内容。按照《江苏省环境水质（地表水）自动监测预警系统运行管理办法（试行）》要求，及时排除</w:t>
      </w:r>
      <w:r>
        <w:rPr>
          <w:rFonts w:hint="eastAsia" w:ascii="宋体" w:hAnsi="宋体" w:eastAsia="宋体" w:cs="Times New Roman"/>
          <w:sz w:val="24"/>
          <w:szCs w:val="24"/>
          <w:lang w:eastAsia="zh-CN"/>
        </w:rPr>
        <w:t xml:space="preserve">设备</w:t>
      </w:r>
      <w:r>
        <w:rPr>
          <w:rFonts w:hint="default" w:ascii="宋体" w:hAnsi="宋体" w:eastAsia="宋体" w:cs="Times New Roman"/>
          <w:sz w:val="24"/>
          <w:szCs w:val="24"/>
        </w:rPr>
        <w:t xml:space="preserve">系统和仪表出现的故障，并对各种原因造成的仪器故障进行维修（由于地震、洪水和战争等不可预防和不可抗拒因素造成的</w:t>
      </w:r>
      <w:r>
        <w:rPr>
          <w:rFonts w:hint="eastAsia" w:ascii="宋体" w:hAnsi="宋体" w:eastAsia="宋体" w:cs="Times New Roman"/>
          <w:sz w:val="24"/>
          <w:szCs w:val="24"/>
          <w:lang w:eastAsia="zh-CN"/>
        </w:rPr>
        <w:t xml:space="preserve">设备</w:t>
      </w:r>
      <w:r>
        <w:rPr>
          <w:rFonts w:hint="default" w:ascii="宋体" w:hAnsi="宋体" w:eastAsia="宋体" w:cs="Times New Roman"/>
          <w:sz w:val="24"/>
          <w:szCs w:val="24"/>
        </w:rPr>
        <w:t xml:space="preserve">系统及仪器损坏除外）。</w:t>
      </w:r>
      <w:r/>
    </w:p>
    <w:p>
      <w:pPr>
        <w:contextualSpacing/>
        <w:ind w:left="0" w:right="0" w:firstLine="480"/>
        <w:jc w:val="both"/>
        <w:pageBreakBefore w:val="0"/>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4.5</w:t>
      </w:r>
      <w:r>
        <w:rPr>
          <w:rFonts w:hint="default" w:ascii="宋体" w:hAnsi="宋体" w:eastAsia="宋体" w:cs="Times New Roman"/>
          <w:sz w:val="24"/>
          <w:szCs w:val="24"/>
        </w:rPr>
        <w:t xml:space="preserve">数据采集及传输系统的维护及维修，保证通讯正常。</w:t>
      </w:r>
      <w:r/>
    </w:p>
    <w:p>
      <w:pPr>
        <w:contextualSpacing/>
        <w:ind w:left="0" w:right="0" w:firstLine="480"/>
        <w:jc w:val="both"/>
        <w:pageBreakBefore w:val="0"/>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4.6</w:t>
      </w:r>
      <w:r>
        <w:rPr>
          <w:rFonts w:hint="default" w:ascii="宋体" w:hAnsi="宋体" w:eastAsia="宋体" w:cs="Times New Roman"/>
          <w:sz w:val="24"/>
          <w:szCs w:val="24"/>
        </w:rPr>
        <w:t xml:space="preserve">当仪器出现故障不能及时修复时，应在24小时之内使用备机开展</w:t>
      </w:r>
      <w:r>
        <w:rPr>
          <w:rFonts w:hint="eastAsia" w:ascii="宋体" w:hAnsi="宋体" w:eastAsia="宋体" w:cs="Times New Roman"/>
          <w:sz w:val="24"/>
          <w:szCs w:val="24"/>
          <w:lang w:eastAsia="zh-CN"/>
        </w:rPr>
        <w:t xml:space="preserve">工作。</w:t>
      </w:r>
      <w:r/>
    </w:p>
    <w:p>
      <w:pPr>
        <w:contextualSpacing/>
        <w:ind w:left="0" w:right="0" w:firstLine="480"/>
        <w:jc w:val="both"/>
        <w:pageBreakBefore w:val="0"/>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4.7</w:t>
      </w:r>
      <w:r>
        <w:rPr>
          <w:rFonts w:hint="default" w:ascii="宋体" w:hAnsi="宋体" w:eastAsia="宋体" w:cs="Times New Roman"/>
          <w:sz w:val="24"/>
          <w:szCs w:val="24"/>
        </w:rPr>
        <w:t xml:space="preserve">仪器报废后（包括使用超过8年导致</w:t>
      </w:r>
      <w:r>
        <w:rPr>
          <w:rStyle w:val="743"/>
          <w:rFonts w:hint="eastAsia"/>
          <w:lang w:eastAsia="zh-CN"/>
        </w:rPr>
        <w:t xml:space="preserve">、</w:t>
      </w:r>
      <w:r>
        <w:rPr>
          <w:rFonts w:hint="eastAsia" w:ascii="宋体" w:hAnsi="宋体" w:eastAsia="宋体" w:cs="Times New Roman"/>
          <w:sz w:val="24"/>
          <w:szCs w:val="24"/>
          <w:lang w:val="en-US" w:eastAsia="zh-CN"/>
        </w:rPr>
        <w:t xml:space="preserve">或</w:t>
      </w:r>
      <w:r>
        <w:rPr>
          <w:rFonts w:hint="default" w:ascii="宋体" w:hAnsi="宋体" w:eastAsia="宋体" w:cs="Times New Roman"/>
          <w:sz w:val="24"/>
          <w:szCs w:val="24"/>
        </w:rPr>
        <w:t xml:space="preserve">因洪水、地震、台风、站房外部火灾、爆炸、恐怖袭击、武装冲突、蓄意破坏等不可抗力导致），运维单位须先行及时使用备机开展</w:t>
      </w:r>
      <w:r>
        <w:rPr>
          <w:rFonts w:hint="eastAsia" w:ascii="宋体" w:hAnsi="宋体" w:eastAsia="宋体" w:cs="Times New Roman"/>
          <w:sz w:val="24"/>
          <w:szCs w:val="24"/>
          <w:lang w:eastAsia="zh-CN"/>
        </w:rPr>
        <w:t xml:space="preserve">工作</w:t>
      </w:r>
      <w:r>
        <w:rPr>
          <w:rFonts w:hint="default" w:ascii="宋体" w:hAnsi="宋体" w:eastAsia="宋体" w:cs="Times New Roman"/>
          <w:sz w:val="24"/>
          <w:szCs w:val="24"/>
        </w:rPr>
        <w:t xml:space="preserve">，同时报告</w:t>
      </w:r>
      <w:r>
        <w:rPr>
          <w:rFonts w:hint="eastAsia" w:ascii="宋体" w:hAnsi="宋体" w:eastAsia="宋体" w:cs="宋体"/>
          <w:bCs/>
          <w:color w:val="000000"/>
          <w:sz w:val="24"/>
          <w:szCs w:val="24"/>
        </w:rPr>
        <w:t xml:space="preserve">徐州市丰县生态环境局</w:t>
      </w:r>
      <w:r>
        <w:rPr>
          <w:rFonts w:hint="default" w:ascii="宋体" w:hAnsi="宋体" w:eastAsia="宋体" w:cs="Times New Roman"/>
          <w:sz w:val="24"/>
          <w:szCs w:val="24"/>
        </w:rPr>
        <w:t xml:space="preserve">。</w:t>
      </w:r>
      <w:r/>
    </w:p>
    <w:p>
      <w:pPr>
        <w:contextualSpacing/>
        <w:ind w:left="0" w:right="0" w:firstLine="480"/>
        <w:jc w:val="both"/>
        <w:pageBreakBefore w:val="0"/>
        <w:spacing w:line="480" w:lineRule="exact"/>
        <w:widowControl/>
        <w:tabs>
          <w:tab w:val="left" w:pos="567" w:leader="none"/>
          <w:tab w:val="left" w:pos="709" w:leader="none"/>
          <w:tab w:val="left" w:pos="993" w:leader="none"/>
        </w:tabs>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4.8</w:t>
      </w:r>
      <w:r>
        <w:rPr>
          <w:rFonts w:hint="default" w:ascii="宋体" w:hAnsi="宋体" w:eastAsia="宋体" w:cs="Times New Roman"/>
          <w:sz w:val="24"/>
          <w:szCs w:val="24"/>
        </w:rPr>
        <w:t xml:space="preserve">当点位需要新增、撤销、变更时，由所在地城市生态环境部门按照点位管理程序向省生态环境厅报批。涉及站点迁移的，运维单位应做好迁移前后仪器设备检查工作并做好相关记录。</w:t>
      </w:r>
      <w:r/>
    </w:p>
    <w:p>
      <w:pPr>
        <w:contextualSpacing/>
        <w:ind w:left="0" w:right="0" w:firstLine="480"/>
        <w:jc w:val="both"/>
        <w:pageBreakBefore w:val="0"/>
        <w:spacing w:line="480" w:lineRule="exact"/>
        <w:widowControl/>
        <w:tabs>
          <w:tab w:val="left" w:pos="2280" w:leader="none"/>
        </w:tabs>
        <w:rPr>
          <w:rFonts w:hint="eastAsia" w:ascii="宋体" w:hAnsi="宋体" w:eastAsia="宋体" w:cs="Times New Roman"/>
          <w:iCs/>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iCs/>
          <w:sz w:val="24"/>
          <w:szCs w:val="24"/>
        </w:rPr>
        <w:t xml:space="preserve">供应商应制定</w:t>
      </w:r>
      <w:r>
        <w:rPr>
          <w:rFonts w:hint="default" w:ascii="宋体" w:hAnsi="宋体" w:eastAsia="宋体" w:cs="Times New Roman"/>
          <w:iCs/>
          <w:sz w:val="24"/>
          <w:szCs w:val="24"/>
        </w:rPr>
        <w:t xml:space="preserve">应急事故处理方案</w:t>
      </w:r>
      <w:r>
        <w:rPr>
          <w:rFonts w:hint="eastAsia" w:ascii="宋体" w:hAnsi="宋体" w:eastAsia="宋体" w:cs="Times New Roman"/>
          <w:iCs/>
          <w:sz w:val="24"/>
          <w:szCs w:val="24"/>
        </w:rPr>
        <w:t xml:space="preserve">，</w:t>
      </w:r>
      <w:r>
        <w:rPr>
          <w:rFonts w:hint="default" w:ascii="宋体" w:hAnsi="宋体" w:eastAsia="宋体" w:cs="Times New Roman"/>
          <w:iCs/>
          <w:sz w:val="24"/>
          <w:szCs w:val="24"/>
        </w:rPr>
        <w:t xml:space="preserve">内容包括突发性水质污染、特殊时期（丰水期、枯水期）、自然灾害、水电检修、临时停电或节假日、重大活动或被破坏情况</w:t>
      </w:r>
      <w:r>
        <w:rPr>
          <w:rFonts w:hint="eastAsia" w:ascii="宋体" w:hAnsi="宋体" w:eastAsia="宋体" w:cs="Times New Roman"/>
          <w:iCs/>
          <w:sz w:val="24"/>
          <w:szCs w:val="24"/>
        </w:rPr>
        <w:t xml:space="preserve">。</w:t>
      </w:r>
      <w:r/>
    </w:p>
    <w:p>
      <w:pPr>
        <w:contextualSpacing/>
        <w:ind w:left="0" w:right="0" w:firstLine="480"/>
        <w:jc w:val="both"/>
        <w:pageBreakBefore w:val="0"/>
        <w:spacing w:line="480" w:lineRule="exact"/>
        <w:widowControl/>
        <w:tabs>
          <w:tab w:val="left" w:pos="2280" w:leader="none"/>
        </w:tabs>
        <w:rPr>
          <w:rFonts w:hint="eastAsia" w:ascii="Times New Roman" w:hAnsi="Times New Roman" w:eastAsia="宋体" w:cs="Times New Roman"/>
          <w:sz w:val="20"/>
          <w:szCs w:val="20"/>
          <w:lang w:val="en-US" w:eastAsia="zh-CN"/>
        </w:rPr>
      </w:pPr>
      <w:r>
        <w:rPr>
          <w:rFonts w:hint="eastAsia" w:ascii="宋体" w:hAnsi="宋体" w:eastAsia="宋体" w:cs="Times New Roman"/>
          <w:iCs/>
          <w:sz w:val="24"/>
          <w:szCs w:val="24"/>
          <w:lang w:val="en-US" w:eastAsia="zh-CN"/>
        </w:rPr>
        <w:t xml:space="preserve">6、</w:t>
      </w:r>
      <w:r>
        <w:rPr>
          <w:rFonts w:hint="default" w:ascii="宋体" w:hAnsi="宋体" w:eastAsia="宋体" w:cs="Times New Roman"/>
          <w:sz w:val="24"/>
          <w:szCs w:val="24"/>
        </w:rPr>
        <w:t xml:space="preserve">当水站数据发现异常或发现所在断面发生污染事故时，须2小时内到达站点核查仪器运行状态，保证系统仪器正常运行，数据准确，传输畅通，并协助进行手工监测复核。</w:t>
      </w:r>
      <w:r/>
    </w:p>
    <w:p>
      <w:pPr>
        <w:contextualSpacing/>
        <w:ind w:left="0" w:right="0" w:firstLine="480"/>
        <w:jc w:val="both"/>
        <w:pageBreakBefore w:val="0"/>
        <w:spacing w:line="480" w:lineRule="exact"/>
        <w:widowControl/>
        <w:tabs>
          <w:tab w:val="left" w:pos="2280" w:leader="none"/>
        </w:tabs>
        <w:rPr>
          <w:rFonts w:hint="eastAsia" w:ascii="Times New Roman" w:hAnsi="Times New Roman" w:eastAsia="宋体" w:cs="Times New Roman"/>
          <w:sz w:val="20"/>
          <w:szCs w:val="20"/>
          <w:lang w:val="en-US" w:eastAsia="zh-CN"/>
        </w:rPr>
      </w:pPr>
      <w:r>
        <w:rPr>
          <w:rFonts w:hint="eastAsia" w:ascii="宋体" w:hAnsi="宋体" w:eastAsia="宋体" w:cs="Times New Roman"/>
          <w:sz w:val="24"/>
          <w:szCs w:val="24"/>
          <w:lang w:val="en-US" w:eastAsia="zh-CN"/>
        </w:rPr>
        <w:t xml:space="preserve">7、</w:t>
      </w:r>
      <w:r>
        <w:rPr>
          <w:rFonts w:hint="default" w:ascii="宋体" w:hAnsi="宋体" w:eastAsia="宋体" w:cs="Times New Roman"/>
          <w:sz w:val="24"/>
          <w:szCs w:val="24"/>
        </w:rPr>
        <w:t xml:space="preserve">当水质自动站系统仪器出现故障、停运时，成交单位应保证在2小时内到达现场检修，如24小时内无法排除故障，导致水站主要监测指标无法连续监测时，须在48小时内更换备机；因水电中断或采水故障，水站无法正常运行的，应委托有资质的检测机构进行检测以确保数据的完整性，实验室检测数据不少于每周两组（不得为同一天监测）。并及时用电话与书面形式报告业主，协商处理方案。</w:t>
      </w:r>
      <w:r/>
    </w:p>
    <w:p>
      <w:pPr>
        <w:contextualSpacing/>
        <w:ind w:firstLine="480"/>
        <w:jc w:val="both"/>
        <w:spacing w:line="360" w:lineRule="auto"/>
        <w:widowControl/>
        <w:tabs>
          <w:tab w:val="left" w:pos="2280" w:leader="none"/>
        </w:tabs>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四、人员及车辆要求</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1、派驻现场的运维团队需要拥有明确的组织架构和工作分工，服务商须指派1名针对本项目的总协调人，保障本项目资源协调和统筹运维工作；指派1名针对本项目的技术负责人，保障本项目技术支持工作。</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运维期间配备运维人员4名，其中现场运维人员2名、远程管理人员1名、运维报告编制人员1名，负责设备巡检、数据核对校准、突发事件应急巡查、设备及监测数据的远程维护、运维报告编制等</w:t>
      </w:r>
      <w:r>
        <w:rPr>
          <w:rFonts w:hint="eastAsia" w:ascii="宋体" w:hAnsi="宋体" w:eastAsia="宋体" w:cs="宋体"/>
          <w:sz w:val="24"/>
          <w:szCs w:val="24"/>
          <w:lang w:val="en-US" w:eastAsia="zh-CN"/>
        </w:rPr>
        <w:t xml:space="preserve">。以上人员要求身体健康，具有能顺利完成本项目拟任岗位的能力。</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3、运维期间须至少提供1辆汽车用于现场巡查等工作。</w:t>
      </w:r>
      <w:r/>
    </w:p>
    <w:p>
      <w:pPr>
        <w:contextualSpacing/>
        <w:ind w:firstLine="480"/>
        <w:jc w:val="both"/>
        <w:spacing w:line="360" w:lineRule="auto"/>
        <w:widowControl/>
        <w:tabs>
          <w:tab w:val="left" w:pos="2280" w:leader="none"/>
        </w:tabs>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五、其他要求</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1、每个点位每半年出1份设备数据比对报告。</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2、每季度对在线监测数据进行人工监测校核，包括水质自动监测设备运行期定期采样检测的费用。</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3、运维期间定期对设备进行检修、维修、易损器材更换等，对入河排污口动态管理平台进行平台维护、系统升级。</w:t>
      </w:r>
      <w:r/>
    </w:p>
    <w:p>
      <w:pPr>
        <w:ind w:firstLine="480"/>
        <w:jc w:val="left"/>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default" w:ascii="宋体" w:hAnsi="宋体" w:eastAsia="宋体" w:cs="Times New Roman"/>
          <w:sz w:val="24"/>
          <w:szCs w:val="24"/>
        </w:rPr>
        <w:t xml:space="preserve">运维单位应遵守省国家、省关于水质自动站运行管理的各项规定，如运维期间出台新</w:t>
      </w:r>
      <w:r>
        <w:rPr>
          <w:rFonts w:hint="default" w:ascii="宋体" w:hAnsi="宋体" w:eastAsia="宋体" w:cs="宋体"/>
          <w:sz w:val="24"/>
          <w:szCs w:val="24"/>
          <w:lang w:val="en-US" w:eastAsia="zh-CN"/>
        </w:rPr>
        <w:t xml:space="preserve">的运行管理规定，则运维工作按最新规定执行。</w:t>
      </w:r>
      <w:r/>
    </w:p>
    <w:p>
      <w:pPr>
        <w:ind w:firstLine="480"/>
        <w:jc w:val="left"/>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运维单位需认真落实质量管理制度，建立完善的运行维护工作质量管理体系，</w:t>
      </w:r>
      <w:r>
        <w:rPr>
          <w:rFonts w:hint="eastAsia" w:ascii="宋体" w:hAnsi="宋体" w:eastAsia="宋体" w:cs="宋体"/>
          <w:sz w:val="24"/>
          <w:szCs w:val="24"/>
          <w:lang w:val="en-US" w:eastAsia="zh-CN"/>
        </w:rPr>
        <w:t xml:space="preserve">按照《环境水质（地表水）自动监测站运行维护技术规范》（DB32/T4536-2023）</w:t>
      </w:r>
      <w:r>
        <w:rPr>
          <w:rFonts w:hint="default" w:ascii="宋体" w:hAnsi="宋体" w:eastAsia="宋体" w:cs="宋体"/>
          <w:sz w:val="24"/>
          <w:szCs w:val="24"/>
          <w:lang w:val="en-US" w:eastAsia="zh-CN"/>
        </w:rPr>
        <w:t xml:space="preserve">等规定要求，定期开展质控核查、水样比对、加标回收和系统干预检查等质控工作。</w:t>
      </w:r>
      <w:r/>
    </w:p>
    <w:p>
      <w:pPr>
        <w:contextualSpacing/>
        <w:ind w:firstLine="480"/>
        <w:jc w:val="both"/>
        <w:spacing w:line="480" w:lineRule="exact"/>
        <w:widowControl/>
        <w:tabs>
          <w:tab w:val="left" w:pos="2280" w:leader="none"/>
        </w:tabs>
        <w:rPr>
          <w:rFonts w:hint="default" w:ascii="宋体" w:hAnsi="宋体" w:eastAsia="宋体" w:cs="Times New Roman"/>
          <w:sz w:val="24"/>
          <w:szCs w:val="24"/>
        </w:rPr>
      </w:pPr>
      <w:r>
        <w:rPr>
          <w:rFonts w:hint="eastAsia" w:ascii="宋体" w:hAnsi="宋体" w:eastAsia="宋体" w:cs="宋体"/>
          <w:sz w:val="24"/>
          <w:szCs w:val="24"/>
          <w:lang w:val="en-US" w:eastAsia="zh-CN"/>
        </w:rPr>
        <w:t xml:space="preserve">6、</w:t>
      </w:r>
      <w:r>
        <w:rPr>
          <w:rFonts w:hint="default" w:ascii="宋体" w:hAnsi="宋体" w:eastAsia="宋体" w:cs="Times New Roman"/>
          <w:sz w:val="24"/>
          <w:szCs w:val="24"/>
        </w:rPr>
        <w:t xml:space="preserve">运维单位必须接受</w:t>
      </w:r>
      <w:r>
        <w:rPr>
          <w:rFonts w:hint="eastAsia" w:ascii="宋体" w:hAnsi="宋体" w:eastAsia="宋体" w:cs="宋体"/>
          <w:bCs/>
          <w:color w:val="000000"/>
          <w:sz w:val="24"/>
          <w:szCs w:val="24"/>
        </w:rPr>
        <w:t xml:space="preserve">徐州市丰县生态环境局</w:t>
      </w:r>
      <w:r>
        <w:rPr>
          <w:rFonts w:hint="default" w:ascii="宋体" w:hAnsi="宋体" w:eastAsia="宋体" w:cs="Times New Roman"/>
          <w:sz w:val="24"/>
          <w:szCs w:val="24"/>
        </w:rPr>
        <w:t xml:space="preserve">及其委托单位和人员的质量检查。</w:t>
      </w:r>
      <w:r/>
    </w:p>
    <w:p>
      <w:pPr>
        <w:contextualSpacing/>
        <w:ind w:firstLine="480"/>
        <w:jc w:val="both"/>
        <w:spacing w:line="480" w:lineRule="exact"/>
        <w:widowControl/>
        <w:tabs>
          <w:tab w:val="left" w:pos="2280" w:leader="none"/>
        </w:tabs>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default" w:ascii="宋体" w:hAnsi="宋体" w:eastAsia="宋体" w:cs="Times New Roman"/>
          <w:sz w:val="24"/>
          <w:szCs w:val="24"/>
        </w:rPr>
        <w:t xml:space="preserve">成交单位负责与</w:t>
      </w:r>
      <w:r>
        <w:rPr>
          <w:rFonts w:hint="eastAsia" w:ascii="宋体" w:hAnsi="宋体" w:eastAsia="宋体" w:cs="宋体"/>
          <w:bCs/>
          <w:color w:val="000000"/>
          <w:sz w:val="24"/>
          <w:szCs w:val="24"/>
        </w:rPr>
        <w:t xml:space="preserve">徐州市丰县生态环境局</w:t>
      </w:r>
      <w:r>
        <w:rPr>
          <w:rFonts w:hint="default" w:ascii="宋体" w:hAnsi="宋体" w:eastAsia="宋体" w:cs="Times New Roman"/>
          <w:sz w:val="24"/>
          <w:szCs w:val="24"/>
        </w:rPr>
        <w:t xml:space="preserve">对水站的资产进行清点、测试和查验，以及相关档案资料的移交等。</w:t>
      </w:r>
      <w:r/>
    </w:p>
    <w:p>
      <w:pPr>
        <w:contextualSpacing/>
        <w:ind w:firstLine="480"/>
        <w:jc w:val="both"/>
        <w:spacing w:line="360" w:lineRule="auto"/>
        <w:widowControl/>
        <w:tabs>
          <w:tab w:val="left" w:pos="2280" w:leader="none"/>
        </w:tabs>
        <w:rPr>
          <w:rFonts w:hint="default" w:ascii="Times New Roman" w:hAnsi="Times New Roman" w:eastAsia="宋体" w:cs="Times New Roman"/>
          <w:b/>
          <w:sz w:val="24"/>
          <w:szCs w:val="24"/>
        </w:rPr>
      </w:pPr>
      <w:r>
        <w:rPr>
          <w:rFonts w:hint="eastAsia" w:ascii="宋体" w:hAnsi="宋体" w:eastAsia="宋体" w:cs="Times New Roman"/>
          <w:b/>
          <w:sz w:val="24"/>
          <w:szCs w:val="24"/>
          <w:lang w:val="en-US" w:eastAsia="zh-CN"/>
        </w:rPr>
        <w:t xml:space="preserve">六、</w:t>
      </w:r>
      <w:r>
        <w:rPr>
          <w:rFonts w:hint="default" w:ascii="宋体" w:hAnsi="宋体" w:eastAsia="宋体" w:cs="Times New Roman"/>
          <w:b/>
          <w:sz w:val="24"/>
          <w:szCs w:val="24"/>
        </w:rPr>
        <w:t xml:space="preserve">参考</w:t>
      </w:r>
      <w:r>
        <w:rPr>
          <w:rFonts w:hint="eastAsia" w:ascii="宋体" w:hAnsi="宋体" w:eastAsia="宋体" w:cs="Times New Roman"/>
          <w:b/>
          <w:sz w:val="24"/>
          <w:szCs w:val="24"/>
          <w:lang w:eastAsia="zh-CN"/>
        </w:rPr>
        <w:t xml:space="preserve">或参照</w:t>
      </w:r>
      <w:r>
        <w:rPr>
          <w:rFonts w:hint="default" w:ascii="宋体" w:hAnsi="宋体" w:eastAsia="宋体" w:cs="Times New Roman"/>
          <w:b/>
          <w:sz w:val="24"/>
          <w:szCs w:val="24"/>
        </w:rPr>
        <w:t xml:space="preserve">技术规范和标准</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国家环境保护总局发布的相关水质在线监测技术标准</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2</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国家标准方法和《水和废水监测分析方法》</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3</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《国家地表水水质自动监测站运行管理办法》</w:t>
      </w:r>
      <w:r/>
    </w:p>
    <w:p>
      <w:pPr>
        <w:ind w:firstLine="480"/>
        <w:jc w:val="both"/>
        <w:spacing w:line="360" w:lineRule="auto"/>
        <w:widowControl/>
        <w:rPr>
          <w:rFonts w:hint="eastAsia"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rPr>
        <w:t xml:space="preserve">4</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环境水质（地表水）自动监测站运行维护技术规范</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DB32/T4536-2023</w:t>
      </w:r>
      <w:r>
        <w:rPr>
          <w:rFonts w:hint="eastAsia" w:ascii="宋体" w:hAnsi="宋体" w:eastAsia="宋体" w:cs="Times New Roman"/>
          <w:sz w:val="24"/>
          <w:szCs w:val="24"/>
          <w:highlight w:val="none"/>
          <w:lang w:eastAsia="zh-CN"/>
        </w:rPr>
        <w:t xml:space="preserve">）</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5</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《环境水质监测质量保证手册》</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6</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《地表水和污水监测技术规范》（HJ/T91-2002 ）</w:t>
      </w:r>
      <w:r/>
    </w:p>
    <w:p>
      <w:pPr>
        <w:ind w:firstLine="480"/>
        <w:jc w:val="both"/>
        <w:spacing w:line="360" w:lineRule="auto"/>
        <w:widowControl/>
        <w:rPr>
          <w:rFonts w:hint="default" w:ascii="Times New Roman" w:hAnsi="Times New Roman" w:eastAsia="宋体" w:cs="Times New Roman"/>
          <w:sz w:val="20"/>
          <w:szCs w:val="20"/>
          <w:lang w:val="en-US" w:eastAsia="zh-CN"/>
        </w:rPr>
      </w:pPr>
      <w:r>
        <w:rPr>
          <w:rFonts w:hint="default" w:ascii="宋体" w:hAnsi="宋体" w:eastAsia="宋体" w:cs="Times New Roman"/>
          <w:sz w:val="24"/>
          <w:szCs w:val="24"/>
          <w:highlight w:val="none"/>
        </w:rPr>
        <w:t xml:space="preserve">7</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《水质河流采样技术指导》（HJ/T52-1999）</w:t>
      </w:r>
      <w:r/>
    </w:p>
    <w:p>
      <w:pPr>
        <w:ind w:firstLine="482"/>
        <w:jc w:val="both"/>
        <w:spacing w:line="440" w:lineRule="exact"/>
        <w:widowControl w:val="off"/>
        <w:rPr>
          <w:rFonts w:hint="default"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、其他要求</w:t>
      </w:r>
      <w:r/>
    </w:p>
    <w:p>
      <w:pPr>
        <w:ind w:firstLine="480"/>
        <w:jc w:val="both"/>
        <w:spacing w:line="440" w:lineRule="exact"/>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见招标文件第五章《拟签订的合同文本》。</w:t>
      </w:r>
      <w:r/>
    </w:p>
    <w:p>
      <w:pPr>
        <w:jc w:val="both"/>
        <w:spacing w:line="240" w:lineRule="auto"/>
        <w:widowControl w:val="off"/>
        <w:rPr>
          <w:rFonts w:hint="default" w:ascii="Times New Roman" w:hAnsi="Times New Roman" w:eastAsia="宋体" w:cs="Times New Roman"/>
          <w:sz w:val="20"/>
          <w:szCs w:val="22"/>
          <w:highlight w:val="none"/>
        </w:rPr>
      </w:pPr>
      <w:r>
        <w:rPr>
          <w:rFonts w:hint="default" w:ascii="Times New Roman" w:hAnsi="Times New Roman" w:eastAsia="宋体" w:cs="Times New Roman"/>
          <w:sz w:val="20"/>
          <w:szCs w:val="22"/>
          <w:highlight w:val="none"/>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lang w:val="en-US" w:eastAsia="zh-CN"/>
        </w:rPr>
        <w:t xml:space="preserve">第七章 投标文件相关格式</w:t>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一、投标函格式</w:t>
      </w:r>
      <w:r/>
    </w:p>
    <w:p>
      <w:pPr>
        <w:spacing w:line="46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lang w:eastAsia="zh-CN"/>
        </w:rPr>
        <w:t xml:space="preserve">徐州市丰县生态环境局</w:t>
      </w:r>
      <w:r/>
    </w:p>
    <w:p>
      <w:pPr>
        <w:ind w:firstLine="6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]招标文件，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(姓名)代表我方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（投标人的名称）全权处理本次投标的有关事宜。</w:t>
      </w:r>
      <w:r/>
    </w:p>
    <w:p>
      <w:pPr>
        <w:ind w:firstLine="6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据此函，投标人承诺并同意如下： </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 投标人唯一投标报价见《开标一览表》。</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投标人将按招标文件的规定履行合同责任和义务。</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 投标人已详细审查全部招标文件，包括第[插入编号] [补遗书][如果有的话]。投标人完全理解并同意放弃对这方面有不明及误解的权力。</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 投标有效期为开标之日后90天。</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 投标人同意提供按照贵方可能要求的与其投标有关的一切数据或资料，完全理解贵方不一定接受最低价的投标或收到的任何投标。</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 投标人同意按照招标文件规定支付招标代理服务费。</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 采购人有权对投标人投标文件的真实性进行核实，如投标人不能在采购人规定的时间内向采购人提供有效的证明文件，将被采购人视为放弃中标资格。</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 与本投标有关的一切正式往来信函请寄：</w:t>
      </w:r>
      <w:r/>
    </w:p>
    <w:p>
      <w:pPr>
        <w:ind w:firstLine="12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 </w:t>
      </w:r>
      <w:r/>
    </w:p>
    <w:p>
      <w:pPr>
        <w:ind w:firstLine="12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移动</w:t>
      </w:r>
      <w:r>
        <w:rPr>
          <w:rFonts w:hint="eastAsia" w:ascii="宋体" w:hAnsi="宋体" w:cs="宋体"/>
          <w:color w:val="000000"/>
          <w:sz w:val="24"/>
          <w:highlight w:val="none"/>
        </w:rPr>
        <w:t xml:space="preserve">电话：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传真： </w:t>
      </w:r>
      <w:r/>
    </w:p>
    <w:p>
      <w:pPr>
        <w:ind w:right="29"/>
        <w:jc w:val="right"/>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w:t>
      </w:r>
      <w:r>
        <w:rPr>
          <w:rFonts w:hint="default"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电子签</w:t>
      </w:r>
      <w:r>
        <w:rPr>
          <w:rFonts w:hint="default" w:ascii="宋体" w:hAnsi="宋体" w:eastAsia="宋体" w:cs="宋体"/>
          <w:b w:val="0"/>
          <w:bCs w:val="0"/>
          <w:color w:val="000000"/>
          <w:sz w:val="24"/>
          <w:szCs w:val="24"/>
          <w:highlight w:val="none"/>
          <w:lang w:val="en-US" w:eastAsia="zh-CN"/>
        </w:rPr>
        <w:t xml:space="preserve">章）：</w:t>
      </w:r>
      <w:r/>
    </w:p>
    <w:p>
      <w:pPr>
        <w:ind w:right="29"/>
        <w:jc w:val="right"/>
        <w:spacing w:line="360" w:lineRule="auto"/>
        <w:rPr>
          <w:rFonts w:hint="default" w:ascii="宋体" w:hAnsi="宋体" w:eastAsia="宋体" w:cs="宋体"/>
          <w:b w:val="0"/>
          <w:bCs w:val="0"/>
          <w:color w:val="000000"/>
          <w:sz w:val="24"/>
          <w:szCs w:val="24"/>
          <w:highlight w:val="none"/>
          <w:lang w:val="en-US" w:eastAsia="zh-CN"/>
        </w:rPr>
      </w:pPr>
      <w:r>
        <w:rPr>
          <w:rFonts w:hint="default" w:ascii="宋体" w:hAnsi="宋体" w:eastAsia="宋体" w:cs="宋体"/>
          <w:b w:val="0"/>
          <w:bCs w:val="0"/>
          <w:color w:val="000000"/>
          <w:sz w:val="24"/>
          <w:szCs w:val="24"/>
          <w:highlight w:val="none"/>
          <w:lang w:val="en-US" w:eastAsia="zh-CN"/>
        </w:rPr>
        <w:t xml:space="preserve">法定代表人或授权代表（签字或盖章）：</w:t>
      </w:r>
      <w:r/>
    </w:p>
    <w:p>
      <w:pPr>
        <w:ind w:right="29"/>
        <w:jc w:val="righ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 年 月  日</w:t>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highlight w:val="none"/>
        </w:rPr>
        <w:br w:type="page" w:clear="all"/>
      </w:r>
      <w:r>
        <w:rPr>
          <w:rFonts w:hint="eastAsia" w:ascii="宋体" w:hAnsi="宋体" w:eastAsia="宋体" w:cs="宋体"/>
          <w:b/>
          <w:color w:val="000000"/>
          <w:sz w:val="30"/>
          <w:szCs w:val="30"/>
          <w:highlight w:val="none"/>
          <w:lang w:val="en-US" w:eastAsia="zh-CN"/>
        </w:rPr>
        <w:t xml:space="preserve">二、开标一览表格式 </w:t>
      </w:r>
      <w:r/>
    </w:p>
    <w:p>
      <w:pPr>
        <w:ind w:firstLine="480"/>
        <w:jc w:val="cente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jc w:val="left"/>
        <w:spacing w:line="312" w:lineRule="auto"/>
        <w:widowControl/>
        <w:rPr>
          <w:rFonts w:hint="eastAsia"/>
          <w:color w:val="auto"/>
          <w:sz w:val="24"/>
          <w:szCs w:val="20"/>
          <w:highlight w:val="none"/>
        </w:rPr>
      </w:pPr>
      <w:r>
        <w:rPr>
          <w:color w:val="auto"/>
          <w:sz w:val="24"/>
          <w:szCs w:val="20"/>
          <w:highlight w:val="none"/>
        </w:rPr>
        <w:t xml:space="preserve">项目名称：</w:t>
      </w:r>
      <w:r/>
    </w:p>
    <w:p>
      <w:pPr>
        <w:jc w:val="left"/>
        <w:spacing w:line="312" w:lineRule="auto"/>
        <w:widowControl/>
        <w:rPr>
          <w:rFonts w:hint="eastAsia" w:eastAsia="宋体"/>
          <w:color w:val="auto"/>
          <w:sz w:val="24"/>
          <w:szCs w:val="20"/>
          <w:highlight w:val="none"/>
        </w:rPr>
      </w:pPr>
      <w:r>
        <w:rPr>
          <w:color w:val="auto"/>
          <w:sz w:val="24"/>
          <w:szCs w:val="20"/>
          <w:highlight w:val="none"/>
        </w:rPr>
        <w:t xml:space="preserve">项目编号：</w:t>
      </w:r>
      <w:r/>
    </w:p>
    <w:p>
      <w:pPr>
        <w:jc w:val="right"/>
        <w:spacing w:line="312" w:lineRule="auto"/>
        <w:widowControl/>
        <w:rPr>
          <w:color w:val="auto"/>
          <w:sz w:val="24"/>
          <w:szCs w:val="20"/>
          <w:highlight w:val="none"/>
        </w:rPr>
      </w:pPr>
      <w:r>
        <w:rPr>
          <w:color w:val="auto"/>
          <w:sz w:val="24"/>
          <w:szCs w:val="20"/>
          <w:highlight w:val="none"/>
        </w:rPr>
        <w:t xml:space="preserve">货币单位：人民币元</w:t>
      </w:r>
      <w:r/>
    </w:p>
    <w:p>
      <w:pPr>
        <w:jc w:val="right"/>
        <w:spacing w:line="312" w:lineRule="auto"/>
        <w:widowControl/>
        <w:rPr>
          <w:color w:val="auto"/>
          <w:sz w:val="24"/>
          <w:szCs w:val="20"/>
          <w:highlight w:val="none"/>
        </w:rPr>
      </w:pPr>
      <w:r>
        <w:rPr>
          <w:color w:val="auto"/>
          <w:sz w:val="24"/>
          <w:szCs w:val="20"/>
          <w:highlight w:val="none"/>
        </w:rPr>
      </w:r>
      <w:r/>
    </w:p>
    <w:tbl>
      <w:tblPr>
        <w:tblStyle w:val="717"/>
        <w:tblW w:w="96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3"/>
        <w:gridCol w:w="2383"/>
        <w:gridCol w:w="4109"/>
      </w:tblGrid>
      <w:tr>
        <w:trPr>
          <w:cantSplit/>
          <w:jc w:val="center"/>
          <w:trHeight w:val="1084"/>
        </w:trPr>
        <w:tc>
          <w:tcPr>
            <w:tcW w:w="3143"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项目名称</w:t>
            </w:r>
            <w:r/>
          </w:p>
        </w:tc>
        <w:tc>
          <w:tcPr>
            <w:tcW w:w="2383" w:type="dxa"/>
            <w:vAlign w:val="center"/>
            <w:textDirection w:val="lrTb"/>
            <w:noWrap w:val="false"/>
          </w:tcPr>
          <w:p>
            <w:pPr>
              <w:jc w:val="center"/>
              <w:spacing w:line="312" w:lineRule="auto"/>
              <w:widowControl w:val="off"/>
              <w:rPr>
                <w:rFonts w:ascii="宋体" w:hAnsi="宋体" w:cs="宋体"/>
                <w:bCs/>
                <w:color w:val="auto"/>
                <w:sz w:val="24"/>
                <w:szCs w:val="24"/>
                <w:highlight w:val="none"/>
              </w:rPr>
            </w:pPr>
            <w:r>
              <w:rPr>
                <w:rFonts w:ascii="宋体" w:hAnsi="宋体"/>
                <w:sz w:val="24"/>
                <w:szCs w:val="20"/>
                <w:highlight w:val="none"/>
              </w:rPr>
              <w:t xml:space="preserve">项目内容</w:t>
            </w:r>
            <w:r/>
          </w:p>
        </w:tc>
        <w:tc>
          <w:tcPr>
            <w:tcW w:w="410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w:t>
            </w:r>
            <w:r>
              <w:rPr>
                <w:rFonts w:hint="default" w:ascii="宋体" w:hAnsi="宋体" w:eastAsia="宋体" w:cs="Times New Roman"/>
                <w:color w:val="auto"/>
                <w:sz w:val="24"/>
                <w:szCs w:val="24"/>
                <w:highlight w:val="none"/>
                <w:lang w:val="en-US" w:eastAsia="zh-CN" w:bidi="ar-SA"/>
              </w:rPr>
              <w:t xml:space="preserve">（小写）</w:t>
            </w:r>
            <w:r/>
          </w:p>
        </w:tc>
      </w:tr>
      <w:tr>
        <w:trPr>
          <w:cantSplit/>
          <w:jc w:val="center"/>
          <w:trHeight w:val="1833"/>
        </w:trPr>
        <w:tc>
          <w:tcPr>
            <w:tcW w:w="3143" w:type="dxa"/>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丰县2026年入河排污口规范化整治（EPC）项目32个点位在线监测运维项目</w:t>
            </w:r>
            <w:r/>
          </w:p>
        </w:tc>
        <w:tc>
          <w:tcPr>
            <w:tcBorders>
              <w:right w:val="single" w:color="auto" w:sz="4" w:space="0"/>
            </w:tcBorders>
            <w:tcW w:w="2383" w:type="dxa"/>
            <w:vAlign w:val="center"/>
            <w:textDirection w:val="lrTb"/>
            <w:noWrap w:val="false"/>
          </w:tcPr>
          <w:p>
            <w:pPr>
              <w:jc w:val="center"/>
              <w:spacing w:line="312" w:lineRule="auto"/>
              <w:widowControl w:val="off"/>
              <w:rPr>
                <w:rFonts w:ascii="宋体" w:hAnsi="宋体" w:cs="宋体"/>
                <w:bCs/>
                <w:color w:val="auto"/>
                <w:sz w:val="24"/>
                <w:szCs w:val="24"/>
                <w:highlight w:val="none"/>
                <w:u w:val="single"/>
              </w:rPr>
            </w:pPr>
            <w:r>
              <w:rPr>
                <w:rFonts w:ascii="宋体" w:hAnsi="宋体"/>
                <w:sz w:val="24"/>
                <w:szCs w:val="20"/>
                <w:highlight w:val="none"/>
              </w:rPr>
              <w:t xml:space="preserve">详见</w:t>
            </w:r>
            <w:r>
              <w:rPr>
                <w:rFonts w:hint="eastAsia" w:ascii="宋体" w:hAnsi="宋体"/>
                <w:sz w:val="24"/>
                <w:szCs w:val="20"/>
                <w:highlight w:val="none"/>
                <w:lang w:val="en-US" w:eastAsia="zh-CN"/>
              </w:rPr>
              <w:t xml:space="preserve">投标文件</w:t>
            </w:r>
            <w:r/>
          </w:p>
        </w:tc>
        <w:tc>
          <w:tcPr>
            <w:tcBorders>
              <w:left w:val="single" w:color="auto" w:sz="4" w:space="0"/>
            </w:tcBorders>
            <w:tcW w:w="410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cantSplit/>
          <w:jc w:val="center"/>
          <w:trHeight w:val="1135"/>
        </w:trPr>
        <w:tc>
          <w:tcPr>
            <w:tcW w:w="3143"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w:t>
            </w:r>
            <w:r>
              <w:rPr>
                <w:rFonts w:hint="default" w:ascii="宋体" w:hAnsi="宋体" w:eastAsia="宋体" w:cs="Times New Roman"/>
                <w:color w:val="auto"/>
                <w:sz w:val="24"/>
                <w:szCs w:val="24"/>
                <w:highlight w:val="none"/>
                <w:lang w:val="en-US" w:eastAsia="zh-CN" w:bidi="ar-SA"/>
              </w:rPr>
              <w:t xml:space="preserve">（大写）：</w:t>
            </w:r>
            <w:r/>
          </w:p>
        </w:tc>
        <w:tc>
          <w:tcPr>
            <w:gridSpan w:val="2"/>
            <w:tcW w:w="6492"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bl>
    <w:p>
      <w:pPr>
        <w:jc w:val="both"/>
        <w:widowControl w:val="off"/>
        <w:rPr>
          <w:rFonts w:hint="default" w:ascii="宋体" w:hAnsi="宋体" w:eastAsia="宋体" w:cs="Times New Roman"/>
          <w:b/>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r>
      <w:r/>
    </w:p>
    <w:p>
      <w:pPr>
        <w:jc w:val="both"/>
        <w:spacing w:line="520" w:lineRule="exact"/>
        <w:widowControl w:val="off"/>
        <w:rPr>
          <w:rFonts w:hint="default" w:ascii="宋体" w:hAnsi="宋体" w:eastAsia="宋体" w:cs="Times New Roman"/>
          <w:b/>
          <w:bCs/>
          <w:color w:val="auto"/>
          <w:sz w:val="24"/>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 xml:space="preserve">供应商承诺：本报价（总价）为供应商本企业提供的服务。</w:t>
      </w:r>
      <w:r/>
    </w:p>
    <w:p>
      <w:pPr>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both"/>
        <w:spacing w:line="520" w:lineRule="exact"/>
        <w:widowControl w:val="off"/>
        <w:rPr>
          <w:rFonts w:hint="default" w:ascii="宋体" w:hAnsi="宋体" w:eastAsia="宋体" w:cs="Times New Roman"/>
          <w:b/>
          <w:bCs/>
          <w:color w:val="auto"/>
          <w:sz w:val="24"/>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 xml:space="preserve">报价说明：</w:t>
      </w:r>
      <w:r/>
    </w:p>
    <w:p>
      <w:pPr>
        <w:jc w:val="left"/>
        <w:spacing w:line="52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1、报价应包括全部内容，以及为完成上述内容所需的全部费用。</w:t>
      </w:r>
      <w:r/>
    </w:p>
    <w:p>
      <w:pPr>
        <w:jc w:val="left"/>
        <w:spacing w:line="52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2、报价以</w:t>
      </w:r>
      <w:r>
        <w:rPr>
          <w:rFonts w:hint="eastAsia" w:ascii="宋体" w:hAnsi="宋体" w:eastAsia="宋体" w:cs="Times New Roman"/>
          <w:color w:val="auto"/>
          <w:sz w:val="24"/>
          <w:szCs w:val="24"/>
          <w:highlight w:val="none"/>
          <w:lang w:val="en-US" w:eastAsia="zh-CN" w:bidi="ar-SA"/>
        </w:rPr>
        <w:t xml:space="preserve">单</w:t>
      </w:r>
      <w:r>
        <w:rPr>
          <w:rFonts w:hint="default" w:ascii="宋体" w:hAnsi="宋体" w:eastAsia="宋体" w:cs="Times New Roman"/>
          <w:color w:val="auto"/>
          <w:sz w:val="24"/>
          <w:szCs w:val="24"/>
          <w:highlight w:val="none"/>
          <w:lang w:val="en-US" w:eastAsia="zh-CN" w:bidi="ar-SA"/>
        </w:rPr>
        <w:t xml:space="preserve">价为准，大小写不一致以大写为准；</w:t>
      </w:r>
      <w:r/>
    </w:p>
    <w:p>
      <w:pPr>
        <w:jc w:val="left"/>
        <w:spacing w:line="52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3、偏离说明：详见《偏离表》；</w:t>
      </w:r>
      <w:r/>
    </w:p>
    <w:p>
      <w:pPr>
        <w:jc w:val="left"/>
        <w:spacing w:line="312" w:lineRule="auto"/>
        <w:widowControl/>
        <w:rPr>
          <w:color w:val="auto"/>
          <w:sz w:val="24"/>
          <w:szCs w:val="20"/>
          <w:highlight w:val="none"/>
        </w:rPr>
      </w:pPr>
      <w:r>
        <w:rPr>
          <w:color w:val="auto"/>
          <w:sz w:val="24"/>
          <w:szCs w:val="20"/>
          <w:highlight w:val="none"/>
        </w:rPr>
      </w:r>
      <w:r/>
    </w:p>
    <w:p>
      <w:pPr>
        <w:ind w:firstLine="2760"/>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2760"/>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right="29" w:firstLine="3600"/>
        <w:jc w:val="both"/>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电子签</w:t>
      </w:r>
      <w:r>
        <w:rPr>
          <w:rFonts w:hint="default" w:ascii="宋体" w:hAnsi="宋体" w:eastAsia="宋体" w:cs="Times New Roman"/>
          <w:color w:val="auto"/>
          <w:sz w:val="24"/>
          <w:szCs w:val="24"/>
          <w:highlight w:val="none"/>
          <w:lang w:val="en-US" w:eastAsia="zh-CN" w:bidi="ar-SA"/>
        </w:rPr>
        <w:t xml:space="preserve">章）：</w:t>
      </w:r>
      <w:r/>
    </w:p>
    <w:p>
      <w:pPr>
        <w:ind w:right="29" w:firstLine="3960"/>
        <w:jc w:val="both"/>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 </w:t>
      </w:r>
      <w:r/>
    </w:p>
    <w:p>
      <w:pPr>
        <w:ind w:right="29" w:firstLine="3600"/>
        <w:jc w:val="both"/>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法定代表人或授权代表（签字或盖章）：</w:t>
      </w:r>
      <w:r/>
    </w:p>
    <w:p>
      <w:pPr>
        <w:ind w:right="29" w:firstLine="3960"/>
        <w:jc w:val="both"/>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default" w:ascii="宋体" w:hAnsi="Times New Roman" w:eastAsia="宋体" w:cs="Times New Roman"/>
          <w:color w:val="auto"/>
          <w:sz w:val="24"/>
          <w:szCs w:val="24"/>
          <w:highlight w:val="none"/>
          <w:lang w:val="en-US" w:eastAsia="zh-CN" w:bidi="ar-SA"/>
        </w:rPr>
      </w:r>
      <w:r/>
    </w:p>
    <w:p>
      <w:pPr>
        <w:ind w:firstLine="360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日期：</w:t>
      </w:r>
      <w:r>
        <w:rPr>
          <w:rFonts w:hint="eastAsia" w:ascii="宋体" w:hAnsi="宋体" w:eastAsia="宋体" w:cs="Times New Roman"/>
          <w:color w:val="auto"/>
          <w:sz w:val="24"/>
          <w:szCs w:val="20"/>
          <w:highlight w:val="none"/>
        </w:rPr>
        <w:t xml:space="preserve"> </w:t>
      </w:r>
      <w:r>
        <w:rPr>
          <w:rFonts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rPr>
        <w:t xml:space="preserve"> </w:t>
      </w:r>
      <w:r>
        <w:rPr>
          <w:rFonts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rPr>
        <w:t xml:space="preserve">  </w:t>
      </w:r>
      <w:r>
        <w:rPr>
          <w:rFonts w:ascii="宋体" w:hAnsi="宋体" w:eastAsia="宋体" w:cs="Times New Roman"/>
          <w:color w:val="auto"/>
          <w:sz w:val="24"/>
          <w:szCs w:val="20"/>
          <w:highlight w:val="none"/>
        </w:rPr>
        <w:t xml:space="preserve">日</w:t>
      </w:r>
      <w:r/>
    </w:p>
    <w:p>
      <w:pPr>
        <w:ind w:firstLine="480"/>
        <w:jc w:val="cente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三、分项价格表格式</w:t>
      </w:r>
      <w:r/>
    </w:p>
    <w:p>
      <w:pPr>
        <w:ind w:firstLine="600"/>
        <w:spacing w:line="47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p>
    <w:p>
      <w:pPr>
        <w:jc w:val="right"/>
        <w:rPr>
          <w:rFonts w:hint="eastAsia" w:ascii="宋体" w:hAnsi="宋体" w:cs="宋体"/>
          <w:color w:val="000000"/>
          <w:sz w:val="24"/>
          <w:highlight w:val="none"/>
        </w:rPr>
      </w:pPr>
      <w:r>
        <w:rPr>
          <w:rFonts w:hint="eastAsia" w:ascii="宋体" w:hAnsi="宋体" w:cs="宋体"/>
          <w:color w:val="000000"/>
          <w:sz w:val="24"/>
          <w:highlight w:val="none"/>
        </w:rPr>
        <w:t xml:space="preserve">          　 货币单位：人民币元</w:t>
      </w:r>
      <w:r/>
    </w:p>
    <w:p>
      <w:pPr>
        <w:ind w:firstLine="3120"/>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12" w:lineRule="auto"/>
        <w:widowControl/>
        <w:rPr>
          <w:rFonts w:hint="eastAsia" w:ascii="Times New Roman" w:hAnsi="Times New Roman" w:eastAsia="宋体" w:cs="Times New Roman"/>
          <w:color w:val="auto"/>
          <w:sz w:val="44"/>
          <w:szCs w:val="32"/>
          <w:highlight w:val="none"/>
          <w:lang w:val="en-US" w:eastAsia="zh-CN"/>
        </w:rPr>
      </w:pPr>
      <w:r>
        <w:rPr>
          <w:rFonts w:hint="eastAsia" w:ascii="Times New Roman" w:hAnsi="Times New Roman" w:eastAsia="宋体" w:cs="Times New Roman"/>
          <w:color w:val="auto"/>
          <w:sz w:val="44"/>
          <w:szCs w:val="32"/>
          <w:highlight w:val="none"/>
          <w:lang w:val="en-US" w:eastAsia="zh-CN"/>
        </w:rPr>
        <w:t xml:space="preserve">格式自拟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ind w:right="29"/>
        <w:jc w:val="right"/>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default"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电子签</w:t>
      </w:r>
      <w:r>
        <w:rPr>
          <w:rFonts w:hint="default" w:ascii="宋体" w:hAnsi="宋体" w:eastAsia="宋体" w:cs="宋体"/>
          <w:b/>
          <w:bCs/>
          <w:color w:val="000000"/>
          <w:sz w:val="24"/>
          <w:szCs w:val="24"/>
          <w:highlight w:val="none"/>
          <w:lang w:val="en-US" w:eastAsia="zh-CN"/>
        </w:rPr>
        <w:t xml:space="preserve">章）：</w:t>
      </w:r>
      <w:r/>
    </w:p>
    <w:p>
      <w:pPr>
        <w:ind w:right="29"/>
        <w:jc w:val="right"/>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 </w:t>
      </w:r>
      <w:r/>
    </w:p>
    <w:p>
      <w:pPr>
        <w:ind w:right="29"/>
        <w:jc w:val="right"/>
        <w:spacing w:line="360" w:lineRule="auto"/>
        <w:rPr>
          <w:rFonts w:hint="default" w:ascii="宋体" w:hAnsi="宋体" w:eastAsia="宋体" w:cs="宋体"/>
          <w:b/>
          <w:bCs/>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法定代表人或授权代表（签字或盖章）：</w:t>
      </w:r>
      <w:r/>
    </w:p>
    <w:p>
      <w:pPr>
        <w:ind w:right="29"/>
        <w:jc w:val="right"/>
        <w:spacing w:line="360" w:lineRule="auto"/>
        <w:rPr>
          <w:rFonts w:hint="default" w:ascii="宋体" w:hAnsi="宋体" w:eastAsia="宋体" w:cs="宋体"/>
          <w:b/>
          <w:bCs/>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r>
      <w:r/>
    </w:p>
    <w:p>
      <w:pPr>
        <w:ind w:right="29"/>
        <w:jc w:val="righ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日期： 年 月  日</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ind w:firstLine="56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注：</w:t>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1、如果不提供详细分项报价将视为没有实质性响应招标文件。</w:t>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2、投标人对以上数据的真实性负责。</w:t>
      </w:r>
      <w:r/>
    </w:p>
    <w:p>
      <w:pPr>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采购人或采购代理机构有权将以上内容进行公示。</w:t>
      </w:r>
      <w:r/>
    </w:p>
    <w:p>
      <w:pPr>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highlight w:val="none"/>
        </w:rPr>
        <w:br w:type="page" w:clear="all"/>
      </w:r>
      <w:r>
        <w:rPr>
          <w:rFonts w:hint="eastAsia" w:ascii="宋体" w:hAnsi="宋体" w:eastAsia="宋体" w:cs="宋体"/>
          <w:b/>
          <w:color w:val="000000"/>
          <w:sz w:val="30"/>
          <w:szCs w:val="30"/>
          <w:highlight w:val="none"/>
          <w:lang w:val="en-US" w:eastAsia="zh-CN"/>
        </w:rPr>
        <w:t xml:space="preserve">四、偏离表格式</w:t>
      </w:r>
      <w:r/>
    </w:p>
    <w:p>
      <w:pPr>
        <w:spacing w:line="47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p>
    <w:p>
      <w:pPr>
        <w:spacing w:line="47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p>
    <w:tbl>
      <w:tblPr>
        <w:tblStyle w:val="717"/>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bl>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t xml:space="preserve">法定代表人或授权代表（签字或盖章）：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jc w:val="center"/>
        <w:spacing w:line="479" w:lineRule="atLeast"/>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五、授权委托书格式</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委托人：</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地址：</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法定代表人：</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职务：</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统一社会信用代码：</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受托人：        性别：男（女）</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年龄：  岁      民族：  族</w:t>
      </w:r>
      <w:r/>
    </w:p>
    <w:p>
      <w:pPr>
        <w:spacing w:line="360" w:lineRule="auto"/>
        <w:rPr>
          <w:rFonts w:hint="default"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职务：</w:t>
      </w:r>
      <w:r>
        <w:rPr>
          <w:rFonts w:hint="eastAsia" w:ascii="宋体" w:hAnsi="宋体" w:cs="宋体"/>
          <w:color w:val="000000"/>
          <w:sz w:val="28"/>
          <w:szCs w:val="28"/>
          <w:highlight w:val="none"/>
          <w:lang w:val="en-US" w:eastAsia="zh-CN"/>
        </w:rPr>
        <w:t xml:space="preserve">          </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身份证号：</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兹委托（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）全权代表我企业（公司）参与（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）的招、投标活动及签订合同。（</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）无转委托权。</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委托期限自</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日起至</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日止。</w:t>
      </w:r>
      <w:r/>
    </w:p>
    <w:p>
      <w:pPr>
        <w:ind w:firstLine="63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特此授权委托。</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委托人（电子签章）：</w:t>
      </w:r>
      <w:r/>
    </w:p>
    <w:p>
      <w:pPr>
        <w:ind w:firstLine="600"/>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法定代表人（签字或盖章）： </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受托人（签字或盖章）：</w:t>
      </w:r>
      <w:r/>
    </w:p>
    <w:p>
      <w:pPr>
        <w:pStyle w:val="760"/>
        <w:ind w:left="0" w:firstLine="602"/>
        <w:spacing w:line="360" w:lineRule="auto"/>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受托人联系方式：                   邮箱：</w:t>
      </w:r>
      <w:r/>
    </w:p>
    <w:p>
      <w:pPr>
        <w:ind w:right="600" w:firstLine="6150"/>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年  月  日 </w:t>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有效期内的</w:t>
      </w:r>
      <w:r>
        <w:rPr>
          <w:rFonts w:hint="eastAsia" w:ascii="宋体" w:hAnsi="宋体" w:cs="宋体"/>
          <w:b/>
          <w:bCs/>
          <w:color w:val="000000"/>
          <w:sz w:val="28"/>
          <w:szCs w:val="28"/>
          <w:highlight w:val="none"/>
        </w:rPr>
        <w:t xml:space="preserve">受托人身份证扫描件附后)</w:t>
      </w:r>
      <w:r/>
    </w:p>
    <w:p>
      <w:pPr>
        <w:jc w:val="center"/>
        <w:spacing w:before="100" w:after="100"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8"/>
          <w:szCs w:val="28"/>
          <w:highlight w:val="none"/>
        </w:rPr>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六、中小企业声明函格式</w:t>
      </w:r>
      <w:r/>
    </w:p>
    <w:p>
      <w:pPr>
        <w:jc w:val="cente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中小企业声明函</w:t>
      </w:r>
      <w:r/>
    </w:p>
    <w:p>
      <w:pP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项目编号：</w:t>
      </w:r>
      <w:r/>
    </w:p>
    <w:p>
      <w:pP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项目名称：</w:t>
      </w:r>
      <w:r/>
    </w:p>
    <w:p>
      <w:pPr>
        <w:ind w:firstLine="480"/>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cs="宋体"/>
          <w:color w:val="000000"/>
          <w:sz w:val="28"/>
          <w:szCs w:val="28"/>
          <w:highlight w:val="none"/>
          <w:u w:val="single"/>
          <w:lang w:eastAsia="zh-CN"/>
        </w:rPr>
        <w:t xml:space="preserve">徐州市丰县生态环境局</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lang w:eastAsia="zh-CN"/>
        </w:rPr>
        <w:t xml:space="preserve">丰县2026年入河排污口规范化整治（EPC）项目32个点位在线监测运维项目</w:t>
      </w:r>
      <w:r>
        <w:rPr>
          <w:rFonts w:hint="eastAsia" w:ascii="宋体" w:hAnsi="宋体" w:cs="宋体"/>
          <w:color w:val="000000"/>
          <w:sz w:val="28"/>
          <w:szCs w:val="28"/>
          <w:highlight w:val="none"/>
        </w:rPr>
        <w:t xml:space="preserve">）采购活动，服务全部由符合政策要求的中小企业承接。相关企业的具体情况如下：</w:t>
      </w:r>
      <w:r/>
    </w:p>
    <w:p>
      <w:pPr>
        <w:pStyle w:val="799"/>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）行业；承建（承接）企业为（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p>
    <w:p>
      <w:pPr>
        <w:pStyle w:val="799"/>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p>
    <w:p>
      <w:pPr>
        <w:pStyle w:val="799"/>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p>
    <w:p>
      <w:pPr>
        <w:ind w:firstLine="560"/>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p>
    <w:p>
      <w:pPr>
        <w:pStyle w:val="799"/>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99"/>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t xml:space="preserve">法定代表人或授权代表（签字或盖章）：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pStyle w:val="799"/>
        <w:ind w:left="0"/>
        <w:jc w:val="left"/>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99"/>
        <w:ind w:left="0"/>
        <w:jc w:val="left"/>
        <w:spacing w:after="0" w:line="24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99"/>
        <w:ind w:left="0"/>
        <w:jc w:val="left"/>
        <w:spacing w:after="0" w:line="24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99"/>
        <w:ind w:left="0"/>
        <w:jc w:val="left"/>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p>
    <w:p>
      <w:pPr>
        <w:pStyle w:val="799"/>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本项目采购的</w:t>
      </w:r>
      <w:r>
        <w:rPr>
          <w:rFonts w:hint="eastAsia" w:ascii="宋体" w:hAnsi="宋体" w:cs="宋体"/>
          <w:b/>
          <w:bCs/>
          <w:color w:val="000000"/>
          <w:sz w:val="24"/>
          <w:highlight w:val="none"/>
          <w:lang w:val="en-US" w:eastAsia="zh-CN"/>
        </w:rPr>
        <w:t xml:space="preserve">货物</w:t>
      </w:r>
      <w:r>
        <w:rPr>
          <w:rFonts w:hint="eastAsia" w:ascii="宋体" w:hAnsi="宋体" w:cs="宋体"/>
          <w:b/>
          <w:bCs/>
          <w:color w:val="000000"/>
          <w:sz w:val="24"/>
          <w:highlight w:val="none"/>
        </w:rPr>
        <w:t xml:space="preserve">属于</w:t>
      </w:r>
      <w:r>
        <w:rPr>
          <w:rFonts w:hint="eastAsia" w:ascii="宋体" w:hAnsi="宋体" w:cs="宋体"/>
          <w:b/>
          <w:bCs/>
          <w:color w:val="000000"/>
          <w:sz w:val="24"/>
          <w:highlight w:val="none"/>
          <w:u w:val="single"/>
          <w:lang w:val="en-US" w:eastAsia="zh-CN"/>
        </w:rPr>
        <w:t xml:space="preserve">科学研究和技术服务业</w:t>
      </w:r>
      <w:r>
        <w:rPr>
          <w:rFonts w:hint="eastAsia" w:ascii="宋体" w:hAnsi="宋体" w:cs="宋体"/>
          <w:b/>
          <w:bCs/>
          <w:color w:val="000000"/>
          <w:sz w:val="24"/>
          <w:highlight w:val="none"/>
        </w:rPr>
        <w:t xml:space="preserve">。</w:t>
      </w:r>
      <w:r/>
    </w:p>
    <w:p>
      <w:pPr>
        <w:pStyle w:val="799"/>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99"/>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、从业人员、营业收入、资产总额填报供应商上一年度数据，无上一年度数据的新成立企业可不填报。</w:t>
      </w:r>
      <w:r/>
    </w:p>
    <w:p>
      <w:pPr>
        <w:pStyle w:val="799"/>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、中标、成交供应商为小型、微型企业的，采购人或者其委托的采购代理机构有权随中标、成交结果同时公告其《中小企业声明函》，接受社会监督。</w:t>
      </w:r>
      <w:r/>
    </w:p>
    <w:p>
      <w:pPr>
        <w:pStyle w:val="799"/>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、执行江苏省财政厅关于进一步加大政府采购支持中小企业力度的通知（苏财购〔2022〕45号）的规定。</w:t>
      </w:r>
      <w:r/>
    </w:p>
    <w:p>
      <w:pPr>
        <w:pStyle w:val="799"/>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、供应商提供的《中小企业声明函》与事实不符的，依照《中华人民共和国政府采购法》第七十七条第一款的规定追究法律责任。</w:t>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numPr>
          <w:ilvl w:val="0"/>
          <w:numId w:val="0"/>
        </w:numPr>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2439670" cy="4506595"/>
                <wp:effectExtent l="0" t="0" r="17780" b="8255"/>
                <wp:docPr id="4" name="图片 16"/>
                <wp:cNvGraphicFramePr/>
                <a:graphic xmlns:a="http://schemas.openxmlformats.org/drawingml/2006/main">
                  <a:graphicData uri="http://schemas.openxmlformats.org/drawingml/2006/picture">
                    <pic:pic xmlns:pic="http://schemas.openxmlformats.org/drawingml/2006/picture">
                      <pic:nvPicPr>
                        <pic:cNvPr id="5" name="图片 16"/>
                        <pic:cNvPicPr/>
                        <pic:nvPr/>
                      </pic:nvPicPr>
                      <pic:blipFill>
                        <a:blip r:embed="rId15"/>
                        <a:stretch/>
                      </pic:blipFill>
                      <pic:spPr bwMode="auto">
                        <a:xfrm>
                          <a:off x="0" y="0"/>
                          <a:ext cx="2439670" cy="4506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2.1pt;height:354.8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七、残疾人福利性单位声明函格式</w:t>
      </w:r>
      <w:r/>
    </w:p>
    <w:p>
      <w:pPr>
        <w:pStyle w:val="848"/>
        <w:ind w:firstLine="0"/>
        <w:jc w:val="both"/>
        <w:rPr>
          <w:rFonts w:hint="eastAsia"/>
          <w:color w:val="000000"/>
          <w:highlight w:val="none"/>
        </w:rPr>
      </w:pPr>
      <w:r>
        <w:rPr>
          <w:rFonts w:hint="eastAsia"/>
          <w:color w:val="000000"/>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项目编号：</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项目名称：</w:t>
      </w:r>
      <w:r/>
    </w:p>
    <w:p>
      <w:pPr>
        <w:ind w:firstLine="624"/>
        <w:spacing w:line="360" w:lineRule="auto"/>
        <w:rPr>
          <w:rFonts w:hint="eastAsia" w:ascii="宋体" w:hAnsi="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000000"/>
          <w:sz w:val="28"/>
          <w:szCs w:val="28"/>
          <w:highlight w:val="none"/>
        </w:rPr>
        <w:t xml:space="preserve">〔2017〕141</w:t>
      </w:r>
      <w:r>
        <w:rPr>
          <w:rFonts w:hint="eastAsia" w:ascii="宋体" w:hAnsi="宋体" w:cs="宋体"/>
          <w:color w:val="000000"/>
          <w:spacing w:val="6"/>
          <w:sz w:val="28"/>
          <w:szCs w:val="28"/>
          <w:highlight w:val="none"/>
        </w:rPr>
        <w:t xml:space="preserve">号）的规定，本单位为符合条件的残疾人福利性单位，且本单位参加</w:t>
      </w:r>
      <w:r>
        <w:rPr>
          <w:rFonts w:hint="eastAsia" w:ascii="宋体" w:hAnsi="宋体" w:cs="宋体"/>
          <w:color w:val="000000"/>
          <w:sz w:val="28"/>
          <w:szCs w:val="28"/>
          <w:highlight w:val="none"/>
          <w:u w:val="single"/>
        </w:rPr>
        <w:t xml:space="preserve">    </w:t>
      </w:r>
      <w:r>
        <w:rPr>
          <w:rFonts w:hint="eastAsia" w:ascii="宋体" w:hAnsi="宋体" w:cs="宋体"/>
          <w:color w:val="000000"/>
          <w:spacing w:val="6"/>
          <w:sz w:val="28"/>
          <w:szCs w:val="28"/>
          <w:highlight w:val="none"/>
        </w:rPr>
        <w:t xml:space="preserve">单位的</w:t>
      </w:r>
      <w:r>
        <w:rPr>
          <w:rFonts w:hint="eastAsia" w:ascii="宋体" w:hAnsi="宋体" w:cs="宋体"/>
          <w:color w:val="000000"/>
          <w:sz w:val="28"/>
          <w:szCs w:val="28"/>
          <w:highlight w:val="none"/>
          <w:u w:val="single"/>
        </w:rPr>
        <w:t xml:space="preserve">       </w:t>
      </w:r>
      <w:r>
        <w:rPr>
          <w:rFonts w:hint="eastAsia" w:ascii="宋体" w:hAnsi="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本单位对上述声明的真实性负责。如有虚假，将依法承担相应责任。</w:t>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 </w:t>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t xml:space="preserve">法定代表人或授权代表（签字或盖章）：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ind w:firstLine="45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ind w:firstLine="6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highlight w:val="none"/>
        </w:rPr>
        <w:br w:type="page" w:clear="all"/>
      </w:r>
      <w:r>
        <w:rPr>
          <w:rFonts w:hint="eastAsia" w:ascii="宋体" w:hAnsi="宋体" w:eastAsia="宋体" w:cs="宋体"/>
          <w:b/>
          <w:color w:val="000000"/>
          <w:sz w:val="30"/>
          <w:szCs w:val="30"/>
          <w:highlight w:val="none"/>
          <w:lang w:val="en-US" w:eastAsia="zh-CN"/>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我单位在参加</w:t>
      </w:r>
      <w:r>
        <w:rPr>
          <w:rFonts w:hint="eastAsia" w:ascii="宋体" w:hAnsi="宋体" w:cs="宋体"/>
          <w:color w:val="000000"/>
          <w:sz w:val="28"/>
          <w:szCs w:val="28"/>
          <w:highlight w:val="none"/>
          <w:u w:val="single"/>
          <w:lang w:eastAsia="zh-CN"/>
        </w:rPr>
        <w:t xml:space="preserve">丰县2026年入河排污口规范化整治（EPC）项目32个点位在线监测运维项目</w:t>
      </w: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lang w:val="en-US" w:eastAsia="zh-CN"/>
        </w:rPr>
        <w:t xml:space="preserve">JSZC-320321-CJIL-G2026-0003</w:t>
      </w:r>
      <w:r>
        <w:rPr>
          <w:rFonts w:hint="eastAsia" w:ascii="宋体" w:hAnsi="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我单位对上述声明的真实性负责。如有虚假，将依法承担相应责任。</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t xml:space="preserve">法定代表人或授权代表（签字或盖章）：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ind w:firstLine="600"/>
        <w:jc w:val="center"/>
        <w:spacing w:line="47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30"/>
          <w:highlight w:val="none"/>
        </w:rPr>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九、关于符合本国产品标准的声明函 </w:t>
      </w:r>
      <w:r/>
    </w:p>
    <w:p>
      <w:pPr>
        <w:pStyle w:val="824"/>
        <w:ind w:firstLine="420"/>
        <w:spacing w:before="0" w:beforeAutospacing="0" w:after="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824"/>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4"/>
        <w:numPr>
          <w:ilvl w:val="0"/>
          <w:numId w:val="6"/>
        </w:numPr>
        <w:ind w:firstLine="420"/>
        <w:spacing w:before="0" w:beforeAutospacing="0" w:after="0" w:afterAutospacing="0" w:line="360" w:lineRule="auto"/>
        <w:shd w:val="clear" w:color="auto" w:fill="ffffff"/>
        <w:rPr>
          <w:rFonts w:hint="eastAsia"/>
          <w:color w:val="000000"/>
          <w:highlight w:val="none"/>
        </w:rPr>
      </w:pPr>
      <w:r>
        <w:rPr>
          <w:rFonts w:hint="eastAsia"/>
          <w:b/>
          <w:bCs/>
          <w:color w:val="000000"/>
          <w:highlight w:val="none"/>
          <w:u w:val="single"/>
          <w:lang w:val="en-US" w:eastAsia="zh-CN"/>
        </w:rPr>
        <w:t xml:space="preserve">               </w:t>
      </w:r>
      <w:r>
        <w:rPr>
          <w:rFonts w:hint="eastAsia"/>
          <w:b/>
          <w:bCs/>
          <w:color w:val="000000"/>
          <w:highlight w:val="none"/>
          <w:vertAlign w:val="superscript"/>
          <w:lang w:val="en-US" w:eastAsia="zh-CN"/>
        </w:rPr>
        <w:t xml:space="preserve">  </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p>
    <w:p>
      <w:pPr>
        <w:pStyle w:val="824"/>
        <w:numPr>
          <w:ilvl w:val="0"/>
          <w:numId w:val="6"/>
        </w:numPr>
        <w:ind w:left="0" w:firstLine="420"/>
        <w:spacing w:before="0" w:beforeAutospacing="0" w:after="0" w:afterAutospacing="0" w:line="360" w:lineRule="auto"/>
        <w:shd w:val="clear" w:color="auto" w:fill="ffffff"/>
        <w:rPr>
          <w:rFonts w:hint="eastAsia"/>
          <w:color w:val="000000"/>
          <w:highlight w:val="none"/>
        </w:rPr>
      </w:pPr>
      <w:r>
        <w:rPr>
          <w:rFonts w:hint="eastAsia"/>
          <w:b/>
          <w:bCs/>
          <w:color w:val="000000"/>
          <w:highlight w:val="none"/>
          <w:u w:val="single"/>
          <w:lang w:val="en-US" w:eastAsia="zh-CN"/>
        </w:rPr>
        <w:t xml:space="preserve">               </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p>
    <w:p>
      <w:pPr>
        <w:pStyle w:val="824"/>
        <w:numPr>
          <w:ilvl w:val="0"/>
          <w:numId w:val="6"/>
        </w:numPr>
        <w:ind w:left="0" w:firstLine="420"/>
        <w:spacing w:before="0" w:beforeAutospacing="0" w:after="0" w:afterAutospacing="0" w:line="360" w:lineRule="auto"/>
        <w:shd w:val="clear" w:color="auto" w:fill="ffffff"/>
        <w:rPr>
          <w:rFonts w:hint="eastAsia"/>
          <w:color w:val="000000"/>
          <w:highlight w:val="none"/>
        </w:rPr>
      </w:pPr>
      <w:r>
        <w:rPr>
          <w:rFonts w:hint="eastAsia"/>
          <w:b/>
          <w:bCs/>
          <w:color w:val="000000"/>
          <w:highlight w:val="none"/>
          <w:u w:val="single"/>
        </w:rPr>
        <w:t xml:space="preserve"> </w:t>
      </w:r>
      <w:r>
        <w:rPr>
          <w:rFonts w:hint="eastAsia"/>
          <w:b/>
          <w:bCs/>
          <w:color w:val="000000"/>
          <w:highlight w:val="none"/>
          <w:u w:val="single"/>
          <w:lang w:val="en-US" w:eastAsia="zh-CN"/>
        </w:rPr>
        <w:t xml:space="preserve">              </w:t>
      </w:r>
      <w:r>
        <w:rPr>
          <w:rFonts w:hint="eastAsia"/>
          <w:b/>
          <w:bCs/>
          <w:color w:val="000000"/>
          <w:highlight w:val="none"/>
          <w:vertAlign w:val="superscript"/>
          <w:lang w:val="en-US" w:eastAsia="zh-CN"/>
        </w:rPr>
        <w:t xml:space="preserve"> </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p>
    <w:p>
      <w:pPr>
        <w:pStyle w:val="824"/>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w:t>
      </w:r>
      <w:r/>
    </w:p>
    <w:p>
      <w:pPr>
        <w:pStyle w:val="824"/>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t xml:space="preserve">法定代表人或授权代表（签字或盖章）：</w:t>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pStyle w:val="824"/>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注：</w:t>
      </w:r>
      <w:r/>
    </w:p>
    <w:p>
      <w:pPr>
        <w:pStyle w:val="824"/>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1.产品如有型号，请在“产品名称”栏一并填写。</w:t>
      </w:r>
      <w:r/>
    </w:p>
    <w:p>
      <w:pPr>
        <w:pStyle w:val="824"/>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p>
    <w:p>
      <w:pPr>
        <w:pStyle w:val="824"/>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p>
    <w:p>
      <w:pPr>
        <w:pStyle w:val="824"/>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p>
    <w:p>
      <w:pPr>
        <w:pStyle w:val="824"/>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5.该产品的关键工序要求实施前，“关键工序”栏可不填，下同。</w:t>
      </w:r>
      <w:r/>
    </w:p>
    <w:p>
      <w:pPr>
        <w:pStyle w:val="824"/>
        <w:ind w:firstLine="420"/>
        <w:spacing w:before="30" w:beforeAutospacing="0" w:after="30" w:afterAutospacing="0" w:line="360" w:lineRule="auto"/>
        <w:shd w:val="clear" w:color="auto" w:fill="ffffff"/>
        <w:rPr>
          <w:rFonts w:hint="eastAsia"/>
          <w:b/>
          <w:bCs/>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b/>
          <w:bCs/>
          <w:color w:val="000000"/>
          <w:highlight w:val="none"/>
        </w:rPr>
        <w:t xml:space="preserve">6</w:t>
      </w:r>
      <w:r>
        <w:rPr>
          <w:b/>
          <w:bCs/>
          <w:color w:val="000000"/>
          <w:highlight w:val="none"/>
        </w:rPr>
        <w:t xml:space="preserve">.《声明函》中标注“</w:t>
      </w:r>
      <w:r>
        <w:rPr>
          <w:b/>
          <w:bCs/>
          <w:color w:val="000000"/>
          <w:highlight w:val="none"/>
          <w:u w:val="single"/>
        </w:rPr>
        <w:t xml:space="preserve">  / </w:t>
      </w:r>
      <w:r>
        <w:rPr>
          <w:b/>
          <w:bCs/>
          <w:color w:val="000000"/>
          <w:highlight w:val="none"/>
        </w:rPr>
        <w:t xml:space="preserve">”的地方无需填写</w:t>
      </w:r>
      <w:r>
        <w:rPr>
          <w:rFonts w:hint="eastAsia"/>
          <w:b/>
          <w:bCs/>
          <w:color w:val="000000"/>
          <w:highlight w:val="none"/>
        </w:rPr>
        <w:t xml:space="preserve">。</w:t>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十、具备履行合同所必需的设备和专业技术能力的书面声明格式（投标人可自行拟定）</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投标人郑重声明：投标人具备履行合同（项目名称：</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所必需的设备和专业技术能力， 具体为：</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格式自拟）</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特此声明。</w:t>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投标人对上述声明的真实性负责。如有虚假，将依法承担相应责任。</w:t>
      </w:r>
      <w:r/>
    </w:p>
    <w:p>
      <w:pPr>
        <w:ind w:right="29"/>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t xml:space="preserve">法定代表人或授权代表（签字或盖章）：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pStyle w:val="722"/>
        <w:rPr>
          <w:rFonts w:hint="eastAsia"/>
        </w:rPr>
      </w:pPr>
      <w:r>
        <w:rPr>
          <w:rFonts w:hint="eastAsia"/>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722"/>
        <w:ind w:left="0" w:firstLine="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spacing w:line="360" w:lineRule="auto"/>
        <w:rPr>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十一、招标代理服务费收费标准</w:t>
      </w:r>
      <w:r/>
    </w:p>
    <w:tbl>
      <w:tblPr>
        <w:tblStyle w:val="73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3"/>
        <w:gridCol w:w="2529"/>
      </w:tblGrid>
      <w:tr>
        <w:trPr>
          <w:jc w:val="center"/>
          <w:trHeight w:val="63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974" w:right="0" w:firstLine="0"/>
              <w:jc w:val="both"/>
              <w:spacing w:before="168"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168"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费率</w:t>
            </w:r>
            <w:r/>
          </w:p>
        </w:tc>
      </w:tr>
      <w:tr>
        <w:trPr>
          <w:jc w:val="center"/>
          <w:trHeight w:val="5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175" w:right="0" w:firstLine="0"/>
              <w:jc w:val="both"/>
              <w:spacing w:before="154"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07" w:right="0" w:firstLine="0"/>
              <w:jc w:val="both"/>
              <w:spacing w:before="155"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5000元</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654" w:right="0" w:firstLine="0"/>
              <w:jc w:val="both"/>
              <w:spacing w:before="155"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36"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1.6%</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575" w:right="0" w:firstLine="0"/>
              <w:jc w:val="both"/>
              <w:spacing w:before="156"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37"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1.5%</w:t>
            </w:r>
            <w:r/>
          </w:p>
        </w:tc>
      </w:tr>
      <w:tr>
        <w:trPr>
          <w:jc w:val="center"/>
          <w:trHeight w:val="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334" w:right="0" w:firstLine="0"/>
              <w:jc w:val="both"/>
              <w:spacing w:before="167"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48"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1.1%</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255" w:right="0" w:firstLine="0"/>
              <w:jc w:val="both"/>
              <w:spacing w:before="158"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40"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0.8%</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735" w:right="0" w:firstLine="0"/>
              <w:jc w:val="both"/>
              <w:spacing w:before="159"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41"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0.25%</w:t>
            </w:r>
            <w:r/>
          </w:p>
        </w:tc>
      </w:tr>
      <w:tr>
        <w:trPr>
          <w:jc w:val="center"/>
          <w:trHeight w:val="6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815" w:right="0" w:firstLine="0"/>
              <w:jc w:val="both"/>
              <w:spacing w:before="170"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52"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0.05%</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735" w:right="0" w:firstLine="0"/>
              <w:jc w:val="both"/>
              <w:spacing w:before="162"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43"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0.01%</w:t>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1455" w:right="0" w:firstLine="0"/>
              <w:jc w:val="both"/>
              <w:spacing w:before="164"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07" w:right="0" w:firstLine="0"/>
              <w:jc w:val="both"/>
              <w:spacing w:before="245"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0.005%</w:t>
            </w:r>
            <w:r/>
          </w:p>
        </w:tc>
      </w:tr>
    </w:tbl>
    <w:p>
      <w:pPr>
        <w:ind w:firstLine="480"/>
        <w:jc w:val="left"/>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jc w:val="left"/>
        <w:spacing w:line="560" w:lineRule="exact"/>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s="Times New Roman"/>
          <w:color w:val="000000"/>
          <w:sz w:val="22"/>
          <w:szCs w:val="22"/>
          <w:highlight w:val="none"/>
        </w:rPr>
        <w:t xml:space="preserve">按上表计算的收费为代理服务全过程的收费金额。</w:t>
      </w:r>
      <w:r>
        <w:rPr>
          <w:rFonts w:hint="eastAsia" w:ascii="仿宋" w:hAnsi="仿宋" w:eastAsia="仿宋" w:cs="Times New Roman"/>
          <w:color w:val="000000"/>
          <w:sz w:val="22"/>
          <w:szCs w:val="22"/>
          <w:highlight w:val="none"/>
          <w:lang w:val="en-US" w:eastAsia="zh-CN"/>
        </w:rPr>
        <w:t xml:space="preserve">各社会代理机构</w:t>
      </w:r>
      <w:r>
        <w:rPr>
          <w:rFonts w:hint="eastAsia" w:ascii="仿宋" w:hAnsi="仿宋" w:eastAsia="仿宋" w:cs="Times New Roman"/>
          <w:color w:val="000000"/>
          <w:sz w:val="22"/>
          <w:szCs w:val="22"/>
          <w:highlight w:val="none"/>
        </w:rPr>
        <w:t xml:space="preserve">不</w:t>
      </w:r>
      <w:r>
        <w:rPr>
          <w:rFonts w:hint="eastAsia" w:ascii="仿宋" w:hAnsi="仿宋" w:eastAsia="仿宋" w:cs="Times New Roman"/>
          <w:color w:val="000000"/>
          <w:sz w:val="22"/>
          <w:szCs w:val="22"/>
          <w:highlight w:val="none"/>
          <w:lang w:val="en-US" w:eastAsia="zh-CN"/>
        </w:rPr>
        <w:t xml:space="preserve">再</w:t>
      </w:r>
      <w:r>
        <w:rPr>
          <w:rFonts w:hint="eastAsia" w:ascii="仿宋" w:hAnsi="仿宋" w:eastAsia="仿宋" w:cs="Times New Roman"/>
          <w:color w:val="000000"/>
          <w:sz w:val="22"/>
          <w:szCs w:val="22"/>
          <w:highlight w:val="none"/>
        </w:rPr>
        <w:t xml:space="preserve">收取采购文件制作售卖费用。</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77" w:firstLine="480"/>
        <w:jc w:val="left"/>
        <w:keepLines w:val="0"/>
        <w:keepNext w:val="0"/>
        <w:pageBreakBefore w:val="0"/>
        <w:spacing w:line="600" w:lineRule="exact"/>
        <w:widowControl/>
        <w:rPr>
          <w:rFonts w:hint="eastAsia" w:ascii="华文仿宋" w:hAnsi="华文仿宋" w:eastAsia="华文仿宋" w:cs="华文仿宋"/>
          <w:color w:val="000000"/>
          <w:sz w:val="24"/>
          <w:szCs w:val="24"/>
          <w:highlight w:val="none"/>
          <w:lang w:eastAsia="zh-CN"/>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rPr>
          <w:rFonts w:hint="eastAsia" w:ascii="华文仿宋" w:hAnsi="华文仿宋" w:eastAsia="华文仿宋" w:cs="华文仿宋"/>
          <w:color w:val="000000"/>
          <w:sz w:val="24"/>
          <w:szCs w:val="24"/>
          <w:highlight w:val="none"/>
          <w:lang w:eastAsia="zh-CN"/>
        </w:rPr>
        <w:t xml:space="preserve">。</w:t>
      </w:r>
      <w:r/>
    </w:p>
    <w:p>
      <w:pPr>
        <w:ind w:left="67" w:right="0" w:firstLine="480"/>
        <w:jc w:val="left"/>
        <w:spacing w:before="0" w:after="0" w:line="600" w:lineRule="atLeast"/>
        <w:widowControl/>
        <w:rPr>
          <w:rFonts w:hint="eastAsia" w:ascii="华文仿宋" w:hAnsi="华文仿宋" w:eastAsia="华文仿宋" w:cs="华文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5.定点类等无金额或事先不能计算出价格总额的项目，按中标(成交)金额100万元计算。</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6.有分包(分标段)的按一个项目计算。</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 xml:space="preserve">7</w:t>
      </w:r>
      <w:r>
        <w:rPr>
          <w:rFonts w:hint="eastAsia" w:ascii="华文仿宋" w:hAnsi="华文仿宋" w:eastAsia="华文仿宋" w:cs="华文仿宋"/>
          <w:color w:val="000000"/>
          <w:sz w:val="24"/>
          <w:szCs w:val="24"/>
          <w:highlight w:val="none"/>
        </w:rPr>
        <w:t xml:space="preserve">.以上价格为协会指导价，双方可根据项目难易程度和优质优价原则协商确定。</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8.（一）本项目招标代理服务费由中标人支付，按照“江苏省政府采购协会关于印发《江苏省政府采购代理服务收费指导意见》的通知（苏政采协[2024)20号）”的</w:t>
      </w:r>
      <w:r>
        <w:rPr>
          <w:rFonts w:hint="eastAsia" w:ascii="华文仿宋" w:hAnsi="华文仿宋" w:eastAsia="华文仿宋" w:cs="华文仿宋"/>
          <w:color w:val="000000"/>
          <w:sz w:val="24"/>
          <w:szCs w:val="24"/>
          <w:highlight w:val="none"/>
          <w:lang w:val="en-US" w:eastAsia="zh-CN"/>
        </w:rPr>
        <w:t xml:space="preserve">8</w:t>
      </w:r>
      <w:r>
        <w:rPr>
          <w:rFonts w:hint="eastAsia" w:ascii="华文仿宋" w:hAnsi="华文仿宋" w:eastAsia="华文仿宋" w:cs="华文仿宋"/>
          <w:color w:val="000000"/>
          <w:sz w:val="24"/>
          <w:szCs w:val="24"/>
          <w:highlight w:val="none"/>
        </w:rPr>
        <w:t xml:space="preserve">0%收取。</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（二）关于进一步规范政府采购活动相关费用管理的通知（苏财规〔2026〕1号）</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评审活动相关费用：评审专家参加省内政府采购项目评审时应获得的专家评审费按以下规定进行管理。</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①集中采购机构实施的项目，由集中采购机构支付评审费；非集中采购机构实施的项目，由采购人支付评审费，不得由其他单位或个人代为支付，严禁将专家评审费转嫁给代理机构或中标、成交供应商。</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②远程异地评标项目专家评审费按评审专家属地规定的标准支付。</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③专家评审费应在项目评审完成后30个工作日内支付专家。因专家原因导致项目废标，则不需要向应当承担责任的专家支付费用。</w:t>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w:panose1 w:val="020B0502040204020203"/>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仿宋_GB2312">
    <w:panose1 w:val="02010609060101010101"/>
  </w:font>
  <w:font w:name="黑体">
    <w:panose1 w:val="02010609060101010101"/>
  </w:font>
  <w:font w:name="Calibri Light">
    <w:panose1 w:val="020F0302020204030204"/>
  </w:font>
  <w:font w:name="新宋体">
    <w:panose1 w:val="02010609030101010101"/>
  </w:font>
  <w:font w:name="Symbol">
    <w:panose1 w:val="05050102010706020507"/>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1"/>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1"/>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18"/>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10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104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Body Text"/>
    <w:basedOn w:val="706"/>
    <w:uiPriority w:val="0"/>
    <w:qFormat/>
    <w:pPr>
      <w:spacing w:line="360" w:lineRule="auto"/>
    </w:pPr>
    <w:rPr>
      <w:rFonts w:cs="Times New Roman"/>
      <w:sz w:val="24"/>
    </w:rPr>
  </w:style>
  <w:style w:type="paragraph" w:styleId="721">
    <w:name w:val="Body Text Indent"/>
    <w:basedOn w:val="706"/>
    <w:uiPriority w:val="99"/>
    <w:qFormat/>
    <w:pPr>
      <w:ind w:left="420"/>
      <w:spacing w:after="120"/>
    </w:pPr>
  </w:style>
  <w:style w:type="paragraph" w:styleId="722">
    <w:name w:val="Block Text"/>
    <w:basedOn w:val="706"/>
    <w:next w:val="706"/>
    <w:uiPriority w:val="99"/>
    <w:semiHidden/>
    <w:unhideWhenUsed/>
    <w:qFormat/>
    <w:pPr>
      <w:ind w:left="1440" w:right="1440"/>
      <w:spacing w:after="120"/>
    </w:pPr>
  </w:style>
  <w:style w:type="paragraph" w:styleId="723">
    <w:name w:val="toc 5"/>
    <w:basedOn w:val="706"/>
    <w:next w:val="706"/>
    <w:uiPriority w:val="39"/>
    <w:unhideWhenUsed/>
    <w:qFormat/>
    <w:pPr>
      <w:ind w:left="1134" w:right="0" w:firstLine="0"/>
      <w:spacing w:after="57"/>
    </w:pPr>
  </w:style>
  <w:style w:type="paragraph" w:styleId="724">
    <w:name w:val="toc 3"/>
    <w:basedOn w:val="706"/>
    <w:next w:val="706"/>
    <w:uiPriority w:val="39"/>
    <w:unhideWhenUsed/>
    <w:qFormat/>
    <w:pPr>
      <w:ind w:left="567" w:right="0" w:firstLine="0"/>
      <w:spacing w:after="57"/>
    </w:pPr>
  </w:style>
  <w:style w:type="paragraph" w:styleId="725">
    <w:name w:val="toc 8"/>
    <w:basedOn w:val="706"/>
    <w:next w:val="706"/>
    <w:uiPriority w:val="39"/>
    <w:unhideWhenUsed/>
    <w:qFormat/>
    <w:pPr>
      <w:ind w:left="1984" w:right="0" w:firstLine="0"/>
      <w:spacing w:after="57"/>
    </w:pPr>
  </w:style>
  <w:style w:type="paragraph" w:styleId="726">
    <w:name w:val="endnote text"/>
    <w:basedOn w:val="706"/>
    <w:uiPriority w:val="99"/>
    <w:semiHidden/>
    <w:unhideWhenUsed/>
    <w:qFormat/>
    <w:pPr>
      <w:spacing w:after="0" w:line="240" w:lineRule="auto"/>
    </w:pPr>
    <w:rPr>
      <w:sz w:val="20"/>
    </w:rPr>
  </w:style>
  <w:style w:type="paragraph" w:styleId="727">
    <w:name w:val="Footer"/>
    <w:basedOn w:val="706"/>
    <w:uiPriority w:val="99"/>
    <w:unhideWhenUsed/>
    <w:qFormat/>
    <w:pPr>
      <w:spacing w:after="0" w:line="240" w:lineRule="auto"/>
      <w:tabs>
        <w:tab w:val="center" w:pos="7143" w:leader="none"/>
        <w:tab w:val="right" w:pos="14287" w:leader="none"/>
      </w:tabs>
    </w:pPr>
  </w:style>
  <w:style w:type="paragraph" w:styleId="728">
    <w:name w:val="Header"/>
    <w:basedOn w:val="706"/>
    <w:uiPriority w:val="99"/>
    <w:unhideWhenUsed/>
    <w:qFormat/>
    <w:pPr>
      <w:spacing w:after="0" w:line="240" w:lineRule="auto"/>
      <w:tabs>
        <w:tab w:val="center" w:pos="7143" w:leader="none"/>
        <w:tab w:val="right" w:pos="14287" w:leader="none"/>
      </w:tabs>
    </w:pPr>
  </w:style>
  <w:style w:type="paragraph" w:styleId="729">
    <w:name w:val="toc 1"/>
    <w:basedOn w:val="706"/>
    <w:next w:val="706"/>
    <w:uiPriority w:val="39"/>
    <w:unhideWhenUsed/>
    <w:qFormat/>
    <w:pPr>
      <w:ind w:left="0" w:right="0" w:firstLine="0"/>
      <w:spacing w:after="57"/>
    </w:pPr>
  </w:style>
  <w:style w:type="paragraph" w:styleId="730">
    <w:name w:val="toc 4"/>
    <w:basedOn w:val="706"/>
    <w:next w:val="706"/>
    <w:uiPriority w:val="39"/>
    <w:unhideWhenUsed/>
    <w:qFormat/>
    <w:pPr>
      <w:ind w:left="850" w:right="0" w:firstLine="0"/>
      <w:spacing w:after="57"/>
    </w:pPr>
  </w:style>
  <w:style w:type="paragraph" w:styleId="731">
    <w:name w:val="Subtitle"/>
    <w:basedOn w:val="706"/>
    <w:next w:val="706"/>
    <w:uiPriority w:val="11"/>
    <w:qFormat/>
    <w:pPr>
      <w:spacing w:before="200" w:after="200"/>
    </w:pPr>
    <w:rPr>
      <w:sz w:val="24"/>
      <w:szCs w:val="24"/>
    </w:rPr>
  </w:style>
  <w:style w:type="paragraph" w:styleId="732">
    <w:name w:val="footnote text"/>
    <w:basedOn w:val="706"/>
    <w:uiPriority w:val="99"/>
    <w:semiHidden/>
    <w:unhideWhenUsed/>
    <w:qFormat/>
    <w:pPr>
      <w:spacing w:after="40" w:line="240" w:lineRule="auto"/>
    </w:pPr>
    <w:rPr>
      <w:sz w:val="18"/>
    </w:rPr>
  </w:style>
  <w:style w:type="paragraph" w:styleId="733">
    <w:name w:val="toc 6"/>
    <w:basedOn w:val="706"/>
    <w:next w:val="706"/>
    <w:uiPriority w:val="39"/>
    <w:unhideWhenUsed/>
    <w:qFormat/>
    <w:pPr>
      <w:ind w:left="1417" w:right="0" w:firstLine="0"/>
      <w:spacing w:after="57"/>
    </w:pPr>
  </w:style>
  <w:style w:type="paragraph" w:styleId="734">
    <w:name w:val="table of figures"/>
    <w:basedOn w:val="706"/>
    <w:next w:val="706"/>
    <w:uiPriority w:val="99"/>
    <w:unhideWhenUsed/>
    <w:qFormat/>
    <w:pPr>
      <w:spacing w:after="0" w:afterAutospacing="0"/>
    </w:pPr>
  </w:style>
  <w:style w:type="paragraph" w:styleId="735">
    <w:name w:val="toc 2"/>
    <w:basedOn w:val="706"/>
    <w:next w:val="706"/>
    <w:uiPriority w:val="39"/>
    <w:unhideWhenUsed/>
    <w:qFormat/>
    <w:pPr>
      <w:ind w:left="283" w:right="0" w:firstLine="0"/>
      <w:spacing w:after="57"/>
    </w:pPr>
  </w:style>
  <w:style w:type="paragraph" w:styleId="736">
    <w:name w:val="toc 9"/>
    <w:basedOn w:val="706"/>
    <w:next w:val="706"/>
    <w:uiPriority w:val="39"/>
    <w:unhideWhenUsed/>
    <w:qFormat/>
    <w:pPr>
      <w:ind w:left="2268" w:right="0" w:firstLine="0"/>
      <w:spacing w:after="57"/>
    </w:pPr>
  </w:style>
  <w:style w:type="paragraph" w:styleId="737">
    <w:name w:val="Normal (Web)"/>
    <w:basedOn w:val="706"/>
    <w:uiPriority w:val="99"/>
    <w:semiHidden/>
    <w:unhideWhenUsed/>
    <w:qFormat/>
    <w:pPr>
      <w:ind w:left="0" w:right="0"/>
      <w:jc w:val="left"/>
      <w:spacing w:before="0" w:beforeAutospacing="1" w:after="0" w:afterAutospacing="1"/>
    </w:pPr>
    <w:rPr>
      <w:sz w:val="24"/>
      <w:lang w:val="en-US" w:eastAsia="zh-CN" w:bidi="ar"/>
    </w:rPr>
  </w:style>
  <w:style w:type="paragraph" w:styleId="738">
    <w:name w:val="Title"/>
    <w:basedOn w:val="706"/>
    <w:next w:val="706"/>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6"/>
    <w:uiPriority w:val="22"/>
    <w:qFormat/>
    <w:rPr>
      <w:b/>
    </w:r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annotation reference"/>
    <w:uiPriority w:val="99"/>
    <w:semiHidden/>
    <w:unhideWhenUsed/>
    <w:qFormat/>
    <w:rPr>
      <w:sz w:val="16"/>
      <w:szCs w:val="16"/>
    </w:rPr>
  </w:style>
  <w:style w:type="character" w:styleId="744">
    <w:name w:val="footnote reference"/>
    <w:uiPriority w:val="99"/>
    <w:unhideWhenUsed/>
    <w:qFormat/>
    <w:rPr>
      <w:vertAlign w:val="superscript"/>
    </w:rPr>
  </w:style>
  <w:style w:type="paragraph" w:styleId="745" w:customStyle="1">
    <w:name w:val="标题 11"/>
    <w:basedOn w:val="706"/>
    <w:next w:val="706"/>
    <w:link w:val="761"/>
    <w:uiPriority w:val="0"/>
    <w:qFormat/>
    <w:pPr>
      <w:jc w:val="center"/>
      <w:keepLines/>
      <w:keepNext/>
      <w:spacing w:line="578" w:lineRule="auto"/>
      <w:outlineLvl w:val="0"/>
    </w:pPr>
    <w:rPr>
      <w:rFonts w:eastAsia="新宋体"/>
      <w:b/>
      <w:bCs/>
      <w:sz w:val="30"/>
      <w:szCs w:val="44"/>
    </w:rPr>
  </w:style>
  <w:style w:type="paragraph" w:styleId="746">
    <w:name w:val="List Paragraph"/>
    <w:basedOn w:val="706"/>
    <w:uiPriority w:val="34"/>
    <w:qFormat/>
    <w:pPr>
      <w:contextualSpacing/>
      <w:ind w:left="720"/>
    </w:p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paragraph" w:styleId="748">
    <w:name w:val="Quote"/>
    <w:basedOn w:val="706"/>
    <w:next w:val="706"/>
    <w:uiPriority w:val="29"/>
    <w:qFormat/>
    <w:pPr>
      <w:ind w:left="720" w:right="720"/>
    </w:pPr>
    <w:rPr>
      <w:i/>
    </w:rPr>
  </w:style>
  <w:style w:type="paragraph" w:styleId="749">
    <w:name w:val="Intense Quote"/>
    <w:basedOn w:val="706"/>
    <w:next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0" w:customStyle="1">
    <w:name w:val="标题 211"/>
    <w:basedOn w:val="706"/>
    <w:next w:val="706"/>
    <w:link w:val="762"/>
    <w:uiPriority w:val="9"/>
    <w:qFormat/>
    <w:pPr>
      <w:keepLines/>
      <w:keepNext/>
      <w:spacing w:before="260" w:after="260" w:line="416" w:lineRule="auto"/>
      <w:outlineLvl w:val="1"/>
    </w:pPr>
    <w:rPr>
      <w:rFonts w:ascii="Calibri Light" w:hAnsi="Calibri Light" w:eastAsia="黑体" w:cs="Times New Roman"/>
      <w:b/>
      <w:bCs/>
      <w:sz w:val="32"/>
      <w:szCs w:val="32"/>
    </w:rPr>
  </w:style>
  <w:style w:type="paragraph" w:styleId="751" w:customStyle="1">
    <w:name w:val="标题 31"/>
    <w:basedOn w:val="706"/>
    <w:next w:val="706"/>
    <w:link w:val="763"/>
    <w:uiPriority w:val="9"/>
    <w:qFormat/>
    <w:pPr>
      <w:keepLines/>
      <w:keepNext/>
      <w:spacing w:before="260" w:after="260" w:line="416" w:lineRule="auto"/>
      <w:outlineLvl w:val="2"/>
    </w:pPr>
    <w:rPr>
      <w:b/>
      <w:bCs/>
      <w:sz w:val="32"/>
      <w:szCs w:val="32"/>
    </w:rPr>
  </w:style>
  <w:style w:type="paragraph" w:styleId="752" w:customStyle="1">
    <w:name w:val="标题 41"/>
    <w:basedOn w:val="706"/>
    <w:next w:val="706"/>
    <w:link w:val="764"/>
    <w:uiPriority w:val="9"/>
    <w:qFormat/>
    <w:pPr>
      <w:keepLines/>
      <w:keepNext/>
      <w:spacing w:before="320" w:after="200"/>
      <w:outlineLvl w:val="3"/>
    </w:pPr>
    <w:rPr>
      <w:rFonts w:ascii="Arial" w:hAnsi="Arial" w:eastAsia="Arial" w:cs="Arial"/>
      <w:b/>
      <w:bCs/>
      <w:sz w:val="26"/>
      <w:szCs w:val="26"/>
    </w:rPr>
  </w:style>
  <w:style w:type="paragraph" w:styleId="753" w:customStyle="1">
    <w:name w:val="标题 51"/>
    <w:basedOn w:val="706"/>
    <w:next w:val="706"/>
    <w:link w:val="765"/>
    <w:uiPriority w:val="9"/>
    <w:qFormat/>
    <w:pPr>
      <w:keepLines/>
      <w:keepNext/>
      <w:spacing w:before="320" w:after="200"/>
      <w:outlineLvl w:val="4"/>
    </w:pPr>
    <w:rPr>
      <w:rFonts w:ascii="Arial" w:hAnsi="Arial" w:eastAsia="Arial" w:cs="Arial"/>
      <w:b/>
      <w:bCs/>
      <w:sz w:val="24"/>
    </w:rPr>
  </w:style>
  <w:style w:type="paragraph" w:styleId="754" w:customStyle="1">
    <w:name w:val="标题 61"/>
    <w:basedOn w:val="706"/>
    <w:next w:val="706"/>
    <w:link w:val="766"/>
    <w:uiPriority w:val="9"/>
    <w:qFormat/>
    <w:pPr>
      <w:keepLines/>
      <w:keepNext/>
      <w:spacing w:before="320" w:after="200"/>
      <w:outlineLvl w:val="5"/>
    </w:pPr>
    <w:rPr>
      <w:rFonts w:ascii="Arial" w:hAnsi="Arial" w:eastAsia="Arial" w:cs="Arial"/>
      <w:b/>
      <w:bCs/>
      <w:sz w:val="22"/>
      <w:szCs w:val="22"/>
    </w:rPr>
  </w:style>
  <w:style w:type="paragraph" w:styleId="755" w:customStyle="1">
    <w:name w:val="标题 71"/>
    <w:basedOn w:val="706"/>
    <w:next w:val="706"/>
    <w:link w:val="767"/>
    <w:uiPriority w:val="9"/>
    <w:qFormat/>
    <w:pPr>
      <w:keepLines/>
      <w:keepNext/>
      <w:spacing w:before="320" w:after="200"/>
      <w:outlineLvl w:val="6"/>
    </w:pPr>
    <w:rPr>
      <w:rFonts w:ascii="Arial" w:hAnsi="Arial" w:eastAsia="Arial" w:cs="Arial"/>
      <w:b/>
      <w:bCs/>
      <w:i/>
      <w:iCs/>
      <w:sz w:val="22"/>
      <w:szCs w:val="22"/>
    </w:rPr>
  </w:style>
  <w:style w:type="paragraph" w:styleId="756" w:customStyle="1">
    <w:name w:val="标题 81"/>
    <w:basedOn w:val="706"/>
    <w:next w:val="706"/>
    <w:link w:val="768"/>
    <w:uiPriority w:val="9"/>
    <w:qFormat/>
    <w:pPr>
      <w:keepLines/>
      <w:keepNext/>
      <w:spacing w:before="320" w:after="200"/>
      <w:outlineLvl w:val="7"/>
    </w:pPr>
    <w:rPr>
      <w:rFonts w:ascii="Arial" w:hAnsi="Arial" w:eastAsia="Arial" w:cs="Arial"/>
      <w:i/>
      <w:iCs/>
      <w:sz w:val="22"/>
      <w:szCs w:val="22"/>
    </w:rPr>
  </w:style>
  <w:style w:type="paragraph" w:styleId="757" w:customStyle="1">
    <w:name w:val="标题 91"/>
    <w:basedOn w:val="706"/>
    <w:next w:val="706"/>
    <w:link w:val="769"/>
    <w:uiPriority w:val="9"/>
    <w:qFormat/>
    <w:pPr>
      <w:keepLines/>
      <w:keepNext/>
      <w:spacing w:before="320" w:after="200"/>
      <w:outlineLvl w:val="8"/>
    </w:pPr>
    <w:rPr>
      <w:rFonts w:ascii="Arial" w:hAnsi="Arial" w:eastAsia="Arial" w:cs="Arial"/>
      <w:i/>
      <w:iCs/>
      <w:szCs w:val="21"/>
    </w:rPr>
  </w:style>
  <w:style w:type="character" w:styleId="758" w:customStyle="1">
    <w:name w:val="默认段落字体1"/>
    <w:link w:val="706"/>
    <w:uiPriority w:val="1"/>
    <w:unhideWhenUsed/>
    <w:qFormat/>
  </w:style>
  <w:style w:type="table" w:styleId="759" w:customStyle="1">
    <w:name w:val="普通表格1"/>
    <w:uiPriority w:val="99"/>
    <w:unhideWhenUsed/>
    <w:qFormat/>
    <w:tblPr/>
  </w:style>
  <w:style w:type="paragraph" w:styleId="760" w:customStyle="1">
    <w:name w:val="文本块1"/>
    <w:basedOn w:val="706"/>
    <w:uiPriority w:val="99"/>
    <w:unhideWhenUsed/>
    <w:qFormat/>
    <w:pPr>
      <w:ind w:left="1440" w:right="1440"/>
      <w:spacing w:after="120"/>
    </w:pPr>
  </w:style>
  <w:style w:type="character" w:styleId="761" w:customStyle="1">
    <w:name w:val="标题 1 字符"/>
    <w:link w:val="745"/>
    <w:uiPriority w:val="0"/>
    <w:qFormat/>
    <w:rPr>
      <w:rFonts w:ascii="Times New Roman" w:hAnsi="Times New Roman" w:eastAsia="新宋体" w:cs="Times New Roman"/>
      <w:b/>
      <w:bCs/>
      <w:sz w:val="30"/>
      <w:szCs w:val="44"/>
    </w:rPr>
  </w:style>
  <w:style w:type="character" w:styleId="762" w:customStyle="1">
    <w:name w:val="标题 2 字符"/>
    <w:link w:val="750"/>
    <w:uiPriority w:val="9"/>
    <w:qFormat/>
    <w:rPr>
      <w:rFonts w:ascii="Calibri Light" w:hAnsi="Calibri Light" w:eastAsia="黑体" w:cs="Times New Roman"/>
      <w:b/>
      <w:bCs/>
      <w:sz w:val="32"/>
      <w:szCs w:val="32"/>
    </w:rPr>
  </w:style>
  <w:style w:type="character" w:styleId="763" w:customStyle="1">
    <w:name w:val="标题 3 字符"/>
    <w:link w:val="751"/>
    <w:uiPriority w:val="9"/>
    <w:qFormat/>
    <w:rPr>
      <w:rFonts w:ascii="Times New Roman" w:hAnsi="Times New Roman" w:eastAsia="宋体" w:cs="Times New Roman"/>
      <w:b/>
      <w:bCs/>
      <w:sz w:val="32"/>
      <w:szCs w:val="32"/>
    </w:rPr>
  </w:style>
  <w:style w:type="character" w:styleId="764" w:customStyle="1">
    <w:name w:val="标题 4 字符"/>
    <w:link w:val="752"/>
    <w:uiPriority w:val="9"/>
    <w:qFormat/>
    <w:rPr>
      <w:rFonts w:ascii="Arial" w:hAnsi="Arial" w:eastAsia="Arial" w:cs="Arial"/>
      <w:b/>
      <w:bCs/>
      <w:sz w:val="26"/>
      <w:szCs w:val="26"/>
    </w:rPr>
  </w:style>
  <w:style w:type="character" w:styleId="765" w:customStyle="1">
    <w:name w:val="标题 5 字符"/>
    <w:link w:val="753"/>
    <w:uiPriority w:val="9"/>
    <w:qFormat/>
    <w:rPr>
      <w:rFonts w:ascii="Arial" w:hAnsi="Arial" w:eastAsia="Arial" w:cs="Arial"/>
      <w:b/>
      <w:bCs/>
      <w:sz w:val="24"/>
      <w:szCs w:val="24"/>
    </w:rPr>
  </w:style>
  <w:style w:type="character" w:styleId="766" w:customStyle="1">
    <w:name w:val="标题 6 字符"/>
    <w:link w:val="754"/>
    <w:uiPriority w:val="9"/>
    <w:qFormat/>
    <w:rPr>
      <w:rFonts w:ascii="Arial" w:hAnsi="Arial" w:eastAsia="Arial" w:cs="Arial"/>
      <w:b/>
      <w:bCs/>
      <w:sz w:val="22"/>
      <w:szCs w:val="22"/>
    </w:rPr>
  </w:style>
  <w:style w:type="character" w:styleId="767" w:customStyle="1">
    <w:name w:val="标题 7 字符"/>
    <w:link w:val="755"/>
    <w:uiPriority w:val="9"/>
    <w:qFormat/>
    <w:rPr>
      <w:rFonts w:ascii="Arial" w:hAnsi="Arial" w:eastAsia="Arial" w:cs="Arial"/>
      <w:b/>
      <w:bCs/>
      <w:i/>
      <w:iCs/>
      <w:sz w:val="22"/>
      <w:szCs w:val="22"/>
    </w:rPr>
  </w:style>
  <w:style w:type="character" w:styleId="768" w:customStyle="1">
    <w:name w:val="标题 8 字符"/>
    <w:link w:val="756"/>
    <w:uiPriority w:val="9"/>
    <w:qFormat/>
    <w:rPr>
      <w:rFonts w:ascii="Arial" w:hAnsi="Arial" w:eastAsia="Arial" w:cs="Arial"/>
      <w:i/>
      <w:iCs/>
      <w:sz w:val="22"/>
      <w:szCs w:val="22"/>
    </w:rPr>
  </w:style>
  <w:style w:type="character" w:styleId="769" w:customStyle="1">
    <w:name w:val="标题 9 字符"/>
    <w:link w:val="757"/>
    <w:uiPriority w:val="9"/>
    <w:qFormat/>
    <w:rPr>
      <w:rFonts w:ascii="Arial" w:hAnsi="Arial" w:eastAsia="Arial" w:cs="Arial"/>
      <w:i/>
      <w:iCs/>
      <w:sz w:val="21"/>
      <w:szCs w:val="21"/>
    </w:rPr>
  </w:style>
  <w:style w:type="paragraph" w:styleId="770" w:customStyle="1">
    <w:name w:val="目录 71"/>
    <w:basedOn w:val="706"/>
    <w:next w:val="706"/>
    <w:uiPriority w:val="39"/>
    <w:unhideWhenUsed/>
    <w:qFormat/>
    <w:pPr>
      <w:ind w:left="1701"/>
      <w:spacing w:after="57"/>
    </w:pPr>
  </w:style>
  <w:style w:type="paragraph" w:styleId="771" w:customStyle="1">
    <w:name w:val="正文缩进111"/>
    <w:basedOn w:val="706"/>
    <w:uiPriority w:val="0"/>
    <w:qFormat/>
    <w:pPr>
      <w:ind w:firstLine="420"/>
    </w:pPr>
  </w:style>
  <w:style w:type="paragraph" w:styleId="772" w:customStyle="1">
    <w:name w:val="题注1"/>
    <w:basedOn w:val="706"/>
    <w:next w:val="706"/>
    <w:uiPriority w:val="35"/>
    <w:qFormat/>
    <w:pPr>
      <w:spacing w:line="276" w:lineRule="auto"/>
    </w:pPr>
    <w:rPr>
      <w:b/>
      <w:bCs/>
      <w:color w:val="5b9bd5"/>
      <w:sz w:val="18"/>
      <w:szCs w:val="18"/>
    </w:rPr>
  </w:style>
  <w:style w:type="paragraph" w:styleId="773" w:customStyle="1">
    <w:name w:val="索引 511"/>
    <w:basedOn w:val="706"/>
    <w:next w:val="706"/>
    <w:uiPriority w:val="0"/>
    <w:qFormat/>
    <w:pPr>
      <w:ind w:left="798"/>
      <w:jc w:val="left"/>
    </w:pPr>
    <w:rPr>
      <w:rFonts w:ascii="Calibri" w:hAnsi="Calibri"/>
    </w:rPr>
  </w:style>
  <w:style w:type="paragraph" w:styleId="774" w:customStyle="1">
    <w:name w:val="批注文字1"/>
    <w:basedOn w:val="706"/>
    <w:link w:val="775"/>
    <w:uiPriority w:val="0"/>
    <w:unhideWhenUsed/>
    <w:qFormat/>
    <w:pPr>
      <w:jc w:val="left"/>
    </w:pPr>
  </w:style>
  <w:style w:type="character" w:styleId="775" w:customStyle="1">
    <w:name w:val="批注文字 字符"/>
    <w:link w:val="774"/>
    <w:uiPriority w:val="0"/>
    <w:semiHidden/>
    <w:qFormat/>
    <w:rPr>
      <w:rFonts w:ascii="Times New Roman" w:hAnsi="Times New Roman" w:eastAsia="宋体" w:cs="Times New Roman"/>
      <w:sz w:val="21"/>
      <w:szCs w:val="24"/>
    </w:rPr>
  </w:style>
  <w:style w:type="paragraph" w:styleId="776" w:customStyle="1">
    <w:name w:val="正文文本13"/>
    <w:basedOn w:val="706"/>
    <w:next w:val="777"/>
    <w:link w:val="797"/>
    <w:uiPriority w:val="99"/>
    <w:qFormat/>
    <w:pPr>
      <w:spacing w:after="120"/>
    </w:pPr>
    <w:rPr>
      <w:rFonts w:ascii="Calibri" w:hAnsi="Calibri"/>
    </w:rPr>
  </w:style>
  <w:style w:type="paragraph" w:styleId="777" w:customStyle="1">
    <w:name w:val="一级条标题"/>
    <w:basedOn w:val="778"/>
    <w:next w:val="7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8" w:customStyle="1">
    <w:name w:val="章标题"/>
    <w:basedOn w:val="779"/>
    <w:next w:val="70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9" w:customStyle="1">
    <w:name w:val="正文1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正文文本11"/>
    <w:basedOn w:val="781"/>
    <w:next w:val="777"/>
    <w:uiPriority w:val="0"/>
    <w:qFormat/>
    <w:pPr>
      <w:spacing w:after="120"/>
    </w:pPr>
  </w:style>
  <w:style w:type="paragraph" w:styleId="781" w:customStyle="1">
    <w:name w:val="正文12"/>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目录 111"/>
    <w:basedOn w:val="783"/>
    <w:next w:val="781"/>
    <w:uiPriority w:val="0"/>
    <w:qFormat/>
    <w:pPr>
      <w:jc w:val="left"/>
      <w:spacing w:after="100" w:line="259" w:lineRule="auto"/>
      <w:widowControl/>
    </w:pPr>
    <w:rPr>
      <w:rFonts w:ascii="Calibri" w:hAnsi="Calibri"/>
      <w:sz w:val="22"/>
      <w:szCs w:val="22"/>
    </w:rPr>
  </w:style>
  <w:style w:type="paragraph" w:styleId="783" w:customStyle="1">
    <w:name w:val="正文111"/>
    <w:next w:val="760"/>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784" w:customStyle="1">
    <w:name w:val="段"/>
    <w:basedOn w:val="785"/>
    <w:next w:val="706"/>
    <w:uiPriority w:val="0"/>
    <w:qFormat/>
    <w:pPr>
      <w:ind w:firstLine="200"/>
      <w:widowControl/>
    </w:pPr>
    <w:rPr>
      <w:sz w:val="20"/>
    </w:rPr>
  </w:style>
  <w:style w:type="paragraph" w:styleId="785" w:customStyle="1">
    <w:name w:val="正文13"/>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正文首行缩进1"/>
    <w:basedOn w:val="780"/>
    <w:next w:val="787"/>
    <w:uiPriority w:val="0"/>
    <w:qFormat/>
    <w:pPr>
      <w:ind w:firstLine="200"/>
    </w:pPr>
    <w:rPr>
      <w:rFonts w:ascii="仿宋_GB2312" w:eastAsia="仿宋_GB2312"/>
      <w:sz w:val="30"/>
      <w:szCs w:val="30"/>
    </w:rPr>
  </w:style>
  <w:style w:type="paragraph" w:styleId="787" w:customStyle="1">
    <w:name w:val="正文首行缩进 21"/>
    <w:basedOn w:val="788"/>
    <w:next w:val="783"/>
    <w:uiPriority w:val="0"/>
    <w:qFormat/>
    <w:pPr>
      <w:ind w:firstLine="420"/>
      <w:spacing w:line="360" w:lineRule="auto"/>
    </w:pPr>
    <w:rPr>
      <w:color w:val="000000"/>
      <w:sz w:val="20"/>
    </w:rPr>
  </w:style>
  <w:style w:type="paragraph" w:styleId="788" w:customStyle="1">
    <w:name w:val="正文文本缩进1"/>
    <w:basedOn w:val="789"/>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789" w:customStyle="1">
    <w:name w:val="正文11"/>
    <w:next w:val="790"/>
    <w:link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目录 11"/>
    <w:basedOn w:val="781"/>
    <w:next w:val="706"/>
    <w:uiPriority w:val="0"/>
    <w:qFormat/>
    <w:pPr>
      <w:jc w:val="left"/>
      <w:spacing w:before="120" w:after="120"/>
      <w:widowControl/>
    </w:pPr>
    <w:rPr>
      <w:rFonts w:ascii="Calibri" w:hAnsi="Calibri" w:cs="Calibri"/>
      <w:b/>
      <w:bCs/>
      <w:caps/>
      <w:sz w:val="20"/>
      <w:szCs w:val="20"/>
    </w:rPr>
  </w:style>
  <w:style w:type="paragraph" w:styleId="791" w:customStyle="1">
    <w:name w:val="正文1"/>
    <w:basedOn w:val="789"/>
    <w:next w:val="792"/>
    <w:uiPriority w:val="0"/>
    <w:qFormat/>
    <w:pPr>
      <w:jc w:val="left"/>
      <w:spacing w:line="360" w:lineRule="atLeast"/>
    </w:pPr>
    <w:rPr>
      <w:rFonts w:ascii="宋体" w:hAnsi="Calibri" w:eastAsia="宋体" w:cs="Times New Roman"/>
      <w:sz w:val="24"/>
      <w:szCs w:val="20"/>
    </w:rPr>
  </w:style>
  <w:style w:type="paragraph" w:styleId="792" w:customStyle="1">
    <w:name w:val="脚注文本1"/>
    <w:basedOn w:val="783"/>
    <w:next w:val="793"/>
    <w:uiPriority w:val="0"/>
    <w:qFormat/>
    <w:rPr>
      <w:rFonts w:eastAsia="Times New Roman"/>
      <w:sz w:val="18"/>
      <w:szCs w:val="18"/>
    </w:rPr>
  </w:style>
  <w:style w:type="paragraph" w:styleId="793" w:customStyle="1">
    <w:name w:val="索引 51"/>
    <w:basedOn w:val="791"/>
    <w:next w:val="791"/>
    <w:uiPriority w:val="0"/>
    <w:qFormat/>
    <w:pPr>
      <w:ind w:left="798"/>
    </w:pPr>
    <w:rPr>
      <w:rFonts w:ascii="Calibri" w:hAnsi="Calibri"/>
    </w:rPr>
  </w:style>
  <w:style w:type="paragraph" w:styleId="794" w:customStyle="1">
    <w:name w:val="正文文本12"/>
    <w:basedOn w:val="706"/>
    <w:next w:val="706"/>
    <w:uiPriority w:val="99"/>
    <w:qFormat/>
    <w:pPr>
      <w:spacing w:after="120"/>
    </w:pPr>
    <w:rPr>
      <w:rFonts w:ascii="Calibri" w:hAnsi="Calibri"/>
    </w:rPr>
  </w:style>
  <w:style w:type="paragraph" w:styleId="795" w:customStyle="1">
    <w:name w:val="正文首行缩进 211"/>
    <w:basedOn w:val="796"/>
    <w:next w:val="779"/>
    <w:uiPriority w:val="99"/>
    <w:qFormat/>
    <w:pPr>
      <w:ind w:left="0" w:firstLine="420"/>
      <w:spacing w:after="0" w:line="360" w:lineRule="auto"/>
    </w:pPr>
    <w:rPr>
      <w:rFonts w:ascii="宋体" w:hAnsi="宋体"/>
    </w:rPr>
  </w:style>
  <w:style w:type="paragraph" w:styleId="796" w:customStyle="1">
    <w:name w:val="正文文本缩进11"/>
    <w:basedOn w:val="779"/>
    <w:next w:val="779"/>
    <w:uiPriority w:val="0"/>
    <w:qFormat/>
    <w:pPr>
      <w:ind w:left="420"/>
      <w:spacing w:after="120"/>
    </w:pPr>
    <w:rPr>
      <w:rFonts w:ascii="Calibri" w:hAnsi="Calibri" w:eastAsia="等线" w:cs="Times New Roman"/>
    </w:rPr>
  </w:style>
  <w:style w:type="character" w:styleId="797" w:customStyle="1">
    <w:name w:val="正文文本 字符"/>
    <w:link w:val="776"/>
    <w:uiPriority w:val="99"/>
    <w:qFormat/>
    <w:rPr>
      <w:rFonts w:ascii="Calibri" w:hAnsi="Calibri" w:eastAsia="宋体" w:cs="Times New Roman"/>
      <w:sz w:val="21"/>
      <w:szCs w:val="24"/>
    </w:rPr>
  </w:style>
  <w:style w:type="character" w:styleId="798" w:customStyle="1">
    <w:name w:val="NormalCharacter1"/>
    <w:link w:val="789"/>
    <w:uiPriority w:val="0"/>
    <w:semiHidden/>
    <w:qFormat/>
    <w:rPr>
      <w:rFonts w:ascii="Times New Roman" w:hAnsi="Times New Roman" w:eastAsia="宋体" w:cs="Times New Roman"/>
      <w:sz w:val="21"/>
      <w:szCs w:val="24"/>
      <w:lang w:val="en-US" w:eastAsia="zh-CN" w:bidi="ar-SA"/>
    </w:rPr>
  </w:style>
  <w:style w:type="paragraph" w:styleId="799" w:customStyle="1">
    <w:name w:val="正文文本缩进12"/>
    <w:basedOn w:val="706"/>
    <w:uiPriority w:val="0"/>
    <w:qFormat/>
    <w:pPr>
      <w:ind w:left="420"/>
      <w:spacing w:after="120"/>
    </w:pPr>
    <w:rPr>
      <w:rFonts w:ascii="Calibri" w:hAnsi="Calibri"/>
    </w:rPr>
  </w:style>
  <w:style w:type="paragraph" w:styleId="800" w:customStyle="1">
    <w:name w:val="索引 41"/>
    <w:basedOn w:val="706"/>
    <w:next w:val="706"/>
    <w:uiPriority w:val="99"/>
    <w:qFormat/>
    <w:pPr>
      <w:ind w:left="600"/>
    </w:pPr>
    <w:rPr>
      <w:rFonts w:ascii="Calibri" w:hAnsi="Calibri"/>
    </w:rPr>
  </w:style>
  <w:style w:type="paragraph" w:styleId="801" w:customStyle="1">
    <w:name w:val="目录 51"/>
    <w:basedOn w:val="706"/>
    <w:next w:val="706"/>
    <w:uiPriority w:val="39"/>
    <w:unhideWhenUsed/>
    <w:qFormat/>
    <w:pPr>
      <w:ind w:left="1134"/>
      <w:spacing w:after="57"/>
    </w:pPr>
  </w:style>
  <w:style w:type="paragraph" w:styleId="802" w:customStyle="1">
    <w:name w:val="目录 31"/>
    <w:basedOn w:val="706"/>
    <w:next w:val="706"/>
    <w:uiPriority w:val="39"/>
    <w:unhideWhenUsed/>
    <w:qFormat/>
    <w:pPr>
      <w:ind w:left="567"/>
      <w:spacing w:after="57"/>
    </w:pPr>
  </w:style>
  <w:style w:type="paragraph" w:styleId="803" w:customStyle="1">
    <w:name w:val="纯文本12"/>
    <w:basedOn w:val="706"/>
    <w:link w:val="804"/>
    <w:uiPriority w:val="0"/>
    <w:qFormat/>
    <w:rPr>
      <w:rFonts w:ascii="宋体" w:hAnsi="Courier New"/>
      <w:sz w:val="20"/>
      <w:szCs w:val="20"/>
    </w:rPr>
  </w:style>
  <w:style w:type="character" w:styleId="804" w:customStyle="1">
    <w:name w:val="纯文本 字符"/>
    <w:link w:val="803"/>
    <w:uiPriority w:val="0"/>
    <w:qFormat/>
    <w:rPr>
      <w:rFonts w:ascii="宋体" w:hAnsi="Courier New"/>
      <w:sz w:val="20"/>
      <w:szCs w:val="20"/>
    </w:rPr>
  </w:style>
  <w:style w:type="paragraph" w:styleId="805" w:customStyle="1">
    <w:name w:val="目录 81"/>
    <w:basedOn w:val="706"/>
    <w:next w:val="706"/>
    <w:uiPriority w:val="39"/>
    <w:unhideWhenUsed/>
    <w:qFormat/>
    <w:pPr>
      <w:ind w:left="1984"/>
      <w:spacing w:after="57"/>
    </w:pPr>
  </w:style>
  <w:style w:type="paragraph" w:styleId="806" w:customStyle="1">
    <w:name w:val="日期1"/>
    <w:basedOn w:val="706"/>
    <w:next w:val="706"/>
    <w:uiPriority w:val="0"/>
    <w:qFormat/>
    <w:rPr>
      <w:rFonts w:eastAsia="仿宋_GB2312"/>
      <w:sz w:val="28"/>
      <w:szCs w:val="20"/>
    </w:rPr>
  </w:style>
  <w:style w:type="paragraph" w:styleId="807" w:customStyle="1">
    <w:name w:val="尾注文本1"/>
    <w:basedOn w:val="706"/>
    <w:link w:val="808"/>
    <w:uiPriority w:val="99"/>
    <w:unhideWhenUsed/>
    <w:qFormat/>
    <w:rPr>
      <w:sz w:val="20"/>
    </w:rPr>
  </w:style>
  <w:style w:type="character" w:styleId="808" w:customStyle="1">
    <w:name w:val="尾注文本 字符"/>
    <w:link w:val="807"/>
    <w:uiPriority w:val="99"/>
    <w:qFormat/>
    <w:rPr>
      <w:sz w:val="20"/>
    </w:rPr>
  </w:style>
  <w:style w:type="paragraph" w:styleId="809" w:customStyle="1">
    <w:name w:val="批注框文本1"/>
    <w:basedOn w:val="706"/>
    <w:link w:val="810"/>
    <w:uiPriority w:val="0"/>
    <w:qFormat/>
    <w:rPr>
      <w:sz w:val="18"/>
      <w:szCs w:val="18"/>
    </w:rPr>
  </w:style>
  <w:style w:type="character" w:styleId="810" w:customStyle="1">
    <w:name w:val="批注框文本 字符"/>
    <w:link w:val="809"/>
    <w:uiPriority w:val="0"/>
    <w:qFormat/>
    <w:rPr>
      <w:rFonts w:ascii="Times New Roman" w:hAnsi="Times New Roman" w:eastAsia="宋体" w:cs="Times New Roman"/>
      <w:sz w:val="18"/>
      <w:szCs w:val="18"/>
    </w:rPr>
  </w:style>
  <w:style w:type="paragraph" w:styleId="811" w:customStyle="1">
    <w:name w:val="页脚11"/>
    <w:basedOn w:val="706"/>
    <w:link w:val="812"/>
    <w:uiPriority w:val="99"/>
    <w:qFormat/>
    <w:pPr>
      <w:jc w:val="left"/>
      <w:tabs>
        <w:tab w:val="center" w:pos="4153" w:leader="none"/>
        <w:tab w:val="right" w:pos="8306" w:leader="none"/>
      </w:tabs>
    </w:pPr>
    <w:rPr>
      <w:sz w:val="18"/>
      <w:szCs w:val="18"/>
    </w:rPr>
  </w:style>
  <w:style w:type="character" w:styleId="812" w:customStyle="1">
    <w:name w:val="页脚 字符"/>
    <w:link w:val="811"/>
    <w:uiPriority w:val="99"/>
    <w:qFormat/>
    <w:rPr>
      <w:rFonts w:ascii="Times New Roman" w:hAnsi="Times New Roman" w:eastAsia="宋体" w:cs="Times New Roman"/>
      <w:sz w:val="18"/>
      <w:szCs w:val="18"/>
    </w:rPr>
  </w:style>
  <w:style w:type="paragraph" w:styleId="813" w:customStyle="1">
    <w:name w:val="页眉1"/>
    <w:basedOn w:val="706"/>
    <w:link w:val="814"/>
    <w:uiPriority w:val="99"/>
    <w:qFormat/>
    <w:pPr>
      <w:jc w:val="center"/>
      <w:tabs>
        <w:tab w:val="center" w:pos="4153" w:leader="none"/>
        <w:tab w:val="right" w:pos="8306" w:leader="none"/>
      </w:tabs>
      <w:pBdr>
        <w:bottom w:val="single" w:color="000000" w:sz="6" w:space="1"/>
      </w:pBdr>
    </w:pPr>
    <w:rPr>
      <w:sz w:val="18"/>
      <w:szCs w:val="18"/>
    </w:rPr>
  </w:style>
  <w:style w:type="character" w:styleId="814" w:customStyle="1">
    <w:name w:val="页眉 字符"/>
    <w:link w:val="813"/>
    <w:uiPriority w:val="99"/>
    <w:qFormat/>
    <w:rPr>
      <w:rFonts w:ascii="Times New Roman" w:hAnsi="Times New Roman" w:eastAsia="宋体" w:cs="Times New Roman"/>
      <w:sz w:val="18"/>
      <w:szCs w:val="18"/>
    </w:rPr>
  </w:style>
  <w:style w:type="paragraph" w:styleId="815" w:customStyle="1">
    <w:name w:val="目录 12"/>
    <w:basedOn w:val="706"/>
    <w:next w:val="706"/>
    <w:uiPriority w:val="39"/>
    <w:qFormat/>
  </w:style>
  <w:style w:type="paragraph" w:styleId="816" w:customStyle="1">
    <w:name w:val="目录 41"/>
    <w:basedOn w:val="706"/>
    <w:next w:val="706"/>
    <w:uiPriority w:val="39"/>
    <w:unhideWhenUsed/>
    <w:qFormat/>
    <w:pPr>
      <w:ind w:left="850"/>
      <w:spacing w:after="57"/>
    </w:pPr>
  </w:style>
  <w:style w:type="paragraph" w:styleId="817" w:customStyle="1">
    <w:name w:val="副标题1"/>
    <w:basedOn w:val="706"/>
    <w:next w:val="706"/>
    <w:link w:val="818"/>
    <w:uiPriority w:val="11"/>
    <w:qFormat/>
    <w:pPr>
      <w:spacing w:before="200" w:after="200"/>
    </w:pPr>
    <w:rPr>
      <w:sz w:val="24"/>
    </w:rPr>
  </w:style>
  <w:style w:type="character" w:styleId="818" w:customStyle="1">
    <w:name w:val="副标题 字符"/>
    <w:link w:val="817"/>
    <w:uiPriority w:val="11"/>
    <w:qFormat/>
    <w:rPr>
      <w:sz w:val="24"/>
      <w:szCs w:val="24"/>
    </w:rPr>
  </w:style>
  <w:style w:type="paragraph" w:styleId="819" w:customStyle="1">
    <w:name w:val="脚注文本2"/>
    <w:basedOn w:val="706"/>
    <w:next w:val="773"/>
    <w:uiPriority w:val="0"/>
    <w:qFormat/>
    <w:pPr>
      <w:jc w:val="left"/>
    </w:pPr>
    <w:rPr>
      <w:rFonts w:ascii="宋体" w:eastAsia="Times New Roman"/>
      <w:sz w:val="18"/>
      <w:szCs w:val="18"/>
    </w:rPr>
  </w:style>
  <w:style w:type="paragraph" w:styleId="820" w:customStyle="1">
    <w:name w:val="目录 61"/>
    <w:basedOn w:val="706"/>
    <w:next w:val="706"/>
    <w:uiPriority w:val="39"/>
    <w:unhideWhenUsed/>
    <w:qFormat/>
    <w:pPr>
      <w:ind w:left="1417"/>
      <w:spacing w:after="57"/>
    </w:pPr>
  </w:style>
  <w:style w:type="paragraph" w:styleId="821" w:customStyle="1">
    <w:name w:val="图表目录1"/>
    <w:basedOn w:val="706"/>
    <w:next w:val="706"/>
    <w:uiPriority w:val="99"/>
    <w:unhideWhenUsed/>
    <w:qFormat/>
  </w:style>
  <w:style w:type="paragraph" w:styleId="822" w:customStyle="1">
    <w:name w:val="目录 21"/>
    <w:basedOn w:val="706"/>
    <w:next w:val="706"/>
    <w:uiPriority w:val="39"/>
    <w:unhideWhenUsed/>
    <w:qFormat/>
    <w:pPr>
      <w:ind w:left="283"/>
      <w:spacing w:after="57"/>
    </w:pPr>
  </w:style>
  <w:style w:type="paragraph" w:styleId="823" w:customStyle="1">
    <w:name w:val="目录 91"/>
    <w:basedOn w:val="706"/>
    <w:next w:val="706"/>
    <w:uiPriority w:val="39"/>
    <w:unhideWhenUsed/>
    <w:qFormat/>
    <w:pPr>
      <w:ind w:left="2268"/>
      <w:spacing w:after="57"/>
    </w:pPr>
  </w:style>
  <w:style w:type="paragraph" w:styleId="824" w:customStyle="1">
    <w:name w:val="普通(网站)11"/>
    <w:basedOn w:val="706"/>
    <w:next w:val="706"/>
    <w:uiPriority w:val="0"/>
    <w:qFormat/>
    <w:pPr>
      <w:jc w:val="left"/>
      <w:spacing w:before="100" w:beforeAutospacing="1" w:after="100" w:afterAutospacing="1"/>
      <w:widowControl/>
    </w:pPr>
    <w:rPr>
      <w:rFonts w:ascii="宋体" w:hAnsi="宋体" w:cs="宋体"/>
      <w:sz w:val="24"/>
    </w:rPr>
  </w:style>
  <w:style w:type="paragraph" w:styleId="825" w:customStyle="1">
    <w:name w:val="标题1"/>
    <w:basedOn w:val="706"/>
    <w:next w:val="706"/>
    <w:link w:val="826"/>
    <w:uiPriority w:val="10"/>
    <w:qFormat/>
    <w:pPr>
      <w:contextualSpacing/>
      <w:spacing w:before="300" w:after="200"/>
    </w:pPr>
    <w:rPr>
      <w:sz w:val="48"/>
      <w:szCs w:val="48"/>
    </w:rPr>
  </w:style>
  <w:style w:type="character" w:styleId="826" w:customStyle="1">
    <w:name w:val="标题 字符"/>
    <w:link w:val="825"/>
    <w:uiPriority w:val="10"/>
    <w:qFormat/>
    <w:rPr>
      <w:sz w:val="48"/>
      <w:szCs w:val="48"/>
    </w:rPr>
  </w:style>
  <w:style w:type="paragraph" w:styleId="827" w:customStyle="1">
    <w:name w:val="批注主题1"/>
    <w:basedOn w:val="774"/>
    <w:next w:val="774"/>
    <w:link w:val="828"/>
    <w:uiPriority w:val="0"/>
    <w:unhideWhenUsed/>
    <w:qFormat/>
    <w:rPr>
      <w:b/>
      <w:bCs/>
    </w:rPr>
  </w:style>
  <w:style w:type="character" w:styleId="828" w:customStyle="1">
    <w:name w:val="批注主题 字符"/>
    <w:link w:val="827"/>
    <w:uiPriority w:val="0"/>
    <w:semiHidden/>
    <w:qFormat/>
    <w:rPr>
      <w:rFonts w:ascii="Times New Roman" w:hAnsi="Times New Roman" w:eastAsia="宋体" w:cs="Times New Roman"/>
      <w:b/>
      <w:bCs/>
      <w:sz w:val="21"/>
      <w:szCs w:val="24"/>
    </w:rPr>
  </w:style>
  <w:style w:type="paragraph" w:styleId="829" w:customStyle="1">
    <w:name w:val="正文首行缩进2"/>
    <w:basedOn w:val="776"/>
    <w:next w:val="787"/>
    <w:uiPriority w:val="0"/>
    <w:qFormat/>
    <w:pPr>
      <w:ind w:firstLine="420"/>
    </w:pPr>
  </w:style>
  <w:style w:type="table" w:styleId="830" w:customStyle="1">
    <w:name w:val="网格型1"/>
    <w:basedOn w:val="759"/>
    <w:uiPriority w:val="39"/>
    <w:qFormat/>
    <w:tblPr/>
  </w:style>
  <w:style w:type="character" w:styleId="831" w:customStyle="1">
    <w:name w:val="要点1"/>
    <w:link w:val="706"/>
    <w:uiPriority w:val="22"/>
    <w:qFormat/>
    <w:rPr>
      <w:b/>
      <w:vanish/>
    </w:rPr>
  </w:style>
  <w:style w:type="character" w:styleId="832" w:customStyle="1">
    <w:name w:val="尾注引用1"/>
    <w:link w:val="706"/>
    <w:uiPriority w:val="99"/>
    <w:unhideWhenUsed/>
    <w:qFormat/>
    <w:rPr>
      <w:vertAlign w:val="superscript"/>
    </w:rPr>
  </w:style>
  <w:style w:type="character" w:styleId="833" w:customStyle="1">
    <w:name w:val="页码1"/>
    <w:link w:val="706"/>
    <w:uiPriority w:val="0"/>
    <w:qFormat/>
  </w:style>
  <w:style w:type="character" w:styleId="834" w:customStyle="1">
    <w:name w:val="已访问的超链接1"/>
    <w:link w:val="706"/>
    <w:uiPriority w:val="99"/>
    <w:unhideWhenUsed/>
    <w:qFormat/>
    <w:rPr>
      <w:color w:val="800080"/>
      <w:u w:val="none"/>
    </w:rPr>
  </w:style>
  <w:style w:type="character" w:styleId="835" w:customStyle="1">
    <w:name w:val="强调1"/>
    <w:link w:val="706"/>
    <w:uiPriority w:val="20"/>
    <w:qFormat/>
    <w:rPr>
      <w:b/>
    </w:rPr>
  </w:style>
  <w:style w:type="character" w:styleId="836" w:customStyle="1">
    <w:name w:val="HTML 定义1"/>
    <w:link w:val="706"/>
    <w:uiPriority w:val="99"/>
    <w:unhideWhenUsed/>
    <w:qFormat/>
  </w:style>
  <w:style w:type="character" w:styleId="837" w:customStyle="1">
    <w:name w:val="HTML 打字机1"/>
    <w:link w:val="706"/>
    <w:uiPriority w:val="99"/>
    <w:unhideWhenUsed/>
    <w:qFormat/>
    <w:rPr>
      <w:rFonts w:ascii="monospace" w:hAnsi="monospace" w:eastAsia="monospace" w:cs="monospace"/>
      <w:sz w:val="20"/>
    </w:rPr>
  </w:style>
  <w:style w:type="character" w:styleId="838" w:customStyle="1">
    <w:name w:val="HTML 缩写1"/>
    <w:link w:val="706"/>
    <w:uiPriority w:val="99"/>
    <w:unhideWhenUsed/>
    <w:qFormat/>
  </w:style>
  <w:style w:type="character" w:styleId="839" w:customStyle="1">
    <w:name w:val="HTML 变量1"/>
    <w:link w:val="706"/>
    <w:uiPriority w:val="99"/>
    <w:unhideWhenUsed/>
    <w:qFormat/>
  </w:style>
  <w:style w:type="character" w:styleId="840" w:customStyle="1">
    <w:name w:val="超链接1"/>
    <w:link w:val="706"/>
    <w:uiPriority w:val="99"/>
    <w:unhideWhenUsed/>
    <w:qFormat/>
    <w:rPr>
      <w:color w:val="0000ff"/>
      <w:u w:val="none"/>
    </w:rPr>
  </w:style>
  <w:style w:type="character" w:styleId="841" w:customStyle="1">
    <w:name w:val="HTML 代码1"/>
    <w:link w:val="706"/>
    <w:uiPriority w:val="99"/>
    <w:unhideWhenUsed/>
    <w:qFormat/>
    <w:rPr>
      <w:rFonts w:ascii="monospace" w:hAnsi="monospace" w:eastAsia="monospace" w:cs="monospace"/>
      <w:sz w:val="20"/>
    </w:rPr>
  </w:style>
  <w:style w:type="character" w:styleId="842" w:customStyle="1">
    <w:name w:val="批注引用1"/>
    <w:link w:val="706"/>
    <w:uiPriority w:val="0"/>
    <w:unhideWhenUsed/>
    <w:qFormat/>
    <w:rPr>
      <w:sz w:val="21"/>
      <w:szCs w:val="21"/>
    </w:rPr>
  </w:style>
  <w:style w:type="character" w:styleId="843" w:customStyle="1">
    <w:name w:val="HTML 引文1"/>
    <w:link w:val="706"/>
    <w:uiPriority w:val="99"/>
    <w:unhideWhenUsed/>
    <w:qFormat/>
  </w:style>
  <w:style w:type="character" w:styleId="844" w:customStyle="1">
    <w:name w:val="脚注引用1"/>
    <w:link w:val="706"/>
    <w:uiPriority w:val="99"/>
    <w:unhideWhenUsed/>
    <w:qFormat/>
    <w:rPr>
      <w:vertAlign w:val="superscript"/>
    </w:rPr>
  </w:style>
  <w:style w:type="character" w:styleId="845" w:customStyle="1">
    <w:name w:val="HTML 键盘1"/>
    <w:link w:val="706"/>
    <w:uiPriority w:val="99"/>
    <w:unhideWhenUsed/>
    <w:qFormat/>
    <w:rPr>
      <w:rFonts w:ascii="monospace" w:hAnsi="monospace" w:eastAsia="monospace" w:cs="monospace"/>
      <w:sz w:val="20"/>
    </w:rPr>
  </w:style>
  <w:style w:type="character" w:styleId="846" w:customStyle="1">
    <w:name w:val="HTML 样本1"/>
    <w:link w:val="706"/>
    <w:uiPriority w:val="99"/>
    <w:unhideWhenUsed/>
    <w:qFormat/>
    <w:rPr>
      <w:rFonts w:ascii="monospace" w:hAnsi="monospace" w:eastAsia="monospace" w:cs="monospace"/>
    </w:rPr>
  </w:style>
  <w:style w:type="paragraph" w:styleId="847" w:customStyle="1">
    <w:name w:val="正文文本1"/>
    <w:basedOn w:val="791"/>
    <w:next w:val="791"/>
    <w:uiPriority w:val="0"/>
    <w:qFormat/>
    <w:pPr>
      <w:spacing w:after="120"/>
    </w:pPr>
    <w:rPr>
      <w:lang w:eastAsia="en-US"/>
    </w:rPr>
  </w:style>
  <w:style w:type="paragraph" w:styleId="848" w:customStyle="1">
    <w:name w:val="列表段落1"/>
    <w:basedOn w:val="791"/>
    <w:next w:val="706"/>
    <w:uiPriority w:val="99"/>
    <w:qFormat/>
    <w:pPr>
      <w:ind w:firstLine="420"/>
    </w:pPr>
  </w:style>
  <w:style w:type="paragraph" w:styleId="849" w:customStyle="1">
    <w:name w:val="标题 21"/>
    <w:basedOn w:val="783"/>
    <w:next w:val="781"/>
    <w:uiPriority w:val="0"/>
    <w:qFormat/>
    <w:pPr>
      <w:jc w:val="left"/>
      <w:keepLines/>
      <w:keepNext/>
      <w:spacing w:before="50"/>
      <w:tabs>
        <w:tab w:val="left" w:pos="0" w:leader="none"/>
      </w:tabs>
    </w:pPr>
    <w:rPr>
      <w:rFonts w:ascii="Arial" w:hAnsi="Arial" w:eastAsia="黑体"/>
      <w:sz w:val="32"/>
      <w:szCs w:val="20"/>
    </w:rPr>
  </w:style>
  <w:style w:type="paragraph" w:styleId="850" w:customStyle="1">
    <w:name w:val="文本块11"/>
    <w:basedOn w:val="781"/>
    <w:uiPriority w:val="6"/>
    <w:unhideWhenUsed/>
    <w:qFormat/>
    <w:pPr>
      <w:ind w:left="1440" w:right="1440"/>
      <w:spacing w:after="120"/>
    </w:pPr>
  </w:style>
  <w:style w:type="character" w:styleId="851" w:customStyle="1">
    <w:name w:val="wyg1"/>
    <w:link w:val="706"/>
    <w:uiPriority w:val="6"/>
    <w:qFormat/>
    <w:rPr>
      <w:rFonts w:ascii="Times New Roman" w:hAnsi="Times New Roman" w:eastAsia="宋体" w:cs="Times New Roman"/>
      <w:sz w:val="21"/>
      <w:szCs w:val="24"/>
      <w:lang w:val="en-US" w:eastAsia="zh-CN" w:bidi="ar-SA"/>
    </w:rPr>
  </w:style>
  <w:style w:type="paragraph" w:styleId="852" w:customStyle="1">
    <w:name w:val="正文缩进1"/>
    <w:basedOn w:val="706"/>
    <w:uiPriority w:val="0"/>
    <w:qFormat/>
    <w:pPr>
      <w:ind w:firstLine="420"/>
    </w:pPr>
  </w:style>
  <w:style w:type="character" w:styleId="853" w:customStyle="1">
    <w:name w:val="Heading 4 Char"/>
    <w:link w:val="706"/>
    <w:uiPriority w:val="9"/>
    <w:qFormat/>
    <w:rPr>
      <w:rFonts w:ascii="Arial" w:hAnsi="Arial" w:eastAsia="Arial" w:cs="Arial"/>
      <w:b/>
      <w:bCs/>
      <w:sz w:val="26"/>
      <w:szCs w:val="26"/>
    </w:rPr>
  </w:style>
  <w:style w:type="character" w:styleId="854" w:customStyle="1">
    <w:name w:val="Heading 5 Char"/>
    <w:link w:val="706"/>
    <w:uiPriority w:val="9"/>
    <w:qFormat/>
    <w:rPr>
      <w:rFonts w:ascii="Arial" w:hAnsi="Arial" w:eastAsia="Arial" w:cs="Arial"/>
      <w:b/>
      <w:bCs/>
      <w:sz w:val="24"/>
      <w:szCs w:val="24"/>
    </w:rPr>
  </w:style>
  <w:style w:type="character" w:styleId="855" w:customStyle="1">
    <w:name w:val="Heading 6 Char"/>
    <w:link w:val="706"/>
    <w:uiPriority w:val="9"/>
    <w:qFormat/>
    <w:rPr>
      <w:rFonts w:ascii="Arial" w:hAnsi="Arial" w:eastAsia="Arial" w:cs="Arial"/>
      <w:b/>
      <w:bCs/>
      <w:sz w:val="22"/>
      <w:szCs w:val="22"/>
    </w:rPr>
  </w:style>
  <w:style w:type="character" w:styleId="856" w:customStyle="1">
    <w:name w:val="Heading 7 Char"/>
    <w:link w:val="706"/>
    <w:uiPriority w:val="9"/>
    <w:qFormat/>
    <w:rPr>
      <w:rFonts w:ascii="Arial" w:hAnsi="Arial" w:eastAsia="Arial" w:cs="Arial"/>
      <w:b/>
      <w:bCs/>
      <w:i/>
      <w:iCs/>
      <w:sz w:val="22"/>
      <w:szCs w:val="22"/>
    </w:rPr>
  </w:style>
  <w:style w:type="character" w:styleId="857" w:customStyle="1">
    <w:name w:val="Heading 8 Char"/>
    <w:link w:val="706"/>
    <w:uiPriority w:val="9"/>
    <w:qFormat/>
    <w:rPr>
      <w:rFonts w:ascii="Arial" w:hAnsi="Arial" w:eastAsia="Arial" w:cs="Arial"/>
      <w:i/>
      <w:iCs/>
      <w:sz w:val="22"/>
      <w:szCs w:val="22"/>
    </w:rPr>
  </w:style>
  <w:style w:type="character" w:styleId="858" w:customStyle="1">
    <w:name w:val="Heading 9 Char"/>
    <w:link w:val="706"/>
    <w:uiPriority w:val="9"/>
    <w:qFormat/>
    <w:rPr>
      <w:rFonts w:ascii="Arial" w:hAnsi="Arial" w:eastAsia="Arial" w:cs="Arial"/>
      <w:i/>
      <w:iCs/>
      <w:sz w:val="21"/>
      <w:szCs w:val="21"/>
    </w:rPr>
  </w:style>
  <w:style w:type="character" w:styleId="859" w:customStyle="1">
    <w:name w:val="Title Char"/>
    <w:link w:val="706"/>
    <w:uiPriority w:val="10"/>
    <w:qFormat/>
    <w:rPr>
      <w:sz w:val="48"/>
      <w:szCs w:val="48"/>
    </w:rPr>
  </w:style>
  <w:style w:type="character" w:styleId="860" w:customStyle="1">
    <w:name w:val="Subtitle Char"/>
    <w:link w:val="706"/>
    <w:uiPriority w:val="11"/>
    <w:qFormat/>
    <w:rPr>
      <w:sz w:val="24"/>
      <w:szCs w:val="24"/>
    </w:rPr>
  </w:style>
  <w:style w:type="character" w:styleId="861" w:customStyle="1">
    <w:name w:val="Quote Char"/>
    <w:link w:val="706"/>
    <w:uiPriority w:val="29"/>
    <w:qFormat/>
    <w:rPr>
      <w:i/>
    </w:rPr>
  </w:style>
  <w:style w:type="character" w:styleId="862" w:customStyle="1">
    <w:name w:val="Intense Quote Char"/>
    <w:link w:val="706"/>
    <w:uiPriority w:val="30"/>
    <w:qFormat/>
    <w:rPr>
      <w:i/>
    </w:rPr>
  </w:style>
  <w:style w:type="character" w:styleId="863" w:customStyle="1">
    <w:name w:val="Endnote Text Char"/>
    <w:link w:val="706"/>
    <w:uiPriority w:val="99"/>
    <w:qFormat/>
    <w:rPr>
      <w:sz w:val="20"/>
    </w:rPr>
  </w:style>
  <w:style w:type="paragraph" w:styleId="864" w:customStyle="1">
    <w:name w:val="TOC Heading"/>
    <w:uiPriority w:val="39"/>
    <w:unhideWhenUsed/>
    <w:qFormat/>
    <w:rPr>
      <w:rFonts w:hint="default" w:ascii="Times New Roman" w:hAnsi="Times New Roman" w:eastAsia="宋体" w:cs="Times New Roman"/>
      <w:lang w:val="en-US" w:eastAsia="zh-CN" w:bidi="ar-SA"/>
    </w:rPr>
  </w:style>
  <w:style w:type="character" w:styleId="865" w:customStyle="1">
    <w:name w:val="Heading 1 Char"/>
    <w:link w:val="706"/>
    <w:uiPriority w:val="9"/>
    <w:qFormat/>
    <w:rPr>
      <w:rFonts w:ascii="Arial" w:hAnsi="Arial" w:eastAsia="Arial" w:cs="Arial"/>
      <w:sz w:val="40"/>
      <w:szCs w:val="40"/>
    </w:rPr>
  </w:style>
  <w:style w:type="character" w:styleId="866" w:customStyle="1">
    <w:name w:val="Heading 2 Char"/>
    <w:link w:val="706"/>
    <w:uiPriority w:val="9"/>
    <w:qFormat/>
    <w:rPr>
      <w:rFonts w:ascii="Arial" w:hAnsi="Arial" w:eastAsia="Arial" w:cs="Arial"/>
      <w:sz w:val="34"/>
    </w:rPr>
  </w:style>
  <w:style w:type="character" w:styleId="867" w:customStyle="1">
    <w:name w:val="Heading 3 Char"/>
    <w:link w:val="706"/>
    <w:uiPriority w:val="9"/>
    <w:qFormat/>
    <w:rPr>
      <w:rFonts w:ascii="Arial" w:hAnsi="Arial" w:eastAsia="Arial" w:cs="Arial"/>
      <w:sz w:val="30"/>
      <w:szCs w:val="30"/>
    </w:rPr>
  </w:style>
  <w:style w:type="paragraph" w:styleId="868" w:customStyle="1">
    <w:name w:val="无间隔"/>
    <w:uiPriority w:val="1"/>
    <w:qFormat/>
    <w:rPr>
      <w:rFonts w:hint="default" w:ascii="Times New Roman" w:hAnsi="Times New Roman" w:eastAsia="宋体" w:cs="Times New Roman"/>
      <w:lang w:val="en-US" w:eastAsia="zh-CN" w:bidi="ar-SA"/>
    </w:rPr>
  </w:style>
  <w:style w:type="paragraph" w:styleId="869" w:customStyle="1">
    <w:name w:val="引用"/>
    <w:basedOn w:val="706"/>
    <w:next w:val="706"/>
    <w:link w:val="870"/>
    <w:uiPriority w:val="29"/>
    <w:qFormat/>
    <w:pPr>
      <w:ind w:left="720" w:right="720"/>
    </w:pPr>
    <w:rPr>
      <w:i/>
    </w:rPr>
  </w:style>
  <w:style w:type="character" w:styleId="870" w:customStyle="1">
    <w:name w:val="引用 字符"/>
    <w:link w:val="869"/>
    <w:uiPriority w:val="29"/>
    <w:qFormat/>
    <w:rPr>
      <w:i/>
    </w:rPr>
  </w:style>
  <w:style w:type="paragraph" w:styleId="871" w:customStyle="1">
    <w:name w:val="明显引用"/>
    <w:basedOn w:val="706"/>
    <w:next w:val="706"/>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character" w:styleId="873" w:customStyle="1">
    <w:name w:val="Header Char"/>
    <w:link w:val="706"/>
    <w:uiPriority w:val="99"/>
    <w:qFormat/>
  </w:style>
  <w:style w:type="character" w:styleId="874" w:customStyle="1">
    <w:name w:val="Footer Char"/>
    <w:link w:val="706"/>
    <w:uiPriority w:val="99"/>
    <w:qFormat/>
  </w:style>
  <w:style w:type="character" w:styleId="875" w:customStyle="1">
    <w:name w:val="Caption Char"/>
    <w:link w:val="706"/>
    <w:uiPriority w:val="99"/>
    <w:qFormat/>
  </w:style>
  <w:style w:type="table" w:styleId="876" w:customStyle="1">
    <w:name w:val="Table Grid Light"/>
    <w:basedOn w:val="759"/>
    <w:uiPriority w:val="59"/>
    <w:qFormat/>
    <w:tblPr/>
  </w:style>
  <w:style w:type="table" w:styleId="877" w:customStyle="1">
    <w:name w:val="Plain Table 1"/>
    <w:basedOn w:val="759"/>
    <w:uiPriority w:val="59"/>
    <w:qFormat/>
    <w:tblPr/>
  </w:style>
  <w:style w:type="table" w:styleId="878" w:customStyle="1">
    <w:name w:val="Plain Table 2"/>
    <w:basedOn w:val="759"/>
    <w:uiPriority w:val="59"/>
    <w:qFormat/>
    <w:tblPr/>
  </w:style>
  <w:style w:type="table" w:styleId="879" w:customStyle="1">
    <w:name w:val="Plain Table 3"/>
    <w:basedOn w:val="759"/>
    <w:uiPriority w:val="99"/>
    <w:qFormat/>
    <w:tblPr/>
  </w:style>
  <w:style w:type="table" w:styleId="880" w:customStyle="1">
    <w:name w:val="Plain Table 4"/>
    <w:basedOn w:val="759"/>
    <w:uiPriority w:val="99"/>
    <w:qFormat/>
    <w:tblPr/>
  </w:style>
  <w:style w:type="table" w:styleId="881" w:customStyle="1">
    <w:name w:val="Plain Table 5"/>
    <w:basedOn w:val="759"/>
    <w:uiPriority w:val="99"/>
    <w:qFormat/>
    <w:tblPr/>
  </w:style>
  <w:style w:type="table" w:styleId="882" w:customStyle="1">
    <w:name w:val="Grid Table 1 Light"/>
    <w:basedOn w:val="759"/>
    <w:uiPriority w:val="99"/>
    <w:qFormat/>
    <w:tblPr/>
  </w:style>
  <w:style w:type="table" w:styleId="883" w:customStyle="1">
    <w:name w:val="Grid Table 1 Light - Accent 1"/>
    <w:basedOn w:val="759"/>
    <w:uiPriority w:val="99"/>
    <w:qFormat/>
    <w:tblPr/>
  </w:style>
  <w:style w:type="table" w:styleId="884" w:customStyle="1">
    <w:name w:val="Grid Table 1 Light - Accent 2"/>
    <w:basedOn w:val="759"/>
    <w:uiPriority w:val="99"/>
    <w:qFormat/>
    <w:tblPr/>
  </w:style>
  <w:style w:type="table" w:styleId="885" w:customStyle="1">
    <w:name w:val="Grid Table 1 Light - Accent 3"/>
    <w:basedOn w:val="759"/>
    <w:uiPriority w:val="99"/>
    <w:qFormat/>
    <w:tblPr/>
  </w:style>
  <w:style w:type="table" w:styleId="886" w:customStyle="1">
    <w:name w:val="Grid Table 1 Light - Accent 4"/>
    <w:basedOn w:val="759"/>
    <w:uiPriority w:val="99"/>
    <w:qFormat/>
    <w:tblPr/>
  </w:style>
  <w:style w:type="table" w:styleId="887" w:customStyle="1">
    <w:name w:val="Grid Table 1 Light - Accent 5"/>
    <w:basedOn w:val="759"/>
    <w:uiPriority w:val="99"/>
    <w:qFormat/>
    <w:tblPr/>
  </w:style>
  <w:style w:type="table" w:styleId="888" w:customStyle="1">
    <w:name w:val="Grid Table 1 Light - Accent 6"/>
    <w:basedOn w:val="759"/>
    <w:uiPriority w:val="99"/>
    <w:qFormat/>
    <w:tblPr/>
  </w:style>
  <w:style w:type="table" w:styleId="889" w:customStyle="1">
    <w:name w:val="Grid Table 2"/>
    <w:basedOn w:val="759"/>
    <w:uiPriority w:val="99"/>
    <w:qFormat/>
    <w:tblPr/>
  </w:style>
  <w:style w:type="table" w:styleId="890" w:customStyle="1">
    <w:name w:val="Grid Table 2 - Accent 1"/>
    <w:basedOn w:val="759"/>
    <w:uiPriority w:val="99"/>
    <w:qFormat/>
    <w:tblPr/>
  </w:style>
  <w:style w:type="table" w:styleId="891" w:customStyle="1">
    <w:name w:val="Grid Table 2 - Accent 2"/>
    <w:basedOn w:val="759"/>
    <w:uiPriority w:val="99"/>
    <w:qFormat/>
    <w:tblPr/>
  </w:style>
  <w:style w:type="table" w:styleId="892" w:customStyle="1">
    <w:name w:val="Grid Table 2 - Accent 3"/>
    <w:basedOn w:val="759"/>
    <w:uiPriority w:val="99"/>
    <w:qFormat/>
    <w:tblPr/>
  </w:style>
  <w:style w:type="table" w:styleId="893" w:customStyle="1">
    <w:name w:val="Grid Table 2 - Accent 4"/>
    <w:basedOn w:val="759"/>
    <w:uiPriority w:val="99"/>
    <w:qFormat/>
    <w:tblPr/>
  </w:style>
  <w:style w:type="table" w:styleId="894" w:customStyle="1">
    <w:name w:val="Grid Table 2 - Accent 5"/>
    <w:basedOn w:val="759"/>
    <w:uiPriority w:val="99"/>
    <w:qFormat/>
    <w:tblPr/>
  </w:style>
  <w:style w:type="table" w:styleId="895" w:customStyle="1">
    <w:name w:val="Grid Table 2 - Accent 6"/>
    <w:basedOn w:val="759"/>
    <w:uiPriority w:val="99"/>
    <w:qFormat/>
    <w:tblPr/>
  </w:style>
  <w:style w:type="table" w:styleId="896" w:customStyle="1">
    <w:name w:val="Grid Table 3"/>
    <w:basedOn w:val="759"/>
    <w:uiPriority w:val="99"/>
    <w:qFormat/>
    <w:tblPr/>
  </w:style>
  <w:style w:type="table" w:styleId="897" w:customStyle="1">
    <w:name w:val="Grid Table 3 - Accent 1"/>
    <w:basedOn w:val="759"/>
    <w:uiPriority w:val="99"/>
    <w:qFormat/>
    <w:tblPr/>
  </w:style>
  <w:style w:type="table" w:styleId="898" w:customStyle="1">
    <w:name w:val="Grid Table 3 - Accent 2"/>
    <w:basedOn w:val="759"/>
    <w:uiPriority w:val="99"/>
    <w:qFormat/>
    <w:tblPr/>
  </w:style>
  <w:style w:type="table" w:styleId="899" w:customStyle="1">
    <w:name w:val="Grid Table 3 - Accent 3"/>
    <w:basedOn w:val="759"/>
    <w:uiPriority w:val="99"/>
    <w:qFormat/>
    <w:tblPr/>
  </w:style>
  <w:style w:type="table" w:styleId="900" w:customStyle="1">
    <w:name w:val="Grid Table 3 - Accent 4"/>
    <w:basedOn w:val="759"/>
    <w:uiPriority w:val="99"/>
    <w:qFormat/>
    <w:tblPr/>
  </w:style>
  <w:style w:type="table" w:styleId="901" w:customStyle="1">
    <w:name w:val="Grid Table 3 - Accent 5"/>
    <w:basedOn w:val="759"/>
    <w:uiPriority w:val="99"/>
    <w:qFormat/>
    <w:tblPr/>
  </w:style>
  <w:style w:type="table" w:styleId="902" w:customStyle="1">
    <w:name w:val="Grid Table 3 - Accent 6"/>
    <w:basedOn w:val="759"/>
    <w:uiPriority w:val="99"/>
    <w:qFormat/>
    <w:tblPr/>
  </w:style>
  <w:style w:type="table" w:styleId="903" w:customStyle="1">
    <w:name w:val="Grid Table 4"/>
    <w:basedOn w:val="759"/>
    <w:uiPriority w:val="59"/>
    <w:qFormat/>
    <w:tblPr/>
  </w:style>
  <w:style w:type="table" w:styleId="904" w:customStyle="1">
    <w:name w:val="Grid Table 4 - Accent 1"/>
    <w:basedOn w:val="759"/>
    <w:uiPriority w:val="59"/>
    <w:qFormat/>
    <w:tblPr/>
  </w:style>
  <w:style w:type="table" w:styleId="905" w:customStyle="1">
    <w:name w:val="Grid Table 4 - Accent 2"/>
    <w:basedOn w:val="759"/>
    <w:uiPriority w:val="59"/>
    <w:qFormat/>
    <w:tblPr/>
  </w:style>
  <w:style w:type="table" w:styleId="906" w:customStyle="1">
    <w:name w:val="Grid Table 4 - Accent 3"/>
    <w:basedOn w:val="759"/>
    <w:uiPriority w:val="59"/>
    <w:qFormat/>
    <w:tblPr/>
  </w:style>
  <w:style w:type="table" w:styleId="907" w:customStyle="1">
    <w:name w:val="Grid Table 4 - Accent 4"/>
    <w:basedOn w:val="759"/>
    <w:uiPriority w:val="59"/>
    <w:qFormat/>
    <w:tblPr/>
  </w:style>
  <w:style w:type="table" w:styleId="908" w:customStyle="1">
    <w:name w:val="Grid Table 4 - Accent 5"/>
    <w:basedOn w:val="759"/>
    <w:uiPriority w:val="59"/>
    <w:qFormat/>
    <w:tblPr/>
  </w:style>
  <w:style w:type="table" w:styleId="909" w:customStyle="1">
    <w:name w:val="Grid Table 4 - Accent 6"/>
    <w:basedOn w:val="759"/>
    <w:uiPriority w:val="59"/>
    <w:qFormat/>
    <w:tblPr/>
  </w:style>
  <w:style w:type="table" w:styleId="910" w:customStyle="1">
    <w:name w:val="Grid Table 5 Dark"/>
    <w:basedOn w:val="759"/>
    <w:uiPriority w:val="99"/>
    <w:qFormat/>
    <w:tblPr/>
  </w:style>
  <w:style w:type="table" w:styleId="911" w:customStyle="1">
    <w:name w:val="Grid Table 5 Dark- Accent 1"/>
    <w:basedOn w:val="759"/>
    <w:uiPriority w:val="99"/>
    <w:qFormat/>
    <w:tblPr/>
  </w:style>
  <w:style w:type="table" w:styleId="912" w:customStyle="1">
    <w:name w:val="Grid Table 5 Dark - Accent 2"/>
    <w:basedOn w:val="759"/>
    <w:uiPriority w:val="99"/>
    <w:qFormat/>
    <w:tblPr/>
  </w:style>
  <w:style w:type="table" w:styleId="913" w:customStyle="1">
    <w:name w:val="Grid Table 5 Dark - Accent 3"/>
    <w:basedOn w:val="759"/>
    <w:uiPriority w:val="99"/>
    <w:qFormat/>
    <w:tblPr/>
  </w:style>
  <w:style w:type="table" w:styleId="914" w:customStyle="1">
    <w:name w:val="Grid Table 5 Dark- Accent 4"/>
    <w:basedOn w:val="759"/>
    <w:uiPriority w:val="99"/>
    <w:qFormat/>
    <w:tblPr/>
  </w:style>
  <w:style w:type="table" w:styleId="915" w:customStyle="1">
    <w:name w:val="Grid Table 5 Dark - Accent 5"/>
    <w:basedOn w:val="759"/>
    <w:uiPriority w:val="99"/>
    <w:qFormat/>
    <w:tblPr/>
  </w:style>
  <w:style w:type="table" w:styleId="916" w:customStyle="1">
    <w:name w:val="Grid Table 5 Dark - Accent 6"/>
    <w:basedOn w:val="759"/>
    <w:uiPriority w:val="99"/>
    <w:qFormat/>
    <w:tblPr/>
  </w:style>
  <w:style w:type="table" w:styleId="917" w:customStyle="1">
    <w:name w:val="Grid Table 6 Colorful"/>
    <w:basedOn w:val="759"/>
    <w:uiPriority w:val="99"/>
    <w:qFormat/>
    <w:tblPr/>
  </w:style>
  <w:style w:type="table" w:styleId="918" w:customStyle="1">
    <w:name w:val="Grid Table 6 Colorful - Accent 1"/>
    <w:basedOn w:val="759"/>
    <w:uiPriority w:val="99"/>
    <w:qFormat/>
    <w:tblPr/>
  </w:style>
  <w:style w:type="table" w:styleId="919" w:customStyle="1">
    <w:name w:val="Grid Table 6 Colorful - Accent 2"/>
    <w:basedOn w:val="759"/>
    <w:uiPriority w:val="99"/>
    <w:qFormat/>
    <w:tblPr/>
  </w:style>
  <w:style w:type="table" w:styleId="920" w:customStyle="1">
    <w:name w:val="Grid Table 6 Colorful - Accent 3"/>
    <w:basedOn w:val="759"/>
    <w:uiPriority w:val="99"/>
    <w:qFormat/>
    <w:tblPr/>
  </w:style>
  <w:style w:type="table" w:styleId="921" w:customStyle="1">
    <w:name w:val="Grid Table 6 Colorful - Accent 4"/>
    <w:basedOn w:val="759"/>
    <w:uiPriority w:val="99"/>
    <w:qFormat/>
    <w:tblPr/>
  </w:style>
  <w:style w:type="table" w:styleId="922" w:customStyle="1">
    <w:name w:val="Grid Table 6 Colorful - Accent 5"/>
    <w:basedOn w:val="759"/>
    <w:uiPriority w:val="99"/>
    <w:qFormat/>
    <w:tblPr/>
  </w:style>
  <w:style w:type="table" w:styleId="923" w:customStyle="1">
    <w:name w:val="Grid Table 6 Colorful - Accent 6"/>
    <w:basedOn w:val="759"/>
    <w:uiPriority w:val="99"/>
    <w:qFormat/>
    <w:tblPr/>
  </w:style>
  <w:style w:type="table" w:styleId="924" w:customStyle="1">
    <w:name w:val="Grid Table 7 Colorful"/>
    <w:basedOn w:val="759"/>
    <w:uiPriority w:val="99"/>
    <w:qFormat/>
    <w:tblPr/>
  </w:style>
  <w:style w:type="table" w:styleId="925" w:customStyle="1">
    <w:name w:val="Grid Table 7 Colorful - Accent 1"/>
    <w:basedOn w:val="759"/>
    <w:uiPriority w:val="99"/>
    <w:qFormat/>
    <w:tblPr/>
  </w:style>
  <w:style w:type="table" w:styleId="926" w:customStyle="1">
    <w:name w:val="Grid Table 7 Colorful - Accent 2"/>
    <w:basedOn w:val="759"/>
    <w:uiPriority w:val="99"/>
    <w:qFormat/>
    <w:tblPr/>
  </w:style>
  <w:style w:type="table" w:styleId="927" w:customStyle="1">
    <w:name w:val="Grid Table 7 Colorful - Accent 3"/>
    <w:basedOn w:val="759"/>
    <w:uiPriority w:val="99"/>
    <w:qFormat/>
    <w:tblPr/>
  </w:style>
  <w:style w:type="table" w:styleId="928" w:customStyle="1">
    <w:name w:val="Grid Table 7 Colorful - Accent 4"/>
    <w:basedOn w:val="759"/>
    <w:uiPriority w:val="99"/>
    <w:qFormat/>
    <w:tblPr/>
  </w:style>
  <w:style w:type="table" w:styleId="929" w:customStyle="1">
    <w:name w:val="Grid Table 7 Colorful - Accent 5"/>
    <w:basedOn w:val="759"/>
    <w:uiPriority w:val="99"/>
    <w:qFormat/>
    <w:tblPr/>
  </w:style>
  <w:style w:type="table" w:styleId="930" w:customStyle="1">
    <w:name w:val="Grid Table 7 Colorful - Accent 6"/>
    <w:basedOn w:val="759"/>
    <w:uiPriority w:val="99"/>
    <w:qFormat/>
    <w:tblPr/>
  </w:style>
  <w:style w:type="table" w:styleId="931" w:customStyle="1">
    <w:name w:val="List Table 1 Light"/>
    <w:basedOn w:val="759"/>
    <w:uiPriority w:val="99"/>
    <w:qFormat/>
    <w:tblPr/>
  </w:style>
  <w:style w:type="table" w:styleId="932" w:customStyle="1">
    <w:name w:val="List Table 1 Light - Accent 1"/>
    <w:basedOn w:val="759"/>
    <w:uiPriority w:val="99"/>
    <w:qFormat/>
    <w:tblPr/>
  </w:style>
  <w:style w:type="table" w:styleId="933" w:customStyle="1">
    <w:name w:val="List Table 1 Light - Accent 2"/>
    <w:basedOn w:val="759"/>
    <w:uiPriority w:val="99"/>
    <w:qFormat/>
    <w:tblPr/>
  </w:style>
  <w:style w:type="table" w:styleId="934" w:customStyle="1">
    <w:name w:val="List Table 1 Light - Accent 3"/>
    <w:basedOn w:val="759"/>
    <w:uiPriority w:val="99"/>
    <w:qFormat/>
    <w:tblPr/>
  </w:style>
  <w:style w:type="table" w:styleId="935" w:customStyle="1">
    <w:name w:val="List Table 1 Light - Accent 4"/>
    <w:basedOn w:val="759"/>
    <w:uiPriority w:val="99"/>
    <w:qFormat/>
    <w:tblPr/>
  </w:style>
  <w:style w:type="table" w:styleId="936" w:customStyle="1">
    <w:name w:val="List Table 1 Light - Accent 5"/>
    <w:basedOn w:val="759"/>
    <w:uiPriority w:val="99"/>
    <w:qFormat/>
    <w:tblPr/>
  </w:style>
  <w:style w:type="table" w:styleId="937" w:customStyle="1">
    <w:name w:val="List Table 1 Light - Accent 6"/>
    <w:basedOn w:val="759"/>
    <w:uiPriority w:val="99"/>
    <w:qFormat/>
    <w:tblPr/>
  </w:style>
  <w:style w:type="table" w:styleId="938" w:customStyle="1">
    <w:name w:val="List Table 2"/>
    <w:basedOn w:val="759"/>
    <w:uiPriority w:val="99"/>
    <w:qFormat/>
    <w:tblPr/>
  </w:style>
  <w:style w:type="table" w:styleId="939" w:customStyle="1">
    <w:name w:val="List Table 2 - Accent 1"/>
    <w:basedOn w:val="759"/>
    <w:uiPriority w:val="99"/>
    <w:qFormat/>
    <w:tblPr/>
  </w:style>
  <w:style w:type="table" w:styleId="940" w:customStyle="1">
    <w:name w:val="List Table 2 - Accent 2"/>
    <w:basedOn w:val="759"/>
    <w:uiPriority w:val="99"/>
    <w:qFormat/>
    <w:tblPr/>
  </w:style>
  <w:style w:type="table" w:styleId="941" w:customStyle="1">
    <w:name w:val="List Table 2 - Accent 3"/>
    <w:basedOn w:val="759"/>
    <w:uiPriority w:val="99"/>
    <w:qFormat/>
    <w:tblPr/>
  </w:style>
  <w:style w:type="table" w:styleId="942" w:customStyle="1">
    <w:name w:val="List Table 2 - Accent 4"/>
    <w:basedOn w:val="759"/>
    <w:uiPriority w:val="99"/>
    <w:qFormat/>
    <w:tblPr/>
  </w:style>
  <w:style w:type="table" w:styleId="943" w:customStyle="1">
    <w:name w:val="List Table 2 - Accent 5"/>
    <w:basedOn w:val="759"/>
    <w:uiPriority w:val="99"/>
    <w:qFormat/>
    <w:tblPr/>
  </w:style>
  <w:style w:type="table" w:styleId="944" w:customStyle="1">
    <w:name w:val="List Table 2 - Accent 6"/>
    <w:basedOn w:val="759"/>
    <w:uiPriority w:val="99"/>
    <w:qFormat/>
    <w:tblPr/>
  </w:style>
  <w:style w:type="table" w:styleId="945" w:customStyle="1">
    <w:name w:val="List Table 3"/>
    <w:basedOn w:val="759"/>
    <w:uiPriority w:val="99"/>
    <w:qFormat/>
    <w:tblPr/>
  </w:style>
  <w:style w:type="table" w:styleId="946" w:customStyle="1">
    <w:name w:val="List Table 3 - Accent 1"/>
    <w:basedOn w:val="759"/>
    <w:uiPriority w:val="99"/>
    <w:qFormat/>
    <w:tblPr/>
  </w:style>
  <w:style w:type="table" w:styleId="947" w:customStyle="1">
    <w:name w:val="List Table 3 - Accent 2"/>
    <w:basedOn w:val="759"/>
    <w:uiPriority w:val="99"/>
    <w:qFormat/>
    <w:tblPr/>
  </w:style>
  <w:style w:type="table" w:styleId="948" w:customStyle="1">
    <w:name w:val="List Table 3 - Accent 3"/>
    <w:basedOn w:val="759"/>
    <w:uiPriority w:val="99"/>
    <w:qFormat/>
    <w:tblPr/>
  </w:style>
  <w:style w:type="table" w:styleId="949" w:customStyle="1">
    <w:name w:val="List Table 3 - Accent 4"/>
    <w:basedOn w:val="759"/>
    <w:uiPriority w:val="99"/>
    <w:qFormat/>
    <w:tblPr/>
  </w:style>
  <w:style w:type="table" w:styleId="950" w:customStyle="1">
    <w:name w:val="List Table 3 - Accent 5"/>
    <w:basedOn w:val="759"/>
    <w:uiPriority w:val="99"/>
    <w:qFormat/>
    <w:tblPr/>
  </w:style>
  <w:style w:type="table" w:styleId="951" w:customStyle="1">
    <w:name w:val="List Table 3 - Accent 6"/>
    <w:basedOn w:val="759"/>
    <w:uiPriority w:val="99"/>
    <w:qFormat/>
    <w:tblPr/>
  </w:style>
  <w:style w:type="table" w:styleId="952" w:customStyle="1">
    <w:name w:val="List Table 4"/>
    <w:basedOn w:val="759"/>
    <w:uiPriority w:val="99"/>
    <w:qFormat/>
    <w:tblPr/>
  </w:style>
  <w:style w:type="table" w:styleId="953" w:customStyle="1">
    <w:name w:val="List Table 4 - Accent 1"/>
    <w:basedOn w:val="759"/>
    <w:uiPriority w:val="99"/>
    <w:qFormat/>
    <w:tblPr/>
  </w:style>
  <w:style w:type="table" w:styleId="954" w:customStyle="1">
    <w:name w:val="List Table 4 - Accent 2"/>
    <w:basedOn w:val="759"/>
    <w:uiPriority w:val="99"/>
    <w:qFormat/>
    <w:tblPr/>
  </w:style>
  <w:style w:type="table" w:styleId="955" w:customStyle="1">
    <w:name w:val="List Table 4 - Accent 3"/>
    <w:basedOn w:val="759"/>
    <w:uiPriority w:val="99"/>
    <w:qFormat/>
    <w:tblPr/>
  </w:style>
  <w:style w:type="table" w:styleId="956" w:customStyle="1">
    <w:name w:val="List Table 4 - Accent 4"/>
    <w:basedOn w:val="759"/>
    <w:uiPriority w:val="99"/>
    <w:qFormat/>
    <w:tblPr/>
  </w:style>
  <w:style w:type="table" w:styleId="957" w:customStyle="1">
    <w:name w:val="List Table 4 - Accent 5"/>
    <w:basedOn w:val="759"/>
    <w:uiPriority w:val="99"/>
    <w:qFormat/>
    <w:tblPr/>
  </w:style>
  <w:style w:type="table" w:styleId="958" w:customStyle="1">
    <w:name w:val="List Table 4 - Accent 6"/>
    <w:basedOn w:val="759"/>
    <w:uiPriority w:val="99"/>
    <w:qFormat/>
    <w:tblPr/>
  </w:style>
  <w:style w:type="table" w:styleId="959" w:customStyle="1">
    <w:name w:val="List Table 5 Dark"/>
    <w:basedOn w:val="759"/>
    <w:uiPriority w:val="99"/>
    <w:qFormat/>
    <w:tblPr/>
  </w:style>
  <w:style w:type="table" w:styleId="960" w:customStyle="1">
    <w:name w:val="List Table 5 Dark - Accent 1"/>
    <w:basedOn w:val="759"/>
    <w:uiPriority w:val="99"/>
    <w:qFormat/>
    <w:tblPr/>
  </w:style>
  <w:style w:type="table" w:styleId="961" w:customStyle="1">
    <w:name w:val="List Table 5 Dark - Accent 2"/>
    <w:basedOn w:val="759"/>
    <w:uiPriority w:val="99"/>
    <w:qFormat/>
    <w:tblPr/>
  </w:style>
  <w:style w:type="table" w:styleId="962" w:customStyle="1">
    <w:name w:val="List Table 5 Dark - Accent 3"/>
    <w:basedOn w:val="759"/>
    <w:uiPriority w:val="99"/>
    <w:qFormat/>
    <w:tblPr/>
  </w:style>
  <w:style w:type="table" w:styleId="963" w:customStyle="1">
    <w:name w:val="List Table 5 Dark - Accent 4"/>
    <w:basedOn w:val="759"/>
    <w:uiPriority w:val="99"/>
    <w:qFormat/>
    <w:tblPr/>
  </w:style>
  <w:style w:type="table" w:styleId="964" w:customStyle="1">
    <w:name w:val="List Table 5 Dark - Accent 5"/>
    <w:basedOn w:val="759"/>
    <w:uiPriority w:val="99"/>
    <w:qFormat/>
    <w:tblPr/>
  </w:style>
  <w:style w:type="table" w:styleId="965" w:customStyle="1">
    <w:name w:val="List Table 5 Dark - Accent 6"/>
    <w:basedOn w:val="759"/>
    <w:uiPriority w:val="99"/>
    <w:qFormat/>
    <w:tblPr/>
  </w:style>
  <w:style w:type="table" w:styleId="966" w:customStyle="1">
    <w:name w:val="List Table 6 Colorful"/>
    <w:basedOn w:val="759"/>
    <w:uiPriority w:val="99"/>
    <w:qFormat/>
    <w:tblPr/>
  </w:style>
  <w:style w:type="table" w:styleId="967" w:customStyle="1">
    <w:name w:val="List Table 6 Colorful - Accent 1"/>
    <w:basedOn w:val="759"/>
    <w:uiPriority w:val="99"/>
    <w:qFormat/>
    <w:tblPr/>
  </w:style>
  <w:style w:type="table" w:styleId="968" w:customStyle="1">
    <w:name w:val="List Table 6 Colorful - Accent 2"/>
    <w:basedOn w:val="759"/>
    <w:uiPriority w:val="99"/>
    <w:qFormat/>
    <w:tblPr/>
  </w:style>
  <w:style w:type="table" w:styleId="969" w:customStyle="1">
    <w:name w:val="List Table 6 Colorful - Accent 3"/>
    <w:basedOn w:val="759"/>
    <w:uiPriority w:val="99"/>
    <w:qFormat/>
    <w:tblPr/>
  </w:style>
  <w:style w:type="table" w:styleId="970" w:customStyle="1">
    <w:name w:val="List Table 6 Colorful - Accent 4"/>
    <w:basedOn w:val="759"/>
    <w:uiPriority w:val="99"/>
    <w:qFormat/>
    <w:tblPr/>
  </w:style>
  <w:style w:type="table" w:styleId="971" w:customStyle="1">
    <w:name w:val="List Table 6 Colorful - Accent 5"/>
    <w:basedOn w:val="759"/>
    <w:uiPriority w:val="99"/>
    <w:qFormat/>
    <w:tblPr/>
  </w:style>
  <w:style w:type="table" w:styleId="972" w:customStyle="1">
    <w:name w:val="List Table 6 Colorful - Accent 6"/>
    <w:basedOn w:val="759"/>
    <w:uiPriority w:val="99"/>
    <w:qFormat/>
    <w:tblPr/>
  </w:style>
  <w:style w:type="table" w:styleId="973" w:customStyle="1">
    <w:name w:val="List Table 7 Colorful"/>
    <w:basedOn w:val="759"/>
    <w:uiPriority w:val="99"/>
    <w:qFormat/>
    <w:tblPr/>
  </w:style>
  <w:style w:type="table" w:styleId="974" w:customStyle="1">
    <w:name w:val="List Table 7 Colorful - Accent 1"/>
    <w:basedOn w:val="759"/>
    <w:uiPriority w:val="99"/>
    <w:qFormat/>
    <w:tblPr/>
  </w:style>
  <w:style w:type="table" w:styleId="975" w:customStyle="1">
    <w:name w:val="List Table 7 Colorful - Accent 2"/>
    <w:basedOn w:val="759"/>
    <w:uiPriority w:val="99"/>
    <w:qFormat/>
    <w:tblPr/>
  </w:style>
  <w:style w:type="table" w:styleId="976" w:customStyle="1">
    <w:name w:val="List Table 7 Colorful - Accent 3"/>
    <w:basedOn w:val="759"/>
    <w:uiPriority w:val="99"/>
    <w:qFormat/>
    <w:tblPr/>
  </w:style>
  <w:style w:type="table" w:styleId="977" w:customStyle="1">
    <w:name w:val="List Table 7 Colorful - Accent 4"/>
    <w:basedOn w:val="759"/>
    <w:uiPriority w:val="99"/>
    <w:qFormat/>
    <w:tblPr/>
  </w:style>
  <w:style w:type="table" w:styleId="978" w:customStyle="1">
    <w:name w:val="List Table 7 Colorful - Accent 5"/>
    <w:basedOn w:val="759"/>
    <w:uiPriority w:val="99"/>
    <w:qFormat/>
    <w:tblPr/>
  </w:style>
  <w:style w:type="table" w:styleId="979" w:customStyle="1">
    <w:name w:val="List Table 7 Colorful - Accent 6"/>
    <w:basedOn w:val="759"/>
    <w:uiPriority w:val="99"/>
    <w:qFormat/>
    <w:tblPr/>
  </w:style>
  <w:style w:type="table" w:styleId="980" w:customStyle="1">
    <w:name w:val="Lined - Accent"/>
    <w:basedOn w:val="759"/>
    <w:uiPriority w:val="99"/>
    <w:qFormat/>
    <w:rPr>
      <w:color w:val="404040"/>
    </w:rPr>
    <w:tblPr/>
  </w:style>
  <w:style w:type="table" w:styleId="981" w:customStyle="1">
    <w:name w:val="Lined - Accent 1"/>
    <w:basedOn w:val="759"/>
    <w:uiPriority w:val="99"/>
    <w:qFormat/>
    <w:rPr>
      <w:color w:val="404040"/>
    </w:rPr>
    <w:tblPr/>
  </w:style>
  <w:style w:type="table" w:styleId="982" w:customStyle="1">
    <w:name w:val="Lined - Accent 2"/>
    <w:basedOn w:val="759"/>
    <w:uiPriority w:val="99"/>
    <w:qFormat/>
    <w:rPr>
      <w:color w:val="404040"/>
    </w:rPr>
    <w:tblPr/>
  </w:style>
  <w:style w:type="table" w:styleId="983" w:customStyle="1">
    <w:name w:val="Lined - Accent 3"/>
    <w:basedOn w:val="759"/>
    <w:uiPriority w:val="99"/>
    <w:qFormat/>
    <w:rPr>
      <w:color w:val="404040"/>
    </w:rPr>
    <w:tblPr/>
  </w:style>
  <w:style w:type="table" w:styleId="984" w:customStyle="1">
    <w:name w:val="Lined - Accent 4"/>
    <w:basedOn w:val="759"/>
    <w:uiPriority w:val="99"/>
    <w:qFormat/>
    <w:rPr>
      <w:color w:val="404040"/>
    </w:rPr>
    <w:tblPr/>
  </w:style>
  <w:style w:type="table" w:styleId="985" w:customStyle="1">
    <w:name w:val="Lined - Accent 5"/>
    <w:basedOn w:val="759"/>
    <w:uiPriority w:val="99"/>
    <w:qFormat/>
    <w:rPr>
      <w:color w:val="404040"/>
    </w:rPr>
    <w:tblPr/>
  </w:style>
  <w:style w:type="table" w:styleId="986" w:customStyle="1">
    <w:name w:val="Lined - Accent 6"/>
    <w:basedOn w:val="759"/>
    <w:uiPriority w:val="99"/>
    <w:qFormat/>
    <w:rPr>
      <w:color w:val="404040"/>
    </w:rPr>
    <w:tblPr/>
  </w:style>
  <w:style w:type="table" w:styleId="987" w:customStyle="1">
    <w:name w:val="Bordered &amp; Lined - Accent"/>
    <w:basedOn w:val="759"/>
    <w:uiPriority w:val="99"/>
    <w:qFormat/>
    <w:rPr>
      <w:color w:val="404040"/>
    </w:rPr>
    <w:tblPr/>
  </w:style>
  <w:style w:type="table" w:styleId="988" w:customStyle="1">
    <w:name w:val="Bordered &amp; Lined - Accent 1"/>
    <w:basedOn w:val="759"/>
    <w:uiPriority w:val="99"/>
    <w:qFormat/>
    <w:rPr>
      <w:color w:val="404040"/>
    </w:rPr>
    <w:tblPr/>
  </w:style>
  <w:style w:type="table" w:styleId="989" w:customStyle="1">
    <w:name w:val="Bordered &amp; Lined - Accent 2"/>
    <w:basedOn w:val="759"/>
    <w:uiPriority w:val="99"/>
    <w:qFormat/>
    <w:rPr>
      <w:color w:val="404040"/>
    </w:rPr>
    <w:tblPr/>
  </w:style>
  <w:style w:type="table" w:styleId="990" w:customStyle="1">
    <w:name w:val="Bordered &amp; Lined - Accent 3"/>
    <w:basedOn w:val="759"/>
    <w:uiPriority w:val="99"/>
    <w:qFormat/>
    <w:rPr>
      <w:color w:val="404040"/>
    </w:rPr>
    <w:tblPr/>
  </w:style>
  <w:style w:type="table" w:styleId="991" w:customStyle="1">
    <w:name w:val="Bordered &amp; Lined - Accent 4"/>
    <w:basedOn w:val="759"/>
    <w:uiPriority w:val="99"/>
    <w:qFormat/>
    <w:rPr>
      <w:color w:val="404040"/>
    </w:rPr>
    <w:tblPr/>
  </w:style>
  <w:style w:type="table" w:styleId="992" w:customStyle="1">
    <w:name w:val="Bordered &amp; Lined - Accent 5"/>
    <w:basedOn w:val="759"/>
    <w:uiPriority w:val="99"/>
    <w:qFormat/>
    <w:rPr>
      <w:color w:val="404040"/>
    </w:rPr>
    <w:tblPr/>
  </w:style>
  <w:style w:type="table" w:styleId="993" w:customStyle="1">
    <w:name w:val="Bordered &amp; Lined - Accent 6"/>
    <w:basedOn w:val="759"/>
    <w:uiPriority w:val="99"/>
    <w:qFormat/>
    <w:rPr>
      <w:color w:val="404040"/>
    </w:rPr>
    <w:tblPr/>
  </w:style>
  <w:style w:type="table" w:styleId="994" w:customStyle="1">
    <w:name w:val="Bordered"/>
    <w:basedOn w:val="759"/>
    <w:uiPriority w:val="99"/>
    <w:qFormat/>
    <w:tblPr/>
  </w:style>
  <w:style w:type="table" w:styleId="995" w:customStyle="1">
    <w:name w:val="Bordered - Accent 1"/>
    <w:basedOn w:val="759"/>
    <w:uiPriority w:val="99"/>
    <w:qFormat/>
    <w:tblPr/>
  </w:style>
  <w:style w:type="table" w:styleId="996" w:customStyle="1">
    <w:name w:val="Bordered - Accent 2"/>
    <w:basedOn w:val="759"/>
    <w:uiPriority w:val="99"/>
    <w:qFormat/>
    <w:tblPr/>
  </w:style>
  <w:style w:type="table" w:styleId="997" w:customStyle="1">
    <w:name w:val="Bordered - Accent 3"/>
    <w:basedOn w:val="759"/>
    <w:uiPriority w:val="99"/>
    <w:qFormat/>
    <w:tblPr/>
  </w:style>
  <w:style w:type="table" w:styleId="998" w:customStyle="1">
    <w:name w:val="Bordered - Accent 4"/>
    <w:basedOn w:val="759"/>
    <w:uiPriority w:val="99"/>
    <w:qFormat/>
    <w:tblPr/>
  </w:style>
  <w:style w:type="table" w:styleId="999" w:customStyle="1">
    <w:name w:val="Bordered - Accent 5"/>
    <w:basedOn w:val="759"/>
    <w:uiPriority w:val="99"/>
    <w:qFormat/>
    <w:tblPr/>
  </w:style>
  <w:style w:type="table" w:styleId="1000" w:customStyle="1">
    <w:name w:val="Bordered - Accent 6"/>
    <w:basedOn w:val="759"/>
    <w:uiPriority w:val="99"/>
    <w:qFormat/>
    <w:tblPr/>
  </w:style>
  <w:style w:type="character" w:styleId="1001" w:customStyle="1">
    <w:name w:val="Footnote Text Char"/>
    <w:link w:val="706"/>
    <w:uiPriority w:val="99"/>
    <w:qFormat/>
    <w:rPr>
      <w:sz w:val="18"/>
    </w:rPr>
  </w:style>
  <w:style w:type="paragraph" w:styleId="1002" w:customStyle="1">
    <w:name w:val="TOC 标题1"/>
    <w:uiPriority w:val="39"/>
    <w:unhideWhenUsed/>
    <w:qFormat/>
    <w:rPr>
      <w:rFonts w:hint="default" w:ascii="Times New Roman" w:hAnsi="Times New Roman" w:eastAsia="宋体" w:cs="Times New Roman"/>
      <w:lang w:val="en-US" w:eastAsia="zh-CN" w:bidi="ar-SA"/>
    </w:rPr>
  </w:style>
  <w:style w:type="paragraph" w:styleId="1003" w:customStyle="1">
    <w:name w:val="p0"/>
    <w:basedOn w:val="791"/>
    <w:uiPriority w:val="0"/>
    <w:qFormat/>
    <w:pPr>
      <w:widowControl/>
    </w:pPr>
    <w:rPr>
      <w:szCs w:val="21"/>
    </w:rPr>
  </w:style>
  <w:style w:type="paragraph" w:styleId="1004" w:customStyle="1">
    <w:name w:val="列出段落"/>
    <w:basedOn w:val="706"/>
    <w:uiPriority w:val="1"/>
    <w:qFormat/>
    <w:pPr>
      <w:ind w:firstLine="420"/>
    </w:pPr>
  </w:style>
  <w:style w:type="paragraph" w:styleId="100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06" w:customStyle="1">
    <w:name w:val="NormalCharacter11"/>
    <w:link w:val="706"/>
    <w:uiPriority w:val="0"/>
    <w:semiHidden/>
    <w:qFormat/>
    <w:rPr>
      <w:sz w:val="28"/>
      <w:lang w:val="en-US" w:eastAsia="zh-CN" w:bidi="ar-SA"/>
    </w:rPr>
  </w:style>
  <w:style w:type="paragraph" w:styleId="1007" w:customStyle="1">
    <w:name w:val="179"/>
    <w:basedOn w:val="706"/>
    <w:uiPriority w:val="0"/>
    <w:qFormat/>
    <w:pPr>
      <w:ind w:firstLine="420"/>
      <w:jc w:val="left"/>
      <w:widowControl/>
    </w:pPr>
    <w:rPr>
      <w:rFonts w:ascii="宋体" w:hAnsi="宋体"/>
      <w:sz w:val="24"/>
    </w:rPr>
  </w:style>
  <w:style w:type="paragraph" w:styleId="100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09" w:customStyle="1">
    <w:name w:val="标准"/>
    <w:basedOn w:val="706"/>
    <w:uiPriority w:val="0"/>
    <w:qFormat/>
    <w:pPr>
      <w:ind w:firstLine="200"/>
      <w:spacing w:line="360" w:lineRule="auto"/>
    </w:pPr>
    <w:rPr>
      <w:rFonts w:cs="宋体"/>
      <w:sz w:val="20"/>
      <w:szCs w:val="20"/>
    </w:rPr>
  </w:style>
  <w:style w:type="paragraph" w:styleId="1010" w:customStyle="1">
    <w:name w:val="_Style 11"/>
    <w:basedOn w:val="706"/>
    <w:next w:val="1004"/>
    <w:uiPriority w:val="34"/>
    <w:qFormat/>
    <w:pPr>
      <w:ind w:firstLine="420"/>
    </w:pPr>
    <w:rPr>
      <w:color w:val="000000"/>
      <w:szCs w:val="21"/>
    </w:rPr>
  </w:style>
  <w:style w:type="paragraph" w:styleId="1011" w:customStyle="1">
    <w:name w:val="BodyText1I21"/>
    <w:basedOn w:val="706"/>
    <w:uiPriority w:val="0"/>
    <w:qFormat/>
    <w:pPr>
      <w:ind w:firstLine="420"/>
      <w:spacing w:line="360" w:lineRule="auto"/>
      <w:widowControl/>
    </w:pPr>
    <w:rPr>
      <w:rFonts w:ascii="宋体" w:hAnsi="宋体" w:cs="Times New Roman"/>
      <w:sz w:val="20"/>
      <w:szCs w:val="20"/>
    </w:rPr>
  </w:style>
  <w:style w:type="paragraph" w:styleId="1012" w:customStyle="1">
    <w:name w:val="UserStyle_133"/>
    <w:basedOn w:val="706"/>
    <w:uiPriority w:val="0"/>
    <w:qFormat/>
    <w:pPr>
      <w:widowControl/>
    </w:pPr>
    <w:rPr>
      <w:rFonts w:ascii="Tahoma" w:hAnsi="Tahoma" w:cs="Times New Roman"/>
      <w:sz w:val="24"/>
    </w:rPr>
  </w:style>
  <w:style w:type="paragraph" w:styleId="1013" w:customStyle="1">
    <w:name w:val="AnnotationText1"/>
    <w:basedOn w:val="706"/>
    <w:link w:val="1014"/>
    <w:uiPriority w:val="0"/>
    <w:qFormat/>
    <w:pPr>
      <w:jc w:val="left"/>
      <w:widowControl/>
    </w:pPr>
    <w:rPr>
      <w:rFonts w:cs="Times New Roman"/>
    </w:rPr>
  </w:style>
  <w:style w:type="character" w:styleId="1014" w:customStyle="1">
    <w:name w:val="UserStyle_12"/>
    <w:link w:val="1013"/>
    <w:uiPriority w:val="0"/>
    <w:qFormat/>
    <w:rPr>
      <w:rFonts w:ascii="Times New Roman" w:hAnsi="Times New Roman" w:eastAsia="宋体"/>
      <w:sz w:val="21"/>
      <w:szCs w:val="24"/>
    </w:rPr>
  </w:style>
  <w:style w:type="paragraph" w:styleId="1015"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16" w:customStyle="1">
    <w:name w:val="*正文-表格"/>
    <w:basedOn w:val="706"/>
    <w:uiPriority w:val="0"/>
    <w:qFormat/>
    <w:rPr>
      <w:sz w:val="24"/>
      <w:szCs w:val="20"/>
    </w:rPr>
  </w:style>
  <w:style w:type="character" w:styleId="1017" w:customStyle="1">
    <w:name w:val="font21"/>
    <w:link w:val="706"/>
    <w:uiPriority w:val="0"/>
    <w:qFormat/>
    <w:rPr>
      <w:rFonts w:hint="eastAsia" w:ascii="宋体" w:hAnsi="宋体" w:eastAsia="宋体" w:cs="宋体"/>
      <w:b/>
      <w:bCs/>
      <w:color w:val="000000"/>
      <w:sz w:val="28"/>
      <w:szCs w:val="28"/>
      <w:u w:val="none"/>
    </w:rPr>
  </w:style>
  <w:style w:type="paragraph" w:styleId="1018" w:customStyle="1">
    <w:name w:val="标题 5（有编号）（绿盟科技）"/>
    <w:basedOn w:val="706"/>
    <w:next w:val="1019"/>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19"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20" w:customStyle="1">
    <w:name w:val="投标文件正文"/>
    <w:basedOn w:val="706"/>
    <w:uiPriority w:val="0"/>
    <w:qFormat/>
    <w:pPr>
      <w:ind w:firstLine="200"/>
      <w:spacing w:before="40" w:after="40" w:line="400" w:lineRule="exact"/>
    </w:pPr>
    <w:rPr>
      <w:sz w:val="24"/>
    </w:rPr>
  </w:style>
  <w:style w:type="paragraph" w:styleId="1021" w:customStyle="1">
    <w:name w:val="BodyTextIndent1"/>
    <w:basedOn w:val="706"/>
    <w:next w:val="1022"/>
    <w:uiPriority w:val="0"/>
    <w:qFormat/>
    <w:pPr>
      <w:ind w:left="420"/>
      <w:spacing w:after="120"/>
    </w:pPr>
  </w:style>
  <w:style w:type="paragraph" w:styleId="1022" w:customStyle="1">
    <w:name w:val="EnvelopeReturn1"/>
    <w:basedOn w:val="706"/>
    <w:uiPriority w:val="0"/>
    <w:qFormat/>
    <w:rPr>
      <w:rFonts w:ascii="Arial" w:hAnsi="Arial"/>
    </w:rPr>
  </w:style>
  <w:style w:type="paragraph" w:styleId="1023" w:customStyle="1">
    <w:name w:val="Table Paragraph"/>
    <w:basedOn w:val="706"/>
    <w:uiPriority w:val="1"/>
    <w:qFormat/>
    <w:pPr>
      <w:ind w:left="107"/>
    </w:pPr>
    <w:rPr>
      <w:rFonts w:ascii="宋体" w:hAnsi="宋体" w:cs="宋体"/>
    </w:rPr>
  </w:style>
  <w:style w:type="paragraph" w:styleId="1024" w:customStyle="1">
    <w:name w:val="列出段落1"/>
    <w:basedOn w:val="706"/>
    <w:uiPriority w:val="34"/>
    <w:qFormat/>
    <w:pPr>
      <w:ind w:left="480"/>
      <w:jc w:val="left"/>
    </w:pPr>
    <w:rPr>
      <w:rFonts w:ascii="Calibri" w:hAnsi="Calibri" w:eastAsia="PMingLiU"/>
      <w:sz w:val="24"/>
      <w:szCs w:val="20"/>
      <w:lang w:eastAsia="zh-TW"/>
    </w:rPr>
  </w:style>
  <w:style w:type="character" w:styleId="1025" w:customStyle="1">
    <w:name w:val="font51"/>
    <w:link w:val="706"/>
    <w:uiPriority w:val="0"/>
    <w:qFormat/>
    <w:rPr>
      <w:rFonts w:hint="eastAsia" w:ascii="微软雅黑" w:hAnsi="微软雅黑" w:eastAsia="微软雅黑" w:cs="微软雅黑"/>
      <w:color w:val="000000"/>
      <w:sz w:val="16"/>
      <w:szCs w:val="16"/>
      <w:u w:val="none"/>
    </w:rPr>
  </w:style>
  <w:style w:type="character" w:styleId="1026" w:customStyle="1">
    <w:name w:val="font01"/>
    <w:link w:val="706"/>
    <w:uiPriority w:val="0"/>
    <w:qFormat/>
    <w:rPr>
      <w:rFonts w:hint="eastAsia" w:ascii="微软雅黑" w:hAnsi="微软雅黑" w:eastAsia="微软雅黑" w:cs="微软雅黑"/>
      <w:color w:val="000000"/>
      <w:sz w:val="16"/>
      <w:szCs w:val="16"/>
      <w:u w:val="none"/>
    </w:rPr>
  </w:style>
  <w:style w:type="character" w:styleId="1027" w:customStyle="1">
    <w:name w:val="font31"/>
    <w:link w:val="706"/>
    <w:uiPriority w:val="0"/>
    <w:qFormat/>
    <w:rPr>
      <w:rFonts w:hint="eastAsia" w:ascii="微软雅黑" w:hAnsi="微软雅黑" w:eastAsia="微软雅黑" w:cs="微软雅黑"/>
      <w:color w:val="000000"/>
      <w:sz w:val="16"/>
      <w:szCs w:val="16"/>
      <w:u w:val="none"/>
    </w:rPr>
  </w:style>
  <w:style w:type="character" w:styleId="1028" w:customStyle="1">
    <w:name w:val="font41"/>
    <w:link w:val="706"/>
    <w:uiPriority w:val="0"/>
    <w:qFormat/>
    <w:rPr>
      <w:rFonts w:hint="eastAsia" w:ascii="宋体" w:hAnsi="宋体" w:eastAsia="宋体" w:cs="宋体"/>
      <w:color w:val="000000"/>
      <w:sz w:val="22"/>
      <w:szCs w:val="22"/>
      <w:u w:val="none"/>
    </w:rPr>
  </w:style>
  <w:style w:type="character" w:styleId="1029" w:customStyle="1">
    <w:name w:val="font61"/>
    <w:link w:val="706"/>
    <w:uiPriority w:val="0"/>
    <w:qFormat/>
    <w:rPr>
      <w:rFonts w:hint="eastAsia" w:ascii="宋体" w:hAnsi="宋体" w:eastAsia="宋体" w:cs="宋体"/>
      <w:color w:val="000000"/>
      <w:sz w:val="20"/>
      <w:szCs w:val="20"/>
      <w:u w:val="none"/>
    </w:rPr>
  </w:style>
  <w:style w:type="character" w:styleId="1030" w:customStyle="1">
    <w:name w:val="font11"/>
    <w:link w:val="706"/>
    <w:uiPriority w:val="0"/>
    <w:qFormat/>
    <w:rPr>
      <w:rFonts w:hint="eastAsia" w:ascii="宋体" w:hAnsi="宋体" w:eastAsia="宋体" w:cs="宋体"/>
      <w:color w:val="000000"/>
      <w:sz w:val="20"/>
      <w:szCs w:val="20"/>
      <w:u w:val="none"/>
    </w:rPr>
  </w:style>
  <w:style w:type="character" w:styleId="1031" w:customStyle="1">
    <w:name w:val="font71"/>
    <w:link w:val="706"/>
    <w:uiPriority w:val="0"/>
    <w:qFormat/>
    <w:rPr>
      <w:rFonts w:hint="eastAsia" w:ascii="宋体" w:hAnsi="宋体" w:eastAsia="宋体" w:cs="宋体"/>
      <w:color w:val="000000"/>
      <w:sz w:val="21"/>
      <w:szCs w:val="21"/>
      <w:u w:val="none"/>
    </w:rPr>
  </w:style>
  <w:style w:type="character" w:styleId="1032" w:customStyle="1">
    <w:name w:val="font81"/>
    <w:link w:val="706"/>
    <w:uiPriority w:val="0"/>
    <w:qFormat/>
    <w:rPr>
      <w:rFonts w:ascii="Times New Roman" w:hAnsi="Times New Roman" w:cs="Times New Roman"/>
      <w:color w:val="000000"/>
      <w:sz w:val="21"/>
      <w:szCs w:val="21"/>
      <w:u w:val="none"/>
    </w:rPr>
  </w:style>
  <w:style w:type="character" w:styleId="1033" w:customStyle="1">
    <w:name w:val="font91"/>
    <w:link w:val="706"/>
    <w:uiPriority w:val="0"/>
    <w:qFormat/>
    <w:rPr>
      <w:rFonts w:hint="eastAsia" w:ascii="宋体" w:hAnsi="宋体" w:eastAsia="宋体" w:cs="宋体"/>
      <w:color w:val="000000"/>
      <w:sz w:val="21"/>
      <w:szCs w:val="21"/>
      <w:u w:val="none"/>
    </w:rPr>
  </w:style>
  <w:style w:type="paragraph" w:styleId="1034" w:customStyle="1">
    <w:name w:val="页脚1"/>
    <w:basedOn w:val="706"/>
    <w:uiPriority w:val="0"/>
    <w:qFormat/>
    <w:pPr>
      <w:jc w:val="left"/>
      <w:tabs>
        <w:tab w:val="center" w:pos="4153" w:leader="none"/>
        <w:tab w:val="right" w:pos="8306" w:leader="none"/>
      </w:tabs>
    </w:pPr>
    <w:rPr>
      <w:sz w:val="18"/>
      <w:szCs w:val="18"/>
    </w:rPr>
  </w:style>
  <w:style w:type="paragraph" w:styleId="1035" w:customStyle="1">
    <w:name w:val="正文缩进11"/>
    <w:basedOn w:val="706"/>
    <w:uiPriority w:val="0"/>
    <w:unhideWhenUsed/>
    <w:qFormat/>
    <w:pPr>
      <w:ind w:firstLine="420"/>
    </w:pPr>
  </w:style>
  <w:style w:type="paragraph" w:styleId="1036" w:customStyle="1">
    <w:name w:val="列表段落"/>
    <w:basedOn w:val="706"/>
    <w:uiPriority w:val="34"/>
    <w:qFormat/>
    <w:pPr>
      <w:contextualSpacing/>
      <w:ind w:left="720"/>
    </w:pPr>
  </w:style>
  <w:style w:type="paragraph" w:styleId="1037" w:customStyle="1">
    <w:name w:val="普通(网站)1"/>
    <w:basedOn w:val="706"/>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38" w:customStyle="1">
    <w:name w:val="纯文本11"/>
    <w:basedOn w:val="706"/>
    <w:uiPriority w:val="0"/>
    <w:qFormat/>
    <w:rPr>
      <w:rFonts w:ascii="宋体" w:hAnsi="Courier New"/>
      <w:szCs w:val="20"/>
    </w:rPr>
  </w:style>
  <w:style w:type="paragraph" w:styleId="1039" w:customStyle="1">
    <w:name w:val="纯文本1"/>
    <w:basedOn w:val="791"/>
    <w:uiPriority w:val="0"/>
    <w:qFormat/>
    <w:rPr>
      <w:rFonts w:hAnsi="Courier New"/>
      <w:sz w:val="20"/>
    </w:rPr>
  </w:style>
  <w:style w:type="paragraph" w:styleId="1040" w:customStyle="1">
    <w:name w:val="Body text|21"/>
    <w:basedOn w:val="706"/>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041" w:customStyle="1">
    <w:name w:val="Table Normal"/>
    <w:uiPriority w:val="0"/>
    <w:unhideWhenUsed/>
    <w:qFormat/>
    <w:rPr>
      <w:lang w:val="en-US" w:eastAsia="zh-CN" w:bidi="ar-SA"/>
    </w:rPr>
    <w:tblPr/>
  </w:style>
  <w:style w:type="paragraph" w:styleId="1042" w:customStyle="1">
    <w:name w:val="Table Text"/>
    <w:basedOn w:val="706"/>
    <w:uiPriority w:val="0"/>
    <w:semiHidden/>
    <w:qFormat/>
    <w:rPr>
      <w:rFonts w:ascii="Arial" w:hAnsi="Arial" w:eastAsia="Arial" w:cs="Arial"/>
      <w:sz w:val="21"/>
      <w:szCs w:val="21"/>
      <w:lang w:eastAsia="en-US"/>
    </w:rPr>
  </w:style>
  <w:style w:type="paragraph" w:styleId="1043" w:customStyle="1">
    <w:name w:val="BlockQuote1"/>
    <w:basedOn w:val="706"/>
    <w:uiPriority w:val="0"/>
    <w:qFormat/>
    <w:pPr>
      <w:ind w:left="256" w:right="6" w:firstLine="624"/>
    </w:pPr>
    <w:rPr>
      <w:rFonts w:eastAsia="仿宋_GB2312"/>
      <w:sz w:val="28"/>
    </w:rPr>
  </w:style>
  <w:style w:type="paragraph" w:styleId="1044" w:customStyle="1">
    <w:name w:val="reader-word-layer reader-word-s1-7"/>
    <w:basedOn w:val="706"/>
    <w:uiPriority w:val="0"/>
    <w:qFormat/>
    <w:pPr>
      <w:jc w:val="left"/>
      <w:spacing w:before="100" w:beforeAutospacing="1" w:after="100" w:afterAutospacing="1"/>
      <w:widowControl/>
    </w:pPr>
    <w:rPr>
      <w:rFonts w:ascii="宋体" w:hAnsi="宋体" w:cs="宋体"/>
      <w:sz w:val="24"/>
    </w:rPr>
  </w:style>
  <w:style w:type="paragraph" w:styleId="1045" w:customStyle="1">
    <w:name w:val="首行缩进"/>
    <w:basedOn w:val="706"/>
    <w:uiPriority w:val="99"/>
    <w:qFormat/>
    <w:pPr>
      <w:ind w:firstLine="480"/>
      <w:spacing w:line="360" w:lineRule="auto"/>
    </w:pPr>
    <w:rPr>
      <w:rFonts w:ascii="Calibri" w:hAnsi="Calibri" w:eastAsia="微软雅黑"/>
      <w:sz w:val="24"/>
      <w:szCs w:val="22"/>
      <w:lang w:val="zh-CN"/>
    </w:rPr>
  </w:style>
  <w:style w:type="paragraph" w:styleId="1046" w:customStyle="1">
    <w:name w:val="_HT_正文"/>
    <w:basedOn w:val="706"/>
    <w:uiPriority w:val="0"/>
    <w:qFormat/>
    <w:pPr>
      <w:ind w:firstLine="200"/>
      <w:jc w:val="both"/>
      <w:spacing w:line="360" w:lineRule="auto"/>
    </w:pPr>
    <w:rPr>
      <w:sz w:val="24"/>
    </w:rPr>
  </w:style>
  <w:style w:type="paragraph" w:styleId="1047" w:customStyle="1">
    <w:name w:val="qowt-stl-正文"/>
    <w:basedOn w:val="783"/>
    <w:uiPriority w:val="0"/>
    <w:qFormat/>
    <w:pPr>
      <w:jc w:val="left"/>
      <w:spacing w:before="100" w:beforeAutospacing="1" w:after="100" w:afterAutospacing="1"/>
      <w:widowControl/>
    </w:pPr>
    <w:rPr>
      <w:rFonts w:ascii="宋体" w:hAnsi="宋体"/>
      <w:sz w:val="24"/>
    </w:rPr>
  </w:style>
  <w:style w:type="character" w:styleId="1048" w:customStyle="1">
    <w:name w:val="标题 2 Char"/>
    <w:link w:val="708"/>
    <w:uiPriority w:val="0"/>
    <w:qFormat/>
    <w:rPr>
      <w:rFonts w:ascii="Arial" w:hAnsi="Arial" w:eastAsia="Arial" w:cs="Arial"/>
      <w:sz w:val="34"/>
    </w:rPr>
  </w:style>
  <w:style w:type="numbering" w:styleId="10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江苏创佳建设项目管理有限公司</cp:lastModifiedBy>
  <cp:revision>19</cp:revision>
  <dcterms:created xsi:type="dcterms:W3CDTF">2021-06-29T14:28:00Z</dcterms:created>
  <dcterms:modified xsi:type="dcterms:W3CDTF">2026-10-10T03:51:55Z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eyJoZGlkIjoiZjdiZGE5OTlhMjliOTIzOTA5ODVhNmNhNWQwZjgzMGUiLCJ1c2VySWQiOiIzNjQxOTEyMTcifQ==</vt:lpwstr>
  </property>
  <property fmtid="{D5CDD505-2E9C-101B-9397-08002B2CF9AE}" pid="3" name="KSOProductBuildVer">
    <vt:lpwstr>2052-12.1.0.28802</vt:lpwstr>
  </property>
  <property fmtid="{D5CDD505-2E9C-101B-9397-08002B2CF9AE}" pid="4" name="ICV">
    <vt:lpwstr>19843627A9AD42A49E2143B22F549D3A_13</vt:lpwstr>
  </property>
</Properties>
</file>